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0FAC2">
      <w:pPr>
        <w:spacing w:line="360" w:lineRule="auto"/>
        <w:jc w:val="center"/>
        <w:outlineLvl w:val="9"/>
        <w:rPr>
          <w:rFonts w:hint="eastAsia" w:ascii="宋体" w:hAnsi="宋体" w:eastAsia="宋体" w:cs="宋体"/>
          <w:b/>
          <w:color w:val="auto"/>
          <w:kern w:val="0"/>
          <w:sz w:val="32"/>
          <w:szCs w:val="32"/>
          <w:highlight w:val="none"/>
        </w:rPr>
      </w:pPr>
      <w:bookmarkStart w:id="212" w:name="_GoBack"/>
      <w:r>
        <w:rPr>
          <w:rFonts w:hint="eastAsia" w:ascii="宋体" w:hAnsi="宋体" w:eastAsia="宋体" w:cs="宋体"/>
          <w:b/>
          <w:color w:val="auto"/>
          <w:kern w:val="0"/>
          <w:sz w:val="32"/>
          <w:szCs w:val="32"/>
          <w:highlight w:val="none"/>
        </w:rPr>
        <w:t xml:space="preserve">                          </w:t>
      </w:r>
    </w:p>
    <w:p w14:paraId="57E448CD">
      <w:pPr>
        <w:spacing w:line="360" w:lineRule="auto"/>
        <w:outlineLvl w:val="9"/>
        <w:rPr>
          <w:rFonts w:hint="eastAsia" w:ascii="宋体" w:hAnsi="宋体" w:eastAsia="宋体" w:cs="宋体"/>
          <w:bCs/>
          <w:color w:val="auto"/>
          <w:kern w:val="0"/>
          <w:sz w:val="48"/>
          <w:szCs w:val="48"/>
          <w:highlight w:val="none"/>
        </w:rPr>
      </w:pPr>
    </w:p>
    <w:p w14:paraId="1B6C55A9">
      <w:pPr>
        <w:pStyle w:val="269"/>
        <w:outlineLvl w:val="9"/>
        <w:rPr>
          <w:rFonts w:hint="eastAsia" w:ascii="宋体" w:hAnsi="宋体" w:eastAsia="宋体" w:cs="宋体"/>
          <w:color w:val="auto"/>
          <w:highlight w:val="none"/>
        </w:rPr>
      </w:pPr>
    </w:p>
    <w:p w14:paraId="4B76CEA4">
      <w:pPr>
        <w:pStyle w:val="269"/>
        <w:outlineLvl w:val="9"/>
        <w:rPr>
          <w:rFonts w:hint="eastAsia" w:ascii="宋体" w:hAnsi="宋体" w:eastAsia="宋体" w:cs="宋体"/>
          <w:color w:val="auto"/>
          <w:highlight w:val="none"/>
        </w:rPr>
      </w:pPr>
    </w:p>
    <w:p w14:paraId="3A2B3318">
      <w:pPr>
        <w:spacing w:line="360" w:lineRule="auto"/>
        <w:jc w:val="center"/>
        <w:outlineLvl w:val="9"/>
        <w:rPr>
          <w:rFonts w:hint="eastAsia" w:ascii="宋体" w:hAnsi="宋体" w:eastAsia="宋体" w:cs="宋体"/>
          <w:b/>
          <w:color w:val="auto"/>
          <w:szCs w:val="21"/>
          <w:highlight w:val="none"/>
          <w:u w:val="single"/>
          <w:lang w:eastAsia="zh-CN"/>
        </w:rPr>
      </w:pPr>
      <w:r>
        <w:rPr>
          <w:rFonts w:hint="eastAsia" w:ascii="宋体" w:hAnsi="宋体" w:eastAsia="宋体" w:cs="宋体"/>
          <w:b/>
          <w:bCs w:val="0"/>
          <w:color w:val="auto"/>
          <w:spacing w:val="-6"/>
          <w:kern w:val="0"/>
          <w:sz w:val="52"/>
          <w:szCs w:val="52"/>
          <w:highlight w:val="none"/>
          <w:u w:val="single"/>
          <w:lang w:val="en-US" w:eastAsia="zh-CN"/>
        </w:rPr>
        <w:t>广州市海珠区得胜岗片区更新改造项目</w:t>
      </w:r>
      <w:r>
        <w:rPr>
          <w:rFonts w:hint="eastAsia" w:ascii="宋体" w:hAnsi="宋体" w:eastAsia="宋体" w:cs="宋体"/>
          <w:b/>
          <w:bCs w:val="0"/>
          <w:color w:val="auto"/>
          <w:kern w:val="0"/>
          <w:sz w:val="52"/>
          <w:szCs w:val="52"/>
          <w:highlight w:val="none"/>
          <w:u w:val="single"/>
        </w:rPr>
        <w:t>第三方检测</w:t>
      </w:r>
      <w:r>
        <w:rPr>
          <w:rFonts w:hint="eastAsia" w:ascii="宋体" w:hAnsi="宋体" w:cs="宋体"/>
          <w:b/>
          <w:color w:val="auto"/>
          <w:kern w:val="0"/>
          <w:sz w:val="52"/>
          <w:szCs w:val="52"/>
          <w:highlight w:val="none"/>
          <w:u w:val="single"/>
          <w:lang w:val="en-US" w:eastAsia="zh-CN"/>
        </w:rPr>
        <w:t>及</w:t>
      </w:r>
      <w:r>
        <w:rPr>
          <w:rFonts w:hint="eastAsia" w:ascii="宋体" w:hAnsi="宋体" w:eastAsia="宋体" w:cs="宋体"/>
          <w:b/>
          <w:color w:val="auto"/>
          <w:kern w:val="0"/>
          <w:sz w:val="52"/>
          <w:szCs w:val="52"/>
          <w:highlight w:val="none"/>
          <w:u w:val="single"/>
          <w:lang w:val="en-US" w:eastAsia="zh-CN"/>
        </w:rPr>
        <w:t>监测</w:t>
      </w:r>
      <w:r>
        <w:rPr>
          <w:rFonts w:hint="eastAsia" w:ascii="宋体" w:hAnsi="宋体" w:eastAsia="宋体" w:cs="宋体"/>
          <w:b/>
          <w:bCs w:val="0"/>
          <w:color w:val="auto"/>
          <w:kern w:val="0"/>
          <w:sz w:val="52"/>
          <w:szCs w:val="52"/>
          <w:highlight w:val="none"/>
          <w:u w:val="single"/>
        </w:rPr>
        <w:t>技术服务合同</w:t>
      </w:r>
    </w:p>
    <w:p w14:paraId="25E1B7EE">
      <w:pPr>
        <w:spacing w:line="360" w:lineRule="auto"/>
        <w:outlineLvl w:val="9"/>
        <w:rPr>
          <w:rFonts w:hint="eastAsia" w:ascii="宋体" w:hAnsi="宋体" w:eastAsia="宋体" w:cs="宋体"/>
          <w:b/>
          <w:color w:val="auto"/>
          <w:szCs w:val="21"/>
          <w:highlight w:val="none"/>
        </w:rPr>
      </w:pPr>
    </w:p>
    <w:p w14:paraId="751BC06E">
      <w:pPr>
        <w:spacing w:line="360" w:lineRule="auto"/>
        <w:outlineLvl w:val="9"/>
        <w:rPr>
          <w:rFonts w:hint="eastAsia" w:ascii="宋体" w:hAnsi="宋体" w:eastAsia="宋体" w:cs="宋体"/>
          <w:b/>
          <w:color w:val="auto"/>
          <w:szCs w:val="21"/>
          <w:highlight w:val="none"/>
        </w:rPr>
      </w:pPr>
    </w:p>
    <w:p w14:paraId="6392903E">
      <w:pPr>
        <w:spacing w:line="360" w:lineRule="auto"/>
        <w:outlineLvl w:val="9"/>
        <w:rPr>
          <w:rFonts w:hint="eastAsia" w:ascii="宋体" w:hAnsi="宋体" w:eastAsia="宋体" w:cs="宋体"/>
          <w:b/>
          <w:color w:val="auto"/>
          <w:szCs w:val="21"/>
          <w:highlight w:val="none"/>
        </w:rPr>
      </w:pPr>
    </w:p>
    <w:p w14:paraId="79B4C2A5">
      <w:pPr>
        <w:pStyle w:val="269"/>
        <w:rPr>
          <w:rFonts w:hint="eastAsia" w:ascii="宋体" w:hAnsi="宋体" w:eastAsia="宋体" w:cs="宋体"/>
          <w:b/>
          <w:color w:val="auto"/>
          <w:szCs w:val="21"/>
          <w:highlight w:val="none"/>
        </w:rPr>
      </w:pPr>
    </w:p>
    <w:p w14:paraId="48EF2763">
      <w:pPr>
        <w:pStyle w:val="269"/>
        <w:rPr>
          <w:rFonts w:hint="eastAsia" w:ascii="宋体" w:hAnsi="宋体" w:eastAsia="宋体" w:cs="宋体"/>
          <w:b/>
          <w:color w:val="auto"/>
          <w:szCs w:val="21"/>
          <w:highlight w:val="none"/>
        </w:rPr>
      </w:pPr>
    </w:p>
    <w:p w14:paraId="3B8ADF0E">
      <w:pPr>
        <w:pStyle w:val="269"/>
        <w:rPr>
          <w:rFonts w:hint="eastAsia" w:ascii="宋体" w:hAnsi="宋体" w:eastAsia="宋体" w:cs="宋体"/>
          <w:b/>
          <w:color w:val="auto"/>
          <w:szCs w:val="21"/>
          <w:highlight w:val="none"/>
        </w:rPr>
      </w:pPr>
    </w:p>
    <w:p w14:paraId="4E53779C">
      <w:pPr>
        <w:pStyle w:val="269"/>
        <w:rPr>
          <w:rFonts w:hint="eastAsia" w:ascii="宋体" w:hAnsi="宋体" w:eastAsia="宋体" w:cs="宋体"/>
          <w:b/>
          <w:color w:val="auto"/>
          <w:szCs w:val="21"/>
          <w:highlight w:val="none"/>
        </w:rPr>
      </w:pPr>
    </w:p>
    <w:p w14:paraId="2548D88B">
      <w:pPr>
        <w:pStyle w:val="269"/>
        <w:jc w:val="both"/>
        <w:rPr>
          <w:rFonts w:hint="eastAsia" w:ascii="宋体" w:hAnsi="宋体" w:eastAsia="宋体" w:cs="宋体"/>
          <w:b/>
          <w:color w:val="auto"/>
          <w:szCs w:val="21"/>
          <w:highlight w:val="none"/>
        </w:rPr>
      </w:pPr>
    </w:p>
    <w:p w14:paraId="5E1595BA">
      <w:pPr>
        <w:spacing w:line="360" w:lineRule="auto"/>
        <w:outlineLvl w:val="9"/>
        <w:rPr>
          <w:rFonts w:hint="eastAsia" w:ascii="宋体" w:hAnsi="宋体" w:eastAsia="宋体" w:cs="宋体"/>
          <w:b/>
          <w:color w:val="auto"/>
          <w:szCs w:val="21"/>
          <w:highlight w:val="none"/>
        </w:rPr>
      </w:pPr>
    </w:p>
    <w:p w14:paraId="05F2B949">
      <w:pPr>
        <w:tabs>
          <w:tab w:val="left" w:leader="underscore" w:pos="7560"/>
        </w:tabs>
        <w:spacing w:line="360" w:lineRule="auto"/>
        <w:ind w:firstLine="420" w:firstLineChars="150"/>
        <w:outlineLvl w:val="9"/>
        <w:rPr>
          <w:rFonts w:hint="eastAsia" w:ascii="宋体" w:hAnsi="宋体" w:eastAsia="宋体" w:cs="宋体"/>
          <w:b w:val="0"/>
          <w:bCs/>
          <w:color w:val="auto"/>
          <w:sz w:val="28"/>
          <w:szCs w:val="28"/>
          <w:highlight w:val="none"/>
          <w:u w:val="single"/>
          <w:lang w:val="en-US" w:eastAsia="zh-CN"/>
        </w:rPr>
      </w:pPr>
      <w:r>
        <w:rPr>
          <w:rFonts w:hint="eastAsia" w:ascii="宋体" w:hAnsi="宋体" w:eastAsia="宋体" w:cs="宋体"/>
          <w:b w:val="0"/>
          <w:bCs/>
          <w:color w:val="auto"/>
          <w:sz w:val="28"/>
          <w:szCs w:val="28"/>
          <w:highlight w:val="none"/>
          <w:lang w:val="en-US" w:eastAsia="zh-CN"/>
        </w:rPr>
        <w:t>合 同 编 号：</w:t>
      </w:r>
      <w:r>
        <w:rPr>
          <w:rFonts w:hint="eastAsia" w:ascii="宋体" w:hAnsi="宋体" w:eastAsia="宋体" w:cs="宋体"/>
          <w:b w:val="0"/>
          <w:bCs/>
          <w:color w:val="auto"/>
          <w:sz w:val="28"/>
          <w:szCs w:val="28"/>
          <w:highlight w:val="none"/>
          <w:u w:val="single"/>
          <w:lang w:val="en-US" w:eastAsia="zh-CN"/>
        </w:rPr>
        <w:t xml:space="preserve">                                     </w:t>
      </w:r>
    </w:p>
    <w:p w14:paraId="18281AA5">
      <w:pPr>
        <w:tabs>
          <w:tab w:val="left" w:leader="underscore" w:pos="7560"/>
        </w:tabs>
        <w:spacing w:line="360" w:lineRule="auto"/>
        <w:ind w:firstLine="420" w:firstLineChars="150"/>
        <w:outlineLvl w:val="9"/>
        <w:rPr>
          <w:rFonts w:hint="eastAsia" w:ascii="宋体" w:hAnsi="宋体" w:eastAsia="宋体" w:cs="宋体"/>
          <w:b w:val="0"/>
          <w:bCs/>
          <w:color w:val="auto"/>
          <w:sz w:val="28"/>
          <w:szCs w:val="28"/>
          <w:highlight w:val="none"/>
          <w:u w:val="single"/>
          <w:lang w:val="en-US" w:eastAsia="zh-CN"/>
        </w:rPr>
      </w:pPr>
      <w:r>
        <w:rPr>
          <w:rFonts w:hint="eastAsia" w:ascii="宋体" w:hAnsi="宋体" w:eastAsia="宋体" w:cs="宋体"/>
          <w:b w:val="0"/>
          <w:bCs/>
          <w:color w:val="auto"/>
          <w:sz w:val="28"/>
          <w:szCs w:val="28"/>
          <w:highlight w:val="none"/>
        </w:rPr>
        <w:t>项 目 名 称：</w:t>
      </w:r>
      <w:r>
        <w:rPr>
          <w:rFonts w:hint="eastAsia" w:ascii="宋体" w:hAnsi="宋体" w:eastAsia="宋体" w:cs="宋体"/>
          <w:b w:val="0"/>
          <w:bCs/>
          <w:color w:val="auto"/>
          <w:sz w:val="28"/>
          <w:szCs w:val="28"/>
          <w:highlight w:val="none"/>
          <w:u w:val="single"/>
          <w:lang w:val="en-US" w:eastAsia="zh-CN"/>
        </w:rPr>
        <w:t>广州市海珠区得胜岗片区更新改造项目第三方检测</w:t>
      </w:r>
    </w:p>
    <w:p w14:paraId="7340BE3D">
      <w:pPr>
        <w:tabs>
          <w:tab w:val="left" w:leader="underscore" w:pos="7560"/>
        </w:tabs>
        <w:spacing w:line="360" w:lineRule="auto"/>
        <w:ind w:firstLine="2100" w:firstLineChars="750"/>
        <w:outlineLvl w:val="9"/>
        <w:rPr>
          <w:rFonts w:hint="eastAsia" w:ascii="宋体" w:hAnsi="宋体" w:eastAsia="宋体" w:cs="宋体"/>
          <w:b w:val="0"/>
          <w:bCs/>
          <w:color w:val="auto"/>
          <w:sz w:val="28"/>
          <w:szCs w:val="28"/>
          <w:highlight w:val="none"/>
          <w:lang w:val="en-US" w:eastAsia="zh-CN"/>
        </w:rPr>
      </w:pPr>
      <w:r>
        <w:rPr>
          <w:rFonts w:hint="eastAsia" w:ascii="宋体" w:hAnsi="宋体" w:cs="宋体"/>
          <w:b w:val="0"/>
          <w:bCs/>
          <w:color w:val="auto"/>
          <w:sz w:val="28"/>
          <w:szCs w:val="28"/>
          <w:highlight w:val="none"/>
          <w:u w:val="single"/>
          <w:lang w:val="en-US" w:eastAsia="zh-CN"/>
        </w:rPr>
        <w:t>及</w:t>
      </w:r>
      <w:r>
        <w:rPr>
          <w:rFonts w:hint="eastAsia" w:ascii="宋体" w:hAnsi="宋体" w:eastAsia="宋体" w:cs="宋体"/>
          <w:b w:val="0"/>
          <w:bCs/>
          <w:color w:val="auto"/>
          <w:sz w:val="28"/>
          <w:szCs w:val="28"/>
          <w:highlight w:val="none"/>
          <w:u w:val="single"/>
          <w:lang w:val="en-US" w:eastAsia="zh-CN"/>
        </w:rPr>
        <w:t>监测技术服务</w:t>
      </w:r>
    </w:p>
    <w:p w14:paraId="6220CB08">
      <w:pPr>
        <w:tabs>
          <w:tab w:val="left" w:leader="underscore" w:pos="7560"/>
        </w:tabs>
        <w:spacing w:line="360" w:lineRule="auto"/>
        <w:ind w:firstLine="420" w:firstLineChars="150"/>
        <w:outlineLvl w:val="9"/>
        <w:rPr>
          <w:rFonts w:hint="eastAsia" w:ascii="宋体" w:hAnsi="宋体" w:eastAsia="宋体" w:cs="宋体"/>
          <w:b w:val="0"/>
          <w:bCs/>
          <w:color w:val="auto"/>
          <w:sz w:val="28"/>
          <w:szCs w:val="28"/>
          <w:highlight w:val="none"/>
          <w:u w:val="single"/>
          <w:lang w:val="en-US" w:eastAsia="zh-CN"/>
        </w:rPr>
      </w:pPr>
      <w:r>
        <w:rPr>
          <w:rFonts w:hint="eastAsia" w:ascii="宋体" w:hAnsi="宋体" w:eastAsia="宋体" w:cs="宋体"/>
          <w:b w:val="0"/>
          <w:bCs/>
          <w:color w:val="auto"/>
          <w:sz w:val="28"/>
          <w:szCs w:val="28"/>
          <w:highlight w:val="none"/>
        </w:rPr>
        <w:t>甲</w:t>
      </w:r>
      <w:r>
        <w:rPr>
          <w:rFonts w:hint="eastAsia" w:ascii="宋体" w:hAnsi="宋体" w:eastAsia="宋体" w:cs="宋体"/>
          <w:b w:val="0"/>
          <w:bCs/>
          <w:color w:val="auto"/>
          <w:sz w:val="28"/>
          <w:szCs w:val="28"/>
          <w:highlight w:val="none"/>
          <w:lang w:val="en-US" w:eastAsia="zh-CN"/>
        </w:rPr>
        <w:t xml:space="preserve">       </w:t>
      </w:r>
      <w:r>
        <w:rPr>
          <w:rFonts w:hint="eastAsia" w:ascii="宋体" w:hAnsi="宋体" w:eastAsia="宋体" w:cs="宋体"/>
          <w:b w:val="0"/>
          <w:bCs/>
          <w:color w:val="auto"/>
          <w:sz w:val="28"/>
          <w:szCs w:val="28"/>
          <w:highlight w:val="none"/>
        </w:rPr>
        <w:t>方：</w:t>
      </w:r>
      <w:r>
        <w:rPr>
          <w:rFonts w:hint="eastAsia" w:ascii="宋体" w:hAnsi="宋体" w:eastAsia="宋体" w:cs="宋体"/>
          <w:b w:val="0"/>
          <w:bCs/>
          <w:color w:val="auto"/>
          <w:sz w:val="28"/>
          <w:szCs w:val="28"/>
          <w:highlight w:val="none"/>
          <w:u w:val="single"/>
          <w:lang w:val="en-US" w:eastAsia="zh-CN"/>
        </w:rPr>
        <w:t>广州优居运营管理有限公司</w:t>
      </w:r>
    </w:p>
    <w:p w14:paraId="6E0DF312">
      <w:pPr>
        <w:tabs>
          <w:tab w:val="left" w:leader="underscore" w:pos="7560"/>
        </w:tabs>
        <w:spacing w:line="360" w:lineRule="auto"/>
        <w:ind w:firstLine="420" w:firstLineChars="150"/>
        <w:outlineLvl w:val="9"/>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rPr>
        <w:t>乙</w:t>
      </w:r>
      <w:r>
        <w:rPr>
          <w:rFonts w:hint="eastAsia" w:ascii="宋体" w:hAnsi="宋体" w:eastAsia="宋体" w:cs="宋体"/>
          <w:b w:val="0"/>
          <w:bCs/>
          <w:color w:val="auto"/>
          <w:sz w:val="28"/>
          <w:szCs w:val="28"/>
          <w:highlight w:val="none"/>
          <w:lang w:val="en-US" w:eastAsia="zh-CN"/>
        </w:rPr>
        <w:t xml:space="preserve"> </w:t>
      </w:r>
      <w:r>
        <w:rPr>
          <w:rFonts w:hint="eastAsia" w:ascii="宋体" w:hAnsi="宋体" w:eastAsia="宋体" w:cs="宋体"/>
          <w:b w:val="0"/>
          <w:bCs/>
          <w:color w:val="auto"/>
          <w:sz w:val="28"/>
          <w:szCs w:val="28"/>
          <w:highlight w:val="none"/>
        </w:rPr>
        <w:t>方</w:t>
      </w:r>
      <w:r>
        <w:rPr>
          <w:rFonts w:hint="eastAsia" w:ascii="宋体" w:hAnsi="宋体" w:eastAsia="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lang w:val="en-US" w:eastAsia="zh-CN"/>
        </w:rPr>
        <w:t>主</w:t>
      </w:r>
      <w:r>
        <w:rPr>
          <w:rFonts w:hint="eastAsia" w:ascii="宋体" w:hAnsi="宋体" w:eastAsia="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rPr>
        <w:t>：</w:t>
      </w:r>
      <w:r>
        <w:rPr>
          <w:rFonts w:hint="eastAsia" w:ascii="宋体" w:hAnsi="宋体" w:eastAsia="宋体" w:cs="宋体"/>
          <w:b w:val="0"/>
          <w:bCs/>
          <w:color w:val="auto"/>
          <w:sz w:val="28"/>
          <w:szCs w:val="28"/>
          <w:highlight w:val="none"/>
          <w:u w:val="single"/>
          <w:lang w:val="en-US" w:eastAsia="zh-CN"/>
        </w:rPr>
        <w:t xml:space="preserve">                                     </w:t>
      </w:r>
    </w:p>
    <w:p w14:paraId="53093474">
      <w:pPr>
        <w:tabs>
          <w:tab w:val="left" w:leader="underscore" w:pos="7560"/>
        </w:tabs>
        <w:spacing w:line="360" w:lineRule="auto"/>
        <w:ind w:firstLine="420" w:firstLineChars="150"/>
        <w:outlineLvl w:val="9"/>
        <w:rPr>
          <w:rFonts w:hint="eastAsia" w:ascii="宋体" w:hAnsi="宋体" w:eastAsia="宋体" w:cs="宋体"/>
          <w:b w:val="0"/>
          <w:bCs/>
          <w:color w:val="auto"/>
          <w:sz w:val="28"/>
          <w:szCs w:val="28"/>
          <w:highlight w:val="none"/>
          <w:u w:val="single"/>
          <w:lang w:val="en-US" w:eastAsia="zh-CN"/>
        </w:rPr>
      </w:pPr>
      <w:r>
        <w:rPr>
          <w:rFonts w:hint="eastAsia" w:ascii="宋体" w:hAnsi="宋体" w:eastAsia="宋体" w:cs="宋体"/>
          <w:b w:val="0"/>
          <w:bCs/>
          <w:color w:val="auto"/>
          <w:sz w:val="28"/>
          <w:szCs w:val="28"/>
          <w:highlight w:val="none"/>
          <w:lang w:val="en-US" w:eastAsia="zh-CN"/>
        </w:rPr>
        <w:t xml:space="preserve">     </w:t>
      </w:r>
      <w:r>
        <w:rPr>
          <w:rFonts w:hint="eastAsia" w:ascii="宋体" w:hAnsi="宋体" w:eastAsia="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lang w:val="en-US" w:eastAsia="zh-CN"/>
        </w:rPr>
        <w:t>成</w:t>
      </w:r>
      <w:r>
        <w:rPr>
          <w:rFonts w:hint="eastAsia" w:ascii="宋体" w:hAnsi="宋体" w:eastAsia="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rPr>
        <w:t>：</w:t>
      </w:r>
      <w:r>
        <w:rPr>
          <w:rFonts w:hint="eastAsia" w:ascii="宋体" w:hAnsi="宋体" w:eastAsia="宋体" w:cs="宋体"/>
          <w:b w:val="0"/>
          <w:bCs/>
          <w:color w:val="auto"/>
          <w:sz w:val="28"/>
          <w:szCs w:val="28"/>
          <w:highlight w:val="none"/>
          <w:u w:val="single"/>
          <w:lang w:val="en-US" w:eastAsia="zh-CN"/>
        </w:rPr>
        <w:t xml:space="preserve">                                     </w:t>
      </w:r>
    </w:p>
    <w:p w14:paraId="4A357254">
      <w:pPr>
        <w:tabs>
          <w:tab w:val="left" w:leader="underscore" w:pos="7560"/>
        </w:tabs>
        <w:spacing w:line="360" w:lineRule="auto"/>
        <w:ind w:firstLine="420" w:firstLineChars="150"/>
        <w:outlineLvl w:val="9"/>
        <w:rPr>
          <w:rFonts w:hint="eastAsia" w:ascii="宋体" w:hAnsi="宋体" w:eastAsia="宋体" w:cs="宋体"/>
          <w:b w:val="0"/>
          <w:bCs/>
          <w:color w:val="auto"/>
          <w:sz w:val="28"/>
          <w:szCs w:val="28"/>
          <w:highlight w:val="none"/>
          <w:u w:val="single"/>
          <w:lang w:val="en-US" w:eastAsia="zh-CN"/>
        </w:rPr>
      </w:pPr>
      <w:r>
        <w:rPr>
          <w:rFonts w:hint="eastAsia" w:ascii="宋体" w:hAnsi="宋体" w:eastAsia="宋体" w:cs="宋体"/>
          <w:b w:val="0"/>
          <w:bCs/>
          <w:color w:val="auto"/>
          <w:sz w:val="28"/>
          <w:szCs w:val="28"/>
          <w:highlight w:val="none"/>
        </w:rPr>
        <w:t>签 订 日 期：</w:t>
      </w:r>
      <w:r>
        <w:rPr>
          <w:rFonts w:hint="eastAsia" w:ascii="宋体" w:hAnsi="宋体" w:eastAsia="宋体" w:cs="宋体"/>
          <w:b w:val="0"/>
          <w:bCs/>
          <w:color w:val="auto"/>
          <w:sz w:val="28"/>
          <w:szCs w:val="28"/>
          <w:highlight w:val="none"/>
          <w:u w:val="single"/>
          <w:lang w:val="en-US" w:eastAsia="zh-CN"/>
        </w:rPr>
        <w:t xml:space="preserve">  202  年  月  日  </w:t>
      </w:r>
    </w:p>
    <w:p w14:paraId="6F73F2D6">
      <w:pPr>
        <w:tabs>
          <w:tab w:val="left" w:leader="underscore" w:pos="7560"/>
        </w:tabs>
        <w:spacing w:line="360" w:lineRule="auto"/>
        <w:ind w:firstLine="420" w:firstLineChars="150"/>
        <w:outlineLvl w:val="9"/>
        <w:rPr>
          <w:rFonts w:hint="eastAsia" w:ascii="宋体" w:hAnsi="宋体" w:eastAsia="宋体" w:cs="宋体"/>
          <w:b w:val="0"/>
          <w:bCs w:val="0"/>
          <w:color w:val="auto"/>
          <w:sz w:val="28"/>
          <w:szCs w:val="28"/>
          <w:highlight w:val="none"/>
          <w:u w:val="single"/>
          <w:lang w:eastAsia="zh-CN"/>
        </w:rPr>
      </w:pPr>
      <w:r>
        <w:rPr>
          <w:rFonts w:hint="eastAsia" w:ascii="宋体" w:hAnsi="宋体" w:eastAsia="宋体" w:cs="宋体"/>
          <w:b w:val="0"/>
          <w:bCs/>
          <w:color w:val="auto"/>
          <w:sz w:val="28"/>
          <w:szCs w:val="28"/>
          <w:highlight w:val="none"/>
        </w:rPr>
        <w:t>签 订 地 点：</w:t>
      </w:r>
      <w:r>
        <w:rPr>
          <w:rFonts w:hint="eastAsia" w:ascii="宋体" w:hAnsi="宋体" w:eastAsia="宋体" w:cs="宋体"/>
          <w:b w:val="0"/>
          <w:bCs/>
          <w:color w:val="auto"/>
          <w:sz w:val="28"/>
          <w:szCs w:val="28"/>
          <w:highlight w:val="none"/>
          <w:u w:val="single"/>
          <w:lang w:val="en-US" w:eastAsia="zh-CN"/>
        </w:rPr>
        <w:t xml:space="preserve">  广东省广州市  </w:t>
      </w:r>
    </w:p>
    <w:p w14:paraId="3A62367A">
      <w:pPr>
        <w:spacing w:line="360" w:lineRule="auto"/>
        <w:outlineLvl w:val="9"/>
        <w:rPr>
          <w:rFonts w:hint="eastAsia" w:ascii="宋体" w:hAnsi="宋体" w:eastAsia="宋体" w:cs="宋体"/>
          <w:b/>
          <w:color w:val="auto"/>
          <w:sz w:val="28"/>
          <w:szCs w:val="28"/>
          <w:highlight w:val="none"/>
          <w:u w:val="single"/>
        </w:rPr>
      </w:pPr>
    </w:p>
    <w:p w14:paraId="4D96E8B3">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snapToGrid/>
          <w:color w:val="auto"/>
          <w:kern w:val="0"/>
          <w:sz w:val="24"/>
          <w:szCs w:val="24"/>
          <w:highlight w:val="none"/>
          <w:u w:val="none"/>
          <w:lang w:eastAsia="zh-CN"/>
        </w:rPr>
        <w:sectPr>
          <w:headerReference r:id="rId3" w:type="default"/>
          <w:footerReference r:id="rId4" w:type="default"/>
          <w:pgSz w:w="11906" w:h="16838"/>
          <w:pgMar w:top="1440" w:right="1474" w:bottom="1440" w:left="1587" w:header="851" w:footer="992" w:gutter="0"/>
          <w:cols w:space="720" w:num="1"/>
          <w:rtlGutter w:val="0"/>
          <w:docGrid w:type="lines" w:linePitch="312" w:charSpace="0"/>
        </w:sectPr>
      </w:pPr>
    </w:p>
    <w:p w14:paraId="0C98686F">
      <w:pPr>
        <w:spacing w:before="0" w:beforeLines="0" w:after="0" w:afterLines="0" w:line="360" w:lineRule="auto"/>
        <w:ind w:left="0" w:leftChars="0" w:right="0" w:rightChars="0" w:firstLine="0" w:firstLineChars="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5F5EF346">
      <w:pPr>
        <w:pStyle w:val="33"/>
        <w:tabs>
          <w:tab w:val="right" w:leader="dot" w:pos="8820"/>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TOC \o "1-2" \h \u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_Toc9504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kern w:val="0"/>
          <w:szCs w:val="24"/>
          <w:highlight w:val="none"/>
        </w:rPr>
        <w:t>一、项目</w:t>
      </w:r>
      <w:r>
        <w:rPr>
          <w:rFonts w:hint="eastAsia" w:ascii="宋体" w:hAnsi="宋体" w:eastAsia="宋体" w:cs="宋体"/>
          <w:bCs/>
          <w:snapToGrid w:val="0"/>
          <w:color w:val="auto"/>
          <w:kern w:val="0"/>
          <w:szCs w:val="24"/>
          <w:highlight w:val="none"/>
        </w:rPr>
        <w:t>名称</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_Toc9504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544322F5">
      <w:pPr>
        <w:pStyle w:val="33"/>
        <w:tabs>
          <w:tab w:val="right" w:leader="dot" w:pos="8820"/>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_Toc30490 </w:instrText>
      </w:r>
      <w:r>
        <w:rPr>
          <w:rFonts w:hint="eastAsia" w:ascii="宋体" w:hAnsi="宋体" w:eastAsia="宋体" w:cs="宋体"/>
          <w:color w:val="auto"/>
          <w:szCs w:val="24"/>
          <w:highlight w:val="none"/>
        </w:rPr>
        <w:fldChar w:fldCharType="separate"/>
      </w:r>
      <w:r>
        <w:rPr>
          <w:rFonts w:hint="eastAsia" w:ascii="宋体" w:hAnsi="宋体" w:eastAsia="宋体" w:cs="宋体"/>
          <w:bCs/>
          <w:snapToGrid w:val="0"/>
          <w:color w:val="auto"/>
          <w:kern w:val="0"/>
          <w:szCs w:val="24"/>
          <w:highlight w:val="none"/>
        </w:rPr>
        <w:t>二、项目</w:t>
      </w:r>
      <w:r>
        <w:rPr>
          <w:rFonts w:hint="eastAsia" w:ascii="宋体" w:hAnsi="宋体" w:eastAsia="宋体" w:cs="宋体"/>
          <w:bCs/>
          <w:snapToGrid w:val="0"/>
          <w:color w:val="auto"/>
          <w:kern w:val="0"/>
          <w:szCs w:val="24"/>
          <w:highlight w:val="none"/>
          <w:lang w:eastAsia="zh-CN"/>
        </w:rPr>
        <w:t>地点及项目规模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_Toc30490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7B682DF4">
      <w:pPr>
        <w:pStyle w:val="33"/>
        <w:tabs>
          <w:tab w:val="right" w:leader="dot" w:pos="8820"/>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_Toc14105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kern w:val="0"/>
          <w:szCs w:val="24"/>
          <w:highlight w:val="none"/>
          <w:lang w:val="en-US" w:eastAsia="zh-CN"/>
        </w:rPr>
        <w:t>三</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服务内容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_Toc14105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10F9AA78">
      <w:pPr>
        <w:pStyle w:val="33"/>
        <w:tabs>
          <w:tab w:val="right" w:leader="dot" w:pos="8820"/>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_Toc15431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kern w:val="0"/>
          <w:szCs w:val="24"/>
          <w:highlight w:val="none"/>
          <w:lang w:val="en-US" w:eastAsia="zh-CN"/>
        </w:rPr>
        <w:t>四</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服务要求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_Toc15431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75646FE9">
      <w:pPr>
        <w:pStyle w:val="33"/>
        <w:tabs>
          <w:tab w:val="right" w:leader="dot" w:pos="8820"/>
          <w:tab w:val="clear" w:pos="9060"/>
        </w:tabs>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_Toc26737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kern w:val="0"/>
          <w:szCs w:val="24"/>
          <w:highlight w:val="none"/>
          <w:lang w:val="en-US" w:eastAsia="zh-CN"/>
        </w:rPr>
        <w:t>五</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甲方职责</w:t>
      </w:r>
      <w:r>
        <w:rPr>
          <w:rFonts w:hint="eastAsia" w:ascii="宋体" w:hAnsi="宋体" w:eastAsia="宋体" w:cs="宋体"/>
          <w:color w:val="auto"/>
          <w:highlight w:val="none"/>
        </w:rPr>
        <w:tab/>
      </w:r>
      <w:r>
        <w:rPr>
          <w:rFonts w:hint="eastAsia" w:ascii="宋体" w:hAnsi="宋体" w:eastAsia="宋体" w:cs="宋体"/>
          <w:color w:val="auto"/>
          <w:szCs w:val="24"/>
          <w:highlight w:val="none"/>
        </w:rPr>
        <w:fldChar w:fldCharType="end"/>
      </w:r>
      <w:r>
        <w:rPr>
          <w:rFonts w:hint="eastAsia" w:ascii="宋体" w:hAnsi="宋体" w:eastAsia="宋体" w:cs="宋体"/>
          <w:color w:val="auto"/>
          <w:highlight w:val="none"/>
          <w:lang w:val="en-US" w:eastAsia="zh-CN"/>
        </w:rPr>
        <w:t>6</w:t>
      </w:r>
    </w:p>
    <w:p w14:paraId="2BA4E291">
      <w:pPr>
        <w:pStyle w:val="33"/>
        <w:tabs>
          <w:tab w:val="right" w:leader="dot" w:pos="8820"/>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_Toc20292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kern w:val="0"/>
          <w:szCs w:val="24"/>
          <w:highlight w:val="none"/>
          <w:lang w:val="en-US" w:eastAsia="zh-CN"/>
        </w:rPr>
        <w:t>六</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乙方职责</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_Toc20292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6490EB7B">
      <w:pPr>
        <w:pStyle w:val="33"/>
        <w:tabs>
          <w:tab w:val="right" w:leader="dot" w:pos="8820"/>
          <w:tab w:val="clear" w:pos="9060"/>
        </w:tabs>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_Toc15749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kern w:val="0"/>
          <w:szCs w:val="24"/>
          <w:highlight w:val="none"/>
          <w:lang w:val="en-US" w:eastAsia="zh-CN"/>
        </w:rPr>
        <w:t>七</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服务</w:t>
      </w:r>
      <w:r>
        <w:rPr>
          <w:rFonts w:hint="eastAsia" w:ascii="宋体" w:hAnsi="宋体" w:eastAsia="宋体" w:cs="宋体"/>
          <w:color w:val="auto"/>
          <w:kern w:val="0"/>
          <w:szCs w:val="24"/>
          <w:highlight w:val="none"/>
          <w:lang w:val="en-US" w:eastAsia="zh-CN"/>
        </w:rPr>
        <w:t>费用</w:t>
      </w:r>
      <w:r>
        <w:rPr>
          <w:rFonts w:hint="eastAsia" w:ascii="宋体" w:hAnsi="宋体" w:eastAsia="宋体" w:cs="宋体"/>
          <w:color w:val="auto"/>
          <w:kern w:val="0"/>
          <w:szCs w:val="24"/>
          <w:highlight w:val="none"/>
        </w:rPr>
        <w:t>及支付方式</w:t>
      </w:r>
      <w:r>
        <w:rPr>
          <w:rFonts w:hint="eastAsia" w:ascii="宋体" w:hAnsi="宋体" w:eastAsia="宋体" w:cs="宋体"/>
          <w:color w:val="auto"/>
          <w:highlight w:val="none"/>
        </w:rPr>
        <w:tab/>
      </w:r>
      <w:r>
        <w:rPr>
          <w:rFonts w:hint="eastAsia" w:ascii="宋体" w:hAnsi="宋体" w:eastAsia="宋体" w:cs="宋体"/>
          <w:color w:val="auto"/>
          <w:szCs w:val="24"/>
          <w:highlight w:val="none"/>
        </w:rPr>
        <w:fldChar w:fldCharType="end"/>
      </w:r>
      <w:r>
        <w:rPr>
          <w:rFonts w:hint="eastAsia" w:ascii="宋体" w:hAnsi="宋体" w:eastAsia="宋体" w:cs="宋体"/>
          <w:color w:val="auto"/>
          <w:highlight w:val="none"/>
          <w:lang w:val="en-US" w:eastAsia="zh-CN"/>
        </w:rPr>
        <w:t>8</w:t>
      </w:r>
    </w:p>
    <w:p w14:paraId="31F8CB77">
      <w:pPr>
        <w:pStyle w:val="33"/>
        <w:tabs>
          <w:tab w:val="right" w:leader="dot" w:pos="8820"/>
          <w:tab w:val="clear" w:pos="9060"/>
        </w:tabs>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_Toc7296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kern w:val="0"/>
          <w:szCs w:val="24"/>
          <w:highlight w:val="none"/>
        </w:rPr>
        <w:t>八</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检测、监测规范及标准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_Toc7296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0913E017">
      <w:pPr>
        <w:pStyle w:val="33"/>
        <w:tabs>
          <w:tab w:val="right" w:leader="dot" w:pos="8820"/>
          <w:tab w:val="clear" w:pos="9060"/>
        </w:tabs>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_Toc3210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kern w:val="0"/>
          <w:szCs w:val="24"/>
          <w:highlight w:val="none"/>
        </w:rPr>
        <w:t>九</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验收标准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_Toc3210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09C2CAE3">
      <w:pPr>
        <w:pStyle w:val="33"/>
        <w:tabs>
          <w:tab w:val="right" w:leader="dot" w:pos="8820"/>
          <w:tab w:val="clear" w:pos="9060"/>
        </w:tabs>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_Toc14062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kern w:val="0"/>
          <w:szCs w:val="24"/>
          <w:highlight w:val="none"/>
          <w:lang w:val="en-US" w:eastAsia="zh-CN"/>
        </w:rPr>
        <w:t>十</w:t>
      </w:r>
      <w:r>
        <w:rPr>
          <w:rFonts w:hint="eastAsia" w:ascii="宋体" w:hAnsi="宋体" w:eastAsia="宋体" w:cs="宋体"/>
          <w:bCs/>
          <w:color w:val="auto"/>
          <w:kern w:val="0"/>
          <w:szCs w:val="24"/>
          <w:highlight w:val="none"/>
          <w:lang w:val="zh-CN"/>
        </w:rPr>
        <w:t>、履约</w:t>
      </w:r>
      <w:r>
        <w:rPr>
          <w:rFonts w:hint="eastAsia" w:ascii="宋体" w:hAnsi="宋体" w:eastAsia="宋体" w:cs="宋体"/>
          <w:color w:val="auto"/>
          <w:kern w:val="0"/>
          <w:szCs w:val="24"/>
          <w:highlight w:val="none"/>
          <w:lang w:val="zh-CN"/>
        </w:rPr>
        <w:t>担保</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_Toc14062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671E1DB7">
      <w:pPr>
        <w:pStyle w:val="33"/>
        <w:tabs>
          <w:tab w:val="right" w:leader="dot" w:pos="8820"/>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_Toc9194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kern w:val="0"/>
          <w:szCs w:val="24"/>
          <w:highlight w:val="none"/>
        </w:rPr>
        <w:t>十一</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违约责任</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_Toc9194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5C2C9862">
      <w:pPr>
        <w:pStyle w:val="33"/>
        <w:tabs>
          <w:tab w:val="right" w:leader="dot" w:pos="8820"/>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_Toc17778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kern w:val="0"/>
          <w:szCs w:val="24"/>
          <w:highlight w:val="none"/>
        </w:rPr>
        <w:t>十二、组成本合同的文件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_Toc17778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3DD58676">
      <w:pPr>
        <w:pStyle w:val="33"/>
        <w:tabs>
          <w:tab w:val="right" w:leader="dot" w:pos="8820"/>
          <w:tab w:val="clear" w:pos="9060"/>
        </w:tabs>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_Toc24723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kern w:val="0"/>
          <w:szCs w:val="24"/>
          <w:highlight w:val="none"/>
        </w:rPr>
        <w:t>十</w:t>
      </w:r>
      <w:r>
        <w:rPr>
          <w:rFonts w:hint="eastAsia" w:ascii="宋体" w:hAnsi="宋体" w:eastAsia="宋体" w:cs="宋体"/>
          <w:color w:val="auto"/>
          <w:kern w:val="0"/>
          <w:szCs w:val="24"/>
          <w:highlight w:val="none"/>
          <w:lang w:val="en-US" w:eastAsia="zh-CN"/>
        </w:rPr>
        <w:t>三</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知识产权</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_Toc24723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64660384">
      <w:pPr>
        <w:pStyle w:val="33"/>
        <w:tabs>
          <w:tab w:val="right" w:leader="dot" w:pos="8820"/>
          <w:tab w:val="clear" w:pos="9060"/>
        </w:tabs>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_Toc9330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kern w:val="0"/>
          <w:szCs w:val="24"/>
          <w:highlight w:val="none"/>
        </w:rPr>
        <w:t>十</w:t>
      </w:r>
      <w:r>
        <w:rPr>
          <w:rFonts w:hint="eastAsia" w:ascii="宋体" w:hAnsi="宋体" w:eastAsia="宋体" w:cs="宋体"/>
          <w:color w:val="auto"/>
          <w:kern w:val="0"/>
          <w:szCs w:val="24"/>
          <w:highlight w:val="none"/>
          <w:lang w:val="en-US" w:eastAsia="zh-CN"/>
        </w:rPr>
        <w:t>四</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联系人及通知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_Toc9330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2AD4C614">
      <w:pPr>
        <w:pStyle w:val="33"/>
        <w:tabs>
          <w:tab w:val="right" w:leader="dot" w:pos="8820"/>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_Toc7106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kern w:val="0"/>
          <w:szCs w:val="24"/>
          <w:highlight w:val="none"/>
        </w:rPr>
        <w:t>十</w:t>
      </w:r>
      <w:r>
        <w:rPr>
          <w:rFonts w:hint="eastAsia" w:ascii="宋体" w:hAnsi="宋体" w:eastAsia="宋体" w:cs="宋体"/>
          <w:snapToGrid w:val="0"/>
          <w:color w:val="auto"/>
          <w:kern w:val="0"/>
          <w:szCs w:val="24"/>
          <w:highlight w:val="none"/>
          <w:lang w:val="en-US" w:eastAsia="zh-CN"/>
        </w:rPr>
        <w:t>五</w:t>
      </w:r>
      <w:r>
        <w:rPr>
          <w:rFonts w:hint="eastAsia" w:ascii="宋体" w:hAnsi="宋体" w:eastAsia="宋体" w:cs="宋体"/>
          <w:snapToGrid w:val="0"/>
          <w:color w:val="auto"/>
          <w:kern w:val="0"/>
          <w:szCs w:val="24"/>
          <w:highlight w:val="none"/>
        </w:rPr>
        <w:t>、争议解决</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_Toc7106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43D04F63">
      <w:pPr>
        <w:pStyle w:val="33"/>
        <w:tabs>
          <w:tab w:val="right" w:leader="dot" w:pos="8820"/>
          <w:tab w:val="clear" w:pos="9060"/>
        </w:tabs>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_Toc9466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kern w:val="0"/>
          <w:szCs w:val="24"/>
          <w:highlight w:val="none"/>
        </w:rPr>
        <w:t>十</w:t>
      </w:r>
      <w:r>
        <w:rPr>
          <w:rFonts w:hint="eastAsia" w:ascii="宋体" w:hAnsi="宋体" w:eastAsia="宋体" w:cs="宋体"/>
          <w:snapToGrid w:val="0"/>
          <w:color w:val="auto"/>
          <w:kern w:val="0"/>
          <w:szCs w:val="24"/>
          <w:highlight w:val="none"/>
          <w:lang w:val="en-US" w:eastAsia="zh-CN"/>
        </w:rPr>
        <w:t>六</w:t>
      </w:r>
      <w:r>
        <w:rPr>
          <w:rFonts w:hint="eastAsia" w:ascii="宋体" w:hAnsi="宋体" w:eastAsia="宋体" w:cs="宋体"/>
          <w:snapToGrid w:val="0"/>
          <w:color w:val="auto"/>
          <w:kern w:val="0"/>
          <w:szCs w:val="24"/>
          <w:highlight w:val="none"/>
        </w:rPr>
        <w:t>、</w:t>
      </w:r>
      <w:r>
        <w:rPr>
          <w:rFonts w:hint="eastAsia" w:ascii="宋体" w:hAnsi="宋体" w:eastAsia="宋体" w:cs="宋体"/>
          <w:bCs/>
          <w:color w:val="auto"/>
          <w:kern w:val="0"/>
          <w:szCs w:val="24"/>
          <w:highlight w:val="none"/>
        </w:rPr>
        <w:t>不可抗力</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_Toc9466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7AAD4630">
      <w:pPr>
        <w:pStyle w:val="33"/>
        <w:tabs>
          <w:tab w:val="right" w:leader="dot" w:pos="8820"/>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_Toc21514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kern w:val="0"/>
          <w:szCs w:val="24"/>
          <w:highlight w:val="none"/>
        </w:rPr>
        <w:t>十</w:t>
      </w:r>
      <w:r>
        <w:rPr>
          <w:rFonts w:hint="eastAsia" w:ascii="宋体" w:hAnsi="宋体" w:eastAsia="宋体" w:cs="宋体"/>
          <w:color w:val="auto"/>
          <w:kern w:val="0"/>
          <w:szCs w:val="24"/>
          <w:highlight w:val="none"/>
          <w:lang w:val="en-US" w:eastAsia="zh-CN"/>
        </w:rPr>
        <w:t>七</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合同生效</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_Toc21514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51C4693C">
      <w:pPr>
        <w:pStyle w:val="33"/>
        <w:tabs>
          <w:tab w:val="right" w:leader="dot" w:pos="8820"/>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_Toc24100 </w:instrText>
      </w:r>
      <w:r>
        <w:rPr>
          <w:rFonts w:hint="eastAsia" w:ascii="宋体" w:hAnsi="宋体" w:eastAsia="宋体" w:cs="宋体"/>
          <w:color w:val="auto"/>
          <w:szCs w:val="24"/>
          <w:highlight w:val="none"/>
        </w:rPr>
        <w:fldChar w:fldCharType="separate"/>
      </w:r>
      <w:r>
        <w:rPr>
          <w:rFonts w:hint="eastAsia" w:ascii="宋体" w:hAnsi="宋体" w:eastAsia="宋体" w:cs="宋体"/>
          <w:bCs/>
          <w:snapToGrid w:val="0"/>
          <w:color w:val="auto"/>
          <w:kern w:val="0"/>
          <w:szCs w:val="24"/>
          <w:highlight w:val="none"/>
          <w:lang w:val="en-US" w:eastAsia="zh-CN"/>
        </w:rPr>
        <w:t>十八</w:t>
      </w:r>
      <w:r>
        <w:rPr>
          <w:rFonts w:hint="eastAsia" w:ascii="宋体" w:hAnsi="宋体" w:eastAsia="宋体" w:cs="宋体"/>
          <w:bCs/>
          <w:snapToGrid w:val="0"/>
          <w:color w:val="auto"/>
          <w:kern w:val="0"/>
          <w:szCs w:val="24"/>
          <w:highlight w:val="none"/>
          <w:lang w:eastAsia="zh-CN"/>
        </w:rPr>
        <w:t>、</w:t>
      </w:r>
      <w:r>
        <w:rPr>
          <w:rFonts w:hint="eastAsia" w:ascii="宋体" w:hAnsi="宋体" w:eastAsia="宋体" w:cs="宋体"/>
          <w:bCs/>
          <w:snapToGrid w:val="0"/>
          <w:color w:val="auto"/>
          <w:kern w:val="0"/>
          <w:szCs w:val="24"/>
          <w:highlight w:val="none"/>
        </w:rPr>
        <w:t>合同份数</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_Toc24100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607F2422">
      <w:pPr>
        <w:pStyle w:val="33"/>
        <w:tabs>
          <w:tab w:val="right" w:leader="dot" w:pos="8820"/>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_Toc21413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kern w:val="0"/>
          <w:szCs w:val="24"/>
          <w:highlight w:val="none"/>
        </w:rPr>
        <w:t>合同附件：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_Toc21413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0A908365">
      <w:pPr>
        <w:pStyle w:val="33"/>
        <w:tabs>
          <w:tab w:val="right" w:leader="dot" w:pos="8820"/>
          <w:tab w:val="clear" w:pos="9060"/>
        </w:tabs>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_Toc27298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：廉政合同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_Toc27298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1BF3B740">
      <w:pPr>
        <w:pStyle w:val="33"/>
        <w:tabs>
          <w:tab w:val="right" w:leader="dot" w:pos="8820"/>
          <w:tab w:val="clear" w:pos="9060"/>
        </w:tabs>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_Toc26202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附件</w:t>
      </w:r>
      <w:r>
        <w:rPr>
          <w:rFonts w:hint="eastAsia" w:ascii="宋体" w:hAnsi="宋体" w:eastAsia="宋体" w:cs="宋体"/>
          <w:bCs/>
          <w:color w:val="auto"/>
          <w:szCs w:val="24"/>
          <w:highlight w:val="none"/>
          <w:lang w:val="en-US" w:eastAsia="zh-CN"/>
        </w:rPr>
        <w:t>2：保密协议</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_Toc26202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755DF4C8">
      <w:pPr>
        <w:pStyle w:val="33"/>
        <w:tabs>
          <w:tab w:val="right" w:leader="dot" w:pos="8820"/>
          <w:tab w:val="clear" w:pos="9060"/>
        </w:tabs>
        <w:rPr>
          <w:rFonts w:hint="eastAsia" w:ascii="宋体" w:hAnsi="宋体" w:eastAsia="宋体" w:cs="宋体"/>
          <w:color w:val="auto"/>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_Toc31635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lang w:eastAsia="zh-CN"/>
        </w:rPr>
        <w:t>附件</w:t>
      </w:r>
      <w:r>
        <w:rPr>
          <w:rFonts w:hint="eastAsia" w:ascii="宋体" w:hAnsi="宋体" w:eastAsia="宋体" w:cs="宋体"/>
          <w:bCs/>
          <w:color w:val="auto"/>
          <w:szCs w:val="24"/>
          <w:highlight w:val="none"/>
          <w:lang w:val="en-US" w:eastAsia="zh-CN"/>
        </w:rPr>
        <w:t>3：中标通知书（复印件）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_Toc31635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38AB2C43">
      <w:pPr>
        <w:pStyle w:val="33"/>
        <w:tabs>
          <w:tab w:val="right" w:leader="dot" w:pos="8820"/>
          <w:tab w:val="clear" w:pos="9060"/>
        </w:tabs>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_Toc888 </w:instrText>
      </w:r>
      <w:r>
        <w:rPr>
          <w:rFonts w:hint="eastAsia" w:ascii="宋体" w:hAnsi="宋体" w:eastAsia="宋体" w:cs="宋体"/>
          <w:color w:val="auto"/>
          <w:szCs w:val="24"/>
          <w:highlight w:val="none"/>
        </w:rPr>
        <w:fldChar w:fldCharType="separate"/>
      </w:r>
      <w:r>
        <w:rPr>
          <w:rFonts w:hint="eastAsia" w:ascii="宋体" w:hAnsi="宋体" w:eastAsia="宋体" w:cs="宋体"/>
          <w:bCs w:val="0"/>
          <w:snapToGrid w:val="0"/>
          <w:color w:val="auto"/>
          <w:szCs w:val="24"/>
          <w:highlight w:val="none"/>
          <w:lang w:eastAsia="zh-CN"/>
        </w:rPr>
        <w:t>附件</w:t>
      </w:r>
      <w:r>
        <w:rPr>
          <w:rFonts w:hint="eastAsia" w:ascii="宋体" w:hAnsi="宋体" w:eastAsia="宋体" w:cs="宋体"/>
          <w:bCs w:val="0"/>
          <w:snapToGrid w:val="0"/>
          <w:color w:val="auto"/>
          <w:szCs w:val="24"/>
          <w:highlight w:val="none"/>
          <w:lang w:val="en-US" w:eastAsia="zh-CN"/>
        </w:rPr>
        <w:t>4：履约担保及承诺书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_Toc888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14768C3E">
      <w:pPr>
        <w:pStyle w:val="33"/>
        <w:tabs>
          <w:tab w:val="right" w:leader="dot" w:pos="8820"/>
          <w:tab w:val="clear" w:pos="9060"/>
        </w:tabs>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_Toc13070 </w:instrText>
      </w:r>
      <w:r>
        <w:rPr>
          <w:rFonts w:hint="eastAsia" w:ascii="宋体" w:hAnsi="宋体" w:eastAsia="宋体" w:cs="宋体"/>
          <w:color w:val="auto"/>
          <w:szCs w:val="24"/>
          <w:highlight w:val="none"/>
        </w:rPr>
        <w:fldChar w:fldCharType="separate"/>
      </w:r>
      <w:r>
        <w:rPr>
          <w:rFonts w:hint="eastAsia" w:ascii="宋体" w:hAnsi="宋体" w:eastAsia="宋体" w:cs="宋体"/>
          <w:bCs w:val="0"/>
          <w:snapToGrid w:val="0"/>
          <w:color w:val="auto"/>
          <w:szCs w:val="24"/>
          <w:highlight w:val="none"/>
          <w:lang w:val="en-US" w:eastAsia="zh-CN"/>
        </w:rPr>
        <w:t>附件</w:t>
      </w:r>
      <w:r>
        <w:rPr>
          <w:rFonts w:hint="eastAsia" w:ascii="宋体" w:hAnsi="宋体" w:eastAsia="宋体" w:cs="宋体"/>
          <w:bCs w:val="0"/>
          <w:color w:val="auto"/>
          <w:szCs w:val="24"/>
          <w:highlight w:val="none"/>
          <w:lang w:val="en-US" w:eastAsia="zh-CN"/>
        </w:rPr>
        <w:t>5：拟投入本项目人员一览表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_Toc13070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27</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2ABEE46B">
      <w:pPr>
        <w:pStyle w:val="33"/>
        <w:tabs>
          <w:tab w:val="right" w:leader="dot" w:pos="8820"/>
          <w:tab w:val="clear" w:pos="9060"/>
        </w:tabs>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_Toc13488 </w:instrText>
      </w:r>
      <w:r>
        <w:rPr>
          <w:rFonts w:hint="eastAsia" w:ascii="宋体" w:hAnsi="宋体" w:eastAsia="宋体" w:cs="宋体"/>
          <w:color w:val="auto"/>
          <w:szCs w:val="24"/>
          <w:highlight w:val="none"/>
        </w:rPr>
        <w:fldChar w:fldCharType="separate"/>
      </w:r>
      <w:r>
        <w:rPr>
          <w:rFonts w:hint="eastAsia" w:ascii="宋体" w:hAnsi="宋体" w:eastAsia="宋体" w:cs="宋体"/>
          <w:bCs w:val="0"/>
          <w:snapToGrid w:val="0"/>
          <w:color w:val="auto"/>
          <w:szCs w:val="24"/>
          <w:highlight w:val="none"/>
          <w:lang w:val="en-US" w:eastAsia="zh-CN"/>
        </w:rPr>
        <w:t>附件6：工程量清单报价表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_Toc13488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552DF3F0">
      <w:pPr>
        <w:pStyle w:val="33"/>
        <w:tabs>
          <w:tab w:val="right" w:leader="dot" w:pos="8820"/>
          <w:tab w:val="clear" w:pos="9060"/>
        </w:tabs>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_Toc3084 </w:instrText>
      </w:r>
      <w:r>
        <w:rPr>
          <w:rFonts w:hint="eastAsia" w:ascii="宋体" w:hAnsi="宋体" w:eastAsia="宋体" w:cs="宋体"/>
          <w:color w:val="auto"/>
          <w:szCs w:val="24"/>
          <w:highlight w:val="none"/>
        </w:rPr>
        <w:fldChar w:fldCharType="separate"/>
      </w:r>
      <w:r>
        <w:rPr>
          <w:rFonts w:hint="eastAsia" w:ascii="宋体" w:hAnsi="宋体" w:eastAsia="宋体" w:cs="宋体"/>
          <w:bCs w:val="0"/>
          <w:snapToGrid w:val="0"/>
          <w:color w:val="auto"/>
          <w:szCs w:val="24"/>
          <w:highlight w:val="none"/>
          <w:lang w:val="en-US" w:eastAsia="zh-CN"/>
        </w:rPr>
        <w:t>附件7：乙方营业执照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14:paraId="12DD61CE">
      <w:pPr>
        <w:pStyle w:val="33"/>
        <w:tabs>
          <w:tab w:val="right" w:leader="dot" w:pos="8820"/>
          <w:tab w:val="clear" w:pos="9060"/>
        </w:tabs>
        <w:rPr>
          <w:rFonts w:hint="default" w:ascii="宋体" w:hAnsi="宋体" w:eastAsia="宋体" w:cs="宋体"/>
          <w:color w:val="auto"/>
          <w:highlight w:val="none"/>
          <w:lang w:val="en-US" w:eastAsia="zh-CN"/>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_Toc2273 </w:instrText>
      </w:r>
      <w:r>
        <w:rPr>
          <w:rFonts w:hint="eastAsia" w:ascii="宋体" w:hAnsi="宋体" w:eastAsia="宋体" w:cs="宋体"/>
          <w:color w:val="auto"/>
          <w:szCs w:val="24"/>
          <w:highlight w:val="none"/>
        </w:rPr>
        <w:fldChar w:fldCharType="separate"/>
      </w:r>
      <w:r>
        <w:rPr>
          <w:rFonts w:hint="eastAsia" w:ascii="宋体" w:hAnsi="宋体" w:eastAsia="宋体" w:cs="宋体"/>
          <w:bCs w:val="0"/>
          <w:snapToGrid w:val="0"/>
          <w:color w:val="auto"/>
          <w:szCs w:val="24"/>
          <w:highlight w:val="none"/>
          <w:lang w:val="en-US" w:eastAsia="zh-CN"/>
        </w:rPr>
        <w:t>附件8：联合体协议书（如有、复印件）</w:t>
      </w:r>
      <w:r>
        <w:rPr>
          <w:rFonts w:hint="eastAsia" w:ascii="宋体" w:hAnsi="宋体" w:eastAsia="宋体" w:cs="宋体"/>
          <w:color w:val="auto"/>
          <w:highlight w:val="none"/>
        </w:rPr>
        <w:tab/>
      </w:r>
      <w:r>
        <w:rPr>
          <w:rFonts w:hint="eastAsia" w:ascii="宋体" w:hAnsi="宋体" w:eastAsia="宋体" w:cs="宋体"/>
          <w:color w:val="auto"/>
          <w:szCs w:val="24"/>
          <w:highlight w:val="none"/>
        </w:rPr>
        <w:fldChar w:fldCharType="end"/>
      </w:r>
      <w:r>
        <w:rPr>
          <w:rFonts w:hint="eastAsia" w:ascii="宋体" w:hAnsi="宋体" w:eastAsia="宋体" w:cs="宋体"/>
          <w:color w:val="auto"/>
          <w:highlight w:val="none"/>
          <w:lang w:val="en-US" w:eastAsia="zh-CN"/>
        </w:rPr>
        <w:t>30</w:t>
      </w:r>
    </w:p>
    <w:p w14:paraId="3593538F">
      <w:pPr>
        <w:spacing w:line="360" w:lineRule="auto"/>
        <w:rPr>
          <w:rFonts w:hint="eastAsia" w:ascii="宋体" w:hAnsi="宋体" w:eastAsia="宋体" w:cs="宋体"/>
          <w:color w:val="auto"/>
          <w:highlight w:val="none"/>
        </w:rPr>
        <w:sectPr>
          <w:footerReference r:id="rId7" w:type="first"/>
          <w:headerReference r:id="rId5" w:type="default"/>
          <w:footerReference r:id="rId6" w:type="default"/>
          <w:pgSz w:w="11906" w:h="16838"/>
          <w:pgMar w:top="1417" w:right="1474" w:bottom="1417" w:left="1474" w:header="851" w:footer="992" w:gutter="0"/>
          <w:pgNumType w:fmt="decimal" w:start="1"/>
          <w:cols w:space="720" w:num="1"/>
          <w:rtlGutter w:val="0"/>
          <w:docGrid w:type="lines" w:linePitch="312" w:charSpace="0"/>
        </w:sectPr>
      </w:pPr>
      <w:r>
        <w:rPr>
          <w:rFonts w:hint="eastAsia" w:ascii="宋体" w:hAnsi="宋体" w:eastAsia="宋体" w:cs="宋体"/>
          <w:color w:val="auto"/>
          <w:szCs w:val="24"/>
          <w:highlight w:val="none"/>
        </w:rPr>
        <w:fldChar w:fldCharType="end"/>
      </w:r>
    </w:p>
    <w:p w14:paraId="03F5E3C8">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snapToGrid/>
          <w:color w:val="auto"/>
          <w:kern w:val="0"/>
          <w:sz w:val="24"/>
          <w:szCs w:val="24"/>
          <w:highlight w:val="none"/>
          <w:u w:val="single"/>
        </w:rPr>
      </w:pPr>
      <w:r>
        <w:rPr>
          <w:rFonts w:hint="eastAsia" w:ascii="宋体" w:hAnsi="宋体" w:eastAsia="宋体" w:cs="宋体"/>
          <w:snapToGrid/>
          <w:color w:val="auto"/>
          <w:kern w:val="0"/>
          <w:sz w:val="24"/>
          <w:szCs w:val="24"/>
          <w:highlight w:val="none"/>
          <w:u w:val="single"/>
          <w:lang w:eastAsia="zh-CN"/>
        </w:rPr>
        <w:t>广州优居运营管理有限公司</w:t>
      </w:r>
      <w:r>
        <w:rPr>
          <w:rFonts w:hint="eastAsia" w:ascii="宋体" w:hAnsi="宋体" w:eastAsia="宋体" w:cs="宋体"/>
          <w:snapToGrid/>
          <w:color w:val="auto"/>
          <w:kern w:val="0"/>
          <w:sz w:val="24"/>
          <w:szCs w:val="24"/>
          <w:highlight w:val="none"/>
          <w:u w:val="none"/>
          <w:lang w:eastAsia="zh-CN"/>
        </w:rPr>
        <w:t>（以下简称甲方）与</w:t>
      </w:r>
      <w:r>
        <w:rPr>
          <w:rFonts w:hint="eastAsia" w:ascii="宋体" w:hAnsi="宋体" w:eastAsia="宋体" w:cs="宋体"/>
          <w:snapToGrid/>
          <w:color w:val="auto"/>
          <w:kern w:val="0"/>
          <w:sz w:val="24"/>
          <w:szCs w:val="24"/>
          <w:highlight w:val="none"/>
          <w:u w:val="single"/>
          <w:lang w:eastAsia="zh-CN"/>
        </w:rPr>
        <w:t xml:space="preserve">          </w:t>
      </w:r>
      <w:r>
        <w:rPr>
          <w:rFonts w:hint="eastAsia" w:ascii="宋体" w:hAnsi="宋体" w:eastAsia="宋体" w:cs="宋体"/>
          <w:snapToGrid/>
          <w:color w:val="auto"/>
          <w:kern w:val="0"/>
          <w:sz w:val="24"/>
          <w:szCs w:val="24"/>
          <w:highlight w:val="none"/>
          <w:u w:val="none"/>
          <w:lang w:eastAsia="zh-CN"/>
        </w:rPr>
        <w:t>（以下简称乙方）依照《中华人民共和国民法典》《中华人民共和国建筑法》及其他有关法律、行政法规、部门规章、地方性法规和规章，以及国家和广东省、广州市人民政府及有关主管部门关于</w:t>
      </w:r>
      <w:r>
        <w:rPr>
          <w:rFonts w:hint="eastAsia" w:ascii="宋体" w:hAnsi="宋体" w:eastAsia="宋体" w:cs="宋体"/>
          <w:snapToGrid/>
          <w:color w:val="auto"/>
          <w:kern w:val="0"/>
          <w:sz w:val="24"/>
          <w:szCs w:val="24"/>
          <w:highlight w:val="none"/>
          <w:u w:val="single"/>
          <w:lang w:eastAsia="zh-CN"/>
        </w:rPr>
        <w:t>广州市海珠区得胜岗片区更新改造</w:t>
      </w:r>
      <w:r>
        <w:rPr>
          <w:rFonts w:hint="eastAsia" w:ascii="宋体" w:hAnsi="宋体" w:eastAsia="宋体" w:cs="宋体"/>
          <w:snapToGrid/>
          <w:color w:val="auto"/>
          <w:kern w:val="0"/>
          <w:sz w:val="24"/>
          <w:szCs w:val="24"/>
          <w:highlight w:val="none"/>
          <w:u w:val="none"/>
          <w:lang w:eastAsia="zh-CN"/>
        </w:rPr>
        <w:t>项目（以下称本项目）的有关文件，遵循平等、自愿、公平和诚实信用的原则，双方就本项目</w:t>
      </w:r>
      <w:r>
        <w:rPr>
          <w:rFonts w:hint="eastAsia" w:ascii="宋体" w:hAnsi="宋体" w:eastAsia="宋体" w:cs="宋体"/>
          <w:snapToGrid/>
          <w:color w:val="auto"/>
          <w:kern w:val="0"/>
          <w:sz w:val="24"/>
          <w:szCs w:val="24"/>
          <w:highlight w:val="none"/>
          <w:u w:val="single"/>
          <w:lang w:val="en-US" w:eastAsia="zh-CN"/>
        </w:rPr>
        <w:t>第三方检测</w:t>
      </w:r>
      <w:r>
        <w:rPr>
          <w:rFonts w:hint="eastAsia" w:ascii="宋体" w:hAnsi="宋体" w:cs="宋体"/>
          <w:snapToGrid/>
          <w:color w:val="auto"/>
          <w:kern w:val="0"/>
          <w:sz w:val="24"/>
          <w:szCs w:val="24"/>
          <w:highlight w:val="none"/>
          <w:u w:val="single"/>
          <w:lang w:val="en-US" w:eastAsia="zh-CN"/>
        </w:rPr>
        <w:t>及</w:t>
      </w:r>
      <w:r>
        <w:rPr>
          <w:rFonts w:hint="eastAsia" w:ascii="宋体" w:hAnsi="宋体" w:eastAsia="宋体" w:cs="宋体"/>
          <w:snapToGrid/>
          <w:color w:val="auto"/>
          <w:kern w:val="0"/>
          <w:sz w:val="24"/>
          <w:szCs w:val="24"/>
          <w:highlight w:val="none"/>
          <w:u w:val="single"/>
          <w:lang w:val="en-US" w:eastAsia="zh-CN"/>
        </w:rPr>
        <w:t>监测技术</w:t>
      </w:r>
      <w:r>
        <w:rPr>
          <w:rFonts w:hint="eastAsia" w:ascii="宋体" w:hAnsi="宋体" w:eastAsia="宋体" w:cs="宋体"/>
          <w:snapToGrid/>
          <w:color w:val="auto"/>
          <w:kern w:val="0"/>
          <w:sz w:val="24"/>
          <w:szCs w:val="24"/>
          <w:highlight w:val="none"/>
          <w:u w:val="single"/>
          <w:lang w:eastAsia="zh-CN"/>
        </w:rPr>
        <w:t>服务</w:t>
      </w:r>
      <w:r>
        <w:rPr>
          <w:rFonts w:hint="eastAsia" w:ascii="宋体" w:hAnsi="宋体" w:eastAsia="宋体" w:cs="宋体"/>
          <w:snapToGrid/>
          <w:color w:val="auto"/>
          <w:kern w:val="0"/>
          <w:sz w:val="24"/>
          <w:szCs w:val="24"/>
          <w:highlight w:val="none"/>
          <w:u w:val="single"/>
          <w:lang w:val="en-US" w:eastAsia="zh-CN"/>
        </w:rPr>
        <w:t xml:space="preserve"> </w:t>
      </w:r>
      <w:r>
        <w:rPr>
          <w:rFonts w:hint="eastAsia" w:ascii="宋体" w:hAnsi="宋体" w:eastAsia="宋体" w:cs="宋体"/>
          <w:snapToGrid/>
          <w:color w:val="auto"/>
          <w:kern w:val="0"/>
          <w:sz w:val="24"/>
          <w:szCs w:val="24"/>
          <w:highlight w:val="none"/>
          <w:u w:val="none"/>
          <w:lang w:eastAsia="zh-CN"/>
        </w:rPr>
        <w:t>事项协商一致，订立本合同</w:t>
      </w:r>
      <w:r>
        <w:rPr>
          <w:rFonts w:hint="eastAsia" w:ascii="宋体" w:hAnsi="宋体" w:eastAsia="宋体" w:cs="宋体"/>
          <w:snapToGrid/>
          <w:color w:val="auto"/>
          <w:kern w:val="0"/>
          <w:sz w:val="24"/>
          <w:szCs w:val="24"/>
          <w:highlight w:val="none"/>
          <w:u w:val="none"/>
        </w:rPr>
        <w:t>。</w:t>
      </w:r>
    </w:p>
    <w:p w14:paraId="0B35C9D9">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outlineLvl w:val="0"/>
        <w:rPr>
          <w:rFonts w:hint="eastAsia" w:ascii="宋体" w:hAnsi="宋体" w:eastAsia="宋体" w:cs="宋体"/>
          <w:snapToGrid w:val="0"/>
          <w:color w:val="auto"/>
          <w:kern w:val="0"/>
          <w:sz w:val="24"/>
          <w:szCs w:val="24"/>
          <w:highlight w:val="none"/>
        </w:rPr>
      </w:pPr>
      <w:bookmarkStart w:id="0" w:name="_Toc6434"/>
      <w:bookmarkStart w:id="1" w:name="_Toc9504"/>
      <w:bookmarkStart w:id="2" w:name="_Toc11400"/>
      <w:bookmarkStart w:id="3" w:name="_Toc18894"/>
      <w:bookmarkStart w:id="4" w:name="_Toc5133"/>
      <w:bookmarkStart w:id="5" w:name="_Toc21691"/>
      <w:r>
        <w:rPr>
          <w:rFonts w:hint="eastAsia" w:ascii="宋体" w:hAnsi="宋体" w:eastAsia="宋体" w:cs="宋体"/>
          <w:b/>
          <w:snapToGrid w:val="0"/>
          <w:color w:val="auto"/>
          <w:kern w:val="0"/>
          <w:sz w:val="24"/>
          <w:szCs w:val="24"/>
          <w:highlight w:val="none"/>
        </w:rPr>
        <w:t>一、项目</w:t>
      </w:r>
      <w:r>
        <w:rPr>
          <w:rFonts w:hint="eastAsia" w:ascii="宋体" w:hAnsi="宋体" w:eastAsia="宋体" w:cs="宋体"/>
          <w:b/>
          <w:bCs/>
          <w:snapToGrid w:val="0"/>
          <w:color w:val="auto"/>
          <w:kern w:val="0"/>
          <w:sz w:val="24"/>
          <w:szCs w:val="24"/>
          <w:highlight w:val="none"/>
        </w:rPr>
        <w:t>名称：</w:t>
      </w:r>
      <w:r>
        <w:rPr>
          <w:rFonts w:hint="eastAsia" w:ascii="宋体" w:hAnsi="宋体" w:eastAsia="宋体" w:cs="宋体"/>
          <w:b/>
          <w:bCs/>
          <w:snapToGrid w:val="0"/>
          <w:color w:val="auto"/>
          <w:kern w:val="0"/>
          <w:sz w:val="24"/>
          <w:szCs w:val="24"/>
          <w:highlight w:val="none"/>
          <w:lang w:val="en-US" w:eastAsia="zh-CN"/>
        </w:rPr>
        <w:t xml:space="preserve"> </w:t>
      </w:r>
      <w:r>
        <w:rPr>
          <w:rFonts w:hint="eastAsia" w:ascii="宋体" w:hAnsi="宋体" w:eastAsia="宋体" w:cs="宋体"/>
          <w:b w:val="0"/>
          <w:bCs w:val="0"/>
          <w:snapToGrid w:val="0"/>
          <w:color w:val="auto"/>
          <w:kern w:val="0"/>
          <w:sz w:val="24"/>
          <w:szCs w:val="24"/>
          <w:highlight w:val="none"/>
          <w:u w:val="single"/>
          <w:lang w:val="en-US" w:eastAsia="zh-CN"/>
        </w:rPr>
        <w:t>广州市海珠区得胜岗片区更新改造</w:t>
      </w:r>
      <w:r>
        <w:rPr>
          <w:rFonts w:hint="eastAsia" w:ascii="宋体" w:hAnsi="宋体" w:eastAsia="宋体" w:cs="宋体"/>
          <w:snapToGrid w:val="0"/>
          <w:color w:val="auto"/>
          <w:kern w:val="0"/>
          <w:sz w:val="24"/>
          <w:szCs w:val="24"/>
          <w:highlight w:val="none"/>
          <w:lang w:val="en-US" w:eastAsia="zh-CN"/>
        </w:rPr>
        <w:t>项目第三方检测</w:t>
      </w:r>
      <w:r>
        <w:rPr>
          <w:rFonts w:hint="eastAsia" w:ascii="宋体" w:hAnsi="宋体" w:cs="宋体"/>
          <w:snapToGrid w:val="0"/>
          <w:color w:val="auto"/>
          <w:kern w:val="0"/>
          <w:sz w:val="24"/>
          <w:szCs w:val="24"/>
          <w:highlight w:val="none"/>
          <w:lang w:val="en-US" w:eastAsia="zh-CN"/>
        </w:rPr>
        <w:t>及</w:t>
      </w:r>
      <w:r>
        <w:rPr>
          <w:rFonts w:hint="eastAsia" w:ascii="宋体" w:hAnsi="宋体" w:eastAsia="宋体" w:cs="宋体"/>
          <w:snapToGrid w:val="0"/>
          <w:color w:val="auto"/>
          <w:kern w:val="0"/>
          <w:sz w:val="24"/>
          <w:szCs w:val="24"/>
          <w:highlight w:val="none"/>
          <w:lang w:val="en-US" w:eastAsia="zh-CN"/>
        </w:rPr>
        <w:t>监测技术服务</w:t>
      </w:r>
      <w:r>
        <w:rPr>
          <w:rFonts w:hint="eastAsia" w:ascii="宋体" w:hAnsi="宋体" w:eastAsia="宋体" w:cs="宋体"/>
          <w:snapToGrid w:val="0"/>
          <w:color w:val="auto"/>
          <w:kern w:val="0"/>
          <w:sz w:val="24"/>
          <w:szCs w:val="24"/>
          <w:highlight w:val="none"/>
        </w:rPr>
        <w:t>。</w:t>
      </w:r>
      <w:bookmarkEnd w:id="0"/>
      <w:bookmarkEnd w:id="1"/>
      <w:bookmarkEnd w:id="2"/>
      <w:bookmarkEnd w:id="3"/>
      <w:bookmarkEnd w:id="4"/>
      <w:bookmarkEnd w:id="5"/>
    </w:p>
    <w:p w14:paraId="678DE47A">
      <w:pPr>
        <w:pStyle w:val="44"/>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2" w:firstLineChars="200"/>
        <w:contextualSpacing/>
        <w:jc w:val="both"/>
        <w:textAlignment w:val="auto"/>
        <w:outlineLvl w:val="0"/>
        <w:rPr>
          <w:rFonts w:hint="eastAsia" w:ascii="宋体" w:hAnsi="宋体" w:eastAsia="宋体" w:cs="宋体"/>
          <w:color w:val="auto"/>
          <w:kern w:val="0"/>
          <w:sz w:val="24"/>
          <w:szCs w:val="24"/>
          <w:highlight w:val="none"/>
        </w:rPr>
      </w:pPr>
      <w:bookmarkStart w:id="6" w:name="_Toc11214"/>
      <w:bookmarkStart w:id="7" w:name="_Toc17972"/>
      <w:bookmarkStart w:id="8" w:name="_Toc24101"/>
      <w:bookmarkStart w:id="9" w:name="_Toc17201"/>
      <w:bookmarkStart w:id="10" w:name="_Toc11444"/>
      <w:bookmarkStart w:id="11" w:name="_Toc30490"/>
      <w:r>
        <w:rPr>
          <w:rFonts w:hint="eastAsia" w:ascii="宋体" w:hAnsi="宋体" w:eastAsia="宋体" w:cs="宋体"/>
          <w:b/>
          <w:bCs/>
          <w:snapToGrid w:val="0"/>
          <w:color w:val="auto"/>
          <w:kern w:val="0"/>
          <w:sz w:val="24"/>
          <w:szCs w:val="24"/>
          <w:highlight w:val="none"/>
        </w:rPr>
        <w:t>二、项目</w:t>
      </w:r>
      <w:r>
        <w:rPr>
          <w:rFonts w:hint="eastAsia" w:ascii="宋体" w:hAnsi="宋体" w:eastAsia="宋体" w:cs="宋体"/>
          <w:b/>
          <w:bCs/>
          <w:snapToGrid w:val="0"/>
          <w:color w:val="auto"/>
          <w:kern w:val="0"/>
          <w:sz w:val="24"/>
          <w:szCs w:val="24"/>
          <w:highlight w:val="none"/>
          <w:lang w:eastAsia="zh-CN"/>
        </w:rPr>
        <w:t>地点及项目规模</w:t>
      </w:r>
      <w:bookmarkEnd w:id="6"/>
      <w:bookmarkEnd w:id="7"/>
      <w:bookmarkEnd w:id="8"/>
      <w:bookmarkEnd w:id="9"/>
      <w:bookmarkEnd w:id="10"/>
      <w:bookmarkEnd w:id="11"/>
    </w:p>
    <w:p w14:paraId="3FDDCB47">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（一）项目地点：</w:t>
      </w:r>
      <w:r>
        <w:rPr>
          <w:rFonts w:hint="eastAsia" w:ascii="宋体" w:hAnsi="宋体" w:eastAsia="宋体" w:cs="宋体"/>
          <w:b w:val="0"/>
          <w:bCs/>
          <w:snapToGrid w:val="0"/>
          <w:color w:val="auto"/>
          <w:kern w:val="0"/>
          <w:sz w:val="24"/>
          <w:szCs w:val="24"/>
          <w:highlight w:val="none"/>
          <w:u w:val="single"/>
          <w:lang w:val="en-US" w:eastAsia="zh-CN"/>
        </w:rPr>
        <w:t>广州市海珠区得胜岗片区</w:t>
      </w:r>
      <w:r>
        <w:rPr>
          <w:rFonts w:hint="eastAsia" w:ascii="宋体" w:hAnsi="宋体" w:eastAsia="宋体" w:cs="宋体"/>
          <w:b w:val="0"/>
          <w:bCs/>
          <w:snapToGrid w:val="0"/>
          <w:color w:val="auto"/>
          <w:kern w:val="0"/>
          <w:sz w:val="24"/>
          <w:szCs w:val="24"/>
          <w:highlight w:val="none"/>
          <w:lang w:val="en-US" w:eastAsia="zh-CN"/>
        </w:rPr>
        <w:t>。</w:t>
      </w:r>
    </w:p>
    <w:p w14:paraId="6E0E0631">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 w:val="0"/>
          <w:bCs/>
          <w:snapToGrid w:val="0"/>
          <w:color w:val="auto"/>
          <w:kern w:val="0"/>
          <w:sz w:val="24"/>
          <w:szCs w:val="24"/>
          <w:highlight w:val="none"/>
          <w:u w:val="single"/>
          <w:lang w:val="en-US" w:eastAsia="zh-CN"/>
        </w:rPr>
      </w:pPr>
      <w:r>
        <w:rPr>
          <w:rFonts w:hint="eastAsia" w:ascii="宋体" w:hAnsi="宋体" w:eastAsia="宋体" w:cs="宋体"/>
          <w:b w:val="0"/>
          <w:bCs/>
          <w:snapToGrid w:val="0"/>
          <w:color w:val="auto"/>
          <w:kern w:val="0"/>
          <w:sz w:val="24"/>
          <w:szCs w:val="24"/>
          <w:highlight w:val="none"/>
          <w:lang w:val="en-US" w:eastAsia="zh-CN"/>
        </w:rPr>
        <w:t>（二）项目规模：</w:t>
      </w:r>
      <w:r>
        <w:rPr>
          <w:rFonts w:hint="eastAsia" w:ascii="宋体" w:hAnsi="宋体" w:eastAsia="宋体" w:cs="宋体"/>
          <w:color w:val="auto"/>
          <w:sz w:val="24"/>
          <w:szCs w:val="24"/>
          <w:highlight w:val="none"/>
          <w:u w:val="single"/>
          <w:shd w:val="clear" w:color="auto" w:fill="auto"/>
          <w:lang w:val="en-US" w:eastAsia="zh-CN"/>
        </w:rPr>
        <w:t>项目规划新建370套配售型保障房，项目规划用地面积为15133.6㎡，分北地块和南地块分期建设，其中北地块1#楼共30层高度约100m，南地块2#楼共39层高度约130m，另配建24班制小学共5层高度约24m。新建总建筑面积63077.63㎡，其中计容建筑面积为41240.13㎡（含配售型保障房建筑面积27651.88㎡，配套建筑面积2108.25㎡，万松园小学建筑面积11480㎡），不计容建筑面积为21837.5㎡（含架空层、连廊及不计容构筑物建筑面积9143.5㎡，地下室停车场建筑面积12694.00㎡）</w:t>
      </w:r>
      <w:r>
        <w:rPr>
          <w:rFonts w:hint="eastAsia" w:ascii="宋体" w:hAnsi="宋体" w:cs="宋体"/>
          <w:color w:val="auto"/>
          <w:sz w:val="24"/>
          <w:szCs w:val="24"/>
          <w:highlight w:val="none"/>
          <w:u w:val="single"/>
          <w:shd w:val="clear" w:color="auto" w:fill="auto"/>
          <w:lang w:val="en-US" w:eastAsia="zh-CN"/>
        </w:rPr>
        <w:t>。</w:t>
      </w:r>
      <w:r>
        <w:rPr>
          <w:rFonts w:hint="eastAsia" w:ascii="宋体" w:hAnsi="宋体" w:eastAsia="宋体" w:cs="宋体"/>
          <w:color w:val="auto"/>
          <w:sz w:val="24"/>
          <w:szCs w:val="24"/>
          <w:highlight w:val="none"/>
          <w:u w:val="single"/>
          <w:shd w:val="clear" w:color="auto" w:fill="auto"/>
          <w:lang w:val="en-US" w:eastAsia="zh-CN"/>
        </w:rPr>
        <w:t>基坑支护结构安全等级暂按一级考虑，地基基础设计等级最高为甲级。实际以最终通过评审或审查的勘察报告及基坑支护设计施工图纸为准。</w:t>
      </w:r>
    </w:p>
    <w:p w14:paraId="36E93C21">
      <w:pPr>
        <w:pStyle w:val="2"/>
        <w:adjustRightInd w:val="0"/>
        <w:snapToGrid w:val="0"/>
        <w:spacing w:line="360" w:lineRule="auto"/>
        <w:ind w:left="0" w:firstLine="482" w:firstLineChars="200"/>
        <w:jc w:val="both"/>
        <w:outlineLvl w:val="0"/>
        <w:rPr>
          <w:rFonts w:hint="eastAsia" w:ascii="宋体" w:hAnsi="宋体" w:eastAsia="宋体" w:cs="宋体"/>
          <w:b/>
          <w:color w:val="auto"/>
          <w:kern w:val="0"/>
          <w:sz w:val="24"/>
          <w:szCs w:val="24"/>
          <w:highlight w:val="none"/>
        </w:rPr>
      </w:pPr>
      <w:bookmarkStart w:id="12" w:name="_Toc10787"/>
      <w:bookmarkStart w:id="13" w:name="_Toc18523"/>
      <w:bookmarkStart w:id="14" w:name="_Toc14105"/>
      <w:bookmarkStart w:id="15" w:name="_Toc27073"/>
      <w:bookmarkStart w:id="16" w:name="_Toc15260"/>
      <w:r>
        <w:rPr>
          <w:rFonts w:hint="eastAsia" w:ascii="宋体" w:hAnsi="宋体" w:eastAsia="宋体" w:cs="宋体"/>
          <w:b/>
          <w:color w:val="auto"/>
          <w:kern w:val="0"/>
          <w:sz w:val="24"/>
          <w:szCs w:val="24"/>
          <w:highlight w:val="none"/>
          <w:lang w:val="en-US" w:eastAsia="zh-CN"/>
        </w:rPr>
        <w:t>三</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服务内容</w:t>
      </w:r>
      <w:bookmarkEnd w:id="12"/>
      <w:bookmarkEnd w:id="13"/>
      <w:bookmarkEnd w:id="14"/>
      <w:bookmarkEnd w:id="15"/>
      <w:bookmarkEnd w:id="16"/>
    </w:p>
    <w:p w14:paraId="27C99D04">
      <w:pPr>
        <w:keepNext w:val="0"/>
        <w:keepLines w:val="0"/>
        <w:pageBreakBefore w:val="0"/>
        <w:widowControl w:val="0"/>
        <w:tabs>
          <w:tab w:val="left" w:pos="7513"/>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b w:val="0"/>
          <w:bCs/>
          <w:color w:val="auto"/>
          <w:kern w:val="0"/>
          <w:sz w:val="24"/>
          <w:szCs w:val="24"/>
          <w:highlight w:val="none"/>
          <w:u w:val="single"/>
          <w:lang w:eastAsia="zh-CN"/>
        </w:rPr>
        <w:t>（</w:t>
      </w:r>
      <w:r>
        <w:rPr>
          <w:rFonts w:hint="eastAsia" w:ascii="宋体" w:hAnsi="宋体" w:eastAsia="宋体" w:cs="宋体"/>
          <w:b w:val="0"/>
          <w:bCs/>
          <w:color w:val="auto"/>
          <w:kern w:val="0"/>
          <w:sz w:val="24"/>
          <w:szCs w:val="24"/>
          <w:highlight w:val="none"/>
          <w:u w:val="single"/>
          <w:lang w:val="en-US" w:eastAsia="zh-CN"/>
        </w:rPr>
        <w:t>一</w:t>
      </w:r>
      <w:r>
        <w:rPr>
          <w:rFonts w:hint="eastAsia" w:ascii="宋体" w:hAnsi="宋体" w:eastAsia="宋体" w:cs="宋体"/>
          <w:b w:val="0"/>
          <w:bCs/>
          <w:color w:val="auto"/>
          <w:kern w:val="0"/>
          <w:sz w:val="24"/>
          <w:szCs w:val="24"/>
          <w:highlight w:val="none"/>
          <w:u w:val="single"/>
          <w:lang w:eastAsia="zh-CN"/>
        </w:rPr>
        <w:t>）</w:t>
      </w:r>
      <w:r>
        <w:rPr>
          <w:rFonts w:hint="eastAsia" w:ascii="宋体" w:hAnsi="宋体" w:eastAsia="宋体" w:cs="宋体"/>
          <w:bCs/>
          <w:color w:val="auto"/>
          <w:kern w:val="0"/>
          <w:sz w:val="24"/>
          <w:szCs w:val="24"/>
          <w:highlight w:val="none"/>
          <w:u w:val="single"/>
        </w:rPr>
        <w:t>第三方检测</w:t>
      </w:r>
      <w:r>
        <w:rPr>
          <w:rFonts w:hint="eastAsia" w:ascii="宋体" w:hAnsi="宋体" w:eastAsia="宋体" w:cs="宋体"/>
          <w:color w:val="auto"/>
          <w:kern w:val="0"/>
          <w:sz w:val="24"/>
          <w:szCs w:val="24"/>
          <w:highlight w:val="none"/>
          <w:u w:val="single"/>
        </w:rPr>
        <w:t>：对</w:t>
      </w:r>
      <w:r>
        <w:rPr>
          <w:rFonts w:hint="eastAsia" w:ascii="宋体" w:hAnsi="宋体" w:eastAsia="宋体" w:cs="宋体"/>
          <w:color w:val="auto"/>
          <w:kern w:val="0"/>
          <w:sz w:val="24"/>
          <w:szCs w:val="24"/>
          <w:highlight w:val="none"/>
          <w:u w:val="single"/>
          <w:lang w:val="en-US" w:eastAsia="zh-CN"/>
        </w:rPr>
        <w:t>广州市海珠区得胜岗片区更新改造</w:t>
      </w:r>
      <w:r>
        <w:rPr>
          <w:rFonts w:hint="eastAsia" w:ascii="宋体" w:hAnsi="宋体" w:eastAsia="宋体" w:cs="宋体"/>
          <w:color w:val="auto"/>
          <w:kern w:val="0"/>
          <w:sz w:val="24"/>
          <w:szCs w:val="24"/>
          <w:highlight w:val="none"/>
          <w:u w:val="single"/>
        </w:rPr>
        <w:t>项目进行第三方检测及相关申报检测技术成果审批服务，以便为安全施工及工程验收提供依据，检测内容包括但不限于：土质检测（含土壤氡浓度检测）、地基基础工程检测、主体结构工程现场检测（含人防工程结构检测）、见证取样检测（含所有材料和设备检测）、室内环境检测、建筑节能工程检测（含幕墙门窗检测）、智能建筑工程检测、市政（道路、园林、绿化）工程检测、建筑消防检测、防雷检测、发电机负载试验、燃气管道检测、光纤到户工程检测、人防设备安装质量检测、钢结构检测及与本项目有关的</w:t>
      </w:r>
      <w:r>
        <w:rPr>
          <w:rFonts w:hint="eastAsia" w:ascii="宋体" w:hAnsi="宋体" w:eastAsia="宋体" w:cs="宋体"/>
          <w:bCs/>
          <w:color w:val="auto"/>
          <w:kern w:val="0"/>
          <w:sz w:val="24"/>
          <w:szCs w:val="24"/>
          <w:highlight w:val="none"/>
          <w:u w:val="single"/>
        </w:rPr>
        <w:t>按照GB 50618-2011《房屋建筑和市政基础设施工程质量检测技术管理规范》要求的</w:t>
      </w:r>
      <w:r>
        <w:rPr>
          <w:rFonts w:hint="eastAsia" w:ascii="宋体" w:hAnsi="宋体" w:eastAsia="宋体" w:cs="宋体"/>
          <w:color w:val="auto"/>
          <w:kern w:val="0"/>
          <w:sz w:val="24"/>
          <w:szCs w:val="24"/>
          <w:highlight w:val="none"/>
          <w:u w:val="single"/>
        </w:rPr>
        <w:t>其他检测内容。</w:t>
      </w:r>
    </w:p>
    <w:p w14:paraId="40625807">
      <w:pPr>
        <w:keepNext w:val="0"/>
        <w:keepLines w:val="0"/>
        <w:pageBreakBefore w:val="0"/>
        <w:widowControl w:val="0"/>
        <w:tabs>
          <w:tab w:val="left" w:pos="7513"/>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eastAsia="zh-CN"/>
        </w:rPr>
        <w:t>具体内容如下：</w:t>
      </w:r>
    </w:p>
    <w:p w14:paraId="3D110E3C">
      <w:pPr>
        <w:keepNext w:val="0"/>
        <w:keepLines w:val="0"/>
        <w:pageBreakBefore w:val="0"/>
        <w:widowControl w:val="0"/>
        <w:tabs>
          <w:tab w:val="left" w:pos="7513"/>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rPr>
      </w:pPr>
      <w:bookmarkStart w:id="17" w:name="_Toc31105"/>
      <w:bookmarkStart w:id="18" w:name="_Toc5276"/>
      <w:r>
        <w:rPr>
          <w:rFonts w:hint="eastAsia" w:ascii="宋体" w:hAnsi="宋体" w:eastAsia="宋体" w:cs="宋体"/>
          <w:color w:val="auto"/>
          <w:kern w:val="0"/>
          <w:sz w:val="24"/>
          <w:szCs w:val="24"/>
          <w:highlight w:val="none"/>
          <w:u w:val="single"/>
          <w:lang w:val="en-US" w:eastAsia="zh-CN"/>
        </w:rPr>
        <w:t>1.</w:t>
      </w:r>
      <w:r>
        <w:rPr>
          <w:rFonts w:hint="eastAsia" w:ascii="宋体" w:hAnsi="宋体" w:eastAsia="宋体" w:cs="宋体"/>
          <w:color w:val="auto"/>
          <w:kern w:val="0"/>
          <w:sz w:val="24"/>
          <w:szCs w:val="24"/>
          <w:highlight w:val="none"/>
          <w:u w:val="single"/>
        </w:rPr>
        <w:t>土质检测（含土壤氡浓度检测）</w:t>
      </w:r>
      <w:bookmarkEnd w:id="17"/>
      <w:bookmarkEnd w:id="18"/>
    </w:p>
    <w:p w14:paraId="1507BE48">
      <w:pPr>
        <w:keepNext w:val="0"/>
        <w:keepLines w:val="0"/>
        <w:pageBreakBefore w:val="0"/>
        <w:widowControl w:val="0"/>
        <w:tabs>
          <w:tab w:val="left" w:pos="7513"/>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lang w:val="en-US" w:eastAsia="zh-CN"/>
        </w:rPr>
        <w:t>2.</w:t>
      </w:r>
      <w:r>
        <w:rPr>
          <w:rFonts w:hint="eastAsia" w:ascii="宋体" w:hAnsi="宋体" w:eastAsia="宋体" w:cs="宋体"/>
          <w:color w:val="auto"/>
          <w:kern w:val="0"/>
          <w:sz w:val="24"/>
          <w:szCs w:val="24"/>
          <w:highlight w:val="none"/>
          <w:u w:val="single"/>
        </w:rPr>
        <w:t>地基基础工程检测：包括但不限于溶洞注浆检测、抽水试验、预应力锚索检测（含抗拔力、锁定力）、土钉检测（抗拔力）、喷射混凝土面层厚度检测、支护灌注桩检测、水泥搅拌桩检测、预应力管桩检测、灌注桩检测、植桩检测、天然地基/复合地基检测、抗浮锚杆检测、基坑及基础回填检测。</w:t>
      </w:r>
    </w:p>
    <w:p w14:paraId="4858042D">
      <w:pPr>
        <w:keepNext w:val="0"/>
        <w:keepLines w:val="0"/>
        <w:pageBreakBefore w:val="0"/>
        <w:widowControl w:val="0"/>
        <w:tabs>
          <w:tab w:val="left" w:pos="7513"/>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lang w:val="en-US" w:eastAsia="zh-CN"/>
        </w:rPr>
        <w:t>3.</w:t>
      </w:r>
      <w:r>
        <w:rPr>
          <w:rFonts w:hint="eastAsia" w:ascii="宋体" w:hAnsi="宋体" w:eastAsia="宋体" w:cs="宋体"/>
          <w:color w:val="auto"/>
          <w:kern w:val="0"/>
          <w:sz w:val="24"/>
          <w:szCs w:val="24"/>
          <w:highlight w:val="none"/>
          <w:u w:val="single"/>
        </w:rPr>
        <w:t>主体结构工程现场检测（含人防工程结构检测）：包括但不限于混凝土强度钻芯检测、实体抽芯氯离子含量检测、混凝土强度回弹检测、钢筋配置、钢筋保护层厚度检测、构件尺寸、植筋抗拔检测、锚栓抗拔检测、抹灰砂浆拉伸粘结强度、饰面砖拉伸粘结强度、贯入法砌筑砂浆强度、隔墙冲击试验、预制构件性能试验、</w:t>
      </w:r>
      <w:bookmarkStart w:id="19" w:name="OLE_LINK1"/>
      <w:r>
        <w:rPr>
          <w:rFonts w:hint="eastAsia" w:ascii="宋体" w:hAnsi="宋体" w:eastAsia="宋体" w:cs="宋体"/>
          <w:color w:val="auto"/>
          <w:kern w:val="0"/>
          <w:sz w:val="24"/>
          <w:szCs w:val="24"/>
          <w:highlight w:val="none"/>
          <w:u w:val="single"/>
        </w:rPr>
        <w:t>装配式结构检测</w:t>
      </w:r>
      <w:bookmarkEnd w:id="19"/>
      <w:r>
        <w:rPr>
          <w:rFonts w:hint="eastAsia" w:ascii="宋体" w:hAnsi="宋体" w:eastAsia="宋体" w:cs="宋体"/>
          <w:color w:val="auto"/>
          <w:kern w:val="0"/>
          <w:sz w:val="24"/>
          <w:szCs w:val="24"/>
          <w:highlight w:val="none"/>
          <w:u w:val="single"/>
        </w:rPr>
        <w:t>、建筑栏杆使用性能检测。</w:t>
      </w:r>
    </w:p>
    <w:p w14:paraId="6632CAA9">
      <w:pPr>
        <w:keepNext w:val="0"/>
        <w:keepLines w:val="0"/>
        <w:pageBreakBefore w:val="0"/>
        <w:widowControl w:val="0"/>
        <w:tabs>
          <w:tab w:val="left" w:pos="6720"/>
          <w:tab w:val="left" w:pos="7513"/>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lang w:val="en-US" w:eastAsia="zh-CN"/>
        </w:rPr>
        <w:t>4.</w:t>
      </w:r>
      <w:r>
        <w:rPr>
          <w:rFonts w:hint="eastAsia" w:ascii="宋体" w:hAnsi="宋体" w:eastAsia="宋体" w:cs="宋体"/>
          <w:color w:val="auto"/>
          <w:kern w:val="0"/>
          <w:sz w:val="24"/>
          <w:szCs w:val="24"/>
          <w:highlight w:val="none"/>
          <w:u w:val="single"/>
        </w:rPr>
        <w:t>见证取样检测（含所有材料和设备检测）：包括但不限于混凝土抗渗、腻子、蒸压加气混凝土砌块、砖、防水涂料、铝合金型材、建筑涂料、防腐涂料、建筑和装修材料放射性、建筑材料有害物质含量、木板甲醛释放量、生活饮用水水质、溶剂型涂料有害物检测、溶剂型胶粘剂有害物检测、金属管材（包括镀锌钢管）、PPR管材 、PPR管件、PVC-U排水管材、PVC-U排水管件、PE给水管材、PE给水管件、双壁波纹管、球墨铸铁管、钢塑复合管材、钢衬塑复合给水管、管材管件溶剂型胶粘剂、井盖、阀门、钢管、混凝土抗压、砂浆抗压、硬化混凝土氯离子含量、混凝土拌合物氯离子含量、预拌砂浆性能、钢筋原材、钢筋焊接、钢筋机械性能连接、安全网、安全帽、安全带、钢管、爬架、直角扣件、旋转扣件、对接扣件、饰面石材、陶瓷砖、外加剂、钢板、螺栓（扭矩系数/轴力、拉力、抗滑移系数）、钢板焊接件、防水卷材、防火涂料、外加剂、水泥、砂、石、混凝土配合比、砂浆配合比、自流平砂浆、透水混凝土</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rPr>
        <w:t>抗震支架、焊接材料、焊接工艺评定、钢筋焊接网、粉煤灰、矿渣、预埋件、土工格栅、土工布、龙骨、锚夹具、锚夹具静载锚固、橡胶止水带、钢绞线、1芯电线、2芯电力电缆、3芯电力电缆、4芯电力电缆、5芯电力电缆、照明开关、插座、断路器、漏电断路器、电工套管、电工套管配件、电线槽、电线槽及配件、灯具检测、网线、密封胶、结构胶、橡胶、铝板、预埋件、铝合金幕墙挂件、不锈钢板、预应力混凝土用钢绞线、建筑板材（阻燃复合板、石膏板、硅酸钙板、隔墙条板、玻镁板、挤塑聚苯板、聚苯乙烯泡沫板、低密度板、防火板、非同质聚氯乙烯防水卷材地板、装饰板材等）环氧树脂地面涂层材料</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rPr>
        <w:t>地坪漆）、阻燃复合板、低密度板、防火板、非同质聚氯乙烯防水卷材地板、装饰板材、镀锌线槽、掺合料、混凝土膨胀剂、钢材型材、蒸压加气混凝土板、陶瓷砖粘结剂、镀锌电焊网、干挂石材胶、路面砖、路缘石、标线涂料、高密度聚乙烯（HDPE）排水管材、高密度聚乙烯（HDPE）排水管件、铝塑复合管、塑胶跑道面层、土工膜、塑料排水板、电缆桥架。</w:t>
      </w:r>
    </w:p>
    <w:p w14:paraId="7876C0D7">
      <w:pPr>
        <w:keepNext w:val="0"/>
        <w:keepLines w:val="0"/>
        <w:pageBreakBefore w:val="0"/>
        <w:widowControl w:val="0"/>
        <w:tabs>
          <w:tab w:val="left" w:pos="7513"/>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bookmarkStart w:id="20" w:name="_Toc24059"/>
      <w:bookmarkStart w:id="21" w:name="_Toc24680"/>
      <w:r>
        <w:rPr>
          <w:rFonts w:hint="eastAsia" w:ascii="宋体" w:hAnsi="宋体" w:eastAsia="宋体" w:cs="宋体"/>
          <w:color w:val="auto"/>
          <w:kern w:val="0"/>
          <w:sz w:val="24"/>
          <w:szCs w:val="24"/>
          <w:highlight w:val="none"/>
          <w:u w:val="single"/>
          <w:lang w:val="en-US" w:eastAsia="zh-CN"/>
        </w:rPr>
        <w:t>5.</w:t>
      </w:r>
      <w:r>
        <w:rPr>
          <w:rFonts w:hint="eastAsia" w:ascii="宋体" w:hAnsi="宋体" w:eastAsia="宋体" w:cs="宋体"/>
          <w:color w:val="auto"/>
          <w:kern w:val="0"/>
          <w:sz w:val="24"/>
          <w:szCs w:val="24"/>
          <w:highlight w:val="none"/>
          <w:u w:val="single"/>
        </w:rPr>
        <w:t>室内环境检测：包括但不限于隔声性能检测、室内环境检测。</w:t>
      </w:r>
      <w:bookmarkEnd w:id="20"/>
      <w:bookmarkEnd w:id="21"/>
    </w:p>
    <w:p w14:paraId="1E49133E">
      <w:pPr>
        <w:keepNext w:val="0"/>
        <w:keepLines w:val="0"/>
        <w:pageBreakBefore w:val="0"/>
        <w:widowControl w:val="0"/>
        <w:tabs>
          <w:tab w:val="left" w:pos="7513"/>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lang w:val="en-US" w:eastAsia="zh-CN"/>
        </w:rPr>
        <w:t>6.</w:t>
      </w:r>
      <w:r>
        <w:rPr>
          <w:rFonts w:hint="eastAsia" w:ascii="宋体" w:hAnsi="宋体" w:eastAsia="宋体" w:cs="宋体"/>
          <w:color w:val="auto"/>
          <w:kern w:val="0"/>
          <w:sz w:val="24"/>
          <w:szCs w:val="24"/>
          <w:highlight w:val="none"/>
          <w:u w:val="single"/>
        </w:rPr>
        <w:t>建筑节能工程检测（含幕墙门窗检测）：包括但不限于墙体保温节能检测、门窗节能工程检测、幕墙节能工程检测、屋面节能工程检测、配电与照明节能工程检测、通风与空调节能工程检测（室内温湿度、风口风量、系统总风量、风机单位风量耗功率、风管漏风量）、空调与供暖系统冷热源及管网节能工程检测、建筑玻璃、外窗三性、幕墙四性</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rPr>
        <w:t>绿色建筑等检测。</w:t>
      </w:r>
    </w:p>
    <w:p w14:paraId="5BEBAA2E">
      <w:pPr>
        <w:keepNext w:val="0"/>
        <w:keepLines w:val="0"/>
        <w:pageBreakBefore w:val="0"/>
        <w:widowControl w:val="0"/>
        <w:tabs>
          <w:tab w:val="left" w:pos="7513"/>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lang w:val="en-US" w:eastAsia="zh-CN"/>
        </w:rPr>
        <w:t>7.</w:t>
      </w:r>
      <w:r>
        <w:rPr>
          <w:rFonts w:hint="eastAsia" w:ascii="宋体" w:hAnsi="宋体" w:eastAsia="宋体" w:cs="宋体"/>
          <w:color w:val="auto"/>
          <w:kern w:val="0"/>
          <w:sz w:val="24"/>
          <w:szCs w:val="24"/>
          <w:highlight w:val="none"/>
          <w:u w:val="single"/>
        </w:rPr>
        <w:t>智能建筑工程检测：包括但不限于综合布线系统检测、安全防范系统检测、建筑设备监控系统检测、可视对讲检测、广播系统检测、机房工程系统检测、电源与接地系统检测、计算机网络系统检测、能耗监测系统检测、信息网络系统</w:t>
      </w:r>
      <w:r>
        <w:rPr>
          <w:rFonts w:hint="eastAsia" w:ascii="宋体" w:hAnsi="宋体" w:eastAsia="宋体" w:cs="宋体"/>
          <w:color w:val="auto"/>
          <w:kern w:val="0"/>
          <w:sz w:val="24"/>
          <w:szCs w:val="24"/>
          <w:highlight w:val="none"/>
          <w:u w:val="single"/>
          <w:lang w:val="en-US" w:eastAsia="zh-CN"/>
        </w:rPr>
        <w:t>检测</w:t>
      </w:r>
      <w:r>
        <w:rPr>
          <w:rFonts w:hint="eastAsia" w:ascii="宋体" w:hAnsi="宋体" w:eastAsia="宋体" w:cs="宋体"/>
          <w:color w:val="auto"/>
          <w:kern w:val="0"/>
          <w:sz w:val="24"/>
          <w:szCs w:val="24"/>
          <w:highlight w:val="none"/>
          <w:u w:val="single"/>
        </w:rPr>
        <w:t>、出入口控制系统</w:t>
      </w:r>
      <w:r>
        <w:rPr>
          <w:rFonts w:hint="eastAsia" w:ascii="宋体" w:hAnsi="宋体" w:eastAsia="宋体" w:cs="宋体"/>
          <w:color w:val="auto"/>
          <w:kern w:val="0"/>
          <w:sz w:val="24"/>
          <w:szCs w:val="24"/>
          <w:highlight w:val="none"/>
          <w:u w:val="single"/>
          <w:lang w:val="en-US" w:eastAsia="zh-CN"/>
        </w:rPr>
        <w:t>检测</w:t>
      </w:r>
      <w:r>
        <w:rPr>
          <w:rFonts w:hint="eastAsia" w:ascii="宋体" w:hAnsi="宋体" w:eastAsia="宋体" w:cs="宋体"/>
          <w:color w:val="auto"/>
          <w:kern w:val="0"/>
          <w:sz w:val="24"/>
          <w:szCs w:val="24"/>
          <w:highlight w:val="none"/>
          <w:u w:val="single"/>
        </w:rPr>
        <w:t>、停车场管理系统</w:t>
      </w:r>
      <w:r>
        <w:rPr>
          <w:rFonts w:hint="eastAsia" w:ascii="宋体" w:hAnsi="宋体" w:eastAsia="宋体" w:cs="宋体"/>
          <w:color w:val="auto"/>
          <w:kern w:val="0"/>
          <w:sz w:val="24"/>
          <w:szCs w:val="24"/>
          <w:highlight w:val="none"/>
          <w:u w:val="single"/>
          <w:lang w:val="en-US" w:eastAsia="zh-CN"/>
        </w:rPr>
        <w:t>检测等</w:t>
      </w:r>
      <w:r>
        <w:rPr>
          <w:rFonts w:hint="eastAsia" w:ascii="宋体" w:hAnsi="宋体" w:eastAsia="宋体" w:cs="宋体"/>
          <w:color w:val="auto"/>
          <w:kern w:val="0"/>
          <w:sz w:val="24"/>
          <w:szCs w:val="24"/>
          <w:highlight w:val="none"/>
          <w:u w:val="single"/>
        </w:rPr>
        <w:t>。</w:t>
      </w:r>
    </w:p>
    <w:p w14:paraId="5B6F453B">
      <w:pPr>
        <w:keepNext w:val="0"/>
        <w:keepLines w:val="0"/>
        <w:pageBreakBefore w:val="0"/>
        <w:widowControl w:val="0"/>
        <w:tabs>
          <w:tab w:val="left" w:pos="7513"/>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lang w:val="en-US" w:eastAsia="zh-CN"/>
        </w:rPr>
        <w:t>8.</w:t>
      </w:r>
      <w:r>
        <w:rPr>
          <w:rFonts w:hint="eastAsia" w:ascii="宋体" w:hAnsi="宋体" w:eastAsia="宋体" w:cs="宋体"/>
          <w:color w:val="auto"/>
          <w:kern w:val="0"/>
          <w:sz w:val="24"/>
          <w:szCs w:val="24"/>
          <w:highlight w:val="none"/>
          <w:u w:val="single"/>
        </w:rPr>
        <w:t>市政（道路、园林、绿化）工程检测：包括但不限于接地电阻、绝缘电阻、漏电开关动作测试、灯具亮度、照度、照度均匀度、炫光、照明功率密度、灯具光色电参数、道路工程-沥青混凝土上面层、道路工程-沥青混凝土下面层、道路工程-水泥稳定碎石基层、道路工程-水泥稳定石屑下基层、道路工程-人行道检测、填方工程、排水工程、给水工程、雨水工程、路灯工程、交通工程-车道标线、绿化工程、园林植物病虫害检测（乔木、灌木、地被等）、种植土、有机肥等</w:t>
      </w:r>
      <w:r>
        <w:rPr>
          <w:rFonts w:hint="eastAsia" w:ascii="宋体" w:hAnsi="宋体" w:eastAsia="宋体" w:cs="宋体"/>
          <w:color w:val="auto"/>
          <w:kern w:val="0"/>
          <w:sz w:val="24"/>
          <w:szCs w:val="24"/>
          <w:highlight w:val="none"/>
          <w:u w:val="single"/>
          <w:lang w:val="en-US" w:eastAsia="zh-CN"/>
        </w:rPr>
        <w:t>检测</w:t>
      </w:r>
      <w:r>
        <w:rPr>
          <w:rFonts w:hint="eastAsia" w:ascii="宋体" w:hAnsi="宋体" w:eastAsia="宋体" w:cs="宋体"/>
          <w:color w:val="auto"/>
          <w:kern w:val="0"/>
          <w:sz w:val="24"/>
          <w:szCs w:val="24"/>
          <w:highlight w:val="none"/>
          <w:u w:val="single"/>
        </w:rPr>
        <w:t>。</w:t>
      </w:r>
    </w:p>
    <w:p w14:paraId="4440928D">
      <w:pPr>
        <w:keepNext w:val="0"/>
        <w:keepLines w:val="0"/>
        <w:pageBreakBefore w:val="0"/>
        <w:widowControl w:val="0"/>
        <w:tabs>
          <w:tab w:val="left" w:pos="7513"/>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lang w:val="en-US" w:eastAsia="zh-CN"/>
        </w:rPr>
        <w:t>9.</w:t>
      </w:r>
      <w:r>
        <w:rPr>
          <w:rFonts w:hint="eastAsia" w:ascii="宋体" w:hAnsi="宋体" w:eastAsia="宋体" w:cs="宋体"/>
          <w:color w:val="auto"/>
          <w:kern w:val="0"/>
          <w:sz w:val="24"/>
          <w:szCs w:val="24"/>
          <w:highlight w:val="none"/>
          <w:u w:val="single"/>
        </w:rPr>
        <w:t>建筑消防检测：包括但不限于建筑消防设施检测、系统功能检测。</w:t>
      </w:r>
    </w:p>
    <w:p w14:paraId="06FB6745">
      <w:pPr>
        <w:keepNext w:val="0"/>
        <w:keepLines w:val="0"/>
        <w:pageBreakBefore w:val="0"/>
        <w:widowControl w:val="0"/>
        <w:tabs>
          <w:tab w:val="left" w:pos="7513"/>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10</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防雷检测：包括但不限于防雷装置检测、系统功能检测。</w:t>
      </w:r>
    </w:p>
    <w:p w14:paraId="5AB030C9">
      <w:pPr>
        <w:keepNext w:val="0"/>
        <w:keepLines w:val="0"/>
        <w:pageBreakBefore w:val="0"/>
        <w:widowControl w:val="0"/>
        <w:tabs>
          <w:tab w:val="left" w:pos="7513"/>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lang w:val="en-US" w:eastAsia="zh-CN"/>
        </w:rPr>
        <w:t>11.</w:t>
      </w:r>
      <w:r>
        <w:rPr>
          <w:rFonts w:hint="eastAsia" w:ascii="宋体" w:hAnsi="宋体" w:eastAsia="宋体" w:cs="宋体"/>
          <w:color w:val="auto"/>
          <w:kern w:val="0"/>
          <w:sz w:val="24"/>
          <w:szCs w:val="24"/>
          <w:highlight w:val="none"/>
          <w:u w:val="single"/>
        </w:rPr>
        <w:t>发电机负载试验。</w:t>
      </w:r>
    </w:p>
    <w:p w14:paraId="2F0AD4D2">
      <w:pPr>
        <w:keepNext w:val="0"/>
        <w:keepLines w:val="0"/>
        <w:pageBreakBefore w:val="0"/>
        <w:widowControl w:val="0"/>
        <w:tabs>
          <w:tab w:val="left" w:pos="7513"/>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lang w:val="en-US" w:eastAsia="zh-CN"/>
        </w:rPr>
        <w:t>12.</w:t>
      </w:r>
      <w:r>
        <w:rPr>
          <w:rFonts w:hint="eastAsia" w:ascii="宋体" w:hAnsi="宋体" w:eastAsia="宋体" w:cs="宋体"/>
          <w:color w:val="auto"/>
          <w:kern w:val="0"/>
          <w:sz w:val="24"/>
          <w:szCs w:val="24"/>
          <w:highlight w:val="none"/>
          <w:u w:val="single"/>
        </w:rPr>
        <w:t>燃气管道检测。</w:t>
      </w:r>
    </w:p>
    <w:p w14:paraId="7FD01078">
      <w:pPr>
        <w:keepNext w:val="0"/>
        <w:keepLines w:val="0"/>
        <w:pageBreakBefore w:val="0"/>
        <w:widowControl w:val="0"/>
        <w:tabs>
          <w:tab w:val="left" w:pos="7513"/>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lang w:val="en-US" w:eastAsia="zh-CN"/>
        </w:rPr>
        <w:t>13.</w:t>
      </w:r>
      <w:r>
        <w:rPr>
          <w:rFonts w:hint="eastAsia" w:ascii="宋体" w:hAnsi="宋体" w:eastAsia="宋体" w:cs="宋体"/>
          <w:color w:val="auto"/>
          <w:kern w:val="0"/>
          <w:sz w:val="24"/>
          <w:szCs w:val="24"/>
          <w:highlight w:val="none"/>
          <w:u w:val="single"/>
        </w:rPr>
        <w:t>光纤到户工程检测。</w:t>
      </w:r>
    </w:p>
    <w:p w14:paraId="3F593CC4">
      <w:pPr>
        <w:keepNext w:val="0"/>
        <w:keepLines w:val="0"/>
        <w:pageBreakBefore w:val="0"/>
        <w:widowControl w:val="0"/>
        <w:tabs>
          <w:tab w:val="left" w:pos="7513"/>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lang w:val="en-US" w:eastAsia="zh-CN"/>
        </w:rPr>
        <w:t>14.</w:t>
      </w:r>
      <w:r>
        <w:rPr>
          <w:rFonts w:hint="eastAsia" w:ascii="宋体" w:hAnsi="宋体" w:eastAsia="宋体" w:cs="宋体"/>
          <w:color w:val="auto"/>
          <w:kern w:val="0"/>
          <w:sz w:val="24"/>
          <w:szCs w:val="24"/>
          <w:highlight w:val="none"/>
          <w:u w:val="single"/>
        </w:rPr>
        <w:t>人防设备安装质量检测。</w:t>
      </w:r>
    </w:p>
    <w:p w14:paraId="11C68880">
      <w:pPr>
        <w:keepNext w:val="0"/>
        <w:keepLines w:val="0"/>
        <w:pageBreakBefore w:val="0"/>
        <w:widowControl w:val="0"/>
        <w:tabs>
          <w:tab w:val="left" w:pos="7513"/>
        </w:tabs>
        <w:kinsoku/>
        <w:wordWrap/>
        <w:overflowPunct/>
        <w:topLinePunct w:val="0"/>
        <w:bidi w:val="0"/>
        <w:adjustRightInd w:val="0"/>
        <w:snapToGrid w:val="0"/>
        <w:spacing w:line="360" w:lineRule="auto"/>
        <w:ind w:firstLine="456" w:firstLineChars="200"/>
        <w:jc w:val="both"/>
        <w:textAlignment w:val="auto"/>
        <w:outlineLvl w:val="9"/>
        <w:rPr>
          <w:rFonts w:hint="eastAsia" w:ascii="宋体" w:hAnsi="宋体" w:eastAsia="宋体" w:cs="宋体"/>
          <w:color w:val="auto"/>
          <w:spacing w:val="-6"/>
          <w:kern w:val="0"/>
          <w:sz w:val="24"/>
          <w:szCs w:val="24"/>
          <w:highlight w:val="none"/>
          <w:u w:val="single"/>
        </w:rPr>
      </w:pPr>
      <w:r>
        <w:rPr>
          <w:rFonts w:hint="eastAsia" w:ascii="宋体" w:hAnsi="宋体" w:eastAsia="宋体" w:cs="宋体"/>
          <w:color w:val="auto"/>
          <w:spacing w:val="-6"/>
          <w:kern w:val="0"/>
          <w:sz w:val="24"/>
          <w:szCs w:val="24"/>
          <w:highlight w:val="none"/>
          <w:u w:val="single"/>
          <w:lang w:val="en-US" w:eastAsia="zh-CN"/>
        </w:rPr>
        <w:t>15.</w:t>
      </w:r>
      <w:r>
        <w:rPr>
          <w:rFonts w:hint="eastAsia" w:ascii="宋体" w:hAnsi="宋体" w:eastAsia="宋体" w:cs="宋体"/>
          <w:color w:val="auto"/>
          <w:spacing w:val="-6"/>
          <w:kern w:val="0"/>
          <w:sz w:val="24"/>
          <w:szCs w:val="24"/>
          <w:highlight w:val="none"/>
          <w:u w:val="single"/>
        </w:rPr>
        <w:t>钢结构检测</w:t>
      </w:r>
      <w:r>
        <w:rPr>
          <w:rFonts w:hint="eastAsia" w:ascii="宋体" w:hAnsi="宋体" w:eastAsia="宋体" w:cs="宋体"/>
          <w:color w:val="auto"/>
          <w:spacing w:val="-6"/>
          <w:kern w:val="0"/>
          <w:sz w:val="24"/>
          <w:szCs w:val="24"/>
          <w:highlight w:val="none"/>
          <w:u w:val="single"/>
          <w:lang w:eastAsia="zh-CN"/>
        </w:rPr>
        <w:t>：</w:t>
      </w:r>
      <w:r>
        <w:rPr>
          <w:rFonts w:hint="eastAsia" w:ascii="宋体" w:hAnsi="宋体" w:eastAsia="宋体" w:cs="宋体"/>
          <w:color w:val="auto"/>
          <w:spacing w:val="-6"/>
          <w:kern w:val="0"/>
          <w:sz w:val="24"/>
          <w:szCs w:val="24"/>
          <w:highlight w:val="none"/>
          <w:u w:val="single"/>
        </w:rPr>
        <w:t>焊缝超声波检测、焊缝磁粉检测、防腐涂层检测、防火涂层检测等。</w:t>
      </w:r>
    </w:p>
    <w:p w14:paraId="3FF13E7C">
      <w:pPr>
        <w:keepNext w:val="0"/>
        <w:keepLines w:val="0"/>
        <w:pageBreakBefore w:val="0"/>
        <w:widowControl w:val="0"/>
        <w:tabs>
          <w:tab w:val="left" w:pos="7513"/>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 w:val="0"/>
          <w:bCs w:val="0"/>
          <w:color w:val="auto"/>
          <w:kern w:val="0"/>
          <w:sz w:val="24"/>
          <w:szCs w:val="24"/>
          <w:highlight w:val="none"/>
          <w:u w:val="single"/>
          <w:lang w:eastAsia="zh-CN"/>
        </w:rPr>
      </w:pPr>
      <w:r>
        <w:rPr>
          <w:rFonts w:hint="eastAsia" w:ascii="宋体" w:hAnsi="宋体" w:eastAsia="宋体" w:cs="宋体"/>
          <w:b w:val="0"/>
          <w:bCs w:val="0"/>
          <w:color w:val="auto"/>
          <w:kern w:val="0"/>
          <w:sz w:val="24"/>
          <w:szCs w:val="24"/>
          <w:highlight w:val="none"/>
          <w:u w:val="single"/>
          <w:lang w:eastAsia="zh-CN"/>
        </w:rPr>
        <w:t>（</w:t>
      </w:r>
      <w:r>
        <w:rPr>
          <w:rFonts w:hint="eastAsia" w:ascii="宋体" w:hAnsi="宋体" w:eastAsia="宋体" w:cs="宋体"/>
          <w:b w:val="0"/>
          <w:bCs w:val="0"/>
          <w:color w:val="auto"/>
          <w:kern w:val="0"/>
          <w:sz w:val="24"/>
          <w:szCs w:val="24"/>
          <w:highlight w:val="none"/>
          <w:u w:val="single"/>
          <w:lang w:val="en-US" w:eastAsia="zh-CN"/>
        </w:rPr>
        <w:t>二</w:t>
      </w:r>
      <w:r>
        <w:rPr>
          <w:rFonts w:hint="eastAsia" w:ascii="宋体" w:hAnsi="宋体" w:eastAsia="宋体" w:cs="宋体"/>
          <w:b w:val="0"/>
          <w:bCs w:val="0"/>
          <w:color w:val="auto"/>
          <w:kern w:val="0"/>
          <w:sz w:val="24"/>
          <w:szCs w:val="24"/>
          <w:highlight w:val="none"/>
          <w:u w:val="single"/>
          <w:lang w:eastAsia="zh-CN"/>
        </w:rPr>
        <w:t>）</w:t>
      </w:r>
      <w:r>
        <w:rPr>
          <w:rFonts w:hint="eastAsia" w:ascii="宋体" w:hAnsi="宋体" w:eastAsia="宋体" w:cs="宋体"/>
          <w:b w:val="0"/>
          <w:bCs w:val="0"/>
          <w:color w:val="auto"/>
          <w:kern w:val="0"/>
          <w:sz w:val="24"/>
          <w:szCs w:val="24"/>
          <w:highlight w:val="none"/>
          <w:u w:val="single"/>
          <w:lang w:val="en-US" w:eastAsia="zh-CN"/>
        </w:rPr>
        <w:t>监测：</w:t>
      </w:r>
      <w:r>
        <w:rPr>
          <w:rFonts w:hint="eastAsia" w:ascii="宋体" w:hAnsi="宋体" w:eastAsia="宋体" w:cs="宋体"/>
          <w:color w:val="auto"/>
          <w:kern w:val="0"/>
          <w:sz w:val="24"/>
          <w:szCs w:val="24"/>
          <w:highlight w:val="none"/>
          <w:u w:val="single"/>
        </w:rPr>
        <w:t>包含但不限于基坑监测、主体沉降观测、高支模监测、管廊/轨道交通安全监测（如有）及与本项目有关的按照GB 50497-2019《建筑基坑工程监测技术标准》要求的其他监测内容。具体内容如下：</w:t>
      </w:r>
    </w:p>
    <w:p w14:paraId="21CDD1C6">
      <w:pPr>
        <w:keepNext w:val="0"/>
        <w:keepLines w:val="0"/>
        <w:pageBreakBefore w:val="0"/>
        <w:widowControl w:val="0"/>
        <w:tabs>
          <w:tab w:val="left" w:pos="7513"/>
        </w:tabs>
        <w:kinsoku/>
        <w:wordWrap/>
        <w:overflowPunct/>
        <w:topLinePunct w:val="0"/>
        <w:bidi w:val="0"/>
        <w:adjustRightInd/>
        <w:snapToGrid/>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lang w:val="en-US" w:eastAsia="zh-CN"/>
        </w:rPr>
        <w:t>1.</w:t>
      </w:r>
      <w:r>
        <w:rPr>
          <w:rFonts w:hint="eastAsia" w:ascii="宋体" w:hAnsi="宋体" w:eastAsia="宋体" w:cs="宋体"/>
          <w:color w:val="auto"/>
          <w:kern w:val="0"/>
          <w:sz w:val="24"/>
          <w:szCs w:val="24"/>
          <w:highlight w:val="none"/>
          <w:u w:val="single"/>
        </w:rPr>
        <w:t>基坑监测：包括但不限于</w:t>
      </w:r>
      <w:r>
        <w:rPr>
          <w:rFonts w:hint="eastAsia" w:ascii="宋体" w:hAnsi="宋体" w:eastAsia="宋体" w:cs="宋体"/>
          <w:color w:val="auto"/>
          <w:kern w:val="0"/>
          <w:sz w:val="24"/>
          <w:szCs w:val="24"/>
          <w:highlight w:val="none"/>
          <w:u w:val="single"/>
          <w:lang w:val="en-US" w:eastAsia="zh-CN"/>
        </w:rPr>
        <w:t>基准点埋设和观测、基坑顶部水平位移监测、基坑顶部沉降监测、支护桩测斜（深层水平位移）、地下水位监测、周边地面沉降监测、周边建筑物和地下管线沉降监测、锚索拉力监测、支撑轴力监测、支撑立柱沉降监测、建筑物倾斜监测等</w:t>
      </w:r>
      <w:r>
        <w:rPr>
          <w:rFonts w:hint="eastAsia" w:ascii="宋体" w:hAnsi="宋体" w:eastAsia="宋体" w:cs="宋体"/>
          <w:color w:val="auto"/>
          <w:kern w:val="0"/>
          <w:sz w:val="24"/>
          <w:szCs w:val="24"/>
          <w:highlight w:val="none"/>
          <w:u w:val="single"/>
        </w:rPr>
        <w:t>。</w:t>
      </w:r>
    </w:p>
    <w:p w14:paraId="63C2EB7C">
      <w:pPr>
        <w:keepNext w:val="0"/>
        <w:keepLines w:val="0"/>
        <w:pageBreakBefore w:val="0"/>
        <w:widowControl w:val="0"/>
        <w:tabs>
          <w:tab w:val="left" w:pos="7513"/>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bookmarkStart w:id="22" w:name="_Toc26779"/>
      <w:bookmarkStart w:id="23" w:name="_Toc17596"/>
      <w:r>
        <w:rPr>
          <w:rFonts w:hint="eastAsia" w:ascii="宋体" w:hAnsi="宋体" w:eastAsia="宋体" w:cs="宋体"/>
          <w:color w:val="auto"/>
          <w:kern w:val="0"/>
          <w:sz w:val="24"/>
          <w:szCs w:val="24"/>
          <w:highlight w:val="none"/>
          <w:u w:val="single"/>
          <w:lang w:val="en-US" w:eastAsia="zh-CN"/>
        </w:rPr>
        <w:t>2.</w:t>
      </w:r>
      <w:r>
        <w:rPr>
          <w:rFonts w:hint="eastAsia" w:ascii="宋体" w:hAnsi="宋体" w:eastAsia="宋体" w:cs="宋体"/>
          <w:color w:val="auto"/>
          <w:kern w:val="0"/>
          <w:sz w:val="24"/>
          <w:szCs w:val="24"/>
          <w:highlight w:val="none"/>
          <w:u w:val="single"/>
        </w:rPr>
        <w:t>主体沉降观测。</w:t>
      </w:r>
      <w:bookmarkEnd w:id="22"/>
      <w:bookmarkEnd w:id="23"/>
    </w:p>
    <w:p w14:paraId="217FDA3E">
      <w:pPr>
        <w:keepNext w:val="0"/>
        <w:keepLines w:val="0"/>
        <w:pageBreakBefore w:val="0"/>
        <w:widowControl w:val="0"/>
        <w:tabs>
          <w:tab w:val="left" w:pos="7513"/>
        </w:tabs>
        <w:kinsoku/>
        <w:wordWrap/>
        <w:overflowPunct/>
        <w:topLinePunct w:val="0"/>
        <w:bidi w:val="0"/>
        <w:adjustRightInd/>
        <w:snapToGrid/>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lang w:val="en-US" w:eastAsia="zh-CN"/>
        </w:rPr>
        <w:t>3.</w:t>
      </w:r>
      <w:r>
        <w:rPr>
          <w:rFonts w:hint="eastAsia" w:ascii="宋体" w:hAnsi="宋体" w:eastAsia="宋体" w:cs="宋体"/>
          <w:color w:val="auto"/>
          <w:kern w:val="0"/>
          <w:sz w:val="24"/>
          <w:szCs w:val="24"/>
          <w:highlight w:val="none"/>
          <w:u w:val="single"/>
        </w:rPr>
        <w:t>高支模监测：</w:t>
      </w:r>
      <w:r>
        <w:rPr>
          <w:rFonts w:hint="eastAsia" w:ascii="宋体" w:hAnsi="宋体" w:eastAsia="宋体" w:cs="宋体"/>
          <w:color w:val="auto"/>
          <w:kern w:val="0"/>
          <w:sz w:val="24"/>
          <w:szCs w:val="24"/>
          <w:highlight w:val="none"/>
          <w:u w:val="single"/>
          <w:lang w:val="en-US" w:eastAsia="zh-CN"/>
        </w:rPr>
        <w:t>包括但不限于高支模立杆倾角、立杠位移、高支模立杆轴力、立杆沉降</w:t>
      </w:r>
      <w:r>
        <w:rPr>
          <w:rFonts w:hint="eastAsia" w:ascii="宋体" w:hAnsi="宋体" w:eastAsia="宋体" w:cs="宋体"/>
          <w:color w:val="auto"/>
          <w:kern w:val="0"/>
          <w:sz w:val="24"/>
          <w:szCs w:val="24"/>
          <w:highlight w:val="none"/>
          <w:u w:val="single"/>
        </w:rPr>
        <w:t>。</w:t>
      </w:r>
    </w:p>
    <w:p w14:paraId="1FC0426E">
      <w:pPr>
        <w:keepNext w:val="0"/>
        <w:keepLines w:val="0"/>
        <w:pageBreakBefore w:val="0"/>
        <w:widowControl w:val="0"/>
        <w:tabs>
          <w:tab w:val="left" w:pos="7513"/>
        </w:tabs>
        <w:kinsoku/>
        <w:wordWrap/>
        <w:overflowPunct/>
        <w:topLinePunct w:val="0"/>
        <w:bidi w:val="0"/>
        <w:adjustRightInd/>
        <w:snapToGrid/>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lang w:val="en-US" w:eastAsia="zh-CN"/>
        </w:rPr>
        <w:t>4.</w:t>
      </w:r>
      <w:r>
        <w:rPr>
          <w:rFonts w:hint="eastAsia" w:ascii="宋体" w:hAnsi="宋体" w:eastAsia="宋体" w:cs="宋体"/>
          <w:color w:val="auto"/>
          <w:kern w:val="0"/>
          <w:sz w:val="24"/>
          <w:szCs w:val="24"/>
          <w:highlight w:val="none"/>
          <w:u w:val="single"/>
        </w:rPr>
        <w:t>管廊/轨道交通安全监测（如有）：</w:t>
      </w:r>
      <w:r>
        <w:rPr>
          <w:rFonts w:hint="eastAsia" w:ascii="宋体" w:hAnsi="宋体" w:eastAsia="宋体" w:cs="宋体"/>
          <w:color w:val="auto"/>
          <w:kern w:val="0"/>
          <w:sz w:val="24"/>
          <w:szCs w:val="24"/>
          <w:highlight w:val="none"/>
          <w:u w:val="single"/>
          <w:lang w:val="en-US" w:eastAsia="zh-CN"/>
        </w:rPr>
        <w:t>按既定的设计图纸、监测方案及相关技术规范的要求,在附近的建筑物及周围地面上布置沉降观测点，针对铁路/地铁中车站、隧道（含在建）进行自动化监测以及工前工后普查。</w:t>
      </w:r>
    </w:p>
    <w:p w14:paraId="755341FE">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甲方提供的《</w:t>
      </w:r>
      <w:r>
        <w:rPr>
          <w:rFonts w:hint="eastAsia" w:ascii="宋体" w:hAnsi="宋体" w:eastAsia="宋体" w:cs="宋体"/>
          <w:color w:val="auto"/>
          <w:kern w:val="0"/>
          <w:sz w:val="24"/>
          <w:szCs w:val="24"/>
          <w:highlight w:val="none"/>
        </w:rPr>
        <w:t>工程量清单</w:t>
      </w:r>
      <w:r>
        <w:rPr>
          <w:rFonts w:hint="eastAsia" w:ascii="宋体" w:hAnsi="宋体" w:eastAsia="宋体" w:cs="宋体"/>
          <w:color w:val="auto"/>
          <w:kern w:val="0"/>
          <w:sz w:val="24"/>
          <w:szCs w:val="24"/>
          <w:highlight w:val="none"/>
          <w:lang w:val="en-US" w:eastAsia="zh-CN"/>
        </w:rPr>
        <w:t>》及乙方的《工程量清单报价表》</w:t>
      </w:r>
      <w:r>
        <w:rPr>
          <w:rFonts w:hint="eastAsia" w:ascii="宋体" w:hAnsi="宋体" w:eastAsia="宋体" w:cs="宋体"/>
          <w:color w:val="auto"/>
          <w:kern w:val="0"/>
          <w:sz w:val="24"/>
          <w:szCs w:val="24"/>
          <w:highlight w:val="none"/>
        </w:rPr>
        <w:t>仅供参考，具体</w:t>
      </w:r>
      <w:r>
        <w:rPr>
          <w:rFonts w:hint="eastAsia" w:ascii="宋体" w:hAnsi="宋体" w:eastAsia="宋体" w:cs="宋体"/>
          <w:color w:val="auto"/>
          <w:kern w:val="0"/>
          <w:sz w:val="24"/>
          <w:szCs w:val="24"/>
          <w:highlight w:val="none"/>
          <w:lang w:eastAsia="zh-CN"/>
        </w:rPr>
        <w:t>第三方</w:t>
      </w:r>
      <w:r>
        <w:rPr>
          <w:rFonts w:hint="eastAsia" w:ascii="宋体" w:hAnsi="宋体" w:eastAsia="宋体" w:cs="宋体"/>
          <w:color w:val="auto"/>
          <w:kern w:val="0"/>
          <w:sz w:val="24"/>
          <w:szCs w:val="24"/>
          <w:highlight w:val="none"/>
        </w:rPr>
        <w:t>检测</w:t>
      </w:r>
      <w:r>
        <w:rPr>
          <w:rFonts w:hint="eastAsia" w:ascii="宋体" w:hAnsi="宋体" w:eastAsia="宋体" w:cs="宋体"/>
          <w:color w:val="auto"/>
          <w:kern w:val="0"/>
          <w:sz w:val="24"/>
          <w:szCs w:val="24"/>
          <w:highlight w:val="none"/>
          <w:lang w:eastAsia="zh-CN"/>
        </w:rPr>
        <w:t>及</w:t>
      </w:r>
      <w:r>
        <w:rPr>
          <w:rFonts w:hint="eastAsia" w:ascii="宋体" w:hAnsi="宋体" w:eastAsia="宋体" w:cs="宋体"/>
          <w:color w:val="auto"/>
          <w:kern w:val="0"/>
          <w:sz w:val="24"/>
          <w:szCs w:val="24"/>
          <w:highlight w:val="none"/>
        </w:rPr>
        <w:t>监测技术服务内容及数量包括但不限于施工图纸、合同、工程量清单、</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要求及招标过程中发出的相关文件所包含的全部内容，且需满足项目施工过程需要、竣工验收要求及相关主管监督部门的要求。</w:t>
      </w:r>
      <w:r>
        <w:rPr>
          <w:rFonts w:hint="eastAsia" w:ascii="宋体" w:hAnsi="宋体" w:eastAsia="宋体" w:cs="宋体"/>
          <w:color w:val="auto"/>
          <w:kern w:val="0"/>
          <w:sz w:val="24"/>
          <w:szCs w:val="24"/>
          <w:highlight w:val="none"/>
          <w:lang w:val="en-US" w:eastAsia="zh-CN"/>
        </w:rPr>
        <w:t>乙方须于正式施工图下发后7日内提交满足</w:t>
      </w:r>
      <w:r>
        <w:rPr>
          <w:rFonts w:hint="eastAsia" w:ascii="宋体" w:hAnsi="宋体" w:eastAsia="宋体" w:cs="宋体"/>
          <w:color w:val="auto"/>
          <w:kern w:val="0"/>
          <w:sz w:val="24"/>
          <w:szCs w:val="24"/>
          <w:highlight w:val="none"/>
        </w:rPr>
        <w:t>设计</w:t>
      </w:r>
      <w:r>
        <w:rPr>
          <w:rFonts w:hint="eastAsia" w:ascii="宋体" w:hAnsi="宋体" w:eastAsia="宋体" w:cs="宋体"/>
          <w:color w:val="auto"/>
          <w:kern w:val="0"/>
          <w:sz w:val="24"/>
          <w:szCs w:val="24"/>
          <w:highlight w:val="none"/>
          <w:lang w:val="en-US" w:eastAsia="zh-CN"/>
        </w:rPr>
        <w:t>文件、</w:t>
      </w:r>
      <w:r>
        <w:rPr>
          <w:rFonts w:hint="eastAsia" w:ascii="宋体" w:hAnsi="宋体" w:eastAsia="宋体" w:cs="宋体"/>
          <w:color w:val="auto"/>
          <w:kern w:val="0"/>
          <w:sz w:val="24"/>
          <w:szCs w:val="24"/>
          <w:highlight w:val="none"/>
        </w:rPr>
        <w:t>国家及地方现行技术规范或规定</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施工现场进度计划及相关验收</w:t>
      </w:r>
      <w:r>
        <w:rPr>
          <w:rFonts w:hint="eastAsia" w:ascii="宋体" w:hAnsi="宋体" w:eastAsia="宋体" w:cs="宋体"/>
          <w:color w:val="auto"/>
          <w:kern w:val="0"/>
          <w:sz w:val="24"/>
          <w:szCs w:val="24"/>
          <w:highlight w:val="none"/>
        </w:rPr>
        <w:t>要求</w:t>
      </w:r>
      <w:r>
        <w:rPr>
          <w:rFonts w:hint="eastAsia" w:ascii="宋体" w:hAnsi="宋体" w:eastAsia="宋体" w:cs="宋体"/>
          <w:color w:val="auto"/>
          <w:kern w:val="0"/>
          <w:sz w:val="24"/>
          <w:szCs w:val="24"/>
          <w:highlight w:val="none"/>
          <w:lang w:val="en-US" w:eastAsia="zh-CN"/>
        </w:rPr>
        <w:t>的检测（监测）方案，并同时提交经检测（监测）预算清单报监理人及甲方审核确认，检测（监测）方案须按规定送政府相关职能部门。经确认的预算清单作为本项目检测（监测）工作计量依据，除因现场实际情况、设计变更、须保证质量安全或验收要求等原因经监理人及甲方批准调整工作量外，实施过程乙方不得人为扩大或缩小检测（监测）范围内容，如因工程进度计划调整、工期延误、建设规模调整等实际原因引起检测（监测）工作量增减，增减检测（监测）费用按责任方承担的原则，由乙方报监理人及甲方确认。</w:t>
      </w:r>
    </w:p>
    <w:p w14:paraId="5E6A439C">
      <w:pPr>
        <w:pStyle w:val="6"/>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其他</w:t>
      </w:r>
      <w:r>
        <w:rPr>
          <w:rFonts w:hint="eastAsia" w:ascii="宋体" w:hAnsi="宋体" w:eastAsia="宋体" w:cs="宋体"/>
          <w:color w:val="auto"/>
          <w:kern w:val="0"/>
          <w:sz w:val="24"/>
          <w:szCs w:val="24"/>
          <w:highlight w:val="none"/>
        </w:rPr>
        <w:t>服务内容</w:t>
      </w:r>
    </w:p>
    <w:p w14:paraId="657E7786">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1.根据甲方要求的工作节点，乙方</w:t>
      </w:r>
      <w:r>
        <w:rPr>
          <w:rFonts w:hint="eastAsia" w:ascii="宋体" w:hAnsi="宋体" w:eastAsia="宋体" w:cs="宋体"/>
          <w:color w:val="auto"/>
          <w:kern w:val="0"/>
          <w:sz w:val="24"/>
          <w:szCs w:val="24"/>
          <w:highlight w:val="none"/>
        </w:rPr>
        <w:t>结合项目实际情况，编制检测、监测方案并报送建设工程质量监督机构审批备案（如需）</w:t>
      </w:r>
      <w:r>
        <w:rPr>
          <w:rFonts w:hint="eastAsia" w:ascii="宋体" w:hAnsi="宋体" w:eastAsia="宋体" w:cs="宋体"/>
          <w:color w:val="auto"/>
          <w:kern w:val="0"/>
          <w:sz w:val="24"/>
          <w:szCs w:val="24"/>
          <w:highlight w:val="none"/>
          <w:lang w:eastAsia="zh-CN"/>
        </w:rPr>
        <w:t>。</w:t>
      </w:r>
    </w:p>
    <w:p w14:paraId="0171F15E">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根据设计文件、施工组织设计、相关规范和相关行政职能部门要求和甲方要求，</w:t>
      </w:r>
      <w:r>
        <w:rPr>
          <w:rFonts w:hint="eastAsia" w:ascii="宋体" w:hAnsi="宋体" w:eastAsia="宋体" w:cs="宋体"/>
          <w:bCs/>
          <w:color w:val="auto"/>
          <w:kern w:val="0"/>
          <w:sz w:val="24"/>
          <w:szCs w:val="24"/>
          <w:highlight w:val="none"/>
          <w:lang w:val="en-US" w:eastAsia="zh-CN"/>
        </w:rPr>
        <w:t>乙方</w:t>
      </w:r>
      <w:r>
        <w:rPr>
          <w:rFonts w:hint="eastAsia" w:ascii="宋体" w:hAnsi="宋体" w:eastAsia="宋体" w:cs="宋体"/>
          <w:bCs/>
          <w:color w:val="auto"/>
          <w:kern w:val="0"/>
          <w:sz w:val="24"/>
          <w:szCs w:val="24"/>
          <w:highlight w:val="none"/>
        </w:rPr>
        <w:t>结合项目实际情况，编制、申报检测、监测方案，并确保检测、监测方案符合有关规范要求及通过工程所在行政区域的相关建设行政主管部门和监督部门的审批，同时负责协调相关工作，保证技术成果能够通过相关部门认可，确保不因检测、监测工作影响本工程项目的建设进度和竣工验收</w:t>
      </w:r>
      <w:r>
        <w:rPr>
          <w:rFonts w:hint="eastAsia" w:ascii="宋体" w:hAnsi="宋体" w:eastAsia="宋体" w:cs="宋体"/>
          <w:bCs/>
          <w:color w:val="auto"/>
          <w:kern w:val="0"/>
          <w:sz w:val="24"/>
          <w:szCs w:val="24"/>
          <w:highlight w:val="none"/>
          <w:lang w:eastAsia="zh-CN"/>
        </w:rPr>
        <w:t>。</w:t>
      </w:r>
    </w:p>
    <w:p w14:paraId="54F6BCE8">
      <w:pPr>
        <w:pStyle w:val="6"/>
        <w:numPr>
          <w:ilvl w:val="0"/>
          <w:numId w:val="0"/>
        </w:numPr>
        <w:adjustRightInd w:val="0"/>
        <w:snapToGrid w:val="0"/>
        <w:spacing w:line="360" w:lineRule="auto"/>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在进行检测、监测任务的过程中与该工程相关的施工单位、监理单位、设计单位、建设主管部门等相关单位的协调工作。</w:t>
      </w:r>
    </w:p>
    <w:p w14:paraId="15E7E2E9">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4.服务内容</w:t>
      </w:r>
      <w:r>
        <w:rPr>
          <w:rFonts w:hint="eastAsia" w:ascii="宋体" w:hAnsi="宋体" w:eastAsia="宋体" w:cs="宋体"/>
          <w:bCs/>
          <w:color w:val="auto"/>
          <w:kern w:val="0"/>
          <w:sz w:val="24"/>
          <w:szCs w:val="24"/>
          <w:highlight w:val="none"/>
        </w:rPr>
        <w:t>包含监督抽检的工作内容，监督抽检数量按建设行政主管部门要求实施，</w:t>
      </w:r>
      <w:r>
        <w:rPr>
          <w:rFonts w:hint="eastAsia" w:ascii="宋体" w:hAnsi="宋体" w:eastAsia="宋体" w:cs="宋体"/>
          <w:bCs/>
          <w:color w:val="auto"/>
          <w:kern w:val="0"/>
          <w:sz w:val="24"/>
          <w:szCs w:val="24"/>
          <w:highlight w:val="none"/>
          <w:lang w:val="en-US" w:eastAsia="zh-CN"/>
        </w:rPr>
        <w:t>相关费用已综合考虑在投标报价中。</w:t>
      </w:r>
    </w:p>
    <w:p w14:paraId="467E02C2">
      <w:pPr>
        <w:pStyle w:val="6"/>
        <w:numPr>
          <w:ilvl w:val="0"/>
          <w:numId w:val="0"/>
        </w:numPr>
        <w:adjustRightInd w:val="0"/>
        <w:snapToGrid w:val="0"/>
        <w:spacing w:line="360" w:lineRule="auto"/>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乙方需按相关要求将工程检测、监测数据的有关信息通过连接系统进行传输报送，确保不因传输报送工作影响本工程项目的建设进度和竣工验收。上述工作发生的费用已包含在</w:t>
      </w:r>
      <w:r>
        <w:rPr>
          <w:rFonts w:hint="eastAsia" w:ascii="宋体" w:hAnsi="宋体" w:eastAsia="宋体" w:cs="宋体"/>
          <w:color w:val="auto"/>
          <w:kern w:val="0"/>
          <w:sz w:val="24"/>
          <w:szCs w:val="24"/>
          <w:highlight w:val="none"/>
          <w:lang w:val="en-US" w:eastAsia="zh-CN"/>
        </w:rPr>
        <w:t>投标报价</w:t>
      </w:r>
      <w:r>
        <w:rPr>
          <w:rFonts w:hint="eastAsia" w:ascii="宋体" w:hAnsi="宋体" w:eastAsia="宋体" w:cs="宋体"/>
          <w:color w:val="auto"/>
          <w:kern w:val="0"/>
          <w:sz w:val="24"/>
          <w:szCs w:val="24"/>
          <w:highlight w:val="none"/>
        </w:rPr>
        <w:t>中。</w:t>
      </w:r>
    </w:p>
    <w:p w14:paraId="64A0FE48">
      <w:pPr>
        <w:pStyle w:val="6"/>
        <w:numPr>
          <w:ilvl w:val="0"/>
          <w:numId w:val="0"/>
        </w:numPr>
        <w:adjustRightInd w:val="0"/>
        <w:snapToGrid w:val="0"/>
        <w:spacing w:line="360" w:lineRule="auto"/>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本项目实施期间，如因本项目验收需要，经甲方确认需增加《工程量清单》中没有的其他检测、监测项目，且乙方也具备相应资质，则乙方不得以任何理由拒绝为甲方提供检测、监测，并出具符合验收要求的检测、监测报告。</w:t>
      </w:r>
    </w:p>
    <w:p w14:paraId="5672F73A">
      <w:pPr>
        <w:pStyle w:val="6"/>
        <w:numPr>
          <w:ilvl w:val="0"/>
          <w:numId w:val="0"/>
        </w:numPr>
        <w:adjustRightInd w:val="0"/>
        <w:snapToGrid w:val="0"/>
        <w:spacing w:line="360" w:lineRule="auto"/>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本项目不得转包</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如乙方检测、监测资质不能涵盖的项目，或根据建设主管部门的要求，需要由不同工程质量检测</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监测</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机构进行检测</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监测</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的，由乙方报甲方批准后委托有资质的相应单位实施，并按相关要求取得相应管理部门确认，确保不影响项目验收。乙方对该第三方出具的结果负责，此部分工作产生的费用由乙方自行承担并已包含于投标报价中。</w:t>
      </w:r>
    </w:p>
    <w:p w14:paraId="60A92F6D">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8.</w:t>
      </w:r>
      <w:r>
        <w:rPr>
          <w:rFonts w:hint="eastAsia" w:ascii="宋体" w:hAnsi="宋体" w:eastAsia="宋体" w:cs="宋体"/>
          <w:bCs/>
          <w:color w:val="auto"/>
          <w:kern w:val="0"/>
          <w:sz w:val="24"/>
          <w:szCs w:val="24"/>
          <w:highlight w:val="none"/>
        </w:rPr>
        <w:t>用于完成本项目检测、监测的仪器、设备和材料由乙方自行运输，存管。仪器、设备和材料应有产品出厂合格证，检定/校准证书，同时符合相关技术标准和检定要求。本项目应遵守广州市科学技术局（广州市建设科学技术委员会）等相关部门对本工程的相关批示及指导意见。</w:t>
      </w:r>
    </w:p>
    <w:p w14:paraId="625222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u w:val="single"/>
          <w:lang w:val="en-US" w:eastAsia="zh-CN"/>
        </w:rPr>
        <w:t>9.</w:t>
      </w:r>
      <w:r>
        <w:rPr>
          <w:rFonts w:hint="eastAsia" w:ascii="宋体" w:hAnsi="宋体" w:eastAsia="宋体" w:cs="宋体"/>
          <w:color w:val="auto"/>
          <w:kern w:val="0"/>
          <w:sz w:val="24"/>
          <w:szCs w:val="24"/>
          <w:highlight w:val="none"/>
          <w:u w:val="single"/>
        </w:rPr>
        <w:t>根据《广州市城乡建设委员会关于启用地下工程及深基坑安全监测信息管理系统的通知》要求，乙方需配合做好信息化管理工作。乙方需按广州市住房和城乡建设局的规定，开通基坑监测数据管理系统账号，配备能实时上传监测数据的相关仪器设备，并具备将监测数据实时上传至广州市地下工程和深基坑安全监测信息管理系统的能力及经验。根据《广州市住房和城乡建设委员会关于启用高大模板实时监测管理平台的通知》要求，乙方需配合做好信息化管理工作。乙方需按广州市住房和城乡建设局的规定，开通高大模板自动化监测数据管理系统账号，配备能实时上传监测数据的相关仪器设备，并具备将监测数据实时上传至广州市高大模板实时监测管理平台的能力及经验。还包括建筑物沉降观测有关数据通过连接系统进行传输报送，并按要求出具符合验收要求的监测、观测报告。以上监测、观测数据均需按建设主管行政主管部门及监督部门要求通过信息管理平台实时报送，</w:t>
      </w:r>
      <w:r>
        <w:rPr>
          <w:rFonts w:hint="eastAsia" w:ascii="宋体" w:hAnsi="宋体" w:eastAsia="宋体" w:cs="宋体"/>
          <w:bCs/>
          <w:color w:val="auto"/>
          <w:kern w:val="0"/>
          <w:sz w:val="24"/>
          <w:szCs w:val="24"/>
          <w:highlight w:val="none"/>
          <w:u w:val="single"/>
          <w:lang w:val="en-US" w:eastAsia="zh-CN"/>
        </w:rPr>
        <w:t>相关费用已综合考虑在投标报价中</w:t>
      </w:r>
      <w:r>
        <w:rPr>
          <w:rFonts w:hint="eastAsia" w:ascii="宋体" w:hAnsi="宋体" w:eastAsia="宋体" w:cs="宋体"/>
          <w:color w:val="auto"/>
          <w:sz w:val="24"/>
          <w:szCs w:val="24"/>
          <w:highlight w:val="none"/>
          <w:lang w:val="en-US" w:eastAsia="zh-CN"/>
        </w:rPr>
        <w:t>。</w:t>
      </w:r>
    </w:p>
    <w:p w14:paraId="7BABCF8E">
      <w:pPr>
        <w:pStyle w:val="6"/>
        <w:numPr>
          <w:ilvl w:val="0"/>
          <w:numId w:val="0"/>
        </w:numPr>
        <w:adjustRightInd w:val="0"/>
        <w:snapToGrid w:val="0"/>
        <w:spacing w:line="360" w:lineRule="auto"/>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五）合同附件6《工程量清单报价表》仅</w:t>
      </w:r>
      <w:r>
        <w:rPr>
          <w:rFonts w:hint="eastAsia" w:ascii="宋体" w:hAnsi="宋体" w:eastAsia="宋体" w:cs="宋体"/>
          <w:color w:val="auto"/>
          <w:kern w:val="0"/>
          <w:sz w:val="24"/>
          <w:szCs w:val="24"/>
          <w:highlight w:val="none"/>
        </w:rPr>
        <w:t>作为检测（</w:t>
      </w:r>
      <w:r>
        <w:rPr>
          <w:rFonts w:hint="eastAsia" w:ascii="宋体" w:hAnsi="宋体" w:eastAsia="宋体" w:cs="宋体"/>
          <w:color w:val="auto"/>
          <w:kern w:val="0"/>
          <w:sz w:val="24"/>
          <w:szCs w:val="24"/>
          <w:highlight w:val="none"/>
          <w:u w:val="none"/>
        </w:rPr>
        <w:t>监测</w:t>
      </w:r>
      <w:r>
        <w:rPr>
          <w:rFonts w:hint="eastAsia" w:ascii="宋体" w:hAnsi="宋体" w:eastAsia="宋体" w:cs="宋体"/>
          <w:color w:val="auto"/>
          <w:kern w:val="0"/>
          <w:sz w:val="24"/>
          <w:szCs w:val="24"/>
          <w:highlight w:val="none"/>
        </w:rPr>
        <w:t>）工作量计量依据，实际工作量以甲方确认为准，甲方根据工程实际情况，有权对乙方的承包范围及内容进行适当调整，乙方必须无条件服从。</w:t>
      </w:r>
    </w:p>
    <w:p w14:paraId="5A391A5C">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 w:val="0"/>
          <w:bCs/>
          <w:snapToGrid/>
          <w:color w:val="auto"/>
          <w:kern w:val="0"/>
          <w:sz w:val="24"/>
          <w:szCs w:val="24"/>
          <w:highlight w:val="none"/>
          <w:lang w:val="en-US" w:eastAsia="zh-CN"/>
        </w:rPr>
      </w:pPr>
      <w:r>
        <w:rPr>
          <w:rFonts w:hint="eastAsia" w:ascii="宋体" w:hAnsi="宋体" w:eastAsia="宋体" w:cs="宋体"/>
          <w:b w:val="0"/>
          <w:bCs/>
          <w:snapToGrid/>
          <w:color w:val="auto"/>
          <w:kern w:val="0"/>
          <w:sz w:val="24"/>
          <w:szCs w:val="24"/>
          <w:highlight w:val="none"/>
          <w:lang w:val="en-US" w:eastAsia="zh-CN"/>
        </w:rPr>
        <w:t>（六）本服务项目乙方如为联合体的：</w:t>
      </w:r>
    </w:p>
    <w:p w14:paraId="6A1E3B02">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 w:val="0"/>
          <w:bCs/>
          <w:snapToGrid/>
          <w:color w:val="auto"/>
          <w:kern w:val="0"/>
          <w:sz w:val="24"/>
          <w:szCs w:val="24"/>
          <w:highlight w:val="none"/>
          <w:lang w:val="en-US" w:eastAsia="zh-CN"/>
        </w:rPr>
      </w:pPr>
      <w:r>
        <w:rPr>
          <w:rFonts w:hint="eastAsia" w:ascii="宋体" w:hAnsi="宋体" w:eastAsia="宋体" w:cs="宋体"/>
          <w:b w:val="0"/>
          <w:bCs/>
          <w:snapToGrid/>
          <w:color w:val="auto"/>
          <w:kern w:val="0"/>
          <w:sz w:val="24"/>
          <w:szCs w:val="24"/>
          <w:highlight w:val="none"/>
          <w:lang w:val="en-US" w:eastAsia="zh-CN"/>
        </w:rPr>
        <w:t>1.乙方应按投标文件签署的联合体协议书要求就本项目服务做好明确分工，完成本服务项目工作内容。</w:t>
      </w:r>
    </w:p>
    <w:p w14:paraId="2229DAA9">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 w:val="0"/>
          <w:bCs/>
          <w:snapToGrid/>
          <w:color w:val="auto"/>
          <w:kern w:val="0"/>
          <w:sz w:val="24"/>
          <w:szCs w:val="24"/>
          <w:highlight w:val="none"/>
          <w:lang w:val="en-US" w:eastAsia="zh-CN"/>
        </w:rPr>
      </w:pPr>
      <w:r>
        <w:rPr>
          <w:rFonts w:hint="eastAsia" w:ascii="宋体" w:hAnsi="宋体" w:eastAsia="宋体" w:cs="宋体"/>
          <w:b w:val="0"/>
          <w:bCs/>
          <w:snapToGrid/>
          <w:color w:val="auto"/>
          <w:kern w:val="0"/>
          <w:sz w:val="24"/>
          <w:szCs w:val="24"/>
          <w:highlight w:val="none"/>
          <w:lang w:val="en-US" w:eastAsia="zh-CN"/>
        </w:rPr>
        <w:t>2.甲方向乙方下发的图纸、文件、指令等，均直接发放至联合体主办方，再由联合体主办方向联合体成员方转送；乙方向甲方递交的函件、支付申请等文件，均由联合体主办方汇总递交。</w:t>
      </w:r>
    </w:p>
    <w:p w14:paraId="64A48CBC">
      <w:pPr>
        <w:pStyle w:val="2"/>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outlineLvl w:val="0"/>
        <w:rPr>
          <w:rFonts w:hint="eastAsia" w:ascii="宋体" w:hAnsi="宋体" w:eastAsia="宋体" w:cs="宋体"/>
          <w:b/>
          <w:color w:val="auto"/>
          <w:kern w:val="0"/>
          <w:sz w:val="24"/>
          <w:szCs w:val="24"/>
          <w:highlight w:val="none"/>
        </w:rPr>
      </w:pPr>
      <w:bookmarkStart w:id="24" w:name="_Toc32059"/>
      <w:bookmarkStart w:id="25" w:name="_Toc15431"/>
      <w:bookmarkStart w:id="26" w:name="_Toc25724"/>
      <w:bookmarkStart w:id="27" w:name="_Toc9669"/>
      <w:bookmarkStart w:id="28" w:name="_Toc9677"/>
      <w:r>
        <w:rPr>
          <w:rFonts w:hint="eastAsia" w:ascii="宋体" w:hAnsi="宋体" w:eastAsia="宋体" w:cs="宋体"/>
          <w:b/>
          <w:color w:val="auto"/>
          <w:kern w:val="0"/>
          <w:sz w:val="24"/>
          <w:szCs w:val="24"/>
          <w:highlight w:val="none"/>
          <w:lang w:val="en-US" w:eastAsia="zh-CN"/>
        </w:rPr>
        <w:t>四</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服务要求</w:t>
      </w:r>
      <w:bookmarkEnd w:id="24"/>
      <w:bookmarkEnd w:id="25"/>
      <w:bookmarkEnd w:id="26"/>
      <w:bookmarkEnd w:id="27"/>
      <w:bookmarkEnd w:id="28"/>
    </w:p>
    <w:p w14:paraId="4563F77E">
      <w:pPr>
        <w:tabs>
          <w:tab w:val="left" w:pos="7513"/>
        </w:tabs>
        <w:adjustRightInd w:val="0"/>
        <w:snapToGrid w:val="0"/>
        <w:spacing w:line="360" w:lineRule="auto"/>
        <w:ind w:firstLine="482" w:firstLineChars="200"/>
        <w:jc w:val="both"/>
        <w:rPr>
          <w:rFonts w:hint="eastAsia" w:ascii="宋体" w:hAnsi="宋体" w:eastAsia="宋体" w:cs="宋体"/>
          <w:color w:val="auto"/>
          <w:kern w:val="0"/>
          <w:sz w:val="24"/>
          <w:szCs w:val="24"/>
          <w:highlight w:val="none"/>
          <w:u w:val="single"/>
        </w:rPr>
      </w:pP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一</w:t>
      </w:r>
      <w:r>
        <w:rPr>
          <w:rFonts w:hint="eastAsia" w:ascii="宋体" w:hAnsi="宋体" w:eastAsia="宋体" w:cs="宋体"/>
          <w:b/>
          <w:color w:val="auto"/>
          <w:kern w:val="0"/>
          <w:sz w:val="24"/>
          <w:szCs w:val="24"/>
          <w:highlight w:val="none"/>
        </w:rPr>
        <w:t>）服务期限：</w:t>
      </w:r>
      <w:r>
        <w:rPr>
          <w:rFonts w:hint="eastAsia" w:ascii="宋体" w:hAnsi="宋体" w:eastAsia="宋体" w:cs="宋体"/>
          <w:color w:val="auto"/>
          <w:kern w:val="0"/>
          <w:sz w:val="24"/>
          <w:szCs w:val="24"/>
          <w:highlight w:val="none"/>
          <w:u w:val="single"/>
        </w:rPr>
        <w:t>自签订合同之日起，至所有服务项目完成并通过竣工验收备案为止，具体开工日期以甲方发出要求开始的日期为准，服务周期必须满足实际施工要求，包括但不限于施工准备阶段、施工全过程及竣工验收需完成的相关服务。</w:t>
      </w:r>
    </w:p>
    <w:p w14:paraId="10658126">
      <w:pPr>
        <w:pStyle w:val="2"/>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outlineLvl w:val="9"/>
        <w:rPr>
          <w:rFonts w:hint="eastAsia" w:ascii="宋体" w:hAnsi="宋体" w:eastAsia="宋体" w:cs="宋体"/>
          <w:b/>
          <w:color w:val="auto"/>
          <w:kern w:val="0"/>
          <w:sz w:val="24"/>
          <w:szCs w:val="24"/>
          <w:highlight w:val="none"/>
        </w:rPr>
      </w:pPr>
      <w:bookmarkStart w:id="29" w:name="_Toc19429"/>
      <w:bookmarkStart w:id="30" w:name="_Toc26830"/>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二</w:t>
      </w:r>
      <w:r>
        <w:rPr>
          <w:rFonts w:hint="eastAsia" w:ascii="宋体" w:hAnsi="宋体" w:eastAsia="宋体" w:cs="宋体"/>
          <w:b/>
          <w:color w:val="auto"/>
          <w:kern w:val="0"/>
          <w:sz w:val="24"/>
          <w:szCs w:val="24"/>
          <w:highlight w:val="none"/>
        </w:rPr>
        <w:t>）服务进度</w:t>
      </w:r>
      <w:bookmarkEnd w:id="29"/>
      <w:bookmarkEnd w:id="30"/>
    </w:p>
    <w:p w14:paraId="30B83A36">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1.检测服务进度：</w:t>
      </w:r>
      <w:r>
        <w:rPr>
          <w:rFonts w:hint="eastAsia" w:ascii="宋体" w:hAnsi="宋体" w:eastAsia="宋体" w:cs="宋体"/>
          <w:color w:val="auto"/>
          <w:kern w:val="0"/>
          <w:sz w:val="24"/>
          <w:szCs w:val="24"/>
          <w:highlight w:val="none"/>
          <w:u w:val="single"/>
        </w:rPr>
        <w:t>每项检测内容按甲方要求分批次进行，具体进度以甲方通知为准。乙方在收到甲方进场通知后2个工作日内进场确认现场试验检测条件，在条件满足要求的前提下3个工作日内完成现场工作。乙方完成现场工作后5个工作日内提交正式检测报告一式10份。</w:t>
      </w:r>
    </w:p>
    <w:p w14:paraId="0949AD1F">
      <w:pPr>
        <w:pStyle w:val="19"/>
        <w:keepNext w:val="0"/>
        <w:keepLines w:val="0"/>
        <w:pageBreakBefore w:val="0"/>
        <w:widowControl w:val="0"/>
        <w:kinsoku/>
        <w:wordWrap/>
        <w:overflowPunct/>
        <w:topLinePunct w:val="0"/>
        <w:bidi w:val="0"/>
        <w:adjustRightInd w:val="0"/>
        <w:snapToGrid w:val="0"/>
        <w:spacing w:after="0"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2.监测服务进度：</w:t>
      </w:r>
    </w:p>
    <w:p w14:paraId="5B8E11AF">
      <w:pPr>
        <w:pStyle w:val="19"/>
        <w:keepNext w:val="0"/>
        <w:keepLines w:val="0"/>
        <w:pageBreakBefore w:val="0"/>
        <w:widowControl w:val="0"/>
        <w:kinsoku/>
        <w:wordWrap/>
        <w:overflowPunct/>
        <w:topLinePunct w:val="0"/>
        <w:bidi w:val="0"/>
        <w:adjustRightInd w:val="0"/>
        <w:snapToGrid w:val="0"/>
        <w:spacing w:after="0" w:line="360" w:lineRule="auto"/>
        <w:ind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（1）具体监测、观测时间参照既定监测方案，并随工程进度、测量反馈及甲方要求做相应的调整。乙方应严格按照设计要求及现场监理人员要求，配合工程进度，及时到现场进行监测、观测工作。</w:t>
      </w:r>
    </w:p>
    <w:p w14:paraId="53173480">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（2）每次监测结束后，在当日提供监测结果电子版文件，在2个日历天内向甲方提交书面监测结果</w:t>
      </w:r>
      <w:r>
        <w:rPr>
          <w:rFonts w:hint="eastAsia" w:ascii="宋体" w:hAnsi="宋体" w:eastAsia="宋体" w:cs="宋体"/>
          <w:color w:val="auto"/>
          <w:kern w:val="0"/>
          <w:sz w:val="24"/>
          <w:szCs w:val="24"/>
          <w:highlight w:val="none"/>
          <w:u w:val="single"/>
          <w:lang w:eastAsia="zh-CN"/>
        </w:rPr>
        <w:t>一式</w:t>
      </w:r>
      <w:r>
        <w:rPr>
          <w:rFonts w:hint="eastAsia" w:ascii="宋体" w:hAnsi="宋体" w:eastAsia="宋体" w:cs="宋体"/>
          <w:color w:val="auto"/>
          <w:kern w:val="0"/>
          <w:sz w:val="24"/>
          <w:szCs w:val="24"/>
          <w:highlight w:val="none"/>
          <w:u w:val="single"/>
          <w:lang w:val="en-US" w:eastAsia="zh-CN"/>
        </w:rPr>
        <w:t>10份</w:t>
      </w:r>
      <w:r>
        <w:rPr>
          <w:rFonts w:hint="eastAsia" w:ascii="宋体" w:hAnsi="宋体" w:eastAsia="宋体" w:cs="宋体"/>
          <w:color w:val="auto"/>
          <w:kern w:val="0"/>
          <w:sz w:val="24"/>
          <w:szCs w:val="24"/>
          <w:highlight w:val="none"/>
          <w:u w:val="single"/>
        </w:rPr>
        <w:t>。并按政府监管部门的要求，将监测数据实时上传至《地下工程和深基坑安全监测预警系统》</w:t>
      </w:r>
      <w:r>
        <w:rPr>
          <w:rFonts w:hint="eastAsia" w:ascii="宋体" w:hAnsi="宋体" w:eastAsia="宋体" w:cs="宋体"/>
          <w:color w:val="auto"/>
          <w:kern w:val="0"/>
          <w:sz w:val="24"/>
          <w:szCs w:val="24"/>
          <w:highlight w:val="none"/>
          <w:u w:val="single"/>
          <w:lang w:val="en-US" w:eastAsia="zh-CN"/>
        </w:rPr>
        <w:t>及相关系统</w:t>
      </w:r>
      <w:r>
        <w:rPr>
          <w:rFonts w:hint="eastAsia" w:ascii="宋体" w:hAnsi="宋体" w:eastAsia="宋体" w:cs="宋体"/>
          <w:color w:val="auto"/>
          <w:kern w:val="0"/>
          <w:sz w:val="24"/>
          <w:szCs w:val="24"/>
          <w:highlight w:val="none"/>
          <w:u w:val="single"/>
        </w:rPr>
        <w:t>。监测工作结束后10个工作日内提交监测总报告</w:t>
      </w:r>
      <w:r>
        <w:rPr>
          <w:rFonts w:hint="eastAsia" w:ascii="宋体" w:hAnsi="宋体" w:eastAsia="宋体" w:cs="宋体"/>
          <w:color w:val="auto"/>
          <w:kern w:val="0"/>
          <w:sz w:val="24"/>
          <w:szCs w:val="24"/>
          <w:highlight w:val="none"/>
          <w:u w:val="single"/>
          <w:lang w:eastAsia="zh-CN"/>
        </w:rPr>
        <w:t>一式</w:t>
      </w:r>
      <w:r>
        <w:rPr>
          <w:rFonts w:hint="eastAsia" w:ascii="宋体" w:hAnsi="宋体" w:eastAsia="宋体" w:cs="宋体"/>
          <w:color w:val="auto"/>
          <w:kern w:val="0"/>
          <w:sz w:val="24"/>
          <w:szCs w:val="24"/>
          <w:highlight w:val="none"/>
          <w:u w:val="single"/>
          <w:lang w:val="en-US" w:eastAsia="zh-CN"/>
        </w:rPr>
        <w:t>10份</w:t>
      </w:r>
      <w:r>
        <w:rPr>
          <w:rFonts w:hint="eastAsia" w:ascii="宋体" w:hAnsi="宋体" w:eastAsia="宋体" w:cs="宋体"/>
          <w:color w:val="auto"/>
          <w:kern w:val="0"/>
          <w:sz w:val="24"/>
          <w:szCs w:val="24"/>
          <w:highlight w:val="none"/>
          <w:u w:val="single"/>
        </w:rPr>
        <w:t>。</w:t>
      </w:r>
    </w:p>
    <w:p w14:paraId="6DDFBB05">
      <w:pPr>
        <w:pStyle w:val="2"/>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outlineLvl w:val="9"/>
        <w:rPr>
          <w:rFonts w:hint="eastAsia" w:ascii="宋体" w:hAnsi="宋体" w:eastAsia="宋体" w:cs="宋体"/>
          <w:b/>
          <w:color w:val="auto"/>
          <w:kern w:val="0"/>
          <w:sz w:val="24"/>
          <w:szCs w:val="24"/>
          <w:highlight w:val="none"/>
        </w:rPr>
      </w:pPr>
      <w:bookmarkStart w:id="31" w:name="_Toc15800"/>
      <w:bookmarkStart w:id="32" w:name="_Toc15007"/>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三</w:t>
      </w:r>
      <w:r>
        <w:rPr>
          <w:rFonts w:hint="eastAsia" w:ascii="宋体" w:hAnsi="宋体" w:eastAsia="宋体" w:cs="宋体"/>
          <w:b/>
          <w:color w:val="auto"/>
          <w:kern w:val="0"/>
          <w:sz w:val="24"/>
          <w:szCs w:val="24"/>
          <w:highlight w:val="none"/>
        </w:rPr>
        <w:t>）服务质量</w:t>
      </w:r>
      <w:bookmarkEnd w:id="31"/>
      <w:bookmarkEnd w:id="32"/>
    </w:p>
    <w:p w14:paraId="27566FA9">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1.检测</w:t>
      </w:r>
      <w:r>
        <w:rPr>
          <w:rFonts w:hint="eastAsia" w:ascii="宋体" w:hAnsi="宋体" w:eastAsia="宋体" w:cs="宋体"/>
          <w:color w:val="auto"/>
          <w:kern w:val="0"/>
          <w:sz w:val="24"/>
          <w:szCs w:val="24"/>
          <w:highlight w:val="none"/>
          <w:lang w:val="en-US" w:eastAsia="zh-CN"/>
        </w:rPr>
        <w:t>服务质量</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按照相关规范进行检测，检验所使用仪器仪表必须经法定计量部门检定合格，性能应稳定可靠；提供公正、公平及高效的服务；出具公正的检测报告。</w:t>
      </w:r>
    </w:p>
    <w:p w14:paraId="728A6FA1">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2.监测</w:t>
      </w:r>
      <w:r>
        <w:rPr>
          <w:rFonts w:hint="eastAsia" w:ascii="宋体" w:hAnsi="宋体" w:eastAsia="宋体" w:cs="宋体"/>
          <w:color w:val="auto"/>
          <w:kern w:val="0"/>
          <w:sz w:val="24"/>
          <w:szCs w:val="24"/>
          <w:highlight w:val="none"/>
          <w:lang w:val="en-US" w:eastAsia="zh-CN"/>
        </w:rPr>
        <w:t>服务质量</w:t>
      </w:r>
      <w:r>
        <w:rPr>
          <w:rFonts w:hint="eastAsia" w:ascii="宋体" w:hAnsi="宋体" w:eastAsia="宋体" w:cs="宋体"/>
          <w:color w:val="auto"/>
          <w:kern w:val="0"/>
          <w:sz w:val="24"/>
          <w:szCs w:val="24"/>
          <w:highlight w:val="none"/>
        </w:rPr>
        <w:t>：</w:t>
      </w:r>
    </w:p>
    <w:p w14:paraId="17194746">
      <w:pPr>
        <w:pStyle w:val="19"/>
        <w:keepNext w:val="0"/>
        <w:keepLines w:val="0"/>
        <w:pageBreakBefore w:val="0"/>
        <w:widowControl w:val="0"/>
        <w:kinsoku/>
        <w:wordWrap/>
        <w:overflowPunct/>
        <w:topLinePunct w:val="0"/>
        <w:bidi w:val="0"/>
        <w:adjustRightInd w:val="0"/>
        <w:snapToGrid w:val="0"/>
        <w:spacing w:after="0"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1）乙方应根据甲方通知，及时组织具备相应资质的人员进行监测、观测。监测、观测过程中应严格按照操作规程进行测试，按要求进行记录。记录不得任意涂改，如需修改必须严格按照相应规定和程序进行修改。测试过程中，如数据有异常情况必须进行复测，进行验证，以确保数据的更加准确可靠。乙方应定期对仪器做好校核，并做好记录表，保证监测结果准确性。</w:t>
      </w:r>
    </w:p>
    <w:p w14:paraId="0FFC34CF">
      <w:pPr>
        <w:pStyle w:val="19"/>
        <w:keepNext w:val="0"/>
        <w:keepLines w:val="0"/>
        <w:pageBreakBefore w:val="0"/>
        <w:widowControl w:val="0"/>
        <w:kinsoku/>
        <w:wordWrap/>
        <w:overflowPunct/>
        <w:topLinePunct w:val="0"/>
        <w:bidi w:val="0"/>
        <w:adjustRightInd w:val="0"/>
        <w:snapToGrid w:val="0"/>
        <w:spacing w:after="0" w:line="360" w:lineRule="auto"/>
        <w:ind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（2）各项监测、观测按国家、省、市现行有关规范和规定的要求及设计要求进行，乙方对测量数据的准确性、可靠性及真实性负责。</w:t>
      </w:r>
    </w:p>
    <w:p w14:paraId="299C7EA6">
      <w:pPr>
        <w:pStyle w:val="19"/>
        <w:keepNext w:val="0"/>
        <w:keepLines w:val="0"/>
        <w:pageBreakBefore w:val="0"/>
        <w:widowControl w:val="0"/>
        <w:kinsoku/>
        <w:wordWrap/>
        <w:overflowPunct/>
        <w:topLinePunct w:val="0"/>
        <w:bidi w:val="0"/>
        <w:adjustRightInd w:val="0"/>
        <w:snapToGrid w:val="0"/>
        <w:spacing w:after="0"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（3）根据监测、观测结果及时出具科学、公正的技术服务报告，满足工程质量验收及甲方要求。</w:t>
      </w:r>
    </w:p>
    <w:p w14:paraId="1BC7BB2E">
      <w:pPr>
        <w:pStyle w:val="19"/>
        <w:keepNext w:val="0"/>
        <w:keepLines w:val="0"/>
        <w:pageBreakBefore w:val="0"/>
        <w:widowControl w:val="0"/>
        <w:kinsoku/>
        <w:wordWrap/>
        <w:overflowPunct/>
        <w:topLinePunct w:val="0"/>
        <w:bidi w:val="0"/>
        <w:adjustRightInd w:val="0"/>
        <w:snapToGrid w:val="0"/>
        <w:spacing w:after="0"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（4）乙方应将发送和接收的资料及时登记，对发送和存档的资料进行盖章并做好盖章记录。</w:t>
      </w:r>
    </w:p>
    <w:p w14:paraId="1F734B17">
      <w:pPr>
        <w:pStyle w:val="19"/>
        <w:keepNext w:val="0"/>
        <w:keepLines w:val="0"/>
        <w:pageBreakBefore w:val="0"/>
        <w:widowControl w:val="0"/>
        <w:kinsoku/>
        <w:wordWrap/>
        <w:overflowPunct/>
        <w:topLinePunct w:val="0"/>
        <w:bidi w:val="0"/>
        <w:adjustRightInd w:val="0"/>
        <w:snapToGrid w:val="0"/>
        <w:spacing w:after="0"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3.乙方应组织一个合适的项目团队，对整个项目的检测、监测工作过程进行决策、计划、组织、指挥、协调、监督、控制和评价等一系列环节服务，优质高效地完成本项目的检测、监测工作。</w:t>
      </w:r>
    </w:p>
    <w:p w14:paraId="634C443F">
      <w:pPr>
        <w:pStyle w:val="19"/>
        <w:keepNext w:val="0"/>
        <w:keepLines w:val="0"/>
        <w:pageBreakBefore w:val="0"/>
        <w:widowControl w:val="0"/>
        <w:kinsoku/>
        <w:wordWrap/>
        <w:overflowPunct/>
        <w:topLinePunct w:val="0"/>
        <w:bidi w:val="0"/>
        <w:adjustRightInd w:val="0"/>
        <w:snapToGrid w:val="0"/>
        <w:spacing w:after="0" w:line="360" w:lineRule="auto"/>
        <w:ind w:firstLine="482" w:firstLineChars="200"/>
        <w:jc w:val="both"/>
        <w:textAlignment w:val="auto"/>
        <w:outlineLvl w:val="0"/>
        <w:rPr>
          <w:rFonts w:hint="eastAsia" w:ascii="宋体" w:hAnsi="宋体" w:eastAsia="宋体" w:cs="宋体"/>
          <w:b/>
          <w:color w:val="auto"/>
          <w:kern w:val="0"/>
          <w:sz w:val="24"/>
          <w:szCs w:val="24"/>
          <w:highlight w:val="none"/>
        </w:rPr>
      </w:pPr>
      <w:bookmarkStart w:id="33" w:name="_Toc16880"/>
      <w:bookmarkStart w:id="34" w:name="_Toc26737"/>
      <w:bookmarkStart w:id="35" w:name="_Toc1145"/>
      <w:bookmarkStart w:id="36" w:name="_Toc20092"/>
      <w:bookmarkStart w:id="37" w:name="_Toc19557"/>
      <w:r>
        <w:rPr>
          <w:rFonts w:hint="eastAsia" w:ascii="宋体" w:hAnsi="宋体" w:eastAsia="宋体" w:cs="宋体"/>
          <w:b/>
          <w:color w:val="auto"/>
          <w:kern w:val="0"/>
          <w:sz w:val="24"/>
          <w:szCs w:val="24"/>
          <w:highlight w:val="none"/>
          <w:lang w:val="en-US" w:eastAsia="zh-CN"/>
        </w:rPr>
        <w:t>五</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甲方职责</w:t>
      </w:r>
      <w:bookmarkEnd w:id="33"/>
      <w:bookmarkEnd w:id="34"/>
      <w:bookmarkEnd w:id="35"/>
      <w:bookmarkEnd w:id="36"/>
      <w:bookmarkEnd w:id="37"/>
    </w:p>
    <w:p w14:paraId="56C428D6">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（一）为保证乙方有效进行技术服务工作，甲方应当向乙方提供下列工作条件和协作事项：</w:t>
      </w:r>
    </w:p>
    <w:p w14:paraId="732D4D54">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rPr>
      </w:pPr>
      <w:bookmarkStart w:id="38" w:name="_Toc31350"/>
      <w:bookmarkStart w:id="39" w:name="_Toc14934"/>
      <w:r>
        <w:rPr>
          <w:rFonts w:hint="eastAsia" w:ascii="宋体" w:hAnsi="宋体" w:eastAsia="宋体" w:cs="宋体"/>
          <w:color w:val="auto"/>
          <w:kern w:val="0"/>
          <w:sz w:val="24"/>
          <w:szCs w:val="24"/>
          <w:highlight w:val="none"/>
        </w:rPr>
        <w:t>1.提供技术资料：</w:t>
      </w:r>
      <w:bookmarkEnd w:id="38"/>
      <w:bookmarkEnd w:id="39"/>
    </w:p>
    <w:p w14:paraId="38A75A28">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spacing w:val="0"/>
          <w:kern w:val="0"/>
          <w:sz w:val="24"/>
          <w:szCs w:val="24"/>
          <w:highlight w:val="none"/>
          <w:u w:val="single"/>
        </w:rPr>
        <w:t>及时向乙方提供与其工作有关的资料和认为有必要提供的对乙方工作有帮助的有关资料及文件。</w:t>
      </w:r>
    </w:p>
    <w:p w14:paraId="35B09EAF">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
          <w:color w:val="auto"/>
          <w:kern w:val="0"/>
          <w:sz w:val="24"/>
          <w:szCs w:val="24"/>
          <w:highlight w:val="none"/>
        </w:rPr>
      </w:pPr>
      <w:bookmarkStart w:id="40" w:name="_Toc7409"/>
      <w:bookmarkStart w:id="41" w:name="_Toc7143"/>
      <w:r>
        <w:rPr>
          <w:rFonts w:hint="eastAsia" w:ascii="宋体" w:hAnsi="宋体" w:eastAsia="宋体" w:cs="宋体"/>
          <w:color w:val="auto"/>
          <w:kern w:val="0"/>
          <w:sz w:val="24"/>
          <w:szCs w:val="24"/>
          <w:highlight w:val="none"/>
        </w:rPr>
        <w:t>2.提供工作条件：</w:t>
      </w:r>
      <w:bookmarkEnd w:id="40"/>
      <w:bookmarkEnd w:id="41"/>
    </w:p>
    <w:p w14:paraId="655921BE">
      <w:pPr>
        <w:keepNext w:val="0"/>
        <w:keepLines w:val="0"/>
        <w:pageBreakBefore w:val="0"/>
        <w:widowControl w:val="0"/>
        <w:tabs>
          <w:tab w:val="left" w:pos="1050"/>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rPr>
        <w:t>1</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rPr>
        <w:t>甲方应负责第三方检测及监测技术服务所涉及的与甲方有关的所有外部关系的协调，为乙方履行职责提供外部条件。提供与其他组织相联系的渠道，以便乙方收集需要的信息。</w:t>
      </w:r>
    </w:p>
    <w:p w14:paraId="59CBA36B">
      <w:pPr>
        <w:keepNext w:val="0"/>
        <w:keepLines w:val="0"/>
        <w:pageBreakBefore w:val="0"/>
        <w:widowControl w:val="0"/>
        <w:tabs>
          <w:tab w:val="left" w:pos="1050"/>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rPr>
        <w:t>2</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rPr>
        <w:t>负责提供第三方检测及监测技术服务场地及安排施工单位负责现场测点保护工作。</w:t>
      </w:r>
    </w:p>
    <w:p w14:paraId="139025BE">
      <w:pPr>
        <w:keepNext w:val="0"/>
        <w:keepLines w:val="0"/>
        <w:pageBreakBefore w:val="0"/>
        <w:widowControl w:val="0"/>
        <w:tabs>
          <w:tab w:val="left" w:pos="1050"/>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rPr>
        <w:t>3</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rPr>
        <w:t>现场提供水、电接驳点，水、电使用费由乙方自行承担。</w:t>
      </w:r>
    </w:p>
    <w:p w14:paraId="4C49A465">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pacing w:val="0"/>
          <w:kern w:val="0"/>
          <w:sz w:val="24"/>
          <w:szCs w:val="24"/>
          <w:highlight w:val="none"/>
          <w:u w:val="single"/>
        </w:rPr>
      </w:pPr>
      <w:r>
        <w:rPr>
          <w:rFonts w:hint="eastAsia" w:ascii="宋体" w:hAnsi="宋体" w:eastAsia="宋体" w:cs="宋体"/>
          <w:color w:val="auto"/>
          <w:kern w:val="0"/>
          <w:sz w:val="24"/>
          <w:szCs w:val="24"/>
          <w:highlight w:val="none"/>
        </w:rPr>
        <w:t>3.甲方提供上述工作条件和协作事项的时间及方式：</w:t>
      </w:r>
      <w:r>
        <w:rPr>
          <w:rFonts w:hint="eastAsia" w:ascii="宋体" w:hAnsi="宋体" w:eastAsia="宋体" w:cs="宋体"/>
          <w:color w:val="auto"/>
          <w:kern w:val="0"/>
          <w:sz w:val="24"/>
          <w:szCs w:val="24"/>
          <w:highlight w:val="none"/>
          <w:u w:val="single"/>
        </w:rPr>
        <w:t>甲方</w:t>
      </w:r>
      <w:r>
        <w:rPr>
          <w:rFonts w:hint="eastAsia" w:ascii="宋体" w:hAnsi="宋体" w:eastAsia="宋体" w:cs="宋体"/>
          <w:color w:val="auto"/>
          <w:spacing w:val="0"/>
          <w:kern w:val="0"/>
          <w:sz w:val="24"/>
          <w:szCs w:val="24"/>
          <w:highlight w:val="none"/>
          <w:u w:val="single"/>
        </w:rPr>
        <w:t>通知进场日期前一周。</w:t>
      </w:r>
    </w:p>
    <w:p w14:paraId="5EBFE4B5">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（二）甲方应确保所提供资料的合法性、准确性和完整性。</w:t>
      </w:r>
    </w:p>
    <w:p w14:paraId="792AB4FA">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三）甲方有权对乙方工作进行监督。如乙方检测、监测人员未按本合同履行检测、监测职责的，甲方有权要求乙方更换人员，如乙方不更换或更换后的人员仍未按本合同的约定履行检测监测职责，甲方有权单方面解除本合同并要求乙方承担相应违约责任。</w:t>
      </w:r>
    </w:p>
    <w:p w14:paraId="0272F7C2">
      <w:pPr>
        <w:pStyle w:val="2"/>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outlineLvl w:val="0"/>
        <w:rPr>
          <w:rFonts w:hint="eastAsia" w:ascii="宋体" w:hAnsi="宋体" w:eastAsia="宋体" w:cs="宋体"/>
          <w:b/>
          <w:color w:val="auto"/>
          <w:kern w:val="0"/>
          <w:sz w:val="24"/>
          <w:szCs w:val="24"/>
          <w:highlight w:val="none"/>
        </w:rPr>
      </w:pPr>
      <w:bookmarkStart w:id="42" w:name="_Toc10094"/>
      <w:bookmarkStart w:id="43" w:name="_Toc30068"/>
      <w:bookmarkStart w:id="44" w:name="_Toc10560"/>
      <w:bookmarkStart w:id="45" w:name="_Toc20292"/>
      <w:bookmarkStart w:id="46" w:name="_Toc16024"/>
      <w:r>
        <w:rPr>
          <w:rFonts w:hint="eastAsia" w:ascii="宋体" w:hAnsi="宋体" w:eastAsia="宋体" w:cs="宋体"/>
          <w:b/>
          <w:color w:val="auto"/>
          <w:kern w:val="0"/>
          <w:sz w:val="24"/>
          <w:szCs w:val="24"/>
          <w:highlight w:val="none"/>
          <w:lang w:val="en-US" w:eastAsia="zh-CN"/>
        </w:rPr>
        <w:t>六</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乙方职责</w:t>
      </w:r>
      <w:bookmarkEnd w:id="42"/>
      <w:bookmarkEnd w:id="43"/>
      <w:bookmarkEnd w:id="44"/>
      <w:bookmarkEnd w:id="45"/>
      <w:bookmarkEnd w:id="46"/>
    </w:p>
    <w:p w14:paraId="4FDBFB4A">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一）根据设计文件、施工组织设计、相关规范和相关行政职能部门要求和甲方要求，结合项目实际情况，编制检测方案，编制并申报基坑监测、主体沉降观测、高支模监测及与本项目有关的其他监测技术服务方案，按要求组织专家评审论证方案，并确保检测、监测方案符合有关规范要求及通过工程所在行政区域的相关建设行政主管部门和监督部门的审批，同时负责协调相关工作，保证技术成果能够通过相关部门认可，确保不因检测、监测、观测等工作影响本工程项目的建设进度、竣工验收和在城建档案馆备案，乙方投标报价中</w:t>
      </w:r>
      <w:r>
        <w:rPr>
          <w:rFonts w:hint="eastAsia" w:ascii="宋体" w:hAnsi="宋体" w:eastAsia="宋体" w:cs="宋体"/>
          <w:color w:val="auto"/>
          <w:kern w:val="0"/>
          <w:sz w:val="24"/>
          <w:szCs w:val="24"/>
          <w:highlight w:val="none"/>
          <w:lang w:val="en-US" w:eastAsia="zh-CN"/>
        </w:rPr>
        <w:t>已</w:t>
      </w:r>
      <w:r>
        <w:rPr>
          <w:rFonts w:hint="eastAsia" w:ascii="宋体" w:hAnsi="宋体" w:eastAsia="宋体" w:cs="宋体"/>
          <w:color w:val="auto"/>
          <w:kern w:val="0"/>
          <w:sz w:val="24"/>
          <w:szCs w:val="24"/>
          <w:highlight w:val="none"/>
        </w:rPr>
        <w:t>包含该项专家评审及协调工作的费用。</w:t>
      </w:r>
    </w:p>
    <w:p w14:paraId="1717B480">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snapToGrid w:val="0"/>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w:t>
      </w:r>
      <w:r>
        <w:rPr>
          <w:rFonts w:hint="eastAsia" w:ascii="宋体" w:hAnsi="宋体" w:eastAsia="宋体" w:cs="宋体"/>
          <w:snapToGrid w:val="0"/>
          <w:color w:val="auto"/>
          <w:kern w:val="0"/>
          <w:sz w:val="24"/>
          <w:szCs w:val="24"/>
          <w:highlight w:val="none"/>
        </w:rPr>
        <w:t>乙方发现甲方提供的工作条件不符合约定时，应及时通知甲方，超过2个日历</w:t>
      </w:r>
      <w:r>
        <w:rPr>
          <w:rFonts w:hint="eastAsia" w:ascii="宋体" w:hAnsi="宋体" w:eastAsia="宋体" w:cs="宋体"/>
          <w:snapToGrid w:val="0"/>
          <w:color w:val="auto"/>
          <w:kern w:val="0"/>
          <w:sz w:val="24"/>
          <w:szCs w:val="24"/>
          <w:highlight w:val="none"/>
          <w:lang w:eastAsia="zh-CN"/>
        </w:rPr>
        <w:t>天</w:t>
      </w:r>
      <w:r>
        <w:rPr>
          <w:rFonts w:hint="eastAsia" w:ascii="宋体" w:hAnsi="宋体" w:eastAsia="宋体" w:cs="宋体"/>
          <w:snapToGrid w:val="0"/>
          <w:color w:val="auto"/>
          <w:kern w:val="0"/>
          <w:sz w:val="24"/>
          <w:szCs w:val="24"/>
          <w:highlight w:val="none"/>
        </w:rPr>
        <w:t>未通知甲方的，视为其对甲方提供的工作条件予以认可。</w:t>
      </w:r>
    </w:p>
    <w:p w14:paraId="63B4B6C6">
      <w:pPr>
        <w:keepNext w:val="0"/>
        <w:keepLines w:val="0"/>
        <w:pageBreakBefore w:val="0"/>
        <w:widowControl w:val="0"/>
        <w:tabs>
          <w:tab w:val="left" w:pos="7513"/>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本项目实施期间，乙方应</w:t>
      </w:r>
      <w:r>
        <w:rPr>
          <w:rFonts w:hint="eastAsia" w:ascii="宋体" w:hAnsi="宋体" w:eastAsia="宋体" w:cs="宋体"/>
          <w:color w:val="auto"/>
          <w:kern w:val="0"/>
          <w:sz w:val="24"/>
          <w:szCs w:val="24"/>
          <w:highlight w:val="none"/>
          <w:u w:val="single"/>
          <w:lang w:val="en-US" w:eastAsia="zh-CN"/>
        </w:rPr>
        <w:t>结合项目进度</w:t>
      </w:r>
      <w:r>
        <w:rPr>
          <w:rFonts w:hint="eastAsia" w:ascii="宋体" w:hAnsi="宋体" w:eastAsia="宋体" w:cs="宋体"/>
          <w:color w:val="auto"/>
          <w:kern w:val="0"/>
          <w:sz w:val="24"/>
          <w:szCs w:val="24"/>
          <w:highlight w:val="none"/>
          <w:u w:val="single"/>
        </w:rPr>
        <w:t>按甲方要求</w:t>
      </w:r>
      <w:r>
        <w:rPr>
          <w:rFonts w:hint="eastAsia" w:ascii="宋体" w:hAnsi="宋体" w:eastAsia="宋体" w:cs="宋体"/>
          <w:color w:val="auto"/>
          <w:kern w:val="0"/>
          <w:sz w:val="24"/>
          <w:szCs w:val="24"/>
          <w:highlight w:val="none"/>
          <w:u w:val="single"/>
          <w:lang w:val="en-US" w:eastAsia="zh-CN"/>
        </w:rPr>
        <w:t>分别</w:t>
      </w:r>
      <w:r>
        <w:rPr>
          <w:rFonts w:hint="eastAsia" w:ascii="宋体" w:hAnsi="宋体" w:eastAsia="宋体" w:cs="宋体"/>
          <w:color w:val="auto"/>
          <w:kern w:val="0"/>
          <w:sz w:val="24"/>
          <w:szCs w:val="24"/>
          <w:highlight w:val="none"/>
          <w:u w:val="single"/>
        </w:rPr>
        <w:t>派1名具备</w:t>
      </w:r>
      <w:r>
        <w:rPr>
          <w:rFonts w:hint="eastAsia" w:ascii="宋体" w:hAnsi="宋体" w:eastAsia="宋体" w:cs="宋体"/>
          <w:color w:val="auto"/>
          <w:kern w:val="0"/>
          <w:sz w:val="24"/>
          <w:szCs w:val="24"/>
          <w:highlight w:val="none"/>
          <w:u w:val="single"/>
          <w:lang w:val="en-US" w:eastAsia="zh-CN"/>
        </w:rPr>
        <w:t>检测、监测</w:t>
      </w:r>
      <w:r>
        <w:rPr>
          <w:rFonts w:hint="eastAsia" w:ascii="宋体" w:hAnsi="宋体" w:eastAsia="宋体" w:cs="宋体"/>
          <w:color w:val="auto"/>
          <w:kern w:val="0"/>
          <w:sz w:val="24"/>
          <w:szCs w:val="24"/>
          <w:highlight w:val="none"/>
          <w:u w:val="single"/>
        </w:rPr>
        <w:t>资质和熟练技术要求的工作人员驻场，需在投标报价中包含该项费用。</w:t>
      </w:r>
    </w:p>
    <w:p w14:paraId="1BBD7509">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rPr>
        <w:t>）保证检测、监测人员的相对稳定并且具备相应资格，如需调整检测、监测人员，需在调整前的5个工作日内书面告知甲方，且调整人员的资质不得低于被调整人员的资质，项目负责人的调整应征得甲方书面同意。</w:t>
      </w:r>
    </w:p>
    <w:p w14:paraId="7965BBA8">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rPr>
      </w:pPr>
      <w:bookmarkStart w:id="47" w:name="_Toc15116"/>
      <w:bookmarkStart w:id="48" w:name="_Toc11453"/>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五</w:t>
      </w:r>
      <w:r>
        <w:rPr>
          <w:rFonts w:hint="eastAsia" w:ascii="宋体" w:hAnsi="宋体" w:eastAsia="宋体" w:cs="宋体"/>
          <w:color w:val="auto"/>
          <w:kern w:val="0"/>
          <w:sz w:val="24"/>
          <w:szCs w:val="24"/>
          <w:highlight w:val="none"/>
        </w:rPr>
        <w:t>）保证持有的检测、监测等资质满足地方管理要求。</w:t>
      </w:r>
      <w:bookmarkEnd w:id="47"/>
      <w:bookmarkEnd w:id="48"/>
    </w:p>
    <w:p w14:paraId="315A07AE">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六</w:t>
      </w:r>
      <w:r>
        <w:rPr>
          <w:rFonts w:hint="eastAsia" w:ascii="宋体" w:hAnsi="宋体" w:eastAsia="宋体" w:cs="宋体"/>
          <w:color w:val="auto"/>
          <w:kern w:val="0"/>
          <w:sz w:val="24"/>
          <w:szCs w:val="24"/>
          <w:highlight w:val="none"/>
        </w:rPr>
        <w:t>）乙方须按照国家、省、市相关的检测、监测规程及其工程质量检验评定标准、本合同的技术条件来开展进行检测、监测工程。保证检测、监测等成果的公正性、准确性、及时性，并对检测、监测等结果和结论的真实性、准确性负责，保证检测、监测等工作符合合同约定及相关技术规范要求。</w:t>
      </w:r>
    </w:p>
    <w:p w14:paraId="59B7C6A2">
      <w:pPr>
        <w:numPr>
          <w:ilvl w:val="0"/>
          <w:numId w:val="0"/>
        </w:numPr>
        <w:adjustRightInd w:val="0"/>
        <w:snapToGrid w:val="0"/>
        <w:spacing w:line="360" w:lineRule="auto"/>
        <w:ind w:firstLine="480" w:firstLineChars="200"/>
        <w:jc w:val="both"/>
        <w:rPr>
          <w:rFonts w:hint="eastAsia" w:ascii="宋体" w:hAnsi="宋体" w:eastAsia="宋体" w:cs="宋体"/>
          <w:color w:val="auto"/>
          <w:spacing w:val="-6"/>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七</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检测、监测报告盖有广东省建设厅核准的工程检测报告专用章、广东省质</w:t>
      </w:r>
      <w:r>
        <w:rPr>
          <w:rFonts w:hint="eastAsia" w:ascii="宋体" w:hAnsi="宋体" w:eastAsia="宋体" w:cs="宋体"/>
          <w:color w:val="auto"/>
          <w:spacing w:val="-6"/>
          <w:kern w:val="0"/>
          <w:sz w:val="24"/>
          <w:szCs w:val="24"/>
          <w:highlight w:val="none"/>
        </w:rPr>
        <w:t>量技术监督局核准的计量认证合格“CMA”标志，盖章后的检测、监测报告具有法律效力。</w:t>
      </w:r>
    </w:p>
    <w:p w14:paraId="55D4CD9E">
      <w:pPr>
        <w:numPr>
          <w:ilvl w:val="0"/>
          <w:numId w:val="0"/>
        </w:numPr>
        <w:adjustRightInd w:val="0"/>
        <w:snapToGrid w:val="0"/>
        <w:spacing w:line="360" w:lineRule="auto"/>
        <w:ind w:firstLine="480" w:firstLineChars="200"/>
        <w:jc w:val="both"/>
        <w:rPr>
          <w:rFonts w:hint="eastAsia" w:ascii="宋体" w:hAnsi="宋体" w:eastAsia="宋体" w:cs="宋体"/>
          <w:bCs/>
          <w:snapToGrid w:val="0"/>
          <w:color w:val="auto"/>
          <w:kern w:val="0"/>
          <w:position w:val="0"/>
          <w:sz w:val="24"/>
          <w:szCs w:val="24"/>
          <w:highlight w:val="none"/>
        </w:rPr>
      </w:pPr>
      <w:r>
        <w:rPr>
          <w:rFonts w:hint="eastAsia" w:ascii="宋体" w:hAnsi="宋体" w:eastAsia="宋体" w:cs="宋体"/>
          <w:bCs/>
          <w:snapToGrid w:val="0"/>
          <w:color w:val="auto"/>
          <w:kern w:val="0"/>
          <w:position w:val="0"/>
          <w:sz w:val="24"/>
          <w:szCs w:val="24"/>
          <w:highlight w:val="none"/>
          <w:lang w:eastAsia="zh-CN"/>
        </w:rPr>
        <w:t>（</w:t>
      </w:r>
      <w:r>
        <w:rPr>
          <w:rFonts w:hint="eastAsia" w:ascii="宋体" w:hAnsi="宋体" w:eastAsia="宋体" w:cs="宋体"/>
          <w:bCs/>
          <w:snapToGrid w:val="0"/>
          <w:color w:val="auto"/>
          <w:kern w:val="0"/>
          <w:position w:val="0"/>
          <w:sz w:val="24"/>
          <w:szCs w:val="24"/>
          <w:highlight w:val="none"/>
          <w:lang w:val="en-US" w:eastAsia="zh-CN"/>
        </w:rPr>
        <w:t>八</w:t>
      </w:r>
      <w:r>
        <w:rPr>
          <w:rFonts w:hint="eastAsia" w:ascii="宋体" w:hAnsi="宋体" w:eastAsia="宋体" w:cs="宋体"/>
          <w:bCs/>
          <w:snapToGrid w:val="0"/>
          <w:color w:val="auto"/>
          <w:kern w:val="0"/>
          <w:position w:val="0"/>
          <w:sz w:val="24"/>
          <w:szCs w:val="24"/>
          <w:highlight w:val="none"/>
          <w:lang w:eastAsia="zh-CN"/>
        </w:rPr>
        <w:t>）</w:t>
      </w:r>
      <w:r>
        <w:rPr>
          <w:rFonts w:hint="eastAsia" w:ascii="宋体" w:hAnsi="宋体" w:eastAsia="宋体" w:cs="宋体"/>
          <w:bCs/>
          <w:snapToGrid w:val="0"/>
          <w:color w:val="auto"/>
          <w:kern w:val="0"/>
          <w:position w:val="0"/>
          <w:sz w:val="24"/>
          <w:szCs w:val="24"/>
          <w:highlight w:val="none"/>
        </w:rPr>
        <w:t>检测</w:t>
      </w:r>
      <w:r>
        <w:rPr>
          <w:rFonts w:hint="eastAsia" w:ascii="宋体" w:hAnsi="宋体" w:eastAsia="宋体" w:cs="宋体"/>
          <w:bCs/>
          <w:snapToGrid w:val="0"/>
          <w:color w:val="auto"/>
          <w:kern w:val="0"/>
          <w:sz w:val="24"/>
          <w:szCs w:val="24"/>
          <w:highlight w:val="none"/>
        </w:rPr>
        <w:t>、监测</w:t>
      </w:r>
      <w:r>
        <w:rPr>
          <w:rFonts w:hint="eastAsia" w:ascii="宋体" w:hAnsi="宋体" w:eastAsia="宋体" w:cs="宋体"/>
          <w:bCs/>
          <w:snapToGrid w:val="0"/>
          <w:color w:val="auto"/>
          <w:kern w:val="0"/>
          <w:sz w:val="24"/>
          <w:szCs w:val="24"/>
          <w:highlight w:val="none"/>
          <w:lang w:eastAsia="zh-CN"/>
        </w:rPr>
        <w:t>作业过程</w:t>
      </w:r>
      <w:r>
        <w:rPr>
          <w:rFonts w:hint="eastAsia" w:ascii="宋体" w:hAnsi="宋体" w:eastAsia="宋体" w:cs="宋体"/>
          <w:bCs/>
          <w:snapToGrid w:val="0"/>
          <w:color w:val="auto"/>
          <w:kern w:val="0"/>
          <w:position w:val="0"/>
          <w:sz w:val="24"/>
          <w:szCs w:val="24"/>
          <w:highlight w:val="none"/>
        </w:rPr>
        <w:t>中，</w:t>
      </w:r>
      <w:r>
        <w:rPr>
          <w:rFonts w:hint="eastAsia" w:ascii="宋体" w:hAnsi="宋体" w:eastAsia="宋体" w:cs="宋体"/>
          <w:bCs/>
          <w:snapToGrid w:val="0"/>
          <w:color w:val="auto"/>
          <w:kern w:val="0"/>
          <w:position w:val="0"/>
          <w:sz w:val="24"/>
          <w:szCs w:val="24"/>
          <w:highlight w:val="none"/>
          <w:lang w:eastAsia="zh-CN"/>
        </w:rPr>
        <w:t>乙方应落实安全主体责任，向作业人员做好安全交底，落实安全措施，确保作业安全；</w:t>
      </w:r>
      <w:r>
        <w:rPr>
          <w:rFonts w:hint="eastAsia" w:ascii="宋体" w:hAnsi="宋体" w:eastAsia="宋体" w:cs="宋体"/>
          <w:bCs/>
          <w:snapToGrid w:val="0"/>
          <w:color w:val="auto"/>
          <w:kern w:val="0"/>
          <w:position w:val="0"/>
          <w:sz w:val="24"/>
          <w:szCs w:val="24"/>
          <w:highlight w:val="none"/>
        </w:rPr>
        <w:t>由于乙方原因发生安全事故，造成人员人身伤害、检测</w:t>
      </w:r>
      <w:r>
        <w:rPr>
          <w:rFonts w:hint="eastAsia" w:ascii="宋体" w:hAnsi="宋体" w:eastAsia="宋体" w:cs="宋体"/>
          <w:bCs/>
          <w:snapToGrid w:val="0"/>
          <w:color w:val="auto"/>
          <w:kern w:val="0"/>
          <w:sz w:val="24"/>
          <w:szCs w:val="24"/>
          <w:highlight w:val="none"/>
        </w:rPr>
        <w:t>或监测</w:t>
      </w:r>
      <w:r>
        <w:rPr>
          <w:rFonts w:hint="eastAsia" w:ascii="宋体" w:hAnsi="宋体" w:eastAsia="宋体" w:cs="宋体"/>
          <w:bCs/>
          <w:snapToGrid w:val="0"/>
          <w:color w:val="auto"/>
          <w:kern w:val="0"/>
          <w:position w:val="0"/>
          <w:sz w:val="24"/>
          <w:szCs w:val="24"/>
          <w:highlight w:val="none"/>
        </w:rPr>
        <w:t>设备损坏或造成经济损失时，由乙方承担相应的损害赔偿责任。</w:t>
      </w:r>
    </w:p>
    <w:p w14:paraId="11FA3B48">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九</w:t>
      </w:r>
      <w:r>
        <w:rPr>
          <w:rFonts w:hint="eastAsia" w:ascii="宋体" w:hAnsi="宋体" w:eastAsia="宋体" w:cs="宋体"/>
          <w:color w:val="auto"/>
          <w:kern w:val="0"/>
          <w:sz w:val="24"/>
          <w:szCs w:val="24"/>
          <w:highlight w:val="none"/>
        </w:rPr>
        <w:t>）乙方应严格遵守所有适用的国家、地区和地方的环境保护法律、法规、标准和要求。确保检测、检测活动不会对周围环境造成不良影响。若因乙方违反环保法规或未能采取适当措施而导致环境损害，乙方应负责赔偿甲方和第三方因此遭受的所有损失和损害。</w:t>
      </w:r>
    </w:p>
    <w:p w14:paraId="7800A0BF">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乙方进场后，必须按照国家、省、市相关规范并结合项目实际情况编制详细的检测及监测方案（包含详细的技术方案及检测数量等），报监理单位及甲方确认，项目实施过程中严格按上述方案实施检测及监测，如遇项目实际情况需要调整检测或监测方案时须报监理单位及甲方确认，未经甲方同意擅自扩大检测及监测数量，甲方不予支付相应的费用。</w:t>
      </w:r>
    </w:p>
    <w:p w14:paraId="1A609452">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w:t>
      </w:r>
      <w:r>
        <w:rPr>
          <w:rFonts w:hint="eastAsia" w:ascii="宋体" w:hAnsi="宋体" w:eastAsia="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rPr>
        <w:t>）若乙方未能遵守上述条款，甲方有权采取必要的措施以保护自己的利益，包括但不限于暂停支付合同款项，直到乙方按照合同约定履行上述责任。</w:t>
      </w:r>
    </w:p>
    <w:p w14:paraId="15974ADD">
      <w:pPr>
        <w:pStyle w:val="2"/>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宋体" w:hAnsi="宋体" w:eastAsia="宋体" w:cs="宋体"/>
          <w:b/>
          <w:color w:val="auto"/>
          <w:kern w:val="0"/>
          <w:sz w:val="24"/>
          <w:szCs w:val="24"/>
          <w:highlight w:val="none"/>
        </w:rPr>
      </w:pPr>
      <w:bookmarkStart w:id="49" w:name="_Toc21349"/>
      <w:bookmarkStart w:id="50" w:name="_Toc4827"/>
      <w:bookmarkStart w:id="51" w:name="_Toc15749"/>
      <w:bookmarkStart w:id="52" w:name="_Toc16132"/>
      <w:bookmarkStart w:id="53" w:name="_Toc27493"/>
      <w:r>
        <w:rPr>
          <w:rFonts w:hint="eastAsia" w:ascii="宋体" w:hAnsi="宋体" w:eastAsia="宋体" w:cs="宋体"/>
          <w:b/>
          <w:color w:val="auto"/>
          <w:kern w:val="0"/>
          <w:sz w:val="24"/>
          <w:szCs w:val="24"/>
          <w:highlight w:val="none"/>
          <w:lang w:val="en-US" w:eastAsia="zh-CN"/>
        </w:rPr>
        <w:t>七</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服务</w:t>
      </w:r>
      <w:r>
        <w:rPr>
          <w:rFonts w:hint="eastAsia" w:ascii="宋体" w:hAnsi="宋体" w:eastAsia="宋体" w:cs="宋体"/>
          <w:b/>
          <w:color w:val="auto"/>
          <w:kern w:val="0"/>
          <w:sz w:val="24"/>
          <w:szCs w:val="24"/>
          <w:highlight w:val="none"/>
          <w:lang w:val="en-US" w:eastAsia="zh-CN"/>
        </w:rPr>
        <w:t>费用</w:t>
      </w:r>
      <w:r>
        <w:rPr>
          <w:rFonts w:hint="eastAsia" w:ascii="宋体" w:hAnsi="宋体" w:eastAsia="宋体" w:cs="宋体"/>
          <w:b/>
          <w:color w:val="auto"/>
          <w:kern w:val="0"/>
          <w:sz w:val="24"/>
          <w:szCs w:val="24"/>
          <w:highlight w:val="none"/>
        </w:rPr>
        <w:t>及支付方式</w:t>
      </w:r>
      <w:bookmarkEnd w:id="49"/>
      <w:bookmarkEnd w:id="50"/>
      <w:bookmarkEnd w:id="51"/>
      <w:bookmarkEnd w:id="52"/>
      <w:bookmarkEnd w:id="53"/>
    </w:p>
    <w:p w14:paraId="1F8ABEA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lang w:val="en-US" w:eastAsia="zh-CN"/>
        </w:rPr>
        <w:t>一</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bCs/>
          <w:color w:val="auto"/>
          <w:kern w:val="0"/>
          <w:sz w:val="24"/>
          <w:szCs w:val="24"/>
          <w:highlight w:val="none"/>
        </w:rPr>
        <w:t>服务费用：</w:t>
      </w:r>
      <w:r>
        <w:rPr>
          <w:rFonts w:hint="eastAsia" w:ascii="宋体" w:hAnsi="宋体" w:eastAsia="宋体" w:cs="宋体"/>
          <w:color w:val="auto"/>
          <w:kern w:val="0"/>
          <w:sz w:val="24"/>
          <w:szCs w:val="24"/>
          <w:highlight w:val="none"/>
          <w:u w:val="none"/>
        </w:rPr>
        <w:t>本项目合同暂定总价（含税）为：人民币</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元）。其中：不含税合同暂定总价为：人民币</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元），税金为：人民币</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元），增值税率为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w:t>
      </w:r>
      <w:r>
        <w:rPr>
          <w:rFonts w:hint="eastAsia" w:ascii="宋体" w:hAnsi="宋体" w:eastAsia="宋体" w:cs="宋体"/>
          <w:color w:val="auto"/>
          <w:kern w:val="0"/>
          <w:sz w:val="24"/>
          <w:szCs w:val="24"/>
          <w:highlight w:val="none"/>
        </w:rPr>
        <w:t>。本合同约定不含税价格不因国家税率变化而变化，若在合同履行期间，国家的税率调整，则不含税价不变，价税合计（总价）相应调整，以开具发票的时间为准。</w:t>
      </w:r>
    </w:p>
    <w:p w14:paraId="413A41FE">
      <w:pPr>
        <w:pStyle w:val="6"/>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合同暂定总价</w:t>
      </w:r>
      <w:r>
        <w:rPr>
          <w:rFonts w:hint="eastAsia" w:ascii="宋体" w:hAnsi="宋体" w:eastAsia="宋体" w:cs="宋体"/>
          <w:bCs/>
          <w:color w:val="auto"/>
          <w:kern w:val="0"/>
          <w:sz w:val="24"/>
          <w:szCs w:val="24"/>
          <w:highlight w:val="none"/>
        </w:rPr>
        <w:t>组成如下：</w:t>
      </w:r>
    </w:p>
    <w:p w14:paraId="1C1D5F22">
      <w:pPr>
        <w:pStyle w:val="6"/>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none"/>
        </w:rPr>
      </w:pP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u w:val="none"/>
          <w:lang w:val="en-US" w:eastAsia="zh-CN"/>
        </w:rPr>
        <w:t>.</w:t>
      </w:r>
      <w:r>
        <w:rPr>
          <w:rFonts w:hint="eastAsia" w:ascii="宋体" w:hAnsi="宋体" w:eastAsia="宋体" w:cs="宋体"/>
          <w:bCs/>
          <w:color w:val="auto"/>
          <w:kern w:val="0"/>
          <w:sz w:val="24"/>
          <w:szCs w:val="24"/>
          <w:highlight w:val="none"/>
          <w:u w:val="none"/>
        </w:rPr>
        <w:t>检测</w:t>
      </w:r>
      <w:r>
        <w:rPr>
          <w:rFonts w:hint="eastAsia" w:ascii="宋体" w:hAnsi="宋体" w:eastAsia="宋体" w:cs="宋体"/>
          <w:bCs/>
          <w:color w:val="auto"/>
          <w:kern w:val="0"/>
          <w:sz w:val="24"/>
          <w:szCs w:val="24"/>
          <w:highlight w:val="none"/>
          <w:u w:val="none"/>
          <w:lang w:val="en-US" w:eastAsia="zh-CN"/>
        </w:rPr>
        <w:t>服务</w:t>
      </w:r>
      <w:r>
        <w:rPr>
          <w:rFonts w:hint="eastAsia" w:ascii="宋体" w:hAnsi="宋体" w:eastAsia="宋体" w:cs="宋体"/>
          <w:bCs/>
          <w:color w:val="auto"/>
          <w:kern w:val="0"/>
          <w:sz w:val="24"/>
          <w:szCs w:val="24"/>
          <w:highlight w:val="none"/>
          <w:u w:val="none"/>
        </w:rPr>
        <w:t>费（含税）</w:t>
      </w:r>
      <w:r>
        <w:rPr>
          <w:rFonts w:hint="eastAsia" w:ascii="宋体" w:hAnsi="宋体" w:eastAsia="宋体" w:cs="宋体"/>
          <w:color w:val="auto"/>
          <w:kern w:val="0"/>
          <w:sz w:val="24"/>
          <w:szCs w:val="24"/>
          <w:highlight w:val="none"/>
          <w:u w:val="none"/>
        </w:rPr>
        <w:t>为：人民币</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元）。其中：不含税合同暂定价为：人民币</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元），增值税率为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w:t>
      </w:r>
    </w:p>
    <w:p w14:paraId="600D8C5F">
      <w:pPr>
        <w:pStyle w:val="6"/>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none"/>
        </w:rPr>
      </w:pPr>
      <w:r>
        <w:rPr>
          <w:rFonts w:hint="eastAsia" w:ascii="宋体" w:hAnsi="宋体" w:eastAsia="宋体" w:cs="宋体"/>
          <w:bCs/>
          <w:color w:val="auto"/>
          <w:kern w:val="0"/>
          <w:sz w:val="24"/>
          <w:szCs w:val="24"/>
          <w:highlight w:val="none"/>
          <w:u w:val="none"/>
          <w:lang w:val="en-US" w:eastAsia="zh-CN"/>
        </w:rPr>
        <w:t>2.</w:t>
      </w:r>
      <w:r>
        <w:rPr>
          <w:rFonts w:hint="eastAsia" w:ascii="宋体" w:hAnsi="宋体" w:eastAsia="宋体" w:cs="宋体"/>
          <w:color w:val="auto"/>
          <w:kern w:val="0"/>
          <w:sz w:val="24"/>
          <w:szCs w:val="24"/>
          <w:highlight w:val="none"/>
          <w:u w:val="none"/>
        </w:rPr>
        <w:t>监测</w:t>
      </w:r>
      <w:r>
        <w:rPr>
          <w:rFonts w:hint="eastAsia" w:ascii="宋体" w:hAnsi="宋体" w:eastAsia="宋体" w:cs="宋体"/>
          <w:color w:val="auto"/>
          <w:kern w:val="0"/>
          <w:sz w:val="24"/>
          <w:szCs w:val="24"/>
          <w:highlight w:val="none"/>
          <w:u w:val="none"/>
          <w:lang w:val="en-US" w:eastAsia="zh-CN"/>
        </w:rPr>
        <w:t>服务</w:t>
      </w:r>
      <w:r>
        <w:rPr>
          <w:rFonts w:hint="eastAsia" w:ascii="宋体" w:hAnsi="宋体" w:eastAsia="宋体" w:cs="宋体"/>
          <w:bCs/>
          <w:color w:val="auto"/>
          <w:kern w:val="0"/>
          <w:sz w:val="24"/>
          <w:szCs w:val="24"/>
          <w:highlight w:val="none"/>
          <w:u w:val="none"/>
        </w:rPr>
        <w:t>费（含税）</w:t>
      </w:r>
      <w:r>
        <w:rPr>
          <w:rFonts w:hint="eastAsia" w:ascii="宋体" w:hAnsi="宋体" w:eastAsia="宋体" w:cs="宋体"/>
          <w:color w:val="auto"/>
          <w:kern w:val="0"/>
          <w:sz w:val="24"/>
          <w:szCs w:val="24"/>
          <w:highlight w:val="none"/>
          <w:u w:val="none"/>
        </w:rPr>
        <w:t>为：人民币</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元）。其中：不含税合同暂定价为：人民币</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元），增值税率为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w:t>
      </w:r>
    </w:p>
    <w:p w14:paraId="50767C08">
      <w:pPr>
        <w:pStyle w:val="6"/>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u w:val="none"/>
          <w:lang w:val="en-US" w:eastAsia="zh-CN"/>
        </w:rPr>
        <w:t>3.</w:t>
      </w:r>
      <w:r>
        <w:rPr>
          <w:rFonts w:hint="eastAsia" w:ascii="宋体" w:hAnsi="宋体" w:eastAsia="宋体" w:cs="宋体"/>
          <w:color w:val="auto"/>
          <w:kern w:val="0"/>
          <w:sz w:val="24"/>
          <w:szCs w:val="24"/>
          <w:highlight w:val="none"/>
          <w:u w:val="none"/>
        </w:rPr>
        <w:t>暂列金额（含税）为：人民币</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元）</w:t>
      </w:r>
      <w:r>
        <w:rPr>
          <w:rFonts w:hint="eastAsia" w:ascii="宋体" w:hAnsi="宋体" w:eastAsia="宋体" w:cs="宋体"/>
          <w:bCs/>
          <w:color w:val="auto"/>
          <w:kern w:val="0"/>
          <w:sz w:val="24"/>
          <w:szCs w:val="24"/>
          <w:highlight w:val="none"/>
          <w:u w:val="none"/>
        </w:rPr>
        <w:t>。</w:t>
      </w:r>
    </w:p>
    <w:p w14:paraId="22C9F2B6">
      <w:pPr>
        <w:pStyle w:val="2"/>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outlineLvl w:val="9"/>
        <w:rPr>
          <w:rFonts w:hint="eastAsia" w:ascii="宋体" w:hAnsi="宋体" w:eastAsia="宋体" w:cs="宋体"/>
          <w:bCs/>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lang w:val="en-US" w:eastAsia="zh-CN"/>
        </w:rPr>
        <w:t>二</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lang w:val="en-US" w:eastAsia="zh-CN"/>
        </w:rPr>
        <w:t>计量计价及结算</w:t>
      </w:r>
      <w:r>
        <w:rPr>
          <w:rFonts w:hint="eastAsia" w:ascii="宋体" w:hAnsi="宋体" w:eastAsia="宋体" w:cs="宋体"/>
          <w:b/>
          <w:bCs/>
          <w:color w:val="auto"/>
          <w:kern w:val="0"/>
          <w:sz w:val="24"/>
          <w:szCs w:val="24"/>
          <w:highlight w:val="none"/>
          <w:lang w:val="en-US" w:eastAsia="zh-CN"/>
        </w:rPr>
        <w:t>方式</w:t>
      </w:r>
      <w:r>
        <w:rPr>
          <w:rFonts w:hint="eastAsia" w:ascii="宋体" w:hAnsi="宋体" w:eastAsia="宋体" w:cs="宋体"/>
          <w:b/>
          <w:bCs/>
          <w:color w:val="auto"/>
          <w:kern w:val="0"/>
          <w:sz w:val="24"/>
          <w:szCs w:val="24"/>
          <w:highlight w:val="none"/>
        </w:rPr>
        <w:t>：</w:t>
      </w:r>
      <w:r>
        <w:rPr>
          <w:rFonts w:hint="eastAsia" w:ascii="宋体" w:hAnsi="宋体" w:eastAsia="宋体" w:cs="宋体"/>
          <w:bCs/>
          <w:color w:val="auto"/>
          <w:kern w:val="0"/>
          <w:sz w:val="24"/>
          <w:szCs w:val="24"/>
          <w:highlight w:val="none"/>
          <w:u w:val="single"/>
          <w:lang w:bidi="ar"/>
        </w:rPr>
        <w:t>服务费用采用综合单价包干</w:t>
      </w:r>
      <w:r>
        <w:rPr>
          <w:rFonts w:hint="eastAsia" w:ascii="宋体" w:hAnsi="宋体" w:eastAsia="宋体" w:cs="宋体"/>
          <w:bCs/>
          <w:color w:val="auto"/>
          <w:kern w:val="0"/>
          <w:sz w:val="24"/>
          <w:szCs w:val="24"/>
          <w:highlight w:val="none"/>
          <w:u w:val="single"/>
          <w:lang w:val="en-US" w:eastAsia="zh-CN" w:bidi="ar"/>
        </w:rPr>
        <w:t>方式计价</w:t>
      </w:r>
      <w:r>
        <w:rPr>
          <w:rFonts w:hint="eastAsia" w:ascii="宋体" w:hAnsi="宋体" w:eastAsia="宋体" w:cs="宋体"/>
          <w:bCs/>
          <w:snapToGrid w:val="0"/>
          <w:color w:val="auto"/>
          <w:kern w:val="0"/>
          <w:sz w:val="24"/>
          <w:szCs w:val="24"/>
          <w:highlight w:val="none"/>
          <w:u w:val="single"/>
          <w:lang w:bidi="ar"/>
        </w:rPr>
        <w:t>，按经甲方确认的乙方实际完成工作量进行结算</w:t>
      </w:r>
      <w:r>
        <w:rPr>
          <w:rFonts w:hint="eastAsia" w:ascii="宋体" w:hAnsi="宋体" w:eastAsia="宋体" w:cs="宋体"/>
          <w:bCs/>
          <w:snapToGrid w:val="0"/>
          <w:color w:val="auto"/>
          <w:kern w:val="0"/>
          <w:sz w:val="24"/>
          <w:szCs w:val="24"/>
          <w:highlight w:val="none"/>
          <w:u w:val="single"/>
          <w:lang w:eastAsia="zh-CN" w:bidi="ar"/>
        </w:rPr>
        <w:t>，</w:t>
      </w:r>
      <w:r>
        <w:rPr>
          <w:rFonts w:hint="eastAsia" w:ascii="宋体" w:hAnsi="宋体" w:eastAsia="宋体" w:cs="宋体"/>
          <w:color w:val="auto"/>
          <w:kern w:val="0"/>
          <w:sz w:val="24"/>
          <w:szCs w:val="24"/>
          <w:highlight w:val="none"/>
          <w:u w:val="single"/>
        </w:rPr>
        <w:t>最终结算价不得超过合同价，超过合同价的部分由乙方自行承担，招标公告发布日期之后新发布检测规范要求增加</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包括但不限于</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rPr>
        <w:t>检测比例或新发布监测规范要求增加监测布点或监测频率</w:t>
      </w:r>
      <w:r>
        <w:rPr>
          <w:rFonts w:hint="eastAsia" w:ascii="宋体" w:hAnsi="宋体" w:eastAsia="宋体" w:cs="宋体"/>
          <w:color w:val="auto"/>
          <w:kern w:val="0"/>
          <w:sz w:val="24"/>
          <w:szCs w:val="24"/>
          <w:highlight w:val="none"/>
          <w:u w:val="single"/>
          <w:lang w:val="en-US" w:eastAsia="zh-CN"/>
        </w:rPr>
        <w:t>等</w:t>
      </w:r>
      <w:r>
        <w:rPr>
          <w:rFonts w:hint="eastAsia" w:ascii="宋体" w:hAnsi="宋体" w:eastAsia="宋体" w:cs="宋体"/>
          <w:color w:val="auto"/>
          <w:kern w:val="0"/>
          <w:sz w:val="24"/>
          <w:szCs w:val="24"/>
          <w:highlight w:val="none"/>
          <w:u w:val="single"/>
        </w:rPr>
        <w:t>的除外</w:t>
      </w:r>
      <w:r>
        <w:rPr>
          <w:rFonts w:hint="eastAsia" w:ascii="宋体" w:hAnsi="宋体" w:eastAsia="宋体" w:cs="宋体"/>
          <w:bCs/>
          <w:color w:val="auto"/>
          <w:kern w:val="0"/>
          <w:sz w:val="24"/>
          <w:szCs w:val="24"/>
          <w:highlight w:val="none"/>
          <w:u w:val="single"/>
          <w:lang w:val="en-US" w:eastAsia="zh-CN" w:bidi="ar"/>
        </w:rPr>
        <w:t>。</w:t>
      </w:r>
    </w:p>
    <w:p w14:paraId="53B85D86">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color w:val="auto"/>
          <w:kern w:val="0"/>
          <w:sz w:val="24"/>
          <w:szCs w:val="24"/>
          <w:highlight w:val="none"/>
          <w:u w:val="single"/>
          <w:lang w:bidi="ar"/>
        </w:rPr>
      </w:pPr>
      <w:r>
        <w:rPr>
          <w:rFonts w:hint="eastAsia" w:ascii="宋体" w:hAnsi="宋体" w:eastAsia="宋体" w:cs="宋体"/>
          <w:bCs/>
          <w:color w:val="auto"/>
          <w:kern w:val="0"/>
          <w:sz w:val="24"/>
          <w:szCs w:val="24"/>
          <w:highlight w:val="none"/>
          <w:u w:val="single"/>
          <w:lang w:val="en-US" w:eastAsia="zh-CN" w:bidi="ar"/>
        </w:rPr>
        <w:t>1.工程量计量：甲方提供的《工程量清单》为检测（监测）工程量计量依据，</w:t>
      </w:r>
      <w:r>
        <w:rPr>
          <w:rFonts w:hint="eastAsia" w:ascii="宋体" w:hAnsi="宋体" w:eastAsia="宋体" w:cs="宋体"/>
          <w:bCs/>
          <w:color w:val="auto"/>
          <w:kern w:val="0"/>
          <w:sz w:val="24"/>
          <w:szCs w:val="24"/>
          <w:highlight w:val="none"/>
          <w:u w:val="single"/>
          <w:lang w:bidi="ar"/>
        </w:rPr>
        <w:t>按实际完成工程量</w:t>
      </w:r>
      <w:r>
        <w:rPr>
          <w:rFonts w:hint="eastAsia" w:ascii="宋体" w:hAnsi="宋体" w:eastAsia="宋体" w:cs="宋体"/>
          <w:bCs/>
          <w:color w:val="auto"/>
          <w:kern w:val="0"/>
          <w:sz w:val="24"/>
          <w:szCs w:val="24"/>
          <w:highlight w:val="none"/>
          <w:u w:val="single"/>
          <w:lang w:val="en-US" w:eastAsia="zh-CN" w:bidi="ar"/>
        </w:rPr>
        <w:t>办理</w:t>
      </w:r>
      <w:r>
        <w:rPr>
          <w:rFonts w:hint="eastAsia" w:ascii="宋体" w:hAnsi="宋体" w:eastAsia="宋体" w:cs="宋体"/>
          <w:bCs/>
          <w:color w:val="auto"/>
          <w:kern w:val="0"/>
          <w:sz w:val="24"/>
          <w:szCs w:val="24"/>
          <w:highlight w:val="none"/>
          <w:u w:val="single"/>
          <w:lang w:bidi="ar"/>
        </w:rPr>
        <w:t>结算。</w:t>
      </w:r>
      <w:r>
        <w:rPr>
          <w:rFonts w:hint="eastAsia" w:ascii="宋体" w:hAnsi="宋体" w:eastAsia="宋体" w:cs="宋体"/>
          <w:bCs/>
          <w:color w:val="auto"/>
          <w:kern w:val="0"/>
          <w:sz w:val="24"/>
          <w:szCs w:val="24"/>
          <w:highlight w:val="none"/>
          <w:u w:val="single"/>
          <w:lang w:eastAsia="zh-CN" w:bidi="ar"/>
        </w:rPr>
        <w:t>合同结算价不得超过本合同暂定价。</w:t>
      </w:r>
    </w:p>
    <w:p w14:paraId="0A43EC25">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color w:val="auto"/>
          <w:kern w:val="0"/>
          <w:sz w:val="24"/>
          <w:szCs w:val="24"/>
          <w:highlight w:val="none"/>
          <w:u w:val="single"/>
          <w:lang w:bidi="ar"/>
        </w:rPr>
      </w:pPr>
      <w:r>
        <w:rPr>
          <w:rFonts w:hint="eastAsia" w:ascii="宋体" w:hAnsi="宋体" w:eastAsia="宋体" w:cs="宋体"/>
          <w:bCs/>
          <w:color w:val="auto"/>
          <w:kern w:val="0"/>
          <w:sz w:val="24"/>
          <w:szCs w:val="24"/>
          <w:highlight w:val="none"/>
          <w:lang w:val="en-US" w:eastAsia="zh-CN" w:bidi="ar"/>
        </w:rPr>
        <w:t>2.综合单价：</w:t>
      </w:r>
      <w:r>
        <w:rPr>
          <w:rFonts w:hint="eastAsia" w:ascii="宋体" w:hAnsi="宋体" w:eastAsia="宋体" w:cs="宋体"/>
          <w:bCs/>
          <w:color w:val="auto"/>
          <w:kern w:val="0"/>
          <w:sz w:val="24"/>
          <w:szCs w:val="24"/>
          <w:highlight w:val="none"/>
          <w:lang w:bidi="ar"/>
        </w:rPr>
        <w:t>综合单价包括但不限于</w:t>
      </w:r>
      <w:r>
        <w:rPr>
          <w:rFonts w:hint="eastAsia" w:ascii="宋体" w:hAnsi="宋体" w:eastAsia="宋体" w:cs="宋体"/>
          <w:bCs/>
          <w:snapToGrid w:val="0"/>
          <w:color w:val="auto"/>
          <w:kern w:val="0"/>
          <w:sz w:val="24"/>
          <w:szCs w:val="24"/>
          <w:highlight w:val="none"/>
          <w:lang w:bidi="ar"/>
        </w:rPr>
        <w:t>为完成设计文件及有关规范要求的所有材料设备检测、监测项目所发生的劳务</w:t>
      </w:r>
      <w:r>
        <w:rPr>
          <w:rFonts w:hint="eastAsia" w:ascii="宋体" w:hAnsi="宋体" w:eastAsia="宋体" w:cs="宋体"/>
          <w:bCs/>
          <w:snapToGrid w:val="0"/>
          <w:color w:val="auto"/>
          <w:kern w:val="0"/>
          <w:sz w:val="24"/>
          <w:szCs w:val="24"/>
          <w:highlight w:val="none"/>
          <w:lang w:eastAsia="zh-CN" w:bidi="ar"/>
        </w:rPr>
        <w:t>（</w:t>
      </w:r>
      <w:r>
        <w:rPr>
          <w:rFonts w:hint="eastAsia" w:ascii="宋体" w:hAnsi="宋体" w:eastAsia="宋体" w:cs="宋体"/>
          <w:bCs/>
          <w:snapToGrid w:val="0"/>
          <w:color w:val="auto"/>
          <w:kern w:val="0"/>
          <w:sz w:val="24"/>
          <w:szCs w:val="24"/>
          <w:highlight w:val="none"/>
          <w:lang w:bidi="ar"/>
        </w:rPr>
        <w:t>含技术人员</w:t>
      </w:r>
      <w:r>
        <w:rPr>
          <w:rFonts w:hint="eastAsia" w:ascii="宋体" w:hAnsi="宋体" w:eastAsia="宋体" w:cs="宋体"/>
          <w:bCs/>
          <w:snapToGrid w:val="0"/>
          <w:color w:val="auto"/>
          <w:kern w:val="0"/>
          <w:sz w:val="24"/>
          <w:szCs w:val="24"/>
          <w:highlight w:val="none"/>
          <w:lang w:eastAsia="zh-CN" w:bidi="ar"/>
        </w:rPr>
        <w:t>）</w:t>
      </w:r>
      <w:r>
        <w:rPr>
          <w:rFonts w:hint="eastAsia" w:ascii="宋体" w:hAnsi="宋体" w:eastAsia="宋体" w:cs="宋体"/>
          <w:bCs/>
          <w:snapToGrid w:val="0"/>
          <w:color w:val="auto"/>
          <w:kern w:val="0"/>
          <w:sz w:val="24"/>
          <w:szCs w:val="24"/>
          <w:highlight w:val="none"/>
          <w:lang w:bidi="ar"/>
        </w:rPr>
        <w:t>费、材料费、机械费</w:t>
      </w:r>
      <w:r>
        <w:rPr>
          <w:rFonts w:hint="eastAsia" w:ascii="宋体" w:hAnsi="宋体" w:eastAsia="宋体" w:cs="宋体"/>
          <w:bCs/>
          <w:snapToGrid w:val="0"/>
          <w:color w:val="auto"/>
          <w:kern w:val="0"/>
          <w:sz w:val="24"/>
          <w:szCs w:val="24"/>
          <w:highlight w:val="none"/>
          <w:lang w:eastAsia="zh-CN" w:bidi="ar"/>
        </w:rPr>
        <w:t>（</w:t>
      </w:r>
      <w:r>
        <w:rPr>
          <w:rFonts w:hint="eastAsia" w:ascii="宋体" w:hAnsi="宋体" w:eastAsia="宋体" w:cs="宋体"/>
          <w:bCs/>
          <w:snapToGrid w:val="0"/>
          <w:color w:val="auto"/>
          <w:kern w:val="0"/>
          <w:sz w:val="24"/>
          <w:szCs w:val="24"/>
          <w:highlight w:val="none"/>
          <w:lang w:bidi="ar"/>
        </w:rPr>
        <w:t>含各种车辆、仪器设备、软件等使用费、进出场费</w:t>
      </w:r>
      <w:r>
        <w:rPr>
          <w:rFonts w:hint="eastAsia" w:ascii="宋体" w:hAnsi="宋体" w:eastAsia="宋体" w:cs="宋体"/>
          <w:bCs/>
          <w:snapToGrid w:val="0"/>
          <w:color w:val="auto"/>
          <w:kern w:val="0"/>
          <w:sz w:val="24"/>
          <w:szCs w:val="24"/>
          <w:highlight w:val="none"/>
          <w:lang w:eastAsia="zh-CN" w:bidi="ar"/>
        </w:rPr>
        <w:t>）</w:t>
      </w:r>
      <w:r>
        <w:rPr>
          <w:rFonts w:hint="eastAsia" w:ascii="宋体" w:hAnsi="宋体" w:eastAsia="宋体" w:cs="宋体"/>
          <w:bCs/>
          <w:snapToGrid w:val="0"/>
          <w:color w:val="auto"/>
          <w:kern w:val="0"/>
          <w:sz w:val="24"/>
          <w:szCs w:val="24"/>
          <w:highlight w:val="none"/>
          <w:lang w:bidi="ar"/>
        </w:rPr>
        <w:t>、差旅交通费、临时设施费、试验费、报告编写费、各项管理费、就餐费、住宿费、管理费、利润、规费、税金、保险费、相关协调费及其他实物和技术工作收费等全部相关费用，以及合同明示或暗示的所有责任、义务和风险</w:t>
      </w:r>
      <w:r>
        <w:rPr>
          <w:rFonts w:hint="eastAsia" w:ascii="宋体" w:hAnsi="宋体" w:eastAsia="宋体" w:cs="宋体"/>
          <w:bCs/>
          <w:color w:val="auto"/>
          <w:kern w:val="0"/>
          <w:sz w:val="24"/>
          <w:szCs w:val="24"/>
          <w:highlight w:val="none"/>
          <w:lang w:bidi="ar"/>
        </w:rPr>
        <w:t>等所有的一切相关费用，</w:t>
      </w:r>
      <w:r>
        <w:rPr>
          <w:rFonts w:hint="eastAsia" w:ascii="宋体" w:hAnsi="宋体" w:eastAsia="宋体" w:cs="宋体"/>
          <w:bCs/>
          <w:color w:val="auto"/>
          <w:kern w:val="0"/>
          <w:sz w:val="24"/>
          <w:szCs w:val="24"/>
          <w:highlight w:val="none"/>
          <w:lang w:eastAsia="zh-CN" w:bidi="ar"/>
        </w:rPr>
        <w:t>无</w:t>
      </w:r>
      <w:r>
        <w:rPr>
          <w:rFonts w:hint="eastAsia" w:ascii="宋体" w:hAnsi="宋体" w:eastAsia="宋体" w:cs="宋体"/>
          <w:bCs/>
          <w:color w:val="auto"/>
          <w:kern w:val="0"/>
          <w:sz w:val="24"/>
          <w:szCs w:val="24"/>
          <w:highlight w:val="none"/>
          <w:lang w:bidi="ar"/>
        </w:rPr>
        <w:t>论各项费用有无涨落，</w:t>
      </w:r>
      <w:r>
        <w:rPr>
          <w:rFonts w:hint="eastAsia" w:ascii="宋体" w:hAnsi="宋体" w:eastAsia="宋体" w:cs="宋体"/>
          <w:bCs/>
          <w:color w:val="auto"/>
          <w:kern w:val="0"/>
          <w:sz w:val="24"/>
          <w:szCs w:val="24"/>
          <w:highlight w:val="none"/>
          <w:lang w:eastAsia="zh-CN" w:bidi="ar"/>
        </w:rPr>
        <w:t>综合单价</w:t>
      </w:r>
      <w:r>
        <w:rPr>
          <w:rFonts w:hint="eastAsia" w:ascii="宋体" w:hAnsi="宋体" w:eastAsia="宋体" w:cs="宋体"/>
          <w:bCs/>
          <w:color w:val="auto"/>
          <w:kern w:val="0"/>
          <w:sz w:val="24"/>
          <w:szCs w:val="24"/>
          <w:highlight w:val="none"/>
          <w:lang w:bidi="ar"/>
        </w:rPr>
        <w:t>均不再调整，</w:t>
      </w:r>
      <w:r>
        <w:rPr>
          <w:rFonts w:hint="eastAsia" w:ascii="宋体" w:hAnsi="宋体" w:eastAsia="宋体" w:cs="宋体"/>
          <w:bCs/>
          <w:color w:val="auto"/>
          <w:kern w:val="0"/>
          <w:sz w:val="24"/>
          <w:szCs w:val="24"/>
          <w:highlight w:val="none"/>
          <w:lang w:eastAsia="zh-CN" w:bidi="ar"/>
        </w:rPr>
        <w:t>综合单价</w:t>
      </w:r>
      <w:r>
        <w:rPr>
          <w:rFonts w:hint="eastAsia" w:ascii="宋体" w:hAnsi="宋体" w:eastAsia="宋体" w:cs="宋体"/>
          <w:bCs/>
          <w:color w:val="auto"/>
          <w:kern w:val="0"/>
          <w:sz w:val="24"/>
          <w:szCs w:val="24"/>
          <w:highlight w:val="none"/>
          <w:lang w:bidi="ar"/>
        </w:rPr>
        <w:t>具体详见</w:t>
      </w:r>
      <w:r>
        <w:rPr>
          <w:rFonts w:hint="eastAsia" w:ascii="宋体" w:hAnsi="宋体" w:eastAsia="宋体" w:cs="宋体"/>
          <w:bCs/>
          <w:color w:val="auto"/>
          <w:kern w:val="0"/>
          <w:sz w:val="24"/>
          <w:szCs w:val="24"/>
          <w:highlight w:val="none"/>
          <w:lang w:val="en-US" w:eastAsia="zh-CN" w:bidi="ar"/>
        </w:rPr>
        <w:t>合同</w:t>
      </w:r>
      <w:r>
        <w:rPr>
          <w:rFonts w:hint="eastAsia" w:ascii="宋体" w:hAnsi="宋体" w:eastAsia="宋体" w:cs="宋体"/>
          <w:bCs/>
          <w:color w:val="auto"/>
          <w:kern w:val="0"/>
          <w:sz w:val="24"/>
          <w:szCs w:val="24"/>
          <w:highlight w:val="none"/>
          <w:lang w:bidi="ar"/>
        </w:rPr>
        <w:t>附件</w:t>
      </w:r>
      <w:r>
        <w:rPr>
          <w:rFonts w:hint="eastAsia" w:ascii="宋体" w:hAnsi="宋体" w:eastAsia="宋体" w:cs="宋体"/>
          <w:bCs/>
          <w:color w:val="auto"/>
          <w:kern w:val="0"/>
          <w:sz w:val="24"/>
          <w:szCs w:val="24"/>
          <w:highlight w:val="none"/>
          <w:lang w:val="en-US" w:eastAsia="zh-CN" w:bidi="ar"/>
        </w:rPr>
        <w:t>6《</w:t>
      </w:r>
      <w:r>
        <w:rPr>
          <w:rFonts w:hint="eastAsia" w:ascii="宋体" w:hAnsi="宋体" w:eastAsia="宋体" w:cs="宋体"/>
          <w:bCs/>
          <w:color w:val="auto"/>
          <w:kern w:val="0"/>
          <w:sz w:val="24"/>
          <w:szCs w:val="24"/>
          <w:highlight w:val="none"/>
          <w:lang w:bidi="ar"/>
        </w:rPr>
        <w:t>工程量清单</w:t>
      </w:r>
      <w:r>
        <w:rPr>
          <w:rFonts w:hint="eastAsia" w:ascii="宋体" w:hAnsi="宋体" w:eastAsia="宋体" w:cs="宋体"/>
          <w:bCs/>
          <w:color w:val="auto"/>
          <w:kern w:val="0"/>
          <w:sz w:val="24"/>
          <w:szCs w:val="24"/>
          <w:highlight w:val="none"/>
          <w:lang w:val="en-US" w:eastAsia="zh-CN" w:bidi="ar"/>
        </w:rPr>
        <w:t>报价表》</w:t>
      </w:r>
      <w:r>
        <w:rPr>
          <w:rFonts w:hint="eastAsia" w:ascii="宋体" w:hAnsi="宋体" w:eastAsia="宋体" w:cs="宋体"/>
          <w:bCs/>
          <w:color w:val="auto"/>
          <w:kern w:val="0"/>
          <w:sz w:val="24"/>
          <w:szCs w:val="24"/>
          <w:highlight w:val="none"/>
          <w:lang w:bidi="ar"/>
        </w:rPr>
        <w:t>。</w:t>
      </w:r>
      <w:r>
        <w:rPr>
          <w:rFonts w:hint="eastAsia" w:ascii="宋体" w:hAnsi="宋体" w:eastAsia="宋体" w:cs="宋体"/>
          <w:bCs/>
          <w:color w:val="auto"/>
          <w:kern w:val="0"/>
          <w:sz w:val="24"/>
          <w:szCs w:val="24"/>
          <w:highlight w:val="none"/>
          <w:u w:val="single"/>
          <w:lang w:eastAsia="zh-CN" w:bidi="ar"/>
        </w:rPr>
        <w:t>《</w:t>
      </w:r>
      <w:r>
        <w:rPr>
          <w:rFonts w:hint="eastAsia" w:ascii="宋体" w:hAnsi="宋体" w:eastAsia="宋体" w:cs="宋体"/>
          <w:bCs/>
          <w:color w:val="auto"/>
          <w:kern w:val="0"/>
          <w:sz w:val="24"/>
          <w:szCs w:val="24"/>
          <w:highlight w:val="none"/>
          <w:u w:val="single"/>
          <w:lang w:bidi="ar"/>
        </w:rPr>
        <w:t>工程量清单</w:t>
      </w:r>
      <w:r>
        <w:rPr>
          <w:rFonts w:hint="eastAsia" w:ascii="宋体" w:hAnsi="宋体" w:eastAsia="宋体" w:cs="宋体"/>
          <w:bCs/>
          <w:color w:val="auto"/>
          <w:kern w:val="0"/>
          <w:sz w:val="24"/>
          <w:szCs w:val="24"/>
          <w:highlight w:val="none"/>
          <w:u w:val="single"/>
          <w:lang w:val="en-US" w:eastAsia="zh-CN" w:bidi="ar"/>
        </w:rPr>
        <w:t>报价表》</w:t>
      </w:r>
      <w:r>
        <w:rPr>
          <w:rFonts w:hint="eastAsia" w:ascii="宋体" w:hAnsi="宋体" w:eastAsia="宋体" w:cs="宋体"/>
          <w:bCs/>
          <w:color w:val="auto"/>
          <w:kern w:val="0"/>
          <w:sz w:val="24"/>
          <w:szCs w:val="24"/>
          <w:highlight w:val="none"/>
          <w:u w:val="single"/>
          <w:lang w:bidi="ar"/>
        </w:rPr>
        <w:t>外新增检测、监测内容的综合单价，</w:t>
      </w:r>
      <w:r>
        <w:rPr>
          <w:rFonts w:hint="eastAsia" w:ascii="宋体" w:hAnsi="宋体" w:eastAsia="宋体" w:cs="宋体"/>
          <w:bCs/>
          <w:color w:val="auto"/>
          <w:kern w:val="0"/>
          <w:sz w:val="24"/>
          <w:szCs w:val="24"/>
          <w:highlight w:val="none"/>
          <w:u w:val="single"/>
          <w:lang w:val="en-US" w:eastAsia="zh-CN" w:bidi="ar"/>
        </w:rPr>
        <w:t>乙方</w:t>
      </w:r>
      <w:r>
        <w:rPr>
          <w:rFonts w:hint="eastAsia" w:ascii="宋体" w:hAnsi="宋体" w:eastAsia="宋体" w:cs="宋体"/>
          <w:bCs/>
          <w:color w:val="auto"/>
          <w:kern w:val="0"/>
          <w:sz w:val="24"/>
          <w:szCs w:val="24"/>
          <w:highlight w:val="none"/>
          <w:u w:val="single"/>
          <w:lang w:eastAsia="zh-CN" w:bidi="ar"/>
        </w:rPr>
        <w:t>按市场价申报，以</w:t>
      </w:r>
      <w:r>
        <w:rPr>
          <w:rFonts w:hint="eastAsia" w:ascii="宋体" w:hAnsi="宋体" w:eastAsia="宋体" w:cs="宋体"/>
          <w:bCs/>
          <w:color w:val="auto"/>
          <w:kern w:val="0"/>
          <w:sz w:val="24"/>
          <w:szCs w:val="24"/>
          <w:highlight w:val="none"/>
          <w:u w:val="single"/>
          <w:lang w:val="en-US" w:eastAsia="zh-CN" w:bidi="ar"/>
        </w:rPr>
        <w:t>甲方</w:t>
      </w:r>
      <w:r>
        <w:rPr>
          <w:rFonts w:hint="eastAsia" w:ascii="宋体" w:hAnsi="宋体" w:eastAsia="宋体" w:cs="宋体"/>
          <w:bCs/>
          <w:color w:val="auto"/>
          <w:kern w:val="0"/>
          <w:sz w:val="24"/>
          <w:szCs w:val="24"/>
          <w:highlight w:val="none"/>
          <w:u w:val="single"/>
          <w:lang w:eastAsia="zh-CN" w:bidi="ar"/>
        </w:rPr>
        <w:t>审定价为准</w:t>
      </w:r>
      <w:r>
        <w:rPr>
          <w:rFonts w:hint="eastAsia" w:ascii="宋体" w:hAnsi="宋体" w:eastAsia="宋体" w:cs="宋体"/>
          <w:bCs/>
          <w:color w:val="auto"/>
          <w:kern w:val="0"/>
          <w:sz w:val="24"/>
          <w:szCs w:val="24"/>
          <w:highlight w:val="none"/>
          <w:u w:val="single"/>
          <w:lang w:bidi="ar"/>
        </w:rPr>
        <w:t>。</w:t>
      </w:r>
    </w:p>
    <w:p w14:paraId="48D7E44B">
      <w:pPr>
        <w:keepNext w:val="0"/>
        <w:keepLines w:val="0"/>
        <w:pageBreakBefore w:val="0"/>
        <w:widowControl w:val="0"/>
        <w:kinsoku/>
        <w:wordWrap/>
        <w:overflowPunct/>
        <w:topLinePunct w:val="0"/>
        <w:bidi w:val="0"/>
        <w:adjustRightInd w:val="0"/>
        <w:snapToGrid w:val="0"/>
        <w:spacing w:line="360" w:lineRule="auto"/>
        <w:ind w:right="11" w:firstLine="480" w:firstLineChars="200"/>
        <w:jc w:val="both"/>
        <w:textAlignment w:val="auto"/>
        <w:outlineLvl w:val="9"/>
        <w:rPr>
          <w:rFonts w:hint="eastAsia" w:ascii="宋体" w:hAnsi="宋体" w:eastAsia="宋体" w:cs="宋体"/>
          <w:bCs w:val="0"/>
          <w:snapToGrid w:val="0"/>
          <w:color w:val="auto"/>
          <w:kern w:val="0"/>
          <w:sz w:val="24"/>
          <w:szCs w:val="24"/>
          <w:highlight w:val="none"/>
          <w:u w:val="single"/>
        </w:rPr>
      </w:pPr>
      <w:r>
        <w:rPr>
          <w:rFonts w:hint="eastAsia" w:ascii="宋体" w:hAnsi="宋体" w:eastAsia="宋体" w:cs="宋体"/>
          <w:color w:val="auto"/>
          <w:spacing w:val="0"/>
          <w:kern w:val="0"/>
          <w:sz w:val="24"/>
          <w:szCs w:val="24"/>
          <w:highlight w:val="none"/>
          <w:lang w:val="en-US" w:eastAsia="zh-CN"/>
        </w:rPr>
        <w:t>3.合同结算：</w:t>
      </w:r>
      <w:r>
        <w:rPr>
          <w:rFonts w:hint="eastAsia" w:ascii="宋体" w:hAnsi="宋体" w:eastAsia="宋体" w:cs="宋体"/>
          <w:color w:val="auto"/>
          <w:spacing w:val="0"/>
          <w:kern w:val="0"/>
          <w:sz w:val="24"/>
          <w:szCs w:val="24"/>
          <w:highlight w:val="none"/>
          <w:u w:val="single"/>
        </w:rPr>
        <w:t>合同项下全部技术服务工作完成且通过竣工验收备案后10个工作日内，乙方向甲方报送完整的合同结算资料（包括相关部门认可的技术成果）。</w:t>
      </w:r>
      <w:r>
        <w:rPr>
          <w:rFonts w:hint="eastAsia" w:ascii="宋体" w:hAnsi="宋体" w:eastAsia="宋体" w:cs="宋体"/>
          <w:bCs w:val="0"/>
          <w:snapToGrid w:val="0"/>
          <w:color w:val="auto"/>
          <w:kern w:val="0"/>
          <w:sz w:val="24"/>
          <w:szCs w:val="24"/>
          <w:highlight w:val="none"/>
          <w:u w:val="single"/>
        </w:rPr>
        <w:t>工程结算价以有权终审</w:t>
      </w:r>
      <w:r>
        <w:rPr>
          <w:rFonts w:hint="eastAsia" w:ascii="宋体" w:hAnsi="宋体" w:eastAsia="宋体" w:cs="宋体"/>
          <w:bCs w:val="0"/>
          <w:snapToGrid w:val="0"/>
          <w:color w:val="auto"/>
          <w:kern w:val="0"/>
          <w:sz w:val="24"/>
          <w:szCs w:val="24"/>
          <w:highlight w:val="none"/>
          <w:u w:val="single"/>
          <w:lang w:val="en-US" w:eastAsia="zh-CN"/>
        </w:rPr>
        <w:t>单位</w:t>
      </w:r>
      <w:r>
        <w:rPr>
          <w:rFonts w:hint="eastAsia" w:ascii="宋体" w:hAnsi="宋体" w:eastAsia="宋体" w:cs="宋体"/>
          <w:bCs w:val="0"/>
          <w:snapToGrid w:val="0"/>
          <w:color w:val="auto"/>
          <w:kern w:val="0"/>
          <w:sz w:val="24"/>
          <w:szCs w:val="24"/>
          <w:highlight w:val="none"/>
          <w:u w:val="single"/>
        </w:rPr>
        <w:t>审定</w:t>
      </w:r>
      <w:r>
        <w:rPr>
          <w:rFonts w:hint="eastAsia" w:ascii="宋体" w:hAnsi="宋体" w:eastAsia="宋体" w:cs="宋体"/>
          <w:bCs w:val="0"/>
          <w:snapToGrid w:val="0"/>
          <w:color w:val="auto"/>
          <w:kern w:val="0"/>
          <w:sz w:val="24"/>
          <w:szCs w:val="24"/>
          <w:highlight w:val="none"/>
          <w:u w:val="single"/>
          <w:lang w:val="en-US" w:eastAsia="zh-CN"/>
        </w:rPr>
        <w:t>价</w:t>
      </w:r>
      <w:r>
        <w:rPr>
          <w:rFonts w:hint="eastAsia" w:ascii="宋体" w:hAnsi="宋体" w:eastAsia="宋体" w:cs="宋体"/>
          <w:bCs w:val="0"/>
          <w:snapToGrid w:val="0"/>
          <w:color w:val="auto"/>
          <w:kern w:val="0"/>
          <w:sz w:val="24"/>
          <w:szCs w:val="24"/>
          <w:highlight w:val="none"/>
          <w:u w:val="single"/>
        </w:rPr>
        <w:t>为准。</w:t>
      </w:r>
    </w:p>
    <w:p w14:paraId="7AD37004">
      <w:pPr>
        <w:pStyle w:val="2"/>
        <w:adjustRightInd w:val="0"/>
        <w:snapToGrid w:val="0"/>
        <w:spacing w:line="360" w:lineRule="auto"/>
        <w:ind w:firstLine="482" w:firstLineChars="200"/>
        <w:jc w:val="both"/>
        <w:outlineLvl w:val="9"/>
        <w:rPr>
          <w:rFonts w:hint="eastAsia" w:ascii="宋体" w:hAnsi="宋体" w:eastAsia="宋体" w:cs="宋体"/>
          <w:b/>
          <w:color w:val="auto"/>
          <w:spacing w:val="0"/>
          <w:kern w:val="0"/>
          <w:sz w:val="24"/>
          <w:szCs w:val="24"/>
          <w:highlight w:val="none"/>
          <w:lang w:val="en-US" w:eastAsia="zh-CN"/>
        </w:rPr>
      </w:pPr>
      <w:bookmarkStart w:id="54" w:name="_Toc5120"/>
      <w:bookmarkStart w:id="55" w:name="_Toc19314"/>
      <w:r>
        <w:rPr>
          <w:rFonts w:hint="eastAsia" w:ascii="宋体" w:hAnsi="宋体" w:eastAsia="宋体" w:cs="宋体"/>
          <w:b/>
          <w:color w:val="auto"/>
          <w:spacing w:val="0"/>
          <w:kern w:val="0"/>
          <w:sz w:val="24"/>
          <w:szCs w:val="24"/>
          <w:highlight w:val="none"/>
        </w:rPr>
        <w:t>（</w:t>
      </w:r>
      <w:r>
        <w:rPr>
          <w:rFonts w:hint="eastAsia" w:ascii="宋体" w:hAnsi="宋体" w:eastAsia="宋体" w:cs="宋体"/>
          <w:b/>
          <w:color w:val="auto"/>
          <w:spacing w:val="0"/>
          <w:kern w:val="0"/>
          <w:sz w:val="24"/>
          <w:szCs w:val="24"/>
          <w:highlight w:val="none"/>
          <w:lang w:val="en-US" w:eastAsia="zh-CN"/>
        </w:rPr>
        <w:t>三</w:t>
      </w:r>
      <w:r>
        <w:rPr>
          <w:rFonts w:hint="eastAsia" w:ascii="宋体" w:hAnsi="宋体" w:eastAsia="宋体" w:cs="宋体"/>
          <w:b/>
          <w:color w:val="auto"/>
          <w:spacing w:val="0"/>
          <w:kern w:val="0"/>
          <w:sz w:val="24"/>
          <w:szCs w:val="24"/>
          <w:highlight w:val="none"/>
        </w:rPr>
        <w:t>）</w:t>
      </w:r>
      <w:r>
        <w:rPr>
          <w:rFonts w:hint="eastAsia" w:ascii="宋体" w:hAnsi="宋体" w:eastAsia="宋体" w:cs="宋体"/>
          <w:b/>
          <w:color w:val="auto"/>
          <w:spacing w:val="0"/>
          <w:kern w:val="0"/>
          <w:sz w:val="24"/>
          <w:szCs w:val="24"/>
          <w:highlight w:val="none"/>
          <w:lang w:val="en-US" w:eastAsia="zh-CN"/>
        </w:rPr>
        <w:t>支付方式</w:t>
      </w:r>
      <w:bookmarkEnd w:id="54"/>
      <w:bookmarkEnd w:id="55"/>
    </w:p>
    <w:p w14:paraId="22A12B1C">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rPr>
        <w:t>1.</w:t>
      </w:r>
      <w:r>
        <w:rPr>
          <w:rFonts w:hint="eastAsia" w:ascii="宋体" w:hAnsi="宋体" w:eastAsia="宋体" w:cs="宋体"/>
          <w:color w:val="auto"/>
          <w:spacing w:val="0"/>
          <w:kern w:val="0"/>
          <w:sz w:val="24"/>
          <w:szCs w:val="24"/>
          <w:highlight w:val="none"/>
          <w:lang w:val="en-US" w:eastAsia="zh-CN"/>
        </w:rPr>
        <w:t>预付款支付：</w:t>
      </w:r>
      <w:r>
        <w:rPr>
          <w:rFonts w:hint="eastAsia" w:ascii="宋体" w:hAnsi="宋体" w:eastAsia="宋体" w:cs="宋体"/>
          <w:color w:val="auto"/>
          <w:spacing w:val="0"/>
          <w:kern w:val="0"/>
          <w:sz w:val="24"/>
          <w:szCs w:val="24"/>
          <w:highlight w:val="none"/>
          <w:u w:val="single"/>
          <w:lang w:val="en-US" w:eastAsia="zh-CN"/>
        </w:rPr>
        <w:t>本合同不设预付款。</w:t>
      </w:r>
    </w:p>
    <w:p w14:paraId="2980DB7E">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lang w:val="en-US" w:eastAsia="zh-CN"/>
        </w:rPr>
        <w:t>2.进度款支付：</w:t>
      </w:r>
    </w:p>
    <w:p w14:paraId="279EF901">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u w:val="single"/>
          <w:lang w:val="en-US" w:eastAsia="zh-CN"/>
        </w:rPr>
        <w:t>（1）</w:t>
      </w:r>
      <w:r>
        <w:rPr>
          <w:rFonts w:hint="eastAsia" w:ascii="宋体" w:hAnsi="宋体" w:eastAsia="宋体" w:cs="宋体"/>
          <w:color w:val="auto"/>
          <w:spacing w:val="0"/>
          <w:kern w:val="0"/>
          <w:sz w:val="24"/>
          <w:szCs w:val="24"/>
          <w:highlight w:val="none"/>
          <w:u w:val="single"/>
        </w:rPr>
        <w:t>检测费</w:t>
      </w:r>
      <w:r>
        <w:rPr>
          <w:rFonts w:hint="eastAsia" w:ascii="宋体" w:hAnsi="宋体" w:eastAsia="宋体" w:cs="宋体"/>
          <w:color w:val="auto"/>
          <w:spacing w:val="0"/>
          <w:kern w:val="0"/>
          <w:sz w:val="24"/>
          <w:szCs w:val="24"/>
          <w:highlight w:val="none"/>
          <w:u w:val="single"/>
          <w:lang w:val="en-US" w:eastAsia="zh-CN"/>
        </w:rPr>
        <w:t>进度款</w:t>
      </w:r>
      <w:r>
        <w:rPr>
          <w:rFonts w:hint="eastAsia" w:ascii="宋体" w:hAnsi="宋体" w:eastAsia="宋体" w:cs="宋体"/>
          <w:color w:val="auto"/>
          <w:spacing w:val="0"/>
          <w:kern w:val="0"/>
          <w:sz w:val="24"/>
          <w:szCs w:val="24"/>
          <w:highlight w:val="none"/>
          <w:u w:val="single"/>
        </w:rPr>
        <w:t>支付方式</w:t>
      </w:r>
      <w:r>
        <w:rPr>
          <w:rFonts w:hint="eastAsia" w:ascii="宋体" w:hAnsi="宋体" w:eastAsia="宋体" w:cs="宋体"/>
          <w:color w:val="auto"/>
          <w:spacing w:val="0"/>
          <w:kern w:val="0"/>
          <w:sz w:val="24"/>
          <w:szCs w:val="24"/>
          <w:highlight w:val="none"/>
          <w:u w:val="single"/>
          <w:lang w:val="en-US" w:eastAsia="zh-CN"/>
        </w:rPr>
        <w:t>为</w:t>
      </w:r>
      <w:r>
        <w:rPr>
          <w:rFonts w:hint="eastAsia" w:ascii="宋体" w:hAnsi="宋体" w:eastAsia="宋体" w:cs="宋体"/>
          <w:color w:val="auto"/>
          <w:spacing w:val="0"/>
          <w:kern w:val="0"/>
          <w:sz w:val="24"/>
          <w:szCs w:val="24"/>
          <w:highlight w:val="none"/>
          <w:u w:val="single"/>
        </w:rPr>
        <w:t>：</w:t>
      </w:r>
      <w:r>
        <w:rPr>
          <w:rFonts w:hint="eastAsia" w:ascii="宋体" w:hAnsi="宋体" w:eastAsia="宋体" w:cs="宋体"/>
          <w:color w:val="auto"/>
          <w:spacing w:val="0"/>
          <w:kern w:val="0"/>
          <w:sz w:val="24"/>
          <w:szCs w:val="24"/>
          <w:highlight w:val="none"/>
          <w:u w:val="single"/>
          <w:lang w:val="en-US" w:eastAsia="zh-CN"/>
        </w:rPr>
        <w:t>乙方按要求提交履约担保，</w:t>
      </w:r>
      <w:r>
        <w:rPr>
          <w:rFonts w:hint="eastAsia" w:ascii="宋体" w:hAnsi="宋体" w:eastAsia="宋体" w:cs="宋体"/>
          <w:color w:val="auto"/>
          <w:spacing w:val="0"/>
          <w:kern w:val="0"/>
          <w:sz w:val="24"/>
          <w:szCs w:val="24"/>
          <w:highlight w:val="none"/>
          <w:u w:val="single"/>
        </w:rPr>
        <w:t>乙方于每批次或单项完成后，编制已完成检测技术工作的支付申请报送甲方审核</w:t>
      </w:r>
      <w:r>
        <w:rPr>
          <w:rFonts w:hint="eastAsia" w:ascii="宋体" w:hAnsi="宋体" w:eastAsia="宋体" w:cs="宋体"/>
          <w:color w:val="auto"/>
          <w:spacing w:val="0"/>
          <w:kern w:val="0"/>
          <w:sz w:val="24"/>
          <w:szCs w:val="24"/>
          <w:highlight w:val="none"/>
          <w:u w:val="single"/>
          <w:lang w:eastAsia="zh-CN"/>
        </w:rPr>
        <w:t>（</w:t>
      </w:r>
      <w:r>
        <w:rPr>
          <w:rFonts w:hint="eastAsia" w:ascii="宋体" w:hAnsi="宋体" w:eastAsia="宋体" w:cs="宋体"/>
          <w:color w:val="auto"/>
          <w:spacing w:val="0"/>
          <w:kern w:val="0"/>
          <w:sz w:val="24"/>
          <w:szCs w:val="24"/>
          <w:highlight w:val="none"/>
          <w:u w:val="single"/>
        </w:rPr>
        <w:t>当</w:t>
      </w:r>
      <w:r>
        <w:rPr>
          <w:rFonts w:hint="eastAsia" w:ascii="宋体" w:hAnsi="宋体" w:eastAsia="宋体" w:cs="宋体"/>
          <w:color w:val="auto"/>
          <w:spacing w:val="0"/>
          <w:kern w:val="0"/>
          <w:sz w:val="24"/>
          <w:szCs w:val="24"/>
          <w:highlight w:val="none"/>
          <w:u w:val="single"/>
          <w:lang w:eastAsia="zh-CN"/>
        </w:rPr>
        <w:t>前</w:t>
      </w:r>
      <w:r>
        <w:rPr>
          <w:rFonts w:hint="eastAsia" w:ascii="宋体" w:hAnsi="宋体" w:eastAsia="宋体" w:cs="宋体"/>
          <w:color w:val="auto"/>
          <w:spacing w:val="0"/>
          <w:kern w:val="0"/>
          <w:sz w:val="24"/>
          <w:szCs w:val="24"/>
          <w:highlight w:val="none"/>
          <w:u w:val="single"/>
        </w:rPr>
        <w:t>批次</w:t>
      </w:r>
      <w:r>
        <w:rPr>
          <w:rFonts w:hint="eastAsia" w:ascii="宋体" w:hAnsi="宋体" w:eastAsia="宋体" w:cs="宋体"/>
          <w:color w:val="auto"/>
          <w:spacing w:val="0"/>
          <w:kern w:val="0"/>
          <w:sz w:val="24"/>
          <w:szCs w:val="24"/>
          <w:highlight w:val="none"/>
          <w:u w:val="single"/>
          <w:lang w:eastAsia="zh-CN"/>
        </w:rPr>
        <w:t>或单项</w:t>
      </w:r>
      <w:r>
        <w:rPr>
          <w:rFonts w:hint="eastAsia" w:ascii="宋体" w:hAnsi="宋体" w:eastAsia="宋体" w:cs="宋体"/>
          <w:color w:val="auto"/>
          <w:spacing w:val="0"/>
          <w:kern w:val="0"/>
          <w:sz w:val="24"/>
          <w:szCs w:val="24"/>
          <w:highlight w:val="none"/>
          <w:u w:val="single"/>
        </w:rPr>
        <w:t>已完成的检测技术工作量以乙方向甲方提交的检测报告中</w:t>
      </w:r>
      <w:r>
        <w:rPr>
          <w:rFonts w:hint="eastAsia" w:ascii="宋体" w:hAnsi="宋体" w:eastAsia="宋体" w:cs="宋体"/>
          <w:color w:val="auto"/>
          <w:spacing w:val="0"/>
          <w:kern w:val="0"/>
          <w:sz w:val="24"/>
          <w:szCs w:val="24"/>
          <w:highlight w:val="none"/>
          <w:u w:val="single"/>
          <w:lang w:val="en-US" w:eastAsia="zh-CN"/>
        </w:rPr>
        <w:t>已</w:t>
      </w:r>
      <w:r>
        <w:rPr>
          <w:rFonts w:hint="eastAsia" w:ascii="宋体" w:hAnsi="宋体" w:eastAsia="宋体" w:cs="宋体"/>
          <w:color w:val="auto"/>
          <w:spacing w:val="0"/>
          <w:kern w:val="0"/>
          <w:sz w:val="24"/>
          <w:szCs w:val="24"/>
          <w:highlight w:val="none"/>
          <w:u w:val="single"/>
        </w:rPr>
        <w:t>完成并经甲方确认的工</w:t>
      </w:r>
      <w:r>
        <w:rPr>
          <w:rFonts w:hint="eastAsia" w:ascii="宋体" w:hAnsi="宋体" w:eastAsia="宋体" w:cs="宋体"/>
          <w:color w:val="auto"/>
          <w:spacing w:val="0"/>
          <w:kern w:val="0"/>
          <w:sz w:val="24"/>
          <w:szCs w:val="24"/>
          <w:highlight w:val="none"/>
          <w:u w:val="single"/>
          <w:lang w:val="en-US" w:eastAsia="zh-CN"/>
        </w:rPr>
        <w:t>程</w:t>
      </w:r>
      <w:r>
        <w:rPr>
          <w:rFonts w:hint="eastAsia" w:ascii="宋体" w:hAnsi="宋体" w:eastAsia="宋体" w:cs="宋体"/>
          <w:color w:val="auto"/>
          <w:spacing w:val="0"/>
          <w:kern w:val="0"/>
          <w:sz w:val="24"/>
          <w:szCs w:val="24"/>
          <w:highlight w:val="none"/>
          <w:u w:val="single"/>
        </w:rPr>
        <w:t>量为准</w:t>
      </w:r>
      <w:r>
        <w:rPr>
          <w:rFonts w:hint="eastAsia" w:ascii="宋体" w:hAnsi="宋体" w:eastAsia="宋体" w:cs="宋体"/>
          <w:color w:val="auto"/>
          <w:spacing w:val="0"/>
          <w:kern w:val="0"/>
          <w:sz w:val="24"/>
          <w:szCs w:val="24"/>
          <w:highlight w:val="none"/>
          <w:u w:val="single"/>
          <w:lang w:eastAsia="zh-CN"/>
        </w:rPr>
        <w:t>），</w:t>
      </w:r>
      <w:r>
        <w:rPr>
          <w:rFonts w:hint="eastAsia" w:ascii="宋体" w:hAnsi="宋体" w:eastAsia="宋体" w:cs="宋体"/>
          <w:color w:val="auto"/>
          <w:spacing w:val="0"/>
          <w:kern w:val="0"/>
          <w:sz w:val="24"/>
          <w:szCs w:val="24"/>
          <w:highlight w:val="none"/>
          <w:u w:val="single"/>
        </w:rPr>
        <w:t>经甲方审核</w:t>
      </w:r>
      <w:r>
        <w:rPr>
          <w:rFonts w:hint="eastAsia" w:ascii="宋体" w:hAnsi="宋体" w:eastAsia="宋体" w:cs="宋体"/>
          <w:color w:val="auto"/>
          <w:spacing w:val="0"/>
          <w:kern w:val="0"/>
          <w:sz w:val="24"/>
          <w:szCs w:val="24"/>
          <w:highlight w:val="none"/>
          <w:u w:val="single"/>
          <w:lang w:eastAsia="zh-CN"/>
        </w:rPr>
        <w:t>通过</w:t>
      </w:r>
      <w:r>
        <w:rPr>
          <w:rFonts w:hint="eastAsia" w:ascii="宋体" w:hAnsi="宋体" w:eastAsia="宋体" w:cs="宋体"/>
          <w:color w:val="auto"/>
          <w:spacing w:val="0"/>
          <w:kern w:val="0"/>
          <w:sz w:val="24"/>
          <w:szCs w:val="24"/>
          <w:highlight w:val="none"/>
          <w:u w:val="single"/>
          <w:lang w:val="en-US" w:eastAsia="zh-CN"/>
        </w:rPr>
        <w:t>且甲方收到乙方完整支付申请资料后</w:t>
      </w:r>
      <w:r>
        <w:rPr>
          <w:rFonts w:hint="eastAsia" w:ascii="宋体" w:hAnsi="宋体" w:eastAsia="宋体" w:cs="宋体"/>
          <w:color w:val="auto"/>
          <w:spacing w:val="0"/>
          <w:kern w:val="0"/>
          <w:sz w:val="24"/>
          <w:szCs w:val="24"/>
          <w:highlight w:val="none"/>
          <w:u w:val="single"/>
        </w:rPr>
        <w:t>支付至该批次</w:t>
      </w:r>
      <w:r>
        <w:rPr>
          <w:rFonts w:hint="eastAsia" w:ascii="宋体" w:hAnsi="宋体" w:eastAsia="宋体" w:cs="宋体"/>
          <w:color w:val="auto"/>
          <w:spacing w:val="0"/>
          <w:kern w:val="0"/>
          <w:sz w:val="24"/>
          <w:szCs w:val="24"/>
          <w:highlight w:val="none"/>
          <w:u w:val="single"/>
          <w:lang w:val="en-US" w:eastAsia="zh-CN"/>
        </w:rPr>
        <w:t>实际完成工程量对应</w:t>
      </w:r>
      <w:r>
        <w:rPr>
          <w:rFonts w:hint="eastAsia" w:ascii="宋体" w:hAnsi="宋体" w:eastAsia="宋体" w:cs="宋体"/>
          <w:color w:val="auto"/>
          <w:spacing w:val="0"/>
          <w:kern w:val="0"/>
          <w:sz w:val="24"/>
          <w:szCs w:val="24"/>
          <w:highlight w:val="none"/>
          <w:u w:val="single"/>
        </w:rPr>
        <w:t>检测费的80%</w:t>
      </w:r>
      <w:r>
        <w:rPr>
          <w:rFonts w:hint="eastAsia" w:ascii="宋体" w:hAnsi="宋体" w:eastAsia="宋体" w:cs="宋体"/>
          <w:color w:val="auto"/>
          <w:spacing w:val="0"/>
          <w:kern w:val="0"/>
          <w:sz w:val="24"/>
          <w:szCs w:val="24"/>
          <w:highlight w:val="none"/>
          <w:u w:val="single"/>
          <w:lang w:eastAsia="zh-CN"/>
        </w:rPr>
        <w:t>。累计付款金额</w:t>
      </w:r>
      <w:r>
        <w:rPr>
          <w:rFonts w:hint="eastAsia" w:ascii="宋体" w:hAnsi="宋体" w:eastAsia="宋体" w:cs="宋体"/>
          <w:color w:val="auto"/>
          <w:spacing w:val="0"/>
          <w:kern w:val="0"/>
          <w:sz w:val="24"/>
          <w:szCs w:val="24"/>
          <w:highlight w:val="none"/>
          <w:u w:val="single"/>
        </w:rPr>
        <w:t>不超过检测</w:t>
      </w:r>
      <w:r>
        <w:rPr>
          <w:rFonts w:hint="eastAsia" w:ascii="宋体" w:hAnsi="宋体" w:eastAsia="宋体" w:cs="宋体"/>
          <w:color w:val="auto"/>
          <w:spacing w:val="0"/>
          <w:kern w:val="0"/>
          <w:sz w:val="24"/>
          <w:szCs w:val="24"/>
          <w:highlight w:val="none"/>
          <w:u w:val="single"/>
          <w:lang w:val="en-US" w:eastAsia="zh-CN"/>
        </w:rPr>
        <w:t>服务</w:t>
      </w:r>
      <w:r>
        <w:rPr>
          <w:rFonts w:hint="eastAsia" w:ascii="宋体" w:hAnsi="宋体" w:eastAsia="宋体" w:cs="宋体"/>
          <w:color w:val="auto"/>
          <w:spacing w:val="0"/>
          <w:kern w:val="0"/>
          <w:sz w:val="24"/>
          <w:szCs w:val="24"/>
          <w:highlight w:val="none"/>
          <w:u w:val="single"/>
        </w:rPr>
        <w:t>费</w:t>
      </w:r>
      <w:r>
        <w:rPr>
          <w:rFonts w:hint="eastAsia" w:ascii="宋体" w:hAnsi="宋体" w:eastAsia="宋体" w:cs="宋体"/>
          <w:color w:val="auto"/>
          <w:spacing w:val="0"/>
          <w:kern w:val="0"/>
          <w:sz w:val="24"/>
          <w:szCs w:val="24"/>
          <w:highlight w:val="none"/>
          <w:u w:val="single"/>
          <w:lang w:val="en-US" w:eastAsia="zh-CN"/>
        </w:rPr>
        <w:t>合同暂定价</w:t>
      </w:r>
      <w:r>
        <w:rPr>
          <w:rFonts w:hint="eastAsia" w:ascii="宋体" w:hAnsi="宋体" w:eastAsia="宋体" w:cs="宋体"/>
          <w:color w:val="auto"/>
          <w:spacing w:val="0"/>
          <w:kern w:val="0"/>
          <w:sz w:val="24"/>
          <w:szCs w:val="24"/>
          <w:highlight w:val="none"/>
          <w:u w:val="single"/>
        </w:rPr>
        <w:t>的80%。</w:t>
      </w:r>
    </w:p>
    <w:p w14:paraId="2B485DE1">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pacing w:val="0"/>
          <w:kern w:val="0"/>
          <w:sz w:val="24"/>
          <w:szCs w:val="24"/>
          <w:highlight w:val="none"/>
          <w:u w:val="single"/>
        </w:rPr>
      </w:pPr>
      <w:r>
        <w:rPr>
          <w:rFonts w:hint="eastAsia" w:ascii="宋体" w:hAnsi="宋体" w:eastAsia="宋体" w:cs="宋体"/>
          <w:color w:val="auto"/>
          <w:spacing w:val="0"/>
          <w:kern w:val="0"/>
          <w:sz w:val="24"/>
          <w:szCs w:val="24"/>
          <w:highlight w:val="none"/>
          <w:u w:val="single"/>
          <w:lang w:eastAsia="zh-CN"/>
        </w:rPr>
        <w:t>（</w:t>
      </w:r>
      <w:r>
        <w:rPr>
          <w:rFonts w:hint="eastAsia" w:ascii="宋体" w:hAnsi="宋体" w:eastAsia="宋体" w:cs="宋体"/>
          <w:color w:val="auto"/>
          <w:spacing w:val="0"/>
          <w:kern w:val="0"/>
          <w:sz w:val="24"/>
          <w:szCs w:val="24"/>
          <w:highlight w:val="none"/>
          <w:u w:val="single"/>
          <w:lang w:val="en-US" w:eastAsia="zh-CN"/>
        </w:rPr>
        <w:t>2</w:t>
      </w:r>
      <w:r>
        <w:rPr>
          <w:rFonts w:hint="eastAsia" w:ascii="宋体" w:hAnsi="宋体" w:eastAsia="宋体" w:cs="宋体"/>
          <w:color w:val="auto"/>
          <w:spacing w:val="0"/>
          <w:kern w:val="0"/>
          <w:sz w:val="24"/>
          <w:szCs w:val="24"/>
          <w:highlight w:val="none"/>
          <w:u w:val="single"/>
          <w:lang w:eastAsia="zh-CN"/>
        </w:rPr>
        <w:t>）</w:t>
      </w:r>
      <w:r>
        <w:rPr>
          <w:rFonts w:hint="eastAsia" w:ascii="宋体" w:hAnsi="宋体" w:eastAsia="宋体" w:cs="宋体"/>
          <w:color w:val="auto"/>
          <w:kern w:val="0"/>
          <w:sz w:val="24"/>
          <w:szCs w:val="24"/>
          <w:highlight w:val="none"/>
          <w:u w:val="single"/>
        </w:rPr>
        <w:t>监测</w:t>
      </w:r>
      <w:r>
        <w:rPr>
          <w:rFonts w:hint="eastAsia" w:ascii="宋体" w:hAnsi="宋体" w:eastAsia="宋体" w:cs="宋体"/>
          <w:color w:val="auto"/>
          <w:spacing w:val="0"/>
          <w:kern w:val="0"/>
          <w:sz w:val="24"/>
          <w:szCs w:val="24"/>
          <w:highlight w:val="none"/>
          <w:u w:val="single"/>
        </w:rPr>
        <w:t>费</w:t>
      </w:r>
      <w:r>
        <w:rPr>
          <w:rFonts w:hint="eastAsia" w:ascii="宋体" w:hAnsi="宋体" w:eastAsia="宋体" w:cs="宋体"/>
          <w:color w:val="auto"/>
          <w:spacing w:val="0"/>
          <w:kern w:val="0"/>
          <w:sz w:val="24"/>
          <w:szCs w:val="24"/>
          <w:highlight w:val="none"/>
          <w:u w:val="single"/>
          <w:lang w:val="en-US" w:eastAsia="zh-CN"/>
        </w:rPr>
        <w:t>进度款</w:t>
      </w:r>
      <w:r>
        <w:rPr>
          <w:rFonts w:hint="eastAsia" w:ascii="宋体" w:hAnsi="宋体" w:eastAsia="宋体" w:cs="宋体"/>
          <w:color w:val="auto"/>
          <w:spacing w:val="0"/>
          <w:kern w:val="0"/>
          <w:sz w:val="24"/>
          <w:szCs w:val="24"/>
          <w:highlight w:val="none"/>
          <w:u w:val="single"/>
        </w:rPr>
        <w:t>支付方式</w:t>
      </w:r>
      <w:r>
        <w:rPr>
          <w:rFonts w:hint="eastAsia" w:ascii="宋体" w:hAnsi="宋体" w:eastAsia="宋体" w:cs="宋体"/>
          <w:color w:val="auto"/>
          <w:spacing w:val="0"/>
          <w:kern w:val="0"/>
          <w:sz w:val="24"/>
          <w:szCs w:val="24"/>
          <w:highlight w:val="none"/>
          <w:u w:val="single"/>
          <w:lang w:val="en-US" w:eastAsia="zh-CN"/>
        </w:rPr>
        <w:t>为</w:t>
      </w:r>
      <w:r>
        <w:rPr>
          <w:rFonts w:hint="eastAsia" w:ascii="宋体" w:hAnsi="宋体" w:eastAsia="宋体" w:cs="宋体"/>
          <w:color w:val="auto"/>
          <w:spacing w:val="0"/>
          <w:kern w:val="0"/>
          <w:sz w:val="24"/>
          <w:szCs w:val="24"/>
          <w:highlight w:val="none"/>
          <w:u w:val="single"/>
        </w:rPr>
        <w:t>：</w:t>
      </w:r>
      <w:r>
        <w:rPr>
          <w:rFonts w:hint="eastAsia" w:ascii="宋体" w:hAnsi="宋体" w:eastAsia="宋体" w:cs="宋体"/>
          <w:color w:val="auto"/>
          <w:spacing w:val="0"/>
          <w:kern w:val="0"/>
          <w:sz w:val="24"/>
          <w:szCs w:val="24"/>
          <w:highlight w:val="none"/>
          <w:u w:val="single"/>
          <w:lang w:val="en-US" w:eastAsia="zh-CN"/>
        </w:rPr>
        <w:t>乙方按要求提交履约担保，根据甲方要求开始监测服务之日起</w:t>
      </w:r>
      <w:r>
        <w:rPr>
          <w:rFonts w:hint="eastAsia" w:ascii="宋体" w:hAnsi="宋体" w:eastAsia="宋体" w:cs="宋体"/>
          <w:color w:val="auto"/>
          <w:spacing w:val="0"/>
          <w:kern w:val="0"/>
          <w:sz w:val="24"/>
          <w:szCs w:val="24"/>
          <w:highlight w:val="none"/>
          <w:u w:val="single"/>
          <w:lang w:eastAsia="zh-CN"/>
        </w:rPr>
        <w:t>，</w:t>
      </w:r>
      <w:r>
        <w:rPr>
          <w:rFonts w:hint="eastAsia" w:ascii="宋体" w:hAnsi="宋体" w:eastAsia="宋体" w:cs="宋体"/>
          <w:color w:val="auto"/>
          <w:spacing w:val="0"/>
          <w:kern w:val="0"/>
          <w:sz w:val="24"/>
          <w:szCs w:val="24"/>
          <w:highlight w:val="none"/>
          <w:u w:val="single"/>
          <w:lang w:val="en-US" w:eastAsia="zh-CN"/>
        </w:rPr>
        <w:t>根据实际完成工程量</w:t>
      </w:r>
      <w:r>
        <w:rPr>
          <w:rFonts w:hint="eastAsia" w:ascii="宋体" w:hAnsi="宋体" w:eastAsia="宋体" w:cs="宋体"/>
          <w:color w:val="auto"/>
          <w:spacing w:val="0"/>
          <w:kern w:val="0"/>
          <w:sz w:val="24"/>
          <w:szCs w:val="24"/>
          <w:highlight w:val="none"/>
          <w:u w:val="single"/>
        </w:rPr>
        <w:t>每</w:t>
      </w:r>
      <w:r>
        <w:rPr>
          <w:rFonts w:hint="eastAsia" w:ascii="宋体" w:hAnsi="宋体" w:eastAsia="宋体" w:cs="宋体"/>
          <w:color w:val="auto"/>
          <w:spacing w:val="0"/>
          <w:kern w:val="0"/>
          <w:sz w:val="24"/>
          <w:szCs w:val="24"/>
          <w:highlight w:val="none"/>
          <w:u w:val="single"/>
          <w:lang w:val="en-US" w:eastAsia="zh-CN"/>
        </w:rPr>
        <w:t>季度</w:t>
      </w:r>
      <w:r>
        <w:rPr>
          <w:rFonts w:hint="eastAsia" w:ascii="宋体" w:hAnsi="宋体" w:eastAsia="宋体" w:cs="宋体"/>
          <w:color w:val="auto"/>
          <w:spacing w:val="0"/>
          <w:kern w:val="0"/>
          <w:sz w:val="24"/>
          <w:szCs w:val="24"/>
          <w:highlight w:val="none"/>
          <w:u w:val="single"/>
        </w:rPr>
        <w:t>计付一次</w:t>
      </w:r>
      <w:r>
        <w:rPr>
          <w:rFonts w:hint="eastAsia" w:ascii="宋体" w:hAnsi="宋体" w:eastAsia="宋体" w:cs="宋体"/>
          <w:color w:val="auto"/>
          <w:spacing w:val="0"/>
          <w:kern w:val="0"/>
          <w:sz w:val="24"/>
          <w:szCs w:val="24"/>
          <w:highlight w:val="none"/>
          <w:u w:val="single"/>
          <w:lang w:eastAsia="zh-CN"/>
        </w:rPr>
        <w:t>，</w:t>
      </w:r>
      <w:r>
        <w:rPr>
          <w:rFonts w:hint="eastAsia" w:ascii="宋体" w:hAnsi="宋体" w:eastAsia="宋体" w:cs="宋体"/>
          <w:color w:val="auto"/>
          <w:spacing w:val="0"/>
          <w:kern w:val="0"/>
          <w:sz w:val="24"/>
          <w:szCs w:val="24"/>
          <w:highlight w:val="none"/>
          <w:u w:val="single"/>
          <w:lang w:val="en-US" w:eastAsia="zh-CN"/>
        </w:rPr>
        <w:t>经甲方审核通过且甲方收到乙方完整支付申请资料后支付至该季度实际完成工程量对应监测费</w:t>
      </w:r>
      <w:r>
        <w:rPr>
          <w:rFonts w:hint="eastAsia" w:ascii="宋体" w:hAnsi="宋体" w:eastAsia="宋体" w:cs="宋体"/>
          <w:color w:val="auto"/>
          <w:spacing w:val="0"/>
          <w:kern w:val="0"/>
          <w:sz w:val="24"/>
          <w:szCs w:val="24"/>
          <w:highlight w:val="none"/>
          <w:u w:val="single"/>
        </w:rPr>
        <w:t>的80%</w:t>
      </w:r>
      <w:r>
        <w:rPr>
          <w:rFonts w:hint="eastAsia" w:ascii="宋体" w:hAnsi="宋体" w:eastAsia="宋体" w:cs="宋体"/>
          <w:color w:val="auto"/>
          <w:spacing w:val="0"/>
          <w:kern w:val="0"/>
          <w:sz w:val="24"/>
          <w:szCs w:val="24"/>
          <w:highlight w:val="none"/>
          <w:u w:val="single"/>
          <w:lang w:eastAsia="zh-CN"/>
        </w:rPr>
        <w:t>。</w:t>
      </w:r>
      <w:r>
        <w:rPr>
          <w:rFonts w:hint="eastAsia" w:ascii="宋体" w:hAnsi="宋体" w:eastAsia="宋体" w:cs="宋体"/>
          <w:color w:val="auto"/>
          <w:spacing w:val="0"/>
          <w:kern w:val="0"/>
          <w:sz w:val="24"/>
          <w:szCs w:val="24"/>
          <w:highlight w:val="none"/>
          <w:u w:val="single"/>
        </w:rPr>
        <w:t>累计付款金额不超过</w:t>
      </w:r>
      <w:r>
        <w:rPr>
          <w:rFonts w:hint="eastAsia" w:ascii="宋体" w:hAnsi="宋体" w:eastAsia="宋体" w:cs="宋体"/>
          <w:color w:val="auto"/>
          <w:kern w:val="0"/>
          <w:sz w:val="24"/>
          <w:szCs w:val="24"/>
          <w:highlight w:val="none"/>
          <w:u w:val="single"/>
        </w:rPr>
        <w:t>监测</w:t>
      </w:r>
      <w:r>
        <w:rPr>
          <w:rFonts w:hint="eastAsia" w:ascii="宋体" w:hAnsi="宋体" w:eastAsia="宋体" w:cs="宋体"/>
          <w:color w:val="auto"/>
          <w:kern w:val="0"/>
          <w:sz w:val="24"/>
          <w:szCs w:val="24"/>
          <w:highlight w:val="none"/>
          <w:u w:val="single"/>
          <w:lang w:val="en-US" w:eastAsia="zh-CN"/>
        </w:rPr>
        <w:t>服务费合同暂定价</w:t>
      </w:r>
      <w:r>
        <w:rPr>
          <w:rFonts w:hint="eastAsia" w:ascii="宋体" w:hAnsi="宋体" w:eastAsia="宋体" w:cs="宋体"/>
          <w:color w:val="auto"/>
          <w:spacing w:val="0"/>
          <w:kern w:val="0"/>
          <w:sz w:val="24"/>
          <w:szCs w:val="24"/>
          <w:highlight w:val="none"/>
          <w:u w:val="single"/>
        </w:rPr>
        <w:t>的80%。</w:t>
      </w:r>
    </w:p>
    <w:p w14:paraId="0B008AAE">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u w:val="single"/>
          <w:lang w:val="en-US" w:eastAsia="zh-CN"/>
        </w:rPr>
        <w:t>3.结算款支付：</w:t>
      </w:r>
      <w:r>
        <w:rPr>
          <w:rFonts w:hint="eastAsia" w:ascii="宋体" w:hAnsi="宋体" w:eastAsia="宋体" w:cs="宋体"/>
          <w:color w:val="auto"/>
          <w:spacing w:val="0"/>
          <w:kern w:val="0"/>
          <w:sz w:val="24"/>
          <w:szCs w:val="24"/>
          <w:highlight w:val="none"/>
          <w:u w:val="single"/>
        </w:rPr>
        <w:t>结算经审定后，甲方付清余款。</w:t>
      </w:r>
    </w:p>
    <w:p w14:paraId="19B0A78E">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val="en-US" w:eastAsia="zh-CN"/>
        </w:rPr>
        <w:t>4.</w:t>
      </w:r>
      <w:r>
        <w:rPr>
          <w:rFonts w:hint="eastAsia" w:ascii="宋体" w:hAnsi="宋体" w:eastAsia="宋体" w:cs="宋体"/>
          <w:color w:val="auto"/>
          <w:spacing w:val="0"/>
          <w:kern w:val="0"/>
          <w:sz w:val="24"/>
          <w:szCs w:val="24"/>
          <w:highlight w:val="none"/>
        </w:rPr>
        <w:t>甲方向乙方支付服务费用前，乙方必须向甲方提供等额、有效、完税的增值税专用发票。因乙方提供的发票不规范、不合法引起税务问题的，乙方应承担赔偿责任，包括但不限于税款、附加费、滞纳金、罚款及相关损失。乙方不能及时提供符合甲方要求的合法发票，甲方有权顺延直至乙方提供后付款且无需承担任何责任。如给甲方造成严重损失，致使合同无法继续履行等情况的，甲方有权终止合同，且无需承担任何责任。</w:t>
      </w:r>
    </w:p>
    <w:p w14:paraId="34ED9015">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val="en-US" w:eastAsia="zh-CN"/>
        </w:rPr>
        <w:t>5</w:t>
      </w:r>
      <w:r>
        <w:rPr>
          <w:rFonts w:hint="eastAsia" w:ascii="宋体" w:hAnsi="宋体" w:eastAsia="宋体" w:cs="宋体"/>
          <w:color w:val="auto"/>
          <w:spacing w:val="0"/>
          <w:kern w:val="0"/>
          <w:sz w:val="24"/>
          <w:szCs w:val="24"/>
          <w:highlight w:val="none"/>
        </w:rPr>
        <w:t>.联合体各成员单位应收的款项，统一由联合体牵头单位</w:t>
      </w:r>
      <w:r>
        <w:rPr>
          <w:rFonts w:hint="eastAsia" w:ascii="宋体" w:hAnsi="宋体" w:eastAsia="宋体" w:cs="宋体"/>
          <w:color w:val="auto"/>
          <w:spacing w:val="0"/>
          <w:kern w:val="0"/>
          <w:sz w:val="24"/>
          <w:szCs w:val="24"/>
          <w:highlight w:val="none"/>
          <w:lang w:eastAsia="zh-CN"/>
        </w:rPr>
        <w:t>（主办方）</w:t>
      </w:r>
      <w:r>
        <w:rPr>
          <w:rFonts w:hint="eastAsia" w:ascii="宋体" w:hAnsi="宋体" w:eastAsia="宋体" w:cs="宋体"/>
          <w:color w:val="auto"/>
          <w:spacing w:val="0"/>
          <w:kern w:val="0"/>
          <w:sz w:val="24"/>
          <w:szCs w:val="24"/>
          <w:highlight w:val="none"/>
        </w:rPr>
        <w:t>负责向甲方提交请款资料；请款经监理人及甲方审核后，并由收款单位向甲方开具收款发票</w:t>
      </w:r>
      <w:r>
        <w:rPr>
          <w:rFonts w:hint="eastAsia" w:ascii="宋体" w:hAnsi="宋体" w:eastAsia="宋体" w:cs="宋体"/>
          <w:color w:val="auto"/>
          <w:spacing w:val="0"/>
          <w:kern w:val="0"/>
          <w:sz w:val="24"/>
          <w:szCs w:val="24"/>
          <w:highlight w:val="none"/>
          <w:lang w:eastAsia="zh-CN"/>
        </w:rPr>
        <w:t>，甲方将</w:t>
      </w:r>
      <w:r>
        <w:rPr>
          <w:rFonts w:hint="eastAsia" w:ascii="宋体" w:hAnsi="宋体" w:eastAsia="宋体" w:cs="宋体"/>
          <w:color w:val="auto"/>
          <w:spacing w:val="0"/>
          <w:kern w:val="0"/>
          <w:sz w:val="24"/>
          <w:szCs w:val="24"/>
          <w:highlight w:val="none"/>
        </w:rPr>
        <w:t>款项分别支付至联合体各成员单位账户。</w:t>
      </w:r>
    </w:p>
    <w:p w14:paraId="643D5C2D">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val="en-US" w:eastAsia="zh-CN"/>
        </w:rPr>
        <w:t>6</w:t>
      </w:r>
      <w:r>
        <w:rPr>
          <w:rFonts w:hint="eastAsia" w:ascii="宋体" w:hAnsi="宋体" w:eastAsia="宋体" w:cs="宋体"/>
          <w:color w:val="auto"/>
          <w:spacing w:val="0"/>
          <w:kern w:val="0"/>
          <w:sz w:val="24"/>
          <w:szCs w:val="24"/>
          <w:highlight w:val="none"/>
        </w:rPr>
        <w:t>.乙方开户银行名称、地址和帐号为：</w:t>
      </w:r>
    </w:p>
    <w:p w14:paraId="7C7666EF">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pacing w:val="0"/>
          <w:kern w:val="0"/>
          <w:sz w:val="24"/>
          <w:szCs w:val="24"/>
          <w:highlight w:val="none"/>
          <w:u w:val="single"/>
        </w:rPr>
      </w:pPr>
      <w:r>
        <w:rPr>
          <w:rFonts w:hint="eastAsia" w:ascii="宋体" w:hAnsi="宋体" w:eastAsia="宋体" w:cs="宋体"/>
          <w:color w:val="auto"/>
          <w:spacing w:val="0"/>
          <w:kern w:val="0"/>
          <w:sz w:val="24"/>
          <w:szCs w:val="24"/>
          <w:highlight w:val="none"/>
        </w:rPr>
        <w:t>收款单位1：</w:t>
      </w:r>
      <w:r>
        <w:rPr>
          <w:rFonts w:hint="eastAsia" w:ascii="宋体" w:hAnsi="宋体" w:eastAsia="宋体" w:cs="宋体"/>
          <w:color w:val="auto"/>
          <w:spacing w:val="0"/>
          <w:kern w:val="0"/>
          <w:sz w:val="24"/>
          <w:szCs w:val="24"/>
          <w:highlight w:val="none"/>
          <w:u w:val="single"/>
          <w:lang w:val="en-US" w:eastAsia="zh-CN"/>
        </w:rPr>
        <w:t xml:space="preserve">                            </w:t>
      </w:r>
      <w:r>
        <w:rPr>
          <w:rFonts w:hint="eastAsia" w:ascii="宋体" w:hAnsi="宋体" w:eastAsia="宋体" w:cs="宋体"/>
          <w:color w:val="auto"/>
          <w:spacing w:val="0"/>
          <w:kern w:val="0"/>
          <w:sz w:val="24"/>
          <w:szCs w:val="24"/>
          <w:highlight w:val="none"/>
          <w:u w:val="single"/>
        </w:rPr>
        <w:t xml:space="preserve"> </w:t>
      </w:r>
    </w:p>
    <w:p w14:paraId="20D8EFEA">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开户银行：</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pacing w:val="0"/>
          <w:kern w:val="0"/>
          <w:sz w:val="24"/>
          <w:szCs w:val="24"/>
          <w:highlight w:val="none"/>
          <w:u w:val="single"/>
          <w:lang w:val="en-US" w:eastAsia="zh-CN"/>
        </w:rPr>
        <w:t xml:space="preserve"> </w:t>
      </w:r>
    </w:p>
    <w:p w14:paraId="7EC205D5">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地   址：</w:t>
      </w:r>
      <w:r>
        <w:rPr>
          <w:rFonts w:hint="eastAsia" w:ascii="宋体" w:hAnsi="宋体" w:eastAsia="宋体" w:cs="宋体"/>
          <w:color w:val="auto"/>
          <w:kern w:val="0"/>
          <w:sz w:val="24"/>
          <w:szCs w:val="24"/>
          <w:highlight w:val="none"/>
          <w:u w:val="single"/>
          <w:lang w:val="en-US" w:eastAsia="zh-CN"/>
        </w:rPr>
        <w:t xml:space="preserve">                               </w:t>
      </w:r>
    </w:p>
    <w:p w14:paraId="04F598EF">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rPr>
        <w:t>帐   号：</w:t>
      </w:r>
      <w:r>
        <w:rPr>
          <w:rFonts w:hint="eastAsia" w:ascii="宋体" w:hAnsi="宋体" w:eastAsia="宋体" w:cs="宋体"/>
          <w:color w:val="auto"/>
          <w:spacing w:val="0"/>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US" w:eastAsia="zh-CN"/>
        </w:rPr>
        <w:t xml:space="preserve">                              </w:t>
      </w:r>
    </w:p>
    <w:p w14:paraId="7EF46AFD">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pacing w:val="0"/>
          <w:kern w:val="0"/>
          <w:sz w:val="24"/>
          <w:szCs w:val="24"/>
          <w:highlight w:val="none"/>
          <w:u w:val="single"/>
        </w:rPr>
      </w:pPr>
      <w:r>
        <w:rPr>
          <w:rFonts w:hint="eastAsia" w:ascii="宋体" w:hAnsi="宋体" w:eastAsia="宋体" w:cs="宋体"/>
          <w:color w:val="auto"/>
          <w:spacing w:val="0"/>
          <w:kern w:val="0"/>
          <w:sz w:val="24"/>
          <w:szCs w:val="24"/>
          <w:highlight w:val="none"/>
        </w:rPr>
        <w:t>收款单位2：</w:t>
      </w:r>
      <w:r>
        <w:rPr>
          <w:rFonts w:hint="eastAsia" w:ascii="宋体" w:hAnsi="宋体" w:eastAsia="宋体" w:cs="宋体"/>
          <w:color w:val="auto"/>
          <w:spacing w:val="0"/>
          <w:kern w:val="0"/>
          <w:sz w:val="24"/>
          <w:szCs w:val="24"/>
          <w:highlight w:val="none"/>
          <w:u w:val="single"/>
          <w:lang w:val="en-US" w:eastAsia="zh-CN"/>
        </w:rPr>
        <w:t xml:space="preserve">                            </w:t>
      </w:r>
      <w:r>
        <w:rPr>
          <w:rFonts w:hint="eastAsia" w:ascii="宋体" w:hAnsi="宋体" w:eastAsia="宋体" w:cs="宋体"/>
          <w:color w:val="auto"/>
          <w:spacing w:val="0"/>
          <w:kern w:val="0"/>
          <w:sz w:val="24"/>
          <w:szCs w:val="24"/>
          <w:highlight w:val="none"/>
          <w:u w:val="single"/>
        </w:rPr>
        <w:t xml:space="preserve"> </w:t>
      </w:r>
    </w:p>
    <w:p w14:paraId="69BF3CD9">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pacing w:val="0"/>
          <w:kern w:val="0"/>
          <w:sz w:val="24"/>
          <w:szCs w:val="24"/>
          <w:highlight w:val="none"/>
          <w:u w:val="single"/>
        </w:rPr>
      </w:pPr>
      <w:r>
        <w:rPr>
          <w:rFonts w:hint="eastAsia" w:ascii="宋体" w:hAnsi="宋体" w:eastAsia="宋体" w:cs="宋体"/>
          <w:color w:val="auto"/>
          <w:spacing w:val="0"/>
          <w:kern w:val="0"/>
          <w:sz w:val="24"/>
          <w:szCs w:val="24"/>
          <w:highlight w:val="none"/>
        </w:rPr>
        <w:t>开户银行：</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pacing w:val="0"/>
          <w:kern w:val="0"/>
          <w:sz w:val="24"/>
          <w:szCs w:val="24"/>
          <w:highlight w:val="none"/>
          <w:u w:val="single"/>
          <w:lang w:val="en-US" w:eastAsia="zh-CN"/>
        </w:rPr>
        <w:t xml:space="preserve"> </w:t>
      </w:r>
    </w:p>
    <w:p w14:paraId="11BF4E37">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pacing w:val="0"/>
          <w:kern w:val="0"/>
          <w:sz w:val="24"/>
          <w:szCs w:val="24"/>
          <w:highlight w:val="none"/>
          <w:u w:val="single"/>
        </w:rPr>
      </w:pPr>
      <w:r>
        <w:rPr>
          <w:rFonts w:hint="eastAsia" w:ascii="宋体" w:hAnsi="宋体" w:eastAsia="宋体" w:cs="宋体"/>
          <w:color w:val="auto"/>
          <w:spacing w:val="0"/>
          <w:kern w:val="0"/>
          <w:sz w:val="24"/>
          <w:szCs w:val="24"/>
          <w:highlight w:val="none"/>
        </w:rPr>
        <w:t>地   址：</w:t>
      </w:r>
      <w:r>
        <w:rPr>
          <w:rFonts w:hint="eastAsia" w:ascii="宋体" w:hAnsi="宋体" w:eastAsia="宋体" w:cs="宋体"/>
          <w:color w:val="auto"/>
          <w:spacing w:val="0"/>
          <w:kern w:val="0"/>
          <w:sz w:val="24"/>
          <w:szCs w:val="24"/>
          <w:highlight w:val="none"/>
          <w:u w:val="single"/>
          <w:lang w:val="en-US" w:eastAsia="zh-CN"/>
        </w:rPr>
        <w:t xml:space="preserve">                               </w:t>
      </w:r>
    </w:p>
    <w:p w14:paraId="36EEE26F">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pacing w:val="0"/>
          <w:kern w:val="0"/>
          <w:sz w:val="24"/>
          <w:szCs w:val="24"/>
          <w:highlight w:val="none"/>
          <w:u w:val="single"/>
          <w:lang w:val="en-US" w:eastAsia="zh-CN"/>
        </w:rPr>
      </w:pPr>
      <w:r>
        <w:rPr>
          <w:rFonts w:hint="eastAsia" w:ascii="宋体" w:hAnsi="宋体" w:eastAsia="宋体" w:cs="宋体"/>
          <w:color w:val="auto"/>
          <w:spacing w:val="0"/>
          <w:kern w:val="0"/>
          <w:sz w:val="24"/>
          <w:szCs w:val="24"/>
          <w:highlight w:val="none"/>
        </w:rPr>
        <w:t>帐   号：</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u w:val="single"/>
          <w:lang w:val="en-US" w:eastAsia="zh-CN"/>
        </w:rPr>
        <w:t xml:space="preserve">                           </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u w:val="single"/>
          <w:lang w:val="en-US" w:eastAsia="zh-CN"/>
        </w:rPr>
        <w:t xml:space="preserve">  </w:t>
      </w:r>
    </w:p>
    <w:p w14:paraId="545813B0">
      <w:pPr>
        <w:keepNext w:val="0"/>
        <w:keepLines w:val="0"/>
        <w:pageBreakBefore w:val="0"/>
        <w:widowControl w:val="0"/>
        <w:numPr>
          <w:ilvl w:val="-1"/>
          <w:numId w:val="0"/>
        </w:numPr>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pacing w:val="0"/>
          <w:kern w:val="0"/>
          <w:sz w:val="24"/>
          <w:szCs w:val="24"/>
          <w:highlight w:val="none"/>
          <w:u w:val="single"/>
          <w:lang w:val="en-US" w:eastAsia="zh-CN"/>
        </w:rPr>
      </w:pPr>
      <w:r>
        <w:rPr>
          <w:rFonts w:hint="eastAsia" w:ascii="宋体" w:hAnsi="宋体" w:eastAsia="宋体" w:cs="宋体"/>
          <w:color w:val="auto"/>
          <w:spacing w:val="0"/>
          <w:kern w:val="0"/>
          <w:sz w:val="24"/>
          <w:szCs w:val="24"/>
          <w:highlight w:val="none"/>
          <w:u w:val="single"/>
          <w:lang w:val="en-US" w:eastAsia="zh-CN"/>
        </w:rPr>
        <w:t>7.如本项目建设资金为申请专项债券资金支付，为配合资金监管，保障政府专项债券资金支付工程款的安全、有效使用，提高专项债券资金支付的透明度和规范性，乙方理解并同意其收款账户银行与项目申请政府专项债的甲方拨款账户银行保持一致。</w:t>
      </w:r>
    </w:p>
    <w:p w14:paraId="1C4275DB">
      <w:pPr>
        <w:pStyle w:val="49"/>
        <w:numPr>
          <w:ilvl w:val="-1"/>
          <w:numId w:val="0"/>
        </w:numPr>
        <w:adjustRightInd w:val="0"/>
        <w:snapToGrid w:val="0"/>
        <w:spacing w:line="360" w:lineRule="auto"/>
        <w:ind w:firstLine="480"/>
        <w:rPr>
          <w:rFonts w:hint="eastAsia" w:ascii="宋体" w:hAnsi="宋体" w:eastAsia="宋体" w:cs="宋体"/>
          <w:color w:val="auto"/>
          <w:spacing w:val="0"/>
          <w:kern w:val="0"/>
          <w:sz w:val="24"/>
          <w:szCs w:val="24"/>
          <w:highlight w:val="none"/>
          <w:u w:val="single"/>
        </w:rPr>
      </w:pPr>
      <w:r>
        <w:rPr>
          <w:rFonts w:hint="eastAsia" w:ascii="宋体" w:hAnsi="宋体" w:eastAsia="宋体" w:cs="宋体"/>
          <w:color w:val="auto"/>
          <w:spacing w:val="0"/>
          <w:kern w:val="0"/>
          <w:sz w:val="24"/>
          <w:szCs w:val="24"/>
          <w:highlight w:val="none"/>
          <w:u w:val="single"/>
          <w:lang w:val="en-US" w:eastAsia="zh-CN"/>
        </w:rPr>
        <w:t>8.</w:t>
      </w:r>
      <w:r>
        <w:rPr>
          <w:rFonts w:hint="eastAsia" w:ascii="宋体" w:hAnsi="宋体" w:eastAsia="宋体" w:cs="宋体"/>
          <w:color w:val="auto"/>
          <w:spacing w:val="0"/>
          <w:kern w:val="0"/>
          <w:sz w:val="24"/>
          <w:szCs w:val="24"/>
          <w:highlight w:val="none"/>
          <w:u w:val="single"/>
        </w:rPr>
        <w:t>如本项目资金来源涉及财政资金、专项债劵资金或其他政府专项资金的，则甲方向乙方支付条件还应包括前述资金获得政府或相关部门批准且拨付到位，若由于政府或相关部门审批、拨付资金未完成等非甲方原因导致甲方向乙方付款超过合同约定支付期限的，甲方不承担任何违约责任，且乙方仍须按本合同约定履行义务。若因乙方原因导致专项债券资金拨付失败的，乙方应承担由此产生的全部责任及甲方损失。</w:t>
      </w:r>
    </w:p>
    <w:p w14:paraId="10468B2B">
      <w:pPr>
        <w:pStyle w:val="2"/>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outlineLvl w:val="9"/>
        <w:rPr>
          <w:rFonts w:hint="eastAsia" w:ascii="宋体" w:hAnsi="宋体" w:eastAsia="宋体" w:cs="宋体"/>
          <w:b/>
          <w:bCs/>
          <w:color w:val="auto"/>
          <w:spacing w:val="0"/>
          <w:kern w:val="0"/>
          <w:sz w:val="24"/>
          <w:szCs w:val="24"/>
          <w:highlight w:val="none"/>
        </w:rPr>
      </w:pPr>
      <w:bookmarkStart w:id="56" w:name="_Toc5380"/>
      <w:bookmarkStart w:id="57" w:name="_Toc29043"/>
      <w:r>
        <w:rPr>
          <w:rFonts w:hint="eastAsia" w:ascii="宋体" w:hAnsi="宋体" w:eastAsia="宋体" w:cs="宋体"/>
          <w:b/>
          <w:bCs/>
          <w:color w:val="auto"/>
          <w:spacing w:val="0"/>
          <w:kern w:val="0"/>
          <w:sz w:val="24"/>
          <w:szCs w:val="24"/>
          <w:highlight w:val="none"/>
        </w:rPr>
        <w:t>（</w:t>
      </w:r>
      <w:r>
        <w:rPr>
          <w:rFonts w:hint="eastAsia" w:ascii="宋体" w:hAnsi="宋体" w:eastAsia="宋体" w:cs="宋体"/>
          <w:b/>
          <w:bCs/>
          <w:color w:val="auto"/>
          <w:spacing w:val="0"/>
          <w:kern w:val="0"/>
          <w:sz w:val="24"/>
          <w:szCs w:val="24"/>
          <w:highlight w:val="none"/>
          <w:lang w:val="en-US" w:eastAsia="zh-CN"/>
        </w:rPr>
        <w:t>四</w:t>
      </w:r>
      <w:r>
        <w:rPr>
          <w:rFonts w:hint="eastAsia" w:ascii="宋体" w:hAnsi="宋体" w:eastAsia="宋体" w:cs="宋体"/>
          <w:b/>
          <w:bCs/>
          <w:color w:val="auto"/>
          <w:spacing w:val="0"/>
          <w:kern w:val="0"/>
          <w:sz w:val="24"/>
          <w:szCs w:val="24"/>
          <w:highlight w:val="none"/>
        </w:rPr>
        <w:t>）支付申请资料</w:t>
      </w:r>
      <w:bookmarkEnd w:id="56"/>
      <w:bookmarkEnd w:id="57"/>
    </w:p>
    <w:p w14:paraId="7AF403B1">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pacing w:val="0"/>
          <w:kern w:val="0"/>
          <w:sz w:val="24"/>
          <w:szCs w:val="24"/>
          <w:highlight w:val="none"/>
          <w:u w:val="single"/>
        </w:rPr>
      </w:pPr>
      <w:r>
        <w:rPr>
          <w:rFonts w:hint="eastAsia" w:ascii="宋体" w:hAnsi="宋体" w:eastAsia="宋体" w:cs="宋体"/>
          <w:color w:val="auto"/>
          <w:spacing w:val="0"/>
          <w:kern w:val="0"/>
          <w:sz w:val="24"/>
          <w:szCs w:val="24"/>
          <w:highlight w:val="none"/>
        </w:rPr>
        <w:t>乙方向甲方申请进度款或结算款时，应提供以下资料，否则甲方有权拒绝付款：</w:t>
      </w:r>
    </w:p>
    <w:p w14:paraId="75996E71">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pacing w:val="0"/>
          <w:kern w:val="0"/>
          <w:sz w:val="24"/>
          <w:szCs w:val="24"/>
          <w:highlight w:val="none"/>
          <w:u w:val="single"/>
        </w:rPr>
      </w:pPr>
      <w:r>
        <w:rPr>
          <w:rFonts w:hint="eastAsia" w:ascii="宋体" w:hAnsi="宋体" w:eastAsia="宋体" w:cs="宋体"/>
          <w:color w:val="auto"/>
          <w:spacing w:val="0"/>
          <w:kern w:val="0"/>
          <w:sz w:val="24"/>
          <w:szCs w:val="24"/>
          <w:highlight w:val="none"/>
          <w:u w:val="single"/>
        </w:rPr>
        <w:t>1.检测、监测费用请款书；</w:t>
      </w:r>
    </w:p>
    <w:p w14:paraId="199793F4">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pacing w:val="0"/>
          <w:kern w:val="0"/>
          <w:sz w:val="24"/>
          <w:szCs w:val="24"/>
          <w:highlight w:val="none"/>
          <w:u w:val="single"/>
          <w:lang w:val="en-US" w:eastAsia="zh-CN"/>
        </w:rPr>
      </w:pPr>
      <w:r>
        <w:rPr>
          <w:rFonts w:hint="eastAsia" w:ascii="宋体" w:hAnsi="宋体" w:eastAsia="宋体" w:cs="宋体"/>
          <w:color w:val="auto"/>
          <w:spacing w:val="0"/>
          <w:kern w:val="0"/>
          <w:sz w:val="24"/>
          <w:szCs w:val="24"/>
          <w:highlight w:val="none"/>
          <w:u w:val="single"/>
          <w:lang w:val="en-US" w:eastAsia="zh-CN"/>
        </w:rPr>
        <w:t>2.经甲方审定的检测、监测方案；</w:t>
      </w:r>
    </w:p>
    <w:p w14:paraId="33CAF2CB">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pacing w:val="0"/>
          <w:kern w:val="0"/>
          <w:sz w:val="24"/>
          <w:szCs w:val="24"/>
          <w:highlight w:val="none"/>
          <w:u w:val="single"/>
          <w:lang w:val="en-US" w:eastAsia="zh-CN"/>
        </w:rPr>
      </w:pPr>
      <w:r>
        <w:rPr>
          <w:rFonts w:hint="eastAsia" w:ascii="宋体" w:hAnsi="宋体" w:eastAsia="宋体" w:cs="宋体"/>
          <w:color w:val="auto"/>
          <w:spacing w:val="0"/>
          <w:kern w:val="0"/>
          <w:sz w:val="24"/>
          <w:szCs w:val="24"/>
          <w:highlight w:val="none"/>
          <w:u w:val="single"/>
          <w:lang w:val="en-US" w:eastAsia="zh-CN"/>
        </w:rPr>
        <w:t>3</w:t>
      </w:r>
      <w:r>
        <w:rPr>
          <w:rFonts w:hint="eastAsia" w:ascii="宋体" w:hAnsi="宋体" w:eastAsia="宋体" w:cs="宋体"/>
          <w:color w:val="auto"/>
          <w:spacing w:val="0"/>
          <w:kern w:val="0"/>
          <w:sz w:val="24"/>
          <w:szCs w:val="24"/>
          <w:highlight w:val="none"/>
          <w:u w:val="single"/>
        </w:rPr>
        <w:t>.经甲方现场代表</w:t>
      </w:r>
      <w:r>
        <w:rPr>
          <w:rFonts w:hint="eastAsia" w:ascii="宋体" w:hAnsi="宋体" w:eastAsia="宋体" w:cs="宋体"/>
          <w:color w:val="auto"/>
          <w:spacing w:val="0"/>
          <w:kern w:val="0"/>
          <w:sz w:val="24"/>
          <w:szCs w:val="24"/>
          <w:highlight w:val="none"/>
          <w:u w:val="single"/>
          <w:lang w:val="en-US" w:eastAsia="zh-CN"/>
        </w:rPr>
        <w:t>和</w:t>
      </w:r>
      <w:r>
        <w:rPr>
          <w:rFonts w:hint="eastAsia" w:ascii="宋体" w:hAnsi="宋体" w:eastAsia="宋体" w:cs="宋体"/>
          <w:color w:val="auto"/>
          <w:spacing w:val="0"/>
          <w:kern w:val="0"/>
          <w:sz w:val="24"/>
          <w:szCs w:val="24"/>
          <w:highlight w:val="none"/>
          <w:u w:val="single"/>
        </w:rPr>
        <w:t>现场监理</w:t>
      </w:r>
      <w:r>
        <w:rPr>
          <w:rFonts w:hint="eastAsia" w:ascii="宋体" w:hAnsi="宋体" w:eastAsia="宋体" w:cs="宋体"/>
          <w:color w:val="auto"/>
          <w:spacing w:val="0"/>
          <w:kern w:val="0"/>
          <w:sz w:val="24"/>
          <w:szCs w:val="24"/>
          <w:highlight w:val="none"/>
          <w:u w:val="single"/>
          <w:lang w:eastAsia="zh-CN"/>
        </w:rPr>
        <w:t>人</w:t>
      </w:r>
      <w:r>
        <w:rPr>
          <w:rFonts w:hint="eastAsia" w:ascii="宋体" w:hAnsi="宋体" w:eastAsia="宋体" w:cs="宋体"/>
          <w:color w:val="auto"/>
          <w:spacing w:val="0"/>
          <w:kern w:val="0"/>
          <w:sz w:val="24"/>
          <w:szCs w:val="24"/>
          <w:highlight w:val="none"/>
          <w:u w:val="single"/>
        </w:rPr>
        <w:t>代表签字</w:t>
      </w:r>
      <w:r>
        <w:rPr>
          <w:rFonts w:hint="eastAsia" w:ascii="宋体" w:hAnsi="宋体" w:eastAsia="宋体" w:cs="宋体"/>
          <w:color w:val="auto"/>
          <w:spacing w:val="0"/>
          <w:kern w:val="0"/>
          <w:sz w:val="24"/>
          <w:szCs w:val="24"/>
          <w:highlight w:val="none"/>
          <w:u w:val="single"/>
          <w:lang w:val="en-US" w:eastAsia="zh-CN"/>
        </w:rPr>
        <w:t>确认、监理单位盖章确认的</w:t>
      </w:r>
      <w:r>
        <w:rPr>
          <w:rFonts w:hint="eastAsia" w:ascii="宋体" w:hAnsi="宋体" w:eastAsia="宋体" w:cs="宋体"/>
          <w:color w:val="auto"/>
          <w:spacing w:val="0"/>
          <w:kern w:val="0"/>
          <w:sz w:val="24"/>
          <w:szCs w:val="24"/>
          <w:highlight w:val="none"/>
          <w:u w:val="single"/>
        </w:rPr>
        <w:t>检测</w:t>
      </w:r>
      <w:r>
        <w:rPr>
          <w:rFonts w:hint="eastAsia" w:ascii="宋体" w:hAnsi="宋体" w:eastAsia="宋体" w:cs="宋体"/>
          <w:color w:val="auto"/>
          <w:spacing w:val="0"/>
          <w:kern w:val="0"/>
          <w:sz w:val="24"/>
          <w:szCs w:val="24"/>
          <w:highlight w:val="none"/>
          <w:u w:val="single"/>
          <w:lang w:val="en-US" w:eastAsia="zh-CN"/>
        </w:rPr>
        <w:t>费</w:t>
      </w:r>
      <w:r>
        <w:rPr>
          <w:rFonts w:hint="eastAsia" w:ascii="宋体" w:hAnsi="宋体" w:eastAsia="宋体" w:cs="宋体"/>
          <w:color w:val="auto"/>
          <w:spacing w:val="0"/>
          <w:kern w:val="0"/>
          <w:sz w:val="24"/>
          <w:szCs w:val="24"/>
          <w:highlight w:val="none"/>
          <w:u w:val="single"/>
        </w:rPr>
        <w:t>、监测</w:t>
      </w:r>
      <w:r>
        <w:rPr>
          <w:rFonts w:hint="eastAsia" w:ascii="宋体" w:hAnsi="宋体" w:eastAsia="宋体" w:cs="宋体"/>
          <w:color w:val="auto"/>
          <w:spacing w:val="0"/>
          <w:kern w:val="0"/>
          <w:sz w:val="24"/>
          <w:szCs w:val="24"/>
          <w:highlight w:val="none"/>
          <w:u w:val="single"/>
          <w:lang w:val="en-US" w:eastAsia="zh-CN"/>
        </w:rPr>
        <w:t>费</w:t>
      </w:r>
      <w:r>
        <w:rPr>
          <w:rFonts w:hint="eastAsia" w:ascii="宋体" w:hAnsi="宋体" w:eastAsia="宋体" w:cs="宋体"/>
          <w:color w:val="auto"/>
          <w:spacing w:val="0"/>
          <w:kern w:val="0"/>
          <w:sz w:val="24"/>
          <w:szCs w:val="24"/>
          <w:highlight w:val="none"/>
          <w:u w:val="single"/>
        </w:rPr>
        <w:t>汇总表（</w:t>
      </w:r>
      <w:r>
        <w:rPr>
          <w:rFonts w:hint="eastAsia" w:ascii="宋体" w:hAnsi="宋体" w:eastAsia="宋体" w:cs="宋体"/>
          <w:color w:val="auto"/>
          <w:spacing w:val="0"/>
          <w:kern w:val="0"/>
          <w:sz w:val="24"/>
          <w:szCs w:val="24"/>
          <w:highlight w:val="none"/>
          <w:u w:val="single"/>
          <w:lang w:val="en-US" w:eastAsia="zh-CN"/>
        </w:rPr>
        <w:t>含工程量、综合单价等信息的计价明细表）</w:t>
      </w:r>
    </w:p>
    <w:p w14:paraId="5628EA7F">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pacing w:val="0"/>
          <w:kern w:val="0"/>
          <w:sz w:val="24"/>
          <w:szCs w:val="24"/>
          <w:highlight w:val="none"/>
          <w:u w:val="single"/>
        </w:rPr>
      </w:pPr>
      <w:r>
        <w:rPr>
          <w:rFonts w:hint="eastAsia" w:ascii="宋体" w:hAnsi="宋体" w:eastAsia="宋体" w:cs="宋体"/>
          <w:color w:val="auto"/>
          <w:spacing w:val="0"/>
          <w:kern w:val="0"/>
          <w:sz w:val="24"/>
          <w:szCs w:val="24"/>
          <w:highlight w:val="none"/>
          <w:u w:val="single"/>
          <w:lang w:val="en-US" w:eastAsia="zh-CN"/>
        </w:rPr>
        <w:t>4.对应请款内容的检测、</w:t>
      </w:r>
      <w:r>
        <w:rPr>
          <w:rFonts w:hint="eastAsia" w:ascii="宋体" w:hAnsi="宋体" w:eastAsia="宋体" w:cs="宋体"/>
          <w:color w:val="auto"/>
          <w:spacing w:val="0"/>
          <w:kern w:val="0"/>
          <w:sz w:val="24"/>
          <w:szCs w:val="24"/>
          <w:highlight w:val="none"/>
          <w:u w:val="single"/>
        </w:rPr>
        <w:t>监测报告；</w:t>
      </w:r>
    </w:p>
    <w:p w14:paraId="5A87B7A9">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pacing w:val="0"/>
          <w:kern w:val="0"/>
          <w:sz w:val="24"/>
          <w:szCs w:val="24"/>
          <w:highlight w:val="none"/>
          <w:u w:val="single"/>
          <w:lang w:val="en-US" w:eastAsia="zh-CN"/>
        </w:rPr>
        <w:t>5</w:t>
      </w:r>
      <w:r>
        <w:rPr>
          <w:rFonts w:hint="eastAsia" w:ascii="宋体" w:hAnsi="宋体" w:eastAsia="宋体" w:cs="宋体"/>
          <w:color w:val="auto"/>
          <w:spacing w:val="0"/>
          <w:kern w:val="0"/>
          <w:sz w:val="24"/>
          <w:szCs w:val="24"/>
          <w:highlight w:val="none"/>
          <w:u w:val="single"/>
        </w:rPr>
        <w:t>.</w:t>
      </w:r>
      <w:r>
        <w:rPr>
          <w:rFonts w:hint="eastAsia" w:ascii="宋体" w:hAnsi="宋体" w:eastAsia="宋体" w:cs="宋体"/>
          <w:color w:val="auto"/>
          <w:spacing w:val="0"/>
          <w:kern w:val="0"/>
          <w:sz w:val="24"/>
          <w:szCs w:val="24"/>
          <w:highlight w:val="none"/>
          <w:u w:val="single"/>
          <w:lang w:val="en-US" w:eastAsia="zh-CN"/>
        </w:rPr>
        <w:t>合同支付台账</w:t>
      </w:r>
      <w:r>
        <w:rPr>
          <w:rFonts w:hint="eastAsia" w:ascii="宋体" w:hAnsi="宋体" w:eastAsia="宋体" w:cs="宋体"/>
          <w:color w:val="auto"/>
          <w:spacing w:val="0"/>
          <w:kern w:val="0"/>
          <w:sz w:val="24"/>
          <w:szCs w:val="24"/>
          <w:highlight w:val="none"/>
          <w:u w:val="single"/>
        </w:rPr>
        <w:t>；</w:t>
      </w:r>
    </w:p>
    <w:p w14:paraId="3EEBD6DA">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pacing w:val="0"/>
          <w:kern w:val="0"/>
          <w:sz w:val="24"/>
          <w:szCs w:val="24"/>
          <w:highlight w:val="none"/>
          <w:u w:val="single"/>
          <w:lang w:val="en-US" w:eastAsia="zh-CN"/>
        </w:rPr>
        <w:t>6</w:t>
      </w:r>
      <w:r>
        <w:rPr>
          <w:rFonts w:hint="eastAsia" w:ascii="宋体" w:hAnsi="宋体" w:eastAsia="宋体" w:cs="宋体"/>
          <w:color w:val="auto"/>
          <w:spacing w:val="0"/>
          <w:kern w:val="0"/>
          <w:sz w:val="24"/>
          <w:szCs w:val="24"/>
          <w:highlight w:val="none"/>
          <w:u w:val="single"/>
        </w:rPr>
        <w:t>.增值税</w:t>
      </w:r>
      <w:r>
        <w:rPr>
          <w:rFonts w:hint="eastAsia" w:ascii="宋体" w:hAnsi="宋体" w:cs="宋体"/>
          <w:color w:val="auto"/>
          <w:spacing w:val="0"/>
          <w:kern w:val="0"/>
          <w:sz w:val="24"/>
          <w:szCs w:val="24"/>
          <w:highlight w:val="none"/>
          <w:u w:val="single"/>
          <w:lang w:val="en-US" w:eastAsia="zh-CN"/>
        </w:rPr>
        <w:t>专用</w:t>
      </w:r>
      <w:r>
        <w:rPr>
          <w:rFonts w:hint="eastAsia" w:ascii="宋体" w:hAnsi="宋体" w:eastAsia="宋体" w:cs="宋体"/>
          <w:color w:val="auto"/>
          <w:spacing w:val="0"/>
          <w:kern w:val="0"/>
          <w:sz w:val="24"/>
          <w:szCs w:val="24"/>
          <w:highlight w:val="none"/>
          <w:u w:val="single"/>
        </w:rPr>
        <w:t>发票；</w:t>
      </w:r>
    </w:p>
    <w:p w14:paraId="495C3B31">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pacing w:val="0"/>
          <w:kern w:val="0"/>
          <w:sz w:val="24"/>
          <w:szCs w:val="24"/>
          <w:highlight w:val="none"/>
          <w:u w:val="single"/>
          <w:lang w:eastAsia="zh-CN"/>
        </w:rPr>
      </w:pPr>
      <w:r>
        <w:rPr>
          <w:rFonts w:hint="eastAsia" w:ascii="宋体" w:hAnsi="宋体" w:eastAsia="宋体" w:cs="宋体"/>
          <w:color w:val="auto"/>
          <w:spacing w:val="0"/>
          <w:kern w:val="0"/>
          <w:sz w:val="24"/>
          <w:szCs w:val="24"/>
          <w:highlight w:val="none"/>
          <w:u w:val="single"/>
          <w:lang w:val="en-US" w:eastAsia="zh-CN"/>
        </w:rPr>
        <w:t>7</w:t>
      </w:r>
      <w:r>
        <w:rPr>
          <w:rFonts w:hint="eastAsia" w:ascii="宋体" w:hAnsi="宋体" w:eastAsia="宋体" w:cs="宋体"/>
          <w:color w:val="auto"/>
          <w:spacing w:val="0"/>
          <w:kern w:val="0"/>
          <w:sz w:val="24"/>
          <w:szCs w:val="24"/>
          <w:highlight w:val="none"/>
          <w:u w:val="single"/>
        </w:rPr>
        <w:t>.甲方要求的其它相关资料。</w:t>
      </w:r>
    </w:p>
    <w:p w14:paraId="3429AA47">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outlineLvl w:val="0"/>
        <w:rPr>
          <w:rFonts w:hint="eastAsia" w:ascii="宋体" w:hAnsi="宋体" w:eastAsia="宋体" w:cs="宋体"/>
          <w:b/>
          <w:color w:val="auto"/>
          <w:kern w:val="0"/>
          <w:sz w:val="24"/>
          <w:szCs w:val="24"/>
          <w:highlight w:val="none"/>
        </w:rPr>
      </w:pPr>
      <w:bookmarkStart w:id="58" w:name="_Toc23262"/>
      <w:bookmarkStart w:id="59" w:name="_Toc26555"/>
      <w:bookmarkStart w:id="60" w:name="_Toc7296"/>
      <w:bookmarkStart w:id="61" w:name="_Toc8355"/>
      <w:bookmarkStart w:id="62" w:name="_Toc23495"/>
      <w:r>
        <w:rPr>
          <w:rFonts w:hint="eastAsia" w:ascii="宋体" w:hAnsi="宋体" w:eastAsia="宋体" w:cs="宋体"/>
          <w:b/>
          <w:color w:val="auto"/>
          <w:kern w:val="0"/>
          <w:sz w:val="24"/>
          <w:szCs w:val="24"/>
          <w:highlight w:val="none"/>
        </w:rPr>
        <w:t>八</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检测、监测规范及标准</w:t>
      </w:r>
      <w:bookmarkEnd w:id="58"/>
      <w:bookmarkEnd w:id="59"/>
      <w:bookmarkEnd w:id="60"/>
      <w:bookmarkEnd w:id="61"/>
      <w:bookmarkEnd w:id="62"/>
    </w:p>
    <w:p w14:paraId="6CD9200C">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rPr>
      </w:pPr>
      <w:bookmarkStart w:id="63" w:name="_Toc11583"/>
      <w:bookmarkStart w:id="64" w:name="_Toc5221"/>
      <w:r>
        <w:rPr>
          <w:rFonts w:hint="eastAsia" w:ascii="宋体" w:hAnsi="宋体" w:eastAsia="宋体" w:cs="宋体"/>
          <w:color w:val="auto"/>
          <w:kern w:val="0"/>
          <w:sz w:val="24"/>
          <w:szCs w:val="24"/>
          <w:highlight w:val="none"/>
        </w:rPr>
        <w:t>（一）检测规范及标准</w:t>
      </w:r>
      <w:bookmarkEnd w:id="63"/>
      <w:bookmarkEnd w:id="64"/>
    </w:p>
    <w:p w14:paraId="699803C5">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1.《建筑工程施工质量验收统一标准》（GB 50300-2013）；</w:t>
      </w:r>
    </w:p>
    <w:p w14:paraId="323BEC0C">
      <w:pPr>
        <w:pStyle w:val="269"/>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 w:val="0"/>
          <w:bCs w:val="0"/>
          <w:color w:val="auto"/>
          <w:kern w:val="0"/>
          <w:sz w:val="24"/>
          <w:szCs w:val="24"/>
          <w:highlight w:val="none"/>
          <w:u w:val="single"/>
        </w:rPr>
      </w:pPr>
      <w:r>
        <w:rPr>
          <w:rFonts w:hint="eastAsia" w:ascii="宋体" w:hAnsi="宋体" w:eastAsia="宋体" w:cs="宋体"/>
          <w:b w:val="0"/>
          <w:bCs w:val="0"/>
          <w:color w:val="auto"/>
          <w:kern w:val="0"/>
          <w:sz w:val="24"/>
          <w:szCs w:val="24"/>
          <w:highlight w:val="none"/>
          <w:u w:val="single"/>
        </w:rPr>
        <w:t>2.《混凝土结构工程施工质量验收规范》（GB 50204-2015）；</w:t>
      </w:r>
    </w:p>
    <w:p w14:paraId="2C01B6EF">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3.《砌体结构工程施工质量验收规范》（GB 50203-2011）；</w:t>
      </w:r>
    </w:p>
    <w:p w14:paraId="0CA2C376">
      <w:pPr>
        <w:pStyle w:val="269"/>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 w:val="0"/>
          <w:bCs w:val="0"/>
          <w:color w:val="auto"/>
          <w:kern w:val="0"/>
          <w:sz w:val="24"/>
          <w:szCs w:val="24"/>
          <w:highlight w:val="none"/>
          <w:u w:val="single"/>
        </w:rPr>
      </w:pPr>
      <w:r>
        <w:rPr>
          <w:rFonts w:hint="eastAsia" w:ascii="宋体" w:hAnsi="宋体" w:eastAsia="宋体" w:cs="宋体"/>
          <w:b w:val="0"/>
          <w:bCs w:val="0"/>
          <w:color w:val="auto"/>
          <w:kern w:val="0"/>
          <w:sz w:val="24"/>
          <w:szCs w:val="24"/>
          <w:highlight w:val="none"/>
          <w:u w:val="single"/>
        </w:rPr>
        <w:t>4.《屋面工程质量验收规范》（GB 50207-2012）；</w:t>
      </w:r>
    </w:p>
    <w:p w14:paraId="295D6DAF">
      <w:pPr>
        <w:pStyle w:val="269"/>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 w:val="0"/>
          <w:bCs w:val="0"/>
          <w:color w:val="auto"/>
          <w:kern w:val="0"/>
          <w:sz w:val="24"/>
          <w:szCs w:val="24"/>
          <w:highlight w:val="none"/>
          <w:u w:val="single"/>
        </w:rPr>
      </w:pPr>
      <w:r>
        <w:rPr>
          <w:rFonts w:hint="eastAsia" w:ascii="宋体" w:hAnsi="宋体" w:eastAsia="宋体" w:cs="宋体"/>
          <w:b w:val="0"/>
          <w:bCs w:val="0"/>
          <w:color w:val="auto"/>
          <w:kern w:val="0"/>
          <w:sz w:val="24"/>
          <w:szCs w:val="24"/>
          <w:highlight w:val="none"/>
          <w:u w:val="single"/>
        </w:rPr>
        <w:t>5.《给水排水管道工程施工及验收规范》（GB 50268-2008）；</w:t>
      </w:r>
    </w:p>
    <w:p w14:paraId="6568BE06">
      <w:pPr>
        <w:pStyle w:val="269"/>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 w:val="0"/>
          <w:bCs w:val="0"/>
          <w:color w:val="auto"/>
          <w:kern w:val="0"/>
          <w:sz w:val="24"/>
          <w:szCs w:val="24"/>
          <w:highlight w:val="none"/>
          <w:u w:val="single"/>
        </w:rPr>
      </w:pPr>
      <w:r>
        <w:rPr>
          <w:rFonts w:hint="eastAsia" w:ascii="宋体" w:hAnsi="宋体" w:eastAsia="宋体" w:cs="宋体"/>
          <w:b w:val="0"/>
          <w:bCs w:val="0"/>
          <w:color w:val="auto"/>
          <w:kern w:val="0"/>
          <w:sz w:val="24"/>
          <w:szCs w:val="24"/>
          <w:highlight w:val="none"/>
          <w:u w:val="single"/>
        </w:rPr>
        <w:t>6.《建筑地面工程施工质量验收规范》（GB 50209-2010）；</w:t>
      </w:r>
    </w:p>
    <w:p w14:paraId="3AF44654">
      <w:pPr>
        <w:pStyle w:val="269"/>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 w:val="0"/>
          <w:bCs w:val="0"/>
          <w:color w:val="auto"/>
          <w:kern w:val="0"/>
          <w:sz w:val="24"/>
          <w:szCs w:val="24"/>
          <w:highlight w:val="none"/>
          <w:u w:val="single"/>
        </w:rPr>
      </w:pPr>
      <w:r>
        <w:rPr>
          <w:rFonts w:hint="eastAsia" w:ascii="宋体" w:hAnsi="宋体" w:eastAsia="宋体" w:cs="宋体"/>
          <w:b w:val="0"/>
          <w:bCs w:val="0"/>
          <w:color w:val="auto"/>
          <w:kern w:val="0"/>
          <w:sz w:val="24"/>
          <w:szCs w:val="24"/>
          <w:highlight w:val="none"/>
          <w:u w:val="single"/>
        </w:rPr>
        <w:t>7.《建筑装饰装修工程质量验收标准》（GB 50210-2018）；</w:t>
      </w:r>
    </w:p>
    <w:p w14:paraId="35660D4D">
      <w:pPr>
        <w:pStyle w:val="269"/>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 w:val="0"/>
          <w:bCs w:val="0"/>
          <w:color w:val="auto"/>
          <w:kern w:val="0"/>
          <w:sz w:val="24"/>
          <w:szCs w:val="24"/>
          <w:highlight w:val="none"/>
          <w:u w:val="single"/>
        </w:rPr>
      </w:pPr>
      <w:r>
        <w:rPr>
          <w:rFonts w:hint="eastAsia" w:ascii="宋体" w:hAnsi="宋体" w:eastAsia="宋体" w:cs="宋体"/>
          <w:b w:val="0"/>
          <w:bCs w:val="0"/>
          <w:color w:val="auto"/>
          <w:kern w:val="0"/>
          <w:sz w:val="24"/>
          <w:szCs w:val="24"/>
          <w:highlight w:val="none"/>
          <w:u w:val="single"/>
        </w:rPr>
        <w:t>8.《建筑节能工程施工质量验收规范》（GB 50411-2019）；</w:t>
      </w:r>
    </w:p>
    <w:p w14:paraId="7EA025C1">
      <w:pPr>
        <w:pStyle w:val="269"/>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 w:val="0"/>
          <w:bCs w:val="0"/>
          <w:color w:val="auto"/>
          <w:kern w:val="0"/>
          <w:sz w:val="24"/>
          <w:szCs w:val="24"/>
          <w:highlight w:val="none"/>
          <w:u w:val="single"/>
        </w:rPr>
      </w:pPr>
      <w:r>
        <w:rPr>
          <w:rFonts w:hint="eastAsia" w:ascii="宋体" w:hAnsi="宋体" w:eastAsia="宋体" w:cs="宋体"/>
          <w:b w:val="0"/>
          <w:bCs w:val="0"/>
          <w:color w:val="auto"/>
          <w:kern w:val="0"/>
          <w:sz w:val="24"/>
          <w:szCs w:val="24"/>
          <w:highlight w:val="none"/>
          <w:u w:val="single"/>
        </w:rPr>
        <w:t>9.《民用建筑工程室内环境污染控制规范》（GB 50325-2020）；</w:t>
      </w:r>
    </w:p>
    <w:p w14:paraId="221AF1C6">
      <w:pPr>
        <w:pStyle w:val="269"/>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 w:val="0"/>
          <w:bCs w:val="0"/>
          <w:color w:val="auto"/>
          <w:kern w:val="0"/>
          <w:sz w:val="24"/>
          <w:szCs w:val="24"/>
          <w:highlight w:val="none"/>
          <w:u w:val="single"/>
        </w:rPr>
      </w:pPr>
      <w:r>
        <w:rPr>
          <w:rFonts w:hint="eastAsia" w:ascii="宋体" w:hAnsi="宋体" w:eastAsia="宋体" w:cs="宋体"/>
          <w:b w:val="0"/>
          <w:bCs w:val="0"/>
          <w:color w:val="auto"/>
          <w:kern w:val="0"/>
          <w:sz w:val="24"/>
          <w:szCs w:val="24"/>
          <w:highlight w:val="none"/>
          <w:u w:val="single"/>
        </w:rPr>
        <w:t>10.《通风与空调工程施工质量验收规范》（GB 50243-2016）；</w:t>
      </w:r>
    </w:p>
    <w:p w14:paraId="6F43251A">
      <w:pPr>
        <w:pStyle w:val="269"/>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 w:val="0"/>
          <w:bCs w:val="0"/>
          <w:color w:val="auto"/>
          <w:kern w:val="0"/>
          <w:sz w:val="24"/>
          <w:szCs w:val="24"/>
          <w:highlight w:val="none"/>
          <w:u w:val="single"/>
        </w:rPr>
      </w:pPr>
      <w:r>
        <w:rPr>
          <w:rFonts w:hint="eastAsia" w:ascii="宋体" w:hAnsi="宋体" w:eastAsia="宋体" w:cs="宋体"/>
          <w:b w:val="0"/>
          <w:bCs w:val="0"/>
          <w:color w:val="auto"/>
          <w:kern w:val="0"/>
          <w:sz w:val="24"/>
          <w:szCs w:val="24"/>
          <w:highlight w:val="none"/>
          <w:u w:val="single"/>
        </w:rPr>
        <w:t>11.《建筑电气工程施工质量验收规范》（GB 50303-2015）；</w:t>
      </w:r>
    </w:p>
    <w:p w14:paraId="6F87439E">
      <w:pPr>
        <w:pStyle w:val="269"/>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 w:val="0"/>
          <w:bCs w:val="0"/>
          <w:color w:val="auto"/>
          <w:kern w:val="0"/>
          <w:sz w:val="24"/>
          <w:szCs w:val="24"/>
          <w:highlight w:val="none"/>
          <w:u w:val="single"/>
        </w:rPr>
      </w:pPr>
      <w:r>
        <w:rPr>
          <w:rFonts w:hint="eastAsia" w:ascii="宋体" w:hAnsi="宋体" w:eastAsia="宋体" w:cs="宋体"/>
          <w:b w:val="0"/>
          <w:bCs w:val="0"/>
          <w:color w:val="auto"/>
          <w:kern w:val="0"/>
          <w:sz w:val="24"/>
          <w:szCs w:val="24"/>
          <w:highlight w:val="none"/>
          <w:u w:val="single"/>
        </w:rPr>
        <w:t>12.《居住建筑节能检测标准》（JGJ/T 132-2009）；</w:t>
      </w:r>
    </w:p>
    <w:p w14:paraId="76FA7A8D">
      <w:pPr>
        <w:pStyle w:val="269"/>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 w:val="0"/>
          <w:bCs w:val="0"/>
          <w:color w:val="auto"/>
          <w:kern w:val="0"/>
          <w:sz w:val="24"/>
          <w:szCs w:val="24"/>
          <w:highlight w:val="none"/>
          <w:u w:val="single"/>
        </w:rPr>
      </w:pPr>
      <w:r>
        <w:rPr>
          <w:rFonts w:hint="eastAsia" w:ascii="宋体" w:hAnsi="宋体" w:eastAsia="宋体" w:cs="宋体"/>
          <w:b w:val="0"/>
          <w:bCs w:val="0"/>
          <w:color w:val="auto"/>
          <w:kern w:val="0"/>
          <w:sz w:val="24"/>
          <w:szCs w:val="24"/>
          <w:highlight w:val="none"/>
          <w:u w:val="single"/>
        </w:rPr>
        <w:t>13.《建筑设计防火规范》（GB 50016-2014）；</w:t>
      </w:r>
    </w:p>
    <w:p w14:paraId="52BD65D0">
      <w:pPr>
        <w:pStyle w:val="269"/>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 w:val="0"/>
          <w:bCs w:val="0"/>
          <w:color w:val="auto"/>
          <w:kern w:val="0"/>
          <w:sz w:val="24"/>
          <w:szCs w:val="24"/>
          <w:highlight w:val="none"/>
          <w:u w:val="single"/>
        </w:rPr>
      </w:pPr>
      <w:r>
        <w:rPr>
          <w:rFonts w:hint="eastAsia" w:ascii="宋体" w:hAnsi="宋体" w:eastAsia="宋体" w:cs="宋体"/>
          <w:b w:val="0"/>
          <w:bCs w:val="0"/>
          <w:color w:val="auto"/>
          <w:kern w:val="0"/>
          <w:sz w:val="24"/>
          <w:szCs w:val="24"/>
          <w:highlight w:val="none"/>
          <w:u w:val="single"/>
        </w:rPr>
        <w:t>14.《自动喷水灭火系统施工及验收规范》（GB 50261-2017）；</w:t>
      </w:r>
    </w:p>
    <w:p w14:paraId="5390CCE0">
      <w:pPr>
        <w:pStyle w:val="269"/>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 w:val="0"/>
          <w:bCs w:val="0"/>
          <w:color w:val="auto"/>
          <w:kern w:val="0"/>
          <w:sz w:val="24"/>
          <w:szCs w:val="24"/>
          <w:highlight w:val="none"/>
          <w:u w:val="single"/>
        </w:rPr>
      </w:pPr>
      <w:r>
        <w:rPr>
          <w:rFonts w:hint="eastAsia" w:ascii="宋体" w:hAnsi="宋体" w:eastAsia="宋体" w:cs="宋体"/>
          <w:b w:val="0"/>
          <w:bCs w:val="0"/>
          <w:color w:val="auto"/>
          <w:kern w:val="0"/>
          <w:sz w:val="24"/>
          <w:szCs w:val="24"/>
          <w:highlight w:val="none"/>
          <w:u w:val="single"/>
        </w:rPr>
        <w:t>15.《火灾自动报警系统施工及验收标准》（GB 50166-2019）；</w:t>
      </w:r>
    </w:p>
    <w:p w14:paraId="4120D4ED">
      <w:pPr>
        <w:pStyle w:val="269"/>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 w:val="0"/>
          <w:bCs w:val="0"/>
          <w:color w:val="auto"/>
          <w:kern w:val="0"/>
          <w:sz w:val="24"/>
          <w:szCs w:val="24"/>
          <w:highlight w:val="none"/>
          <w:u w:val="single"/>
        </w:rPr>
      </w:pPr>
      <w:r>
        <w:rPr>
          <w:rFonts w:hint="eastAsia" w:ascii="宋体" w:hAnsi="宋体" w:eastAsia="宋体" w:cs="宋体"/>
          <w:b w:val="0"/>
          <w:bCs w:val="0"/>
          <w:color w:val="auto"/>
          <w:kern w:val="0"/>
          <w:sz w:val="24"/>
          <w:szCs w:val="24"/>
          <w:highlight w:val="none"/>
          <w:u w:val="single"/>
        </w:rPr>
        <w:t>16.《智能建筑工程检测规程》（CECS 182-2005）；</w:t>
      </w:r>
    </w:p>
    <w:p w14:paraId="36469EA7">
      <w:pPr>
        <w:pStyle w:val="269"/>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 w:val="0"/>
          <w:bCs w:val="0"/>
          <w:color w:val="auto"/>
          <w:kern w:val="0"/>
          <w:sz w:val="24"/>
          <w:szCs w:val="24"/>
          <w:highlight w:val="none"/>
          <w:u w:val="single"/>
        </w:rPr>
      </w:pPr>
      <w:r>
        <w:rPr>
          <w:rFonts w:hint="eastAsia" w:ascii="宋体" w:hAnsi="宋体" w:eastAsia="宋体" w:cs="宋体"/>
          <w:b w:val="0"/>
          <w:bCs w:val="0"/>
          <w:color w:val="auto"/>
          <w:kern w:val="0"/>
          <w:sz w:val="24"/>
          <w:szCs w:val="24"/>
          <w:highlight w:val="none"/>
          <w:u w:val="single"/>
        </w:rPr>
        <w:t>17.《民用建筑隔声设计规范》（GB 50118-2010）；</w:t>
      </w:r>
    </w:p>
    <w:p w14:paraId="0336ED83">
      <w:pPr>
        <w:pStyle w:val="269"/>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 w:val="0"/>
          <w:bCs w:val="0"/>
          <w:color w:val="auto"/>
          <w:kern w:val="0"/>
          <w:sz w:val="24"/>
          <w:szCs w:val="24"/>
          <w:highlight w:val="none"/>
          <w:u w:val="single"/>
        </w:rPr>
      </w:pPr>
      <w:r>
        <w:rPr>
          <w:rFonts w:hint="eastAsia" w:ascii="宋体" w:hAnsi="宋体" w:eastAsia="宋体" w:cs="宋体"/>
          <w:b w:val="0"/>
          <w:bCs w:val="0"/>
          <w:color w:val="auto"/>
          <w:kern w:val="0"/>
          <w:sz w:val="24"/>
          <w:szCs w:val="24"/>
          <w:highlight w:val="none"/>
          <w:u w:val="single"/>
        </w:rPr>
        <w:t>18.《建筑环境通用规范》（GB 55016-2021）；</w:t>
      </w:r>
    </w:p>
    <w:p w14:paraId="20DFFD1A">
      <w:pPr>
        <w:pStyle w:val="269"/>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 w:val="0"/>
          <w:bCs w:val="0"/>
          <w:color w:val="auto"/>
          <w:kern w:val="0"/>
          <w:sz w:val="24"/>
          <w:szCs w:val="24"/>
          <w:highlight w:val="none"/>
          <w:u w:val="single"/>
        </w:rPr>
      </w:pPr>
      <w:r>
        <w:rPr>
          <w:rFonts w:hint="eastAsia" w:ascii="宋体" w:hAnsi="宋体" w:eastAsia="宋体" w:cs="宋体"/>
          <w:b w:val="0"/>
          <w:bCs w:val="0"/>
          <w:color w:val="auto"/>
          <w:kern w:val="0"/>
          <w:sz w:val="24"/>
          <w:szCs w:val="24"/>
          <w:highlight w:val="none"/>
          <w:u w:val="single"/>
        </w:rPr>
        <w:t>19.《园林绿化工程施工及验收规范》（CJJ 82-2012）；</w:t>
      </w:r>
    </w:p>
    <w:p w14:paraId="7C64998F">
      <w:pPr>
        <w:pStyle w:val="269"/>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 w:val="0"/>
          <w:bCs w:val="0"/>
          <w:color w:val="auto"/>
          <w:kern w:val="0"/>
          <w:sz w:val="24"/>
          <w:szCs w:val="24"/>
          <w:highlight w:val="none"/>
          <w:u w:val="single"/>
        </w:rPr>
      </w:pPr>
      <w:r>
        <w:rPr>
          <w:rFonts w:hint="eastAsia" w:ascii="宋体" w:hAnsi="宋体" w:eastAsia="宋体" w:cs="宋体"/>
          <w:b w:val="0"/>
          <w:bCs w:val="0"/>
          <w:color w:val="auto"/>
          <w:kern w:val="0"/>
          <w:sz w:val="24"/>
          <w:szCs w:val="24"/>
          <w:highlight w:val="none"/>
          <w:u w:val="single"/>
        </w:rPr>
        <w:t>20.《建筑防火及消防设施检测技术规程》（DBJ/T15-110-2015）；</w:t>
      </w:r>
    </w:p>
    <w:p w14:paraId="4B5BC423">
      <w:pPr>
        <w:pStyle w:val="269"/>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 w:val="0"/>
          <w:bCs w:val="0"/>
          <w:color w:val="auto"/>
          <w:kern w:val="0"/>
          <w:sz w:val="24"/>
          <w:szCs w:val="24"/>
          <w:highlight w:val="none"/>
          <w:u w:val="single"/>
        </w:rPr>
      </w:pPr>
      <w:r>
        <w:rPr>
          <w:rFonts w:hint="eastAsia" w:ascii="宋体" w:hAnsi="宋体" w:eastAsia="宋体" w:cs="宋体"/>
          <w:b w:val="0"/>
          <w:bCs w:val="0"/>
          <w:color w:val="auto"/>
          <w:kern w:val="0"/>
          <w:sz w:val="24"/>
          <w:szCs w:val="24"/>
          <w:highlight w:val="none"/>
          <w:u w:val="single"/>
        </w:rPr>
        <w:t>21.《广东省建筑节能与绿色建筑工程施工质量验收规范》（DBJ15-65-2021）；</w:t>
      </w:r>
    </w:p>
    <w:p w14:paraId="737730A6">
      <w:pPr>
        <w:pStyle w:val="269"/>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 w:val="0"/>
          <w:bCs w:val="0"/>
          <w:color w:val="auto"/>
          <w:kern w:val="0"/>
          <w:sz w:val="24"/>
          <w:szCs w:val="24"/>
          <w:highlight w:val="none"/>
          <w:u w:val="single"/>
        </w:rPr>
      </w:pPr>
      <w:r>
        <w:rPr>
          <w:rFonts w:hint="eastAsia" w:ascii="宋体" w:hAnsi="宋体" w:eastAsia="宋体" w:cs="宋体"/>
          <w:b w:val="0"/>
          <w:bCs w:val="0"/>
          <w:color w:val="auto"/>
          <w:kern w:val="0"/>
          <w:sz w:val="24"/>
          <w:szCs w:val="24"/>
          <w:highlight w:val="none"/>
          <w:u w:val="single"/>
        </w:rPr>
        <w:t>22.《城市绿化工程施工和验收规范》（DB440100/T114-2007）；</w:t>
      </w:r>
    </w:p>
    <w:p w14:paraId="370C5526">
      <w:pPr>
        <w:pStyle w:val="269"/>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 w:val="0"/>
          <w:bCs w:val="0"/>
          <w:color w:val="auto"/>
          <w:kern w:val="0"/>
          <w:sz w:val="24"/>
          <w:szCs w:val="24"/>
          <w:highlight w:val="none"/>
          <w:u w:val="single"/>
        </w:rPr>
      </w:pPr>
      <w:r>
        <w:rPr>
          <w:rFonts w:hint="eastAsia" w:ascii="宋体" w:hAnsi="宋体" w:eastAsia="宋体" w:cs="宋体"/>
          <w:b w:val="0"/>
          <w:bCs w:val="0"/>
          <w:color w:val="auto"/>
          <w:kern w:val="0"/>
          <w:sz w:val="24"/>
          <w:szCs w:val="24"/>
          <w:highlight w:val="none"/>
          <w:u w:val="single"/>
        </w:rPr>
        <w:t>23.国家和广东省、广州市其他有关检测的法律、法规、规章、规范及标准。</w:t>
      </w:r>
    </w:p>
    <w:p w14:paraId="5DC0D9DB">
      <w:pPr>
        <w:pStyle w:val="269"/>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实际检测依据以实施检测时国家及地方发布的最新规范、标准及规定为准。</w:t>
      </w:r>
    </w:p>
    <w:p w14:paraId="0D4B9F36">
      <w:pPr>
        <w:pStyle w:val="269"/>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 w:val="0"/>
          <w:bCs w:val="0"/>
          <w:color w:val="auto"/>
          <w:kern w:val="0"/>
          <w:sz w:val="24"/>
          <w:szCs w:val="24"/>
          <w:highlight w:val="none"/>
        </w:rPr>
      </w:pPr>
      <w:bookmarkStart w:id="65" w:name="_Toc9965"/>
      <w:bookmarkStart w:id="66" w:name="_Toc18008"/>
      <w:r>
        <w:rPr>
          <w:rFonts w:hint="eastAsia" w:ascii="宋体" w:hAnsi="宋体" w:eastAsia="宋体" w:cs="宋体"/>
          <w:b w:val="0"/>
          <w:bCs w:val="0"/>
          <w:color w:val="auto"/>
          <w:kern w:val="0"/>
          <w:sz w:val="24"/>
          <w:szCs w:val="24"/>
          <w:highlight w:val="none"/>
        </w:rPr>
        <w:t>（二）监测规范及标准</w:t>
      </w:r>
      <w:bookmarkEnd w:id="65"/>
      <w:bookmarkEnd w:id="66"/>
    </w:p>
    <w:p w14:paraId="3DBF22AB">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1.《建设工程质量管理条例文件汇编》</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rPr>
        <w:t>广州地区建设工程质量安全监督站编制</w:t>
      </w:r>
      <w:r>
        <w:rPr>
          <w:rFonts w:hint="eastAsia" w:ascii="宋体" w:hAnsi="宋体" w:eastAsia="宋体" w:cs="宋体"/>
          <w:color w:val="auto"/>
          <w:kern w:val="0"/>
          <w:sz w:val="24"/>
          <w:szCs w:val="24"/>
          <w:highlight w:val="none"/>
          <w:u w:val="single"/>
          <w:lang w:eastAsia="zh-CN"/>
        </w:rPr>
        <w:t>）；</w:t>
      </w:r>
    </w:p>
    <w:p w14:paraId="568FCC75">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2.《建筑基坑工程监测技术标准》GB50497-2019</w:t>
      </w:r>
      <w:r>
        <w:rPr>
          <w:rFonts w:hint="eastAsia" w:ascii="宋体" w:hAnsi="宋体" w:eastAsia="宋体" w:cs="宋体"/>
          <w:color w:val="auto"/>
          <w:kern w:val="0"/>
          <w:sz w:val="24"/>
          <w:szCs w:val="24"/>
          <w:highlight w:val="none"/>
          <w:u w:val="single"/>
          <w:lang w:eastAsia="zh-CN"/>
        </w:rPr>
        <w:t>；</w:t>
      </w:r>
    </w:p>
    <w:p w14:paraId="6F87C523">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3.《工程测量标准》GB50026-2020</w:t>
      </w:r>
      <w:r>
        <w:rPr>
          <w:rFonts w:hint="eastAsia" w:ascii="宋体" w:hAnsi="宋体" w:eastAsia="宋体" w:cs="宋体"/>
          <w:color w:val="auto"/>
          <w:kern w:val="0"/>
          <w:sz w:val="24"/>
          <w:szCs w:val="24"/>
          <w:highlight w:val="none"/>
          <w:u w:val="single"/>
          <w:lang w:eastAsia="zh-CN"/>
        </w:rPr>
        <w:t>；</w:t>
      </w:r>
    </w:p>
    <w:p w14:paraId="5D1B5ABA">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4.《建筑基坑支护技术规程》JGJ120-2012</w:t>
      </w:r>
      <w:r>
        <w:rPr>
          <w:rFonts w:hint="eastAsia" w:ascii="宋体" w:hAnsi="宋体" w:eastAsia="宋体" w:cs="宋体"/>
          <w:color w:val="auto"/>
          <w:kern w:val="0"/>
          <w:sz w:val="24"/>
          <w:szCs w:val="24"/>
          <w:highlight w:val="none"/>
          <w:u w:val="single"/>
          <w:lang w:eastAsia="zh-CN"/>
        </w:rPr>
        <w:t>；</w:t>
      </w:r>
    </w:p>
    <w:p w14:paraId="4C409E44">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5.广东省标准《建筑基坑技术规程》(DBJ/T15-20-2016)</w:t>
      </w:r>
      <w:r>
        <w:rPr>
          <w:rFonts w:hint="eastAsia" w:ascii="宋体" w:hAnsi="宋体" w:eastAsia="宋体" w:cs="宋体"/>
          <w:color w:val="auto"/>
          <w:kern w:val="0"/>
          <w:sz w:val="24"/>
          <w:szCs w:val="24"/>
          <w:highlight w:val="none"/>
          <w:u w:val="single"/>
          <w:lang w:eastAsia="zh-CN"/>
        </w:rPr>
        <w:t>；</w:t>
      </w:r>
    </w:p>
    <w:p w14:paraId="130E222B">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6.《广州地区建筑基坑支护技术规定》GJB02-98</w:t>
      </w:r>
      <w:r>
        <w:rPr>
          <w:rFonts w:hint="eastAsia" w:ascii="宋体" w:hAnsi="宋体" w:eastAsia="宋体" w:cs="宋体"/>
          <w:color w:val="auto"/>
          <w:kern w:val="0"/>
          <w:sz w:val="24"/>
          <w:szCs w:val="24"/>
          <w:highlight w:val="none"/>
          <w:u w:val="single"/>
          <w:lang w:eastAsia="zh-CN"/>
        </w:rPr>
        <w:t>；</w:t>
      </w:r>
    </w:p>
    <w:p w14:paraId="3A7F7236">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7.《建筑与市政工程地下水控制技术规范》(JGJ111-2016)</w:t>
      </w:r>
      <w:r>
        <w:rPr>
          <w:rFonts w:hint="eastAsia" w:ascii="宋体" w:hAnsi="宋体" w:eastAsia="宋体" w:cs="宋体"/>
          <w:color w:val="auto"/>
          <w:kern w:val="0"/>
          <w:sz w:val="24"/>
          <w:szCs w:val="24"/>
          <w:highlight w:val="none"/>
          <w:u w:val="single"/>
          <w:lang w:eastAsia="zh-CN"/>
        </w:rPr>
        <w:t>；</w:t>
      </w:r>
    </w:p>
    <w:p w14:paraId="4536391C">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8.《建筑深基坑工程施工安全技术规范》(JGJ311-2013)</w:t>
      </w:r>
      <w:r>
        <w:rPr>
          <w:rFonts w:hint="eastAsia" w:ascii="宋体" w:hAnsi="宋体" w:eastAsia="宋体" w:cs="宋体"/>
          <w:color w:val="auto"/>
          <w:kern w:val="0"/>
          <w:sz w:val="24"/>
          <w:szCs w:val="24"/>
          <w:highlight w:val="none"/>
          <w:u w:val="single"/>
          <w:lang w:eastAsia="zh-CN"/>
        </w:rPr>
        <w:t>；</w:t>
      </w:r>
    </w:p>
    <w:p w14:paraId="491FEFD4">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9.《国家一、二等水准测量规范》(GB/T 12897-2006)</w:t>
      </w:r>
      <w:r>
        <w:rPr>
          <w:rFonts w:hint="eastAsia" w:ascii="宋体" w:hAnsi="宋体" w:eastAsia="宋体" w:cs="宋体"/>
          <w:color w:val="auto"/>
          <w:kern w:val="0"/>
          <w:sz w:val="24"/>
          <w:szCs w:val="24"/>
          <w:highlight w:val="none"/>
          <w:u w:val="single"/>
          <w:lang w:eastAsia="zh-CN"/>
        </w:rPr>
        <w:t>；</w:t>
      </w:r>
    </w:p>
    <w:p w14:paraId="27D5DD89">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10.《建筑变形测量规范》JGJ8-2016</w:t>
      </w:r>
      <w:r>
        <w:rPr>
          <w:rFonts w:hint="eastAsia" w:ascii="宋体" w:hAnsi="宋体" w:eastAsia="宋体" w:cs="宋体"/>
          <w:color w:val="auto"/>
          <w:kern w:val="0"/>
          <w:sz w:val="24"/>
          <w:szCs w:val="24"/>
          <w:highlight w:val="none"/>
          <w:u w:val="single"/>
          <w:lang w:eastAsia="zh-CN"/>
        </w:rPr>
        <w:t>；</w:t>
      </w:r>
    </w:p>
    <w:p w14:paraId="18738F7C">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11.《城市测量规范》CJJ/T8-2011</w:t>
      </w:r>
      <w:r>
        <w:rPr>
          <w:rFonts w:hint="eastAsia" w:ascii="宋体" w:hAnsi="宋体" w:eastAsia="宋体" w:cs="宋体"/>
          <w:color w:val="auto"/>
          <w:kern w:val="0"/>
          <w:sz w:val="24"/>
          <w:szCs w:val="24"/>
          <w:highlight w:val="none"/>
          <w:u w:val="single"/>
          <w:lang w:eastAsia="zh-CN"/>
        </w:rPr>
        <w:t>；</w:t>
      </w:r>
    </w:p>
    <w:p w14:paraId="2C287DA7">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12.《城市轨道交通结构安全保护技术规范》(CJJ/T202-2013)</w:t>
      </w:r>
      <w:r>
        <w:rPr>
          <w:rFonts w:hint="eastAsia" w:ascii="宋体" w:hAnsi="宋体" w:eastAsia="宋体" w:cs="宋体"/>
          <w:color w:val="auto"/>
          <w:kern w:val="0"/>
          <w:sz w:val="24"/>
          <w:szCs w:val="24"/>
          <w:highlight w:val="none"/>
          <w:u w:val="single"/>
          <w:lang w:eastAsia="zh-CN"/>
        </w:rPr>
        <w:t>；</w:t>
      </w:r>
    </w:p>
    <w:p w14:paraId="5E135856">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13.《城市轨道交通工程测量规范》(GB 50308-2017)</w:t>
      </w:r>
      <w:r>
        <w:rPr>
          <w:rFonts w:hint="eastAsia" w:ascii="宋体" w:hAnsi="宋体" w:eastAsia="宋体" w:cs="宋体"/>
          <w:color w:val="auto"/>
          <w:kern w:val="0"/>
          <w:sz w:val="24"/>
          <w:szCs w:val="24"/>
          <w:highlight w:val="none"/>
          <w:u w:val="single"/>
          <w:lang w:eastAsia="zh-CN"/>
        </w:rPr>
        <w:t>；</w:t>
      </w:r>
    </w:p>
    <w:p w14:paraId="41D418F3">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14.《城市地下空间检测监测技术标准》(DBJ15-71-2010)</w:t>
      </w:r>
      <w:r>
        <w:rPr>
          <w:rFonts w:hint="eastAsia" w:ascii="宋体" w:hAnsi="宋体" w:eastAsia="宋体" w:cs="宋体"/>
          <w:color w:val="auto"/>
          <w:kern w:val="0"/>
          <w:sz w:val="24"/>
          <w:szCs w:val="24"/>
          <w:highlight w:val="none"/>
          <w:u w:val="single"/>
          <w:lang w:eastAsia="zh-CN"/>
        </w:rPr>
        <w:t>；</w:t>
      </w:r>
    </w:p>
    <w:p w14:paraId="1C3849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15.《广州市城市轨道交通既有结构保护监测技术</w:t>
      </w:r>
      <w:r>
        <w:rPr>
          <w:rFonts w:hint="eastAsia" w:ascii="宋体" w:hAnsi="宋体" w:eastAsia="宋体" w:cs="宋体"/>
          <w:color w:val="auto"/>
          <w:sz w:val="24"/>
          <w:szCs w:val="24"/>
          <w:highlight w:val="none"/>
          <w:u w:val="single"/>
          <w:lang w:eastAsia="zh-CN"/>
        </w:rPr>
        <w:t>标准</w:t>
      </w:r>
      <w:r>
        <w:rPr>
          <w:rFonts w:hint="eastAsia" w:ascii="宋体" w:hAnsi="宋体" w:eastAsia="宋体" w:cs="宋体"/>
          <w:color w:val="auto"/>
          <w:sz w:val="24"/>
          <w:szCs w:val="24"/>
          <w:highlight w:val="none"/>
          <w:u w:val="single"/>
        </w:rPr>
        <w:t>》(Q/GZMTR-JS-JL-JG-001-2018)；</w:t>
      </w:r>
    </w:p>
    <w:p w14:paraId="1DDA76DF">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16.《城市轨道交通既有结构保护技术规范》DBJ/T 15-120-2017；</w:t>
      </w:r>
    </w:p>
    <w:p w14:paraId="42B351C3">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17.《城市轨道交通工程监测技术规范》(GB50911-2013)</w:t>
      </w:r>
      <w:r>
        <w:rPr>
          <w:rFonts w:hint="eastAsia" w:ascii="宋体" w:hAnsi="宋体" w:eastAsia="宋体" w:cs="宋体"/>
          <w:color w:val="auto"/>
          <w:kern w:val="0"/>
          <w:sz w:val="24"/>
          <w:szCs w:val="24"/>
          <w:highlight w:val="none"/>
          <w:u w:val="single"/>
          <w:lang w:eastAsia="zh-CN"/>
        </w:rPr>
        <w:t>；</w:t>
      </w:r>
    </w:p>
    <w:p w14:paraId="2D15B117">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18.本项目基坑监测布置图等相关设计文件要求；</w:t>
      </w:r>
    </w:p>
    <w:p w14:paraId="3FE04F03">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19.本项目第三方检测及监测等技术服务合同及甲方相关要求</w:t>
      </w:r>
      <w:r>
        <w:rPr>
          <w:rFonts w:hint="eastAsia" w:ascii="宋体" w:hAnsi="宋体" w:eastAsia="宋体" w:cs="宋体"/>
          <w:color w:val="auto"/>
          <w:kern w:val="0"/>
          <w:sz w:val="24"/>
          <w:szCs w:val="24"/>
          <w:highlight w:val="none"/>
          <w:u w:val="single"/>
          <w:lang w:eastAsia="zh-CN"/>
        </w:rPr>
        <w:t>。</w:t>
      </w:r>
    </w:p>
    <w:p w14:paraId="552EEE08">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实际监测依据以实施监测时国家及地方发布的最新规范、标准及规定为准。</w:t>
      </w:r>
    </w:p>
    <w:p w14:paraId="311913B7">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outlineLvl w:val="0"/>
        <w:rPr>
          <w:rFonts w:hint="eastAsia" w:ascii="宋体" w:hAnsi="宋体" w:eastAsia="宋体" w:cs="宋体"/>
          <w:b/>
          <w:color w:val="auto"/>
          <w:kern w:val="0"/>
          <w:sz w:val="24"/>
          <w:szCs w:val="24"/>
          <w:highlight w:val="none"/>
        </w:rPr>
      </w:pPr>
      <w:bookmarkStart w:id="67" w:name="_Toc72"/>
      <w:bookmarkStart w:id="68" w:name="_Toc4514"/>
      <w:bookmarkStart w:id="69" w:name="_Toc3210"/>
      <w:bookmarkStart w:id="70" w:name="_Toc21881"/>
      <w:bookmarkStart w:id="71" w:name="_Toc5447"/>
      <w:r>
        <w:rPr>
          <w:rFonts w:hint="eastAsia" w:ascii="宋体" w:hAnsi="宋体" w:eastAsia="宋体" w:cs="宋体"/>
          <w:b/>
          <w:color w:val="auto"/>
          <w:kern w:val="0"/>
          <w:sz w:val="24"/>
          <w:szCs w:val="24"/>
          <w:highlight w:val="none"/>
        </w:rPr>
        <w:t>九</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验收标准</w:t>
      </w:r>
      <w:bookmarkEnd w:id="67"/>
      <w:bookmarkEnd w:id="68"/>
      <w:bookmarkEnd w:id="69"/>
      <w:bookmarkEnd w:id="70"/>
      <w:bookmarkEnd w:id="71"/>
    </w:p>
    <w:p w14:paraId="5AD8D1B2">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双方确定以下列标准和方式对乙方的技术服务工作成果进行验收：</w:t>
      </w:r>
    </w:p>
    <w:p w14:paraId="319248F1">
      <w:pPr>
        <w:pStyle w:val="2"/>
        <w:keepNext w:val="0"/>
        <w:keepLines w:val="0"/>
        <w:pageBreakBefore w:val="0"/>
        <w:widowControl w:val="0"/>
        <w:tabs>
          <w:tab w:val="left" w:pos="1572"/>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pacing w:val="0"/>
          <w:kern w:val="0"/>
          <w:sz w:val="24"/>
          <w:szCs w:val="24"/>
          <w:highlight w:val="none"/>
          <w:u w:val="single"/>
        </w:rPr>
      </w:pPr>
      <w:r>
        <w:rPr>
          <w:rFonts w:hint="eastAsia" w:ascii="宋体" w:hAnsi="宋体" w:eastAsia="宋体" w:cs="宋体"/>
          <w:color w:val="auto"/>
          <w:spacing w:val="0"/>
          <w:kern w:val="0"/>
          <w:sz w:val="24"/>
          <w:szCs w:val="24"/>
          <w:highlight w:val="none"/>
        </w:rPr>
        <w:t>（一）乙方完成技术服务工作的形式：</w:t>
      </w:r>
      <w:r>
        <w:rPr>
          <w:rFonts w:hint="eastAsia" w:ascii="宋体" w:hAnsi="宋体" w:eastAsia="宋体" w:cs="宋体"/>
          <w:color w:val="auto"/>
          <w:spacing w:val="0"/>
          <w:kern w:val="0"/>
          <w:sz w:val="24"/>
          <w:szCs w:val="24"/>
          <w:highlight w:val="none"/>
          <w:u w:val="single"/>
          <w:lang w:val="en-US" w:eastAsia="zh-CN"/>
        </w:rPr>
        <w:t>根据甲方审定的检测、监测方案，按要求完成并提交</w:t>
      </w:r>
      <w:r>
        <w:rPr>
          <w:rFonts w:hint="eastAsia" w:ascii="宋体" w:hAnsi="宋体" w:eastAsia="宋体" w:cs="宋体"/>
          <w:color w:val="auto"/>
          <w:spacing w:val="0"/>
          <w:kern w:val="0"/>
          <w:sz w:val="24"/>
          <w:szCs w:val="24"/>
          <w:highlight w:val="none"/>
          <w:u w:val="single"/>
        </w:rPr>
        <w:t>符合现行标准的检测、监测报告。</w:t>
      </w:r>
    </w:p>
    <w:p w14:paraId="200ACC27">
      <w:pPr>
        <w:pStyle w:val="2"/>
        <w:keepNext w:val="0"/>
        <w:keepLines w:val="0"/>
        <w:pageBreakBefore w:val="0"/>
        <w:widowControl w:val="0"/>
        <w:tabs>
          <w:tab w:val="left" w:pos="1572"/>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pacing w:val="0"/>
          <w:kern w:val="0"/>
          <w:sz w:val="24"/>
          <w:szCs w:val="24"/>
          <w:highlight w:val="none"/>
          <w:u w:val="single"/>
        </w:rPr>
      </w:pPr>
      <w:r>
        <w:rPr>
          <w:rFonts w:hint="eastAsia" w:ascii="宋体" w:hAnsi="宋体" w:eastAsia="宋体" w:cs="宋体"/>
          <w:color w:val="auto"/>
          <w:spacing w:val="0"/>
          <w:kern w:val="0"/>
          <w:sz w:val="24"/>
          <w:szCs w:val="24"/>
          <w:highlight w:val="none"/>
        </w:rPr>
        <w:t>（二）技术服务工作成果的验收标准：</w:t>
      </w:r>
      <w:r>
        <w:rPr>
          <w:rFonts w:hint="eastAsia" w:ascii="宋体" w:hAnsi="宋体" w:eastAsia="宋体" w:cs="宋体"/>
          <w:color w:val="auto"/>
          <w:spacing w:val="0"/>
          <w:kern w:val="0"/>
          <w:sz w:val="24"/>
          <w:szCs w:val="24"/>
          <w:highlight w:val="none"/>
          <w:u w:val="single"/>
          <w:lang w:val="en-US" w:eastAsia="zh-CN"/>
        </w:rPr>
        <w:t>乙方提交的检测、监测报告通</w:t>
      </w:r>
      <w:r>
        <w:rPr>
          <w:rFonts w:hint="eastAsia" w:ascii="宋体" w:hAnsi="宋体" w:eastAsia="宋体" w:cs="宋体"/>
          <w:color w:val="auto"/>
          <w:spacing w:val="0"/>
          <w:kern w:val="0"/>
          <w:sz w:val="24"/>
          <w:szCs w:val="24"/>
          <w:highlight w:val="none"/>
          <w:u w:val="single"/>
        </w:rPr>
        <w:t>过建设行政主管部门及</w:t>
      </w:r>
      <w:r>
        <w:rPr>
          <w:rFonts w:hint="eastAsia" w:ascii="宋体" w:hAnsi="宋体" w:eastAsia="宋体" w:cs="宋体"/>
          <w:color w:val="auto"/>
          <w:spacing w:val="0"/>
          <w:kern w:val="0"/>
          <w:sz w:val="24"/>
          <w:szCs w:val="24"/>
          <w:highlight w:val="none"/>
          <w:u w:val="single"/>
          <w:lang w:val="en-US" w:eastAsia="zh-CN"/>
        </w:rPr>
        <w:t>甲方的审核或</w:t>
      </w:r>
      <w:r>
        <w:rPr>
          <w:rFonts w:hint="eastAsia" w:ascii="宋体" w:hAnsi="宋体" w:eastAsia="宋体" w:cs="宋体"/>
          <w:color w:val="auto"/>
          <w:spacing w:val="0"/>
          <w:kern w:val="0"/>
          <w:sz w:val="24"/>
          <w:szCs w:val="24"/>
          <w:highlight w:val="none"/>
          <w:u w:val="single"/>
        </w:rPr>
        <w:t>验收</w:t>
      </w:r>
      <w:r>
        <w:rPr>
          <w:rFonts w:hint="eastAsia" w:ascii="宋体" w:hAnsi="宋体" w:eastAsia="宋体" w:cs="宋体"/>
          <w:color w:val="auto"/>
          <w:spacing w:val="0"/>
          <w:kern w:val="0"/>
          <w:sz w:val="24"/>
          <w:szCs w:val="24"/>
          <w:highlight w:val="none"/>
          <w:u w:val="single"/>
          <w:lang w:eastAsia="zh-CN"/>
        </w:rPr>
        <w:t>，</w:t>
      </w:r>
      <w:r>
        <w:rPr>
          <w:rFonts w:hint="eastAsia" w:ascii="宋体" w:hAnsi="宋体" w:eastAsia="宋体" w:cs="宋体"/>
          <w:color w:val="auto"/>
          <w:spacing w:val="0"/>
          <w:kern w:val="0"/>
          <w:sz w:val="24"/>
          <w:szCs w:val="24"/>
          <w:highlight w:val="none"/>
          <w:u w:val="single"/>
          <w:lang w:val="en-US" w:eastAsia="zh-CN"/>
        </w:rPr>
        <w:t>相关施工内容未因检测、监测原因导致验收不通过</w:t>
      </w:r>
      <w:r>
        <w:rPr>
          <w:rFonts w:hint="eastAsia" w:ascii="宋体" w:hAnsi="宋体" w:eastAsia="宋体" w:cs="宋体"/>
          <w:color w:val="auto"/>
          <w:spacing w:val="0"/>
          <w:kern w:val="0"/>
          <w:sz w:val="24"/>
          <w:szCs w:val="24"/>
          <w:highlight w:val="none"/>
          <w:u w:val="single"/>
        </w:rPr>
        <w:t>。</w:t>
      </w:r>
    </w:p>
    <w:p w14:paraId="3A008BCF">
      <w:pPr>
        <w:keepNext w:val="0"/>
        <w:keepLines w:val="0"/>
        <w:pageBreakBefore w:val="0"/>
        <w:widowControl w:val="0"/>
        <w:tabs>
          <w:tab w:val="left" w:pos="2340"/>
        </w:tabs>
        <w:kinsoku/>
        <w:wordWrap/>
        <w:overflowPunct/>
        <w:topLinePunct w:val="0"/>
        <w:bidi w:val="0"/>
        <w:adjustRightInd w:val="0"/>
        <w:snapToGrid w:val="0"/>
        <w:spacing w:line="360" w:lineRule="auto"/>
        <w:ind w:firstLine="482" w:firstLineChars="200"/>
        <w:jc w:val="both"/>
        <w:textAlignment w:val="auto"/>
        <w:outlineLvl w:val="0"/>
        <w:rPr>
          <w:rFonts w:hint="eastAsia" w:ascii="宋体" w:hAnsi="宋体" w:eastAsia="宋体" w:cs="宋体"/>
          <w:b/>
          <w:color w:val="auto"/>
          <w:kern w:val="0"/>
          <w:sz w:val="24"/>
          <w:szCs w:val="24"/>
          <w:highlight w:val="none"/>
          <w:lang w:val="zh-CN"/>
        </w:rPr>
      </w:pPr>
      <w:bookmarkStart w:id="72" w:name="_Toc26357"/>
      <w:bookmarkStart w:id="73" w:name="_Toc701"/>
      <w:bookmarkStart w:id="74" w:name="_Toc14062"/>
      <w:bookmarkStart w:id="75" w:name="_Toc5334"/>
      <w:bookmarkStart w:id="76" w:name="_Toc31214"/>
      <w:r>
        <w:rPr>
          <w:rFonts w:hint="eastAsia" w:ascii="宋体" w:hAnsi="宋体" w:eastAsia="宋体" w:cs="宋体"/>
          <w:b/>
          <w:bCs/>
          <w:color w:val="auto"/>
          <w:kern w:val="0"/>
          <w:sz w:val="24"/>
          <w:szCs w:val="24"/>
          <w:highlight w:val="none"/>
          <w:lang w:val="en-US" w:eastAsia="zh-CN"/>
        </w:rPr>
        <w:t>十</w:t>
      </w:r>
      <w:r>
        <w:rPr>
          <w:rFonts w:hint="eastAsia" w:ascii="宋体" w:hAnsi="宋体" w:eastAsia="宋体" w:cs="宋体"/>
          <w:b/>
          <w:bCs/>
          <w:color w:val="auto"/>
          <w:kern w:val="0"/>
          <w:sz w:val="24"/>
          <w:szCs w:val="24"/>
          <w:highlight w:val="none"/>
          <w:lang w:val="zh-CN"/>
        </w:rPr>
        <w:t>、履约</w:t>
      </w:r>
      <w:r>
        <w:rPr>
          <w:rFonts w:hint="eastAsia" w:ascii="宋体" w:hAnsi="宋体" w:eastAsia="宋体" w:cs="宋体"/>
          <w:b/>
          <w:color w:val="auto"/>
          <w:kern w:val="0"/>
          <w:sz w:val="24"/>
          <w:szCs w:val="24"/>
          <w:highlight w:val="none"/>
          <w:lang w:val="zh-CN"/>
        </w:rPr>
        <w:t>担保</w:t>
      </w:r>
      <w:bookmarkEnd w:id="72"/>
      <w:bookmarkEnd w:id="73"/>
      <w:bookmarkEnd w:id="74"/>
      <w:bookmarkEnd w:id="75"/>
      <w:bookmarkEnd w:id="76"/>
    </w:p>
    <w:p w14:paraId="1397DCE8">
      <w:pPr>
        <w:keepNext w:val="0"/>
        <w:keepLines w:val="0"/>
        <w:pageBreakBefore w:val="0"/>
        <w:widowControl w:val="0"/>
        <w:tabs>
          <w:tab w:val="left" w:pos="2340"/>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一</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u w:val="single"/>
        </w:rPr>
        <w:t>乙方应</w:t>
      </w:r>
      <w:r>
        <w:rPr>
          <w:rFonts w:hint="eastAsia" w:ascii="宋体" w:hAnsi="宋体" w:eastAsia="宋体" w:cs="宋体"/>
          <w:snapToGrid w:val="0"/>
          <w:color w:val="auto"/>
          <w:kern w:val="0"/>
          <w:sz w:val="24"/>
          <w:szCs w:val="24"/>
          <w:highlight w:val="none"/>
          <w:u w:val="single"/>
          <w:lang w:val="en-US" w:eastAsia="zh-CN"/>
        </w:rPr>
        <w:t>于</w:t>
      </w:r>
      <w:r>
        <w:rPr>
          <w:rFonts w:hint="eastAsia" w:ascii="宋体" w:hAnsi="宋体" w:eastAsia="宋体" w:cs="宋体"/>
          <w:snapToGrid w:val="0"/>
          <w:color w:val="auto"/>
          <w:kern w:val="0"/>
          <w:sz w:val="24"/>
          <w:szCs w:val="24"/>
          <w:highlight w:val="none"/>
          <w:u w:val="single"/>
        </w:rPr>
        <w:t>签订合同之日起30个日历</w:t>
      </w:r>
      <w:r>
        <w:rPr>
          <w:rFonts w:hint="eastAsia" w:ascii="宋体" w:hAnsi="宋体" w:eastAsia="宋体" w:cs="宋体"/>
          <w:snapToGrid w:val="0"/>
          <w:color w:val="auto"/>
          <w:kern w:val="0"/>
          <w:sz w:val="24"/>
          <w:szCs w:val="24"/>
          <w:highlight w:val="none"/>
          <w:u w:val="single"/>
          <w:lang w:eastAsia="zh-CN"/>
        </w:rPr>
        <w:t>天</w:t>
      </w:r>
      <w:r>
        <w:rPr>
          <w:rFonts w:hint="eastAsia" w:ascii="宋体" w:hAnsi="宋体" w:eastAsia="宋体" w:cs="宋体"/>
          <w:snapToGrid w:val="0"/>
          <w:color w:val="auto"/>
          <w:kern w:val="0"/>
          <w:sz w:val="24"/>
          <w:szCs w:val="24"/>
          <w:highlight w:val="none"/>
          <w:u w:val="single"/>
        </w:rPr>
        <w:t>内按合同附件载明的格式向甲方提交由在中华人民共和国注册并经甲方认可的担保机构开出的担保金额为本合同价款总额的10％，即人民币</w:t>
      </w:r>
      <w:r>
        <w:rPr>
          <w:rFonts w:hint="eastAsia" w:ascii="宋体" w:hAnsi="宋体" w:eastAsia="宋体" w:cs="宋体"/>
          <w:b/>
          <w:snapToGrid w:val="0"/>
          <w:color w:val="auto"/>
          <w:kern w:val="0"/>
          <w:sz w:val="24"/>
          <w:szCs w:val="24"/>
          <w:highlight w:val="none"/>
          <w:u w:val="single"/>
        </w:rPr>
        <w:t xml:space="preserve"> </w:t>
      </w:r>
      <w:r>
        <w:rPr>
          <w:rFonts w:hint="eastAsia" w:ascii="宋体" w:hAnsi="宋体" w:eastAsia="宋体" w:cs="宋体"/>
          <w:b/>
          <w:snapToGrid w:val="0"/>
          <w:color w:val="auto"/>
          <w:kern w:val="0"/>
          <w:sz w:val="24"/>
          <w:szCs w:val="24"/>
          <w:highlight w:val="none"/>
          <w:u w:val="single"/>
          <w:lang w:val="en-US" w:eastAsia="zh-CN"/>
        </w:rPr>
        <w:t xml:space="preserve"> </w:t>
      </w:r>
      <w:r>
        <w:rPr>
          <w:rFonts w:hint="eastAsia" w:ascii="宋体" w:hAnsi="宋体" w:eastAsia="宋体" w:cs="宋体"/>
          <w:b/>
          <w:snapToGrid w:val="0"/>
          <w:color w:val="auto"/>
          <w:kern w:val="0"/>
          <w:sz w:val="24"/>
          <w:szCs w:val="24"/>
          <w:highlight w:val="none"/>
          <w:u w:val="single"/>
        </w:rPr>
        <w:t xml:space="preserve">  </w:t>
      </w:r>
      <w:r>
        <w:rPr>
          <w:rFonts w:hint="eastAsia" w:ascii="宋体" w:hAnsi="宋体" w:eastAsia="宋体" w:cs="宋体"/>
          <w:color w:val="auto"/>
          <w:spacing w:val="0"/>
          <w:kern w:val="2"/>
          <w:sz w:val="24"/>
          <w:szCs w:val="24"/>
          <w:highlight w:val="none"/>
          <w:u w:val="single"/>
        </w:rPr>
        <w:t>（小写：¥         ）</w:t>
      </w:r>
      <w:r>
        <w:rPr>
          <w:rFonts w:hint="eastAsia" w:ascii="宋体" w:hAnsi="宋体" w:eastAsia="宋体" w:cs="宋体"/>
          <w:color w:val="auto"/>
          <w:spacing w:val="0"/>
          <w:kern w:val="0"/>
          <w:sz w:val="24"/>
          <w:szCs w:val="24"/>
          <w:highlight w:val="none"/>
          <w:u w:val="single"/>
        </w:rPr>
        <w:t>的《履约担保》</w:t>
      </w:r>
      <w:r>
        <w:rPr>
          <w:rFonts w:hint="eastAsia" w:ascii="宋体" w:hAnsi="宋体" w:eastAsia="宋体" w:cs="宋体"/>
          <w:snapToGrid w:val="0"/>
          <w:color w:val="auto"/>
          <w:kern w:val="0"/>
          <w:sz w:val="24"/>
          <w:szCs w:val="24"/>
          <w:highlight w:val="none"/>
          <w:u w:val="single"/>
        </w:rPr>
        <w:t>原件</w:t>
      </w:r>
      <w:r>
        <w:rPr>
          <w:rFonts w:hint="eastAsia" w:ascii="宋体" w:hAnsi="宋体" w:eastAsia="宋体" w:cs="宋体"/>
          <w:snapToGrid w:val="0"/>
          <w:color w:val="auto"/>
          <w:kern w:val="0"/>
          <w:sz w:val="24"/>
          <w:szCs w:val="24"/>
          <w:highlight w:val="none"/>
        </w:rPr>
        <w:t>。</w:t>
      </w:r>
    </w:p>
    <w:p w14:paraId="1B15CFCD">
      <w:pPr>
        <w:keepNext w:val="0"/>
        <w:keepLines w:val="0"/>
        <w:pageBreakBefore w:val="0"/>
        <w:widowControl w:val="0"/>
        <w:tabs>
          <w:tab w:val="left" w:pos="2340"/>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二</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乙方提交的履约</w:t>
      </w:r>
      <w:r>
        <w:rPr>
          <w:rFonts w:hint="eastAsia" w:ascii="宋体" w:hAnsi="宋体" w:eastAsia="宋体" w:cs="宋体"/>
          <w:snapToGrid w:val="0"/>
          <w:color w:val="auto"/>
          <w:kern w:val="0"/>
          <w:sz w:val="24"/>
          <w:szCs w:val="24"/>
          <w:highlight w:val="none"/>
          <w:lang w:val="en-US" w:eastAsia="zh-CN"/>
        </w:rPr>
        <w:t>担保</w:t>
      </w:r>
      <w:r>
        <w:rPr>
          <w:rFonts w:hint="eastAsia" w:ascii="宋体" w:hAnsi="宋体" w:eastAsia="宋体" w:cs="宋体"/>
          <w:snapToGrid w:val="0"/>
          <w:color w:val="auto"/>
          <w:kern w:val="0"/>
          <w:sz w:val="24"/>
          <w:szCs w:val="24"/>
          <w:highlight w:val="none"/>
        </w:rPr>
        <w:t>是对本合同约定的乙方的全部义务（包括但不限于乙方违约后应支付的违约金和赔偿金）的担保，乙方的任何一次不履行或不完全履行合同义务的行为，甲方均有权向</w:t>
      </w:r>
      <w:r>
        <w:rPr>
          <w:rFonts w:hint="eastAsia" w:ascii="宋体" w:hAnsi="宋体" w:eastAsia="宋体" w:cs="宋体"/>
          <w:snapToGrid w:val="0"/>
          <w:color w:val="auto"/>
          <w:kern w:val="0"/>
          <w:sz w:val="24"/>
          <w:szCs w:val="24"/>
          <w:highlight w:val="none"/>
          <w:lang w:val="en-US" w:eastAsia="zh-CN"/>
        </w:rPr>
        <w:t>保证人</w:t>
      </w:r>
      <w:r>
        <w:rPr>
          <w:rFonts w:hint="eastAsia" w:ascii="宋体" w:hAnsi="宋体" w:eastAsia="宋体" w:cs="宋体"/>
          <w:snapToGrid w:val="0"/>
          <w:color w:val="auto"/>
          <w:kern w:val="0"/>
          <w:sz w:val="24"/>
          <w:szCs w:val="24"/>
          <w:highlight w:val="none"/>
        </w:rPr>
        <w:t>提出索赔。</w:t>
      </w:r>
    </w:p>
    <w:p w14:paraId="04A33BF6">
      <w:pPr>
        <w:keepNext w:val="0"/>
        <w:keepLines w:val="0"/>
        <w:pageBreakBefore w:val="0"/>
        <w:widowControl w:val="0"/>
        <w:tabs>
          <w:tab w:val="left" w:pos="2340"/>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三</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乙方不履行或不完全履行合同义务的行为导致甲方通过履约</w:t>
      </w:r>
      <w:r>
        <w:rPr>
          <w:rFonts w:hint="eastAsia" w:ascii="宋体" w:hAnsi="宋体" w:eastAsia="宋体" w:cs="宋体"/>
          <w:snapToGrid w:val="0"/>
          <w:color w:val="auto"/>
          <w:kern w:val="0"/>
          <w:sz w:val="24"/>
          <w:szCs w:val="24"/>
          <w:highlight w:val="none"/>
          <w:lang w:val="en-US" w:eastAsia="zh-CN"/>
        </w:rPr>
        <w:t>担保</w:t>
      </w:r>
      <w:r>
        <w:rPr>
          <w:rFonts w:hint="eastAsia" w:ascii="宋体" w:hAnsi="宋体" w:eastAsia="宋体" w:cs="宋体"/>
          <w:snapToGrid w:val="0"/>
          <w:color w:val="auto"/>
          <w:kern w:val="0"/>
          <w:sz w:val="24"/>
          <w:szCs w:val="24"/>
          <w:highlight w:val="none"/>
        </w:rPr>
        <w:t>向</w:t>
      </w:r>
      <w:r>
        <w:rPr>
          <w:rFonts w:hint="eastAsia" w:ascii="宋体" w:hAnsi="宋体" w:eastAsia="宋体" w:cs="宋体"/>
          <w:snapToGrid w:val="0"/>
          <w:color w:val="auto"/>
          <w:kern w:val="0"/>
          <w:sz w:val="24"/>
          <w:szCs w:val="24"/>
          <w:highlight w:val="none"/>
          <w:lang w:val="en-US" w:eastAsia="zh-CN"/>
        </w:rPr>
        <w:t>保证人</w:t>
      </w:r>
      <w:r>
        <w:rPr>
          <w:rFonts w:hint="eastAsia" w:ascii="宋体" w:hAnsi="宋体" w:eastAsia="宋体" w:cs="宋体"/>
          <w:snapToGrid w:val="0"/>
          <w:color w:val="auto"/>
          <w:kern w:val="0"/>
          <w:sz w:val="24"/>
          <w:szCs w:val="24"/>
          <w:highlight w:val="none"/>
        </w:rPr>
        <w:t>索赔履约</w:t>
      </w:r>
      <w:r>
        <w:rPr>
          <w:rFonts w:hint="eastAsia" w:ascii="宋体" w:hAnsi="宋体" w:eastAsia="宋体" w:cs="宋体"/>
          <w:snapToGrid w:val="0"/>
          <w:color w:val="auto"/>
          <w:kern w:val="0"/>
          <w:sz w:val="24"/>
          <w:szCs w:val="24"/>
          <w:highlight w:val="none"/>
          <w:lang w:val="en-US" w:eastAsia="zh-CN"/>
        </w:rPr>
        <w:t>担保</w:t>
      </w:r>
      <w:r>
        <w:rPr>
          <w:rFonts w:hint="eastAsia" w:ascii="宋体" w:hAnsi="宋体" w:eastAsia="宋体" w:cs="宋体"/>
          <w:snapToGrid w:val="0"/>
          <w:color w:val="auto"/>
          <w:kern w:val="0"/>
          <w:sz w:val="24"/>
          <w:szCs w:val="24"/>
          <w:highlight w:val="none"/>
        </w:rPr>
        <w:t>金额的一部分或者全部的，乙方必须在甲方规定的时间内补充提交履约</w:t>
      </w:r>
      <w:r>
        <w:rPr>
          <w:rFonts w:hint="eastAsia" w:ascii="宋体" w:hAnsi="宋体" w:eastAsia="宋体" w:cs="宋体"/>
          <w:snapToGrid w:val="0"/>
          <w:color w:val="auto"/>
          <w:kern w:val="0"/>
          <w:sz w:val="24"/>
          <w:szCs w:val="24"/>
          <w:highlight w:val="none"/>
          <w:lang w:val="en-US" w:eastAsia="zh-CN"/>
        </w:rPr>
        <w:t>担保</w:t>
      </w:r>
      <w:r>
        <w:rPr>
          <w:rFonts w:hint="eastAsia" w:ascii="宋体" w:hAnsi="宋体" w:eastAsia="宋体" w:cs="宋体"/>
          <w:snapToGrid w:val="0"/>
          <w:color w:val="auto"/>
          <w:kern w:val="0"/>
          <w:sz w:val="24"/>
          <w:szCs w:val="24"/>
          <w:highlight w:val="none"/>
        </w:rPr>
        <w:t>，使得本合同履行期间有效的履约</w:t>
      </w:r>
      <w:r>
        <w:rPr>
          <w:rFonts w:hint="eastAsia" w:ascii="宋体" w:hAnsi="宋体" w:eastAsia="宋体" w:cs="宋体"/>
          <w:snapToGrid w:val="0"/>
          <w:color w:val="auto"/>
          <w:kern w:val="0"/>
          <w:sz w:val="24"/>
          <w:szCs w:val="24"/>
          <w:highlight w:val="none"/>
          <w:lang w:val="en-US" w:eastAsia="zh-CN"/>
        </w:rPr>
        <w:t>担保</w:t>
      </w:r>
      <w:r>
        <w:rPr>
          <w:rFonts w:hint="eastAsia" w:ascii="宋体" w:hAnsi="宋体" w:eastAsia="宋体" w:cs="宋体"/>
          <w:snapToGrid w:val="0"/>
          <w:color w:val="auto"/>
          <w:kern w:val="0"/>
          <w:sz w:val="24"/>
          <w:szCs w:val="24"/>
          <w:highlight w:val="none"/>
        </w:rPr>
        <w:t>金额不低于乙方第一次提交的履约</w:t>
      </w:r>
      <w:r>
        <w:rPr>
          <w:rFonts w:hint="eastAsia" w:ascii="宋体" w:hAnsi="宋体" w:eastAsia="宋体" w:cs="宋体"/>
          <w:snapToGrid w:val="0"/>
          <w:color w:val="auto"/>
          <w:kern w:val="0"/>
          <w:sz w:val="24"/>
          <w:szCs w:val="24"/>
          <w:highlight w:val="none"/>
          <w:lang w:val="en-US" w:eastAsia="zh-CN"/>
        </w:rPr>
        <w:t>担保</w:t>
      </w:r>
      <w:r>
        <w:rPr>
          <w:rFonts w:hint="eastAsia" w:ascii="宋体" w:hAnsi="宋体" w:eastAsia="宋体" w:cs="宋体"/>
          <w:snapToGrid w:val="0"/>
          <w:color w:val="auto"/>
          <w:kern w:val="0"/>
          <w:sz w:val="24"/>
          <w:szCs w:val="24"/>
          <w:highlight w:val="none"/>
        </w:rPr>
        <w:t>金额。</w:t>
      </w:r>
    </w:p>
    <w:p w14:paraId="568B6021">
      <w:pPr>
        <w:keepNext w:val="0"/>
        <w:keepLines w:val="0"/>
        <w:pageBreakBefore w:val="0"/>
        <w:widowControl w:val="0"/>
        <w:tabs>
          <w:tab w:val="left" w:pos="2340"/>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四</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如乙方不按甲方的要求及时补充提交履约</w:t>
      </w:r>
      <w:r>
        <w:rPr>
          <w:rFonts w:hint="eastAsia" w:ascii="宋体" w:hAnsi="宋体" w:eastAsia="宋体" w:cs="宋体"/>
          <w:snapToGrid w:val="0"/>
          <w:color w:val="auto"/>
          <w:kern w:val="0"/>
          <w:sz w:val="24"/>
          <w:szCs w:val="24"/>
          <w:highlight w:val="none"/>
          <w:lang w:val="en-US" w:eastAsia="zh-CN"/>
        </w:rPr>
        <w:t>担保</w:t>
      </w:r>
      <w:r>
        <w:rPr>
          <w:rFonts w:hint="eastAsia" w:ascii="宋体" w:hAnsi="宋体" w:eastAsia="宋体" w:cs="宋体"/>
          <w:snapToGrid w:val="0"/>
          <w:color w:val="auto"/>
          <w:kern w:val="0"/>
          <w:sz w:val="24"/>
          <w:szCs w:val="24"/>
          <w:highlight w:val="none"/>
        </w:rPr>
        <w:t>，则甲方有权单方面部分解除或解除本合同，该通知在送达乙方时即时生效。乙方应在该通知生效之日起五天内向甲方支付本合同价款20%的违约金，违约金不足以弥补甲方全部损失的，乙方还应予以赔偿。</w:t>
      </w:r>
    </w:p>
    <w:p w14:paraId="3D32E1D9">
      <w:pPr>
        <w:keepNext w:val="0"/>
        <w:keepLines w:val="0"/>
        <w:pageBreakBefore w:val="0"/>
        <w:widowControl w:val="0"/>
        <w:tabs>
          <w:tab w:val="left" w:pos="2340"/>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snapToGrid w:val="0"/>
          <w:color w:val="auto"/>
          <w:spacing w:val="0"/>
          <w:kern w:val="0"/>
          <w:sz w:val="24"/>
          <w:szCs w:val="24"/>
          <w:highlight w:val="none"/>
          <w:lang w:val="zh-CN"/>
        </w:rPr>
      </w:pP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五</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本</w:t>
      </w:r>
      <w:r>
        <w:rPr>
          <w:rFonts w:hint="eastAsia" w:ascii="宋体" w:hAnsi="宋体" w:eastAsia="宋体" w:cs="宋体"/>
          <w:snapToGrid w:val="0"/>
          <w:color w:val="auto"/>
          <w:spacing w:val="0"/>
          <w:kern w:val="0"/>
          <w:sz w:val="24"/>
          <w:szCs w:val="24"/>
          <w:highlight w:val="none"/>
          <w:lang w:val="zh-CN"/>
        </w:rPr>
        <w:t>合同约定项目结算定审后，乙方可以向甲方申请退还履约</w:t>
      </w:r>
      <w:r>
        <w:rPr>
          <w:rFonts w:hint="eastAsia" w:ascii="宋体" w:hAnsi="宋体" w:eastAsia="宋体" w:cs="宋体"/>
          <w:snapToGrid w:val="0"/>
          <w:color w:val="auto"/>
          <w:spacing w:val="0"/>
          <w:kern w:val="0"/>
          <w:sz w:val="24"/>
          <w:szCs w:val="24"/>
          <w:highlight w:val="none"/>
          <w:lang w:val="en-US" w:eastAsia="zh-CN"/>
        </w:rPr>
        <w:t>担保</w:t>
      </w:r>
      <w:r>
        <w:rPr>
          <w:rFonts w:hint="eastAsia" w:ascii="宋体" w:hAnsi="宋体" w:eastAsia="宋体" w:cs="宋体"/>
          <w:snapToGrid w:val="0"/>
          <w:color w:val="auto"/>
          <w:spacing w:val="0"/>
          <w:kern w:val="0"/>
          <w:sz w:val="24"/>
          <w:szCs w:val="24"/>
          <w:highlight w:val="none"/>
          <w:lang w:val="zh-CN"/>
        </w:rPr>
        <w:t>。</w:t>
      </w:r>
    </w:p>
    <w:p w14:paraId="28BC9172">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outlineLvl w:val="0"/>
        <w:rPr>
          <w:rFonts w:hint="eastAsia" w:ascii="宋体" w:hAnsi="宋体" w:eastAsia="宋体" w:cs="宋体"/>
          <w:color w:val="auto"/>
          <w:kern w:val="0"/>
          <w:sz w:val="24"/>
          <w:szCs w:val="24"/>
          <w:highlight w:val="none"/>
          <w:u w:val="single"/>
        </w:rPr>
      </w:pPr>
      <w:bookmarkStart w:id="77" w:name="_Toc27422"/>
      <w:bookmarkStart w:id="78" w:name="_Toc16646"/>
      <w:bookmarkStart w:id="79" w:name="_Toc9194"/>
      <w:bookmarkStart w:id="80" w:name="_Toc28848"/>
      <w:bookmarkStart w:id="81" w:name="_Toc4246"/>
      <w:r>
        <w:rPr>
          <w:rFonts w:hint="eastAsia" w:ascii="宋体" w:hAnsi="宋体" w:eastAsia="宋体" w:cs="宋体"/>
          <w:b/>
          <w:color w:val="auto"/>
          <w:kern w:val="0"/>
          <w:sz w:val="24"/>
          <w:szCs w:val="24"/>
          <w:highlight w:val="none"/>
        </w:rPr>
        <w:t>十一</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违约责任</w:t>
      </w:r>
      <w:bookmarkEnd w:id="77"/>
      <w:bookmarkEnd w:id="78"/>
      <w:bookmarkEnd w:id="79"/>
      <w:bookmarkEnd w:id="80"/>
      <w:bookmarkEnd w:id="81"/>
    </w:p>
    <w:p w14:paraId="12EDC7BA">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（一）</w:t>
      </w:r>
      <w:r>
        <w:rPr>
          <w:rFonts w:hint="eastAsia" w:ascii="宋体" w:hAnsi="宋体" w:eastAsia="宋体" w:cs="宋体"/>
          <w:snapToGrid w:val="0"/>
          <w:color w:val="auto"/>
          <w:kern w:val="0"/>
          <w:sz w:val="24"/>
          <w:szCs w:val="24"/>
          <w:highlight w:val="none"/>
        </w:rPr>
        <w:t>除非法律、法规规定或本合同约定，任何一方不得擅自解除合同。擅自解除合同属违约行为。于此情形下，违约方应向守约方支付本合同</w:t>
      </w:r>
      <w:r>
        <w:rPr>
          <w:rFonts w:hint="eastAsia" w:ascii="宋体" w:hAnsi="宋体" w:eastAsia="宋体" w:cs="宋体"/>
          <w:snapToGrid w:val="0"/>
          <w:color w:val="auto"/>
          <w:kern w:val="0"/>
          <w:sz w:val="24"/>
          <w:szCs w:val="24"/>
          <w:highlight w:val="none"/>
          <w:lang w:val="en-US" w:eastAsia="zh-CN"/>
        </w:rPr>
        <w:t>暂定总价</w:t>
      </w:r>
      <w:r>
        <w:rPr>
          <w:rFonts w:hint="eastAsia" w:ascii="宋体" w:hAnsi="宋体" w:eastAsia="宋体" w:cs="宋体"/>
          <w:snapToGrid w:val="0"/>
          <w:color w:val="auto"/>
          <w:kern w:val="0"/>
          <w:sz w:val="24"/>
          <w:szCs w:val="24"/>
          <w:highlight w:val="none"/>
        </w:rPr>
        <w:t>的20%作为违约金。若违约一方为乙方，乙方除支付违约金外，还</w:t>
      </w:r>
      <w:r>
        <w:rPr>
          <w:rFonts w:hint="eastAsia" w:ascii="宋体" w:hAnsi="宋体" w:eastAsia="宋体" w:cs="宋体"/>
          <w:snapToGrid w:val="0"/>
          <w:color w:val="auto"/>
          <w:kern w:val="0"/>
          <w:sz w:val="24"/>
          <w:szCs w:val="24"/>
          <w:highlight w:val="none"/>
          <w:lang w:val="en-US" w:eastAsia="zh-CN"/>
        </w:rPr>
        <w:t>须</w:t>
      </w:r>
      <w:r>
        <w:rPr>
          <w:rFonts w:hint="eastAsia" w:ascii="宋体" w:hAnsi="宋体" w:eastAsia="宋体" w:cs="宋体"/>
          <w:snapToGrid w:val="0"/>
          <w:color w:val="auto"/>
          <w:kern w:val="0"/>
          <w:sz w:val="24"/>
          <w:szCs w:val="24"/>
          <w:highlight w:val="none"/>
        </w:rPr>
        <w:t>退还已收取的款项。</w:t>
      </w:r>
    </w:p>
    <w:p w14:paraId="141CCB85">
      <w:pPr>
        <w:pStyle w:val="49"/>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both"/>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二</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color w:val="auto"/>
          <w:kern w:val="0"/>
          <w:sz w:val="24"/>
          <w:szCs w:val="24"/>
          <w:highlight w:val="none"/>
        </w:rPr>
        <w:t>乙方违反本</w:t>
      </w:r>
      <w:r>
        <w:rPr>
          <w:rFonts w:hint="eastAsia" w:ascii="宋体" w:hAnsi="宋体" w:eastAsia="宋体" w:cs="宋体"/>
          <w:color w:val="auto"/>
          <w:kern w:val="0"/>
          <w:sz w:val="24"/>
          <w:szCs w:val="24"/>
          <w:highlight w:val="none"/>
          <w:lang w:val="en-US" w:eastAsia="zh-CN"/>
        </w:rPr>
        <w:t>合同约定的各项工作进度要求，或违反经甲方审定的检测、监测方案中规定的工作进度要求</w:t>
      </w:r>
      <w:r>
        <w:rPr>
          <w:rFonts w:hint="eastAsia" w:ascii="宋体" w:hAnsi="宋体" w:eastAsia="宋体" w:cs="宋体"/>
          <w:color w:val="auto"/>
          <w:kern w:val="0"/>
          <w:sz w:val="24"/>
          <w:szCs w:val="24"/>
          <w:highlight w:val="none"/>
        </w:rPr>
        <w:t>，每逾期一天按</w:t>
      </w:r>
      <w:r>
        <w:rPr>
          <w:rFonts w:hint="eastAsia" w:ascii="宋体" w:hAnsi="宋体" w:eastAsia="宋体" w:cs="宋体"/>
          <w:color w:val="auto"/>
          <w:kern w:val="0"/>
          <w:sz w:val="24"/>
          <w:szCs w:val="24"/>
          <w:highlight w:val="none"/>
          <w:lang w:val="en-US" w:eastAsia="zh-CN"/>
        </w:rPr>
        <w:t>本</w:t>
      </w:r>
      <w:r>
        <w:rPr>
          <w:rFonts w:hint="eastAsia" w:ascii="宋体" w:hAnsi="宋体" w:eastAsia="宋体" w:cs="宋体"/>
          <w:color w:val="auto"/>
          <w:kern w:val="0"/>
          <w:sz w:val="24"/>
          <w:szCs w:val="24"/>
          <w:highlight w:val="none"/>
        </w:rPr>
        <w:t>合同</w:t>
      </w:r>
      <w:r>
        <w:rPr>
          <w:rFonts w:hint="eastAsia" w:ascii="宋体" w:hAnsi="宋体" w:eastAsia="宋体" w:cs="宋体"/>
          <w:color w:val="auto"/>
          <w:kern w:val="0"/>
          <w:sz w:val="24"/>
          <w:szCs w:val="24"/>
          <w:highlight w:val="none"/>
          <w:lang w:val="en-US" w:eastAsia="zh-CN"/>
        </w:rPr>
        <w:t>暂定</w:t>
      </w:r>
      <w:r>
        <w:rPr>
          <w:rFonts w:hint="eastAsia" w:ascii="宋体" w:hAnsi="宋体" w:eastAsia="宋体" w:cs="宋体"/>
          <w:color w:val="auto"/>
          <w:kern w:val="0"/>
          <w:sz w:val="24"/>
          <w:szCs w:val="24"/>
          <w:highlight w:val="none"/>
        </w:rPr>
        <w:t>总价的</w:t>
      </w:r>
      <w:r>
        <w:rPr>
          <w:rFonts w:hint="eastAsia" w:ascii="宋体" w:hAnsi="宋体" w:eastAsia="宋体" w:cs="宋体"/>
          <w:bCs/>
          <w:snapToGrid w:val="0"/>
          <w:color w:val="auto"/>
          <w:kern w:val="0"/>
          <w:sz w:val="24"/>
          <w:szCs w:val="24"/>
          <w:highlight w:val="none"/>
        </w:rPr>
        <w:t>3‰</w:t>
      </w:r>
      <w:r>
        <w:rPr>
          <w:rFonts w:hint="eastAsia" w:ascii="宋体" w:hAnsi="宋体" w:eastAsia="宋体" w:cs="宋体"/>
          <w:color w:val="auto"/>
          <w:kern w:val="0"/>
          <w:sz w:val="24"/>
          <w:szCs w:val="24"/>
          <w:highlight w:val="none"/>
          <w:lang w:val="en-US" w:eastAsia="zh-CN"/>
        </w:rPr>
        <w:t>向甲方支付违约金</w:t>
      </w:r>
      <w:r>
        <w:rPr>
          <w:rFonts w:hint="eastAsia" w:ascii="宋体" w:hAnsi="宋体" w:eastAsia="宋体" w:cs="宋体"/>
          <w:color w:val="auto"/>
          <w:kern w:val="0"/>
          <w:sz w:val="24"/>
          <w:szCs w:val="24"/>
          <w:highlight w:val="none"/>
        </w:rPr>
        <w:t>。逾期</w:t>
      </w:r>
      <w:r>
        <w:rPr>
          <w:rFonts w:hint="eastAsia" w:ascii="宋体" w:hAnsi="宋体" w:eastAsia="宋体" w:cs="宋体"/>
          <w:color w:val="auto"/>
          <w:kern w:val="0"/>
          <w:sz w:val="24"/>
          <w:szCs w:val="24"/>
          <w:highlight w:val="none"/>
          <w:lang w:val="en-US" w:eastAsia="zh-CN"/>
        </w:rPr>
        <w:t>10个日历天或</w:t>
      </w:r>
      <w:r>
        <w:rPr>
          <w:rFonts w:hint="eastAsia" w:ascii="宋体" w:hAnsi="宋体" w:eastAsia="宋体" w:cs="宋体"/>
          <w:color w:val="auto"/>
          <w:kern w:val="0"/>
          <w:sz w:val="24"/>
          <w:szCs w:val="24"/>
          <w:highlight w:val="none"/>
        </w:rPr>
        <w:t>以上</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rPr>
        <w:t>，甲方有权单方</w:t>
      </w:r>
      <w:r>
        <w:rPr>
          <w:rFonts w:hint="eastAsia" w:ascii="宋体" w:hAnsi="宋体" w:eastAsia="宋体" w:cs="宋体"/>
          <w:color w:val="auto"/>
          <w:kern w:val="0"/>
          <w:sz w:val="24"/>
          <w:szCs w:val="24"/>
          <w:highlight w:val="none"/>
          <w:lang w:val="en-US" w:eastAsia="zh-CN"/>
        </w:rPr>
        <w:t>面</w:t>
      </w:r>
      <w:r>
        <w:rPr>
          <w:rFonts w:hint="eastAsia" w:ascii="宋体" w:hAnsi="宋体" w:eastAsia="宋体" w:cs="宋体"/>
          <w:color w:val="auto"/>
          <w:kern w:val="0"/>
          <w:sz w:val="24"/>
          <w:szCs w:val="24"/>
          <w:highlight w:val="none"/>
        </w:rPr>
        <w:t>解除合同，乙方应按本合同暂定总价的20%支付违约金</w:t>
      </w:r>
      <w:r>
        <w:rPr>
          <w:rFonts w:hint="eastAsia" w:ascii="宋体" w:hAnsi="宋体" w:eastAsia="宋体" w:cs="宋体"/>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若因此造成甲方损失</w:t>
      </w:r>
      <w:r>
        <w:rPr>
          <w:rFonts w:hint="eastAsia" w:ascii="宋体" w:hAnsi="宋体" w:eastAsia="宋体" w:cs="宋体"/>
          <w:snapToGrid w:val="0"/>
          <w:color w:val="auto"/>
          <w:kern w:val="0"/>
          <w:sz w:val="24"/>
          <w:szCs w:val="24"/>
          <w:highlight w:val="none"/>
          <w:lang w:val="en-US" w:eastAsia="zh-CN"/>
        </w:rPr>
        <w:t>的</w:t>
      </w:r>
      <w:r>
        <w:rPr>
          <w:rFonts w:hint="eastAsia" w:ascii="宋体" w:hAnsi="宋体" w:eastAsia="宋体" w:cs="宋体"/>
          <w:snapToGrid w:val="0"/>
          <w:color w:val="auto"/>
          <w:kern w:val="0"/>
          <w:sz w:val="24"/>
          <w:szCs w:val="24"/>
          <w:highlight w:val="none"/>
        </w:rPr>
        <w:t>，乙方还须赔偿</w:t>
      </w:r>
      <w:r>
        <w:rPr>
          <w:rFonts w:hint="eastAsia" w:ascii="宋体" w:hAnsi="宋体" w:eastAsia="宋体" w:cs="宋体"/>
          <w:snapToGrid w:val="0"/>
          <w:color w:val="auto"/>
          <w:kern w:val="0"/>
          <w:sz w:val="24"/>
          <w:szCs w:val="24"/>
          <w:highlight w:val="none"/>
          <w:lang w:val="en-US" w:eastAsia="zh-CN"/>
        </w:rPr>
        <w:t>甲方所有</w:t>
      </w:r>
      <w:r>
        <w:rPr>
          <w:rFonts w:hint="eastAsia" w:ascii="宋体" w:hAnsi="宋体" w:eastAsia="宋体" w:cs="宋体"/>
          <w:snapToGrid w:val="0"/>
          <w:color w:val="auto"/>
          <w:kern w:val="0"/>
          <w:sz w:val="24"/>
          <w:szCs w:val="24"/>
          <w:highlight w:val="none"/>
        </w:rPr>
        <w:t>损失。</w:t>
      </w:r>
    </w:p>
    <w:p w14:paraId="4CE734B3">
      <w:pPr>
        <w:pStyle w:val="49"/>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both"/>
        <w:textAlignment w:val="auto"/>
        <w:outlineLvl w:val="9"/>
        <w:rPr>
          <w:rFonts w:hint="eastAsia" w:ascii="宋体" w:hAnsi="宋体" w:eastAsia="宋体" w:cs="宋体"/>
          <w:bCs/>
          <w:snapToGrid w:val="0"/>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rPr>
        <w:t>）乙方提供的检测方案、检测报告、监测方案、监测报告出现错误或不符合国家技术规范、标准及本合同的有关要求，应无偿返工或者采取补救措施予以完善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或免费重新检测或监测</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否则，</w:t>
      </w:r>
      <w:r>
        <w:rPr>
          <w:rFonts w:hint="eastAsia" w:ascii="宋体" w:hAnsi="宋体" w:eastAsia="宋体" w:cs="宋体"/>
          <w:color w:val="auto"/>
          <w:kern w:val="0"/>
          <w:sz w:val="24"/>
          <w:szCs w:val="24"/>
          <w:highlight w:val="none"/>
        </w:rPr>
        <w:t>甲方有权不予结算</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且乙方须向甲方支付</w:t>
      </w:r>
      <w:r>
        <w:rPr>
          <w:rFonts w:hint="eastAsia" w:ascii="宋体" w:hAnsi="宋体" w:eastAsia="宋体" w:cs="宋体"/>
          <w:color w:val="auto"/>
          <w:kern w:val="0"/>
          <w:sz w:val="24"/>
          <w:szCs w:val="24"/>
          <w:highlight w:val="none"/>
        </w:rPr>
        <w:t>本合同暂定总价20%</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rPr>
        <w:t>违约金</w:t>
      </w:r>
      <w:r>
        <w:rPr>
          <w:rFonts w:hint="eastAsia" w:ascii="宋体" w:hAnsi="宋体" w:eastAsia="宋体" w:cs="宋体"/>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若因此造成甲方损失</w:t>
      </w:r>
      <w:r>
        <w:rPr>
          <w:rFonts w:hint="eastAsia" w:ascii="宋体" w:hAnsi="宋体" w:eastAsia="宋体" w:cs="宋体"/>
          <w:snapToGrid w:val="0"/>
          <w:color w:val="auto"/>
          <w:kern w:val="0"/>
          <w:sz w:val="24"/>
          <w:szCs w:val="24"/>
          <w:highlight w:val="none"/>
          <w:lang w:val="en-US" w:eastAsia="zh-CN"/>
        </w:rPr>
        <w:t>的</w:t>
      </w:r>
      <w:r>
        <w:rPr>
          <w:rFonts w:hint="eastAsia" w:ascii="宋体" w:hAnsi="宋体" w:eastAsia="宋体" w:cs="宋体"/>
          <w:snapToGrid w:val="0"/>
          <w:color w:val="auto"/>
          <w:kern w:val="0"/>
          <w:sz w:val="24"/>
          <w:szCs w:val="24"/>
          <w:highlight w:val="none"/>
        </w:rPr>
        <w:t>，乙方还须赔偿</w:t>
      </w:r>
      <w:r>
        <w:rPr>
          <w:rFonts w:hint="eastAsia" w:ascii="宋体" w:hAnsi="宋体" w:eastAsia="宋体" w:cs="宋体"/>
          <w:snapToGrid w:val="0"/>
          <w:color w:val="auto"/>
          <w:kern w:val="0"/>
          <w:sz w:val="24"/>
          <w:szCs w:val="24"/>
          <w:highlight w:val="none"/>
          <w:lang w:val="en-US" w:eastAsia="zh-CN"/>
        </w:rPr>
        <w:t>甲方所有</w:t>
      </w:r>
      <w:r>
        <w:rPr>
          <w:rFonts w:hint="eastAsia" w:ascii="宋体" w:hAnsi="宋体" w:eastAsia="宋体" w:cs="宋体"/>
          <w:snapToGrid w:val="0"/>
          <w:color w:val="auto"/>
          <w:kern w:val="0"/>
          <w:sz w:val="24"/>
          <w:szCs w:val="24"/>
          <w:highlight w:val="none"/>
        </w:rPr>
        <w:t>损失。</w:t>
      </w:r>
      <w:r>
        <w:rPr>
          <w:rFonts w:hint="eastAsia" w:ascii="宋体" w:hAnsi="宋体" w:eastAsia="宋体" w:cs="宋体"/>
          <w:color w:val="auto"/>
          <w:kern w:val="0"/>
          <w:sz w:val="24"/>
          <w:szCs w:val="24"/>
          <w:highlight w:val="none"/>
        </w:rPr>
        <w:t>如</w:t>
      </w:r>
      <w:r>
        <w:rPr>
          <w:rFonts w:hint="eastAsia" w:ascii="宋体" w:hAnsi="宋体" w:eastAsia="宋体" w:cs="宋体"/>
          <w:color w:val="auto"/>
          <w:kern w:val="0"/>
          <w:sz w:val="24"/>
          <w:szCs w:val="24"/>
          <w:highlight w:val="none"/>
          <w:lang w:val="en-US" w:eastAsia="zh-CN"/>
        </w:rPr>
        <w:t>乙方拒不</w:t>
      </w:r>
      <w:r>
        <w:rPr>
          <w:rFonts w:hint="eastAsia" w:ascii="宋体" w:hAnsi="宋体" w:eastAsia="宋体" w:cs="宋体"/>
          <w:color w:val="auto"/>
          <w:kern w:val="0"/>
          <w:sz w:val="24"/>
          <w:szCs w:val="24"/>
          <w:highlight w:val="none"/>
        </w:rPr>
        <w:t>改正或改正后仍无法满足合同约定要求的，甲方有权解除合同</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rPr>
        <w:t>造成服务期限延长的，按本条第</w:t>
      </w:r>
      <w:r>
        <w:rPr>
          <w:rFonts w:hint="eastAsia" w:ascii="宋体" w:hAnsi="宋体" w:eastAsia="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lang w:val="en-US" w:eastAsia="zh-CN"/>
        </w:rPr>
        <w:t>二</w:t>
      </w:r>
      <w:r>
        <w:rPr>
          <w:rFonts w:hint="eastAsia" w:ascii="宋体" w:hAnsi="宋体" w:eastAsia="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rPr>
        <w:t>款的约定处理。</w:t>
      </w:r>
    </w:p>
    <w:p w14:paraId="7FA989C8">
      <w:pPr>
        <w:pStyle w:val="49"/>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both"/>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lang w:val="en-US" w:eastAsia="zh-CN"/>
        </w:rPr>
        <w:t>四</w:t>
      </w:r>
      <w:r>
        <w:rPr>
          <w:rFonts w:hint="eastAsia" w:ascii="宋体" w:hAnsi="宋体" w:eastAsia="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rPr>
        <w:t>乙方在检测</w:t>
      </w:r>
      <w:r>
        <w:rPr>
          <w:rFonts w:hint="eastAsia" w:ascii="宋体" w:hAnsi="宋体" w:eastAsia="宋体" w:cs="宋体"/>
          <w:bCs/>
          <w:snapToGrid w:val="0"/>
          <w:color w:val="auto"/>
          <w:kern w:val="0"/>
          <w:position w:val="0"/>
          <w:sz w:val="24"/>
          <w:szCs w:val="24"/>
          <w:highlight w:val="none"/>
        </w:rPr>
        <w:t>、监测</w:t>
      </w:r>
      <w:r>
        <w:rPr>
          <w:rFonts w:hint="eastAsia" w:ascii="宋体" w:hAnsi="宋体" w:eastAsia="宋体" w:cs="宋体"/>
          <w:bCs/>
          <w:snapToGrid w:val="0"/>
          <w:color w:val="auto"/>
          <w:kern w:val="0"/>
          <w:sz w:val="24"/>
          <w:szCs w:val="24"/>
          <w:highlight w:val="none"/>
        </w:rPr>
        <w:t>过程中，未经甲方同意不得停工，若</w:t>
      </w:r>
      <w:r>
        <w:rPr>
          <w:rFonts w:hint="eastAsia" w:ascii="宋体" w:hAnsi="宋体" w:eastAsia="宋体" w:cs="宋体"/>
          <w:bCs/>
          <w:snapToGrid w:val="0"/>
          <w:color w:val="auto"/>
          <w:kern w:val="0"/>
          <w:sz w:val="24"/>
          <w:szCs w:val="24"/>
          <w:highlight w:val="none"/>
          <w:lang w:val="en-US" w:eastAsia="zh-CN"/>
        </w:rPr>
        <w:t>擅自</w:t>
      </w:r>
      <w:r>
        <w:rPr>
          <w:rFonts w:hint="eastAsia" w:ascii="宋体" w:hAnsi="宋体" w:eastAsia="宋体" w:cs="宋体"/>
          <w:bCs/>
          <w:snapToGrid w:val="0"/>
          <w:color w:val="auto"/>
          <w:kern w:val="0"/>
          <w:sz w:val="24"/>
          <w:szCs w:val="24"/>
          <w:highlight w:val="none"/>
        </w:rPr>
        <w:t>停工3个</w:t>
      </w:r>
      <w:r>
        <w:rPr>
          <w:rFonts w:hint="eastAsia" w:ascii="宋体" w:hAnsi="宋体" w:eastAsia="宋体" w:cs="宋体"/>
          <w:bCs/>
          <w:snapToGrid w:val="0"/>
          <w:color w:val="auto"/>
          <w:kern w:val="0"/>
          <w:sz w:val="24"/>
          <w:szCs w:val="24"/>
          <w:highlight w:val="none"/>
          <w:lang w:val="en-US" w:eastAsia="zh-CN"/>
        </w:rPr>
        <w:t>日历天</w:t>
      </w:r>
      <w:r>
        <w:rPr>
          <w:rFonts w:hint="eastAsia" w:ascii="宋体" w:hAnsi="宋体" w:eastAsia="宋体" w:cs="宋体"/>
          <w:bCs/>
          <w:snapToGrid w:val="0"/>
          <w:color w:val="auto"/>
          <w:kern w:val="0"/>
          <w:sz w:val="24"/>
          <w:szCs w:val="24"/>
          <w:highlight w:val="none"/>
        </w:rPr>
        <w:t>或以上的，甲方有权单方面解除合同，乙方除应返还甲方已支付的服务报酬，还应</w:t>
      </w:r>
      <w:r>
        <w:rPr>
          <w:rFonts w:hint="eastAsia" w:ascii="宋体" w:hAnsi="宋体" w:eastAsia="宋体" w:cs="宋体"/>
          <w:bCs/>
          <w:snapToGrid w:val="0"/>
          <w:color w:val="auto"/>
          <w:kern w:val="0"/>
          <w:sz w:val="24"/>
          <w:szCs w:val="24"/>
          <w:highlight w:val="none"/>
          <w:lang w:val="en-US" w:eastAsia="zh-CN"/>
        </w:rPr>
        <w:t>向甲方支付</w:t>
      </w:r>
      <w:r>
        <w:rPr>
          <w:rFonts w:hint="eastAsia" w:ascii="宋体" w:hAnsi="宋体" w:eastAsia="宋体" w:cs="宋体"/>
          <w:bCs/>
          <w:snapToGrid w:val="0"/>
          <w:color w:val="auto"/>
          <w:kern w:val="0"/>
          <w:sz w:val="24"/>
          <w:szCs w:val="24"/>
          <w:highlight w:val="none"/>
        </w:rPr>
        <w:t>本合同</w:t>
      </w:r>
      <w:r>
        <w:rPr>
          <w:rFonts w:hint="eastAsia" w:ascii="宋体" w:hAnsi="宋体" w:eastAsia="宋体" w:cs="宋体"/>
          <w:bCs/>
          <w:snapToGrid w:val="0"/>
          <w:color w:val="auto"/>
          <w:kern w:val="0"/>
          <w:sz w:val="24"/>
          <w:szCs w:val="24"/>
          <w:highlight w:val="none"/>
          <w:lang w:val="en-US" w:eastAsia="zh-CN"/>
        </w:rPr>
        <w:t>暂定总价</w:t>
      </w:r>
      <w:r>
        <w:rPr>
          <w:rFonts w:hint="eastAsia" w:ascii="宋体" w:hAnsi="宋体" w:eastAsia="宋体" w:cs="宋体"/>
          <w:bCs/>
          <w:snapToGrid w:val="0"/>
          <w:color w:val="auto"/>
          <w:kern w:val="0"/>
          <w:sz w:val="24"/>
          <w:szCs w:val="24"/>
          <w:highlight w:val="none"/>
        </w:rPr>
        <w:t>20%</w:t>
      </w:r>
      <w:r>
        <w:rPr>
          <w:rFonts w:hint="eastAsia" w:ascii="宋体" w:hAnsi="宋体" w:eastAsia="宋体" w:cs="宋体"/>
          <w:bCs/>
          <w:snapToGrid w:val="0"/>
          <w:color w:val="auto"/>
          <w:kern w:val="0"/>
          <w:sz w:val="24"/>
          <w:szCs w:val="24"/>
          <w:highlight w:val="none"/>
          <w:lang w:val="en-US" w:eastAsia="zh-CN"/>
        </w:rPr>
        <w:t>的</w:t>
      </w:r>
      <w:r>
        <w:rPr>
          <w:rFonts w:hint="eastAsia" w:ascii="宋体" w:hAnsi="宋体" w:eastAsia="宋体" w:cs="宋体"/>
          <w:bCs/>
          <w:snapToGrid w:val="0"/>
          <w:color w:val="auto"/>
          <w:kern w:val="0"/>
          <w:sz w:val="24"/>
          <w:szCs w:val="24"/>
          <w:highlight w:val="none"/>
        </w:rPr>
        <w:t>违约金。</w:t>
      </w:r>
      <w:r>
        <w:rPr>
          <w:rFonts w:hint="eastAsia" w:ascii="宋体" w:hAnsi="宋体" w:eastAsia="宋体" w:cs="宋体"/>
          <w:snapToGrid w:val="0"/>
          <w:color w:val="auto"/>
          <w:kern w:val="0"/>
          <w:sz w:val="24"/>
          <w:szCs w:val="24"/>
          <w:highlight w:val="none"/>
        </w:rPr>
        <w:t>若因此造成甲方损失</w:t>
      </w:r>
      <w:r>
        <w:rPr>
          <w:rFonts w:hint="eastAsia" w:ascii="宋体" w:hAnsi="宋体" w:eastAsia="宋体" w:cs="宋体"/>
          <w:snapToGrid w:val="0"/>
          <w:color w:val="auto"/>
          <w:kern w:val="0"/>
          <w:sz w:val="24"/>
          <w:szCs w:val="24"/>
          <w:highlight w:val="none"/>
          <w:lang w:val="en-US" w:eastAsia="zh-CN"/>
        </w:rPr>
        <w:t>的</w:t>
      </w:r>
      <w:r>
        <w:rPr>
          <w:rFonts w:hint="eastAsia" w:ascii="宋体" w:hAnsi="宋体" w:eastAsia="宋体" w:cs="宋体"/>
          <w:snapToGrid w:val="0"/>
          <w:color w:val="auto"/>
          <w:kern w:val="0"/>
          <w:sz w:val="24"/>
          <w:szCs w:val="24"/>
          <w:highlight w:val="none"/>
        </w:rPr>
        <w:t>，乙方还须赔偿</w:t>
      </w:r>
      <w:r>
        <w:rPr>
          <w:rFonts w:hint="eastAsia" w:ascii="宋体" w:hAnsi="宋体" w:eastAsia="宋体" w:cs="宋体"/>
          <w:snapToGrid w:val="0"/>
          <w:color w:val="auto"/>
          <w:kern w:val="0"/>
          <w:sz w:val="24"/>
          <w:szCs w:val="24"/>
          <w:highlight w:val="none"/>
          <w:lang w:val="en-US" w:eastAsia="zh-CN"/>
        </w:rPr>
        <w:t>甲方所有</w:t>
      </w:r>
      <w:r>
        <w:rPr>
          <w:rFonts w:hint="eastAsia" w:ascii="宋体" w:hAnsi="宋体" w:eastAsia="宋体" w:cs="宋体"/>
          <w:snapToGrid w:val="0"/>
          <w:color w:val="auto"/>
          <w:kern w:val="0"/>
          <w:sz w:val="24"/>
          <w:szCs w:val="24"/>
          <w:highlight w:val="none"/>
        </w:rPr>
        <w:t>损失。</w:t>
      </w:r>
    </w:p>
    <w:p w14:paraId="2C58BED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五</w:t>
      </w:r>
      <w:r>
        <w:rPr>
          <w:rFonts w:hint="eastAsia" w:ascii="宋体" w:hAnsi="宋体" w:eastAsia="宋体" w:cs="宋体"/>
          <w:color w:val="auto"/>
          <w:kern w:val="0"/>
          <w:sz w:val="24"/>
          <w:szCs w:val="24"/>
          <w:highlight w:val="none"/>
        </w:rPr>
        <w:t>）乙方如因违反本合同约定，导致影响项目建设进度和竣工验收的，乙方除赔偿甲方因此造成的损失外，每延误一天按</w:t>
      </w:r>
      <w:r>
        <w:rPr>
          <w:rFonts w:hint="eastAsia" w:ascii="宋体" w:hAnsi="宋体" w:eastAsia="宋体" w:cs="宋体"/>
          <w:color w:val="auto"/>
          <w:kern w:val="0"/>
          <w:sz w:val="24"/>
          <w:szCs w:val="24"/>
          <w:highlight w:val="none"/>
          <w:lang w:val="en-US" w:eastAsia="zh-CN"/>
        </w:rPr>
        <w:t>本</w:t>
      </w:r>
      <w:r>
        <w:rPr>
          <w:rFonts w:hint="eastAsia" w:ascii="宋体" w:hAnsi="宋体" w:eastAsia="宋体" w:cs="宋体"/>
          <w:color w:val="auto"/>
          <w:kern w:val="0"/>
          <w:sz w:val="24"/>
          <w:szCs w:val="24"/>
          <w:highlight w:val="none"/>
        </w:rPr>
        <w:t>合同暂定总价的</w:t>
      </w:r>
      <w:r>
        <w:rPr>
          <w:rFonts w:hint="eastAsia" w:ascii="宋体" w:hAnsi="宋体" w:eastAsia="宋体" w:cs="宋体"/>
          <w:bCs/>
          <w:snapToGrid w:val="0"/>
          <w:color w:val="auto"/>
          <w:kern w:val="0"/>
          <w:sz w:val="24"/>
          <w:szCs w:val="24"/>
          <w:highlight w:val="none"/>
        </w:rPr>
        <w:t>3‰</w:t>
      </w:r>
      <w:r>
        <w:rPr>
          <w:rFonts w:hint="eastAsia" w:ascii="宋体" w:hAnsi="宋体" w:eastAsia="宋体" w:cs="宋体"/>
          <w:color w:val="auto"/>
          <w:kern w:val="0"/>
          <w:sz w:val="24"/>
          <w:szCs w:val="24"/>
          <w:highlight w:val="none"/>
        </w:rPr>
        <w:t>向甲方支付违约金。</w:t>
      </w:r>
    </w:p>
    <w:p w14:paraId="79BBCF72">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六</w:t>
      </w:r>
      <w:r>
        <w:rPr>
          <w:rFonts w:hint="eastAsia" w:ascii="宋体" w:hAnsi="宋体" w:eastAsia="宋体" w:cs="宋体"/>
          <w:color w:val="auto"/>
          <w:kern w:val="0"/>
          <w:sz w:val="24"/>
          <w:szCs w:val="24"/>
          <w:highlight w:val="none"/>
        </w:rPr>
        <w:t>）乙方</w:t>
      </w:r>
      <w:r>
        <w:rPr>
          <w:rFonts w:hint="eastAsia" w:ascii="宋体" w:hAnsi="宋体" w:eastAsia="宋体" w:cs="宋体"/>
          <w:color w:val="auto"/>
          <w:kern w:val="0"/>
          <w:sz w:val="24"/>
          <w:szCs w:val="24"/>
          <w:highlight w:val="none"/>
          <w:lang w:val="en-US" w:eastAsia="zh-CN"/>
        </w:rPr>
        <w:t>因违反保密约定</w:t>
      </w:r>
      <w:r>
        <w:rPr>
          <w:rFonts w:hint="eastAsia" w:ascii="宋体" w:hAnsi="宋体" w:eastAsia="宋体" w:cs="宋体"/>
          <w:color w:val="auto"/>
          <w:kern w:val="0"/>
          <w:sz w:val="24"/>
          <w:szCs w:val="24"/>
          <w:highlight w:val="none"/>
        </w:rPr>
        <w:t>，给甲方造成损失的，乙方</w:t>
      </w:r>
      <w:r>
        <w:rPr>
          <w:rFonts w:hint="eastAsia" w:ascii="宋体" w:hAnsi="宋体" w:eastAsia="宋体" w:cs="宋体"/>
          <w:color w:val="auto"/>
          <w:kern w:val="0"/>
          <w:sz w:val="24"/>
          <w:szCs w:val="24"/>
          <w:highlight w:val="none"/>
          <w:lang w:val="en-US" w:eastAsia="zh-CN"/>
        </w:rPr>
        <w:t>须</w:t>
      </w:r>
      <w:r>
        <w:rPr>
          <w:rFonts w:hint="eastAsia" w:ascii="宋体" w:hAnsi="宋体" w:eastAsia="宋体" w:cs="宋体"/>
          <w:color w:val="auto"/>
          <w:kern w:val="0"/>
          <w:sz w:val="24"/>
          <w:szCs w:val="24"/>
          <w:highlight w:val="none"/>
        </w:rPr>
        <w:t>赔偿甲方</w:t>
      </w:r>
      <w:r>
        <w:rPr>
          <w:rFonts w:hint="eastAsia" w:ascii="宋体" w:hAnsi="宋体" w:eastAsia="宋体" w:cs="宋体"/>
          <w:color w:val="auto"/>
          <w:kern w:val="0"/>
          <w:sz w:val="24"/>
          <w:szCs w:val="24"/>
          <w:highlight w:val="none"/>
          <w:lang w:val="en-US" w:eastAsia="zh-CN"/>
        </w:rPr>
        <w:t>所有</w:t>
      </w:r>
      <w:r>
        <w:rPr>
          <w:rFonts w:hint="eastAsia" w:ascii="宋体" w:hAnsi="宋体" w:eastAsia="宋体" w:cs="宋体"/>
          <w:color w:val="auto"/>
          <w:kern w:val="0"/>
          <w:sz w:val="24"/>
          <w:szCs w:val="24"/>
          <w:highlight w:val="none"/>
        </w:rPr>
        <w:t>损失。如因此造成甲方与第三方发生纠纷或损失的，甲方有权追究乙方责任和要求赔偿损失。</w:t>
      </w:r>
    </w:p>
    <w:p w14:paraId="6529FB79">
      <w:pPr>
        <w:pStyle w:val="49"/>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both"/>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七</w:t>
      </w:r>
      <w:r>
        <w:rPr>
          <w:rFonts w:hint="eastAsia" w:ascii="宋体" w:hAnsi="宋体" w:eastAsia="宋体" w:cs="宋体"/>
          <w:color w:val="auto"/>
          <w:kern w:val="0"/>
          <w:sz w:val="24"/>
          <w:szCs w:val="24"/>
          <w:highlight w:val="none"/>
        </w:rPr>
        <w:t>）乙方人员对不合格工程出具合格检测报告或结论的，甲方有权单方解除合同，不予支付剩余合同款项，并要求乙方返还甲方已支付的合同款项，</w:t>
      </w:r>
      <w:r>
        <w:rPr>
          <w:rFonts w:hint="eastAsia" w:ascii="宋体" w:hAnsi="宋体" w:eastAsia="宋体" w:cs="宋体"/>
          <w:color w:val="auto"/>
          <w:kern w:val="0"/>
          <w:sz w:val="24"/>
          <w:szCs w:val="24"/>
          <w:highlight w:val="none"/>
          <w:lang w:val="en-US" w:eastAsia="zh-CN"/>
        </w:rPr>
        <w:t>并向甲方支付</w:t>
      </w:r>
      <w:r>
        <w:rPr>
          <w:rFonts w:hint="eastAsia" w:ascii="宋体" w:hAnsi="宋体" w:eastAsia="宋体" w:cs="宋体"/>
          <w:color w:val="auto"/>
          <w:kern w:val="0"/>
          <w:sz w:val="24"/>
          <w:szCs w:val="24"/>
          <w:highlight w:val="none"/>
        </w:rPr>
        <w:t>本合同暂定总价30%的违约金</w:t>
      </w:r>
      <w:r>
        <w:rPr>
          <w:rFonts w:hint="eastAsia" w:ascii="宋体" w:hAnsi="宋体" w:eastAsia="宋体" w:cs="宋体"/>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若因此造成甲方损失</w:t>
      </w:r>
      <w:r>
        <w:rPr>
          <w:rFonts w:hint="eastAsia" w:ascii="宋体" w:hAnsi="宋体" w:eastAsia="宋体" w:cs="宋体"/>
          <w:snapToGrid w:val="0"/>
          <w:color w:val="auto"/>
          <w:kern w:val="0"/>
          <w:sz w:val="24"/>
          <w:szCs w:val="24"/>
          <w:highlight w:val="none"/>
          <w:lang w:val="en-US" w:eastAsia="zh-CN"/>
        </w:rPr>
        <w:t>的</w:t>
      </w:r>
      <w:r>
        <w:rPr>
          <w:rFonts w:hint="eastAsia" w:ascii="宋体" w:hAnsi="宋体" w:eastAsia="宋体" w:cs="宋体"/>
          <w:snapToGrid w:val="0"/>
          <w:color w:val="auto"/>
          <w:kern w:val="0"/>
          <w:sz w:val="24"/>
          <w:szCs w:val="24"/>
          <w:highlight w:val="none"/>
        </w:rPr>
        <w:t>，乙方还须赔偿</w:t>
      </w:r>
      <w:r>
        <w:rPr>
          <w:rFonts w:hint="eastAsia" w:ascii="宋体" w:hAnsi="宋体" w:eastAsia="宋体" w:cs="宋体"/>
          <w:snapToGrid w:val="0"/>
          <w:color w:val="auto"/>
          <w:kern w:val="0"/>
          <w:sz w:val="24"/>
          <w:szCs w:val="24"/>
          <w:highlight w:val="none"/>
          <w:lang w:val="en-US" w:eastAsia="zh-CN"/>
        </w:rPr>
        <w:t>甲方所有</w:t>
      </w:r>
      <w:r>
        <w:rPr>
          <w:rFonts w:hint="eastAsia" w:ascii="宋体" w:hAnsi="宋体" w:eastAsia="宋体" w:cs="宋体"/>
          <w:snapToGrid w:val="0"/>
          <w:color w:val="auto"/>
          <w:kern w:val="0"/>
          <w:sz w:val="24"/>
          <w:szCs w:val="24"/>
          <w:highlight w:val="none"/>
        </w:rPr>
        <w:t>损失。</w:t>
      </w:r>
    </w:p>
    <w:p w14:paraId="11E89EB2">
      <w:pPr>
        <w:pStyle w:val="49"/>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both"/>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lang w:val="en-US" w:eastAsia="zh-CN"/>
        </w:rPr>
        <w:t>八</w:t>
      </w:r>
      <w:r>
        <w:rPr>
          <w:rFonts w:hint="eastAsia" w:ascii="宋体" w:hAnsi="宋体" w:eastAsia="宋体" w:cs="宋体"/>
          <w:bCs/>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乙方</w:t>
      </w:r>
      <w:r>
        <w:rPr>
          <w:rFonts w:hint="eastAsia" w:ascii="宋体" w:hAnsi="宋体" w:eastAsia="宋体" w:cs="宋体"/>
          <w:snapToGrid w:val="0"/>
          <w:color w:val="auto"/>
          <w:kern w:val="0"/>
          <w:sz w:val="24"/>
          <w:szCs w:val="24"/>
          <w:highlight w:val="none"/>
          <w:lang w:val="en-US" w:eastAsia="zh-CN"/>
        </w:rPr>
        <w:t>未经甲方批准</w:t>
      </w:r>
      <w:r>
        <w:rPr>
          <w:rFonts w:hint="eastAsia" w:ascii="宋体" w:hAnsi="宋体" w:eastAsia="宋体" w:cs="宋体"/>
          <w:snapToGrid w:val="0"/>
          <w:color w:val="auto"/>
          <w:kern w:val="0"/>
          <w:sz w:val="24"/>
          <w:szCs w:val="24"/>
          <w:highlight w:val="none"/>
        </w:rPr>
        <w:t>擅自分包或者转包项目的，甲方有权单方部分解除合同或全部解除合同，</w:t>
      </w:r>
      <w:r>
        <w:rPr>
          <w:rFonts w:hint="eastAsia" w:ascii="宋体" w:hAnsi="宋体" w:eastAsia="宋体" w:cs="宋体"/>
          <w:snapToGrid w:val="0"/>
          <w:color w:val="auto"/>
          <w:kern w:val="0"/>
          <w:sz w:val="24"/>
          <w:szCs w:val="24"/>
          <w:highlight w:val="none"/>
          <w:lang w:val="en-US" w:eastAsia="zh-CN"/>
        </w:rPr>
        <w:t>乙方须向甲方支付</w:t>
      </w:r>
      <w:r>
        <w:rPr>
          <w:rFonts w:hint="eastAsia" w:ascii="宋体" w:hAnsi="宋体" w:eastAsia="宋体" w:cs="宋体"/>
          <w:snapToGrid w:val="0"/>
          <w:color w:val="auto"/>
          <w:kern w:val="0"/>
          <w:sz w:val="24"/>
          <w:szCs w:val="24"/>
          <w:highlight w:val="none"/>
        </w:rPr>
        <w:t>本合同</w:t>
      </w:r>
      <w:r>
        <w:rPr>
          <w:rFonts w:hint="eastAsia" w:ascii="宋体" w:hAnsi="宋体" w:eastAsia="宋体" w:cs="宋体"/>
          <w:snapToGrid w:val="0"/>
          <w:color w:val="auto"/>
          <w:kern w:val="0"/>
          <w:sz w:val="24"/>
          <w:szCs w:val="24"/>
          <w:highlight w:val="none"/>
          <w:lang w:val="en-US" w:eastAsia="zh-CN"/>
        </w:rPr>
        <w:t>暂定总价</w:t>
      </w:r>
      <w:r>
        <w:rPr>
          <w:rFonts w:hint="eastAsia" w:ascii="宋体" w:hAnsi="宋体" w:eastAsia="宋体" w:cs="宋体"/>
          <w:snapToGrid w:val="0"/>
          <w:color w:val="auto"/>
          <w:kern w:val="0"/>
          <w:sz w:val="24"/>
          <w:szCs w:val="24"/>
          <w:highlight w:val="none"/>
        </w:rPr>
        <w:t>20%的违约金</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若因此造成甲方损失</w:t>
      </w:r>
      <w:r>
        <w:rPr>
          <w:rFonts w:hint="eastAsia" w:ascii="宋体" w:hAnsi="宋体" w:eastAsia="宋体" w:cs="宋体"/>
          <w:snapToGrid w:val="0"/>
          <w:color w:val="auto"/>
          <w:kern w:val="0"/>
          <w:sz w:val="24"/>
          <w:szCs w:val="24"/>
          <w:highlight w:val="none"/>
          <w:lang w:val="en-US" w:eastAsia="zh-CN"/>
        </w:rPr>
        <w:t>的</w:t>
      </w:r>
      <w:r>
        <w:rPr>
          <w:rFonts w:hint="eastAsia" w:ascii="宋体" w:hAnsi="宋体" w:eastAsia="宋体" w:cs="宋体"/>
          <w:snapToGrid w:val="0"/>
          <w:color w:val="auto"/>
          <w:kern w:val="0"/>
          <w:sz w:val="24"/>
          <w:szCs w:val="24"/>
          <w:highlight w:val="none"/>
        </w:rPr>
        <w:t>，乙方还须赔偿</w:t>
      </w:r>
      <w:r>
        <w:rPr>
          <w:rFonts w:hint="eastAsia" w:ascii="宋体" w:hAnsi="宋体" w:eastAsia="宋体" w:cs="宋体"/>
          <w:snapToGrid w:val="0"/>
          <w:color w:val="auto"/>
          <w:kern w:val="0"/>
          <w:sz w:val="24"/>
          <w:szCs w:val="24"/>
          <w:highlight w:val="none"/>
          <w:lang w:val="en-US" w:eastAsia="zh-CN"/>
        </w:rPr>
        <w:t>甲方所有</w:t>
      </w:r>
      <w:r>
        <w:rPr>
          <w:rFonts w:hint="eastAsia" w:ascii="宋体" w:hAnsi="宋体" w:eastAsia="宋体" w:cs="宋体"/>
          <w:snapToGrid w:val="0"/>
          <w:color w:val="auto"/>
          <w:kern w:val="0"/>
          <w:sz w:val="24"/>
          <w:szCs w:val="24"/>
          <w:highlight w:val="none"/>
        </w:rPr>
        <w:t>损失。</w:t>
      </w:r>
    </w:p>
    <w:p w14:paraId="707C9BFB">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九</w:t>
      </w:r>
      <w:r>
        <w:rPr>
          <w:rFonts w:hint="eastAsia" w:ascii="宋体" w:hAnsi="宋体" w:eastAsia="宋体" w:cs="宋体"/>
          <w:color w:val="auto"/>
          <w:kern w:val="0"/>
          <w:sz w:val="24"/>
          <w:szCs w:val="24"/>
          <w:highlight w:val="none"/>
        </w:rPr>
        <w:t>）乙方在服务期内如被主管部门取消资质、被降低资质等级或其他原因致使乙方不再符合本项目资质的要求时，甲方有权终止服务合同，乙方</w:t>
      </w:r>
      <w:r>
        <w:rPr>
          <w:rFonts w:hint="eastAsia" w:ascii="宋体" w:hAnsi="宋体" w:eastAsia="宋体" w:cs="宋体"/>
          <w:color w:val="auto"/>
          <w:kern w:val="0"/>
          <w:sz w:val="24"/>
          <w:szCs w:val="24"/>
          <w:highlight w:val="none"/>
          <w:lang w:val="en-US" w:eastAsia="zh-CN"/>
        </w:rPr>
        <w:t>须向甲方支付</w:t>
      </w:r>
      <w:r>
        <w:rPr>
          <w:rFonts w:hint="eastAsia" w:ascii="宋体" w:hAnsi="宋体" w:eastAsia="宋体" w:cs="宋体"/>
          <w:snapToGrid w:val="0"/>
          <w:color w:val="auto"/>
          <w:kern w:val="0"/>
          <w:sz w:val="24"/>
          <w:szCs w:val="24"/>
          <w:highlight w:val="none"/>
        </w:rPr>
        <w:t>本合同</w:t>
      </w:r>
      <w:r>
        <w:rPr>
          <w:rFonts w:hint="eastAsia" w:ascii="宋体" w:hAnsi="宋体" w:eastAsia="宋体" w:cs="宋体"/>
          <w:snapToGrid w:val="0"/>
          <w:color w:val="auto"/>
          <w:kern w:val="0"/>
          <w:sz w:val="24"/>
          <w:szCs w:val="24"/>
          <w:highlight w:val="none"/>
          <w:lang w:val="en-US" w:eastAsia="zh-CN"/>
        </w:rPr>
        <w:t>暂定总价</w:t>
      </w:r>
      <w:r>
        <w:rPr>
          <w:rFonts w:hint="eastAsia" w:ascii="宋体" w:hAnsi="宋体" w:eastAsia="宋体" w:cs="宋体"/>
          <w:snapToGrid w:val="0"/>
          <w:color w:val="auto"/>
          <w:kern w:val="0"/>
          <w:sz w:val="24"/>
          <w:szCs w:val="24"/>
          <w:highlight w:val="none"/>
        </w:rPr>
        <w:t>20%的违约金</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若因此造成甲方损失</w:t>
      </w:r>
      <w:r>
        <w:rPr>
          <w:rFonts w:hint="eastAsia" w:ascii="宋体" w:hAnsi="宋体" w:eastAsia="宋体" w:cs="宋体"/>
          <w:snapToGrid w:val="0"/>
          <w:color w:val="auto"/>
          <w:kern w:val="0"/>
          <w:sz w:val="24"/>
          <w:szCs w:val="24"/>
          <w:highlight w:val="none"/>
          <w:lang w:val="en-US" w:eastAsia="zh-CN"/>
        </w:rPr>
        <w:t>的</w:t>
      </w:r>
      <w:r>
        <w:rPr>
          <w:rFonts w:hint="eastAsia" w:ascii="宋体" w:hAnsi="宋体" w:eastAsia="宋体" w:cs="宋体"/>
          <w:snapToGrid w:val="0"/>
          <w:color w:val="auto"/>
          <w:kern w:val="0"/>
          <w:sz w:val="24"/>
          <w:szCs w:val="24"/>
          <w:highlight w:val="none"/>
        </w:rPr>
        <w:t>，乙方还须赔偿</w:t>
      </w:r>
      <w:r>
        <w:rPr>
          <w:rFonts w:hint="eastAsia" w:ascii="宋体" w:hAnsi="宋体" w:eastAsia="宋体" w:cs="宋体"/>
          <w:snapToGrid w:val="0"/>
          <w:color w:val="auto"/>
          <w:kern w:val="0"/>
          <w:sz w:val="24"/>
          <w:szCs w:val="24"/>
          <w:highlight w:val="none"/>
          <w:lang w:val="en-US" w:eastAsia="zh-CN"/>
        </w:rPr>
        <w:t>甲方所有</w:t>
      </w:r>
      <w:r>
        <w:rPr>
          <w:rFonts w:hint="eastAsia" w:ascii="宋体" w:hAnsi="宋体" w:eastAsia="宋体" w:cs="宋体"/>
          <w:snapToGrid w:val="0"/>
          <w:color w:val="auto"/>
          <w:kern w:val="0"/>
          <w:sz w:val="24"/>
          <w:szCs w:val="24"/>
          <w:highlight w:val="none"/>
        </w:rPr>
        <w:t>损失。</w:t>
      </w:r>
      <w:r>
        <w:rPr>
          <w:rFonts w:hint="eastAsia" w:ascii="宋体" w:hAnsi="宋体" w:eastAsia="宋体" w:cs="宋体"/>
          <w:color w:val="auto"/>
          <w:kern w:val="0"/>
          <w:sz w:val="24"/>
          <w:szCs w:val="24"/>
          <w:highlight w:val="none"/>
        </w:rPr>
        <w:t>同时，甲方有权将本项目另行委托其它检测</w:t>
      </w:r>
      <w:r>
        <w:rPr>
          <w:rFonts w:hint="eastAsia" w:ascii="宋体" w:hAnsi="宋体" w:eastAsia="宋体" w:cs="宋体"/>
          <w:color w:val="auto"/>
          <w:kern w:val="0"/>
          <w:sz w:val="24"/>
          <w:szCs w:val="24"/>
          <w:highlight w:val="none"/>
          <w:lang w:val="en-US" w:eastAsia="zh-CN"/>
        </w:rPr>
        <w:t>监测</w:t>
      </w:r>
      <w:r>
        <w:rPr>
          <w:rFonts w:hint="eastAsia" w:ascii="宋体" w:hAnsi="宋体" w:eastAsia="宋体" w:cs="宋体"/>
          <w:color w:val="auto"/>
          <w:kern w:val="0"/>
          <w:sz w:val="24"/>
          <w:szCs w:val="24"/>
          <w:highlight w:val="none"/>
        </w:rPr>
        <w:t>机构，另行委托所发生的费用由乙方承担。如因乙方资质不符合要求导致编制报告不符合要求，其责任由乙方承担。</w:t>
      </w:r>
    </w:p>
    <w:p w14:paraId="0ACDCD81">
      <w:pPr>
        <w:pStyle w:val="49"/>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both"/>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乙方在服务期内</w:t>
      </w:r>
      <w:r>
        <w:rPr>
          <w:rFonts w:hint="eastAsia" w:ascii="宋体" w:hAnsi="宋体" w:eastAsia="宋体" w:cs="宋体"/>
          <w:bCs/>
          <w:snapToGrid w:val="0"/>
          <w:color w:val="auto"/>
          <w:kern w:val="0"/>
          <w:sz w:val="24"/>
          <w:szCs w:val="24"/>
          <w:highlight w:val="none"/>
        </w:rPr>
        <w:t>因检测</w:t>
      </w:r>
      <w:r>
        <w:rPr>
          <w:rFonts w:hint="eastAsia" w:ascii="宋体" w:hAnsi="宋体" w:eastAsia="宋体" w:cs="宋体"/>
          <w:bCs/>
          <w:snapToGrid w:val="0"/>
          <w:color w:val="auto"/>
          <w:kern w:val="0"/>
          <w:position w:val="0"/>
          <w:sz w:val="24"/>
          <w:szCs w:val="24"/>
          <w:highlight w:val="none"/>
        </w:rPr>
        <w:t>、监测</w:t>
      </w:r>
      <w:r>
        <w:rPr>
          <w:rFonts w:hint="eastAsia" w:ascii="宋体" w:hAnsi="宋体" w:eastAsia="宋体" w:cs="宋体"/>
          <w:bCs/>
          <w:snapToGrid w:val="0"/>
          <w:color w:val="auto"/>
          <w:kern w:val="0"/>
          <w:sz w:val="24"/>
          <w:szCs w:val="24"/>
          <w:highlight w:val="none"/>
        </w:rPr>
        <w:t>工作中存在伪造检测数据、出具虚假检测</w:t>
      </w:r>
      <w:r>
        <w:rPr>
          <w:rFonts w:hint="eastAsia" w:ascii="宋体" w:hAnsi="宋体" w:eastAsia="宋体" w:cs="宋体"/>
          <w:bCs/>
          <w:snapToGrid w:val="0"/>
          <w:color w:val="auto"/>
          <w:kern w:val="0"/>
          <w:position w:val="0"/>
          <w:sz w:val="24"/>
          <w:szCs w:val="24"/>
          <w:highlight w:val="none"/>
        </w:rPr>
        <w:t>、监测</w:t>
      </w:r>
      <w:r>
        <w:rPr>
          <w:rFonts w:hint="eastAsia" w:ascii="宋体" w:hAnsi="宋体" w:eastAsia="宋体" w:cs="宋体"/>
          <w:bCs/>
          <w:snapToGrid w:val="0"/>
          <w:color w:val="auto"/>
          <w:kern w:val="0"/>
          <w:sz w:val="24"/>
          <w:szCs w:val="24"/>
          <w:highlight w:val="none"/>
        </w:rPr>
        <w:t>报告的行为被各级建设行政主管部门或市场监督管理部门行政处罚或通报的，甲方有权单方面解除合同，</w:t>
      </w:r>
      <w:r>
        <w:rPr>
          <w:rFonts w:hint="eastAsia" w:ascii="宋体" w:hAnsi="宋体" w:eastAsia="宋体" w:cs="宋体"/>
          <w:bCs/>
          <w:snapToGrid w:val="0"/>
          <w:color w:val="auto"/>
          <w:kern w:val="0"/>
          <w:sz w:val="24"/>
          <w:szCs w:val="24"/>
          <w:highlight w:val="none"/>
          <w:lang w:val="en-US" w:eastAsia="zh-CN"/>
        </w:rPr>
        <w:t>乙方须向甲方支付</w:t>
      </w:r>
      <w:r>
        <w:rPr>
          <w:rFonts w:hint="eastAsia" w:ascii="宋体" w:hAnsi="宋体" w:eastAsia="宋体" w:cs="宋体"/>
          <w:bCs/>
          <w:snapToGrid w:val="0"/>
          <w:color w:val="auto"/>
          <w:kern w:val="0"/>
          <w:sz w:val="24"/>
          <w:szCs w:val="24"/>
          <w:highlight w:val="none"/>
        </w:rPr>
        <w:t>本合同</w:t>
      </w:r>
      <w:r>
        <w:rPr>
          <w:rFonts w:hint="eastAsia" w:ascii="宋体" w:hAnsi="宋体" w:eastAsia="宋体" w:cs="宋体"/>
          <w:bCs/>
          <w:snapToGrid w:val="0"/>
          <w:color w:val="auto"/>
          <w:kern w:val="0"/>
          <w:sz w:val="24"/>
          <w:szCs w:val="24"/>
          <w:highlight w:val="none"/>
          <w:lang w:val="en-US" w:eastAsia="zh-CN"/>
        </w:rPr>
        <w:t>暂定总价3</w:t>
      </w:r>
      <w:r>
        <w:rPr>
          <w:rFonts w:hint="eastAsia" w:ascii="宋体" w:hAnsi="宋体" w:eastAsia="宋体" w:cs="宋体"/>
          <w:bCs/>
          <w:snapToGrid w:val="0"/>
          <w:color w:val="auto"/>
          <w:kern w:val="0"/>
          <w:sz w:val="24"/>
          <w:szCs w:val="24"/>
          <w:highlight w:val="none"/>
        </w:rPr>
        <w:t>0%</w:t>
      </w:r>
      <w:r>
        <w:rPr>
          <w:rFonts w:hint="eastAsia" w:ascii="宋体" w:hAnsi="宋体" w:eastAsia="宋体" w:cs="宋体"/>
          <w:bCs/>
          <w:snapToGrid w:val="0"/>
          <w:color w:val="auto"/>
          <w:kern w:val="0"/>
          <w:sz w:val="24"/>
          <w:szCs w:val="24"/>
          <w:highlight w:val="none"/>
          <w:lang w:val="en-US" w:eastAsia="zh-CN"/>
        </w:rPr>
        <w:t>的</w:t>
      </w:r>
      <w:r>
        <w:rPr>
          <w:rFonts w:hint="eastAsia" w:ascii="宋体" w:hAnsi="宋体" w:eastAsia="宋体" w:cs="宋体"/>
          <w:bCs/>
          <w:snapToGrid w:val="0"/>
          <w:color w:val="auto"/>
          <w:kern w:val="0"/>
          <w:sz w:val="24"/>
          <w:szCs w:val="24"/>
          <w:highlight w:val="none"/>
        </w:rPr>
        <w:t>违约金</w:t>
      </w:r>
      <w:r>
        <w:rPr>
          <w:rFonts w:hint="eastAsia" w:ascii="宋体" w:hAnsi="宋体" w:eastAsia="宋体" w:cs="宋体"/>
          <w:bCs/>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若因此造成甲方损失</w:t>
      </w:r>
      <w:r>
        <w:rPr>
          <w:rFonts w:hint="eastAsia" w:ascii="宋体" w:hAnsi="宋体" w:eastAsia="宋体" w:cs="宋体"/>
          <w:snapToGrid w:val="0"/>
          <w:color w:val="auto"/>
          <w:kern w:val="0"/>
          <w:sz w:val="24"/>
          <w:szCs w:val="24"/>
          <w:highlight w:val="none"/>
          <w:lang w:val="en-US" w:eastAsia="zh-CN"/>
        </w:rPr>
        <w:t>的</w:t>
      </w:r>
      <w:r>
        <w:rPr>
          <w:rFonts w:hint="eastAsia" w:ascii="宋体" w:hAnsi="宋体" w:eastAsia="宋体" w:cs="宋体"/>
          <w:snapToGrid w:val="0"/>
          <w:color w:val="auto"/>
          <w:kern w:val="0"/>
          <w:sz w:val="24"/>
          <w:szCs w:val="24"/>
          <w:highlight w:val="none"/>
        </w:rPr>
        <w:t>，乙方还须赔偿</w:t>
      </w:r>
      <w:r>
        <w:rPr>
          <w:rFonts w:hint="eastAsia" w:ascii="宋体" w:hAnsi="宋体" w:eastAsia="宋体" w:cs="宋体"/>
          <w:snapToGrid w:val="0"/>
          <w:color w:val="auto"/>
          <w:kern w:val="0"/>
          <w:sz w:val="24"/>
          <w:szCs w:val="24"/>
          <w:highlight w:val="none"/>
          <w:lang w:val="en-US" w:eastAsia="zh-CN"/>
        </w:rPr>
        <w:t>甲方所有</w:t>
      </w:r>
      <w:r>
        <w:rPr>
          <w:rFonts w:hint="eastAsia" w:ascii="宋体" w:hAnsi="宋体" w:eastAsia="宋体" w:cs="宋体"/>
          <w:snapToGrid w:val="0"/>
          <w:color w:val="auto"/>
          <w:kern w:val="0"/>
          <w:sz w:val="24"/>
          <w:szCs w:val="24"/>
          <w:highlight w:val="none"/>
        </w:rPr>
        <w:t>损失。</w:t>
      </w:r>
    </w:p>
    <w:p w14:paraId="2C01418C">
      <w:pPr>
        <w:pStyle w:val="49"/>
        <w:keepNext w:val="0"/>
        <w:keepLines w:val="0"/>
        <w:pageBreakBefore w:val="0"/>
        <w:widowControl w:val="0"/>
        <w:kinsoku/>
        <w:wordWrap/>
        <w:overflowPunct/>
        <w:topLinePunct w:val="0"/>
        <w:bidi w:val="0"/>
        <w:adjustRightInd w:val="0"/>
        <w:snapToGrid w:val="0"/>
        <w:spacing w:line="360" w:lineRule="auto"/>
        <w:ind w:left="0" w:leftChars="0" w:firstLine="480" w:firstLineChars="200"/>
        <w:jc w:val="both"/>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十一</w:t>
      </w:r>
      <w:r>
        <w:rPr>
          <w:rFonts w:hint="eastAsia" w:ascii="宋体" w:hAnsi="宋体" w:eastAsia="宋体" w:cs="宋体"/>
          <w:color w:val="auto"/>
          <w:kern w:val="0"/>
          <w:sz w:val="24"/>
          <w:szCs w:val="24"/>
          <w:highlight w:val="none"/>
        </w:rPr>
        <w:t>）乙方委托第三方完成本合同相关工作的，乙方应对第三方所完成工作负责并承担连带责任；乙方擅自分包或者转包项目的，甲方有权</w:t>
      </w:r>
      <w:r>
        <w:rPr>
          <w:rFonts w:hint="eastAsia" w:ascii="宋体" w:hAnsi="宋体" w:eastAsia="宋体" w:cs="宋体"/>
          <w:color w:val="auto"/>
          <w:kern w:val="0"/>
          <w:sz w:val="24"/>
          <w:szCs w:val="24"/>
          <w:highlight w:val="none"/>
          <w:lang w:eastAsia="zh-CN"/>
        </w:rPr>
        <w:t>单方</w:t>
      </w:r>
      <w:r>
        <w:rPr>
          <w:rFonts w:hint="eastAsia" w:ascii="宋体" w:hAnsi="宋体" w:eastAsia="宋体" w:cs="宋体"/>
          <w:color w:val="auto"/>
          <w:kern w:val="0"/>
          <w:sz w:val="24"/>
          <w:szCs w:val="24"/>
          <w:highlight w:val="none"/>
        </w:rPr>
        <w:t>解除合同，</w:t>
      </w:r>
      <w:r>
        <w:rPr>
          <w:rFonts w:hint="eastAsia" w:ascii="宋体" w:hAnsi="宋体" w:eastAsia="宋体" w:cs="宋体"/>
          <w:color w:val="auto"/>
          <w:kern w:val="0"/>
          <w:sz w:val="24"/>
          <w:szCs w:val="24"/>
          <w:highlight w:val="none"/>
          <w:lang w:val="en-US" w:eastAsia="zh-CN"/>
        </w:rPr>
        <w:t>乙方须向甲方支付</w:t>
      </w:r>
      <w:r>
        <w:rPr>
          <w:rFonts w:hint="eastAsia" w:ascii="宋体" w:hAnsi="宋体" w:eastAsia="宋体" w:cs="宋体"/>
          <w:color w:val="auto"/>
          <w:kern w:val="0"/>
          <w:sz w:val="24"/>
          <w:szCs w:val="24"/>
          <w:highlight w:val="none"/>
        </w:rPr>
        <w:t>本合同暂定总价30%的违约金</w:t>
      </w:r>
      <w:r>
        <w:rPr>
          <w:rFonts w:hint="eastAsia" w:ascii="宋体" w:hAnsi="宋体" w:eastAsia="宋体" w:cs="宋体"/>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若因此造成甲方损失</w:t>
      </w:r>
      <w:r>
        <w:rPr>
          <w:rFonts w:hint="eastAsia" w:ascii="宋体" w:hAnsi="宋体" w:eastAsia="宋体" w:cs="宋体"/>
          <w:snapToGrid w:val="0"/>
          <w:color w:val="auto"/>
          <w:kern w:val="0"/>
          <w:sz w:val="24"/>
          <w:szCs w:val="24"/>
          <w:highlight w:val="none"/>
          <w:lang w:val="en-US" w:eastAsia="zh-CN"/>
        </w:rPr>
        <w:t>的</w:t>
      </w:r>
      <w:r>
        <w:rPr>
          <w:rFonts w:hint="eastAsia" w:ascii="宋体" w:hAnsi="宋体" w:eastAsia="宋体" w:cs="宋体"/>
          <w:snapToGrid w:val="0"/>
          <w:color w:val="auto"/>
          <w:kern w:val="0"/>
          <w:sz w:val="24"/>
          <w:szCs w:val="24"/>
          <w:highlight w:val="none"/>
        </w:rPr>
        <w:t>，乙方还须赔偿</w:t>
      </w:r>
      <w:r>
        <w:rPr>
          <w:rFonts w:hint="eastAsia" w:ascii="宋体" w:hAnsi="宋体" w:eastAsia="宋体" w:cs="宋体"/>
          <w:snapToGrid w:val="0"/>
          <w:color w:val="auto"/>
          <w:kern w:val="0"/>
          <w:sz w:val="24"/>
          <w:szCs w:val="24"/>
          <w:highlight w:val="none"/>
          <w:lang w:val="en-US" w:eastAsia="zh-CN"/>
        </w:rPr>
        <w:t>甲方所有</w:t>
      </w:r>
      <w:r>
        <w:rPr>
          <w:rFonts w:hint="eastAsia" w:ascii="宋体" w:hAnsi="宋体" w:eastAsia="宋体" w:cs="宋体"/>
          <w:snapToGrid w:val="0"/>
          <w:color w:val="auto"/>
          <w:kern w:val="0"/>
          <w:sz w:val="24"/>
          <w:szCs w:val="24"/>
          <w:highlight w:val="none"/>
        </w:rPr>
        <w:t>损失。</w:t>
      </w:r>
    </w:p>
    <w:p w14:paraId="13168811">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十二</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服务期内，</w:t>
      </w:r>
      <w:r>
        <w:rPr>
          <w:rFonts w:hint="eastAsia" w:ascii="宋体" w:hAnsi="宋体" w:eastAsia="宋体" w:cs="宋体"/>
          <w:color w:val="auto"/>
          <w:kern w:val="0"/>
          <w:sz w:val="24"/>
          <w:szCs w:val="24"/>
          <w:highlight w:val="none"/>
        </w:rPr>
        <w:t>乙方投入的人员与本合同约定及其投标（或报价）文件、检测、监测实施方案的承诺不符或未经甲方同意擅自更换项目负责人的，</w:t>
      </w:r>
      <w:r>
        <w:rPr>
          <w:rFonts w:hint="eastAsia" w:ascii="宋体" w:hAnsi="宋体" w:eastAsia="宋体" w:cs="宋体"/>
          <w:snapToGrid w:val="0"/>
          <w:color w:val="auto"/>
          <w:kern w:val="0"/>
          <w:sz w:val="24"/>
          <w:szCs w:val="24"/>
          <w:highlight w:val="none"/>
        </w:rPr>
        <w:t>每更换一次项目负责人，</w:t>
      </w:r>
      <w:r>
        <w:rPr>
          <w:rFonts w:hint="eastAsia" w:ascii="宋体" w:hAnsi="宋体" w:eastAsia="宋体" w:cs="宋体"/>
          <w:snapToGrid w:val="0"/>
          <w:color w:val="auto"/>
          <w:kern w:val="0"/>
          <w:sz w:val="24"/>
          <w:szCs w:val="24"/>
          <w:highlight w:val="none"/>
          <w:lang w:val="en-US" w:eastAsia="zh-CN"/>
        </w:rPr>
        <w:t>乙方须向</w:t>
      </w:r>
      <w:r>
        <w:rPr>
          <w:rFonts w:hint="eastAsia" w:ascii="宋体" w:hAnsi="宋体" w:eastAsia="宋体" w:cs="宋体"/>
          <w:snapToGrid w:val="0"/>
          <w:color w:val="auto"/>
          <w:kern w:val="0"/>
          <w:sz w:val="24"/>
          <w:szCs w:val="24"/>
          <w:highlight w:val="none"/>
        </w:rPr>
        <w:t>甲方</w:t>
      </w:r>
      <w:r>
        <w:rPr>
          <w:rFonts w:hint="eastAsia" w:ascii="宋体" w:hAnsi="宋体" w:eastAsia="宋体" w:cs="宋体"/>
          <w:snapToGrid w:val="0"/>
          <w:color w:val="auto"/>
          <w:kern w:val="0"/>
          <w:sz w:val="24"/>
          <w:szCs w:val="24"/>
          <w:highlight w:val="none"/>
          <w:lang w:val="en-US" w:eastAsia="zh-CN"/>
        </w:rPr>
        <w:t>支付</w:t>
      </w:r>
      <w:r>
        <w:rPr>
          <w:rFonts w:hint="eastAsia" w:ascii="宋体" w:hAnsi="宋体" w:eastAsia="宋体" w:cs="宋体"/>
          <w:snapToGrid w:val="0"/>
          <w:color w:val="auto"/>
          <w:kern w:val="0"/>
          <w:sz w:val="24"/>
          <w:szCs w:val="24"/>
          <w:highlight w:val="none"/>
        </w:rPr>
        <w:t>本合同暂定总</w:t>
      </w:r>
      <w:r>
        <w:rPr>
          <w:rFonts w:hint="eastAsia" w:ascii="宋体" w:hAnsi="宋体" w:eastAsia="宋体" w:cs="宋体"/>
          <w:snapToGrid w:val="0"/>
          <w:color w:val="auto"/>
          <w:kern w:val="0"/>
          <w:sz w:val="24"/>
          <w:szCs w:val="24"/>
          <w:highlight w:val="none"/>
          <w:lang w:val="en-US" w:eastAsia="zh-CN"/>
        </w:rPr>
        <w:t>价</w:t>
      </w:r>
      <w:r>
        <w:rPr>
          <w:rFonts w:hint="eastAsia" w:ascii="宋体" w:hAnsi="宋体" w:eastAsia="宋体" w:cs="宋体"/>
          <w:snapToGrid w:val="0"/>
          <w:color w:val="auto"/>
          <w:kern w:val="0"/>
          <w:sz w:val="24"/>
          <w:szCs w:val="24"/>
          <w:highlight w:val="none"/>
          <w:lang w:val="en-US"/>
        </w:rPr>
        <w:t>20</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的</w:t>
      </w:r>
      <w:r>
        <w:rPr>
          <w:rFonts w:hint="eastAsia" w:ascii="宋体" w:hAnsi="宋体" w:eastAsia="宋体" w:cs="宋体"/>
          <w:snapToGrid w:val="0"/>
          <w:color w:val="auto"/>
          <w:kern w:val="0"/>
          <w:sz w:val="24"/>
          <w:szCs w:val="24"/>
          <w:highlight w:val="none"/>
        </w:rPr>
        <w:t>违约金。</w:t>
      </w:r>
    </w:p>
    <w:p w14:paraId="33FF1F54">
      <w:pPr>
        <w:keepNext w:val="0"/>
        <w:keepLines w:val="0"/>
        <w:pageBreakBefore w:val="0"/>
        <w:widowControl w:val="0"/>
        <w:tabs>
          <w:tab w:val="left" w:pos="2340"/>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snapToGrid w:val="0"/>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十三</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服务期内，</w:t>
      </w:r>
      <w:r>
        <w:rPr>
          <w:rFonts w:hint="eastAsia" w:ascii="宋体" w:hAnsi="宋体" w:eastAsia="宋体" w:cs="宋体"/>
          <w:bCs/>
          <w:snapToGrid w:val="0"/>
          <w:color w:val="auto"/>
          <w:kern w:val="0"/>
          <w:sz w:val="24"/>
          <w:szCs w:val="24"/>
          <w:highlight w:val="none"/>
        </w:rPr>
        <w:t>乙方的单位名称变更的，应在变更后15</w:t>
      </w:r>
      <w:r>
        <w:rPr>
          <w:rFonts w:hint="eastAsia" w:ascii="宋体" w:hAnsi="宋体" w:eastAsia="宋体" w:cs="宋体"/>
          <w:bCs/>
          <w:snapToGrid w:val="0"/>
          <w:color w:val="auto"/>
          <w:kern w:val="0"/>
          <w:sz w:val="24"/>
          <w:szCs w:val="24"/>
          <w:highlight w:val="none"/>
          <w:lang w:val="en-US" w:eastAsia="zh-CN"/>
        </w:rPr>
        <w:t>个</w:t>
      </w:r>
      <w:r>
        <w:rPr>
          <w:rFonts w:hint="eastAsia" w:ascii="宋体" w:hAnsi="宋体" w:eastAsia="宋体" w:cs="宋体"/>
          <w:bCs/>
          <w:snapToGrid w:val="0"/>
          <w:color w:val="auto"/>
          <w:kern w:val="0"/>
          <w:sz w:val="24"/>
          <w:szCs w:val="24"/>
          <w:highlight w:val="none"/>
        </w:rPr>
        <w:t>日</w:t>
      </w:r>
      <w:r>
        <w:rPr>
          <w:rFonts w:hint="eastAsia" w:ascii="宋体" w:hAnsi="宋体" w:eastAsia="宋体" w:cs="宋体"/>
          <w:bCs/>
          <w:snapToGrid w:val="0"/>
          <w:color w:val="auto"/>
          <w:kern w:val="0"/>
          <w:sz w:val="24"/>
          <w:szCs w:val="24"/>
          <w:highlight w:val="none"/>
          <w:lang w:val="en-US" w:eastAsia="zh-CN"/>
        </w:rPr>
        <w:t>历天</w:t>
      </w:r>
      <w:r>
        <w:rPr>
          <w:rFonts w:hint="eastAsia" w:ascii="宋体" w:hAnsi="宋体" w:eastAsia="宋体" w:cs="宋体"/>
          <w:bCs/>
          <w:snapToGrid w:val="0"/>
          <w:color w:val="auto"/>
          <w:kern w:val="0"/>
          <w:sz w:val="24"/>
          <w:szCs w:val="24"/>
          <w:highlight w:val="none"/>
        </w:rPr>
        <w:t>内以书面形式通知甲方；乙方法定代表人变更的，应在变更后15个日历</w:t>
      </w:r>
      <w:r>
        <w:rPr>
          <w:rFonts w:hint="eastAsia" w:ascii="宋体" w:hAnsi="宋体" w:eastAsia="宋体" w:cs="宋体"/>
          <w:bCs/>
          <w:snapToGrid w:val="0"/>
          <w:color w:val="auto"/>
          <w:kern w:val="0"/>
          <w:sz w:val="24"/>
          <w:szCs w:val="24"/>
          <w:highlight w:val="none"/>
          <w:lang w:val="en-US" w:eastAsia="zh-CN"/>
        </w:rPr>
        <w:t>天</w:t>
      </w:r>
      <w:r>
        <w:rPr>
          <w:rFonts w:hint="eastAsia" w:ascii="宋体" w:hAnsi="宋体" w:eastAsia="宋体" w:cs="宋体"/>
          <w:bCs/>
          <w:snapToGrid w:val="0"/>
          <w:color w:val="auto"/>
          <w:kern w:val="0"/>
          <w:sz w:val="24"/>
          <w:szCs w:val="24"/>
          <w:highlight w:val="none"/>
        </w:rPr>
        <w:t>内向甲方提交新法定代表人的职务、职称、联系电话、通信地址等信息。否则视为乙方违约，乙方应向甲方支付5000元</w:t>
      </w:r>
      <w:r>
        <w:rPr>
          <w:rFonts w:hint="eastAsia" w:ascii="宋体" w:hAnsi="宋体" w:eastAsia="宋体" w:cs="宋体"/>
          <w:bCs/>
          <w:snapToGrid w:val="0"/>
          <w:color w:val="auto"/>
          <w:kern w:val="0"/>
          <w:sz w:val="24"/>
          <w:szCs w:val="24"/>
          <w:highlight w:val="none"/>
          <w:lang w:val="en-US" w:eastAsia="zh-CN"/>
        </w:rPr>
        <w:t>/次的</w:t>
      </w:r>
      <w:r>
        <w:rPr>
          <w:rFonts w:hint="eastAsia" w:ascii="宋体" w:hAnsi="宋体" w:eastAsia="宋体" w:cs="宋体"/>
          <w:bCs/>
          <w:snapToGrid w:val="0"/>
          <w:color w:val="auto"/>
          <w:kern w:val="0"/>
          <w:sz w:val="24"/>
          <w:szCs w:val="24"/>
          <w:highlight w:val="none"/>
        </w:rPr>
        <w:t>违约金。</w:t>
      </w:r>
    </w:p>
    <w:p w14:paraId="20201F41">
      <w:pPr>
        <w:keepNext w:val="0"/>
        <w:keepLines w:val="0"/>
        <w:pageBreakBefore w:val="0"/>
        <w:widowControl w:val="0"/>
        <w:tabs>
          <w:tab w:val="left" w:pos="2340"/>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（十</w:t>
      </w:r>
      <w:r>
        <w:rPr>
          <w:rFonts w:hint="eastAsia" w:ascii="宋体" w:hAnsi="宋体" w:eastAsia="宋体"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lang w:eastAsia="zh-CN"/>
        </w:rPr>
        <w:t>）乙方如为联合体单位中标，则联合体的一方成员未履行合同义务，其他成员方共同承担连</w:t>
      </w:r>
      <w:r>
        <w:rPr>
          <w:rFonts w:hint="eastAsia" w:ascii="宋体" w:hAnsi="宋体" w:eastAsia="宋体" w:cs="宋体"/>
          <w:color w:val="auto"/>
          <w:kern w:val="0"/>
          <w:sz w:val="24"/>
          <w:szCs w:val="24"/>
          <w:highlight w:val="none"/>
          <w:lang w:val="en-US" w:eastAsia="zh-CN"/>
        </w:rPr>
        <w:t>带责任</w:t>
      </w:r>
      <w:r>
        <w:rPr>
          <w:rFonts w:hint="eastAsia" w:ascii="宋体" w:hAnsi="宋体" w:eastAsia="宋体" w:cs="宋体"/>
          <w:color w:val="auto"/>
          <w:kern w:val="0"/>
          <w:sz w:val="24"/>
          <w:szCs w:val="24"/>
          <w:highlight w:val="none"/>
          <w:lang w:eastAsia="zh-CN"/>
        </w:rPr>
        <w:t>。</w:t>
      </w:r>
    </w:p>
    <w:p w14:paraId="60BBF9E2">
      <w:pPr>
        <w:keepNext w:val="0"/>
        <w:keepLines w:val="0"/>
        <w:pageBreakBefore w:val="0"/>
        <w:widowControl w:val="0"/>
        <w:tabs>
          <w:tab w:val="left" w:pos="2340"/>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lang w:val="en-US" w:eastAsia="zh-CN"/>
        </w:rPr>
        <w:t>十五</w:t>
      </w:r>
      <w:r>
        <w:rPr>
          <w:rFonts w:hint="eastAsia" w:ascii="宋体" w:hAnsi="宋体" w:eastAsia="宋体" w:cs="宋体"/>
          <w:bCs/>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本合同所称之损失包括实际损失和合同履行后可以获得的利益及合理的调查费、律师费、诉讼费用等相关法律费用。</w:t>
      </w:r>
    </w:p>
    <w:p w14:paraId="0A670C92">
      <w:pPr>
        <w:pStyle w:val="2"/>
        <w:adjustRightInd w:val="0"/>
        <w:snapToGrid w:val="0"/>
        <w:spacing w:line="360" w:lineRule="auto"/>
        <w:ind w:firstLine="480" w:firstLineChars="20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十六</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乙方应向甲方支付的违约金，甲方有权在进度款及结算款中直接扣除。</w:t>
      </w:r>
    </w:p>
    <w:p w14:paraId="1732293A">
      <w:pPr>
        <w:keepNext w:val="0"/>
        <w:keepLines w:val="0"/>
        <w:pageBreakBefore w:val="0"/>
        <w:widowControl w:val="0"/>
        <w:tabs>
          <w:tab w:val="left" w:pos="2340"/>
        </w:tabs>
        <w:kinsoku/>
        <w:wordWrap/>
        <w:overflowPunct/>
        <w:topLinePunct w:val="0"/>
        <w:bidi w:val="0"/>
        <w:adjustRightInd w:val="0"/>
        <w:snapToGrid w:val="0"/>
        <w:spacing w:line="360" w:lineRule="auto"/>
        <w:ind w:firstLine="480" w:firstLineChars="200"/>
        <w:jc w:val="both"/>
        <w:textAlignment w:val="auto"/>
        <w:outlineLvl w:val="0"/>
        <w:rPr>
          <w:rFonts w:hint="eastAsia" w:ascii="宋体" w:hAnsi="宋体" w:eastAsia="宋体" w:cs="宋体"/>
          <w:b/>
          <w:snapToGrid w:val="0"/>
          <w:color w:val="auto"/>
          <w:kern w:val="0"/>
          <w:sz w:val="24"/>
          <w:szCs w:val="24"/>
          <w:highlight w:val="none"/>
        </w:rPr>
      </w:pPr>
      <w:r>
        <w:rPr>
          <w:rFonts w:hint="eastAsia" w:ascii="宋体" w:hAnsi="宋体" w:eastAsia="宋体" w:cs="宋体"/>
          <w:color w:val="auto"/>
          <w:kern w:val="0"/>
          <w:sz w:val="24"/>
          <w:szCs w:val="24"/>
          <w:highlight w:val="none"/>
          <w:lang w:val="en-US" w:eastAsia="zh-CN"/>
        </w:rPr>
        <w:t>（</w:t>
      </w:r>
      <w:bookmarkStart w:id="82" w:name="_Toc596"/>
      <w:bookmarkStart w:id="83" w:name="_Toc11277"/>
      <w:bookmarkStart w:id="84" w:name="_Toc17778"/>
      <w:bookmarkStart w:id="85" w:name="_Toc6418"/>
      <w:bookmarkStart w:id="86" w:name="_Toc7824"/>
      <w:r>
        <w:rPr>
          <w:rFonts w:hint="eastAsia" w:ascii="宋体" w:hAnsi="宋体" w:eastAsia="宋体" w:cs="宋体"/>
          <w:color w:val="auto"/>
          <w:sz w:val="24"/>
          <w:szCs w:val="24"/>
          <w:highlight w:val="none"/>
        </w:rPr>
        <w:t>十七）乙方违约的，应承担甲方为追索乙方违约责任、经济损失赔偿所支出的律师费、保全费、保全责任保险费、差旅费、公证费等一切维权费用。</w:t>
      </w:r>
    </w:p>
    <w:p w14:paraId="379B878F">
      <w:pPr>
        <w:keepNext w:val="0"/>
        <w:keepLines w:val="0"/>
        <w:pageBreakBefore w:val="0"/>
        <w:widowControl w:val="0"/>
        <w:tabs>
          <w:tab w:val="left" w:pos="2340"/>
        </w:tabs>
        <w:kinsoku/>
        <w:wordWrap/>
        <w:overflowPunct/>
        <w:topLinePunct w:val="0"/>
        <w:bidi w:val="0"/>
        <w:adjustRightInd w:val="0"/>
        <w:snapToGrid w:val="0"/>
        <w:spacing w:line="360" w:lineRule="auto"/>
        <w:ind w:firstLine="482" w:firstLineChars="200"/>
        <w:jc w:val="both"/>
        <w:textAlignment w:val="auto"/>
        <w:outlineLvl w:val="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十二、组成本合同的文件</w:t>
      </w:r>
      <w:bookmarkEnd w:id="82"/>
      <w:bookmarkEnd w:id="83"/>
      <w:bookmarkEnd w:id="84"/>
      <w:bookmarkEnd w:id="85"/>
      <w:bookmarkEnd w:id="86"/>
    </w:p>
    <w:p w14:paraId="36958957">
      <w:pPr>
        <w:keepNext w:val="0"/>
        <w:keepLines w:val="0"/>
        <w:pageBreakBefore w:val="0"/>
        <w:widowControl w:val="0"/>
        <w:tabs>
          <w:tab w:val="left" w:pos="2340"/>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Cs/>
          <w:snapToGrid w:val="0"/>
          <w:color w:val="auto"/>
          <w:spacing w:val="0"/>
          <w:kern w:val="0"/>
          <w:sz w:val="24"/>
          <w:szCs w:val="24"/>
          <w:highlight w:val="none"/>
        </w:rPr>
        <w:t>下列文件应被认为是组成本合同的一部分，并互为补充和解释，如各文件存在冲突之处，以如下排列次序在前者优先适用：</w:t>
      </w:r>
    </w:p>
    <w:p w14:paraId="1C7B5692">
      <w:pPr>
        <w:keepNext w:val="0"/>
        <w:keepLines w:val="0"/>
        <w:pageBreakBefore w:val="0"/>
        <w:widowControl w:val="0"/>
        <w:tabs>
          <w:tab w:val="left" w:pos="2340"/>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Cs/>
          <w:snapToGrid w:val="0"/>
          <w:color w:val="auto"/>
          <w:spacing w:val="0"/>
          <w:kern w:val="0"/>
          <w:sz w:val="24"/>
          <w:szCs w:val="24"/>
          <w:highlight w:val="none"/>
          <w:lang w:eastAsia="zh-CN"/>
        </w:rPr>
        <w:t>（</w:t>
      </w:r>
      <w:r>
        <w:rPr>
          <w:rFonts w:hint="eastAsia" w:ascii="宋体" w:hAnsi="宋体" w:eastAsia="宋体" w:cs="宋体"/>
          <w:bCs/>
          <w:snapToGrid w:val="0"/>
          <w:color w:val="auto"/>
          <w:spacing w:val="0"/>
          <w:kern w:val="0"/>
          <w:sz w:val="24"/>
          <w:szCs w:val="24"/>
          <w:highlight w:val="none"/>
          <w:lang w:val="en-US" w:eastAsia="zh-CN"/>
        </w:rPr>
        <w:t>一</w:t>
      </w:r>
      <w:r>
        <w:rPr>
          <w:rFonts w:hint="eastAsia" w:ascii="宋体" w:hAnsi="宋体" w:eastAsia="宋体" w:cs="宋体"/>
          <w:bCs/>
          <w:snapToGrid w:val="0"/>
          <w:color w:val="auto"/>
          <w:spacing w:val="0"/>
          <w:kern w:val="0"/>
          <w:sz w:val="24"/>
          <w:szCs w:val="24"/>
          <w:highlight w:val="none"/>
          <w:lang w:eastAsia="zh-CN"/>
        </w:rPr>
        <w:t>）</w:t>
      </w:r>
      <w:r>
        <w:rPr>
          <w:rFonts w:hint="eastAsia" w:ascii="宋体" w:hAnsi="宋体" w:eastAsia="宋体" w:cs="宋体"/>
          <w:bCs/>
          <w:snapToGrid w:val="0"/>
          <w:color w:val="auto"/>
          <w:kern w:val="0"/>
          <w:sz w:val="24"/>
          <w:szCs w:val="24"/>
          <w:highlight w:val="none"/>
        </w:rPr>
        <w:t>国家和广东省、广州市关于本项目的有关文件</w:t>
      </w:r>
      <w:r>
        <w:rPr>
          <w:rFonts w:hint="eastAsia" w:ascii="宋体" w:hAnsi="宋体" w:eastAsia="宋体" w:cs="宋体"/>
          <w:bCs/>
          <w:snapToGrid w:val="0"/>
          <w:color w:val="auto"/>
          <w:spacing w:val="0"/>
          <w:kern w:val="0"/>
          <w:sz w:val="24"/>
          <w:szCs w:val="24"/>
          <w:highlight w:val="none"/>
        </w:rPr>
        <w:t>；</w:t>
      </w:r>
    </w:p>
    <w:p w14:paraId="40BE3E72">
      <w:pPr>
        <w:keepNext w:val="0"/>
        <w:keepLines w:val="0"/>
        <w:pageBreakBefore w:val="0"/>
        <w:widowControl w:val="0"/>
        <w:tabs>
          <w:tab w:val="left" w:pos="2340"/>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snapToGrid w:val="0"/>
          <w:color w:val="auto"/>
          <w:spacing w:val="0"/>
          <w:kern w:val="0"/>
          <w:sz w:val="24"/>
          <w:szCs w:val="24"/>
          <w:highlight w:val="none"/>
        </w:rPr>
      </w:pPr>
      <w:r>
        <w:rPr>
          <w:rFonts w:hint="eastAsia" w:ascii="宋体" w:hAnsi="宋体" w:eastAsia="宋体" w:cs="宋体"/>
          <w:bCs/>
          <w:snapToGrid w:val="0"/>
          <w:color w:val="auto"/>
          <w:spacing w:val="0"/>
          <w:kern w:val="0"/>
          <w:sz w:val="24"/>
          <w:szCs w:val="24"/>
          <w:highlight w:val="none"/>
          <w:lang w:eastAsia="zh-CN"/>
        </w:rPr>
        <w:t>（</w:t>
      </w:r>
      <w:r>
        <w:rPr>
          <w:rFonts w:hint="eastAsia" w:ascii="宋体" w:hAnsi="宋体" w:eastAsia="宋体" w:cs="宋体"/>
          <w:bCs/>
          <w:snapToGrid w:val="0"/>
          <w:color w:val="auto"/>
          <w:spacing w:val="0"/>
          <w:kern w:val="0"/>
          <w:sz w:val="24"/>
          <w:szCs w:val="24"/>
          <w:highlight w:val="none"/>
          <w:lang w:val="en-US" w:eastAsia="zh-CN"/>
        </w:rPr>
        <w:t>二</w:t>
      </w:r>
      <w:r>
        <w:rPr>
          <w:rFonts w:hint="eastAsia" w:ascii="宋体" w:hAnsi="宋体" w:eastAsia="宋体" w:cs="宋体"/>
          <w:bCs/>
          <w:snapToGrid w:val="0"/>
          <w:color w:val="auto"/>
          <w:spacing w:val="0"/>
          <w:kern w:val="0"/>
          <w:sz w:val="24"/>
          <w:szCs w:val="24"/>
          <w:highlight w:val="none"/>
          <w:lang w:eastAsia="zh-CN"/>
        </w:rPr>
        <w:t>）</w:t>
      </w:r>
      <w:r>
        <w:rPr>
          <w:rFonts w:hint="eastAsia" w:ascii="宋体" w:hAnsi="宋体" w:eastAsia="宋体" w:cs="宋体"/>
          <w:color w:val="auto"/>
          <w:kern w:val="0"/>
          <w:sz w:val="24"/>
          <w:szCs w:val="24"/>
          <w:highlight w:val="none"/>
        </w:rPr>
        <w:t>本合同履行期间甲方与乙方双方签订</w:t>
      </w:r>
      <w:r>
        <w:rPr>
          <w:rFonts w:hint="eastAsia" w:ascii="宋体" w:hAnsi="宋体" w:eastAsia="宋体" w:cs="宋体"/>
          <w:bCs/>
          <w:snapToGrid w:val="0"/>
          <w:color w:val="auto"/>
          <w:spacing w:val="0"/>
          <w:kern w:val="0"/>
          <w:sz w:val="24"/>
          <w:szCs w:val="24"/>
          <w:highlight w:val="none"/>
        </w:rPr>
        <w:t>的补充合同（协议）或修正文件；</w:t>
      </w:r>
    </w:p>
    <w:p w14:paraId="08D891F1">
      <w:pPr>
        <w:keepNext w:val="0"/>
        <w:keepLines w:val="0"/>
        <w:pageBreakBefore w:val="0"/>
        <w:widowControl w:val="0"/>
        <w:tabs>
          <w:tab w:val="left" w:pos="2340"/>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lang w:eastAsia="zh-CN"/>
        </w:rPr>
        <w:t>（</w:t>
      </w:r>
      <w:r>
        <w:rPr>
          <w:rFonts w:hint="eastAsia" w:ascii="宋体" w:hAnsi="宋体" w:eastAsia="宋体" w:cs="宋体"/>
          <w:snapToGrid w:val="0"/>
          <w:color w:val="auto"/>
          <w:spacing w:val="0"/>
          <w:kern w:val="0"/>
          <w:sz w:val="24"/>
          <w:szCs w:val="24"/>
          <w:highlight w:val="none"/>
          <w:lang w:val="en-US" w:eastAsia="zh-CN"/>
        </w:rPr>
        <w:t>三</w:t>
      </w:r>
      <w:r>
        <w:rPr>
          <w:rFonts w:hint="eastAsia" w:ascii="宋体" w:hAnsi="宋体" w:eastAsia="宋体" w:cs="宋体"/>
          <w:snapToGrid w:val="0"/>
          <w:color w:val="auto"/>
          <w:spacing w:val="0"/>
          <w:kern w:val="0"/>
          <w:sz w:val="24"/>
          <w:szCs w:val="24"/>
          <w:highlight w:val="none"/>
          <w:lang w:eastAsia="zh-CN"/>
        </w:rPr>
        <w:t>）</w:t>
      </w:r>
      <w:r>
        <w:rPr>
          <w:rFonts w:hint="eastAsia" w:ascii="宋体" w:hAnsi="宋体" w:eastAsia="宋体" w:cs="宋体"/>
          <w:snapToGrid w:val="0"/>
          <w:color w:val="auto"/>
          <w:spacing w:val="0"/>
          <w:kern w:val="0"/>
          <w:sz w:val="24"/>
          <w:szCs w:val="24"/>
          <w:highlight w:val="none"/>
        </w:rPr>
        <w:t>本合同书；</w:t>
      </w:r>
    </w:p>
    <w:p w14:paraId="4F2735CB">
      <w:pPr>
        <w:keepNext w:val="0"/>
        <w:keepLines w:val="0"/>
        <w:pageBreakBefore w:val="0"/>
        <w:widowControl w:val="0"/>
        <w:tabs>
          <w:tab w:val="left" w:pos="2340"/>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lang w:eastAsia="zh-CN"/>
        </w:rPr>
        <w:t>（</w:t>
      </w:r>
      <w:r>
        <w:rPr>
          <w:rFonts w:hint="eastAsia" w:ascii="宋体" w:hAnsi="宋体" w:eastAsia="宋体" w:cs="宋体"/>
          <w:snapToGrid w:val="0"/>
          <w:color w:val="auto"/>
          <w:spacing w:val="0"/>
          <w:kern w:val="0"/>
          <w:sz w:val="24"/>
          <w:szCs w:val="24"/>
          <w:highlight w:val="none"/>
          <w:lang w:val="en-US" w:eastAsia="zh-CN"/>
        </w:rPr>
        <w:t>四</w:t>
      </w:r>
      <w:r>
        <w:rPr>
          <w:rFonts w:hint="eastAsia" w:ascii="宋体" w:hAnsi="宋体" w:eastAsia="宋体" w:cs="宋体"/>
          <w:snapToGrid w:val="0"/>
          <w:color w:val="auto"/>
          <w:spacing w:val="0"/>
          <w:kern w:val="0"/>
          <w:sz w:val="24"/>
          <w:szCs w:val="24"/>
          <w:highlight w:val="none"/>
          <w:lang w:eastAsia="zh-CN"/>
        </w:rPr>
        <w:t>）</w:t>
      </w:r>
      <w:r>
        <w:rPr>
          <w:rFonts w:hint="eastAsia" w:ascii="宋体" w:hAnsi="宋体" w:eastAsia="宋体" w:cs="宋体"/>
          <w:snapToGrid w:val="0"/>
          <w:color w:val="auto"/>
          <w:spacing w:val="0"/>
          <w:kern w:val="0"/>
          <w:sz w:val="24"/>
          <w:szCs w:val="24"/>
          <w:highlight w:val="none"/>
        </w:rPr>
        <w:t>中标通知书；</w:t>
      </w:r>
    </w:p>
    <w:p w14:paraId="24410884">
      <w:pPr>
        <w:keepNext w:val="0"/>
        <w:keepLines w:val="0"/>
        <w:pageBreakBefore w:val="0"/>
        <w:widowControl w:val="0"/>
        <w:tabs>
          <w:tab w:val="left" w:pos="2340"/>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snapToGrid w:val="0"/>
          <w:color w:val="auto"/>
          <w:kern w:val="0"/>
          <w:sz w:val="24"/>
          <w:szCs w:val="24"/>
          <w:highlight w:val="none"/>
        </w:rPr>
      </w:pPr>
      <w:r>
        <w:rPr>
          <w:rFonts w:hint="eastAsia" w:ascii="宋体" w:hAnsi="宋体" w:eastAsia="宋体" w:cs="宋体"/>
          <w:snapToGrid w:val="0"/>
          <w:color w:val="auto"/>
          <w:spacing w:val="0"/>
          <w:kern w:val="0"/>
          <w:sz w:val="24"/>
          <w:szCs w:val="24"/>
          <w:highlight w:val="none"/>
          <w:lang w:eastAsia="zh-CN"/>
        </w:rPr>
        <w:t>（</w:t>
      </w:r>
      <w:r>
        <w:rPr>
          <w:rFonts w:hint="eastAsia" w:ascii="宋体" w:hAnsi="宋体" w:eastAsia="宋体" w:cs="宋体"/>
          <w:snapToGrid w:val="0"/>
          <w:color w:val="auto"/>
          <w:spacing w:val="0"/>
          <w:kern w:val="0"/>
          <w:sz w:val="24"/>
          <w:szCs w:val="24"/>
          <w:highlight w:val="none"/>
          <w:lang w:val="en-US" w:eastAsia="zh-CN"/>
        </w:rPr>
        <w:t>五</w:t>
      </w:r>
      <w:r>
        <w:rPr>
          <w:rFonts w:hint="eastAsia" w:ascii="宋体" w:hAnsi="宋体" w:eastAsia="宋体" w:cs="宋体"/>
          <w:snapToGrid w:val="0"/>
          <w:color w:val="auto"/>
          <w:spacing w:val="0"/>
          <w:kern w:val="0"/>
          <w:sz w:val="24"/>
          <w:szCs w:val="24"/>
          <w:highlight w:val="none"/>
          <w:lang w:eastAsia="zh-CN"/>
        </w:rPr>
        <w:t>）</w:t>
      </w:r>
      <w:r>
        <w:rPr>
          <w:rFonts w:hint="eastAsia" w:ascii="宋体" w:hAnsi="宋体" w:eastAsia="宋体" w:cs="宋体"/>
          <w:snapToGrid w:val="0"/>
          <w:color w:val="auto"/>
          <w:spacing w:val="0"/>
          <w:kern w:val="0"/>
          <w:sz w:val="24"/>
          <w:szCs w:val="24"/>
          <w:highlight w:val="none"/>
        </w:rPr>
        <w:t>甲方</w:t>
      </w:r>
      <w:r>
        <w:rPr>
          <w:rFonts w:hint="eastAsia" w:ascii="宋体" w:hAnsi="宋体" w:eastAsia="宋体" w:cs="宋体"/>
          <w:bCs/>
          <w:snapToGrid w:val="0"/>
          <w:color w:val="auto"/>
          <w:kern w:val="0"/>
          <w:sz w:val="24"/>
          <w:szCs w:val="24"/>
          <w:highlight w:val="none"/>
        </w:rPr>
        <w:t>针对项目管理的各项制度、规定</w:t>
      </w:r>
      <w:r>
        <w:rPr>
          <w:rFonts w:hint="eastAsia" w:ascii="宋体" w:hAnsi="宋体" w:eastAsia="宋体" w:cs="宋体"/>
          <w:bCs w:val="0"/>
          <w:color w:val="auto"/>
          <w:kern w:val="0"/>
          <w:sz w:val="24"/>
          <w:szCs w:val="24"/>
          <w:highlight w:val="none"/>
        </w:rPr>
        <w:t>（如有更新则按更新后的执行，下同）</w:t>
      </w:r>
      <w:r>
        <w:rPr>
          <w:rFonts w:hint="eastAsia" w:ascii="宋体" w:hAnsi="宋体" w:eastAsia="宋体" w:cs="宋体"/>
          <w:bCs/>
          <w:snapToGrid w:val="0"/>
          <w:color w:val="auto"/>
          <w:kern w:val="0"/>
          <w:sz w:val="24"/>
          <w:szCs w:val="24"/>
          <w:highlight w:val="none"/>
        </w:rPr>
        <w:t>；</w:t>
      </w:r>
    </w:p>
    <w:p w14:paraId="60612703">
      <w:pPr>
        <w:keepNext w:val="0"/>
        <w:keepLines w:val="0"/>
        <w:pageBreakBefore w:val="0"/>
        <w:widowControl w:val="0"/>
        <w:tabs>
          <w:tab w:val="left" w:pos="2340"/>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lang w:val="en-US" w:eastAsia="zh-CN"/>
        </w:rPr>
        <w:t>六</w:t>
      </w:r>
      <w:r>
        <w:rPr>
          <w:rFonts w:hint="eastAsia" w:ascii="宋体" w:hAnsi="宋体" w:eastAsia="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lang w:val="en-US" w:eastAsia="zh-CN"/>
        </w:rPr>
        <w:t>本</w:t>
      </w:r>
      <w:r>
        <w:rPr>
          <w:rFonts w:hint="eastAsia" w:ascii="宋体" w:hAnsi="宋体" w:eastAsia="宋体" w:cs="宋体"/>
          <w:bCs/>
          <w:snapToGrid w:val="0"/>
          <w:color w:val="auto"/>
          <w:kern w:val="0"/>
          <w:sz w:val="24"/>
          <w:szCs w:val="24"/>
          <w:highlight w:val="none"/>
        </w:rPr>
        <w:t>合同附件</w:t>
      </w:r>
      <w:r>
        <w:rPr>
          <w:rFonts w:hint="eastAsia" w:ascii="宋体" w:hAnsi="宋体" w:eastAsia="宋体" w:cs="宋体"/>
          <w:color w:val="auto"/>
          <w:kern w:val="0"/>
          <w:sz w:val="24"/>
          <w:szCs w:val="24"/>
          <w:highlight w:val="none"/>
        </w:rPr>
        <w:t>[属本条第（</w:t>
      </w:r>
      <w:r>
        <w:rPr>
          <w:rFonts w:hint="eastAsia" w:ascii="宋体" w:hAnsi="宋体" w:eastAsia="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rPr>
        <w:t>）项和第（</w:t>
      </w:r>
      <w:r>
        <w:rPr>
          <w:rFonts w:hint="eastAsia" w:ascii="宋体" w:hAnsi="宋体" w:eastAsia="宋体" w:cs="宋体"/>
          <w:color w:val="auto"/>
          <w:kern w:val="0"/>
          <w:sz w:val="24"/>
          <w:szCs w:val="24"/>
          <w:highlight w:val="none"/>
          <w:lang w:val="en-US" w:eastAsia="zh-CN"/>
        </w:rPr>
        <w:t>五</w:t>
      </w:r>
      <w:r>
        <w:rPr>
          <w:rFonts w:hint="eastAsia" w:ascii="宋体" w:hAnsi="宋体" w:eastAsia="宋体" w:cs="宋体"/>
          <w:color w:val="auto"/>
          <w:kern w:val="0"/>
          <w:sz w:val="24"/>
          <w:szCs w:val="24"/>
          <w:highlight w:val="none"/>
        </w:rPr>
        <w:t>）项内容的除外]</w:t>
      </w:r>
      <w:r>
        <w:rPr>
          <w:rFonts w:hint="eastAsia" w:ascii="宋体" w:hAnsi="宋体" w:eastAsia="宋体" w:cs="宋体"/>
          <w:bCs/>
          <w:snapToGrid w:val="0"/>
          <w:color w:val="auto"/>
          <w:kern w:val="0"/>
          <w:sz w:val="24"/>
          <w:szCs w:val="24"/>
          <w:highlight w:val="none"/>
        </w:rPr>
        <w:t>；</w:t>
      </w:r>
    </w:p>
    <w:p w14:paraId="33633556">
      <w:pPr>
        <w:keepNext w:val="0"/>
        <w:keepLines w:val="0"/>
        <w:pageBreakBefore w:val="0"/>
        <w:widowControl w:val="0"/>
        <w:tabs>
          <w:tab w:val="left" w:pos="2340"/>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lang w:val="en-US" w:eastAsia="zh-CN"/>
        </w:rPr>
        <w:t>七</w:t>
      </w:r>
      <w:r>
        <w:rPr>
          <w:rFonts w:hint="eastAsia" w:ascii="宋体" w:hAnsi="宋体" w:eastAsia="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rPr>
        <w:t>招标文件</w:t>
      </w:r>
      <w:r>
        <w:rPr>
          <w:rFonts w:hint="eastAsia" w:ascii="宋体" w:hAnsi="宋体" w:eastAsia="宋体" w:cs="宋体"/>
          <w:color w:val="auto"/>
          <w:kern w:val="0"/>
          <w:sz w:val="24"/>
          <w:szCs w:val="24"/>
          <w:highlight w:val="none"/>
        </w:rPr>
        <w:t>[含招标文件补充文件、招标澄清文件、答疑文件等，属本条第（</w:t>
      </w:r>
      <w:r>
        <w:rPr>
          <w:rFonts w:hint="eastAsia" w:ascii="宋体" w:hAnsi="宋体" w:eastAsia="宋体" w:cs="宋体"/>
          <w:color w:val="auto"/>
          <w:kern w:val="0"/>
          <w:sz w:val="24"/>
          <w:szCs w:val="24"/>
          <w:highlight w:val="none"/>
          <w:lang w:val="en-US" w:eastAsia="zh-CN"/>
        </w:rPr>
        <w:t>六</w:t>
      </w:r>
      <w:r>
        <w:rPr>
          <w:rFonts w:hint="eastAsia" w:ascii="宋体" w:hAnsi="宋体" w:eastAsia="宋体" w:cs="宋体"/>
          <w:color w:val="auto"/>
          <w:kern w:val="0"/>
          <w:sz w:val="24"/>
          <w:szCs w:val="24"/>
          <w:highlight w:val="none"/>
        </w:rPr>
        <w:t>）项内容的除外]</w:t>
      </w:r>
      <w:r>
        <w:rPr>
          <w:rFonts w:hint="eastAsia" w:ascii="宋体" w:hAnsi="宋体" w:eastAsia="宋体" w:cs="宋体"/>
          <w:bCs/>
          <w:snapToGrid w:val="0"/>
          <w:color w:val="auto"/>
          <w:kern w:val="0"/>
          <w:sz w:val="24"/>
          <w:szCs w:val="24"/>
          <w:highlight w:val="none"/>
        </w:rPr>
        <w:t>；</w:t>
      </w:r>
    </w:p>
    <w:p w14:paraId="39D635B3">
      <w:pPr>
        <w:keepNext w:val="0"/>
        <w:keepLines w:val="0"/>
        <w:pageBreakBefore w:val="0"/>
        <w:widowControl w:val="0"/>
        <w:tabs>
          <w:tab w:val="left" w:pos="2340"/>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lang w:val="en-US" w:eastAsia="zh-CN"/>
        </w:rPr>
        <w:t>八</w:t>
      </w:r>
      <w:r>
        <w:rPr>
          <w:rFonts w:hint="eastAsia" w:ascii="宋体" w:hAnsi="宋体" w:eastAsia="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rPr>
        <w:t>乙方投标文件及其附件</w:t>
      </w:r>
      <w:r>
        <w:rPr>
          <w:rFonts w:hint="eastAsia" w:ascii="宋体" w:hAnsi="宋体" w:eastAsia="宋体" w:cs="宋体"/>
          <w:color w:val="auto"/>
          <w:kern w:val="0"/>
          <w:sz w:val="24"/>
          <w:szCs w:val="24"/>
          <w:highlight w:val="none"/>
        </w:rPr>
        <w:t>[含投标文件澄清等，属本条第（</w:t>
      </w:r>
      <w:r>
        <w:rPr>
          <w:rFonts w:hint="eastAsia" w:ascii="宋体" w:hAnsi="宋体" w:eastAsia="宋体" w:cs="宋体"/>
          <w:color w:val="auto"/>
          <w:kern w:val="0"/>
          <w:sz w:val="24"/>
          <w:szCs w:val="24"/>
          <w:highlight w:val="none"/>
          <w:lang w:val="en-US" w:eastAsia="zh-CN"/>
        </w:rPr>
        <w:t>六</w:t>
      </w:r>
      <w:r>
        <w:rPr>
          <w:rFonts w:hint="eastAsia" w:ascii="宋体" w:hAnsi="宋体" w:eastAsia="宋体" w:cs="宋体"/>
          <w:color w:val="auto"/>
          <w:kern w:val="0"/>
          <w:sz w:val="24"/>
          <w:szCs w:val="24"/>
          <w:highlight w:val="none"/>
        </w:rPr>
        <w:t>）项内容的除外]</w:t>
      </w:r>
      <w:r>
        <w:rPr>
          <w:rFonts w:hint="eastAsia" w:ascii="宋体" w:hAnsi="宋体" w:eastAsia="宋体" w:cs="宋体"/>
          <w:bCs/>
          <w:snapToGrid w:val="0"/>
          <w:color w:val="auto"/>
          <w:kern w:val="0"/>
          <w:sz w:val="24"/>
          <w:szCs w:val="24"/>
          <w:highlight w:val="none"/>
        </w:rPr>
        <w:t>；</w:t>
      </w:r>
    </w:p>
    <w:p w14:paraId="1E62E0A1">
      <w:pPr>
        <w:keepNext w:val="0"/>
        <w:keepLines w:val="0"/>
        <w:pageBreakBefore w:val="0"/>
        <w:widowControl w:val="0"/>
        <w:tabs>
          <w:tab w:val="left" w:pos="2340"/>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snapToGrid w:val="0"/>
          <w:color w:val="auto"/>
          <w:kern w:val="0"/>
          <w:sz w:val="24"/>
          <w:szCs w:val="24"/>
          <w:highlight w:val="none"/>
          <w:lang w:eastAsia="zh-CN"/>
        </w:rPr>
      </w:pPr>
      <w:r>
        <w:rPr>
          <w:rFonts w:hint="eastAsia" w:ascii="宋体" w:hAnsi="宋体" w:eastAsia="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lang w:val="en-US" w:eastAsia="zh-CN"/>
        </w:rPr>
        <w:t>九</w:t>
      </w:r>
      <w:r>
        <w:rPr>
          <w:rFonts w:hint="eastAsia" w:ascii="宋体" w:hAnsi="宋体" w:eastAsia="宋体" w:cs="宋体"/>
          <w:bCs/>
          <w:snapToGrid w:val="0"/>
          <w:color w:val="auto"/>
          <w:kern w:val="0"/>
          <w:sz w:val="24"/>
          <w:szCs w:val="24"/>
          <w:highlight w:val="none"/>
          <w:lang w:eastAsia="zh-CN"/>
        </w:rPr>
        <w:t>））技术标准和要求；</w:t>
      </w:r>
    </w:p>
    <w:p w14:paraId="00925BBE">
      <w:pPr>
        <w:keepNext w:val="0"/>
        <w:keepLines w:val="0"/>
        <w:pageBreakBefore w:val="0"/>
        <w:widowControl w:val="0"/>
        <w:tabs>
          <w:tab w:val="left" w:pos="2340"/>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lang w:val="en-US" w:eastAsia="zh-CN"/>
        </w:rPr>
        <w:t>十</w:t>
      </w:r>
      <w:r>
        <w:rPr>
          <w:rFonts w:hint="eastAsia" w:ascii="宋体" w:hAnsi="宋体" w:eastAsia="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lang w:val="en-US" w:eastAsia="zh-CN"/>
        </w:rPr>
        <w:t>图纸；</w:t>
      </w:r>
    </w:p>
    <w:p w14:paraId="32462009">
      <w:pPr>
        <w:keepNext w:val="0"/>
        <w:keepLines w:val="0"/>
        <w:pageBreakBefore w:val="0"/>
        <w:widowControl w:val="0"/>
        <w:tabs>
          <w:tab w:val="left" w:pos="2340"/>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snapToGrid w:val="0"/>
          <w:color w:val="auto"/>
          <w:spacing w:val="0"/>
          <w:kern w:val="0"/>
          <w:sz w:val="24"/>
          <w:szCs w:val="24"/>
          <w:highlight w:val="none"/>
        </w:rPr>
      </w:pPr>
      <w:r>
        <w:rPr>
          <w:rFonts w:hint="eastAsia" w:ascii="宋体" w:hAnsi="宋体" w:eastAsia="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lang w:val="en-US" w:eastAsia="zh-CN"/>
        </w:rPr>
        <w:t>十一</w:t>
      </w:r>
      <w:r>
        <w:rPr>
          <w:rFonts w:hint="eastAsia" w:ascii="宋体" w:hAnsi="宋体" w:eastAsia="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rPr>
        <w:t>国家及广东省、广州市的标准、规范及有关技术文件；</w:t>
      </w:r>
    </w:p>
    <w:p w14:paraId="46947A7E">
      <w:pPr>
        <w:tabs>
          <w:tab w:val="left" w:pos="2340"/>
        </w:tabs>
        <w:adjustRightInd w:val="0"/>
        <w:snapToGrid w:val="0"/>
        <w:spacing w:line="360" w:lineRule="auto"/>
        <w:ind w:firstLine="480" w:firstLineChars="200"/>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lang w:eastAsia="zh-CN"/>
        </w:rPr>
        <w:t>（</w:t>
      </w:r>
      <w:r>
        <w:rPr>
          <w:rFonts w:hint="eastAsia" w:ascii="宋体" w:hAnsi="宋体" w:eastAsia="宋体" w:cs="宋体"/>
          <w:snapToGrid w:val="0"/>
          <w:color w:val="auto"/>
          <w:spacing w:val="0"/>
          <w:kern w:val="0"/>
          <w:sz w:val="24"/>
          <w:szCs w:val="24"/>
          <w:highlight w:val="none"/>
          <w:lang w:val="en-US" w:eastAsia="zh-CN"/>
        </w:rPr>
        <w:t>十二</w:t>
      </w:r>
      <w:r>
        <w:rPr>
          <w:rFonts w:hint="eastAsia" w:ascii="宋体" w:hAnsi="宋体" w:eastAsia="宋体" w:cs="宋体"/>
          <w:snapToGrid w:val="0"/>
          <w:color w:val="auto"/>
          <w:spacing w:val="0"/>
          <w:kern w:val="0"/>
          <w:sz w:val="24"/>
          <w:szCs w:val="24"/>
          <w:highlight w:val="none"/>
          <w:lang w:eastAsia="zh-CN"/>
        </w:rPr>
        <w:t>）</w:t>
      </w:r>
      <w:r>
        <w:rPr>
          <w:rFonts w:hint="eastAsia" w:ascii="宋体" w:hAnsi="宋体" w:eastAsia="宋体" w:cs="宋体"/>
          <w:bCs/>
          <w:snapToGrid w:val="0"/>
          <w:color w:val="auto"/>
          <w:kern w:val="0"/>
          <w:sz w:val="24"/>
          <w:szCs w:val="24"/>
          <w:highlight w:val="none"/>
        </w:rPr>
        <w:t>组成</w:t>
      </w:r>
      <w:r>
        <w:rPr>
          <w:rFonts w:hint="eastAsia" w:ascii="宋体" w:hAnsi="宋体" w:eastAsia="宋体" w:cs="宋体"/>
          <w:bCs/>
          <w:snapToGrid w:val="0"/>
          <w:color w:val="auto"/>
          <w:kern w:val="0"/>
          <w:sz w:val="24"/>
          <w:szCs w:val="24"/>
          <w:highlight w:val="none"/>
          <w:lang w:val="en-US" w:eastAsia="zh-CN"/>
        </w:rPr>
        <w:t>本</w:t>
      </w:r>
      <w:r>
        <w:rPr>
          <w:rFonts w:hint="eastAsia" w:ascii="宋体" w:hAnsi="宋体" w:eastAsia="宋体" w:cs="宋体"/>
          <w:bCs/>
          <w:snapToGrid w:val="0"/>
          <w:color w:val="auto"/>
          <w:kern w:val="0"/>
          <w:sz w:val="24"/>
          <w:szCs w:val="24"/>
          <w:highlight w:val="none"/>
        </w:rPr>
        <w:t>合同的其他文件</w:t>
      </w:r>
      <w:r>
        <w:rPr>
          <w:rFonts w:hint="eastAsia" w:ascii="宋体" w:hAnsi="宋体" w:eastAsia="宋体" w:cs="宋体"/>
          <w:snapToGrid w:val="0"/>
          <w:color w:val="auto"/>
          <w:spacing w:val="0"/>
          <w:kern w:val="0"/>
          <w:sz w:val="24"/>
          <w:szCs w:val="24"/>
          <w:highlight w:val="none"/>
        </w:rPr>
        <w:t>。</w:t>
      </w:r>
    </w:p>
    <w:p w14:paraId="60D7447B">
      <w:pPr>
        <w:keepNext w:val="0"/>
        <w:keepLines w:val="0"/>
        <w:pageBreakBefore w:val="0"/>
        <w:widowControl w:val="0"/>
        <w:tabs>
          <w:tab w:val="left" w:pos="2340"/>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spacing w:val="0"/>
          <w:kern w:val="0"/>
          <w:sz w:val="24"/>
          <w:szCs w:val="24"/>
          <w:highlight w:val="none"/>
          <w:lang w:val="en-US" w:eastAsia="zh-CN"/>
        </w:rPr>
        <w:t>双</w:t>
      </w:r>
      <w:bookmarkStart w:id="87" w:name="_Toc2984"/>
      <w:bookmarkStart w:id="88" w:name="_Toc24723"/>
      <w:bookmarkStart w:id="89" w:name="_Toc10480"/>
      <w:bookmarkStart w:id="90" w:name="_Toc26293"/>
      <w:bookmarkStart w:id="91" w:name="_Toc10519"/>
      <w:r>
        <w:rPr>
          <w:rFonts w:hint="eastAsia" w:ascii="宋体" w:hAnsi="宋体" w:eastAsia="宋体" w:cs="宋体"/>
          <w:color w:val="auto"/>
          <w:sz w:val="24"/>
          <w:szCs w:val="24"/>
          <w:highlight w:val="none"/>
        </w:rPr>
        <w:t>方就上述合同文件所作出的补充和修改，属于同一类内容的文件，应以最新签署的为准。若根据上述解释顺序仍不足以澄清的，除非本合同另有约定，应以甲方的书面澄清或说明为准，上述澄清或说明不应被视为变更。</w:t>
      </w:r>
    </w:p>
    <w:p w14:paraId="6B39CF7D">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0"/>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乙方在投标期间提交的资料中任何与招标文件内容不符的自拟条件和说明，以及在往来澄清、答疑中的询问或回复，如有相较招标文件减损甲方权益或增加甲方责任或义务的内容，除在合同文件中被甲方特别以书面形式明示接受且加盖公章的以外均属无效。</w:t>
      </w:r>
    </w:p>
    <w:p w14:paraId="0A2FAA9D">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outlineLvl w:val="0"/>
        <w:rPr>
          <w:rFonts w:hint="eastAsia" w:ascii="宋体" w:hAnsi="宋体" w:eastAsia="宋体" w:cs="宋体"/>
          <w:color w:val="auto"/>
          <w:kern w:val="0"/>
          <w:sz w:val="24"/>
          <w:szCs w:val="24"/>
          <w:highlight w:val="none"/>
          <w:u w:val="single"/>
        </w:rPr>
      </w:pPr>
      <w:r>
        <w:rPr>
          <w:rFonts w:hint="eastAsia" w:ascii="宋体" w:hAnsi="宋体" w:eastAsia="宋体" w:cs="宋体"/>
          <w:b/>
          <w:color w:val="auto"/>
          <w:kern w:val="0"/>
          <w:sz w:val="24"/>
          <w:szCs w:val="24"/>
          <w:highlight w:val="none"/>
        </w:rPr>
        <w:t>十</w:t>
      </w:r>
      <w:r>
        <w:rPr>
          <w:rFonts w:hint="eastAsia" w:ascii="宋体" w:hAnsi="宋体" w:eastAsia="宋体" w:cs="宋体"/>
          <w:b/>
          <w:color w:val="auto"/>
          <w:kern w:val="0"/>
          <w:sz w:val="24"/>
          <w:szCs w:val="24"/>
          <w:highlight w:val="none"/>
          <w:lang w:val="en-US" w:eastAsia="zh-CN"/>
        </w:rPr>
        <w:t>三</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知识产权</w:t>
      </w:r>
      <w:bookmarkEnd w:id="87"/>
      <w:bookmarkEnd w:id="88"/>
      <w:bookmarkEnd w:id="89"/>
      <w:bookmarkEnd w:id="90"/>
      <w:bookmarkEnd w:id="91"/>
    </w:p>
    <w:p w14:paraId="4EBB38FA">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Cs/>
          <w:snapToGrid w:val="0"/>
          <w:color w:val="auto"/>
          <w:kern w:val="0"/>
          <w:sz w:val="24"/>
          <w:szCs w:val="24"/>
          <w:highlight w:val="none"/>
        </w:rPr>
      </w:pPr>
      <w:bookmarkStart w:id="92" w:name="_Toc4372"/>
      <w:bookmarkStart w:id="93" w:name="_Toc31861"/>
      <w:r>
        <w:rPr>
          <w:rFonts w:hint="eastAsia" w:ascii="宋体" w:hAnsi="宋体" w:eastAsia="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lang w:val="en-US" w:eastAsia="zh-CN"/>
        </w:rPr>
        <w:t>一</w:t>
      </w:r>
      <w:r>
        <w:rPr>
          <w:rFonts w:hint="eastAsia" w:ascii="宋体" w:hAnsi="宋体" w:eastAsia="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rPr>
        <w:t>本合同所完成的技术服务成果的知识产权属甲方所有。</w:t>
      </w:r>
      <w:bookmarkEnd w:id="92"/>
      <w:bookmarkEnd w:id="93"/>
    </w:p>
    <w:p w14:paraId="543A70B6">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b/>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lang w:val="en-US" w:eastAsia="zh-CN"/>
        </w:rPr>
        <w:t>二</w:t>
      </w:r>
      <w:r>
        <w:rPr>
          <w:rFonts w:hint="eastAsia" w:ascii="宋体" w:hAnsi="宋体" w:eastAsia="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rPr>
        <w:t>甲方提供给乙方的图纸、甲方为实施工程/项目自行编制或委托编制的技术规范以及反映甲方要求的或其他类似性质文件的著作权属于甲方所有。</w:t>
      </w:r>
    </w:p>
    <w:p w14:paraId="6946EAF4">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outlineLvl w:val="0"/>
        <w:rPr>
          <w:rFonts w:hint="eastAsia" w:ascii="宋体" w:hAnsi="宋体" w:eastAsia="宋体" w:cs="宋体"/>
          <w:b/>
          <w:color w:val="auto"/>
          <w:kern w:val="0"/>
          <w:sz w:val="24"/>
          <w:szCs w:val="24"/>
          <w:highlight w:val="none"/>
          <w:lang w:val="en-US" w:eastAsia="zh-CN"/>
        </w:rPr>
      </w:pPr>
      <w:bookmarkStart w:id="94" w:name="_Toc26148"/>
      <w:bookmarkStart w:id="95" w:name="_Toc9330"/>
      <w:bookmarkStart w:id="96" w:name="_Toc11820"/>
      <w:bookmarkStart w:id="97" w:name="_Toc10635"/>
      <w:bookmarkStart w:id="98" w:name="_Toc5730"/>
      <w:r>
        <w:rPr>
          <w:rFonts w:hint="eastAsia" w:ascii="宋体" w:hAnsi="宋体" w:eastAsia="宋体" w:cs="宋体"/>
          <w:b/>
          <w:color w:val="auto"/>
          <w:kern w:val="0"/>
          <w:sz w:val="24"/>
          <w:szCs w:val="24"/>
          <w:highlight w:val="none"/>
        </w:rPr>
        <w:t>十</w:t>
      </w:r>
      <w:r>
        <w:rPr>
          <w:rFonts w:hint="eastAsia" w:ascii="宋体" w:hAnsi="宋体" w:eastAsia="宋体" w:cs="宋体"/>
          <w:b/>
          <w:color w:val="auto"/>
          <w:kern w:val="0"/>
          <w:sz w:val="24"/>
          <w:szCs w:val="24"/>
          <w:highlight w:val="none"/>
          <w:lang w:val="en-US" w:eastAsia="zh-CN"/>
        </w:rPr>
        <w:t>四</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lang w:val="en-US" w:eastAsia="zh-CN"/>
        </w:rPr>
        <w:t>联系人</w:t>
      </w:r>
      <w:bookmarkEnd w:id="94"/>
      <w:bookmarkEnd w:id="95"/>
      <w:bookmarkEnd w:id="96"/>
      <w:bookmarkEnd w:id="97"/>
      <w:bookmarkEnd w:id="98"/>
      <w:r>
        <w:rPr>
          <w:rFonts w:hint="eastAsia" w:ascii="宋体" w:hAnsi="宋体" w:eastAsia="宋体" w:cs="宋体"/>
          <w:b/>
          <w:color w:val="auto"/>
          <w:kern w:val="0"/>
          <w:sz w:val="24"/>
          <w:szCs w:val="24"/>
          <w:highlight w:val="none"/>
          <w:lang w:val="en-US" w:eastAsia="zh-CN"/>
        </w:rPr>
        <w:t>及通知</w:t>
      </w:r>
    </w:p>
    <w:p w14:paraId="6D548308">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联系人：</w:t>
      </w:r>
      <w:r>
        <w:rPr>
          <w:rFonts w:hint="eastAsia" w:ascii="宋体" w:hAnsi="宋体" w:eastAsia="宋体" w:cs="宋体"/>
          <w:color w:val="auto"/>
          <w:kern w:val="0"/>
          <w:sz w:val="24"/>
          <w:szCs w:val="24"/>
          <w:highlight w:val="none"/>
        </w:rPr>
        <w:t>双方确定，在本协议有效期内，甲方指定</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pacing w:val="0"/>
          <w:kern w:val="0"/>
          <w:sz w:val="24"/>
          <w:szCs w:val="24"/>
          <w:highlight w:val="none"/>
          <w:u w:val="none"/>
        </w:rPr>
        <w:t>（联系方式：</w:t>
      </w:r>
      <w:r>
        <w:rPr>
          <w:rFonts w:hint="eastAsia" w:ascii="宋体" w:hAnsi="宋体" w:eastAsia="宋体" w:cs="宋体"/>
          <w:color w:val="auto"/>
          <w:spacing w:val="0"/>
          <w:kern w:val="0"/>
          <w:sz w:val="24"/>
          <w:szCs w:val="24"/>
          <w:highlight w:val="none"/>
          <w:u w:val="single"/>
          <w:lang w:val="en-US" w:eastAsia="zh-CN"/>
        </w:rPr>
        <w:t xml:space="preserve">       </w:t>
      </w:r>
      <w:r>
        <w:rPr>
          <w:rFonts w:hint="eastAsia" w:ascii="宋体" w:hAnsi="宋体" w:eastAsia="宋体" w:cs="宋体"/>
          <w:color w:val="auto"/>
          <w:spacing w:val="0"/>
          <w:kern w:val="0"/>
          <w:sz w:val="24"/>
          <w:szCs w:val="24"/>
          <w:highlight w:val="none"/>
          <w:u w:val="none"/>
          <w:lang w:val="en-US" w:eastAsia="zh-CN"/>
        </w:rPr>
        <w:t>，</w:t>
      </w:r>
      <w:r>
        <w:rPr>
          <w:rFonts w:hint="eastAsia" w:ascii="宋体" w:hAnsi="宋体" w:eastAsia="宋体" w:cs="宋体"/>
          <w:color w:val="auto"/>
          <w:kern w:val="0"/>
          <w:sz w:val="24"/>
          <w:szCs w:val="24"/>
          <w:highlight w:val="none"/>
          <w:lang w:val="en-US" w:eastAsia="zh-CN"/>
        </w:rPr>
        <w:t>传真：</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，邮箱</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，通讯地址</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w:t>
      </w:r>
      <w:r>
        <w:rPr>
          <w:rFonts w:hint="eastAsia" w:ascii="宋体" w:hAnsi="宋体" w:eastAsia="宋体" w:cs="宋体"/>
          <w:color w:val="auto"/>
          <w:kern w:val="0"/>
          <w:sz w:val="24"/>
          <w:szCs w:val="24"/>
          <w:highlight w:val="none"/>
        </w:rPr>
        <w:t>为甲方项目联系人，乙方指定</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pacing w:val="0"/>
          <w:kern w:val="0"/>
          <w:sz w:val="24"/>
          <w:szCs w:val="24"/>
          <w:highlight w:val="none"/>
          <w:u w:val="none"/>
        </w:rPr>
        <w:t>（联系方式：</w:t>
      </w:r>
      <w:r>
        <w:rPr>
          <w:rFonts w:hint="eastAsia" w:ascii="宋体" w:hAnsi="宋体" w:eastAsia="宋体" w:cs="宋体"/>
          <w:color w:val="auto"/>
          <w:spacing w:val="0"/>
          <w:kern w:val="0"/>
          <w:sz w:val="24"/>
          <w:szCs w:val="24"/>
          <w:highlight w:val="none"/>
          <w:u w:val="single"/>
          <w:lang w:val="en-US" w:eastAsia="zh-CN"/>
        </w:rPr>
        <w:t xml:space="preserve">          </w:t>
      </w:r>
      <w:r>
        <w:rPr>
          <w:rFonts w:hint="eastAsia" w:ascii="宋体" w:hAnsi="宋体" w:eastAsia="宋体" w:cs="宋体"/>
          <w:color w:val="auto"/>
          <w:spacing w:val="0"/>
          <w:kern w:val="0"/>
          <w:sz w:val="24"/>
          <w:szCs w:val="24"/>
          <w:highlight w:val="none"/>
          <w:u w:val="none"/>
          <w:lang w:val="en-US" w:eastAsia="zh-CN"/>
        </w:rPr>
        <w:t>，</w:t>
      </w:r>
      <w:r>
        <w:rPr>
          <w:rFonts w:hint="eastAsia" w:ascii="宋体" w:hAnsi="宋体" w:eastAsia="宋体" w:cs="宋体"/>
          <w:color w:val="auto"/>
          <w:kern w:val="0"/>
          <w:sz w:val="24"/>
          <w:szCs w:val="24"/>
          <w:highlight w:val="none"/>
          <w:u w:val="none"/>
          <w:lang w:val="en-US" w:eastAsia="zh-CN"/>
        </w:rPr>
        <w:t>传真：</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，邮箱</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，通讯地址</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rPr>
        <w:t>）</w:t>
      </w:r>
      <w:r>
        <w:rPr>
          <w:rFonts w:hint="eastAsia" w:ascii="宋体" w:hAnsi="宋体" w:eastAsia="宋体" w:cs="宋体"/>
          <w:color w:val="auto"/>
          <w:kern w:val="0"/>
          <w:sz w:val="24"/>
          <w:szCs w:val="24"/>
          <w:highlight w:val="none"/>
        </w:rPr>
        <w:t>为乙方项目联系人。项目联系人承担以下责任：</w:t>
      </w:r>
      <w:r>
        <w:rPr>
          <w:rFonts w:hint="eastAsia" w:ascii="宋体" w:hAnsi="宋体" w:eastAsia="宋体" w:cs="宋体"/>
          <w:color w:val="auto"/>
          <w:kern w:val="0"/>
          <w:sz w:val="24"/>
          <w:szCs w:val="24"/>
          <w:highlight w:val="none"/>
          <w:u w:val="single"/>
        </w:rPr>
        <w:t xml:space="preserve"> 双方协调联系</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w:t>
      </w:r>
    </w:p>
    <w:p w14:paraId="6399508E">
      <w:pPr>
        <w:pStyle w:val="2"/>
        <w:keepNext w:val="0"/>
        <w:keepLines w:val="0"/>
        <w:pageBreakBefore w:val="0"/>
        <w:widowControl w:val="0"/>
        <w:kinsoku/>
        <w:wordWrap/>
        <w:overflowPunct/>
        <w:topLinePunct w:val="0"/>
        <w:bidi w:val="0"/>
        <w:adjustRightInd w:val="0"/>
        <w:snapToGrid w:val="0"/>
        <w:spacing w:line="360" w:lineRule="auto"/>
        <w:ind w:right="-113"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本合同约定的双方地址适用于双方各类通知、协议等文件以及就合同发生纠纷时相关文件和法律文书的送达，包括争议解决程序。一方变更项目联系人或相应联系方式的，应在变更</w:t>
      </w:r>
      <w:r>
        <w:rPr>
          <w:rFonts w:hint="eastAsia" w:ascii="宋体" w:hAnsi="宋体" w:eastAsia="宋体" w:cs="宋体"/>
          <w:color w:val="auto"/>
          <w:kern w:val="0"/>
          <w:sz w:val="24"/>
          <w:szCs w:val="24"/>
          <w:highlight w:val="none"/>
          <w:lang w:val="en-US" w:eastAsia="zh-CN"/>
        </w:rPr>
        <w:t>前7个</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历天</w:t>
      </w:r>
      <w:r>
        <w:rPr>
          <w:rFonts w:hint="eastAsia" w:ascii="宋体" w:hAnsi="宋体" w:eastAsia="宋体" w:cs="宋体"/>
          <w:color w:val="auto"/>
          <w:kern w:val="0"/>
          <w:sz w:val="24"/>
          <w:szCs w:val="24"/>
          <w:highlight w:val="none"/>
        </w:rPr>
        <w:t>内以书面形式通知另一方。未及时通知并影响本协议履行或造成损失的，应承担相应的责任。</w:t>
      </w:r>
    </w:p>
    <w:p w14:paraId="2840119E">
      <w:pPr>
        <w:keepNext w:val="0"/>
        <w:keepLines w:val="0"/>
        <w:pageBreakBefore w:val="0"/>
        <w:widowControl w:val="0"/>
        <w:tabs>
          <w:tab w:val="left" w:pos="2340"/>
        </w:tabs>
        <w:kinsoku/>
        <w:wordWrap/>
        <w:overflowPunct/>
        <w:topLinePunct w:val="0"/>
        <w:bidi w:val="0"/>
        <w:adjustRightInd w:val="0"/>
        <w:snapToGrid w:val="0"/>
        <w:spacing w:line="360" w:lineRule="auto"/>
        <w:ind w:firstLine="480" w:firstLineChars="200"/>
        <w:jc w:val="both"/>
        <w:textAlignment w:val="auto"/>
        <w:outlineLvl w:val="0"/>
        <w:rPr>
          <w:rFonts w:hint="eastAsia" w:ascii="宋体" w:hAnsi="宋体" w:eastAsia="宋体" w:cs="宋体"/>
          <w:b w:val="0"/>
          <w:bCs/>
          <w:snapToGrid w:val="0"/>
          <w:color w:val="auto"/>
          <w:kern w:val="0"/>
          <w:sz w:val="24"/>
          <w:szCs w:val="24"/>
          <w:highlight w:val="none"/>
          <w:lang w:eastAsia="zh-CN"/>
        </w:rPr>
      </w:pPr>
      <w:bookmarkStart w:id="99" w:name="_Toc7106"/>
      <w:bookmarkStart w:id="100" w:name="_Toc29701"/>
      <w:bookmarkStart w:id="101" w:name="_Toc30854"/>
      <w:bookmarkStart w:id="102" w:name="_Toc32376"/>
      <w:bookmarkStart w:id="103" w:name="_Toc23587"/>
      <w:r>
        <w:rPr>
          <w:rFonts w:hint="eastAsia" w:ascii="宋体" w:hAnsi="宋体" w:eastAsia="宋体" w:cs="宋体"/>
          <w:b w:val="0"/>
          <w:bCs/>
          <w:snapToGrid w:val="0"/>
          <w:color w:val="auto"/>
          <w:kern w:val="0"/>
          <w:sz w:val="24"/>
          <w:szCs w:val="24"/>
          <w:highlight w:val="none"/>
          <w:lang w:eastAsia="zh-CN"/>
        </w:rPr>
        <w:t>（</w:t>
      </w:r>
      <w:r>
        <w:rPr>
          <w:rFonts w:hint="eastAsia" w:ascii="宋体" w:hAnsi="宋体" w:eastAsia="宋体" w:cs="宋体"/>
          <w:b w:val="0"/>
          <w:bCs/>
          <w:snapToGrid w:val="0"/>
          <w:color w:val="auto"/>
          <w:kern w:val="0"/>
          <w:sz w:val="24"/>
          <w:szCs w:val="24"/>
          <w:highlight w:val="none"/>
          <w:lang w:val="en-US" w:eastAsia="zh-CN"/>
        </w:rPr>
        <w:t>二</w:t>
      </w:r>
      <w:r>
        <w:rPr>
          <w:rFonts w:hint="eastAsia" w:ascii="宋体" w:hAnsi="宋体" w:eastAsia="宋体" w:cs="宋体"/>
          <w:b w:val="0"/>
          <w:bCs/>
          <w:snapToGrid w:val="0"/>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通知：甲方根据本合同约定向乙方作出的所有通知、要求、指令等，同时采用专人送达、挂号信件、特快专递、传真或电子邮件等多种方式通知的，以最先送达的时间为准。</w:t>
      </w:r>
    </w:p>
    <w:p w14:paraId="2E5E7FFE">
      <w:pPr>
        <w:keepNext w:val="0"/>
        <w:keepLines w:val="0"/>
        <w:pageBreakBefore w:val="0"/>
        <w:widowControl w:val="0"/>
        <w:tabs>
          <w:tab w:val="left" w:pos="2340"/>
        </w:tabs>
        <w:kinsoku/>
        <w:wordWrap/>
        <w:overflowPunct/>
        <w:topLinePunct w:val="0"/>
        <w:bidi w:val="0"/>
        <w:adjustRightInd w:val="0"/>
        <w:snapToGrid w:val="0"/>
        <w:spacing w:line="360" w:lineRule="auto"/>
        <w:ind w:firstLine="482" w:firstLineChars="200"/>
        <w:jc w:val="both"/>
        <w:textAlignment w:val="auto"/>
        <w:outlineLvl w:val="0"/>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十</w:t>
      </w:r>
      <w:r>
        <w:rPr>
          <w:rFonts w:hint="eastAsia" w:ascii="宋体" w:hAnsi="宋体" w:eastAsia="宋体" w:cs="宋体"/>
          <w:b/>
          <w:snapToGrid w:val="0"/>
          <w:color w:val="auto"/>
          <w:kern w:val="0"/>
          <w:sz w:val="24"/>
          <w:szCs w:val="24"/>
          <w:highlight w:val="none"/>
          <w:lang w:val="en-US" w:eastAsia="zh-CN"/>
        </w:rPr>
        <w:t>五</w:t>
      </w:r>
      <w:r>
        <w:rPr>
          <w:rFonts w:hint="eastAsia" w:ascii="宋体" w:hAnsi="宋体" w:eastAsia="宋体" w:cs="宋体"/>
          <w:b/>
          <w:snapToGrid w:val="0"/>
          <w:color w:val="auto"/>
          <w:kern w:val="0"/>
          <w:sz w:val="24"/>
          <w:szCs w:val="24"/>
          <w:highlight w:val="none"/>
        </w:rPr>
        <w:t>、争议解决</w:t>
      </w:r>
      <w:bookmarkEnd w:id="99"/>
      <w:bookmarkEnd w:id="100"/>
      <w:bookmarkEnd w:id="101"/>
      <w:bookmarkEnd w:id="102"/>
      <w:bookmarkEnd w:id="103"/>
    </w:p>
    <w:p w14:paraId="66D91DD4">
      <w:pPr>
        <w:keepNext w:val="0"/>
        <w:keepLines w:val="0"/>
        <w:pageBreakBefore w:val="0"/>
        <w:widowControl w:val="0"/>
        <w:tabs>
          <w:tab w:val="left" w:pos="2340"/>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一</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rPr>
        <w:t>因本合同或履行本合同发生争议，各方应协商解决，协商不成的，各方均可向甲方住所地人民法院提起诉讼</w:t>
      </w:r>
      <w:r>
        <w:rPr>
          <w:rFonts w:hint="eastAsia" w:ascii="宋体" w:hAnsi="宋体" w:eastAsia="宋体" w:cs="宋体"/>
          <w:snapToGrid w:val="0"/>
          <w:color w:val="auto"/>
          <w:kern w:val="0"/>
          <w:sz w:val="24"/>
          <w:szCs w:val="24"/>
          <w:highlight w:val="none"/>
        </w:rPr>
        <w:t>。</w:t>
      </w:r>
    </w:p>
    <w:p w14:paraId="2C5664A1">
      <w:pPr>
        <w:keepNext w:val="0"/>
        <w:keepLines w:val="0"/>
        <w:pageBreakBefore w:val="0"/>
        <w:widowControl w:val="0"/>
        <w:tabs>
          <w:tab w:val="left" w:pos="2340"/>
        </w:tabs>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二</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乙方承诺：在争议解决期间，仍将尽职尽责继续完成甲方所委托的工作，否则，甲方有权先行解除合同，乙方无条件服从并将有关资料无偿移交甲方。</w:t>
      </w:r>
    </w:p>
    <w:p w14:paraId="62756F91">
      <w:pPr>
        <w:keepNext w:val="0"/>
        <w:keepLines w:val="0"/>
        <w:pageBreakBefore w:val="0"/>
        <w:widowControl w:val="0"/>
        <w:kinsoku/>
        <w:wordWrap/>
        <w:overflowPunct/>
        <w:topLinePunct w:val="0"/>
        <w:bidi w:val="0"/>
        <w:adjustRightInd w:val="0"/>
        <w:snapToGrid w:val="0"/>
        <w:spacing w:line="360" w:lineRule="auto"/>
        <w:ind w:firstLine="482" w:firstLineChars="200"/>
        <w:contextualSpacing/>
        <w:jc w:val="both"/>
        <w:textAlignment w:val="auto"/>
        <w:outlineLvl w:val="0"/>
        <w:rPr>
          <w:rFonts w:hint="eastAsia" w:ascii="宋体" w:hAnsi="宋体" w:eastAsia="宋体" w:cs="宋体"/>
          <w:b/>
          <w:bCs/>
          <w:color w:val="auto"/>
          <w:kern w:val="0"/>
          <w:sz w:val="24"/>
          <w:szCs w:val="24"/>
          <w:highlight w:val="none"/>
        </w:rPr>
      </w:pPr>
      <w:bookmarkStart w:id="104" w:name="_Toc9466"/>
      <w:bookmarkStart w:id="105" w:name="_Toc12784"/>
      <w:bookmarkStart w:id="106" w:name="_Toc2724"/>
      <w:bookmarkStart w:id="107" w:name="_Toc11271"/>
      <w:bookmarkStart w:id="108" w:name="_Toc30185"/>
      <w:r>
        <w:rPr>
          <w:rFonts w:hint="eastAsia" w:ascii="宋体" w:hAnsi="宋体" w:eastAsia="宋体" w:cs="宋体"/>
          <w:b/>
          <w:snapToGrid w:val="0"/>
          <w:color w:val="auto"/>
          <w:kern w:val="0"/>
          <w:sz w:val="24"/>
          <w:szCs w:val="24"/>
          <w:highlight w:val="none"/>
        </w:rPr>
        <w:t>十</w:t>
      </w:r>
      <w:r>
        <w:rPr>
          <w:rFonts w:hint="eastAsia" w:ascii="宋体" w:hAnsi="宋体" w:eastAsia="宋体" w:cs="宋体"/>
          <w:b/>
          <w:snapToGrid w:val="0"/>
          <w:color w:val="auto"/>
          <w:kern w:val="0"/>
          <w:sz w:val="24"/>
          <w:szCs w:val="24"/>
          <w:highlight w:val="none"/>
          <w:lang w:val="en-US" w:eastAsia="zh-CN"/>
        </w:rPr>
        <w:t>六</w:t>
      </w:r>
      <w:r>
        <w:rPr>
          <w:rFonts w:hint="eastAsia" w:ascii="宋体" w:hAnsi="宋体" w:eastAsia="宋体" w:cs="宋体"/>
          <w:b/>
          <w:snapToGrid w:val="0"/>
          <w:color w:val="auto"/>
          <w:kern w:val="0"/>
          <w:sz w:val="24"/>
          <w:szCs w:val="24"/>
          <w:highlight w:val="none"/>
        </w:rPr>
        <w:t>、</w:t>
      </w:r>
      <w:r>
        <w:rPr>
          <w:rFonts w:hint="eastAsia" w:ascii="宋体" w:hAnsi="宋体" w:eastAsia="宋体" w:cs="宋体"/>
          <w:b/>
          <w:bCs/>
          <w:color w:val="auto"/>
          <w:kern w:val="0"/>
          <w:sz w:val="24"/>
          <w:szCs w:val="24"/>
          <w:highlight w:val="none"/>
        </w:rPr>
        <w:t>不可抗力</w:t>
      </w:r>
      <w:bookmarkEnd w:id="104"/>
      <w:bookmarkEnd w:id="105"/>
      <w:bookmarkEnd w:id="106"/>
      <w:bookmarkEnd w:id="107"/>
      <w:bookmarkEnd w:id="108"/>
    </w:p>
    <w:p w14:paraId="2812814D">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发生不可抗力事件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致使本合同的履行成为不必要或不可能的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可以解除本合同。不可抗力，是指不能预见、不能避免并不能克服，对本工程的施工造成重大实质性影响的自然灾害和战争、动乱（不包括承包人内部的任何纠纷和纷争）等事件。政府关</w:t>
      </w:r>
      <w:r>
        <w:rPr>
          <w:rFonts w:hint="eastAsia" w:ascii="宋体" w:hAnsi="宋体" w:eastAsia="宋体" w:cs="宋体"/>
          <w:color w:val="auto"/>
          <w:spacing w:val="-6"/>
          <w:kern w:val="0"/>
          <w:sz w:val="24"/>
          <w:szCs w:val="24"/>
          <w:highlight w:val="none"/>
        </w:rPr>
        <w:t>于本项目政策的重大调整或本项目建设规划方案重大功能性调整，也属不可抗力的范围。</w:t>
      </w:r>
    </w:p>
    <w:p w14:paraId="1ABD4BDB">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自然灾害的范围及其认定方式，按如下约定执行：</w:t>
      </w:r>
    </w:p>
    <w:p w14:paraId="7BFBDFC8">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异常天气：仅指50年（含50年）一遇以上的洪水或10级（含10级）以上的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p>
    <w:p w14:paraId="794DD5EC">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（2）里氏5级（含5级）以上的地震。</w:t>
      </w:r>
    </w:p>
    <w:p w14:paraId="72289936">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因不可抗力事件导致的费用损失，由甲、乙双方各自承担自己的损失。对不可抗</w:t>
      </w:r>
      <w:r>
        <w:rPr>
          <w:rFonts w:hint="eastAsia" w:ascii="宋体" w:hAnsi="宋体" w:eastAsia="宋体" w:cs="宋体"/>
          <w:color w:val="auto"/>
          <w:spacing w:val="-11"/>
          <w:kern w:val="0"/>
          <w:sz w:val="24"/>
          <w:szCs w:val="24"/>
          <w:highlight w:val="none"/>
          <w:lang w:val="en-US" w:eastAsia="zh-CN"/>
        </w:rPr>
        <w:t>力事件导致的乙方成果文件提交时间的延误，由双方协商确定乙方提交成果的提交时间。</w:t>
      </w:r>
    </w:p>
    <w:p w14:paraId="3DC61860">
      <w:pPr>
        <w:keepNext w:val="0"/>
        <w:keepLines w:val="0"/>
        <w:pageBreakBefore w:val="0"/>
        <w:widowControl w:val="0"/>
        <w:kinsoku/>
        <w:wordWrap/>
        <w:overflowPunct/>
        <w:topLinePunct w:val="0"/>
        <w:bidi w:val="0"/>
        <w:adjustRightInd w:val="0"/>
        <w:snapToGrid w:val="0"/>
        <w:spacing w:line="360" w:lineRule="auto"/>
        <w:ind w:firstLine="482" w:firstLineChars="200"/>
        <w:jc w:val="both"/>
        <w:textAlignment w:val="auto"/>
        <w:outlineLvl w:val="0"/>
        <w:rPr>
          <w:rFonts w:hint="eastAsia" w:ascii="宋体" w:hAnsi="宋体" w:eastAsia="宋体" w:cs="宋体"/>
          <w:b/>
          <w:color w:val="auto"/>
          <w:kern w:val="0"/>
          <w:sz w:val="24"/>
          <w:szCs w:val="24"/>
          <w:highlight w:val="none"/>
          <w:lang w:val="en-US" w:eastAsia="zh-CN"/>
        </w:rPr>
      </w:pPr>
      <w:bookmarkStart w:id="109" w:name="_Toc21381"/>
      <w:bookmarkStart w:id="110" w:name="_Toc27742"/>
      <w:bookmarkStart w:id="111" w:name="_Toc22462"/>
      <w:bookmarkStart w:id="112" w:name="_Toc2938"/>
      <w:bookmarkStart w:id="113" w:name="_Toc21514"/>
      <w:r>
        <w:rPr>
          <w:rFonts w:hint="eastAsia" w:ascii="宋体" w:hAnsi="宋体" w:eastAsia="宋体" w:cs="宋体"/>
          <w:b/>
          <w:color w:val="auto"/>
          <w:kern w:val="0"/>
          <w:sz w:val="24"/>
          <w:szCs w:val="24"/>
          <w:highlight w:val="none"/>
        </w:rPr>
        <w:t>十</w:t>
      </w:r>
      <w:r>
        <w:rPr>
          <w:rFonts w:hint="eastAsia" w:ascii="宋体" w:hAnsi="宋体" w:eastAsia="宋体" w:cs="宋体"/>
          <w:b/>
          <w:color w:val="auto"/>
          <w:kern w:val="0"/>
          <w:sz w:val="24"/>
          <w:szCs w:val="24"/>
          <w:highlight w:val="none"/>
          <w:lang w:val="en-US" w:eastAsia="zh-CN"/>
        </w:rPr>
        <w:t>七</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lang w:val="en-US" w:eastAsia="zh-CN"/>
        </w:rPr>
        <w:t>合同生效</w:t>
      </w:r>
      <w:bookmarkEnd w:id="109"/>
      <w:bookmarkEnd w:id="110"/>
      <w:bookmarkEnd w:id="111"/>
      <w:bookmarkEnd w:id="112"/>
      <w:bookmarkEnd w:id="113"/>
    </w:p>
    <w:p w14:paraId="70D247E2">
      <w:pPr>
        <w:adjustRightInd w:val="0"/>
        <w:snapToGrid w:val="0"/>
        <w:spacing w:line="360" w:lineRule="auto"/>
        <w:ind w:right="11" w:firstLine="480" w:firstLineChars="200"/>
        <w:jc w:val="both"/>
        <w:outlineLvl w:val="9"/>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rPr>
        <w:t>本合同自</w:t>
      </w:r>
      <w:r>
        <w:rPr>
          <w:rFonts w:hint="eastAsia" w:ascii="宋体" w:hAnsi="宋体" w:eastAsia="宋体" w:cs="宋体"/>
          <w:bCs/>
          <w:snapToGrid w:val="0"/>
          <w:color w:val="auto"/>
          <w:kern w:val="0"/>
          <w:sz w:val="24"/>
          <w:szCs w:val="24"/>
          <w:highlight w:val="none"/>
          <w:lang w:val="en-US" w:eastAsia="zh-CN"/>
        </w:rPr>
        <w:t>甲乙</w:t>
      </w:r>
      <w:r>
        <w:rPr>
          <w:rFonts w:hint="eastAsia" w:ascii="宋体" w:hAnsi="宋体" w:eastAsia="宋体" w:cs="宋体"/>
          <w:bCs/>
          <w:snapToGrid w:val="0"/>
          <w:color w:val="auto"/>
          <w:kern w:val="0"/>
          <w:sz w:val="24"/>
          <w:szCs w:val="24"/>
          <w:highlight w:val="none"/>
        </w:rPr>
        <w:t>双方签字盖章（公章或合同专用章）之日起生效，委托代理人签字的需经另一方书面同意</w:t>
      </w:r>
      <w:r>
        <w:rPr>
          <w:rFonts w:hint="eastAsia" w:ascii="宋体" w:hAnsi="宋体" w:eastAsia="宋体" w:cs="宋体"/>
          <w:bCs/>
          <w:snapToGrid w:val="0"/>
          <w:color w:val="auto"/>
          <w:kern w:val="0"/>
          <w:sz w:val="24"/>
          <w:szCs w:val="24"/>
          <w:highlight w:val="none"/>
          <w:lang w:eastAsia="zh-CN"/>
        </w:rPr>
        <w:t>，并提交相应有效授权</w:t>
      </w:r>
      <w:r>
        <w:rPr>
          <w:rFonts w:hint="eastAsia" w:ascii="宋体" w:hAnsi="宋体" w:eastAsia="宋体" w:cs="宋体"/>
          <w:bCs/>
          <w:snapToGrid w:val="0"/>
          <w:color w:val="auto"/>
          <w:kern w:val="0"/>
          <w:sz w:val="24"/>
          <w:szCs w:val="24"/>
          <w:highlight w:val="none"/>
          <w:lang w:val="en-US" w:eastAsia="zh-CN"/>
        </w:rPr>
        <w:t>文件</w:t>
      </w:r>
      <w:r>
        <w:rPr>
          <w:rFonts w:hint="eastAsia" w:ascii="宋体" w:hAnsi="宋体" w:eastAsia="宋体" w:cs="宋体"/>
          <w:bCs/>
          <w:snapToGrid w:val="0"/>
          <w:color w:val="auto"/>
          <w:kern w:val="0"/>
          <w:sz w:val="24"/>
          <w:szCs w:val="24"/>
          <w:highlight w:val="none"/>
        </w:rPr>
        <w:t>。</w:t>
      </w:r>
      <w:r>
        <w:rPr>
          <w:rFonts w:hint="eastAsia" w:ascii="宋体" w:hAnsi="宋体" w:eastAsia="宋体" w:cs="宋体"/>
          <w:bCs/>
          <w:snapToGrid w:val="0"/>
          <w:color w:val="auto"/>
          <w:kern w:val="0"/>
          <w:sz w:val="24"/>
          <w:szCs w:val="24"/>
          <w:highlight w:val="none"/>
          <w:lang w:val="en-US" w:eastAsia="zh-CN"/>
        </w:rPr>
        <w:t>本合同有效期</w:t>
      </w:r>
      <w:r>
        <w:rPr>
          <w:rFonts w:hint="eastAsia" w:ascii="宋体" w:hAnsi="宋体" w:eastAsia="宋体" w:cs="宋体"/>
          <w:bCs/>
          <w:snapToGrid w:val="0"/>
          <w:color w:val="auto"/>
          <w:kern w:val="0"/>
          <w:sz w:val="24"/>
          <w:szCs w:val="24"/>
          <w:highlight w:val="none"/>
        </w:rPr>
        <w:t>至双方的责任、义务履行完毕时终止。</w:t>
      </w:r>
      <w:bookmarkStart w:id="114" w:name="_Toc28480"/>
      <w:bookmarkStart w:id="115" w:name="_Toc12115"/>
      <w:bookmarkStart w:id="116" w:name="_Toc20287"/>
      <w:bookmarkStart w:id="117" w:name="_Toc20225"/>
      <w:bookmarkStart w:id="118" w:name="_Toc19952"/>
      <w:bookmarkStart w:id="119" w:name="_Toc7721"/>
      <w:bookmarkStart w:id="120" w:name="_Toc19305"/>
      <w:bookmarkStart w:id="121" w:name="_Toc17145"/>
      <w:bookmarkStart w:id="122" w:name="_Toc15840"/>
      <w:bookmarkStart w:id="123" w:name="_Toc3839"/>
      <w:bookmarkStart w:id="124" w:name="_Toc18447"/>
      <w:bookmarkStart w:id="125" w:name="_Toc5194"/>
      <w:bookmarkStart w:id="126" w:name="_Toc5708"/>
      <w:bookmarkStart w:id="127" w:name="_Toc1247"/>
      <w:bookmarkStart w:id="128" w:name="_Toc24531"/>
      <w:bookmarkStart w:id="129" w:name="_Toc26953"/>
      <w:bookmarkStart w:id="130" w:name="_Toc20280"/>
      <w:bookmarkStart w:id="131" w:name="_Toc24100"/>
      <w:bookmarkStart w:id="132" w:name="_Toc21588"/>
      <w:bookmarkStart w:id="133" w:name="_Toc30067"/>
      <w:bookmarkStart w:id="134" w:name="_Toc19518"/>
      <w:bookmarkStart w:id="135" w:name="_Toc29011"/>
      <w:bookmarkStart w:id="136" w:name="_Toc31977"/>
      <w:bookmarkStart w:id="137" w:name="_Toc16550"/>
      <w:bookmarkStart w:id="138" w:name="_Toc24599"/>
      <w:bookmarkStart w:id="139" w:name="_Toc31947"/>
    </w:p>
    <w:p w14:paraId="0CB3712B">
      <w:pPr>
        <w:adjustRightInd w:val="0"/>
        <w:snapToGrid w:val="0"/>
        <w:spacing w:line="360" w:lineRule="auto"/>
        <w:ind w:right="11" w:firstLine="482" w:firstLineChars="200"/>
        <w:jc w:val="both"/>
        <w:outlineLvl w:val="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十八</w:t>
      </w: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rPr>
        <w:t>合同份数</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7B76FEBE">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bCs/>
          <w:snapToGrid w:val="0"/>
          <w:color w:val="auto"/>
          <w:kern w:val="0"/>
          <w:sz w:val="24"/>
          <w:szCs w:val="24"/>
          <w:highlight w:val="none"/>
        </w:rPr>
        <w:t>本合同一式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rPr>
        <w:t>份，甲方执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rPr>
        <w:t>份，乙方执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rPr>
        <w:t>份，具有同等法律效力</w:t>
      </w:r>
      <w:r>
        <w:rPr>
          <w:rFonts w:hint="eastAsia" w:ascii="宋体" w:hAnsi="宋体" w:eastAsia="宋体" w:cs="宋体"/>
          <w:bCs/>
          <w:snapToGrid w:val="0"/>
          <w:color w:val="auto"/>
          <w:kern w:val="0"/>
          <w:sz w:val="24"/>
          <w:szCs w:val="24"/>
          <w:highlight w:val="none"/>
        </w:rPr>
        <w:t>。</w:t>
      </w:r>
    </w:p>
    <w:p w14:paraId="296D1741">
      <w:pPr>
        <w:pStyle w:val="2"/>
        <w:keepNext w:val="0"/>
        <w:keepLines w:val="0"/>
        <w:pageBreakBefore w:val="0"/>
        <w:widowControl w:val="0"/>
        <w:kinsoku/>
        <w:wordWrap/>
        <w:overflowPunct/>
        <w:topLinePunct w:val="0"/>
        <w:bidi w:val="0"/>
        <w:adjustRightInd w:val="0"/>
        <w:snapToGrid w:val="0"/>
        <w:spacing w:line="240" w:lineRule="auto"/>
        <w:ind w:firstLine="480" w:firstLineChars="200"/>
        <w:jc w:val="both"/>
        <w:textAlignment w:val="auto"/>
        <w:outlineLvl w:val="9"/>
        <w:rPr>
          <w:rFonts w:hint="eastAsia" w:ascii="宋体" w:hAnsi="宋体" w:eastAsia="宋体" w:cs="宋体"/>
          <w:color w:val="auto"/>
          <w:kern w:val="0"/>
          <w:sz w:val="24"/>
          <w:szCs w:val="24"/>
          <w:highlight w:val="none"/>
        </w:rPr>
      </w:pPr>
    </w:p>
    <w:p w14:paraId="7628F31C">
      <w:pPr>
        <w:pStyle w:val="2"/>
        <w:adjustRightInd w:val="0"/>
        <w:snapToGrid w:val="0"/>
        <w:spacing w:line="360" w:lineRule="auto"/>
        <w:ind w:firstLine="480" w:firstLineChars="200"/>
        <w:jc w:val="both"/>
        <w:outlineLvl w:val="0"/>
        <w:rPr>
          <w:rFonts w:hint="eastAsia" w:ascii="宋体" w:hAnsi="宋体" w:eastAsia="宋体" w:cs="宋体"/>
          <w:color w:val="auto"/>
          <w:kern w:val="0"/>
          <w:sz w:val="24"/>
          <w:szCs w:val="24"/>
          <w:highlight w:val="none"/>
        </w:rPr>
      </w:pPr>
      <w:bookmarkStart w:id="140" w:name="_Toc21413"/>
      <w:bookmarkStart w:id="141" w:name="_Toc4433"/>
      <w:bookmarkStart w:id="142" w:name="_Toc19693"/>
      <w:r>
        <w:rPr>
          <w:rFonts w:hint="eastAsia" w:ascii="宋体" w:hAnsi="宋体" w:eastAsia="宋体" w:cs="宋体"/>
          <w:color w:val="auto"/>
          <w:kern w:val="0"/>
          <w:sz w:val="24"/>
          <w:szCs w:val="24"/>
          <w:highlight w:val="none"/>
        </w:rPr>
        <w:t>合同附件：</w:t>
      </w:r>
      <w:bookmarkEnd w:id="140"/>
      <w:bookmarkEnd w:id="141"/>
      <w:bookmarkEnd w:id="142"/>
    </w:p>
    <w:p w14:paraId="58DD3368">
      <w:pPr>
        <w:pStyle w:val="2"/>
        <w:adjustRightInd w:val="0"/>
        <w:snapToGrid w:val="0"/>
        <w:spacing w:line="360" w:lineRule="auto"/>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廉政合同</w:t>
      </w:r>
    </w:p>
    <w:p w14:paraId="308ED913">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2.保密协议</w:t>
      </w:r>
    </w:p>
    <w:p w14:paraId="5ADE4C8A">
      <w:pPr>
        <w:pStyle w:val="2"/>
        <w:adjustRightInd w:val="0"/>
        <w:snapToGrid w:val="0"/>
        <w:spacing w:line="360" w:lineRule="auto"/>
        <w:ind w:firstLine="480" w:firstLineChars="20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中标通知书（复印件）</w:t>
      </w:r>
    </w:p>
    <w:p w14:paraId="04DFA16E">
      <w:pPr>
        <w:pStyle w:val="2"/>
        <w:adjustRightInd w:val="0"/>
        <w:snapToGrid w:val="0"/>
        <w:spacing w:line="360" w:lineRule="auto"/>
        <w:ind w:firstLine="480" w:firstLineChars="20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4.履约担保及承诺书</w:t>
      </w:r>
    </w:p>
    <w:p w14:paraId="5B98C088">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5.拟投入本项目人员一览表</w:t>
      </w:r>
    </w:p>
    <w:p w14:paraId="25C9650D">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工程量清单</w:t>
      </w:r>
      <w:r>
        <w:rPr>
          <w:rFonts w:hint="eastAsia" w:ascii="宋体" w:hAnsi="宋体" w:eastAsia="宋体" w:cs="宋体"/>
          <w:color w:val="auto"/>
          <w:kern w:val="0"/>
          <w:sz w:val="24"/>
          <w:szCs w:val="24"/>
          <w:highlight w:val="none"/>
          <w:lang w:val="en-US" w:eastAsia="zh-CN"/>
        </w:rPr>
        <w:t>报价表</w:t>
      </w:r>
    </w:p>
    <w:p w14:paraId="467BFB9C">
      <w:pPr>
        <w:pStyle w:val="2"/>
        <w:adjustRightInd w:val="0"/>
        <w:snapToGrid w:val="0"/>
        <w:spacing w:line="360" w:lineRule="auto"/>
        <w:ind w:firstLine="480" w:firstLineChars="20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7.乙方营业执照</w:t>
      </w:r>
    </w:p>
    <w:p w14:paraId="2CDB22ED">
      <w:pPr>
        <w:adjustRightInd w:val="0"/>
        <w:snapToGrid w:val="0"/>
        <w:spacing w:line="360" w:lineRule="auto"/>
        <w:ind w:firstLine="480" w:firstLineChars="20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8.联合体协议书（如有、复印件）</w:t>
      </w:r>
    </w:p>
    <w:p w14:paraId="5029E5EF">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（本页以下无正文）</w:t>
      </w:r>
    </w:p>
    <w:p w14:paraId="3A279BBF">
      <w:pPr>
        <w:pStyle w:val="2"/>
        <w:keepNext w:val="0"/>
        <w:keepLines w:val="0"/>
        <w:pageBreakBefore w:val="0"/>
        <w:widowControl w:val="0"/>
        <w:kinsoku/>
        <w:wordWrap/>
        <w:overflowPunct/>
        <w:topLinePunct w:val="0"/>
        <w:bidi w:val="0"/>
        <w:adjustRightInd w:val="0"/>
        <w:snapToGrid w:val="0"/>
        <w:spacing w:line="240" w:lineRule="auto"/>
        <w:ind w:firstLine="480" w:firstLineChars="200"/>
        <w:jc w:val="left"/>
        <w:textAlignment w:val="auto"/>
        <w:outlineLvl w:val="9"/>
        <w:rPr>
          <w:rFonts w:hint="eastAsia" w:ascii="宋体" w:hAnsi="宋体" w:eastAsia="宋体" w:cs="宋体"/>
          <w:color w:val="auto"/>
          <w:kern w:val="0"/>
          <w:sz w:val="24"/>
          <w:szCs w:val="24"/>
          <w:highlight w:val="none"/>
          <w:lang w:eastAsia="zh-CN"/>
        </w:rPr>
      </w:pPr>
    </w:p>
    <w:p w14:paraId="35381F69">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     方：</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 xml:space="preserve">（盖章）    </w:t>
      </w:r>
    </w:p>
    <w:p w14:paraId="7B9D58E0">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法定代表人：（签名）    </w:t>
      </w:r>
    </w:p>
    <w:p w14:paraId="7CD3AF47">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委托代理人：（签名）     </w:t>
      </w:r>
    </w:p>
    <w:p w14:paraId="4B1EBF69">
      <w:pPr>
        <w:keepNext w:val="0"/>
        <w:keepLines w:val="0"/>
        <w:pageBreakBefore w:val="0"/>
        <w:widowControl w:val="0"/>
        <w:kinsoku/>
        <w:wordWrap/>
        <w:overflowPunct/>
        <w:topLinePunct w:val="0"/>
        <w:bidi w:val="0"/>
        <w:adjustRightInd w:val="0"/>
        <w:snapToGrid w:val="0"/>
        <w:spacing w:line="240" w:lineRule="auto"/>
        <w:ind w:firstLine="480" w:firstLineChars="200"/>
        <w:jc w:val="left"/>
        <w:textAlignment w:val="auto"/>
        <w:outlineLvl w:val="9"/>
        <w:rPr>
          <w:rFonts w:hint="eastAsia" w:ascii="宋体" w:hAnsi="宋体" w:eastAsia="宋体" w:cs="宋体"/>
          <w:color w:val="auto"/>
          <w:kern w:val="0"/>
          <w:sz w:val="24"/>
          <w:szCs w:val="24"/>
          <w:highlight w:val="none"/>
        </w:rPr>
      </w:pPr>
    </w:p>
    <w:p w14:paraId="432BABDA">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     方：（主）</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（盖章）</w:t>
      </w:r>
    </w:p>
    <w:p w14:paraId="58ABA55F">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法定代表人：（签名）</w:t>
      </w:r>
    </w:p>
    <w:p w14:paraId="56BE32A3">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委托代理人：（签名）</w:t>
      </w:r>
    </w:p>
    <w:p w14:paraId="2B6750AF">
      <w:pPr>
        <w:pStyle w:val="2"/>
        <w:keepNext w:val="0"/>
        <w:keepLines w:val="0"/>
        <w:pageBreakBefore w:val="0"/>
        <w:widowControl w:val="0"/>
        <w:kinsoku/>
        <w:wordWrap/>
        <w:overflowPunct/>
        <w:topLinePunct w:val="0"/>
        <w:bidi w:val="0"/>
        <w:adjustRightInd w:val="0"/>
        <w:snapToGrid w:val="0"/>
        <w:spacing w:line="240" w:lineRule="auto"/>
        <w:ind w:firstLine="480" w:firstLineChars="200"/>
        <w:jc w:val="left"/>
        <w:textAlignment w:val="auto"/>
        <w:outlineLvl w:val="9"/>
        <w:rPr>
          <w:rFonts w:hint="eastAsia" w:ascii="宋体" w:hAnsi="宋体" w:eastAsia="宋体" w:cs="宋体"/>
          <w:color w:val="auto"/>
          <w:kern w:val="0"/>
          <w:sz w:val="24"/>
          <w:szCs w:val="24"/>
          <w:highlight w:val="none"/>
        </w:rPr>
      </w:pPr>
    </w:p>
    <w:p w14:paraId="0B70E9B8">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乙     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成</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（盖章）</w:t>
      </w:r>
    </w:p>
    <w:p w14:paraId="244438AE">
      <w:pPr>
        <w:pStyle w:val="2"/>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法定代表人：（签名）</w:t>
      </w:r>
    </w:p>
    <w:p w14:paraId="6FFCA9EA">
      <w:pPr>
        <w:pStyle w:val="2"/>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委托代理人：（签名） </w:t>
      </w:r>
    </w:p>
    <w:p w14:paraId="1793E833">
      <w:pPr>
        <w:pStyle w:val="2"/>
        <w:adjustRightInd w:val="0"/>
        <w:snapToGrid w:val="0"/>
        <w:spacing w:line="360" w:lineRule="auto"/>
        <w:ind w:firstLine="2640" w:firstLineChars="1100"/>
        <w:jc w:val="both"/>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签订日期：</w:t>
      </w:r>
      <w:r>
        <w:rPr>
          <w:rFonts w:hint="eastAsia" w:ascii="宋体" w:hAnsi="宋体" w:eastAsia="宋体" w:cs="宋体"/>
          <w:color w:val="auto"/>
          <w:kern w:val="0"/>
          <w:sz w:val="24"/>
          <w:szCs w:val="24"/>
          <w:highlight w:val="none"/>
          <w:lang w:eastAsia="zh-CN"/>
        </w:rPr>
        <w:t>202</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  日</w:t>
      </w:r>
    </w:p>
    <w:p w14:paraId="2A5CF768">
      <w:pPr>
        <w:pStyle w:val="2"/>
        <w:adjustRightInd w:val="0"/>
        <w:snapToGrid w:val="0"/>
        <w:spacing w:line="500" w:lineRule="exact"/>
        <w:ind w:firstLine="2640" w:firstLineChars="1100"/>
        <w:jc w:val="both"/>
        <w:outlineLvl w:val="9"/>
        <w:rPr>
          <w:rFonts w:hint="eastAsia" w:ascii="宋体" w:hAnsi="宋体" w:eastAsia="宋体" w:cs="宋体"/>
          <w:b/>
          <w:color w:val="auto"/>
          <w:sz w:val="24"/>
          <w:szCs w:val="24"/>
          <w:highlight w:val="none"/>
        </w:rPr>
      </w:pPr>
      <w:r>
        <w:rPr>
          <w:rFonts w:hint="eastAsia" w:ascii="宋体" w:hAnsi="宋体" w:eastAsia="宋体" w:cs="宋体"/>
          <w:color w:val="auto"/>
          <w:spacing w:val="0"/>
          <w:kern w:val="0"/>
          <w:sz w:val="24"/>
          <w:szCs w:val="24"/>
          <w:highlight w:val="none"/>
        </w:rPr>
        <w:t>签</w:t>
      </w:r>
      <w:r>
        <w:rPr>
          <w:rFonts w:hint="eastAsia" w:ascii="宋体" w:hAnsi="宋体" w:eastAsia="宋体" w:cs="宋体"/>
          <w:color w:val="auto"/>
          <w:spacing w:val="0"/>
          <w:kern w:val="0"/>
          <w:sz w:val="24"/>
          <w:szCs w:val="24"/>
          <w:highlight w:val="none"/>
          <w:lang w:eastAsia="zh-CN"/>
        </w:rPr>
        <w:t>订</w:t>
      </w:r>
      <w:r>
        <w:rPr>
          <w:rFonts w:hint="eastAsia" w:ascii="宋体" w:hAnsi="宋体" w:eastAsia="宋体" w:cs="宋体"/>
          <w:color w:val="auto"/>
          <w:spacing w:val="0"/>
          <w:kern w:val="0"/>
          <w:sz w:val="24"/>
          <w:szCs w:val="24"/>
          <w:highlight w:val="none"/>
        </w:rPr>
        <w:t>地点：广东省广州市</w:t>
      </w:r>
      <w:r>
        <w:rPr>
          <w:rFonts w:hint="eastAsia" w:ascii="宋体" w:hAnsi="宋体" w:eastAsia="宋体" w:cs="宋体"/>
          <w:color w:val="auto"/>
          <w:sz w:val="24"/>
          <w:szCs w:val="24"/>
          <w:highlight w:val="none"/>
        </w:rPr>
        <w:br w:type="page"/>
      </w:r>
      <w:bookmarkStart w:id="143" w:name="_Toc17470"/>
      <w:bookmarkStart w:id="144" w:name="_Toc20577"/>
      <w:bookmarkStart w:id="145" w:name="_Toc27298"/>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bookmarkEnd w:id="143"/>
      <w:r>
        <w:rPr>
          <w:rFonts w:hint="eastAsia" w:ascii="宋体" w:hAnsi="宋体" w:eastAsia="宋体" w:cs="宋体"/>
          <w:b/>
          <w:color w:val="auto"/>
          <w:sz w:val="24"/>
          <w:szCs w:val="24"/>
          <w:highlight w:val="none"/>
        </w:rPr>
        <w:t>廉政合同</w:t>
      </w:r>
      <w:bookmarkEnd w:id="144"/>
      <w:bookmarkEnd w:id="145"/>
    </w:p>
    <w:p w14:paraId="3B64F293">
      <w:pPr>
        <w:keepNext w:val="0"/>
        <w:keepLines w:val="0"/>
        <w:pageBreakBefore w:val="0"/>
        <w:widowControl w:val="0"/>
        <w:kinsoku/>
        <w:wordWrap/>
        <w:overflowPunct/>
        <w:topLinePunct w:val="0"/>
        <w:bidi w:val="0"/>
        <w:adjustRightInd w:val="0"/>
        <w:snapToGrid w:val="0"/>
        <w:spacing w:line="500" w:lineRule="exact"/>
        <w:ind w:firstLine="643" w:firstLineChars="200"/>
        <w:jc w:val="center"/>
        <w:textAlignment w:val="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廉政合同</w:t>
      </w:r>
    </w:p>
    <w:p w14:paraId="47A9776F">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outlineLvl w:val="9"/>
        <w:rPr>
          <w:rFonts w:hint="eastAsia" w:ascii="宋体" w:hAnsi="宋体" w:eastAsia="宋体" w:cs="宋体"/>
          <w:color w:val="auto"/>
          <w:sz w:val="24"/>
          <w:szCs w:val="24"/>
          <w:highlight w:val="none"/>
        </w:rPr>
      </w:pPr>
    </w:p>
    <w:p w14:paraId="54F2945B">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lang w:val="en-US" w:eastAsia="zh-CN"/>
        </w:rPr>
        <w:t xml:space="preserve">                                     </w:t>
      </w:r>
    </w:p>
    <w:p w14:paraId="1D166B7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w:t>
      </w:r>
      <w:r>
        <w:rPr>
          <w:rFonts w:hint="eastAsia" w:ascii="宋体" w:hAnsi="宋体" w:eastAsia="宋体" w:cs="宋体"/>
          <w:color w:val="auto"/>
          <w:spacing w:val="0"/>
          <w:sz w:val="24"/>
          <w:szCs w:val="24"/>
          <w:highlight w:val="none"/>
          <w:u w:val="single"/>
        </w:rPr>
        <w:t>（主）</w:t>
      </w:r>
      <w:r>
        <w:rPr>
          <w:rFonts w:hint="eastAsia" w:ascii="宋体" w:hAnsi="宋体" w:eastAsia="宋体" w:cs="宋体"/>
          <w:color w:val="auto"/>
          <w:sz w:val="24"/>
          <w:szCs w:val="24"/>
          <w:highlight w:val="none"/>
          <w:u w:val="single"/>
          <w:lang w:val="en-US" w:eastAsia="zh-CN"/>
        </w:rPr>
        <w:t xml:space="preserve">                               </w:t>
      </w:r>
    </w:p>
    <w:p w14:paraId="7D40968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（成）</w:t>
      </w:r>
      <w:r>
        <w:rPr>
          <w:rFonts w:hint="eastAsia" w:ascii="宋体" w:hAnsi="宋体" w:eastAsia="宋体" w:cs="宋体"/>
          <w:color w:val="auto"/>
          <w:sz w:val="24"/>
          <w:szCs w:val="24"/>
          <w:highlight w:val="none"/>
          <w:u w:val="single"/>
          <w:lang w:val="en-US" w:eastAsia="zh-CN"/>
        </w:rPr>
        <w:t xml:space="preserve">                               </w:t>
      </w:r>
    </w:p>
    <w:p w14:paraId="1966912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outlineLvl w:val="9"/>
        <w:rPr>
          <w:rFonts w:hint="eastAsia" w:ascii="宋体" w:hAnsi="宋体" w:eastAsia="宋体" w:cs="宋体"/>
          <w:color w:val="auto"/>
          <w:sz w:val="24"/>
          <w:szCs w:val="24"/>
          <w:highlight w:val="none"/>
          <w:lang w:val="zh-CN"/>
        </w:rPr>
      </w:pPr>
    </w:p>
    <w:p w14:paraId="14AEBF0C">
      <w:pPr>
        <w:pStyle w:val="48"/>
        <w:keepNext w:val="0"/>
        <w:keepLines w:val="0"/>
        <w:pageBreakBefore w:val="0"/>
        <w:widowControl w:val="0"/>
        <w:kinsoku/>
        <w:wordWrap/>
        <w:overflowPunct/>
        <w:topLinePunct w:val="0"/>
        <w:bidi w:val="0"/>
        <w:adjustRightInd w:val="0"/>
        <w:snapToGrid w:val="0"/>
        <w:spacing w:after="0"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eastAsia="宋体" w:cs="宋体"/>
          <w:color w:val="auto"/>
          <w:sz w:val="24"/>
          <w:szCs w:val="24"/>
          <w:highlight w:val="none"/>
        </w:rPr>
        <w:t>。</w:t>
      </w:r>
    </w:p>
    <w:p w14:paraId="7E6305A7">
      <w:pPr>
        <w:pStyle w:val="48"/>
        <w:keepNext w:val="0"/>
        <w:keepLines w:val="0"/>
        <w:pageBreakBefore w:val="0"/>
        <w:widowControl w:val="0"/>
        <w:kinsoku/>
        <w:wordWrap/>
        <w:overflowPunct/>
        <w:topLinePunct w:val="0"/>
        <w:bidi w:val="0"/>
        <w:adjustRightInd w:val="0"/>
        <w:snapToGrid w:val="0"/>
        <w:spacing w:after="0" w:line="500" w:lineRule="exact"/>
        <w:ind w:firstLine="482" w:firstLineChars="200"/>
        <w:jc w:val="both"/>
        <w:textAlignment w:val="auto"/>
        <w:outlineLvl w:val="9"/>
        <w:rPr>
          <w:rFonts w:hint="eastAsia" w:ascii="宋体" w:hAnsi="宋体" w:eastAsia="宋体" w:cs="宋体"/>
          <w:b/>
          <w:bCs/>
          <w:color w:val="auto"/>
          <w:sz w:val="24"/>
          <w:szCs w:val="24"/>
          <w:highlight w:val="none"/>
        </w:rPr>
      </w:pPr>
      <w:bookmarkStart w:id="146" w:name="_Toc12833"/>
      <w:bookmarkStart w:id="147" w:name="_Toc22167"/>
      <w:bookmarkStart w:id="148" w:name="_Toc11148"/>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双方权利和义务</w:t>
      </w:r>
      <w:bookmarkEnd w:id="146"/>
      <w:bookmarkEnd w:id="147"/>
      <w:bookmarkEnd w:id="148"/>
    </w:p>
    <w:p w14:paraId="34925F32">
      <w:pPr>
        <w:pStyle w:val="48"/>
        <w:keepNext w:val="0"/>
        <w:keepLines w:val="0"/>
        <w:pageBreakBefore w:val="0"/>
        <w:widowControl w:val="0"/>
        <w:kinsoku/>
        <w:wordWrap/>
        <w:overflowPunct/>
        <w:topLinePunct w:val="0"/>
        <w:bidi w:val="0"/>
        <w:adjustRightInd w:val="0"/>
        <w:snapToGrid w:val="0"/>
        <w:spacing w:after="0"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严格遵守国家、省有关法律法规的规定。</w:t>
      </w:r>
    </w:p>
    <w:p w14:paraId="4A5674F5">
      <w:pPr>
        <w:pStyle w:val="48"/>
        <w:keepNext w:val="0"/>
        <w:keepLines w:val="0"/>
        <w:pageBreakBefore w:val="0"/>
        <w:widowControl w:val="0"/>
        <w:kinsoku/>
        <w:wordWrap/>
        <w:overflowPunct/>
        <w:topLinePunct w:val="0"/>
        <w:bidi w:val="0"/>
        <w:adjustRightInd w:val="0"/>
        <w:snapToGrid w:val="0"/>
        <w:spacing w:after="0"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严格执行合同工程一切合同文件，自觉按合同办事。</w:t>
      </w:r>
    </w:p>
    <w:p w14:paraId="25FCB97F">
      <w:pPr>
        <w:pStyle w:val="48"/>
        <w:keepNext w:val="0"/>
        <w:keepLines w:val="0"/>
        <w:pageBreakBefore w:val="0"/>
        <w:widowControl w:val="0"/>
        <w:kinsoku/>
        <w:wordWrap/>
        <w:overflowPunct/>
        <w:topLinePunct w:val="0"/>
        <w:bidi w:val="0"/>
        <w:adjustRightInd w:val="0"/>
        <w:snapToGrid w:val="0"/>
        <w:spacing w:after="0"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 </w:t>
      </w:r>
      <w:r>
        <w:rPr>
          <w:rFonts w:hint="eastAsia" w:ascii="宋体" w:hAnsi="宋体" w:eastAsia="宋体" w:cs="宋体"/>
          <w:color w:val="auto"/>
          <w:sz w:val="24"/>
          <w:szCs w:val="24"/>
          <w:highlight w:val="none"/>
          <w:lang w:val="zh-CN"/>
        </w:rPr>
        <w:t>合同双方当事人的业务活动应坚持公平、公开、公正和诚信的原则（法律认定的商业秘密和合同文件另有规定除外），不得损害国家和集体利益，不得违反工程建设管理规章制度</w:t>
      </w:r>
      <w:r>
        <w:rPr>
          <w:rFonts w:hint="eastAsia" w:ascii="宋体" w:hAnsi="宋体" w:eastAsia="宋体" w:cs="宋体"/>
          <w:color w:val="auto"/>
          <w:sz w:val="24"/>
          <w:szCs w:val="24"/>
          <w:highlight w:val="none"/>
        </w:rPr>
        <w:t>。</w:t>
      </w:r>
    </w:p>
    <w:p w14:paraId="474C2BA1">
      <w:pPr>
        <w:pStyle w:val="48"/>
        <w:keepNext w:val="0"/>
        <w:keepLines w:val="0"/>
        <w:pageBreakBefore w:val="0"/>
        <w:widowControl w:val="0"/>
        <w:kinsoku/>
        <w:wordWrap/>
        <w:overflowPunct/>
        <w:topLinePunct w:val="0"/>
        <w:bidi w:val="0"/>
        <w:adjustRightInd w:val="0"/>
        <w:snapToGrid w:val="0"/>
        <w:spacing w:after="0"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建立健全廉政制度，开展廉政教育，设立廉政告示牌，公布举报电话，监督并认真查处违法违纪行为。</w:t>
      </w:r>
    </w:p>
    <w:p w14:paraId="1F57B774">
      <w:pPr>
        <w:pStyle w:val="48"/>
        <w:keepNext w:val="0"/>
        <w:keepLines w:val="0"/>
        <w:pageBreakBefore w:val="0"/>
        <w:widowControl w:val="0"/>
        <w:kinsoku/>
        <w:wordWrap/>
        <w:overflowPunct/>
        <w:topLinePunct w:val="0"/>
        <w:bidi w:val="0"/>
        <w:adjustRightInd w:val="0"/>
        <w:snapToGrid w:val="0"/>
        <w:spacing w:after="0"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发现对方在业务活动中有违反廉政建设规定的行为，应及时给予提醒和纠正。</w:t>
      </w:r>
    </w:p>
    <w:p w14:paraId="39727A61">
      <w:pPr>
        <w:pStyle w:val="48"/>
        <w:keepNext w:val="0"/>
        <w:keepLines w:val="0"/>
        <w:pageBreakBefore w:val="0"/>
        <w:widowControl w:val="0"/>
        <w:kinsoku/>
        <w:wordWrap/>
        <w:overflowPunct/>
        <w:topLinePunct w:val="0"/>
        <w:bidi w:val="0"/>
        <w:adjustRightInd w:val="0"/>
        <w:snapToGrid w:val="0"/>
        <w:spacing w:after="0"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发现对方严重违反合同的行为，有向其主管部门举报、建议给予处理并要求告知处理结果的权利。</w:t>
      </w:r>
      <w:bookmarkStart w:id="149" w:name="_Toc18074"/>
    </w:p>
    <w:p w14:paraId="246EC641">
      <w:pPr>
        <w:pStyle w:val="48"/>
        <w:keepNext w:val="0"/>
        <w:keepLines w:val="0"/>
        <w:pageBreakBefore w:val="0"/>
        <w:widowControl w:val="0"/>
        <w:kinsoku/>
        <w:wordWrap/>
        <w:overflowPunct/>
        <w:topLinePunct w:val="0"/>
        <w:bidi w:val="0"/>
        <w:adjustRightInd w:val="0"/>
        <w:snapToGrid w:val="0"/>
        <w:spacing w:after="0" w:line="500" w:lineRule="exact"/>
        <w:ind w:firstLine="482" w:firstLineChars="200"/>
        <w:jc w:val="both"/>
        <w:textAlignment w:val="auto"/>
        <w:outlineLvl w:val="9"/>
        <w:rPr>
          <w:rFonts w:hint="eastAsia" w:ascii="宋体" w:hAnsi="宋体" w:eastAsia="宋体" w:cs="宋体"/>
          <w:b/>
          <w:bCs/>
          <w:color w:val="auto"/>
          <w:sz w:val="24"/>
          <w:szCs w:val="24"/>
          <w:highlight w:val="none"/>
        </w:rPr>
      </w:pPr>
      <w:bookmarkStart w:id="150" w:name="_Toc17035"/>
      <w:bookmarkStart w:id="151" w:name="_Toc23604"/>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甲方义务</w:t>
      </w:r>
      <w:bookmarkEnd w:id="149"/>
      <w:bookmarkEnd w:id="150"/>
      <w:bookmarkEnd w:id="151"/>
    </w:p>
    <w:p w14:paraId="0C5A4A78">
      <w:pPr>
        <w:pStyle w:val="48"/>
        <w:keepNext w:val="0"/>
        <w:keepLines w:val="0"/>
        <w:pageBreakBefore w:val="0"/>
        <w:widowControl w:val="0"/>
        <w:kinsoku/>
        <w:wordWrap/>
        <w:overflowPunct/>
        <w:topLinePunct w:val="0"/>
        <w:bidi w:val="0"/>
        <w:adjustRightInd w:val="0"/>
        <w:snapToGrid w:val="0"/>
        <w:spacing w:after="0"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甲方及其工作人员不得索要或接受乙方的礼金、有价证券和贵重物品，不得在乙方报销任何应由甲方或工作人员个人支付的费用等。</w:t>
      </w:r>
    </w:p>
    <w:p w14:paraId="77CC6AEA">
      <w:pPr>
        <w:pStyle w:val="48"/>
        <w:keepNext w:val="0"/>
        <w:keepLines w:val="0"/>
        <w:pageBreakBefore w:val="0"/>
        <w:widowControl w:val="0"/>
        <w:kinsoku/>
        <w:wordWrap/>
        <w:overflowPunct/>
        <w:topLinePunct w:val="0"/>
        <w:bidi w:val="0"/>
        <w:adjustRightInd w:val="0"/>
        <w:snapToGrid w:val="0"/>
        <w:spacing w:after="0"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甲方及其工作人员不得参加乙方安排的宴请（工作餐除外）和娱乐活动；不得接受乙方提供的通讯工具、交通工具和高档办公用品等。</w:t>
      </w:r>
    </w:p>
    <w:p w14:paraId="2C5A0D9E">
      <w:pPr>
        <w:pStyle w:val="48"/>
        <w:keepNext w:val="0"/>
        <w:keepLines w:val="0"/>
        <w:pageBreakBefore w:val="0"/>
        <w:widowControl w:val="0"/>
        <w:kinsoku/>
        <w:wordWrap/>
        <w:overflowPunct/>
        <w:topLinePunct w:val="0"/>
        <w:bidi w:val="0"/>
        <w:adjustRightInd w:val="0"/>
        <w:snapToGrid w:val="0"/>
        <w:spacing w:after="0"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甲方及其工作人员不得要求或者接受乙方为其住房装修、婚丧嫁娶活动、配偶子女的工作安排以及出国出境、旅游等提供方便等。</w:t>
      </w:r>
    </w:p>
    <w:p w14:paraId="2D032A0A">
      <w:pPr>
        <w:pStyle w:val="48"/>
        <w:keepNext w:val="0"/>
        <w:keepLines w:val="0"/>
        <w:pageBreakBefore w:val="0"/>
        <w:widowControl w:val="0"/>
        <w:kinsoku/>
        <w:wordWrap/>
        <w:overflowPunct/>
        <w:topLinePunct w:val="0"/>
        <w:bidi w:val="0"/>
        <w:adjustRightInd w:val="0"/>
        <w:snapToGrid w:val="0"/>
        <w:spacing w:after="0"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 </w:t>
      </w:r>
      <w:r>
        <w:rPr>
          <w:rFonts w:hint="eastAsia" w:ascii="宋体" w:hAnsi="宋体" w:eastAsia="宋体" w:cs="宋体"/>
          <w:color w:val="auto"/>
          <w:sz w:val="24"/>
          <w:szCs w:val="24"/>
          <w:highlight w:val="none"/>
          <w:lang w:val="zh-CN"/>
        </w:rPr>
        <w:t>甲方及其工作人员不得以任何理由向乙方推荐分包人、推销工程材料和工程设备，不得要求乙方购买合同以外的工程材料和工程设备</w:t>
      </w:r>
      <w:r>
        <w:rPr>
          <w:rFonts w:hint="eastAsia" w:ascii="宋体" w:hAnsi="宋体" w:eastAsia="宋体" w:cs="宋体"/>
          <w:color w:val="auto"/>
          <w:sz w:val="24"/>
          <w:szCs w:val="24"/>
          <w:highlight w:val="none"/>
        </w:rPr>
        <w:t>。</w:t>
      </w:r>
    </w:p>
    <w:p w14:paraId="58DDB7D2">
      <w:pPr>
        <w:pStyle w:val="48"/>
        <w:keepNext w:val="0"/>
        <w:keepLines w:val="0"/>
        <w:pageBreakBefore w:val="0"/>
        <w:widowControl w:val="0"/>
        <w:kinsoku/>
        <w:wordWrap/>
        <w:overflowPunct/>
        <w:topLinePunct w:val="0"/>
        <w:bidi w:val="0"/>
        <w:adjustRightInd w:val="0"/>
        <w:snapToGrid w:val="0"/>
        <w:spacing w:after="0"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2.5 </w:t>
      </w:r>
      <w:r>
        <w:rPr>
          <w:rFonts w:hint="eastAsia" w:ascii="宋体" w:hAnsi="宋体" w:eastAsia="宋体" w:cs="宋体"/>
          <w:color w:val="auto"/>
          <w:sz w:val="24"/>
          <w:szCs w:val="24"/>
          <w:highlight w:val="none"/>
          <w:lang w:val="zh-CN"/>
        </w:rPr>
        <w:t>甲方及其工作人员要秉公办事，不准营私舞弊，不准利用职权私自为合同工程安排施工队伍，也不得从事与合同工程有关的各种有偿中介活动</w:t>
      </w:r>
      <w:r>
        <w:rPr>
          <w:rFonts w:hint="eastAsia" w:ascii="宋体" w:hAnsi="宋体" w:eastAsia="宋体" w:cs="宋体"/>
          <w:color w:val="auto"/>
          <w:sz w:val="24"/>
          <w:szCs w:val="24"/>
          <w:highlight w:val="none"/>
        </w:rPr>
        <w:t>。</w:t>
      </w:r>
    </w:p>
    <w:p w14:paraId="23D33F6B">
      <w:pPr>
        <w:pStyle w:val="48"/>
        <w:keepNext w:val="0"/>
        <w:keepLines w:val="0"/>
        <w:pageBreakBefore w:val="0"/>
        <w:widowControl w:val="0"/>
        <w:kinsoku/>
        <w:wordWrap/>
        <w:overflowPunct/>
        <w:topLinePunct w:val="0"/>
        <w:bidi w:val="0"/>
        <w:adjustRightInd w:val="0"/>
        <w:snapToGrid w:val="0"/>
        <w:spacing w:after="0"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2.6 </w:t>
      </w:r>
      <w:r>
        <w:rPr>
          <w:rFonts w:hint="eastAsia" w:ascii="宋体" w:hAnsi="宋体" w:eastAsia="宋体" w:cs="宋体"/>
          <w:color w:val="auto"/>
          <w:sz w:val="24"/>
          <w:szCs w:val="24"/>
          <w:highlight w:val="none"/>
          <w:lang w:val="zh-CN"/>
        </w:rPr>
        <w:t>甲方及其工作人员（含其配偶、子女）不得从事与合同工程有关的工程材料和工程设备供应、工程分包、劳务等经济活动</w:t>
      </w:r>
      <w:r>
        <w:rPr>
          <w:rFonts w:hint="eastAsia" w:ascii="宋体" w:hAnsi="宋体" w:eastAsia="宋体" w:cs="宋体"/>
          <w:color w:val="auto"/>
          <w:sz w:val="24"/>
          <w:szCs w:val="24"/>
          <w:highlight w:val="none"/>
        </w:rPr>
        <w:t>。</w:t>
      </w:r>
    </w:p>
    <w:p w14:paraId="25B2B848">
      <w:pPr>
        <w:pStyle w:val="48"/>
        <w:keepNext w:val="0"/>
        <w:keepLines w:val="0"/>
        <w:pageBreakBefore w:val="0"/>
        <w:widowControl w:val="0"/>
        <w:kinsoku/>
        <w:wordWrap/>
        <w:overflowPunct/>
        <w:topLinePunct w:val="0"/>
        <w:bidi w:val="0"/>
        <w:adjustRightInd w:val="0"/>
        <w:snapToGrid w:val="0"/>
        <w:spacing w:after="0" w:line="500" w:lineRule="exact"/>
        <w:ind w:firstLine="482" w:firstLineChars="200"/>
        <w:jc w:val="both"/>
        <w:textAlignment w:val="auto"/>
        <w:outlineLvl w:val="9"/>
        <w:rPr>
          <w:rFonts w:hint="eastAsia" w:ascii="宋体" w:hAnsi="宋体" w:eastAsia="宋体" w:cs="宋体"/>
          <w:b/>
          <w:bCs/>
          <w:color w:val="auto"/>
          <w:sz w:val="24"/>
          <w:szCs w:val="24"/>
          <w:highlight w:val="none"/>
        </w:rPr>
      </w:pPr>
      <w:bookmarkStart w:id="152" w:name="_Toc2259"/>
      <w:bookmarkStart w:id="153" w:name="_Toc29810"/>
      <w:bookmarkStart w:id="154" w:name="_Toc14380"/>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乙方义务</w:t>
      </w:r>
      <w:bookmarkEnd w:id="152"/>
      <w:bookmarkEnd w:id="153"/>
      <w:bookmarkEnd w:id="154"/>
    </w:p>
    <w:p w14:paraId="74AAB3EC">
      <w:pPr>
        <w:pStyle w:val="48"/>
        <w:keepNext w:val="0"/>
        <w:keepLines w:val="0"/>
        <w:pageBreakBefore w:val="0"/>
        <w:widowControl w:val="0"/>
        <w:kinsoku/>
        <w:wordWrap/>
        <w:overflowPunct/>
        <w:topLinePunct w:val="0"/>
        <w:bidi w:val="0"/>
        <w:adjustRightInd w:val="0"/>
        <w:snapToGrid w:val="0"/>
        <w:spacing w:after="0"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乙方不得以任何理由向甲方及其工作人员行贿或馈赠礼金、有价证券、贵重礼品。</w:t>
      </w:r>
    </w:p>
    <w:p w14:paraId="28EA7978">
      <w:pPr>
        <w:pStyle w:val="48"/>
        <w:keepNext w:val="0"/>
        <w:keepLines w:val="0"/>
        <w:pageBreakBefore w:val="0"/>
        <w:widowControl w:val="0"/>
        <w:kinsoku/>
        <w:wordWrap/>
        <w:overflowPunct/>
        <w:topLinePunct w:val="0"/>
        <w:bidi w:val="0"/>
        <w:adjustRightInd w:val="0"/>
        <w:snapToGrid w:val="0"/>
        <w:spacing w:after="0"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乙方不得以任何名义为甲方及其工作人员报销应由甲方或工作人员个人支付的任何费用。</w:t>
      </w:r>
    </w:p>
    <w:p w14:paraId="7DF0CA1E">
      <w:pPr>
        <w:pStyle w:val="48"/>
        <w:keepNext w:val="0"/>
        <w:keepLines w:val="0"/>
        <w:pageBreakBefore w:val="0"/>
        <w:widowControl w:val="0"/>
        <w:kinsoku/>
        <w:wordWrap/>
        <w:overflowPunct/>
        <w:topLinePunct w:val="0"/>
        <w:bidi w:val="0"/>
        <w:adjustRightInd w:val="0"/>
        <w:snapToGrid w:val="0"/>
        <w:spacing w:after="0"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乙方不得以任何理由安排甲方及其工作人员参加宴请（工作餐除外）及娱乐活动。</w:t>
      </w:r>
    </w:p>
    <w:p w14:paraId="495B9C7D">
      <w:pPr>
        <w:pStyle w:val="48"/>
        <w:keepNext w:val="0"/>
        <w:keepLines w:val="0"/>
        <w:pageBreakBefore w:val="0"/>
        <w:widowControl w:val="0"/>
        <w:kinsoku/>
        <w:wordWrap/>
        <w:overflowPunct/>
        <w:topLinePunct w:val="0"/>
        <w:bidi w:val="0"/>
        <w:adjustRightInd w:val="0"/>
        <w:snapToGrid w:val="0"/>
        <w:spacing w:after="0"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乙方不得为甲方和个人购置或提供通讯工具、交通工具和高档办公用品等。</w:t>
      </w:r>
    </w:p>
    <w:p w14:paraId="4FD849CD">
      <w:pPr>
        <w:pStyle w:val="48"/>
        <w:keepNext w:val="0"/>
        <w:keepLines w:val="0"/>
        <w:pageBreakBefore w:val="0"/>
        <w:widowControl w:val="0"/>
        <w:kinsoku/>
        <w:wordWrap/>
        <w:overflowPunct/>
        <w:topLinePunct w:val="0"/>
        <w:bidi w:val="0"/>
        <w:adjustRightInd w:val="0"/>
        <w:snapToGrid w:val="0"/>
        <w:spacing w:after="0"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3.5 </w:t>
      </w:r>
      <w:r>
        <w:rPr>
          <w:rFonts w:hint="eastAsia" w:ascii="宋体" w:hAnsi="宋体" w:eastAsia="宋体" w:cs="宋体"/>
          <w:color w:val="auto"/>
          <w:sz w:val="24"/>
          <w:szCs w:val="24"/>
          <w:highlight w:val="none"/>
          <w:lang w:val="zh-CN"/>
        </w:rPr>
        <w:t>乙方不得为甲方及其工作人员的住房装修、婚丧嫁娶活动、配偶子女工作安排以及出国出境、旅游等提供方便。</w:t>
      </w:r>
    </w:p>
    <w:p w14:paraId="1EBB57BC">
      <w:pPr>
        <w:pStyle w:val="48"/>
        <w:keepNext w:val="0"/>
        <w:keepLines w:val="0"/>
        <w:pageBreakBefore w:val="0"/>
        <w:widowControl w:val="0"/>
        <w:kinsoku/>
        <w:wordWrap/>
        <w:overflowPunct/>
        <w:topLinePunct w:val="0"/>
        <w:bidi w:val="0"/>
        <w:adjustRightInd w:val="0"/>
        <w:snapToGrid w:val="0"/>
        <w:spacing w:after="0" w:line="500" w:lineRule="exact"/>
        <w:ind w:firstLine="482" w:firstLineChars="200"/>
        <w:jc w:val="both"/>
        <w:textAlignment w:val="auto"/>
        <w:outlineLvl w:val="9"/>
        <w:rPr>
          <w:rFonts w:hint="eastAsia" w:ascii="宋体" w:hAnsi="宋体" w:eastAsia="宋体" w:cs="宋体"/>
          <w:b/>
          <w:bCs/>
          <w:color w:val="auto"/>
          <w:sz w:val="24"/>
          <w:szCs w:val="24"/>
          <w:highlight w:val="none"/>
        </w:rPr>
      </w:pPr>
      <w:bookmarkStart w:id="155" w:name="_Toc31617"/>
      <w:bookmarkStart w:id="156" w:name="_Toc16442"/>
      <w:bookmarkStart w:id="157" w:name="_Toc8886"/>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违约责任</w:t>
      </w:r>
      <w:bookmarkEnd w:id="155"/>
      <w:bookmarkEnd w:id="156"/>
      <w:bookmarkEnd w:id="157"/>
    </w:p>
    <w:p w14:paraId="61029DD9">
      <w:pPr>
        <w:pStyle w:val="48"/>
        <w:keepNext w:val="0"/>
        <w:keepLines w:val="0"/>
        <w:pageBreakBefore w:val="0"/>
        <w:widowControl w:val="0"/>
        <w:kinsoku/>
        <w:wordWrap/>
        <w:overflowPunct/>
        <w:topLinePunct w:val="0"/>
        <w:bidi w:val="0"/>
        <w:adjustRightInd w:val="0"/>
        <w:snapToGrid w:val="0"/>
        <w:spacing w:after="0"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甲方及其工作人员违反本合同第1条和第2条约定，应依据有关规定给予廉政建设规定的处分；涉嫌犯罪的，移交司法机关追究刑事责任；给乙方造成经济损失的，应予赔偿。</w:t>
      </w:r>
    </w:p>
    <w:p w14:paraId="08F2BE56">
      <w:pPr>
        <w:pStyle w:val="48"/>
        <w:keepNext w:val="0"/>
        <w:keepLines w:val="0"/>
        <w:pageBreakBefore w:val="0"/>
        <w:widowControl w:val="0"/>
        <w:kinsoku/>
        <w:wordWrap/>
        <w:overflowPunct/>
        <w:topLinePunct w:val="0"/>
        <w:bidi w:val="0"/>
        <w:adjustRightInd w:val="0"/>
        <w:snapToGrid w:val="0"/>
        <w:spacing w:after="0"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4.2 </w:t>
      </w:r>
      <w:r>
        <w:rPr>
          <w:rFonts w:hint="eastAsia" w:ascii="宋体" w:hAnsi="宋体" w:eastAsia="宋体" w:cs="宋体"/>
          <w:color w:val="auto"/>
          <w:sz w:val="24"/>
          <w:szCs w:val="24"/>
          <w:highlight w:val="none"/>
          <w:lang w:val="zh-CN"/>
        </w:rPr>
        <w:t>乙方及其工作人员违反本合同第</w:t>
      </w:r>
      <w:r>
        <w:rPr>
          <w:rFonts w:hint="eastAsia" w:ascii="宋体" w:hAnsi="宋体" w:eastAsia="宋体" w:cs="宋体"/>
          <w:color w:val="auto"/>
          <w:sz w:val="24"/>
          <w:szCs w:val="24"/>
          <w:highlight w:val="none"/>
        </w:rPr>
        <w:t xml:space="preserve"> 1 </w:t>
      </w:r>
      <w:r>
        <w:rPr>
          <w:rFonts w:hint="eastAsia" w:ascii="宋体" w:hAnsi="宋体" w:eastAsia="宋体" w:cs="宋体"/>
          <w:color w:val="auto"/>
          <w:sz w:val="24"/>
          <w:szCs w:val="24"/>
          <w:highlight w:val="none"/>
          <w:lang w:val="zh-CN"/>
        </w:rPr>
        <w:t>条和第</w:t>
      </w:r>
      <w:r>
        <w:rPr>
          <w:rFonts w:hint="eastAsia" w:ascii="宋体" w:hAnsi="宋体" w:eastAsia="宋体" w:cs="宋体"/>
          <w:color w:val="auto"/>
          <w:sz w:val="24"/>
          <w:szCs w:val="24"/>
          <w:highlight w:val="none"/>
        </w:rPr>
        <w:t xml:space="preserve"> 3 </w:t>
      </w:r>
      <w:r>
        <w:rPr>
          <w:rFonts w:hint="eastAsia" w:ascii="宋体" w:hAnsi="宋体" w:eastAsia="宋体" w:cs="宋体"/>
          <w:color w:val="auto"/>
          <w:sz w:val="24"/>
          <w:szCs w:val="24"/>
          <w:highlight w:val="none"/>
          <w:lang w:val="zh-CN"/>
        </w:rPr>
        <w:t>条约定，应按照廉政建设的有关规定给予处分；涉嫌犯罪的，移交司法机关追究刑事责任；给甲方造成损失的，应予赔偿。</w:t>
      </w:r>
    </w:p>
    <w:p w14:paraId="6FDC42E5">
      <w:pPr>
        <w:pStyle w:val="48"/>
        <w:keepNext w:val="0"/>
        <w:keepLines w:val="0"/>
        <w:pageBreakBefore w:val="0"/>
        <w:widowControl w:val="0"/>
        <w:kinsoku/>
        <w:wordWrap/>
        <w:overflowPunct/>
        <w:topLinePunct w:val="0"/>
        <w:bidi w:val="0"/>
        <w:adjustRightInd w:val="0"/>
        <w:snapToGrid w:val="0"/>
        <w:spacing w:after="0" w:line="500" w:lineRule="exact"/>
        <w:ind w:firstLine="482" w:firstLineChars="200"/>
        <w:jc w:val="both"/>
        <w:textAlignment w:val="auto"/>
        <w:outlineLvl w:val="9"/>
        <w:rPr>
          <w:rFonts w:hint="eastAsia" w:ascii="宋体" w:hAnsi="宋体" w:eastAsia="宋体" w:cs="宋体"/>
          <w:b/>
          <w:bCs/>
          <w:color w:val="auto"/>
          <w:sz w:val="24"/>
          <w:szCs w:val="24"/>
          <w:highlight w:val="none"/>
        </w:rPr>
      </w:pPr>
      <w:bookmarkStart w:id="158" w:name="_Toc20236"/>
      <w:bookmarkStart w:id="159" w:name="_Toc22424"/>
      <w:bookmarkStart w:id="160" w:name="_Toc26379"/>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双方约定</w:t>
      </w:r>
      <w:bookmarkEnd w:id="158"/>
      <w:bookmarkEnd w:id="159"/>
      <w:bookmarkEnd w:id="160"/>
    </w:p>
    <w:p w14:paraId="50432AC2">
      <w:pPr>
        <w:pStyle w:val="48"/>
        <w:keepNext w:val="0"/>
        <w:keepLines w:val="0"/>
        <w:pageBreakBefore w:val="0"/>
        <w:widowControl w:val="0"/>
        <w:kinsoku/>
        <w:wordWrap/>
        <w:overflowPunct/>
        <w:topLinePunct w:val="0"/>
        <w:bidi w:val="0"/>
        <w:adjustRightInd w:val="0"/>
        <w:snapToGrid w:val="0"/>
        <w:spacing w:after="0"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本合同由合同双方当事人或其主管部门负责监督执行</w:t>
      </w:r>
      <w:r>
        <w:rPr>
          <w:rFonts w:hint="eastAsia" w:ascii="宋体" w:hAnsi="宋体" w:eastAsia="宋体" w:cs="宋体"/>
          <w:color w:val="auto"/>
          <w:sz w:val="24"/>
          <w:szCs w:val="24"/>
          <w:highlight w:val="none"/>
        </w:rPr>
        <w:t>。</w:t>
      </w:r>
    </w:p>
    <w:p w14:paraId="5670BAD1">
      <w:pPr>
        <w:pStyle w:val="48"/>
        <w:keepNext w:val="0"/>
        <w:keepLines w:val="0"/>
        <w:pageBreakBefore w:val="0"/>
        <w:widowControl w:val="0"/>
        <w:kinsoku/>
        <w:wordWrap/>
        <w:overflowPunct/>
        <w:topLinePunct w:val="0"/>
        <w:bidi w:val="0"/>
        <w:adjustRightInd w:val="0"/>
        <w:snapToGrid w:val="0"/>
        <w:spacing w:after="0" w:line="500" w:lineRule="exact"/>
        <w:ind w:firstLine="482" w:firstLineChars="200"/>
        <w:jc w:val="both"/>
        <w:textAlignment w:val="auto"/>
        <w:outlineLvl w:val="9"/>
        <w:rPr>
          <w:rFonts w:hint="eastAsia" w:ascii="宋体" w:hAnsi="宋体" w:eastAsia="宋体" w:cs="宋体"/>
          <w:b/>
          <w:bCs/>
          <w:color w:val="auto"/>
          <w:sz w:val="24"/>
          <w:szCs w:val="24"/>
          <w:highlight w:val="none"/>
        </w:rPr>
      </w:pPr>
      <w:bookmarkStart w:id="161" w:name="_Toc18718"/>
      <w:bookmarkStart w:id="162" w:name="_Toc4642"/>
      <w:bookmarkStart w:id="163" w:name="_Toc974"/>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合同法律效力</w:t>
      </w:r>
      <w:bookmarkEnd w:id="161"/>
      <w:bookmarkEnd w:id="162"/>
      <w:bookmarkEnd w:id="163"/>
    </w:p>
    <w:p w14:paraId="36045606">
      <w:pPr>
        <w:pStyle w:val="48"/>
        <w:keepNext w:val="0"/>
        <w:keepLines w:val="0"/>
        <w:pageBreakBefore w:val="0"/>
        <w:widowControl w:val="0"/>
        <w:kinsoku/>
        <w:wordWrap/>
        <w:overflowPunct/>
        <w:topLinePunct w:val="0"/>
        <w:bidi w:val="0"/>
        <w:adjustRightInd w:val="0"/>
        <w:snapToGrid w:val="0"/>
        <w:spacing w:after="0"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本合同作为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项目第三方检测及监测技术服务合同</w:t>
      </w:r>
      <w:r>
        <w:rPr>
          <w:rFonts w:hint="eastAsia" w:ascii="宋体" w:hAnsi="宋体" w:eastAsia="宋体" w:cs="宋体"/>
          <w:color w:val="auto"/>
          <w:sz w:val="24"/>
          <w:szCs w:val="24"/>
          <w:highlight w:val="none"/>
        </w:rPr>
        <w:t>的附件，与技术服务合同具有同等的法律效力。</w:t>
      </w:r>
    </w:p>
    <w:p w14:paraId="3F421BD1">
      <w:pPr>
        <w:pStyle w:val="48"/>
        <w:keepNext w:val="0"/>
        <w:keepLines w:val="0"/>
        <w:pageBreakBefore w:val="0"/>
        <w:widowControl w:val="0"/>
        <w:kinsoku/>
        <w:wordWrap/>
        <w:overflowPunct/>
        <w:topLinePunct w:val="0"/>
        <w:bidi w:val="0"/>
        <w:adjustRightInd w:val="0"/>
        <w:snapToGrid w:val="0"/>
        <w:spacing w:after="0" w:line="500" w:lineRule="exact"/>
        <w:ind w:firstLine="482" w:firstLineChars="200"/>
        <w:jc w:val="both"/>
        <w:textAlignment w:val="auto"/>
        <w:outlineLvl w:val="9"/>
        <w:rPr>
          <w:rFonts w:hint="eastAsia" w:ascii="宋体" w:hAnsi="宋体" w:eastAsia="宋体" w:cs="宋体"/>
          <w:b/>
          <w:bCs/>
          <w:color w:val="auto"/>
          <w:sz w:val="24"/>
          <w:szCs w:val="24"/>
          <w:highlight w:val="none"/>
        </w:rPr>
      </w:pPr>
      <w:bookmarkStart w:id="164" w:name="_Toc21722"/>
      <w:bookmarkStart w:id="165" w:name="_Toc24171"/>
      <w:bookmarkStart w:id="166" w:name="_Toc16625"/>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合同份数</w:t>
      </w:r>
      <w:bookmarkEnd w:id="164"/>
      <w:bookmarkEnd w:id="165"/>
      <w:bookmarkEnd w:id="166"/>
    </w:p>
    <w:p w14:paraId="625ED5CA">
      <w:pPr>
        <w:pStyle w:val="48"/>
        <w:keepNext w:val="0"/>
        <w:keepLines w:val="0"/>
        <w:pageBreakBefore w:val="0"/>
        <w:widowControl w:val="0"/>
        <w:kinsoku/>
        <w:wordWrap/>
        <w:overflowPunct/>
        <w:topLinePunct w:val="0"/>
        <w:bidi w:val="0"/>
        <w:adjustRightInd w:val="0"/>
        <w:snapToGrid w:val="0"/>
        <w:spacing w:after="0"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各</w:t>
      </w:r>
      <w:r>
        <w:rPr>
          <w:rFonts w:hint="eastAsia" w:ascii="宋体" w:hAnsi="宋体" w:eastAsia="宋体" w:cs="宋体"/>
          <w:color w:val="auto"/>
          <w:sz w:val="24"/>
          <w:szCs w:val="24"/>
          <w:highlight w:val="none"/>
        </w:rPr>
        <w:t>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份，均具有同等法律效力。</w:t>
      </w:r>
    </w:p>
    <w:p w14:paraId="2B73DC2C">
      <w:pPr>
        <w:pStyle w:val="2"/>
        <w:keepNext w:val="0"/>
        <w:keepLines w:val="0"/>
        <w:pageBreakBefore w:val="0"/>
        <w:widowControl w:val="0"/>
        <w:kinsoku/>
        <w:wordWrap/>
        <w:overflowPunct/>
        <w:topLinePunct w:val="0"/>
        <w:bidi w:val="0"/>
        <w:adjustRightInd w:val="0"/>
        <w:snapToGrid w:val="0"/>
        <w:spacing w:line="500" w:lineRule="exact"/>
        <w:ind w:firstLine="0" w:firstLineChars="0"/>
        <w:jc w:val="both"/>
        <w:textAlignment w:val="auto"/>
        <w:outlineLvl w:val="9"/>
        <w:rPr>
          <w:rFonts w:hint="eastAsia" w:ascii="宋体" w:hAnsi="宋体" w:eastAsia="宋体" w:cs="宋体"/>
          <w:color w:val="auto"/>
          <w:sz w:val="24"/>
          <w:szCs w:val="24"/>
          <w:highlight w:val="none"/>
        </w:rPr>
      </w:pPr>
    </w:p>
    <w:p w14:paraId="62C626CC">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方（公章）：  </w:t>
      </w:r>
      <w:r>
        <w:rPr>
          <w:rFonts w:hint="eastAsia" w:ascii="宋体" w:hAnsi="宋体" w:eastAsia="宋体" w:cs="宋体"/>
          <w:color w:val="auto"/>
          <w:sz w:val="24"/>
          <w:szCs w:val="24"/>
          <w:highlight w:val="none"/>
          <w:u w:val="single"/>
          <w:lang w:val="en-US" w:eastAsia="zh-CN"/>
        </w:rPr>
        <w:t xml:space="preserve">                                 </w:t>
      </w:r>
    </w:p>
    <w:p w14:paraId="105F108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715281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方（公章）：（主）</w:t>
      </w:r>
      <w:r>
        <w:rPr>
          <w:rFonts w:hint="eastAsia" w:ascii="宋体" w:hAnsi="宋体" w:eastAsia="宋体" w:cs="宋体"/>
          <w:color w:val="auto"/>
          <w:sz w:val="24"/>
          <w:szCs w:val="24"/>
          <w:highlight w:val="none"/>
          <w:u w:val="single"/>
          <w:lang w:val="en-US" w:eastAsia="zh-CN"/>
        </w:rPr>
        <w:t xml:space="preserve">                              </w:t>
      </w:r>
    </w:p>
    <w:p w14:paraId="7725A2E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outlineLvl w:val="9"/>
        <w:rPr>
          <w:rFonts w:hint="eastAsia" w:ascii="宋体" w:hAnsi="宋体" w:eastAsia="宋体" w:cs="宋体"/>
          <w:color w:val="auto"/>
          <w:sz w:val="24"/>
          <w:szCs w:val="24"/>
          <w:highlight w:val="none"/>
          <w:u w:val="single"/>
        </w:rPr>
      </w:pPr>
    </w:p>
    <w:p w14:paraId="60861D4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（成）</w:t>
      </w:r>
      <w:r>
        <w:rPr>
          <w:rFonts w:hint="eastAsia" w:ascii="宋体" w:hAnsi="宋体" w:eastAsia="宋体" w:cs="宋体"/>
          <w:color w:val="auto"/>
          <w:sz w:val="24"/>
          <w:szCs w:val="24"/>
          <w:highlight w:val="none"/>
          <w:u w:val="single"/>
          <w:lang w:val="en-US" w:eastAsia="zh-CN"/>
        </w:rPr>
        <w:t xml:space="preserve">                               </w:t>
      </w:r>
    </w:p>
    <w:p w14:paraId="15BD3089">
      <w:pPr>
        <w:pStyle w:val="2"/>
        <w:keepNext w:val="0"/>
        <w:keepLines w:val="0"/>
        <w:pageBreakBefore w:val="0"/>
        <w:widowControl w:val="0"/>
        <w:kinsoku/>
        <w:wordWrap/>
        <w:overflowPunct/>
        <w:topLinePunct w:val="0"/>
        <w:bidi w:val="0"/>
        <w:adjustRightInd w:val="0"/>
        <w:snapToGrid w:val="0"/>
        <w:spacing w:line="500" w:lineRule="exact"/>
        <w:ind w:firstLine="480" w:firstLineChars="200"/>
        <w:jc w:val="both"/>
        <w:textAlignment w:val="auto"/>
        <w:outlineLvl w:val="9"/>
        <w:rPr>
          <w:rFonts w:hint="eastAsia" w:ascii="宋体" w:hAnsi="宋体" w:eastAsia="宋体" w:cs="宋体"/>
          <w:color w:val="auto"/>
          <w:sz w:val="24"/>
          <w:szCs w:val="24"/>
          <w:highlight w:val="none"/>
          <w:lang w:val="en-US"/>
        </w:rPr>
      </w:pPr>
    </w:p>
    <w:p w14:paraId="50B7445D">
      <w:pPr>
        <w:pStyle w:val="2"/>
        <w:keepNext w:val="0"/>
        <w:keepLines w:val="0"/>
        <w:pageBreakBefore w:val="0"/>
        <w:widowControl w:val="0"/>
        <w:kinsoku/>
        <w:wordWrap/>
        <w:overflowPunct/>
        <w:topLinePunct w:val="0"/>
        <w:bidi w:val="0"/>
        <w:adjustRightInd w:val="0"/>
        <w:snapToGrid w:val="0"/>
        <w:spacing w:line="5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48F3169">
      <w:pPr>
        <w:pStyle w:val="2"/>
        <w:keepNext w:val="0"/>
        <w:keepLines w:val="0"/>
        <w:pageBreakBefore w:val="0"/>
        <w:widowControl w:val="0"/>
        <w:kinsoku/>
        <w:wordWrap/>
        <w:overflowPunct/>
        <w:topLinePunct w:val="0"/>
        <w:bidi w:val="0"/>
        <w:adjustRightInd w:val="0"/>
        <w:snapToGrid w:val="0"/>
        <w:spacing w:line="500" w:lineRule="exact"/>
        <w:ind w:firstLine="2400" w:firstLineChars="10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    日</w:t>
      </w:r>
    </w:p>
    <w:p w14:paraId="38461C59">
      <w:pPr>
        <w:pStyle w:val="49"/>
        <w:keepNext w:val="0"/>
        <w:keepLines w:val="0"/>
        <w:pageBreakBefore w:val="0"/>
        <w:widowControl w:val="0"/>
        <w:kinsoku/>
        <w:wordWrap/>
        <w:overflowPunct/>
        <w:topLinePunct w:val="0"/>
        <w:bidi w:val="0"/>
        <w:adjustRightInd w:val="0"/>
        <w:snapToGrid w:val="0"/>
        <w:spacing w:line="500" w:lineRule="exact"/>
        <w:ind w:firstLine="0" w:firstLineChars="0"/>
        <w:jc w:val="both"/>
        <w:textAlignment w:val="auto"/>
        <w:outlineLvl w:val="9"/>
        <w:rPr>
          <w:rFonts w:hint="eastAsia" w:ascii="宋体" w:hAnsi="宋体" w:eastAsia="宋体" w:cs="宋体"/>
          <w:color w:val="auto"/>
          <w:sz w:val="24"/>
          <w:szCs w:val="24"/>
          <w:highlight w:val="none"/>
          <w:lang w:eastAsia="zh-CN"/>
        </w:rPr>
      </w:pPr>
    </w:p>
    <w:p w14:paraId="3A8C61E8">
      <w:pPr>
        <w:keepNext w:val="0"/>
        <w:keepLines w:val="0"/>
        <w:pageBreakBefore w:val="0"/>
        <w:widowControl w:val="0"/>
        <w:kinsoku/>
        <w:wordWrap/>
        <w:overflowPunct/>
        <w:topLinePunct w:val="0"/>
        <w:bidi w:val="0"/>
        <w:adjustRightInd w:val="0"/>
        <w:snapToGrid w:val="0"/>
        <w:spacing w:line="520" w:lineRule="exact"/>
        <w:jc w:val="both"/>
        <w:textAlignment w:val="auto"/>
        <w:outlineLvl w:val="0"/>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br w:type="page"/>
      </w:r>
      <w:bookmarkStart w:id="167" w:name="_Toc7245"/>
      <w:bookmarkStart w:id="168" w:name="_Toc16940"/>
      <w:bookmarkStart w:id="169" w:name="_Toc26202"/>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2：</w:t>
      </w:r>
      <w:bookmarkEnd w:id="167"/>
      <w:r>
        <w:rPr>
          <w:rFonts w:hint="eastAsia" w:ascii="宋体" w:hAnsi="宋体" w:eastAsia="宋体" w:cs="宋体"/>
          <w:b/>
          <w:bCs/>
          <w:color w:val="auto"/>
          <w:sz w:val="24"/>
          <w:szCs w:val="24"/>
          <w:highlight w:val="none"/>
          <w:lang w:val="en-US" w:eastAsia="zh-CN"/>
        </w:rPr>
        <w:t>保密协议</w:t>
      </w:r>
      <w:bookmarkEnd w:id="168"/>
      <w:bookmarkEnd w:id="169"/>
    </w:p>
    <w:p w14:paraId="556886FC">
      <w:pPr>
        <w:keepNext w:val="0"/>
        <w:keepLines w:val="0"/>
        <w:pageBreakBefore w:val="0"/>
        <w:widowControl w:val="0"/>
        <w:kinsoku/>
        <w:wordWrap/>
        <w:overflowPunct/>
        <w:topLinePunct w:val="0"/>
        <w:bidi w:val="0"/>
        <w:adjustRightInd w:val="0"/>
        <w:snapToGrid w:val="0"/>
        <w:spacing w:line="520" w:lineRule="exact"/>
        <w:ind w:firstLine="643" w:firstLineChars="200"/>
        <w:contextualSpacing/>
        <w:jc w:val="center"/>
        <w:textAlignment w:val="auto"/>
        <w:outlineLvl w:val="9"/>
        <w:rPr>
          <w:rFonts w:hint="eastAsia" w:ascii="宋体" w:hAnsi="宋体" w:eastAsia="宋体" w:cs="宋体"/>
          <w:b/>
          <w:color w:val="auto"/>
          <w:sz w:val="36"/>
          <w:szCs w:val="36"/>
          <w:highlight w:val="none"/>
        </w:rPr>
      </w:pPr>
      <w:bookmarkStart w:id="170" w:name="_Toc14889"/>
      <w:bookmarkStart w:id="171" w:name="_Toc3286"/>
      <w:r>
        <w:rPr>
          <w:rFonts w:hint="eastAsia" w:ascii="宋体" w:hAnsi="宋体" w:eastAsia="宋体" w:cs="宋体"/>
          <w:b/>
          <w:color w:val="auto"/>
          <w:sz w:val="32"/>
          <w:szCs w:val="32"/>
          <w:highlight w:val="none"/>
        </w:rPr>
        <w:t>保密协议</w:t>
      </w:r>
      <w:bookmarkEnd w:id="170"/>
      <w:bookmarkEnd w:id="171"/>
    </w:p>
    <w:p w14:paraId="21842489">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both"/>
        <w:textAlignment w:val="auto"/>
        <w:outlineLvl w:val="9"/>
        <w:rPr>
          <w:rFonts w:hint="eastAsia" w:ascii="宋体" w:hAnsi="宋体" w:eastAsia="宋体" w:cs="宋体"/>
          <w:color w:val="auto"/>
          <w:sz w:val="24"/>
          <w:szCs w:val="24"/>
          <w:highlight w:val="none"/>
        </w:rPr>
      </w:pPr>
    </w:p>
    <w:p w14:paraId="1CAF1751">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甲方：</w:t>
      </w:r>
      <w:r>
        <w:rPr>
          <w:rFonts w:hint="eastAsia" w:ascii="宋体" w:hAnsi="宋体" w:eastAsia="宋体" w:cs="宋体"/>
          <w:color w:val="auto"/>
          <w:sz w:val="24"/>
          <w:szCs w:val="24"/>
          <w:highlight w:val="none"/>
          <w:u w:val="single"/>
          <w:lang w:val="en-US" w:eastAsia="zh-CN"/>
        </w:rPr>
        <w:t xml:space="preserve">                               </w:t>
      </w:r>
    </w:p>
    <w:p w14:paraId="0B71E0DC">
      <w:pPr>
        <w:autoSpaceDE w:val="0"/>
        <w:autoSpaceDN w:val="0"/>
        <w:adjustRightInd w:val="0"/>
        <w:snapToGrid w:val="0"/>
        <w:spacing w:line="52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w:t>
      </w:r>
      <w:r>
        <w:rPr>
          <w:rFonts w:hint="eastAsia" w:ascii="宋体" w:hAnsi="宋体" w:eastAsia="宋体" w:cs="宋体"/>
          <w:color w:val="auto"/>
          <w:spacing w:val="0"/>
          <w:sz w:val="24"/>
          <w:szCs w:val="24"/>
          <w:highlight w:val="none"/>
          <w:u w:val="single"/>
        </w:rPr>
        <w:t>（主）</w:t>
      </w:r>
      <w:r>
        <w:rPr>
          <w:rFonts w:hint="eastAsia" w:ascii="宋体" w:hAnsi="宋体" w:eastAsia="宋体" w:cs="宋体"/>
          <w:color w:val="auto"/>
          <w:sz w:val="24"/>
          <w:szCs w:val="24"/>
          <w:highlight w:val="none"/>
          <w:u w:val="single"/>
          <w:lang w:val="en-US" w:eastAsia="zh-CN"/>
        </w:rPr>
        <w:t xml:space="preserve">                          </w:t>
      </w:r>
    </w:p>
    <w:p w14:paraId="7DC9ECB8">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（成）</w:t>
      </w:r>
      <w:r>
        <w:rPr>
          <w:rFonts w:hint="eastAsia" w:ascii="宋体" w:hAnsi="宋体" w:eastAsia="宋体" w:cs="宋体"/>
          <w:color w:val="auto"/>
          <w:sz w:val="24"/>
          <w:szCs w:val="24"/>
          <w:highlight w:val="none"/>
          <w:u w:val="single"/>
          <w:lang w:val="en-US" w:eastAsia="zh-CN"/>
        </w:rPr>
        <w:t xml:space="preserve">                          </w:t>
      </w:r>
    </w:p>
    <w:p w14:paraId="78F8B532">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both"/>
        <w:textAlignment w:val="auto"/>
        <w:outlineLvl w:val="9"/>
        <w:rPr>
          <w:rFonts w:hint="eastAsia" w:ascii="宋体" w:hAnsi="宋体" w:eastAsia="宋体" w:cs="宋体"/>
          <w:color w:val="auto"/>
          <w:sz w:val="24"/>
          <w:szCs w:val="24"/>
          <w:highlight w:val="none"/>
        </w:rPr>
      </w:pPr>
    </w:p>
    <w:p w14:paraId="2E004898">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乙方作为甲方服务单位，乙方同意遵守甲方下列保密条款：</w:t>
      </w:r>
    </w:p>
    <w:p w14:paraId="3D3089E1">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jc w:val="both"/>
        <w:textAlignment w:val="auto"/>
        <w:outlineLvl w:val="9"/>
        <w:rPr>
          <w:rFonts w:hint="eastAsia" w:ascii="宋体" w:hAnsi="宋体" w:eastAsia="宋体" w:cs="宋体"/>
          <w:b/>
          <w:bCs/>
          <w:color w:val="auto"/>
          <w:sz w:val="24"/>
          <w:szCs w:val="24"/>
          <w:highlight w:val="none"/>
        </w:rPr>
      </w:pPr>
      <w:bookmarkStart w:id="172" w:name="_Toc6859"/>
      <w:bookmarkStart w:id="173" w:name="_Toc5108"/>
      <w:r>
        <w:rPr>
          <w:rFonts w:hint="eastAsia" w:ascii="宋体" w:hAnsi="宋体" w:eastAsia="宋体" w:cs="宋体"/>
          <w:b/>
          <w:bCs/>
          <w:color w:val="auto"/>
          <w:sz w:val="24"/>
          <w:szCs w:val="24"/>
          <w:highlight w:val="none"/>
        </w:rPr>
        <w:t>一、保密信息的范围</w:t>
      </w:r>
      <w:bookmarkEnd w:id="172"/>
      <w:bookmarkEnd w:id="173"/>
    </w:p>
    <w:p w14:paraId="51E93C27">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both"/>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“保密信息”在本保密协议中是指乙方在为甲方提供服务工作的过程中所获取的重要工作信息。</w:t>
      </w:r>
      <w:r>
        <w:rPr>
          <w:rFonts w:hint="eastAsia" w:ascii="宋体" w:hAnsi="宋体" w:eastAsia="宋体" w:cs="宋体"/>
          <w:color w:val="auto"/>
          <w:sz w:val="24"/>
          <w:szCs w:val="24"/>
          <w:highlight w:val="none"/>
          <w:lang w:val="zh-CN"/>
        </w:rPr>
        <w:t>该保密信息包括但不限于投资计划、项目规模、项目计划、项目相关数据和图纸、招标文件资料及信息、合同、价格、成本、研究报告、会议资料和文件。</w:t>
      </w:r>
    </w:p>
    <w:p w14:paraId="28526FD4">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不论以何种形式或载于何种载体，无论在披露时是否以口头、图像或以书面方式表明其具有保密性，都视为甲方的保密信息。</w:t>
      </w:r>
    </w:p>
    <w:p w14:paraId="05F67DF3">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jc w:val="both"/>
        <w:textAlignment w:val="auto"/>
        <w:outlineLvl w:val="9"/>
        <w:rPr>
          <w:rFonts w:hint="eastAsia" w:ascii="宋体" w:hAnsi="宋体" w:eastAsia="宋体" w:cs="宋体"/>
          <w:b/>
          <w:bCs/>
          <w:color w:val="auto"/>
          <w:sz w:val="24"/>
          <w:szCs w:val="24"/>
          <w:highlight w:val="none"/>
        </w:rPr>
      </w:pPr>
      <w:bookmarkStart w:id="174" w:name="_Toc8939"/>
      <w:bookmarkStart w:id="175" w:name="_Toc14708"/>
      <w:r>
        <w:rPr>
          <w:rFonts w:hint="eastAsia" w:ascii="宋体" w:hAnsi="宋体" w:eastAsia="宋体" w:cs="宋体"/>
          <w:b/>
          <w:bCs/>
          <w:color w:val="auto"/>
          <w:sz w:val="24"/>
          <w:szCs w:val="24"/>
          <w:highlight w:val="none"/>
        </w:rPr>
        <w:t>二、乙方的保密义务</w:t>
      </w:r>
      <w:bookmarkEnd w:id="174"/>
      <w:bookmarkEnd w:id="175"/>
    </w:p>
    <w:p w14:paraId="5EC3E580">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乙方对已知悉的甲方保密信息，在此同意：</w:t>
      </w:r>
    </w:p>
    <w:p w14:paraId="0395AE3D">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（一）未经甲方事前书面批准，不论服务期间或以后，乙方及其工作人员不得以任何方式泄漏甲方的保密信息。</w:t>
      </w:r>
    </w:p>
    <w:p w14:paraId="0FBD659F">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（二）一旦服务工作终止，乙方及其工作人员将退还保存的属于甲方的所有保密信息及资料，如方案、制度、报告、合同等。</w:t>
      </w:r>
    </w:p>
    <w:p w14:paraId="2B5000D8">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jc w:val="both"/>
        <w:textAlignment w:val="auto"/>
        <w:outlineLvl w:val="9"/>
        <w:rPr>
          <w:rFonts w:hint="eastAsia" w:ascii="宋体" w:hAnsi="宋体" w:eastAsia="宋体" w:cs="宋体"/>
          <w:b/>
          <w:bCs/>
          <w:color w:val="auto"/>
          <w:sz w:val="24"/>
          <w:szCs w:val="24"/>
          <w:highlight w:val="none"/>
        </w:rPr>
      </w:pPr>
      <w:bookmarkStart w:id="176" w:name="_Toc14023"/>
      <w:bookmarkStart w:id="177" w:name="_Toc27515"/>
      <w:r>
        <w:rPr>
          <w:rFonts w:hint="eastAsia" w:ascii="宋体" w:hAnsi="宋体" w:eastAsia="宋体" w:cs="宋体"/>
          <w:b/>
          <w:bCs/>
          <w:color w:val="auto"/>
          <w:sz w:val="24"/>
          <w:szCs w:val="24"/>
          <w:highlight w:val="none"/>
        </w:rPr>
        <w:t>三、保密期限</w:t>
      </w:r>
      <w:bookmarkEnd w:id="176"/>
      <w:bookmarkEnd w:id="177"/>
    </w:p>
    <w:p w14:paraId="1C2FE963">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保密期限包括但不限于：从获知甲方保密信息时起，至保密信息已由甲方通过合法途径让普通公众知悉时止。</w:t>
      </w:r>
    </w:p>
    <w:p w14:paraId="0F718D9D">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jc w:val="both"/>
        <w:textAlignment w:val="auto"/>
        <w:outlineLvl w:val="9"/>
        <w:rPr>
          <w:rFonts w:hint="eastAsia" w:ascii="宋体" w:hAnsi="宋体" w:eastAsia="宋体" w:cs="宋体"/>
          <w:b/>
          <w:bCs/>
          <w:color w:val="auto"/>
          <w:sz w:val="24"/>
          <w:szCs w:val="24"/>
          <w:highlight w:val="none"/>
        </w:rPr>
      </w:pPr>
      <w:bookmarkStart w:id="178" w:name="_Toc31831"/>
      <w:bookmarkStart w:id="179" w:name="_Toc28639"/>
      <w:r>
        <w:rPr>
          <w:rFonts w:hint="eastAsia" w:ascii="宋体" w:hAnsi="宋体" w:eastAsia="宋体" w:cs="宋体"/>
          <w:b/>
          <w:bCs/>
          <w:color w:val="auto"/>
          <w:sz w:val="24"/>
          <w:szCs w:val="24"/>
          <w:highlight w:val="none"/>
        </w:rPr>
        <w:t>四、违约责任</w:t>
      </w:r>
      <w:bookmarkEnd w:id="178"/>
      <w:bookmarkEnd w:id="179"/>
    </w:p>
    <w:p w14:paraId="3A944D21">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乙方违反本保密协议约定，要承担违约责任，甲方有权通过任何合理方式追究乙方的责任并终止服务合同。造成损失的，甲方有权要求乙方进行赔偿并追究乙方其他的法律责任。</w:t>
      </w:r>
    </w:p>
    <w:p w14:paraId="3F68507D">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jc w:val="both"/>
        <w:textAlignment w:val="auto"/>
        <w:outlineLvl w:val="9"/>
        <w:rPr>
          <w:rFonts w:hint="eastAsia" w:ascii="宋体" w:hAnsi="宋体" w:eastAsia="宋体" w:cs="宋体"/>
          <w:b/>
          <w:bCs/>
          <w:color w:val="auto"/>
          <w:sz w:val="24"/>
          <w:szCs w:val="24"/>
          <w:highlight w:val="none"/>
        </w:rPr>
      </w:pPr>
      <w:bookmarkStart w:id="180" w:name="_Toc448"/>
      <w:bookmarkStart w:id="181" w:name="_Toc8733"/>
      <w:r>
        <w:rPr>
          <w:rFonts w:hint="eastAsia" w:ascii="宋体" w:hAnsi="宋体" w:eastAsia="宋体" w:cs="宋体"/>
          <w:b/>
          <w:bCs/>
          <w:color w:val="auto"/>
          <w:sz w:val="24"/>
          <w:szCs w:val="24"/>
          <w:highlight w:val="none"/>
        </w:rPr>
        <w:t>五、其他约定</w:t>
      </w:r>
      <w:bookmarkEnd w:id="180"/>
      <w:bookmarkEnd w:id="181"/>
    </w:p>
    <w:p w14:paraId="087ACF1A">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本保密协议一式</w:t>
      </w:r>
      <w:r>
        <w:rPr>
          <w:rFonts w:hint="eastAsia" w:ascii="宋体" w:hAnsi="宋体" w:eastAsia="宋体" w:cs="宋体"/>
          <w:bCs/>
          <w:snapToGrid w:val="0"/>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rPr>
        <w:t>份，甲、乙双方各执</w:t>
      </w:r>
      <w:r>
        <w:rPr>
          <w:rFonts w:hint="eastAsia" w:ascii="宋体" w:hAnsi="宋体" w:eastAsia="宋体" w:cs="宋体"/>
          <w:bCs/>
          <w:snapToGrid w:val="0"/>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rPr>
        <w:t>份，具有同等法律效力。本保密协议经甲、乙双方签字盖章后生效。</w:t>
      </w:r>
    </w:p>
    <w:p w14:paraId="23B46016">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both"/>
        <w:textAlignment w:val="auto"/>
        <w:outlineLvl w:val="9"/>
        <w:rPr>
          <w:rFonts w:hint="eastAsia" w:ascii="宋体" w:hAnsi="宋体" w:eastAsia="宋体" w:cs="宋体"/>
          <w:color w:val="auto"/>
          <w:sz w:val="24"/>
          <w:szCs w:val="24"/>
          <w:highlight w:val="none"/>
        </w:rPr>
      </w:pPr>
    </w:p>
    <w:p w14:paraId="5AF98EF4">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 方（公章）：  </w:t>
      </w:r>
      <w:r>
        <w:rPr>
          <w:rFonts w:hint="eastAsia" w:ascii="宋体" w:hAnsi="宋体" w:eastAsia="宋体" w:cs="宋体"/>
          <w:color w:val="auto"/>
          <w:sz w:val="24"/>
          <w:szCs w:val="24"/>
          <w:highlight w:val="none"/>
          <w:u w:val="single"/>
          <w:lang w:val="en-US" w:eastAsia="zh-CN"/>
        </w:rPr>
        <w:t xml:space="preserve">                               </w:t>
      </w:r>
    </w:p>
    <w:p w14:paraId="0EA50008">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A19C19B">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 方（公章）：（主）</w:t>
      </w:r>
      <w:r>
        <w:rPr>
          <w:rFonts w:hint="eastAsia" w:ascii="宋体" w:hAnsi="宋体" w:eastAsia="宋体" w:cs="宋体"/>
          <w:color w:val="auto"/>
          <w:sz w:val="24"/>
          <w:szCs w:val="24"/>
          <w:highlight w:val="none"/>
          <w:u w:val="single"/>
          <w:lang w:val="en-US" w:eastAsia="zh-CN"/>
        </w:rPr>
        <w:t xml:space="preserve">                           </w:t>
      </w:r>
    </w:p>
    <w:p w14:paraId="3A6231F4">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both"/>
        <w:textAlignment w:val="auto"/>
        <w:outlineLvl w:val="9"/>
        <w:rPr>
          <w:rFonts w:hint="eastAsia" w:ascii="宋体" w:hAnsi="宋体" w:eastAsia="宋体" w:cs="宋体"/>
          <w:color w:val="auto"/>
          <w:sz w:val="24"/>
          <w:szCs w:val="24"/>
          <w:highlight w:val="none"/>
          <w:u w:val="single"/>
        </w:rPr>
      </w:pPr>
    </w:p>
    <w:p w14:paraId="6E4ECA59">
      <w:pPr>
        <w:autoSpaceDE w:val="0"/>
        <w:autoSpaceDN w:val="0"/>
        <w:adjustRightInd w:val="0"/>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（成）</w:t>
      </w:r>
      <w:r>
        <w:rPr>
          <w:rFonts w:hint="eastAsia" w:ascii="宋体" w:hAnsi="宋体" w:eastAsia="宋体" w:cs="宋体"/>
          <w:color w:val="auto"/>
          <w:sz w:val="24"/>
          <w:szCs w:val="24"/>
          <w:highlight w:val="none"/>
          <w:u w:val="single"/>
          <w:lang w:val="en-US" w:eastAsia="zh-CN"/>
        </w:rPr>
        <w:t xml:space="preserve">                           </w:t>
      </w:r>
    </w:p>
    <w:p w14:paraId="7ACA7EAF">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both"/>
        <w:textAlignment w:val="auto"/>
        <w:outlineLvl w:val="9"/>
        <w:rPr>
          <w:rFonts w:hint="eastAsia" w:ascii="宋体" w:hAnsi="宋体" w:eastAsia="宋体" w:cs="宋体"/>
          <w:color w:val="auto"/>
          <w:sz w:val="24"/>
          <w:szCs w:val="24"/>
          <w:highlight w:val="none"/>
        </w:rPr>
      </w:pPr>
    </w:p>
    <w:p w14:paraId="1359DF77">
      <w:pPr>
        <w:keepNext w:val="0"/>
        <w:keepLines w:val="0"/>
        <w:pageBreakBefore w:val="0"/>
        <w:widowControl w:val="0"/>
        <w:kinsoku/>
        <w:wordWrap/>
        <w:overflowPunct/>
        <w:topLinePunct w:val="0"/>
        <w:bidi w:val="0"/>
        <w:adjustRightInd w:val="0"/>
        <w:snapToGrid w:val="0"/>
        <w:spacing w:line="520" w:lineRule="exact"/>
        <w:ind w:firstLine="480" w:firstLineChars="20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签订日期：202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507D662E">
      <w:pPr>
        <w:spacing w:line="520" w:lineRule="exac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8"/>
          <w:szCs w:val="28"/>
          <w:highlight w:val="none"/>
        </w:rPr>
        <w:br w:type="page"/>
      </w:r>
      <w:bookmarkStart w:id="182" w:name="_Toc8587"/>
      <w:bookmarkStart w:id="183" w:name="_Toc31635"/>
      <w:bookmarkStart w:id="184" w:name="_Toc31621"/>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lang w:val="en-US" w:eastAsia="zh-CN"/>
        </w:rPr>
        <w:t>3：</w:t>
      </w:r>
      <w:bookmarkEnd w:id="182"/>
      <w:r>
        <w:rPr>
          <w:rFonts w:hint="eastAsia" w:ascii="宋体" w:hAnsi="宋体" w:eastAsia="宋体" w:cs="宋体"/>
          <w:b/>
          <w:bCs/>
          <w:color w:val="auto"/>
          <w:sz w:val="24"/>
          <w:szCs w:val="24"/>
          <w:highlight w:val="none"/>
          <w:lang w:val="en-US" w:eastAsia="zh-CN"/>
        </w:rPr>
        <w:t>中标通知书（复印件）</w:t>
      </w:r>
      <w:bookmarkEnd w:id="183"/>
      <w:bookmarkEnd w:id="184"/>
    </w:p>
    <w:p w14:paraId="0D8ED29C">
      <w:pPr>
        <w:spacing w:line="360" w:lineRule="auto"/>
        <w:ind w:firstLine="0" w:firstLineChars="0"/>
        <w:jc w:val="center"/>
        <w:outlineLvl w:val="9"/>
        <w:rPr>
          <w:rFonts w:hint="eastAsia" w:ascii="宋体" w:hAnsi="宋体" w:eastAsia="宋体" w:cs="宋体"/>
          <w:b/>
          <w:snapToGrid w:val="0"/>
          <w:color w:val="auto"/>
          <w:sz w:val="32"/>
          <w:szCs w:val="32"/>
          <w:highlight w:val="none"/>
        </w:rPr>
      </w:pPr>
      <w:bookmarkStart w:id="185" w:name="_Toc40"/>
      <w:bookmarkStart w:id="186" w:name="_Toc787"/>
      <w:r>
        <w:rPr>
          <w:rFonts w:hint="eastAsia" w:ascii="宋体" w:hAnsi="宋体" w:eastAsia="宋体" w:cs="宋体"/>
          <w:b/>
          <w:snapToGrid w:val="0"/>
          <w:color w:val="auto"/>
          <w:sz w:val="32"/>
          <w:szCs w:val="32"/>
          <w:highlight w:val="none"/>
        </w:rPr>
        <w:t>中标通知书（复印件）</w:t>
      </w:r>
      <w:bookmarkEnd w:id="185"/>
      <w:bookmarkEnd w:id="186"/>
    </w:p>
    <w:p w14:paraId="0626FF21">
      <w:pPr>
        <w:spacing w:line="360" w:lineRule="auto"/>
        <w:ind w:firstLine="0" w:firstLineChars="0"/>
        <w:jc w:val="left"/>
        <w:outlineLvl w:val="0"/>
        <w:rPr>
          <w:rFonts w:hint="eastAsia" w:ascii="宋体" w:hAnsi="宋体" w:eastAsia="宋体" w:cs="宋体"/>
          <w:b/>
          <w:snapToGrid w:val="0"/>
          <w:color w:val="auto"/>
          <w:sz w:val="24"/>
          <w:szCs w:val="24"/>
          <w:highlight w:val="none"/>
          <w:lang w:val="en-US" w:eastAsia="zh-CN"/>
        </w:rPr>
      </w:pPr>
      <w:r>
        <w:rPr>
          <w:rFonts w:hint="eastAsia" w:ascii="宋体" w:hAnsi="宋体" w:eastAsia="宋体" w:cs="宋体"/>
          <w:b/>
          <w:snapToGrid w:val="0"/>
          <w:color w:val="auto"/>
          <w:sz w:val="24"/>
          <w:szCs w:val="24"/>
          <w:highlight w:val="none"/>
        </w:rPr>
        <w:br w:type="page"/>
      </w:r>
      <w:bookmarkStart w:id="187" w:name="_Toc2499"/>
      <w:bookmarkStart w:id="188" w:name="_Toc22970"/>
      <w:bookmarkStart w:id="189" w:name="_Toc888"/>
      <w:r>
        <w:rPr>
          <w:rFonts w:hint="eastAsia" w:ascii="宋体" w:hAnsi="宋体" w:eastAsia="宋体" w:cs="宋体"/>
          <w:b/>
          <w:bCs w:val="0"/>
          <w:snapToGrid w:val="0"/>
          <w:color w:val="auto"/>
          <w:sz w:val="24"/>
          <w:szCs w:val="24"/>
          <w:highlight w:val="none"/>
          <w:lang w:eastAsia="zh-CN"/>
        </w:rPr>
        <w:t>附件</w:t>
      </w:r>
      <w:r>
        <w:rPr>
          <w:rFonts w:hint="eastAsia" w:ascii="宋体" w:hAnsi="宋体" w:eastAsia="宋体" w:cs="宋体"/>
          <w:b/>
          <w:bCs w:val="0"/>
          <w:snapToGrid w:val="0"/>
          <w:color w:val="auto"/>
          <w:sz w:val="24"/>
          <w:szCs w:val="24"/>
          <w:highlight w:val="none"/>
          <w:lang w:val="en-US" w:eastAsia="zh-CN"/>
        </w:rPr>
        <w:t>4：</w:t>
      </w:r>
      <w:bookmarkEnd w:id="187"/>
      <w:r>
        <w:rPr>
          <w:rFonts w:hint="eastAsia" w:ascii="宋体" w:hAnsi="宋体" w:eastAsia="宋体" w:cs="宋体"/>
          <w:b/>
          <w:bCs w:val="0"/>
          <w:snapToGrid w:val="0"/>
          <w:color w:val="auto"/>
          <w:sz w:val="24"/>
          <w:szCs w:val="24"/>
          <w:highlight w:val="none"/>
          <w:lang w:val="en-US" w:eastAsia="zh-CN"/>
        </w:rPr>
        <w:t>履约担保及承诺书</w:t>
      </w:r>
      <w:bookmarkEnd w:id="188"/>
      <w:bookmarkEnd w:id="189"/>
    </w:p>
    <w:p w14:paraId="58FE8543">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9"/>
        <w:rPr>
          <w:rFonts w:hint="eastAsia" w:ascii="宋体" w:hAnsi="宋体" w:eastAsia="宋体" w:cs="宋体"/>
          <w:b/>
          <w:snapToGrid w:val="0"/>
          <w:color w:val="auto"/>
          <w:kern w:val="0"/>
          <w:sz w:val="32"/>
          <w:szCs w:val="32"/>
          <w:highlight w:val="none"/>
        </w:rPr>
      </w:pPr>
      <w:bookmarkStart w:id="190" w:name="_Toc11935"/>
      <w:bookmarkStart w:id="191" w:name="_Toc20200"/>
      <w:r>
        <w:rPr>
          <w:rFonts w:hint="eastAsia" w:ascii="宋体" w:hAnsi="宋体" w:eastAsia="宋体" w:cs="宋体"/>
          <w:b/>
          <w:snapToGrid w:val="0"/>
          <w:color w:val="auto"/>
          <w:kern w:val="0"/>
          <w:sz w:val="32"/>
          <w:szCs w:val="32"/>
          <w:highlight w:val="none"/>
        </w:rPr>
        <w:t>履约</w:t>
      </w:r>
      <w:r>
        <w:rPr>
          <w:rFonts w:hint="eastAsia" w:ascii="宋体" w:hAnsi="宋体" w:eastAsia="宋体" w:cs="宋体"/>
          <w:b/>
          <w:snapToGrid w:val="0"/>
          <w:color w:val="auto"/>
          <w:kern w:val="0"/>
          <w:sz w:val="32"/>
          <w:szCs w:val="32"/>
          <w:highlight w:val="none"/>
          <w:lang w:eastAsia="zh-CN"/>
        </w:rPr>
        <w:t>担保</w:t>
      </w:r>
      <w:r>
        <w:rPr>
          <w:rFonts w:hint="eastAsia" w:ascii="宋体" w:hAnsi="宋体" w:eastAsia="宋体" w:cs="宋体"/>
          <w:b/>
          <w:snapToGrid w:val="0"/>
          <w:color w:val="auto"/>
          <w:kern w:val="0"/>
          <w:sz w:val="32"/>
          <w:szCs w:val="32"/>
          <w:highlight w:val="none"/>
        </w:rPr>
        <w:t>（格式）</w:t>
      </w:r>
      <w:bookmarkEnd w:id="190"/>
      <w:bookmarkEnd w:id="191"/>
    </w:p>
    <w:p w14:paraId="7477ED8C">
      <w:pPr>
        <w:adjustRightInd w:val="0"/>
        <w:snapToGrid w:val="0"/>
        <w:spacing w:line="336" w:lineRule="auto"/>
        <w:jc w:val="center"/>
        <w:outlineLvl w:val="9"/>
        <w:rPr>
          <w:rFonts w:hint="eastAsia" w:ascii="宋体" w:hAnsi="宋体" w:eastAsia="宋体" w:cs="宋体"/>
          <w:b/>
          <w:snapToGrid w:val="0"/>
          <w:color w:val="auto"/>
          <w:sz w:val="24"/>
          <w:szCs w:val="24"/>
          <w:highlight w:val="none"/>
          <w:lang w:eastAsia="zh-CN"/>
        </w:rPr>
      </w:pPr>
      <w:r>
        <w:rPr>
          <w:rFonts w:hint="eastAsia" w:ascii="宋体" w:hAnsi="宋体" w:eastAsia="宋体" w:cs="宋体"/>
          <w:b/>
          <w:snapToGrid w:val="0"/>
          <w:color w:val="auto"/>
          <w:sz w:val="24"/>
          <w:szCs w:val="24"/>
          <w:highlight w:val="none"/>
          <w:lang w:val="en-US" w:eastAsia="zh-CN"/>
        </w:rPr>
        <w:t xml:space="preserve">                                    </w:t>
      </w:r>
      <w:r>
        <w:rPr>
          <w:rFonts w:hint="eastAsia" w:ascii="宋体" w:hAnsi="宋体" w:eastAsia="宋体" w:cs="宋体"/>
          <w:b/>
          <w:snapToGrid w:val="0"/>
          <w:color w:val="auto"/>
          <w:sz w:val="24"/>
          <w:szCs w:val="24"/>
          <w:highlight w:val="none"/>
        </w:rPr>
        <w:t>编号</w:t>
      </w:r>
      <w:r>
        <w:rPr>
          <w:rFonts w:hint="eastAsia" w:ascii="宋体" w:hAnsi="宋体" w:eastAsia="宋体" w:cs="宋体"/>
          <w:b/>
          <w:snapToGrid w:val="0"/>
          <w:color w:val="auto"/>
          <w:sz w:val="24"/>
          <w:szCs w:val="24"/>
          <w:highlight w:val="none"/>
          <w:lang w:eastAsia="zh-CN"/>
        </w:rPr>
        <w:t>：</w:t>
      </w:r>
    </w:p>
    <w:p w14:paraId="0586FF8C">
      <w:pPr>
        <w:keepNext w:val="0"/>
        <w:keepLines w:val="0"/>
        <w:pageBreakBefore w:val="0"/>
        <w:widowControl w:val="0"/>
        <w:kinsoku/>
        <w:wordWrap/>
        <w:overflowPunct/>
        <w:topLinePunct w:val="0"/>
        <w:bidi w:val="0"/>
        <w:adjustRightInd w:val="0"/>
        <w:snapToGrid w:val="0"/>
        <w:spacing w:line="336"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lang w:eastAsia="zh-CN"/>
        </w:rPr>
        <w:t>公司（</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758F55B3">
      <w:pPr>
        <w:keepNext w:val="0"/>
        <w:keepLines w:val="0"/>
        <w:pageBreakBefore w:val="0"/>
        <w:widowControl w:val="0"/>
        <w:kinsoku/>
        <w:wordWrap/>
        <w:overflowPunct/>
        <w:topLinePunct w:val="0"/>
        <w:bidi w:val="0"/>
        <w:adjustRightInd w:val="0"/>
        <w:snapToGrid w:val="0"/>
        <w:spacing w:line="336" w:lineRule="auto"/>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鉴于</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rPr>
        <w:t>（以下称</w:t>
      </w:r>
      <w:r>
        <w:rPr>
          <w:rFonts w:hint="eastAsia" w:ascii="宋体" w:hAnsi="宋体" w:eastAsia="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rPr>
        <w:t>）应依法按照《</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rPr>
        <w:t>招标文件》和</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的投标文件与贵司订立《</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rPr>
        <w:t>合同》（以下简称合同，合同编号：</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rPr>
        <w:t>）。我方同意为</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担保，以担保金额人民币</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rPr>
        <w:t>元，（¥</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rPr>
        <w:t>）向贵司提供不可撤销的连带责任保证，担保的范围为：</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按合同约定应向贵司履行的全部义务，包括但不限于合同约定的义务</w:t>
      </w:r>
      <w:r>
        <w:rPr>
          <w:rFonts w:hint="eastAsia" w:ascii="宋体" w:hAnsi="宋体" w:eastAsia="宋体" w:cs="宋体"/>
          <w:color w:val="auto"/>
          <w:kern w:val="0"/>
          <w:sz w:val="24"/>
          <w:szCs w:val="24"/>
          <w:highlight w:val="none"/>
          <w:lang w:eastAsia="zh-CN"/>
        </w:rPr>
        <w:t>和责任</w:t>
      </w:r>
      <w:r>
        <w:rPr>
          <w:rFonts w:hint="eastAsia" w:ascii="宋体" w:hAnsi="宋体" w:eastAsia="宋体" w:cs="宋体"/>
          <w:color w:val="auto"/>
          <w:kern w:val="0"/>
          <w:sz w:val="24"/>
          <w:szCs w:val="24"/>
          <w:highlight w:val="none"/>
        </w:rPr>
        <w:t>，应向贵司支付的利息</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违约金</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损害赔偿金</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实现债权的费用</w:t>
      </w:r>
      <w:r>
        <w:rPr>
          <w:rFonts w:hint="eastAsia" w:ascii="宋体" w:hAnsi="宋体" w:eastAsia="宋体" w:cs="宋体"/>
          <w:color w:val="auto"/>
          <w:kern w:val="0"/>
          <w:sz w:val="24"/>
          <w:szCs w:val="24"/>
          <w:highlight w:val="none"/>
          <w:lang w:eastAsia="zh-CN"/>
        </w:rPr>
        <w:t>等</w:t>
      </w:r>
      <w:r>
        <w:rPr>
          <w:rFonts w:hint="eastAsia" w:ascii="宋体" w:hAnsi="宋体" w:eastAsia="宋体" w:cs="宋体"/>
          <w:color w:val="auto"/>
          <w:kern w:val="0"/>
          <w:sz w:val="24"/>
          <w:szCs w:val="24"/>
          <w:highlight w:val="none"/>
        </w:rPr>
        <w:t>。</w:t>
      </w:r>
    </w:p>
    <w:p w14:paraId="1D3BA9AA">
      <w:pPr>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我方承诺如下：</w:t>
      </w:r>
    </w:p>
    <w:p w14:paraId="6A78E402">
      <w:pPr>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乙方未按合同约定</w:t>
      </w:r>
      <w:r>
        <w:rPr>
          <w:rFonts w:hint="eastAsia" w:ascii="宋体" w:hAnsi="宋体" w:eastAsia="宋体" w:cs="宋体"/>
          <w:color w:val="auto"/>
          <w:kern w:val="0"/>
          <w:sz w:val="24"/>
          <w:szCs w:val="24"/>
          <w:highlight w:val="none"/>
        </w:rPr>
        <w:t>履行合同</w:t>
      </w:r>
      <w:r>
        <w:rPr>
          <w:rFonts w:hint="eastAsia" w:ascii="宋体" w:hAnsi="宋体" w:eastAsia="宋体" w:cs="宋体"/>
          <w:color w:val="auto"/>
          <w:kern w:val="0"/>
          <w:sz w:val="24"/>
          <w:szCs w:val="24"/>
          <w:highlight w:val="none"/>
          <w:lang w:eastAsia="zh-CN"/>
        </w:rPr>
        <w:t>义务</w:t>
      </w:r>
      <w:r>
        <w:rPr>
          <w:rFonts w:hint="eastAsia" w:ascii="宋体" w:hAnsi="宋体" w:eastAsia="宋体" w:cs="宋体"/>
          <w:color w:val="auto"/>
          <w:kern w:val="0"/>
          <w:sz w:val="24"/>
          <w:szCs w:val="24"/>
          <w:highlight w:val="none"/>
        </w:rPr>
        <w:t>，需向贵司支付违约金或赔偿金时，在贵司</w:t>
      </w:r>
      <w:r>
        <w:rPr>
          <w:rFonts w:hint="eastAsia" w:ascii="宋体" w:hAnsi="宋体" w:eastAsia="宋体" w:cs="宋体"/>
          <w:color w:val="auto"/>
          <w:sz w:val="24"/>
          <w:szCs w:val="24"/>
          <w:highlight w:val="none"/>
        </w:rPr>
        <w:t>以书面索赔通知纸质原件形式提出</w:t>
      </w:r>
      <w:r>
        <w:rPr>
          <w:rFonts w:hint="eastAsia" w:ascii="宋体" w:hAnsi="宋体" w:eastAsia="宋体" w:cs="宋体"/>
          <w:color w:val="auto"/>
          <w:sz w:val="24"/>
          <w:szCs w:val="24"/>
          <w:highlight w:val="none"/>
          <w:lang w:eastAsia="zh-CN"/>
        </w:rPr>
        <w:t>任何付款</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rPr>
        <w:t>（需提供本担保正本原件供我方核对），我方在7个工作日内予以支付累计不超过上述担保金额的款项</w:t>
      </w:r>
      <w:r>
        <w:rPr>
          <w:rFonts w:hint="eastAsia" w:ascii="宋体" w:hAnsi="宋体" w:eastAsia="宋体" w:cs="宋体"/>
          <w:color w:val="auto"/>
          <w:kern w:val="0"/>
          <w:sz w:val="24"/>
          <w:szCs w:val="24"/>
          <w:highlight w:val="none"/>
        </w:rPr>
        <w:t>，不挑剔、不争辩，也不要求贵司出具证明或说明背景、理由</w:t>
      </w:r>
      <w:r>
        <w:rPr>
          <w:rFonts w:hint="eastAsia" w:ascii="宋体" w:hAnsi="宋体" w:eastAsia="宋体" w:cs="宋体"/>
          <w:color w:val="auto"/>
          <w:kern w:val="0"/>
          <w:sz w:val="24"/>
          <w:szCs w:val="24"/>
          <w:highlight w:val="none"/>
          <w:lang w:eastAsia="zh-CN"/>
        </w:rPr>
        <w:t>或乙方的违约证明</w:t>
      </w:r>
      <w:r>
        <w:rPr>
          <w:rFonts w:hint="eastAsia" w:ascii="宋体" w:hAnsi="宋体" w:eastAsia="宋体" w:cs="宋体"/>
          <w:color w:val="auto"/>
          <w:kern w:val="0"/>
          <w:sz w:val="24"/>
          <w:szCs w:val="24"/>
          <w:highlight w:val="none"/>
        </w:rPr>
        <w:t>。</w:t>
      </w:r>
    </w:p>
    <w:p w14:paraId="45B224EE">
      <w:pPr>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2、我方放弃贵司应先向</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要求赔偿上述金额然后再向我方提出要求的权利。</w:t>
      </w:r>
    </w:p>
    <w:p w14:paraId="0CEE60EE">
      <w:pPr>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3、我方进一步同意，在贵司和</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之间的合同条件、合同项下的服务或合同发生变化、补充或修改，</w:t>
      </w:r>
      <w:r>
        <w:rPr>
          <w:rFonts w:hint="eastAsia" w:ascii="宋体" w:hAnsi="宋体" w:eastAsia="宋体" w:cs="宋体"/>
          <w:color w:val="auto"/>
          <w:sz w:val="24"/>
          <w:szCs w:val="24"/>
          <w:highlight w:val="none"/>
        </w:rPr>
        <w:t>在不加重我方担保责任的情况下，</w:t>
      </w:r>
      <w:r>
        <w:rPr>
          <w:rFonts w:hint="eastAsia" w:ascii="宋体" w:hAnsi="宋体" w:eastAsia="宋体" w:cs="宋体"/>
          <w:color w:val="auto"/>
          <w:kern w:val="0"/>
          <w:sz w:val="24"/>
          <w:szCs w:val="24"/>
          <w:highlight w:val="none"/>
        </w:rPr>
        <w:t>我方承担本担保的责任也不改变。有关上述变化、补充和修改也无须通知我方。</w:t>
      </w:r>
    </w:p>
    <w:p w14:paraId="5623A0D2">
      <w:pPr>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4、</w:t>
      </w:r>
      <w:r>
        <w:rPr>
          <w:rFonts w:hint="eastAsia" w:ascii="宋体" w:hAnsi="宋体" w:eastAsia="宋体" w:cs="宋体"/>
          <w:b w:val="0"/>
          <w:bCs w:val="0"/>
          <w:color w:val="auto"/>
          <w:sz w:val="24"/>
          <w:szCs w:val="24"/>
          <w:highlight w:val="none"/>
        </w:rPr>
        <w:t>本担保有效期间为：自本保函签署之日起至合同约定项目结算定审之日止，但最迟不超过</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p>
    <w:p w14:paraId="3E7EC821">
      <w:pPr>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5、本担保</w:t>
      </w:r>
      <w:r>
        <w:rPr>
          <w:rFonts w:hint="eastAsia" w:ascii="宋体" w:hAnsi="宋体" w:eastAsia="宋体" w:cs="宋体"/>
          <w:color w:val="auto"/>
          <w:kern w:val="0"/>
          <w:sz w:val="24"/>
          <w:szCs w:val="24"/>
          <w:highlight w:val="none"/>
          <w:lang w:eastAsia="zh-CN"/>
        </w:rPr>
        <w:t>为独立担保，</w:t>
      </w:r>
      <w:r>
        <w:rPr>
          <w:rFonts w:hint="eastAsia" w:ascii="宋体" w:hAnsi="宋体" w:eastAsia="宋体" w:cs="宋体"/>
          <w:color w:val="auto"/>
          <w:kern w:val="0"/>
          <w:sz w:val="24"/>
          <w:szCs w:val="24"/>
          <w:highlight w:val="none"/>
        </w:rPr>
        <w:t>适用中华人民共和国法律，任何与本担保有关的争议均需提交工程项目所在地人民法院提起诉讼。</w:t>
      </w:r>
    </w:p>
    <w:p w14:paraId="4F12DAD7">
      <w:pPr>
        <w:keepNext w:val="0"/>
        <w:keepLines w:val="0"/>
        <w:pageBreakBefore w:val="0"/>
        <w:widowControl w:val="0"/>
        <w:kinsoku/>
        <w:wordWrap/>
        <w:overflowPunct/>
        <w:topLinePunct w:val="0"/>
        <w:autoSpaceDE/>
        <w:autoSpaceDN/>
        <w:bidi w:val="0"/>
        <w:adjustRightInd w:val="0"/>
        <w:snapToGrid w:val="0"/>
        <w:spacing w:after="240" w:line="336" w:lineRule="auto"/>
        <w:ind w:firstLine="48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本担保自我方负责人（或委托代理人）签字并加盖公章之日起生效。</w:t>
      </w:r>
    </w:p>
    <w:p w14:paraId="5269254A">
      <w:pPr>
        <w:keepNext w:val="0"/>
        <w:keepLines w:val="0"/>
        <w:pageBreakBefore w:val="0"/>
        <w:widowControl w:val="0"/>
        <w:kinsoku/>
        <w:wordWrap/>
        <w:overflowPunct/>
        <w:topLinePunct w:val="0"/>
        <w:autoSpaceDE/>
        <w:autoSpaceDN/>
        <w:bidi w:val="0"/>
        <w:adjustRightInd w:val="0"/>
        <w:snapToGrid w:val="0"/>
        <w:spacing w:line="336" w:lineRule="auto"/>
        <w:ind w:firstLine="3600" w:firstLineChars="15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保证人：（盖章）</w:t>
      </w:r>
    </w:p>
    <w:p w14:paraId="5480EC36">
      <w:pPr>
        <w:keepNext w:val="0"/>
        <w:keepLines w:val="0"/>
        <w:pageBreakBefore w:val="0"/>
        <w:widowControl w:val="0"/>
        <w:kinsoku/>
        <w:wordWrap/>
        <w:overflowPunct/>
        <w:topLinePunct w:val="0"/>
        <w:autoSpaceDE/>
        <w:autoSpaceDN/>
        <w:bidi w:val="0"/>
        <w:adjustRightInd w:val="0"/>
        <w:snapToGrid w:val="0"/>
        <w:spacing w:line="336" w:lineRule="auto"/>
        <w:ind w:firstLine="3600" w:firstLineChars="15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pacing w:val="0"/>
          <w:kern w:val="0"/>
          <w:sz w:val="24"/>
          <w:szCs w:val="24"/>
          <w:highlight w:val="none"/>
        </w:rPr>
        <w:t>负责人</w:t>
      </w:r>
      <w:r>
        <w:rPr>
          <w:rFonts w:hint="eastAsia" w:ascii="宋体" w:hAnsi="宋体" w:eastAsia="宋体" w:cs="宋体"/>
          <w:color w:val="auto"/>
          <w:kern w:val="0"/>
          <w:sz w:val="24"/>
          <w:szCs w:val="24"/>
          <w:highlight w:val="none"/>
        </w:rPr>
        <w:t>（或委托代理人）：</w:t>
      </w:r>
    </w:p>
    <w:p w14:paraId="44596859">
      <w:pPr>
        <w:keepNext w:val="0"/>
        <w:keepLines w:val="0"/>
        <w:pageBreakBefore w:val="0"/>
        <w:widowControl w:val="0"/>
        <w:kinsoku/>
        <w:wordWrap/>
        <w:overflowPunct/>
        <w:topLinePunct w:val="0"/>
        <w:autoSpaceDE/>
        <w:autoSpaceDN/>
        <w:bidi w:val="0"/>
        <w:adjustRightInd w:val="0"/>
        <w:snapToGrid w:val="0"/>
        <w:spacing w:line="336" w:lineRule="auto"/>
        <w:ind w:firstLine="3600" w:firstLineChars="15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p>
    <w:p w14:paraId="4566FC75">
      <w:pPr>
        <w:keepNext w:val="0"/>
        <w:keepLines w:val="0"/>
        <w:pageBreakBefore w:val="0"/>
        <w:widowControl w:val="0"/>
        <w:kinsoku/>
        <w:wordWrap/>
        <w:overflowPunct/>
        <w:topLinePunct w:val="0"/>
        <w:autoSpaceDE/>
        <w:autoSpaceDN/>
        <w:bidi w:val="0"/>
        <w:adjustRightInd w:val="0"/>
        <w:snapToGrid w:val="0"/>
        <w:spacing w:line="336" w:lineRule="auto"/>
        <w:ind w:firstLine="3600" w:firstLineChars="15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w:t>
      </w:r>
    </w:p>
    <w:p w14:paraId="50F73FC1">
      <w:pPr>
        <w:keepNext w:val="0"/>
        <w:keepLines w:val="0"/>
        <w:pageBreakBefore w:val="0"/>
        <w:widowControl w:val="0"/>
        <w:kinsoku/>
        <w:wordWrap/>
        <w:overflowPunct/>
        <w:topLinePunct w:val="0"/>
        <w:autoSpaceDE/>
        <w:autoSpaceDN/>
        <w:bidi w:val="0"/>
        <w:adjustRightInd w:val="0"/>
        <w:snapToGrid w:val="0"/>
        <w:spacing w:line="336" w:lineRule="auto"/>
        <w:ind w:firstLine="3600" w:firstLineChars="15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p>
    <w:p w14:paraId="79E7409E">
      <w:pPr>
        <w:adjustRightInd w:val="0"/>
        <w:snapToGrid w:val="0"/>
        <w:spacing w:line="336" w:lineRule="auto"/>
        <w:ind w:firstLine="3600" w:firstLineChars="1500"/>
        <w:outlineLvl w:val="9"/>
        <w:rPr>
          <w:rFonts w:hint="eastAsia" w:ascii="宋体" w:hAnsi="宋体" w:eastAsia="宋体" w:cs="宋体"/>
          <w:color w:val="auto"/>
          <w:kern w:val="0"/>
          <w:sz w:val="24"/>
          <w:szCs w:val="24"/>
          <w:highlight w:val="none"/>
        </w:rPr>
        <w:sectPr>
          <w:footerReference r:id="rId8" w:type="default"/>
          <w:pgSz w:w="11906" w:h="16838"/>
          <w:pgMar w:top="1440" w:right="1474" w:bottom="1440" w:left="1474" w:header="851" w:footer="992" w:gutter="0"/>
          <w:pgNumType w:fmt="decimal" w:start="1"/>
          <w:cols w:space="720" w:num="1"/>
          <w:rtlGutter w:val="0"/>
          <w:docGrid w:type="lines" w:linePitch="312" w:charSpace="0"/>
        </w:sect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rPr>
        <w:t>日</w:t>
      </w:r>
    </w:p>
    <w:p w14:paraId="4922C55D">
      <w:pPr>
        <w:spacing w:line="360" w:lineRule="auto"/>
        <w:ind w:firstLine="0" w:firstLineChars="0"/>
        <w:contextualSpacing/>
        <w:jc w:val="center"/>
        <w:outlineLvl w:val="9"/>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kern w:val="0"/>
          <w:sz w:val="32"/>
          <w:szCs w:val="32"/>
          <w:highlight w:val="none"/>
        </w:rPr>
        <w:t>承诺书</w:t>
      </w:r>
    </w:p>
    <w:p w14:paraId="6211C034">
      <w:pPr>
        <w:autoSpaceDE w:val="0"/>
        <w:autoSpaceDN w:val="0"/>
        <w:spacing w:line="360" w:lineRule="auto"/>
        <w:ind w:firstLine="480"/>
        <w:contextualSpacing/>
        <w:outlineLvl w:val="9"/>
        <w:rPr>
          <w:rFonts w:hint="eastAsia" w:ascii="宋体" w:hAnsi="宋体" w:eastAsia="宋体" w:cs="宋体"/>
          <w:snapToGrid w:val="0"/>
          <w:color w:val="auto"/>
          <w:kern w:val="0"/>
          <w:sz w:val="24"/>
          <w:szCs w:val="24"/>
          <w:highlight w:val="none"/>
          <w:lang w:val="zh-CN"/>
        </w:rPr>
      </w:pPr>
    </w:p>
    <w:p w14:paraId="62571619">
      <w:pPr>
        <w:autoSpaceDE w:val="0"/>
        <w:autoSpaceDN w:val="0"/>
        <w:spacing w:line="360" w:lineRule="auto"/>
        <w:contextualSpacing/>
        <w:outlineLvl w:val="9"/>
        <w:rPr>
          <w:rFonts w:hint="eastAsia" w:ascii="宋体" w:hAnsi="宋体" w:eastAsia="宋体" w:cs="宋体"/>
          <w:b/>
          <w:snapToGrid w:val="0"/>
          <w:color w:val="auto"/>
          <w:kern w:val="0"/>
          <w:sz w:val="24"/>
          <w:szCs w:val="24"/>
          <w:highlight w:val="none"/>
          <w:lang w:val="zh-CN"/>
        </w:rPr>
      </w:pPr>
      <w:r>
        <w:rPr>
          <w:rFonts w:hint="eastAsia" w:ascii="宋体" w:hAnsi="宋体" w:eastAsia="宋体" w:cs="宋体"/>
          <w:b/>
          <w:snapToGrid w:val="0"/>
          <w:color w:val="auto"/>
          <w:kern w:val="0"/>
          <w:sz w:val="24"/>
          <w:szCs w:val="24"/>
          <w:highlight w:val="none"/>
          <w:u w:val="single"/>
          <w:lang w:val="en-US" w:eastAsia="zh-CN"/>
        </w:rPr>
        <w:t xml:space="preserve">                       （甲方）</w:t>
      </w:r>
      <w:r>
        <w:rPr>
          <w:rFonts w:hint="eastAsia" w:ascii="宋体" w:hAnsi="宋体" w:eastAsia="宋体" w:cs="宋体"/>
          <w:b/>
          <w:snapToGrid w:val="0"/>
          <w:color w:val="auto"/>
          <w:kern w:val="0"/>
          <w:sz w:val="24"/>
          <w:szCs w:val="24"/>
          <w:highlight w:val="none"/>
          <w:lang w:val="zh-CN"/>
        </w:rPr>
        <w:t>：</w:t>
      </w:r>
    </w:p>
    <w:p w14:paraId="6F1598A2">
      <w:pPr>
        <w:autoSpaceDE w:val="0"/>
        <w:autoSpaceDN w:val="0"/>
        <w:spacing w:line="360" w:lineRule="auto"/>
        <w:ind w:firstLine="480"/>
        <w:contextualSpacing/>
        <w:outlineLvl w:val="9"/>
        <w:rPr>
          <w:rFonts w:hint="eastAsia" w:ascii="宋体" w:hAnsi="宋体" w:eastAsia="宋体" w:cs="宋体"/>
          <w:snapToGrid w:val="0"/>
          <w:color w:val="auto"/>
          <w:kern w:val="0"/>
          <w:sz w:val="24"/>
          <w:szCs w:val="24"/>
          <w:highlight w:val="none"/>
          <w:lang w:val="zh-CN"/>
        </w:rPr>
      </w:pPr>
    </w:p>
    <w:p w14:paraId="358C219E">
      <w:pPr>
        <w:autoSpaceDE w:val="0"/>
        <w:autoSpaceDN w:val="0"/>
        <w:spacing w:line="360" w:lineRule="auto"/>
        <w:ind w:firstLine="480"/>
        <w:contextualSpacing/>
        <w:outlineLvl w:val="9"/>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我司已于</w:t>
      </w:r>
      <w:r>
        <w:rPr>
          <w:rFonts w:hint="eastAsia" w:ascii="宋体" w:hAnsi="宋体" w:eastAsia="宋体" w:cs="宋体"/>
          <w:snapToGrid w:val="0"/>
          <w:color w:val="auto"/>
          <w:kern w:val="0"/>
          <w:sz w:val="24"/>
          <w:szCs w:val="24"/>
          <w:highlight w:val="none"/>
          <w:u w:val="single"/>
          <w:lang w:val="zh-CN"/>
        </w:rPr>
        <w:t xml:space="preserve">  </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u w:val="single"/>
          <w:lang w:val="zh-CN"/>
        </w:rPr>
        <w:t xml:space="preserve"> </w:t>
      </w:r>
      <w:r>
        <w:rPr>
          <w:rFonts w:hint="eastAsia" w:ascii="宋体" w:hAnsi="宋体" w:eastAsia="宋体" w:cs="宋体"/>
          <w:snapToGrid w:val="0"/>
          <w:color w:val="auto"/>
          <w:kern w:val="0"/>
          <w:sz w:val="24"/>
          <w:szCs w:val="24"/>
          <w:highlight w:val="none"/>
          <w:lang w:val="zh-CN"/>
        </w:rPr>
        <w:t>年</w:t>
      </w:r>
      <w:r>
        <w:rPr>
          <w:rFonts w:hint="eastAsia" w:ascii="宋体" w:hAnsi="宋体" w:eastAsia="宋体" w:cs="宋体"/>
          <w:snapToGrid w:val="0"/>
          <w:color w:val="auto"/>
          <w:kern w:val="0"/>
          <w:sz w:val="24"/>
          <w:szCs w:val="24"/>
          <w:highlight w:val="none"/>
          <w:u w:val="single"/>
          <w:lang w:val="zh-CN"/>
        </w:rPr>
        <w:t xml:space="preserve">   </w:t>
      </w:r>
      <w:r>
        <w:rPr>
          <w:rFonts w:hint="eastAsia" w:ascii="宋体" w:hAnsi="宋体" w:eastAsia="宋体" w:cs="宋体"/>
          <w:snapToGrid w:val="0"/>
          <w:color w:val="auto"/>
          <w:kern w:val="0"/>
          <w:sz w:val="24"/>
          <w:szCs w:val="24"/>
          <w:highlight w:val="none"/>
          <w:lang w:val="zh-CN"/>
        </w:rPr>
        <w:t>月</w:t>
      </w:r>
      <w:r>
        <w:rPr>
          <w:rFonts w:hint="eastAsia" w:ascii="宋体" w:hAnsi="宋体" w:eastAsia="宋体" w:cs="宋体"/>
          <w:snapToGrid w:val="0"/>
          <w:color w:val="auto"/>
          <w:kern w:val="0"/>
          <w:sz w:val="24"/>
          <w:szCs w:val="24"/>
          <w:highlight w:val="none"/>
          <w:u w:val="single"/>
          <w:lang w:val="zh-CN"/>
        </w:rPr>
        <w:t xml:space="preserve">   </w:t>
      </w:r>
      <w:r>
        <w:rPr>
          <w:rFonts w:hint="eastAsia" w:ascii="宋体" w:hAnsi="宋体" w:eastAsia="宋体" w:cs="宋体"/>
          <w:snapToGrid w:val="0"/>
          <w:color w:val="auto"/>
          <w:kern w:val="0"/>
          <w:sz w:val="24"/>
          <w:szCs w:val="24"/>
          <w:highlight w:val="none"/>
          <w:lang w:val="zh-CN"/>
        </w:rPr>
        <w:t>日向贵司提交了</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项目</w:t>
      </w:r>
      <w:r>
        <w:rPr>
          <w:rFonts w:hint="eastAsia" w:ascii="宋体" w:hAnsi="宋体" w:eastAsia="宋体" w:cs="宋体"/>
          <w:snapToGrid w:val="0"/>
          <w:color w:val="auto"/>
          <w:kern w:val="0"/>
          <w:sz w:val="24"/>
          <w:szCs w:val="24"/>
          <w:highlight w:val="none"/>
          <w:lang w:val="zh-CN"/>
        </w:rPr>
        <w:t>的履约银行保函，保函最长有效期至</w:t>
      </w:r>
      <w:r>
        <w:rPr>
          <w:rFonts w:hint="eastAsia" w:ascii="宋体" w:hAnsi="宋体" w:eastAsia="宋体" w:cs="宋体"/>
          <w:snapToGrid w:val="0"/>
          <w:color w:val="auto"/>
          <w:kern w:val="0"/>
          <w:sz w:val="24"/>
          <w:szCs w:val="24"/>
          <w:highlight w:val="none"/>
          <w:u w:val="single"/>
          <w:lang w:val="zh-CN"/>
        </w:rPr>
        <w:t xml:space="preserve"> </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u w:val="single"/>
          <w:lang w:val="zh-CN"/>
        </w:rPr>
        <w:t xml:space="preserve">  </w:t>
      </w:r>
      <w:r>
        <w:rPr>
          <w:rFonts w:hint="eastAsia" w:ascii="宋体" w:hAnsi="宋体" w:eastAsia="宋体" w:cs="宋体"/>
          <w:snapToGrid w:val="0"/>
          <w:color w:val="auto"/>
          <w:kern w:val="0"/>
          <w:sz w:val="24"/>
          <w:szCs w:val="24"/>
          <w:highlight w:val="none"/>
          <w:lang w:val="zh-CN"/>
        </w:rPr>
        <w:t>年</w:t>
      </w:r>
      <w:r>
        <w:rPr>
          <w:rFonts w:hint="eastAsia" w:ascii="宋体" w:hAnsi="宋体" w:eastAsia="宋体" w:cs="宋体"/>
          <w:snapToGrid w:val="0"/>
          <w:color w:val="auto"/>
          <w:kern w:val="0"/>
          <w:sz w:val="24"/>
          <w:szCs w:val="24"/>
          <w:highlight w:val="none"/>
          <w:u w:val="single"/>
          <w:lang w:val="zh-CN"/>
        </w:rPr>
        <w:t xml:space="preserve">   </w:t>
      </w:r>
      <w:r>
        <w:rPr>
          <w:rFonts w:hint="eastAsia" w:ascii="宋体" w:hAnsi="宋体" w:eastAsia="宋体" w:cs="宋体"/>
          <w:snapToGrid w:val="0"/>
          <w:color w:val="auto"/>
          <w:kern w:val="0"/>
          <w:sz w:val="24"/>
          <w:szCs w:val="24"/>
          <w:highlight w:val="none"/>
          <w:lang w:val="zh-CN"/>
        </w:rPr>
        <w:t>月</w:t>
      </w:r>
      <w:r>
        <w:rPr>
          <w:rFonts w:hint="eastAsia" w:ascii="宋体" w:hAnsi="宋体" w:eastAsia="宋体" w:cs="宋体"/>
          <w:snapToGrid w:val="0"/>
          <w:color w:val="auto"/>
          <w:kern w:val="0"/>
          <w:sz w:val="24"/>
          <w:szCs w:val="24"/>
          <w:highlight w:val="none"/>
          <w:u w:val="single"/>
          <w:lang w:val="zh-CN"/>
        </w:rPr>
        <w:t xml:space="preserve">   </w:t>
      </w:r>
      <w:r>
        <w:rPr>
          <w:rFonts w:hint="eastAsia" w:ascii="宋体" w:hAnsi="宋体" w:eastAsia="宋体" w:cs="宋体"/>
          <w:snapToGrid w:val="0"/>
          <w:color w:val="auto"/>
          <w:kern w:val="0"/>
          <w:sz w:val="24"/>
          <w:szCs w:val="24"/>
          <w:highlight w:val="none"/>
          <w:lang w:val="zh-CN"/>
        </w:rPr>
        <w:t>日。</w:t>
      </w:r>
    </w:p>
    <w:p w14:paraId="269ED977">
      <w:pPr>
        <w:autoSpaceDE w:val="0"/>
        <w:autoSpaceDN w:val="0"/>
        <w:spacing w:line="360" w:lineRule="auto"/>
        <w:ind w:firstLine="480"/>
        <w:contextualSpacing/>
        <w:outlineLvl w:val="9"/>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如在保函最长有效期届满时本合同</w:t>
      </w:r>
      <w:r>
        <w:rPr>
          <w:rFonts w:hint="eastAsia" w:ascii="宋体" w:hAnsi="宋体" w:eastAsia="宋体" w:cs="宋体"/>
          <w:snapToGrid w:val="0"/>
          <w:color w:val="auto"/>
          <w:kern w:val="0"/>
          <w:sz w:val="24"/>
          <w:szCs w:val="24"/>
          <w:highlight w:val="none"/>
        </w:rPr>
        <w:t>结算未最终定审</w:t>
      </w:r>
      <w:r>
        <w:rPr>
          <w:rFonts w:hint="eastAsia" w:ascii="宋体" w:hAnsi="宋体" w:eastAsia="宋体" w:cs="宋体"/>
          <w:snapToGrid w:val="0"/>
          <w:color w:val="auto"/>
          <w:kern w:val="0"/>
          <w:sz w:val="24"/>
          <w:szCs w:val="24"/>
          <w:highlight w:val="none"/>
          <w:lang w:val="zh-CN"/>
        </w:rPr>
        <w:t>，则贵司有权要求我司另行提交新的保函。若我司不按贵司要求提交新的保函，则贵司有权暂停支付余下的合同价款，直至我司提交新的保函或</w:t>
      </w:r>
      <w:r>
        <w:rPr>
          <w:rFonts w:hint="eastAsia" w:ascii="宋体" w:hAnsi="宋体" w:eastAsia="宋体" w:cs="宋体"/>
          <w:snapToGrid w:val="0"/>
          <w:color w:val="auto"/>
          <w:kern w:val="0"/>
          <w:sz w:val="24"/>
          <w:szCs w:val="24"/>
          <w:highlight w:val="none"/>
        </w:rPr>
        <w:t>本合同结算最终定审</w:t>
      </w:r>
      <w:r>
        <w:rPr>
          <w:rFonts w:hint="eastAsia" w:ascii="宋体" w:hAnsi="宋体" w:eastAsia="宋体" w:cs="宋体"/>
          <w:snapToGrid w:val="0"/>
          <w:color w:val="auto"/>
          <w:kern w:val="0"/>
          <w:sz w:val="24"/>
          <w:szCs w:val="24"/>
          <w:highlight w:val="none"/>
          <w:lang w:val="zh-CN"/>
        </w:rPr>
        <w:t>。</w:t>
      </w:r>
    </w:p>
    <w:p w14:paraId="2C8D4693">
      <w:pPr>
        <w:autoSpaceDE w:val="0"/>
        <w:autoSpaceDN w:val="0"/>
        <w:spacing w:line="360" w:lineRule="auto"/>
        <w:ind w:firstLine="480"/>
        <w:contextualSpacing/>
        <w:outlineLvl w:val="9"/>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特此承诺。</w:t>
      </w:r>
    </w:p>
    <w:p w14:paraId="09ABE61F">
      <w:pPr>
        <w:autoSpaceDE w:val="0"/>
        <w:autoSpaceDN w:val="0"/>
        <w:spacing w:line="360" w:lineRule="auto"/>
        <w:contextualSpacing/>
        <w:outlineLvl w:val="9"/>
        <w:rPr>
          <w:rFonts w:hint="eastAsia" w:ascii="宋体" w:hAnsi="宋体" w:eastAsia="宋体" w:cs="宋体"/>
          <w:snapToGrid w:val="0"/>
          <w:color w:val="auto"/>
          <w:kern w:val="0"/>
          <w:sz w:val="24"/>
          <w:szCs w:val="24"/>
          <w:highlight w:val="none"/>
          <w:lang w:val="zh-CN"/>
        </w:rPr>
      </w:pPr>
    </w:p>
    <w:p w14:paraId="06968E22">
      <w:pPr>
        <w:autoSpaceDE w:val="0"/>
        <w:autoSpaceDN w:val="0"/>
        <w:spacing w:line="360" w:lineRule="auto"/>
        <w:ind w:right="480"/>
        <w:contextualSpacing/>
        <w:outlineLvl w:val="9"/>
        <w:rPr>
          <w:rFonts w:hint="eastAsia" w:ascii="宋体" w:hAnsi="宋体" w:eastAsia="宋体" w:cs="宋体"/>
          <w:snapToGrid w:val="0"/>
          <w:color w:val="auto"/>
          <w:kern w:val="0"/>
          <w:sz w:val="24"/>
          <w:szCs w:val="24"/>
          <w:highlight w:val="none"/>
          <w:lang w:val="zh-CN"/>
        </w:rPr>
      </w:pPr>
    </w:p>
    <w:p w14:paraId="496035C3">
      <w:pPr>
        <w:autoSpaceDE w:val="0"/>
        <w:autoSpaceDN w:val="0"/>
        <w:spacing w:line="360" w:lineRule="auto"/>
        <w:ind w:right="480"/>
        <w:contextualSpacing/>
        <w:outlineLvl w:val="9"/>
        <w:rPr>
          <w:rFonts w:hint="eastAsia" w:ascii="宋体" w:hAnsi="宋体" w:eastAsia="宋体" w:cs="宋体"/>
          <w:snapToGrid w:val="0"/>
          <w:color w:val="auto"/>
          <w:kern w:val="0"/>
          <w:sz w:val="24"/>
          <w:szCs w:val="24"/>
          <w:highlight w:val="none"/>
          <w:lang w:val="zh-CN"/>
        </w:rPr>
      </w:pPr>
    </w:p>
    <w:p w14:paraId="7543CA75">
      <w:pPr>
        <w:autoSpaceDE w:val="0"/>
        <w:autoSpaceDN w:val="0"/>
        <w:spacing w:line="360" w:lineRule="auto"/>
        <w:ind w:right="480" w:firstLine="3240" w:firstLineChars="1350"/>
        <w:contextualSpacing/>
        <w:outlineLvl w:val="9"/>
        <w:rPr>
          <w:rFonts w:hint="eastAsia" w:ascii="宋体" w:hAnsi="宋体" w:eastAsia="宋体" w:cs="宋体"/>
          <w:b w:val="0"/>
          <w:bCs/>
          <w:snapToGrid w:val="0"/>
          <w:color w:val="auto"/>
          <w:kern w:val="0"/>
          <w:sz w:val="24"/>
          <w:szCs w:val="24"/>
          <w:highlight w:val="none"/>
          <w:lang w:val="zh-CN"/>
        </w:rPr>
      </w:pPr>
      <w:r>
        <w:rPr>
          <w:rFonts w:hint="eastAsia" w:ascii="宋体" w:hAnsi="宋体" w:eastAsia="宋体" w:cs="宋体"/>
          <w:b w:val="0"/>
          <w:bCs/>
          <w:snapToGrid w:val="0"/>
          <w:color w:val="auto"/>
          <w:kern w:val="0"/>
          <w:sz w:val="24"/>
          <w:szCs w:val="24"/>
          <w:highlight w:val="none"/>
          <w:lang w:val="zh-CN"/>
        </w:rPr>
        <w:t>承诺人：</w:t>
      </w:r>
    </w:p>
    <w:p w14:paraId="338BD8E5">
      <w:pPr>
        <w:autoSpaceDE w:val="0"/>
        <w:autoSpaceDN w:val="0"/>
        <w:spacing w:line="360" w:lineRule="auto"/>
        <w:ind w:right="480" w:firstLine="5280" w:firstLineChars="2200"/>
        <w:contextualSpacing/>
        <w:outlineLvl w:val="9"/>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（盖章）</w:t>
      </w:r>
    </w:p>
    <w:p w14:paraId="23ED6A54">
      <w:pPr>
        <w:autoSpaceDE w:val="0"/>
        <w:autoSpaceDN w:val="0"/>
        <w:spacing w:line="360" w:lineRule="auto"/>
        <w:ind w:right="480" w:firstLine="3240" w:firstLineChars="1350"/>
        <w:contextualSpacing/>
        <w:outlineLvl w:val="9"/>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法定代表人：</w:t>
      </w:r>
    </w:p>
    <w:p w14:paraId="3273C430">
      <w:pPr>
        <w:autoSpaceDE w:val="0"/>
        <w:autoSpaceDN w:val="0"/>
        <w:spacing w:line="360" w:lineRule="auto"/>
        <w:ind w:right="480" w:firstLine="3120" w:firstLineChars="1300"/>
        <w:contextualSpacing/>
        <w:outlineLvl w:val="9"/>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 xml:space="preserve"> </w:t>
      </w:r>
    </w:p>
    <w:p w14:paraId="047ED9AD">
      <w:pPr>
        <w:spacing w:line="360" w:lineRule="auto"/>
        <w:ind w:firstLine="3240" w:firstLineChars="1350"/>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日期：    年  月  </w:t>
      </w:r>
      <w:r>
        <w:rPr>
          <w:rFonts w:hint="eastAsia" w:ascii="宋体" w:hAnsi="宋体" w:eastAsia="宋体" w:cs="宋体"/>
          <w:snapToGrid w:val="0"/>
          <w:color w:val="auto"/>
          <w:kern w:val="0"/>
          <w:sz w:val="24"/>
          <w:szCs w:val="24"/>
          <w:highlight w:val="none"/>
          <w:lang w:val="zh-CN"/>
        </w:rPr>
        <w:t>日</w:t>
      </w:r>
    </w:p>
    <w:p w14:paraId="187222EA">
      <w:pPr>
        <w:pStyle w:val="2"/>
        <w:adjustRightInd w:val="0"/>
        <w:snapToGrid w:val="0"/>
        <w:spacing w:line="360" w:lineRule="auto"/>
        <w:ind w:firstLine="0" w:firstLineChars="0"/>
        <w:jc w:val="left"/>
        <w:outlineLvl w:val="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snapToGrid w:val="0"/>
          <w:color w:val="auto"/>
          <w:sz w:val="24"/>
          <w:szCs w:val="24"/>
          <w:highlight w:val="none"/>
          <w:lang w:val="en-US" w:eastAsia="zh-CN"/>
        </w:rPr>
        <w:br w:type="page"/>
      </w:r>
      <w:bookmarkStart w:id="192" w:name="_Toc18615"/>
      <w:bookmarkStart w:id="193" w:name="_Toc13070"/>
      <w:bookmarkStart w:id="194" w:name="_Toc15629"/>
      <w:r>
        <w:rPr>
          <w:rFonts w:hint="eastAsia" w:ascii="宋体" w:hAnsi="宋体" w:eastAsia="宋体" w:cs="宋体"/>
          <w:b/>
          <w:bCs w:val="0"/>
          <w:snapToGrid w:val="0"/>
          <w:color w:val="auto"/>
          <w:sz w:val="24"/>
          <w:szCs w:val="24"/>
          <w:highlight w:val="none"/>
          <w:lang w:val="en-US" w:eastAsia="zh-CN"/>
        </w:rPr>
        <w:t>附件</w:t>
      </w:r>
      <w:r>
        <w:rPr>
          <w:rFonts w:hint="eastAsia" w:ascii="宋体" w:hAnsi="宋体" w:eastAsia="宋体" w:cs="宋体"/>
          <w:b/>
          <w:bCs w:val="0"/>
          <w:color w:val="auto"/>
          <w:sz w:val="24"/>
          <w:szCs w:val="24"/>
          <w:highlight w:val="none"/>
          <w:lang w:val="en-US" w:eastAsia="zh-CN"/>
        </w:rPr>
        <w:t>5：</w:t>
      </w:r>
      <w:bookmarkEnd w:id="192"/>
      <w:r>
        <w:rPr>
          <w:rFonts w:hint="eastAsia" w:ascii="宋体" w:hAnsi="宋体" w:eastAsia="宋体" w:cs="宋体"/>
          <w:b/>
          <w:bCs w:val="0"/>
          <w:color w:val="auto"/>
          <w:sz w:val="24"/>
          <w:szCs w:val="24"/>
          <w:highlight w:val="none"/>
          <w:lang w:val="en-US" w:eastAsia="zh-CN"/>
        </w:rPr>
        <w:t>拟投入本项目人员一览表</w:t>
      </w:r>
      <w:bookmarkEnd w:id="193"/>
      <w:bookmarkEnd w:id="194"/>
    </w:p>
    <w:p w14:paraId="5C6E4DCA">
      <w:pPr>
        <w:pStyle w:val="2"/>
        <w:adjustRightInd w:val="0"/>
        <w:snapToGrid w:val="0"/>
        <w:spacing w:line="360" w:lineRule="auto"/>
        <w:ind w:firstLine="0" w:firstLineChars="0"/>
        <w:jc w:val="center"/>
        <w:outlineLvl w:val="9"/>
        <w:rPr>
          <w:rFonts w:hint="eastAsia" w:ascii="宋体" w:hAnsi="宋体" w:eastAsia="宋体" w:cs="宋体"/>
          <w:b/>
          <w:bCs w:val="0"/>
          <w:color w:val="auto"/>
          <w:sz w:val="32"/>
          <w:szCs w:val="32"/>
          <w:highlight w:val="none"/>
          <w:lang w:val="en-US" w:eastAsia="zh-CN"/>
        </w:rPr>
      </w:pPr>
      <w:bookmarkStart w:id="195" w:name="_Toc24044"/>
      <w:bookmarkStart w:id="196" w:name="_Toc25959"/>
      <w:r>
        <w:rPr>
          <w:rFonts w:hint="eastAsia" w:ascii="宋体" w:hAnsi="宋体" w:eastAsia="宋体" w:cs="宋体"/>
          <w:b/>
          <w:bCs w:val="0"/>
          <w:color w:val="auto"/>
          <w:sz w:val="32"/>
          <w:szCs w:val="32"/>
          <w:highlight w:val="none"/>
          <w:lang w:val="en-US" w:eastAsia="zh-CN"/>
        </w:rPr>
        <w:t>拟投入本项目人员一览表</w:t>
      </w:r>
      <w:bookmarkEnd w:id="195"/>
      <w:bookmarkEnd w:id="196"/>
    </w:p>
    <w:p w14:paraId="16B38773">
      <w:pPr>
        <w:pStyle w:val="2"/>
        <w:adjustRightInd w:val="0"/>
        <w:snapToGrid w:val="0"/>
        <w:spacing w:line="360" w:lineRule="auto"/>
        <w:ind w:firstLine="0" w:firstLineChars="0"/>
        <w:jc w:val="left"/>
        <w:outlineLvl w:val="0"/>
        <w:rPr>
          <w:rFonts w:hint="eastAsia" w:ascii="宋体" w:hAnsi="宋体" w:eastAsia="宋体" w:cs="宋体"/>
          <w:b w:val="0"/>
          <w:bCs/>
          <w:snapToGrid w:val="0"/>
          <w:color w:val="auto"/>
          <w:sz w:val="24"/>
          <w:szCs w:val="24"/>
          <w:highlight w:val="none"/>
          <w:lang w:val="en-US" w:eastAsia="zh-CN"/>
        </w:rPr>
      </w:pPr>
      <w:r>
        <w:rPr>
          <w:rFonts w:hint="eastAsia" w:ascii="宋体" w:hAnsi="宋体" w:eastAsia="宋体" w:cs="宋体"/>
          <w:b w:val="0"/>
          <w:bCs/>
          <w:snapToGrid w:val="0"/>
          <w:color w:val="auto"/>
          <w:sz w:val="24"/>
          <w:szCs w:val="24"/>
          <w:highlight w:val="none"/>
          <w:lang w:val="en-US" w:eastAsia="zh-CN"/>
        </w:rPr>
        <w:br w:type="page"/>
      </w:r>
      <w:bookmarkStart w:id="197" w:name="_Toc18099"/>
      <w:bookmarkStart w:id="198" w:name="_Toc815"/>
      <w:bookmarkStart w:id="199" w:name="_Toc13488"/>
      <w:r>
        <w:rPr>
          <w:rFonts w:hint="eastAsia" w:ascii="宋体" w:hAnsi="宋体" w:eastAsia="宋体" w:cs="宋体"/>
          <w:b/>
          <w:bCs w:val="0"/>
          <w:snapToGrid w:val="0"/>
          <w:color w:val="auto"/>
          <w:sz w:val="24"/>
          <w:szCs w:val="24"/>
          <w:highlight w:val="none"/>
          <w:lang w:val="en-US" w:eastAsia="zh-CN"/>
        </w:rPr>
        <w:t>附件6：</w:t>
      </w:r>
      <w:bookmarkEnd w:id="197"/>
      <w:r>
        <w:rPr>
          <w:rFonts w:hint="eastAsia" w:ascii="宋体" w:hAnsi="宋体" w:eastAsia="宋体" w:cs="宋体"/>
          <w:b/>
          <w:bCs w:val="0"/>
          <w:snapToGrid w:val="0"/>
          <w:color w:val="auto"/>
          <w:sz w:val="24"/>
          <w:szCs w:val="24"/>
          <w:highlight w:val="none"/>
          <w:lang w:val="en-US" w:eastAsia="zh-CN"/>
        </w:rPr>
        <w:t>工程量清单报价表</w:t>
      </w:r>
      <w:bookmarkEnd w:id="198"/>
      <w:bookmarkEnd w:id="199"/>
    </w:p>
    <w:p w14:paraId="2D06356B">
      <w:pPr>
        <w:pStyle w:val="2"/>
        <w:adjustRightInd w:val="0"/>
        <w:snapToGrid w:val="0"/>
        <w:spacing w:line="360" w:lineRule="auto"/>
        <w:ind w:firstLine="0" w:firstLineChars="0"/>
        <w:jc w:val="center"/>
        <w:outlineLvl w:val="9"/>
        <w:rPr>
          <w:rFonts w:hint="eastAsia" w:ascii="宋体" w:hAnsi="宋体" w:eastAsia="宋体" w:cs="宋体"/>
          <w:b/>
          <w:bCs w:val="0"/>
          <w:color w:val="auto"/>
          <w:sz w:val="32"/>
          <w:szCs w:val="32"/>
          <w:highlight w:val="none"/>
          <w:lang w:val="en-US" w:eastAsia="zh-CN"/>
        </w:rPr>
      </w:pPr>
      <w:bookmarkStart w:id="200" w:name="_Toc29581"/>
      <w:bookmarkStart w:id="201" w:name="_Toc26296"/>
      <w:r>
        <w:rPr>
          <w:rFonts w:hint="eastAsia" w:ascii="宋体" w:hAnsi="宋体" w:eastAsia="宋体" w:cs="宋体"/>
          <w:b/>
          <w:bCs w:val="0"/>
          <w:color w:val="auto"/>
          <w:sz w:val="32"/>
          <w:szCs w:val="32"/>
          <w:highlight w:val="none"/>
        </w:rPr>
        <w:t>工程量清单</w:t>
      </w:r>
      <w:r>
        <w:rPr>
          <w:rFonts w:hint="eastAsia" w:ascii="宋体" w:hAnsi="宋体" w:eastAsia="宋体" w:cs="宋体"/>
          <w:b/>
          <w:bCs w:val="0"/>
          <w:color w:val="auto"/>
          <w:sz w:val="32"/>
          <w:szCs w:val="32"/>
          <w:highlight w:val="none"/>
          <w:lang w:val="en-US" w:eastAsia="zh-CN"/>
        </w:rPr>
        <w:t>报价表</w:t>
      </w:r>
      <w:bookmarkEnd w:id="200"/>
      <w:bookmarkEnd w:id="201"/>
    </w:p>
    <w:p w14:paraId="1F0E9EE4">
      <w:pPr>
        <w:pStyle w:val="2"/>
        <w:adjustRightInd w:val="0"/>
        <w:snapToGrid w:val="0"/>
        <w:spacing w:line="360" w:lineRule="auto"/>
        <w:ind w:firstLine="0" w:firstLineChars="0"/>
        <w:jc w:val="left"/>
        <w:outlineLvl w:val="0"/>
        <w:rPr>
          <w:rFonts w:hint="eastAsia" w:ascii="宋体" w:hAnsi="宋体" w:eastAsia="宋体" w:cs="宋体"/>
          <w:b w:val="0"/>
          <w:bCs/>
          <w:snapToGrid w:val="0"/>
          <w:color w:val="auto"/>
          <w:sz w:val="24"/>
          <w:szCs w:val="24"/>
          <w:highlight w:val="none"/>
          <w:lang w:val="en-US" w:eastAsia="zh-CN"/>
        </w:rPr>
      </w:pPr>
      <w:r>
        <w:rPr>
          <w:rFonts w:hint="eastAsia" w:ascii="宋体" w:hAnsi="宋体" w:eastAsia="宋体" w:cs="宋体"/>
          <w:b w:val="0"/>
          <w:bCs/>
          <w:snapToGrid w:val="0"/>
          <w:color w:val="auto"/>
          <w:sz w:val="24"/>
          <w:szCs w:val="24"/>
          <w:highlight w:val="none"/>
          <w:lang w:val="en-US" w:eastAsia="zh-CN"/>
        </w:rPr>
        <w:br w:type="page"/>
      </w:r>
      <w:bookmarkStart w:id="202" w:name="_Toc30497"/>
      <w:bookmarkStart w:id="203" w:name="_Toc3084"/>
      <w:bookmarkStart w:id="204" w:name="_Toc25256"/>
      <w:r>
        <w:rPr>
          <w:rFonts w:hint="eastAsia" w:ascii="宋体" w:hAnsi="宋体" w:eastAsia="宋体" w:cs="宋体"/>
          <w:b/>
          <w:bCs w:val="0"/>
          <w:snapToGrid w:val="0"/>
          <w:color w:val="auto"/>
          <w:sz w:val="24"/>
          <w:szCs w:val="24"/>
          <w:highlight w:val="none"/>
          <w:lang w:val="en-US" w:eastAsia="zh-CN"/>
        </w:rPr>
        <w:t>附件7：</w:t>
      </w:r>
      <w:bookmarkEnd w:id="202"/>
      <w:r>
        <w:rPr>
          <w:rFonts w:hint="eastAsia" w:ascii="宋体" w:hAnsi="宋体" w:eastAsia="宋体" w:cs="宋体"/>
          <w:b/>
          <w:bCs w:val="0"/>
          <w:snapToGrid w:val="0"/>
          <w:color w:val="auto"/>
          <w:sz w:val="24"/>
          <w:szCs w:val="24"/>
          <w:highlight w:val="none"/>
          <w:lang w:val="en-US" w:eastAsia="zh-CN"/>
        </w:rPr>
        <w:t>乙方营业执照</w:t>
      </w:r>
      <w:bookmarkEnd w:id="203"/>
      <w:bookmarkEnd w:id="204"/>
    </w:p>
    <w:p w14:paraId="63A202CD">
      <w:pPr>
        <w:pStyle w:val="2"/>
        <w:adjustRightInd w:val="0"/>
        <w:snapToGrid w:val="0"/>
        <w:spacing w:line="360" w:lineRule="auto"/>
        <w:ind w:firstLine="0" w:firstLineChars="0"/>
        <w:jc w:val="center"/>
        <w:outlineLvl w:val="9"/>
        <w:rPr>
          <w:rFonts w:hint="eastAsia" w:ascii="宋体" w:hAnsi="宋体" w:eastAsia="宋体" w:cs="宋体"/>
          <w:b/>
          <w:bCs w:val="0"/>
          <w:color w:val="auto"/>
          <w:sz w:val="32"/>
          <w:szCs w:val="32"/>
          <w:highlight w:val="none"/>
          <w:lang w:val="en-US" w:eastAsia="zh-CN"/>
        </w:rPr>
      </w:pPr>
      <w:bookmarkStart w:id="205" w:name="_Toc23569"/>
      <w:bookmarkStart w:id="206" w:name="_Toc27964"/>
      <w:r>
        <w:rPr>
          <w:rFonts w:hint="eastAsia" w:ascii="宋体" w:hAnsi="宋体" w:eastAsia="宋体" w:cs="宋体"/>
          <w:b/>
          <w:bCs w:val="0"/>
          <w:color w:val="auto"/>
          <w:sz w:val="32"/>
          <w:szCs w:val="32"/>
          <w:highlight w:val="none"/>
          <w:lang w:val="en-US" w:eastAsia="zh-CN"/>
        </w:rPr>
        <w:t>乙方营业执照</w:t>
      </w:r>
      <w:bookmarkEnd w:id="205"/>
      <w:bookmarkEnd w:id="206"/>
    </w:p>
    <w:p w14:paraId="494A2F5B">
      <w:pPr>
        <w:pStyle w:val="2"/>
        <w:adjustRightInd w:val="0"/>
        <w:snapToGrid w:val="0"/>
        <w:spacing w:line="360" w:lineRule="auto"/>
        <w:ind w:firstLine="0" w:firstLineChars="0"/>
        <w:jc w:val="left"/>
        <w:outlineLvl w:val="0"/>
        <w:rPr>
          <w:rFonts w:hint="eastAsia" w:ascii="宋体" w:hAnsi="宋体" w:eastAsia="宋体" w:cs="宋体"/>
          <w:b w:val="0"/>
          <w:bCs/>
          <w:snapToGrid w:val="0"/>
          <w:color w:val="auto"/>
          <w:sz w:val="24"/>
          <w:szCs w:val="24"/>
          <w:highlight w:val="none"/>
          <w:lang w:val="en-US" w:eastAsia="zh-CN"/>
        </w:rPr>
      </w:pPr>
      <w:r>
        <w:rPr>
          <w:rFonts w:hint="eastAsia" w:ascii="宋体" w:hAnsi="宋体" w:eastAsia="宋体" w:cs="宋体"/>
          <w:b w:val="0"/>
          <w:bCs/>
          <w:snapToGrid w:val="0"/>
          <w:color w:val="auto"/>
          <w:sz w:val="24"/>
          <w:szCs w:val="24"/>
          <w:highlight w:val="none"/>
          <w:lang w:val="en-US" w:eastAsia="zh-CN"/>
        </w:rPr>
        <w:br w:type="page"/>
      </w:r>
      <w:bookmarkStart w:id="207" w:name="_Toc5603"/>
      <w:bookmarkStart w:id="208" w:name="_Toc26639"/>
      <w:bookmarkStart w:id="209" w:name="_Toc2273"/>
      <w:r>
        <w:rPr>
          <w:rFonts w:hint="eastAsia" w:ascii="宋体" w:hAnsi="宋体" w:eastAsia="宋体" w:cs="宋体"/>
          <w:b/>
          <w:bCs w:val="0"/>
          <w:snapToGrid w:val="0"/>
          <w:color w:val="auto"/>
          <w:sz w:val="24"/>
          <w:szCs w:val="24"/>
          <w:highlight w:val="none"/>
          <w:lang w:val="en-US" w:eastAsia="zh-CN"/>
        </w:rPr>
        <w:t>附件8：</w:t>
      </w:r>
      <w:bookmarkEnd w:id="207"/>
      <w:r>
        <w:rPr>
          <w:rFonts w:hint="eastAsia" w:ascii="宋体" w:hAnsi="宋体" w:eastAsia="宋体" w:cs="宋体"/>
          <w:b/>
          <w:bCs w:val="0"/>
          <w:snapToGrid w:val="0"/>
          <w:color w:val="auto"/>
          <w:sz w:val="24"/>
          <w:szCs w:val="24"/>
          <w:highlight w:val="none"/>
          <w:lang w:val="en-US" w:eastAsia="zh-CN"/>
        </w:rPr>
        <w:t>联合体协议书（如有、复印件）</w:t>
      </w:r>
      <w:bookmarkEnd w:id="208"/>
      <w:bookmarkEnd w:id="209"/>
    </w:p>
    <w:p w14:paraId="7F35BE05">
      <w:pPr>
        <w:spacing w:line="360" w:lineRule="auto"/>
        <w:ind w:firstLine="0" w:firstLineChars="0"/>
        <w:jc w:val="center"/>
        <w:outlineLvl w:val="9"/>
        <w:rPr>
          <w:rFonts w:hint="eastAsia" w:ascii="宋体" w:hAnsi="宋体" w:eastAsia="宋体" w:cs="宋体"/>
          <w:b/>
          <w:bCs w:val="0"/>
          <w:snapToGrid w:val="0"/>
          <w:color w:val="auto"/>
          <w:sz w:val="32"/>
          <w:szCs w:val="32"/>
          <w:highlight w:val="none"/>
          <w:lang w:val="en-US" w:eastAsia="zh-CN"/>
        </w:rPr>
      </w:pPr>
      <w:bookmarkStart w:id="210" w:name="_Toc4607"/>
      <w:bookmarkStart w:id="211" w:name="_Toc2039"/>
      <w:r>
        <w:rPr>
          <w:rFonts w:hint="eastAsia" w:ascii="宋体" w:hAnsi="宋体" w:eastAsia="宋体" w:cs="宋体"/>
          <w:b/>
          <w:bCs w:val="0"/>
          <w:color w:val="auto"/>
          <w:sz w:val="32"/>
          <w:szCs w:val="32"/>
          <w:highlight w:val="none"/>
          <w:lang w:val="en-US" w:eastAsia="zh-CN"/>
        </w:rPr>
        <w:t>联合体协议书（如有、复印件）</w:t>
      </w:r>
      <w:bookmarkEnd w:id="210"/>
      <w:bookmarkEnd w:id="211"/>
    </w:p>
    <w:bookmarkEnd w:id="212"/>
    <w:sectPr>
      <w:footerReference r:id="rId11" w:type="first"/>
      <w:headerReference r:id="rId9" w:type="default"/>
      <w:footerReference r:id="rId10" w:type="default"/>
      <w:pgSz w:w="11906" w:h="16838"/>
      <w:pgMar w:top="1417" w:right="1474" w:bottom="1417" w:left="1474"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Proxy 9">
    <w:altName w:val="Segoe Print"/>
    <w:panose1 w:val="00000400000000000000"/>
    <w:charset w:val="00"/>
    <w:family w:val="auto"/>
    <w:pitch w:val="default"/>
    <w:sig w:usb0="00000000" w:usb1="00000000" w:usb2="00000000" w:usb3="00000000" w:csb0="000001FF" w:csb1="00000000"/>
  </w:font>
  <w:font w:name="华文细黑">
    <w:panose1 w:val="02010600040101010101"/>
    <w:charset w:val="86"/>
    <w:family w:val="auto"/>
    <w:pitch w:val="default"/>
    <w:sig w:usb0="00000287" w:usb1="080F0000" w:usb2="00000000" w:usb3="00000000" w:csb0="0004009F" w:csb1="DFD70000"/>
  </w:font>
  <w:font w:name="Calisto MT">
    <w:panose1 w:val="02040603050505030304"/>
    <w:charset w:val="00"/>
    <w:family w:val="roman"/>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DejaVu Sans">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34EBB">
    <w:pPr>
      <w:pStyle w:val="31"/>
      <w:jc w:val="center"/>
    </w:pPr>
    <w:r>
      <w:rPr>
        <w:lang w:val="zh-CN"/>
      </w:rPr>
      <w:t xml:space="preserve"> </w:t>
    </w:r>
  </w:p>
  <w:p w14:paraId="2A181467">
    <w:pPr>
      <w:pStyle w:val="31"/>
      <w:rPr>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E6792">
    <w:pPr>
      <w:pStyle w:val="31"/>
      <w:rPr>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5A98B">
    <w:pPr>
      <w:pStyle w:val="3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9723DE">
                          <w:pPr>
                            <w:pStyle w:val="3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05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MOx+hDgAQAAwQMAAA4AAAAA&#10;AAAAAQAgAAAAHgEAAGRycy9lMm9Eb2MueG1sUEsFBgAAAAAGAAYAWQEAAHAFAAAAAA==&#10;">
              <v:fill on="f" focussize="0,0"/>
              <v:stroke on="f"/>
              <v:imagedata o:title=""/>
              <o:lock v:ext="edit" aspectratio="f"/>
              <v:textbox inset="0mm,0mm,0mm,0mm" style="mso-fit-shape-to-text:t;">
                <w:txbxContent>
                  <w:p w14:paraId="539723DE">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8081F">
    <w:pPr>
      <w:pStyle w:val="3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C956D3">
                          <w:pPr>
                            <w:pStyle w:val="31"/>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205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Kjk+vfgAQAAwQMAAA4AAAAA&#10;AAAAAQAgAAAAHgEAAGRycy9lMm9Eb2MueG1sUEsFBgAAAAAGAAYAWQEAAHAFAAAAAA==&#10;">
              <v:fill on="f" focussize="0,0"/>
              <v:stroke on="f"/>
              <v:imagedata o:title=""/>
              <o:lock v:ext="edit" aspectratio="f"/>
              <v:textbox inset="0mm,0mm,0mm,0mm" style="mso-fit-shape-to-text:t;">
                <w:txbxContent>
                  <w:p w14:paraId="50C956D3">
                    <w:pPr>
                      <w:pStyle w:val="31"/>
                    </w:pPr>
                    <w:r>
                      <w:fldChar w:fldCharType="begin"/>
                    </w:r>
                    <w:r>
                      <w:instrText xml:space="preserve"> PAGE  \* MERGEFORMAT </w:instrText>
                    </w:r>
                    <w:r>
                      <w:fldChar w:fldCharType="separate"/>
                    </w:r>
                    <w:r>
                      <w:t>2</w:t>
                    </w:r>
                    <w:r>
                      <w:fldChar w:fldCharType="end"/>
                    </w:r>
                  </w:p>
                </w:txbxContent>
              </v:textbox>
            </v:shape>
          </w:pict>
        </mc:Fallback>
      </mc:AlternateContent>
    </w:r>
    <w:r>
      <w:rPr>
        <w:lang w:val="zh-CN"/>
      </w:rPr>
      <w:t xml:space="preserve"> </w:t>
    </w:r>
  </w:p>
  <w:p w14:paraId="55DA6841">
    <w:pPr>
      <w:pStyle w:val="31"/>
      <w:rPr>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D4C54">
    <w:pPr>
      <w:pStyle w:val="3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4BA485">
                          <w:pPr>
                            <w:pStyle w:val="3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ARLLajgAQAAwQMAAA4AAAAA&#10;AAAAAQAgAAAAHgEAAGRycy9lMm9Eb2MueG1sUEsFBgAAAAAGAAYAWQEAAHAFAAAAAA==&#10;">
              <v:fill on="f" focussize="0,0"/>
              <v:stroke on="f"/>
              <v:imagedata o:title=""/>
              <o:lock v:ext="edit" aspectratio="f"/>
              <v:textbox inset="0mm,0mm,0mm,0mm" style="mso-fit-shape-to-text:t;">
                <w:txbxContent>
                  <w:p w14:paraId="124BA485">
                    <w:pPr>
                      <w:pStyle w:val="31"/>
                    </w:pPr>
                    <w:r>
                      <w:fldChar w:fldCharType="begin"/>
                    </w:r>
                    <w:r>
                      <w:instrText xml:space="preserve"> PAGE  \* MERGEFORMAT </w:instrText>
                    </w:r>
                    <w:r>
                      <w:fldChar w:fldCharType="separate"/>
                    </w:r>
                    <w:r>
                      <w:t>1</w:t>
                    </w:r>
                    <w:r>
                      <w:fldChar w:fldCharType="end"/>
                    </w:r>
                  </w:p>
                </w:txbxContent>
              </v:textbox>
            </v:shape>
          </w:pict>
        </mc:Fallback>
      </mc:AlternateContent>
    </w:r>
    <w:r>
      <w:rPr>
        <w:lang w:val="zh-CN"/>
      </w:rPr>
      <w:t xml:space="preserve"> </w:t>
    </w:r>
  </w:p>
  <w:p w14:paraId="142A5829">
    <w:pPr>
      <w:pStyle w:val="31"/>
      <w:rPr>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DE21">
    <w:pPr>
      <w:pStyle w:val="3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59A4AD">
                          <w:pPr>
                            <w:pStyle w:val="3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05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IrsZJDgAQAAwQMAAA4AAAAA&#10;AAAAAQAgAAAAHgEAAGRycy9lMm9Eb2MueG1sUEsFBgAAAAAGAAYAWQEAAHAFAAAAAA==&#10;">
              <v:fill on="f" focussize="0,0"/>
              <v:stroke on="f"/>
              <v:imagedata o:title=""/>
              <o:lock v:ext="edit" aspectratio="f"/>
              <v:textbox inset="0mm,0mm,0mm,0mm" style="mso-fit-shape-to-text:t;">
                <w:txbxContent>
                  <w:p w14:paraId="6559A4AD">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0D67D">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FE265">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49227">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5"/>
      <w:lvlText w:val=""/>
      <w:lvlJc w:val="left"/>
      <w:pPr>
        <w:tabs>
          <w:tab w:val="left" w:pos="360"/>
        </w:tabs>
        <w:ind w:left="360" w:hanging="360"/>
      </w:pPr>
      <w:rPr>
        <w:rFonts w:hint="default" w:ascii="Wingdings" w:hAnsi="Wingdings"/>
      </w:rPr>
    </w:lvl>
  </w:abstractNum>
  <w:abstractNum w:abstractNumId="1">
    <w:nsid w:val="FFFFFFFE"/>
    <w:multiLevelType w:val="singleLevel"/>
    <w:tmpl w:val="FFFFFFFE"/>
    <w:lvl w:ilvl="0" w:tentative="0">
      <w:start w:val="0"/>
      <w:numFmt w:val="decimal"/>
      <w:lvlText w:val="*"/>
      <w:lvlJc w:val="left"/>
    </w:lvl>
  </w:abstractNum>
  <w:abstractNum w:abstractNumId="2">
    <w:nsid w:val="00000003"/>
    <w:multiLevelType w:val="multilevel"/>
    <w:tmpl w:val="00000003"/>
    <w:lvl w:ilvl="0" w:tentative="0">
      <w:start w:val="1"/>
      <w:numFmt w:val="japaneseCounting"/>
      <w:pStyle w:val="255"/>
      <w:lvlText w:val="%1、"/>
      <w:lvlJc w:val="left"/>
      <w:pPr>
        <w:tabs>
          <w:tab w:val="left" w:pos="1350"/>
        </w:tabs>
        <w:ind w:left="1350" w:hanging="720"/>
      </w:pPr>
      <w:rPr>
        <w:rFonts w:hint="default" w:hAnsi="Times New Roman"/>
      </w:rPr>
    </w:lvl>
    <w:lvl w:ilvl="1" w:tentative="0">
      <w:start w:val="1"/>
      <w:numFmt w:val="lowerLetter"/>
      <w:lvlRestart w:val="0"/>
      <w:lvlText w:val="%2)"/>
      <w:lvlJc w:val="left"/>
      <w:pPr>
        <w:tabs>
          <w:tab w:val="left" w:pos="1470"/>
        </w:tabs>
        <w:ind w:left="1470" w:hanging="420"/>
      </w:pPr>
    </w:lvl>
    <w:lvl w:ilvl="2" w:tentative="0">
      <w:start w:val="1"/>
      <w:numFmt w:val="lowerRoman"/>
      <w:lvlRestart w:val="0"/>
      <w:lvlText w:val="%3."/>
      <w:lvlJc w:val="right"/>
      <w:pPr>
        <w:tabs>
          <w:tab w:val="left" w:pos="1890"/>
        </w:tabs>
        <w:ind w:left="1890" w:hanging="420"/>
      </w:pPr>
    </w:lvl>
    <w:lvl w:ilvl="3" w:tentative="0">
      <w:start w:val="1"/>
      <w:numFmt w:val="decimal"/>
      <w:lvlRestart w:val="0"/>
      <w:pStyle w:val="7"/>
      <w:lvlText w:val="%4."/>
      <w:lvlJc w:val="left"/>
      <w:pPr>
        <w:tabs>
          <w:tab w:val="left" w:pos="2310"/>
        </w:tabs>
        <w:ind w:left="2310" w:hanging="420"/>
      </w:pPr>
    </w:lvl>
    <w:lvl w:ilvl="4" w:tentative="0">
      <w:start w:val="1"/>
      <w:numFmt w:val="lowerLetter"/>
      <w:lvlRestart w:val="0"/>
      <w:pStyle w:val="8"/>
      <w:lvlText w:val="%5)"/>
      <w:lvlJc w:val="left"/>
      <w:pPr>
        <w:tabs>
          <w:tab w:val="left" w:pos="2730"/>
        </w:tabs>
        <w:ind w:left="2730" w:hanging="420"/>
      </w:pPr>
    </w:lvl>
    <w:lvl w:ilvl="5" w:tentative="0">
      <w:start w:val="1"/>
      <w:numFmt w:val="lowerRoman"/>
      <w:lvlRestart w:val="0"/>
      <w:lvlText w:val="%6."/>
      <w:lvlJc w:val="right"/>
      <w:pPr>
        <w:tabs>
          <w:tab w:val="left" w:pos="3150"/>
        </w:tabs>
        <w:ind w:left="3150" w:hanging="420"/>
      </w:pPr>
    </w:lvl>
    <w:lvl w:ilvl="6" w:tentative="0">
      <w:start w:val="1"/>
      <w:numFmt w:val="decimal"/>
      <w:lvlRestart w:val="0"/>
      <w:pStyle w:val="10"/>
      <w:lvlText w:val="%7."/>
      <w:lvlJc w:val="left"/>
      <w:pPr>
        <w:tabs>
          <w:tab w:val="left" w:pos="3570"/>
        </w:tabs>
        <w:ind w:left="3570" w:hanging="420"/>
      </w:pPr>
    </w:lvl>
    <w:lvl w:ilvl="7" w:tentative="0">
      <w:start w:val="1"/>
      <w:numFmt w:val="lowerLetter"/>
      <w:lvlRestart w:val="0"/>
      <w:pStyle w:val="11"/>
      <w:lvlText w:val="%8)"/>
      <w:lvlJc w:val="left"/>
      <w:pPr>
        <w:tabs>
          <w:tab w:val="left" w:pos="3990"/>
        </w:tabs>
        <w:ind w:left="3990" w:hanging="420"/>
      </w:pPr>
    </w:lvl>
    <w:lvl w:ilvl="8" w:tentative="0">
      <w:start w:val="1"/>
      <w:numFmt w:val="lowerRoman"/>
      <w:lvlRestart w:val="0"/>
      <w:pStyle w:val="12"/>
      <w:lvlText w:val="%9."/>
      <w:lvlJc w:val="right"/>
      <w:pPr>
        <w:tabs>
          <w:tab w:val="left" w:pos="4410"/>
        </w:tabs>
        <w:ind w:left="4410" w:hanging="420"/>
      </w:pPr>
    </w:lvl>
  </w:abstractNum>
  <w:abstractNum w:abstractNumId="3">
    <w:nsid w:val="2FF04297"/>
    <w:multiLevelType w:val="multilevel"/>
    <w:tmpl w:val="2FF04297"/>
    <w:lvl w:ilvl="0" w:tentative="0">
      <w:start w:val="1"/>
      <w:numFmt w:val="japaneseCounting"/>
      <w:lvlText w:val="（%1）"/>
      <w:lvlJc w:val="left"/>
      <w:pPr>
        <w:tabs>
          <w:tab w:val="left" w:pos="1720"/>
        </w:tabs>
        <w:ind w:left="1720" w:hanging="1080"/>
      </w:pPr>
      <w:rPr>
        <w:rFonts w:hint="default"/>
        <w:b w:val="0"/>
        <w:color w:val="auto"/>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pStyle w:val="9"/>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2"/>
  </w:num>
  <w:num w:numId="2">
    <w:abstractNumId w:val="3"/>
  </w:num>
  <w:num w:numId="3">
    <w:abstractNumId w:val="0"/>
  </w:num>
  <w:num w:numId="4">
    <w:abstractNumId w:val="1"/>
    <w:lvlOverride w:ilvl="0">
      <w:lvl w:ilvl="0" w:tentative="1">
        <w:start w:val="1"/>
        <w:numFmt w:val="bullet"/>
        <w:pStyle w:val="23"/>
        <w:lvlText w:val=""/>
        <w:legacy w:legacy="1" w:legacySpace="0" w:legacyIndent="360"/>
        <w:lvlJc w:val="left"/>
        <w:pPr>
          <w:ind w:left="1800" w:hanging="360"/>
        </w:pPr>
        <w:rPr>
          <w:rFonts w:hint="default" w:ascii="Courier New" w:hAnsi="Courier New"/>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210"/>
  <w:drawingGridVerticalSpacing w:val="156"/>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hYTJmZTY5MWZkZjI5N2MxYjgwYWNkZWJmMTUwYTQifQ=="/>
    <w:docVar w:name="KSO_WPS_MARK_KEY" w:val="ecd19a6e-050d-4a85-8bc1-f83b43aafcdf"/>
  </w:docVars>
  <w:rsids>
    <w:rsidRoot w:val="00A67729"/>
    <w:rsid w:val="0000123E"/>
    <w:rsid w:val="00006981"/>
    <w:rsid w:val="00014384"/>
    <w:rsid w:val="00015897"/>
    <w:rsid w:val="00015AF6"/>
    <w:rsid w:val="00034DB7"/>
    <w:rsid w:val="00037929"/>
    <w:rsid w:val="00045A9F"/>
    <w:rsid w:val="00046BD2"/>
    <w:rsid w:val="00064088"/>
    <w:rsid w:val="00064829"/>
    <w:rsid w:val="00064D0A"/>
    <w:rsid w:val="000705B5"/>
    <w:rsid w:val="000729D2"/>
    <w:rsid w:val="000760FE"/>
    <w:rsid w:val="00083090"/>
    <w:rsid w:val="000871E6"/>
    <w:rsid w:val="000924BD"/>
    <w:rsid w:val="00092B22"/>
    <w:rsid w:val="000A0DBB"/>
    <w:rsid w:val="000B0E4E"/>
    <w:rsid w:val="000B1AA8"/>
    <w:rsid w:val="000C150B"/>
    <w:rsid w:val="000C246A"/>
    <w:rsid w:val="000C4F34"/>
    <w:rsid w:val="000D02AE"/>
    <w:rsid w:val="000D0834"/>
    <w:rsid w:val="000D1ECE"/>
    <w:rsid w:val="000D6D96"/>
    <w:rsid w:val="000E0CF5"/>
    <w:rsid w:val="000E369F"/>
    <w:rsid w:val="000F2F43"/>
    <w:rsid w:val="000F7FC4"/>
    <w:rsid w:val="00104884"/>
    <w:rsid w:val="00111870"/>
    <w:rsid w:val="00113F89"/>
    <w:rsid w:val="00115D23"/>
    <w:rsid w:val="00121884"/>
    <w:rsid w:val="001261A3"/>
    <w:rsid w:val="001309BA"/>
    <w:rsid w:val="00134D54"/>
    <w:rsid w:val="0013554C"/>
    <w:rsid w:val="001366F5"/>
    <w:rsid w:val="00136B74"/>
    <w:rsid w:val="00140A24"/>
    <w:rsid w:val="00142EE0"/>
    <w:rsid w:val="00143AC3"/>
    <w:rsid w:val="00147734"/>
    <w:rsid w:val="00151536"/>
    <w:rsid w:val="0016378A"/>
    <w:rsid w:val="00167256"/>
    <w:rsid w:val="0017048C"/>
    <w:rsid w:val="00171A5E"/>
    <w:rsid w:val="00173930"/>
    <w:rsid w:val="001766C0"/>
    <w:rsid w:val="00177D9D"/>
    <w:rsid w:val="00183229"/>
    <w:rsid w:val="0019222F"/>
    <w:rsid w:val="0019445B"/>
    <w:rsid w:val="001946FA"/>
    <w:rsid w:val="00195F23"/>
    <w:rsid w:val="001A351D"/>
    <w:rsid w:val="001A5869"/>
    <w:rsid w:val="001A7067"/>
    <w:rsid w:val="001B200A"/>
    <w:rsid w:val="001B47CA"/>
    <w:rsid w:val="001B6CC0"/>
    <w:rsid w:val="001B77B4"/>
    <w:rsid w:val="001D1DE3"/>
    <w:rsid w:val="001E550C"/>
    <w:rsid w:val="001F4480"/>
    <w:rsid w:val="001F7293"/>
    <w:rsid w:val="002001F5"/>
    <w:rsid w:val="002074D2"/>
    <w:rsid w:val="00207C9B"/>
    <w:rsid w:val="002165DB"/>
    <w:rsid w:val="00225BFD"/>
    <w:rsid w:val="00244318"/>
    <w:rsid w:val="002447BE"/>
    <w:rsid w:val="00244F80"/>
    <w:rsid w:val="00251616"/>
    <w:rsid w:val="0025224A"/>
    <w:rsid w:val="00253299"/>
    <w:rsid w:val="00254E44"/>
    <w:rsid w:val="00262154"/>
    <w:rsid w:val="00262CA6"/>
    <w:rsid w:val="002639AD"/>
    <w:rsid w:val="00266F78"/>
    <w:rsid w:val="0027537C"/>
    <w:rsid w:val="00275A63"/>
    <w:rsid w:val="0028596F"/>
    <w:rsid w:val="002866BA"/>
    <w:rsid w:val="00287012"/>
    <w:rsid w:val="00292A76"/>
    <w:rsid w:val="002B0233"/>
    <w:rsid w:val="002B10D2"/>
    <w:rsid w:val="002B405C"/>
    <w:rsid w:val="002B7D37"/>
    <w:rsid w:val="002C220E"/>
    <w:rsid w:val="002C43D6"/>
    <w:rsid w:val="002C6F90"/>
    <w:rsid w:val="002D06FE"/>
    <w:rsid w:val="002D1A56"/>
    <w:rsid w:val="002D2FFA"/>
    <w:rsid w:val="002D49B6"/>
    <w:rsid w:val="002D719B"/>
    <w:rsid w:val="002E10B2"/>
    <w:rsid w:val="002E5EC5"/>
    <w:rsid w:val="002F0573"/>
    <w:rsid w:val="002F2AE4"/>
    <w:rsid w:val="002F3E8B"/>
    <w:rsid w:val="00310350"/>
    <w:rsid w:val="00311E62"/>
    <w:rsid w:val="00313F08"/>
    <w:rsid w:val="0032205E"/>
    <w:rsid w:val="00322D9A"/>
    <w:rsid w:val="00330135"/>
    <w:rsid w:val="00340040"/>
    <w:rsid w:val="00347F96"/>
    <w:rsid w:val="003561B5"/>
    <w:rsid w:val="003602D6"/>
    <w:rsid w:val="00371F32"/>
    <w:rsid w:val="003748E6"/>
    <w:rsid w:val="00385470"/>
    <w:rsid w:val="00392E22"/>
    <w:rsid w:val="00393E40"/>
    <w:rsid w:val="003A46AF"/>
    <w:rsid w:val="003B775E"/>
    <w:rsid w:val="003D128E"/>
    <w:rsid w:val="003E1898"/>
    <w:rsid w:val="003F3E8A"/>
    <w:rsid w:val="00404986"/>
    <w:rsid w:val="004049DE"/>
    <w:rsid w:val="004078D7"/>
    <w:rsid w:val="00410C55"/>
    <w:rsid w:val="0041185B"/>
    <w:rsid w:val="00413412"/>
    <w:rsid w:val="00414EBA"/>
    <w:rsid w:val="004224C6"/>
    <w:rsid w:val="004326CB"/>
    <w:rsid w:val="00434D9E"/>
    <w:rsid w:val="00446050"/>
    <w:rsid w:val="00447FFA"/>
    <w:rsid w:val="00453097"/>
    <w:rsid w:val="00453305"/>
    <w:rsid w:val="00454B1D"/>
    <w:rsid w:val="00455D9F"/>
    <w:rsid w:val="004576D3"/>
    <w:rsid w:val="00457B09"/>
    <w:rsid w:val="00461E6F"/>
    <w:rsid w:val="0046201D"/>
    <w:rsid w:val="00466083"/>
    <w:rsid w:val="0047484A"/>
    <w:rsid w:val="00480A06"/>
    <w:rsid w:val="00481A6A"/>
    <w:rsid w:val="004847C7"/>
    <w:rsid w:val="00486746"/>
    <w:rsid w:val="00493944"/>
    <w:rsid w:val="00494E26"/>
    <w:rsid w:val="00496EF5"/>
    <w:rsid w:val="00497484"/>
    <w:rsid w:val="004A049F"/>
    <w:rsid w:val="004A407C"/>
    <w:rsid w:val="004A4905"/>
    <w:rsid w:val="004A74D2"/>
    <w:rsid w:val="004B2085"/>
    <w:rsid w:val="004B5799"/>
    <w:rsid w:val="004B5827"/>
    <w:rsid w:val="004C1082"/>
    <w:rsid w:val="004C5D86"/>
    <w:rsid w:val="004D2C15"/>
    <w:rsid w:val="004D47D9"/>
    <w:rsid w:val="004D5788"/>
    <w:rsid w:val="004D59AA"/>
    <w:rsid w:val="004E6189"/>
    <w:rsid w:val="004E7AFF"/>
    <w:rsid w:val="004F3551"/>
    <w:rsid w:val="004F4AD4"/>
    <w:rsid w:val="004F5ACC"/>
    <w:rsid w:val="00501BAF"/>
    <w:rsid w:val="00503E34"/>
    <w:rsid w:val="00505100"/>
    <w:rsid w:val="00505791"/>
    <w:rsid w:val="00516F32"/>
    <w:rsid w:val="005173FF"/>
    <w:rsid w:val="00523590"/>
    <w:rsid w:val="0052701E"/>
    <w:rsid w:val="00536088"/>
    <w:rsid w:val="005444A3"/>
    <w:rsid w:val="00550EA5"/>
    <w:rsid w:val="00551257"/>
    <w:rsid w:val="00554A60"/>
    <w:rsid w:val="00560977"/>
    <w:rsid w:val="005617E6"/>
    <w:rsid w:val="00561960"/>
    <w:rsid w:val="00563710"/>
    <w:rsid w:val="0056372F"/>
    <w:rsid w:val="00570713"/>
    <w:rsid w:val="00570C62"/>
    <w:rsid w:val="005713D3"/>
    <w:rsid w:val="00573DB5"/>
    <w:rsid w:val="00580988"/>
    <w:rsid w:val="00586923"/>
    <w:rsid w:val="005A5C7D"/>
    <w:rsid w:val="005B2D93"/>
    <w:rsid w:val="005B37A0"/>
    <w:rsid w:val="005C0099"/>
    <w:rsid w:val="005C119F"/>
    <w:rsid w:val="005C1820"/>
    <w:rsid w:val="005E1CD2"/>
    <w:rsid w:val="005E3FF5"/>
    <w:rsid w:val="005E586A"/>
    <w:rsid w:val="005E7885"/>
    <w:rsid w:val="005F7910"/>
    <w:rsid w:val="00604B88"/>
    <w:rsid w:val="006057A0"/>
    <w:rsid w:val="00606142"/>
    <w:rsid w:val="00612588"/>
    <w:rsid w:val="00613C8B"/>
    <w:rsid w:val="00614293"/>
    <w:rsid w:val="00615D90"/>
    <w:rsid w:val="00624298"/>
    <w:rsid w:val="00630B3C"/>
    <w:rsid w:val="00633FDE"/>
    <w:rsid w:val="00635DC1"/>
    <w:rsid w:val="00636862"/>
    <w:rsid w:val="00636FDA"/>
    <w:rsid w:val="00637B8D"/>
    <w:rsid w:val="00642454"/>
    <w:rsid w:val="006457D7"/>
    <w:rsid w:val="00646FFB"/>
    <w:rsid w:val="00651F33"/>
    <w:rsid w:val="0065563B"/>
    <w:rsid w:val="00657FAB"/>
    <w:rsid w:val="0067181B"/>
    <w:rsid w:val="00674BA6"/>
    <w:rsid w:val="006820CA"/>
    <w:rsid w:val="0068425D"/>
    <w:rsid w:val="00690EC8"/>
    <w:rsid w:val="00693408"/>
    <w:rsid w:val="00695C67"/>
    <w:rsid w:val="006A1756"/>
    <w:rsid w:val="006A2AD0"/>
    <w:rsid w:val="006A3DF6"/>
    <w:rsid w:val="006A4637"/>
    <w:rsid w:val="006A5BAB"/>
    <w:rsid w:val="006A6BB2"/>
    <w:rsid w:val="006A7D57"/>
    <w:rsid w:val="006B0FCE"/>
    <w:rsid w:val="006B2337"/>
    <w:rsid w:val="006B3633"/>
    <w:rsid w:val="006C5A85"/>
    <w:rsid w:val="006C7F92"/>
    <w:rsid w:val="006D23CD"/>
    <w:rsid w:val="006D26D0"/>
    <w:rsid w:val="006E0C1C"/>
    <w:rsid w:val="006E0DEC"/>
    <w:rsid w:val="006E0F37"/>
    <w:rsid w:val="006F20C9"/>
    <w:rsid w:val="006F2ED8"/>
    <w:rsid w:val="007045B7"/>
    <w:rsid w:val="0070504B"/>
    <w:rsid w:val="007114DD"/>
    <w:rsid w:val="0071206A"/>
    <w:rsid w:val="00713904"/>
    <w:rsid w:val="0072629D"/>
    <w:rsid w:val="00731580"/>
    <w:rsid w:val="0073483E"/>
    <w:rsid w:val="00734AF3"/>
    <w:rsid w:val="00741D66"/>
    <w:rsid w:val="00746527"/>
    <w:rsid w:val="0074778D"/>
    <w:rsid w:val="00760B87"/>
    <w:rsid w:val="007654A9"/>
    <w:rsid w:val="00781976"/>
    <w:rsid w:val="00783035"/>
    <w:rsid w:val="00785E08"/>
    <w:rsid w:val="00787025"/>
    <w:rsid w:val="00787A26"/>
    <w:rsid w:val="007923CA"/>
    <w:rsid w:val="007A0450"/>
    <w:rsid w:val="007A4B80"/>
    <w:rsid w:val="007B2BC5"/>
    <w:rsid w:val="007B4D53"/>
    <w:rsid w:val="007C3789"/>
    <w:rsid w:val="007C40BA"/>
    <w:rsid w:val="007D6F48"/>
    <w:rsid w:val="007D7E21"/>
    <w:rsid w:val="007E1D61"/>
    <w:rsid w:val="007E3683"/>
    <w:rsid w:val="007E5DA9"/>
    <w:rsid w:val="007E7B5E"/>
    <w:rsid w:val="007F12A9"/>
    <w:rsid w:val="007F1A44"/>
    <w:rsid w:val="007F4454"/>
    <w:rsid w:val="00804B4B"/>
    <w:rsid w:val="008138F5"/>
    <w:rsid w:val="00831A12"/>
    <w:rsid w:val="00832690"/>
    <w:rsid w:val="008339E6"/>
    <w:rsid w:val="00842476"/>
    <w:rsid w:val="00845E34"/>
    <w:rsid w:val="0084729A"/>
    <w:rsid w:val="00850631"/>
    <w:rsid w:val="00855EF6"/>
    <w:rsid w:val="00860E6B"/>
    <w:rsid w:val="00861D05"/>
    <w:rsid w:val="00862971"/>
    <w:rsid w:val="00871C55"/>
    <w:rsid w:val="00872DA1"/>
    <w:rsid w:val="00880644"/>
    <w:rsid w:val="00882BED"/>
    <w:rsid w:val="0088364E"/>
    <w:rsid w:val="00886A37"/>
    <w:rsid w:val="008900BE"/>
    <w:rsid w:val="0089120D"/>
    <w:rsid w:val="008918BB"/>
    <w:rsid w:val="00893649"/>
    <w:rsid w:val="00896271"/>
    <w:rsid w:val="00897F6C"/>
    <w:rsid w:val="008A047C"/>
    <w:rsid w:val="008A2EDA"/>
    <w:rsid w:val="008A4C05"/>
    <w:rsid w:val="008B2B19"/>
    <w:rsid w:val="008B37C3"/>
    <w:rsid w:val="008B74AA"/>
    <w:rsid w:val="008B7790"/>
    <w:rsid w:val="008B78E2"/>
    <w:rsid w:val="008C6416"/>
    <w:rsid w:val="008C7F6F"/>
    <w:rsid w:val="008D3AE4"/>
    <w:rsid w:val="008E2345"/>
    <w:rsid w:val="008E2E52"/>
    <w:rsid w:val="008E5176"/>
    <w:rsid w:val="008F1A8F"/>
    <w:rsid w:val="008F25FD"/>
    <w:rsid w:val="008F4363"/>
    <w:rsid w:val="008F4B5A"/>
    <w:rsid w:val="008F5AA0"/>
    <w:rsid w:val="009015F5"/>
    <w:rsid w:val="009054B3"/>
    <w:rsid w:val="009109F6"/>
    <w:rsid w:val="009153A9"/>
    <w:rsid w:val="00915621"/>
    <w:rsid w:val="009177BE"/>
    <w:rsid w:val="00921F76"/>
    <w:rsid w:val="0092725B"/>
    <w:rsid w:val="00930621"/>
    <w:rsid w:val="00930B98"/>
    <w:rsid w:val="009316A9"/>
    <w:rsid w:val="00935D30"/>
    <w:rsid w:val="00936705"/>
    <w:rsid w:val="009379FB"/>
    <w:rsid w:val="00941093"/>
    <w:rsid w:val="009411EF"/>
    <w:rsid w:val="0094143B"/>
    <w:rsid w:val="00957F14"/>
    <w:rsid w:val="009636FE"/>
    <w:rsid w:val="00963F7E"/>
    <w:rsid w:val="0096494C"/>
    <w:rsid w:val="00965D80"/>
    <w:rsid w:val="009700D7"/>
    <w:rsid w:val="00973072"/>
    <w:rsid w:val="00974A56"/>
    <w:rsid w:val="00982B00"/>
    <w:rsid w:val="009923D6"/>
    <w:rsid w:val="009938B9"/>
    <w:rsid w:val="009A2902"/>
    <w:rsid w:val="009A2A4A"/>
    <w:rsid w:val="009A62CC"/>
    <w:rsid w:val="009B6043"/>
    <w:rsid w:val="009B7A05"/>
    <w:rsid w:val="009C7BBB"/>
    <w:rsid w:val="009D505D"/>
    <w:rsid w:val="009E6247"/>
    <w:rsid w:val="009E65AD"/>
    <w:rsid w:val="009F13BB"/>
    <w:rsid w:val="009F4C6D"/>
    <w:rsid w:val="00A05C22"/>
    <w:rsid w:val="00A07356"/>
    <w:rsid w:val="00A074E5"/>
    <w:rsid w:val="00A102BA"/>
    <w:rsid w:val="00A11211"/>
    <w:rsid w:val="00A14A6C"/>
    <w:rsid w:val="00A16327"/>
    <w:rsid w:val="00A17F79"/>
    <w:rsid w:val="00A2134C"/>
    <w:rsid w:val="00A32AC9"/>
    <w:rsid w:val="00A451EA"/>
    <w:rsid w:val="00A47496"/>
    <w:rsid w:val="00A53BDF"/>
    <w:rsid w:val="00A54F46"/>
    <w:rsid w:val="00A55081"/>
    <w:rsid w:val="00A56CF9"/>
    <w:rsid w:val="00A6242D"/>
    <w:rsid w:val="00A66B1E"/>
    <w:rsid w:val="00A67729"/>
    <w:rsid w:val="00A7459E"/>
    <w:rsid w:val="00A76AA0"/>
    <w:rsid w:val="00A76B8D"/>
    <w:rsid w:val="00A90C38"/>
    <w:rsid w:val="00A94D48"/>
    <w:rsid w:val="00AA032A"/>
    <w:rsid w:val="00AA1F2C"/>
    <w:rsid w:val="00AA7E02"/>
    <w:rsid w:val="00AB278B"/>
    <w:rsid w:val="00AB36FF"/>
    <w:rsid w:val="00AB5FBE"/>
    <w:rsid w:val="00AC47AB"/>
    <w:rsid w:val="00AC5460"/>
    <w:rsid w:val="00AC6D49"/>
    <w:rsid w:val="00AE1D60"/>
    <w:rsid w:val="00AF0078"/>
    <w:rsid w:val="00AF3988"/>
    <w:rsid w:val="00B048A9"/>
    <w:rsid w:val="00B04A5F"/>
    <w:rsid w:val="00B070AB"/>
    <w:rsid w:val="00B12B54"/>
    <w:rsid w:val="00B23104"/>
    <w:rsid w:val="00B311FC"/>
    <w:rsid w:val="00B32EDE"/>
    <w:rsid w:val="00B33396"/>
    <w:rsid w:val="00B376B9"/>
    <w:rsid w:val="00B40A90"/>
    <w:rsid w:val="00B40F60"/>
    <w:rsid w:val="00B41AFD"/>
    <w:rsid w:val="00B41C82"/>
    <w:rsid w:val="00B47656"/>
    <w:rsid w:val="00B47ABB"/>
    <w:rsid w:val="00B51BA4"/>
    <w:rsid w:val="00B52093"/>
    <w:rsid w:val="00B5243E"/>
    <w:rsid w:val="00B53ABF"/>
    <w:rsid w:val="00B559D1"/>
    <w:rsid w:val="00B6004C"/>
    <w:rsid w:val="00B61CFD"/>
    <w:rsid w:val="00B63C54"/>
    <w:rsid w:val="00B656F3"/>
    <w:rsid w:val="00B71127"/>
    <w:rsid w:val="00B75C28"/>
    <w:rsid w:val="00B75D6B"/>
    <w:rsid w:val="00B7773B"/>
    <w:rsid w:val="00B819B8"/>
    <w:rsid w:val="00B82159"/>
    <w:rsid w:val="00B8668D"/>
    <w:rsid w:val="00B86C6A"/>
    <w:rsid w:val="00B873FF"/>
    <w:rsid w:val="00B93311"/>
    <w:rsid w:val="00B9335E"/>
    <w:rsid w:val="00B93519"/>
    <w:rsid w:val="00B94E1C"/>
    <w:rsid w:val="00BA0782"/>
    <w:rsid w:val="00BA1348"/>
    <w:rsid w:val="00BB0519"/>
    <w:rsid w:val="00BB4E09"/>
    <w:rsid w:val="00BB52CD"/>
    <w:rsid w:val="00BB75CD"/>
    <w:rsid w:val="00BC3CFB"/>
    <w:rsid w:val="00BD462D"/>
    <w:rsid w:val="00BD47AC"/>
    <w:rsid w:val="00BD49EB"/>
    <w:rsid w:val="00BE1CE7"/>
    <w:rsid w:val="00BE613D"/>
    <w:rsid w:val="00BE718D"/>
    <w:rsid w:val="00C018F7"/>
    <w:rsid w:val="00C05459"/>
    <w:rsid w:val="00C10BF6"/>
    <w:rsid w:val="00C14B47"/>
    <w:rsid w:val="00C20AB7"/>
    <w:rsid w:val="00C216EB"/>
    <w:rsid w:val="00C22263"/>
    <w:rsid w:val="00C36C10"/>
    <w:rsid w:val="00C417C8"/>
    <w:rsid w:val="00C509E7"/>
    <w:rsid w:val="00C509F1"/>
    <w:rsid w:val="00C51A1C"/>
    <w:rsid w:val="00C53827"/>
    <w:rsid w:val="00C54840"/>
    <w:rsid w:val="00C60B47"/>
    <w:rsid w:val="00C64878"/>
    <w:rsid w:val="00C65320"/>
    <w:rsid w:val="00C657E5"/>
    <w:rsid w:val="00C665CE"/>
    <w:rsid w:val="00C716D5"/>
    <w:rsid w:val="00C7430E"/>
    <w:rsid w:val="00C7606D"/>
    <w:rsid w:val="00C77BD2"/>
    <w:rsid w:val="00C9587B"/>
    <w:rsid w:val="00CA41C6"/>
    <w:rsid w:val="00CA6C94"/>
    <w:rsid w:val="00CA7FEA"/>
    <w:rsid w:val="00CB1F9A"/>
    <w:rsid w:val="00CB59A8"/>
    <w:rsid w:val="00CB5E4B"/>
    <w:rsid w:val="00CC6D91"/>
    <w:rsid w:val="00CD452F"/>
    <w:rsid w:val="00CD5DD2"/>
    <w:rsid w:val="00CD760F"/>
    <w:rsid w:val="00CF74C2"/>
    <w:rsid w:val="00D0068B"/>
    <w:rsid w:val="00D02851"/>
    <w:rsid w:val="00D02FD2"/>
    <w:rsid w:val="00D077F0"/>
    <w:rsid w:val="00D104C9"/>
    <w:rsid w:val="00D11547"/>
    <w:rsid w:val="00D155E2"/>
    <w:rsid w:val="00D17438"/>
    <w:rsid w:val="00D21A0B"/>
    <w:rsid w:val="00D26F8C"/>
    <w:rsid w:val="00D45D98"/>
    <w:rsid w:val="00D45FFA"/>
    <w:rsid w:val="00D515DA"/>
    <w:rsid w:val="00D625FF"/>
    <w:rsid w:val="00D646DB"/>
    <w:rsid w:val="00D65F9E"/>
    <w:rsid w:val="00D7596B"/>
    <w:rsid w:val="00D76FFF"/>
    <w:rsid w:val="00D812F7"/>
    <w:rsid w:val="00D84153"/>
    <w:rsid w:val="00D84E45"/>
    <w:rsid w:val="00D85613"/>
    <w:rsid w:val="00D85B54"/>
    <w:rsid w:val="00D92E94"/>
    <w:rsid w:val="00D945D9"/>
    <w:rsid w:val="00D9499F"/>
    <w:rsid w:val="00DA2604"/>
    <w:rsid w:val="00DA3170"/>
    <w:rsid w:val="00DA3FC8"/>
    <w:rsid w:val="00DA77C3"/>
    <w:rsid w:val="00DB09FA"/>
    <w:rsid w:val="00DB2ED3"/>
    <w:rsid w:val="00DB33D1"/>
    <w:rsid w:val="00DB6AAD"/>
    <w:rsid w:val="00DB76DC"/>
    <w:rsid w:val="00DC5290"/>
    <w:rsid w:val="00DC76F3"/>
    <w:rsid w:val="00DD03CA"/>
    <w:rsid w:val="00DD069C"/>
    <w:rsid w:val="00DD1700"/>
    <w:rsid w:val="00DD1AA5"/>
    <w:rsid w:val="00DD4CCB"/>
    <w:rsid w:val="00DD516C"/>
    <w:rsid w:val="00DE1C14"/>
    <w:rsid w:val="00DF2291"/>
    <w:rsid w:val="00DF3F44"/>
    <w:rsid w:val="00DF51F0"/>
    <w:rsid w:val="00DF59C1"/>
    <w:rsid w:val="00E032F6"/>
    <w:rsid w:val="00E1156A"/>
    <w:rsid w:val="00E12425"/>
    <w:rsid w:val="00E153F0"/>
    <w:rsid w:val="00E15BC6"/>
    <w:rsid w:val="00E2695F"/>
    <w:rsid w:val="00E37F37"/>
    <w:rsid w:val="00E420B8"/>
    <w:rsid w:val="00E43AFC"/>
    <w:rsid w:val="00E51533"/>
    <w:rsid w:val="00E54B16"/>
    <w:rsid w:val="00E55FED"/>
    <w:rsid w:val="00E81FF0"/>
    <w:rsid w:val="00E92294"/>
    <w:rsid w:val="00E96539"/>
    <w:rsid w:val="00EB0FD5"/>
    <w:rsid w:val="00EB3668"/>
    <w:rsid w:val="00EC0EF7"/>
    <w:rsid w:val="00ED76C7"/>
    <w:rsid w:val="00EE3943"/>
    <w:rsid w:val="00EE5C19"/>
    <w:rsid w:val="00EE7735"/>
    <w:rsid w:val="00EF3462"/>
    <w:rsid w:val="00F11B1A"/>
    <w:rsid w:val="00F31C48"/>
    <w:rsid w:val="00F3269A"/>
    <w:rsid w:val="00F35A6D"/>
    <w:rsid w:val="00F36A73"/>
    <w:rsid w:val="00F43361"/>
    <w:rsid w:val="00F4645E"/>
    <w:rsid w:val="00F473B7"/>
    <w:rsid w:val="00F50FB4"/>
    <w:rsid w:val="00F551B9"/>
    <w:rsid w:val="00F56E05"/>
    <w:rsid w:val="00F60FF5"/>
    <w:rsid w:val="00F63188"/>
    <w:rsid w:val="00F67BA6"/>
    <w:rsid w:val="00F734FF"/>
    <w:rsid w:val="00F764BB"/>
    <w:rsid w:val="00F80838"/>
    <w:rsid w:val="00F81A81"/>
    <w:rsid w:val="00F84A3C"/>
    <w:rsid w:val="00F84CD8"/>
    <w:rsid w:val="00F90710"/>
    <w:rsid w:val="00F96225"/>
    <w:rsid w:val="00F968E9"/>
    <w:rsid w:val="00FA1F7F"/>
    <w:rsid w:val="00FA576E"/>
    <w:rsid w:val="00FB088B"/>
    <w:rsid w:val="00FD10EE"/>
    <w:rsid w:val="00FD1DC8"/>
    <w:rsid w:val="00FD51EB"/>
    <w:rsid w:val="00FD59EB"/>
    <w:rsid w:val="00FD6CED"/>
    <w:rsid w:val="00FE2E69"/>
    <w:rsid w:val="00FE6083"/>
    <w:rsid w:val="00FE6251"/>
    <w:rsid w:val="00FF2BFE"/>
    <w:rsid w:val="00FF4430"/>
    <w:rsid w:val="01260F37"/>
    <w:rsid w:val="016814B1"/>
    <w:rsid w:val="01684AFB"/>
    <w:rsid w:val="01B7102D"/>
    <w:rsid w:val="01CC4DE1"/>
    <w:rsid w:val="022F0569"/>
    <w:rsid w:val="02301457"/>
    <w:rsid w:val="0258701E"/>
    <w:rsid w:val="02646ACB"/>
    <w:rsid w:val="027E3278"/>
    <w:rsid w:val="02E64D83"/>
    <w:rsid w:val="03027FE7"/>
    <w:rsid w:val="031C07A5"/>
    <w:rsid w:val="03334EF0"/>
    <w:rsid w:val="0374238F"/>
    <w:rsid w:val="03B10EED"/>
    <w:rsid w:val="03DA619A"/>
    <w:rsid w:val="03E86EE2"/>
    <w:rsid w:val="03EB56E9"/>
    <w:rsid w:val="04531D38"/>
    <w:rsid w:val="04797C17"/>
    <w:rsid w:val="04961805"/>
    <w:rsid w:val="049E3B7E"/>
    <w:rsid w:val="04A63ED7"/>
    <w:rsid w:val="04C64E6B"/>
    <w:rsid w:val="05473E56"/>
    <w:rsid w:val="057B67CC"/>
    <w:rsid w:val="0585380E"/>
    <w:rsid w:val="05884E57"/>
    <w:rsid w:val="05991465"/>
    <w:rsid w:val="05C23631"/>
    <w:rsid w:val="05CC0260"/>
    <w:rsid w:val="05E2702D"/>
    <w:rsid w:val="06011A63"/>
    <w:rsid w:val="068731D6"/>
    <w:rsid w:val="06FC2DC7"/>
    <w:rsid w:val="078322BE"/>
    <w:rsid w:val="0868152B"/>
    <w:rsid w:val="08803584"/>
    <w:rsid w:val="09D6482F"/>
    <w:rsid w:val="0A193196"/>
    <w:rsid w:val="0A695EB7"/>
    <w:rsid w:val="0A777CBB"/>
    <w:rsid w:val="0AA83CF2"/>
    <w:rsid w:val="0ADC7DE0"/>
    <w:rsid w:val="0AF01ED5"/>
    <w:rsid w:val="0AFA68BF"/>
    <w:rsid w:val="0B04224A"/>
    <w:rsid w:val="0B0C2E77"/>
    <w:rsid w:val="0B1322ED"/>
    <w:rsid w:val="0BA45996"/>
    <w:rsid w:val="0BE55D9A"/>
    <w:rsid w:val="0C011EA9"/>
    <w:rsid w:val="0C987793"/>
    <w:rsid w:val="0CF54541"/>
    <w:rsid w:val="0D166265"/>
    <w:rsid w:val="0D782F65"/>
    <w:rsid w:val="0E180AD2"/>
    <w:rsid w:val="0E1A1D85"/>
    <w:rsid w:val="0E2350DD"/>
    <w:rsid w:val="0E5232CD"/>
    <w:rsid w:val="0EAC0C2F"/>
    <w:rsid w:val="0EE66A47"/>
    <w:rsid w:val="0F137B7F"/>
    <w:rsid w:val="0F3C4C05"/>
    <w:rsid w:val="0F8C5334"/>
    <w:rsid w:val="0FC05753"/>
    <w:rsid w:val="107533FF"/>
    <w:rsid w:val="10F16A38"/>
    <w:rsid w:val="118A02C2"/>
    <w:rsid w:val="11B66CBE"/>
    <w:rsid w:val="12A7719E"/>
    <w:rsid w:val="12B23CC1"/>
    <w:rsid w:val="12F77E1B"/>
    <w:rsid w:val="13695B2D"/>
    <w:rsid w:val="137B32C0"/>
    <w:rsid w:val="14537888"/>
    <w:rsid w:val="14573056"/>
    <w:rsid w:val="14B04828"/>
    <w:rsid w:val="152A0AFF"/>
    <w:rsid w:val="15687ABC"/>
    <w:rsid w:val="15AE05CA"/>
    <w:rsid w:val="15B226B8"/>
    <w:rsid w:val="15FB7798"/>
    <w:rsid w:val="16714E06"/>
    <w:rsid w:val="16DE5886"/>
    <w:rsid w:val="16F852FA"/>
    <w:rsid w:val="171E68AF"/>
    <w:rsid w:val="17545F18"/>
    <w:rsid w:val="17BC5160"/>
    <w:rsid w:val="17C174BC"/>
    <w:rsid w:val="17D022B6"/>
    <w:rsid w:val="19691549"/>
    <w:rsid w:val="19BF7F3B"/>
    <w:rsid w:val="1B1620F7"/>
    <w:rsid w:val="1B3A5814"/>
    <w:rsid w:val="1C6069F2"/>
    <w:rsid w:val="1CC4523B"/>
    <w:rsid w:val="1CCB12BB"/>
    <w:rsid w:val="1D232A04"/>
    <w:rsid w:val="1DA264FD"/>
    <w:rsid w:val="1DA4433F"/>
    <w:rsid w:val="1DCE404A"/>
    <w:rsid w:val="1DD7570D"/>
    <w:rsid w:val="1EAA34D4"/>
    <w:rsid w:val="1F375059"/>
    <w:rsid w:val="1F385D94"/>
    <w:rsid w:val="1F7876D7"/>
    <w:rsid w:val="1FF63742"/>
    <w:rsid w:val="200331EB"/>
    <w:rsid w:val="201535AF"/>
    <w:rsid w:val="202D53EF"/>
    <w:rsid w:val="20EC75B1"/>
    <w:rsid w:val="210C1A01"/>
    <w:rsid w:val="212A671A"/>
    <w:rsid w:val="218C4A1A"/>
    <w:rsid w:val="21F903C1"/>
    <w:rsid w:val="22771E3D"/>
    <w:rsid w:val="231B3AC6"/>
    <w:rsid w:val="236C49D9"/>
    <w:rsid w:val="23982086"/>
    <w:rsid w:val="23A1454F"/>
    <w:rsid w:val="23C51594"/>
    <w:rsid w:val="23F452E4"/>
    <w:rsid w:val="241E034C"/>
    <w:rsid w:val="242F111A"/>
    <w:rsid w:val="244A2F6C"/>
    <w:rsid w:val="24601679"/>
    <w:rsid w:val="249D4A56"/>
    <w:rsid w:val="24ED38F7"/>
    <w:rsid w:val="25E850AB"/>
    <w:rsid w:val="26217DC5"/>
    <w:rsid w:val="266661C9"/>
    <w:rsid w:val="26EC02BC"/>
    <w:rsid w:val="2712693E"/>
    <w:rsid w:val="273F4E68"/>
    <w:rsid w:val="27435EB8"/>
    <w:rsid w:val="27644859"/>
    <w:rsid w:val="276A122F"/>
    <w:rsid w:val="27E234BC"/>
    <w:rsid w:val="281459C0"/>
    <w:rsid w:val="28150B67"/>
    <w:rsid w:val="29716D8C"/>
    <w:rsid w:val="29911DE4"/>
    <w:rsid w:val="29DD218D"/>
    <w:rsid w:val="29E72BF1"/>
    <w:rsid w:val="2A723F07"/>
    <w:rsid w:val="2A7D6454"/>
    <w:rsid w:val="2B0B3E08"/>
    <w:rsid w:val="2B2F389F"/>
    <w:rsid w:val="2B5809D0"/>
    <w:rsid w:val="2B802C2A"/>
    <w:rsid w:val="2BA815BF"/>
    <w:rsid w:val="2BD965A5"/>
    <w:rsid w:val="2CA265E1"/>
    <w:rsid w:val="2D9F146A"/>
    <w:rsid w:val="2DAD2DC4"/>
    <w:rsid w:val="2DDD2280"/>
    <w:rsid w:val="2E390F66"/>
    <w:rsid w:val="2E696F45"/>
    <w:rsid w:val="2E7F5142"/>
    <w:rsid w:val="2E877B62"/>
    <w:rsid w:val="2EBC6C38"/>
    <w:rsid w:val="2FB07614"/>
    <w:rsid w:val="30401D1A"/>
    <w:rsid w:val="30E557A5"/>
    <w:rsid w:val="320D55D9"/>
    <w:rsid w:val="321D3A6E"/>
    <w:rsid w:val="325A2B5B"/>
    <w:rsid w:val="326B4CEF"/>
    <w:rsid w:val="32910A38"/>
    <w:rsid w:val="32AD40BF"/>
    <w:rsid w:val="32C92743"/>
    <w:rsid w:val="3304474F"/>
    <w:rsid w:val="33943125"/>
    <w:rsid w:val="33E22C61"/>
    <w:rsid w:val="33E90E51"/>
    <w:rsid w:val="345700C3"/>
    <w:rsid w:val="34806536"/>
    <w:rsid w:val="349F69BC"/>
    <w:rsid w:val="34E065C9"/>
    <w:rsid w:val="35511B5B"/>
    <w:rsid w:val="3556178D"/>
    <w:rsid w:val="355A4AEC"/>
    <w:rsid w:val="35B02A74"/>
    <w:rsid w:val="35B838A0"/>
    <w:rsid w:val="35BB0D35"/>
    <w:rsid w:val="35F92360"/>
    <w:rsid w:val="3610545F"/>
    <w:rsid w:val="36CF10AF"/>
    <w:rsid w:val="373B246B"/>
    <w:rsid w:val="37A34A15"/>
    <w:rsid w:val="384B0D26"/>
    <w:rsid w:val="39845E5E"/>
    <w:rsid w:val="39905464"/>
    <w:rsid w:val="3A6F0A0E"/>
    <w:rsid w:val="3AB11F7B"/>
    <w:rsid w:val="3B885F62"/>
    <w:rsid w:val="3BF651FC"/>
    <w:rsid w:val="3C097CE0"/>
    <w:rsid w:val="3C2461A7"/>
    <w:rsid w:val="3C3C2340"/>
    <w:rsid w:val="3CB95287"/>
    <w:rsid w:val="3CC176EC"/>
    <w:rsid w:val="3CC3539C"/>
    <w:rsid w:val="3CCA65A0"/>
    <w:rsid w:val="3CFA1382"/>
    <w:rsid w:val="3CFA64E4"/>
    <w:rsid w:val="3D620C60"/>
    <w:rsid w:val="3D9A7025"/>
    <w:rsid w:val="3DC01331"/>
    <w:rsid w:val="3E102693"/>
    <w:rsid w:val="3E3A0969"/>
    <w:rsid w:val="3F7E075C"/>
    <w:rsid w:val="3F99288A"/>
    <w:rsid w:val="401D6D8B"/>
    <w:rsid w:val="40EB442C"/>
    <w:rsid w:val="4178569B"/>
    <w:rsid w:val="42FA6840"/>
    <w:rsid w:val="446D2706"/>
    <w:rsid w:val="447C1D78"/>
    <w:rsid w:val="44890561"/>
    <w:rsid w:val="45012465"/>
    <w:rsid w:val="45882718"/>
    <w:rsid w:val="4590277D"/>
    <w:rsid w:val="45AD4CA5"/>
    <w:rsid w:val="45C258C1"/>
    <w:rsid w:val="464A52E8"/>
    <w:rsid w:val="465810C1"/>
    <w:rsid w:val="46A02844"/>
    <w:rsid w:val="46C04AE0"/>
    <w:rsid w:val="472303B2"/>
    <w:rsid w:val="47234345"/>
    <w:rsid w:val="476669C6"/>
    <w:rsid w:val="47DD76CA"/>
    <w:rsid w:val="47FC0DB5"/>
    <w:rsid w:val="482254E2"/>
    <w:rsid w:val="48D63A46"/>
    <w:rsid w:val="48FC0EDB"/>
    <w:rsid w:val="49235F7F"/>
    <w:rsid w:val="495839F5"/>
    <w:rsid w:val="49A06323"/>
    <w:rsid w:val="49A06E31"/>
    <w:rsid w:val="4B296CCA"/>
    <w:rsid w:val="4BDD305A"/>
    <w:rsid w:val="4BDD3D2B"/>
    <w:rsid w:val="4CCD4676"/>
    <w:rsid w:val="4D124214"/>
    <w:rsid w:val="4D2A12E8"/>
    <w:rsid w:val="4E28480C"/>
    <w:rsid w:val="4E792719"/>
    <w:rsid w:val="4EE1088E"/>
    <w:rsid w:val="4F4E3185"/>
    <w:rsid w:val="4F973607"/>
    <w:rsid w:val="4FC315B2"/>
    <w:rsid w:val="4FC84EA0"/>
    <w:rsid w:val="4FDC3FAE"/>
    <w:rsid w:val="51216776"/>
    <w:rsid w:val="51D61631"/>
    <w:rsid w:val="52D32C59"/>
    <w:rsid w:val="530065C1"/>
    <w:rsid w:val="533A1B2F"/>
    <w:rsid w:val="539E7BD1"/>
    <w:rsid w:val="54B12BD7"/>
    <w:rsid w:val="54E80CEB"/>
    <w:rsid w:val="54F96EC0"/>
    <w:rsid w:val="551F2BD4"/>
    <w:rsid w:val="5564269F"/>
    <w:rsid w:val="55653A2B"/>
    <w:rsid w:val="55992D3A"/>
    <w:rsid w:val="55DC4026"/>
    <w:rsid w:val="568C3E67"/>
    <w:rsid w:val="572052E3"/>
    <w:rsid w:val="585E5419"/>
    <w:rsid w:val="58E73E1E"/>
    <w:rsid w:val="58EF5698"/>
    <w:rsid w:val="595776D2"/>
    <w:rsid w:val="59E93AA8"/>
    <w:rsid w:val="5A504131"/>
    <w:rsid w:val="5B6628E1"/>
    <w:rsid w:val="5B9B47AC"/>
    <w:rsid w:val="5BF21357"/>
    <w:rsid w:val="5C101B12"/>
    <w:rsid w:val="5C155167"/>
    <w:rsid w:val="5CE364CC"/>
    <w:rsid w:val="5DB94C55"/>
    <w:rsid w:val="5E702CD8"/>
    <w:rsid w:val="5EB23C2A"/>
    <w:rsid w:val="5EB6328A"/>
    <w:rsid w:val="5F2E6ABA"/>
    <w:rsid w:val="5F714792"/>
    <w:rsid w:val="5F7874F7"/>
    <w:rsid w:val="5FF54668"/>
    <w:rsid w:val="608A6093"/>
    <w:rsid w:val="60CE64F5"/>
    <w:rsid w:val="60D0204F"/>
    <w:rsid w:val="60F32150"/>
    <w:rsid w:val="60F52510"/>
    <w:rsid w:val="616109D2"/>
    <w:rsid w:val="61940F1E"/>
    <w:rsid w:val="61AD07D7"/>
    <w:rsid w:val="62604449"/>
    <w:rsid w:val="62BD7C1F"/>
    <w:rsid w:val="62E323CE"/>
    <w:rsid w:val="6337727A"/>
    <w:rsid w:val="63BD7DE9"/>
    <w:rsid w:val="63C504AE"/>
    <w:rsid w:val="63E825A6"/>
    <w:rsid w:val="63ED479F"/>
    <w:rsid w:val="63FC7E11"/>
    <w:rsid w:val="64467B2B"/>
    <w:rsid w:val="64781D52"/>
    <w:rsid w:val="6491280D"/>
    <w:rsid w:val="64AB1012"/>
    <w:rsid w:val="64BA611D"/>
    <w:rsid w:val="65AA182B"/>
    <w:rsid w:val="65D34D2B"/>
    <w:rsid w:val="66417024"/>
    <w:rsid w:val="66523C60"/>
    <w:rsid w:val="66AB72C8"/>
    <w:rsid w:val="66C92319"/>
    <w:rsid w:val="67351044"/>
    <w:rsid w:val="67692E1D"/>
    <w:rsid w:val="67743777"/>
    <w:rsid w:val="67F64BA1"/>
    <w:rsid w:val="67F929C5"/>
    <w:rsid w:val="682D666C"/>
    <w:rsid w:val="68632021"/>
    <w:rsid w:val="68966C93"/>
    <w:rsid w:val="69002625"/>
    <w:rsid w:val="69D536D7"/>
    <w:rsid w:val="6A4002CD"/>
    <w:rsid w:val="6A832749"/>
    <w:rsid w:val="6AFD5368"/>
    <w:rsid w:val="6BE729A8"/>
    <w:rsid w:val="6C932374"/>
    <w:rsid w:val="6D7278FB"/>
    <w:rsid w:val="6DCC6F16"/>
    <w:rsid w:val="6DCF4A1D"/>
    <w:rsid w:val="6E236BE8"/>
    <w:rsid w:val="6E26242E"/>
    <w:rsid w:val="6E423939"/>
    <w:rsid w:val="6EB04D47"/>
    <w:rsid w:val="6EC91FAE"/>
    <w:rsid w:val="6ED52B8A"/>
    <w:rsid w:val="6EF90B72"/>
    <w:rsid w:val="6FC2142F"/>
    <w:rsid w:val="709F02D9"/>
    <w:rsid w:val="70BF77A4"/>
    <w:rsid w:val="70ED706D"/>
    <w:rsid w:val="711A753D"/>
    <w:rsid w:val="711C119A"/>
    <w:rsid w:val="71D12226"/>
    <w:rsid w:val="72347A3D"/>
    <w:rsid w:val="72671A5F"/>
    <w:rsid w:val="72E64EB1"/>
    <w:rsid w:val="73954D9F"/>
    <w:rsid w:val="73AB7DB8"/>
    <w:rsid w:val="74270B4B"/>
    <w:rsid w:val="74FE2171"/>
    <w:rsid w:val="75732AB3"/>
    <w:rsid w:val="75930F1E"/>
    <w:rsid w:val="75B6624D"/>
    <w:rsid w:val="76646E4E"/>
    <w:rsid w:val="76E32AC0"/>
    <w:rsid w:val="78460214"/>
    <w:rsid w:val="78F32400"/>
    <w:rsid w:val="79F16E9E"/>
    <w:rsid w:val="7A126B04"/>
    <w:rsid w:val="7A88773B"/>
    <w:rsid w:val="7AFE22F5"/>
    <w:rsid w:val="7BD623FC"/>
    <w:rsid w:val="7C2647C9"/>
    <w:rsid w:val="7C3A0345"/>
    <w:rsid w:val="7C4C0E90"/>
    <w:rsid w:val="7C790E6E"/>
    <w:rsid w:val="7CC2480B"/>
    <w:rsid w:val="7CC52DBA"/>
    <w:rsid w:val="7D2A2168"/>
    <w:rsid w:val="7D562C0A"/>
    <w:rsid w:val="7D5738B8"/>
    <w:rsid w:val="7DEA0FD8"/>
    <w:rsid w:val="7E3F75D2"/>
    <w:rsid w:val="7E7A2C7B"/>
    <w:rsid w:val="7F1612E0"/>
    <w:rsid w:val="7F197A87"/>
    <w:rsid w:val="7F911B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宋体" w:cs="Times New Roman"/>
      <w:kern w:val="2"/>
      <w:sz w:val="21"/>
      <w:szCs w:val="32"/>
      <w:lang w:val="en-US" w:eastAsia="zh-CN" w:bidi="ar-SA"/>
    </w:rPr>
  </w:style>
  <w:style w:type="paragraph" w:styleId="3">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3"/>
    <w:qFormat/>
    <w:uiPriority w:val="0"/>
    <w:pPr>
      <w:keepNext/>
      <w:keepLines/>
      <w:spacing w:before="260" w:after="260" w:line="416" w:lineRule="auto"/>
      <w:outlineLvl w:val="1"/>
    </w:pPr>
    <w:rPr>
      <w:rFonts w:ascii="Arial" w:hAnsi="Arial" w:eastAsia="黑体"/>
      <w:b/>
      <w:bCs/>
      <w:sz w:val="32"/>
    </w:rPr>
  </w:style>
  <w:style w:type="paragraph" w:styleId="5">
    <w:name w:val="heading 3"/>
    <w:basedOn w:val="1"/>
    <w:next w:val="6"/>
    <w:link w:val="64"/>
    <w:qFormat/>
    <w:uiPriority w:val="0"/>
    <w:pPr>
      <w:keepNext/>
      <w:keepLines/>
      <w:spacing w:beforeLines="50" w:afterLines="50" w:line="360" w:lineRule="auto"/>
      <w:jc w:val="center"/>
      <w:outlineLvl w:val="2"/>
    </w:pPr>
    <w:rPr>
      <w:rFonts w:ascii="Times New Roman"/>
      <w:b/>
      <w:color w:val="000000"/>
      <w:sz w:val="24"/>
      <w:szCs w:val="24"/>
    </w:rPr>
  </w:style>
  <w:style w:type="paragraph" w:styleId="7">
    <w:name w:val="heading 4"/>
    <w:basedOn w:val="5"/>
    <w:next w:val="6"/>
    <w:link w:val="65"/>
    <w:qFormat/>
    <w:uiPriority w:val="0"/>
    <w:pPr>
      <w:numPr>
        <w:ilvl w:val="3"/>
        <w:numId w:val="1"/>
      </w:numPr>
      <w:outlineLvl w:val="3"/>
    </w:pPr>
    <w:rPr>
      <w:rFonts w:ascii="Arial" w:hAnsi="Arial"/>
      <w:b w:val="0"/>
    </w:rPr>
  </w:style>
  <w:style w:type="paragraph" w:styleId="8">
    <w:name w:val="heading 5"/>
    <w:basedOn w:val="7"/>
    <w:next w:val="6"/>
    <w:link w:val="66"/>
    <w:qFormat/>
    <w:uiPriority w:val="0"/>
    <w:pPr>
      <w:numPr>
        <w:ilvl w:val="4"/>
        <w:numId w:val="1"/>
      </w:numPr>
      <w:spacing w:line="240" w:lineRule="exact"/>
      <w:outlineLvl w:val="4"/>
    </w:pPr>
  </w:style>
  <w:style w:type="paragraph" w:styleId="9">
    <w:name w:val="heading 6"/>
    <w:basedOn w:val="1"/>
    <w:next w:val="1"/>
    <w:link w:val="67"/>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0">
    <w:name w:val="heading 7"/>
    <w:basedOn w:val="1"/>
    <w:next w:val="6"/>
    <w:link w:val="68"/>
    <w:qFormat/>
    <w:uiPriority w:val="0"/>
    <w:pPr>
      <w:keepNext/>
      <w:keepLines/>
      <w:numPr>
        <w:ilvl w:val="6"/>
        <w:numId w:val="1"/>
      </w:numPr>
      <w:spacing w:before="240" w:after="64" w:line="320" w:lineRule="auto"/>
      <w:outlineLvl w:val="6"/>
    </w:pPr>
    <w:rPr>
      <w:rFonts w:ascii="Times New Roman"/>
      <w:b/>
      <w:sz w:val="24"/>
      <w:szCs w:val="20"/>
    </w:rPr>
  </w:style>
  <w:style w:type="paragraph" w:styleId="11">
    <w:name w:val="heading 8"/>
    <w:basedOn w:val="1"/>
    <w:next w:val="6"/>
    <w:link w:val="69"/>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2">
    <w:name w:val="heading 9"/>
    <w:basedOn w:val="1"/>
    <w:next w:val="6"/>
    <w:link w:val="70"/>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52">
    <w:name w:val="Default Paragraph Font"/>
    <w:semiHidden/>
    <w:qFormat/>
    <w:uiPriority w:val="0"/>
  </w:style>
  <w:style w:type="table" w:default="1" w:styleId="50">
    <w:name w:val="Normal Table"/>
    <w:semiHidden/>
    <w:qFormat/>
    <w:uiPriority w:val="0"/>
    <w:tblPr>
      <w:tblCellMar>
        <w:top w:w="0" w:type="dxa"/>
        <w:left w:w="108" w:type="dxa"/>
        <w:bottom w:w="0" w:type="dxa"/>
        <w:right w:w="108" w:type="dxa"/>
      </w:tblCellMar>
    </w:tblPr>
  </w:style>
  <w:style w:type="paragraph" w:styleId="2">
    <w:name w:val="Plain Text"/>
    <w:basedOn w:val="1"/>
    <w:next w:val="1"/>
    <w:link w:val="75"/>
    <w:qFormat/>
    <w:uiPriority w:val="0"/>
    <w:rPr>
      <w:rFonts w:ascii="宋体" w:hAnsi="Courier New"/>
      <w:szCs w:val="20"/>
    </w:rPr>
  </w:style>
  <w:style w:type="paragraph" w:styleId="6">
    <w:name w:val="Normal Indent"/>
    <w:basedOn w:val="1"/>
    <w:qFormat/>
    <w:uiPriority w:val="0"/>
    <w:pPr>
      <w:ind w:firstLine="420"/>
    </w:pPr>
    <w:rPr>
      <w:rFonts w:ascii="Times New Roman"/>
      <w:szCs w:val="20"/>
    </w:rPr>
  </w:style>
  <w:style w:type="paragraph" w:styleId="13">
    <w:name w:val="toc 7"/>
    <w:basedOn w:val="1"/>
    <w:next w:val="1"/>
    <w:unhideWhenUsed/>
    <w:qFormat/>
    <w:uiPriority w:val="0"/>
    <w:pPr>
      <w:ind w:left="2520" w:leftChars="1200"/>
    </w:pPr>
    <w:rPr>
      <w:rFonts w:ascii="Times New Roman"/>
      <w:szCs w:val="22"/>
    </w:rPr>
  </w:style>
  <w:style w:type="paragraph" w:styleId="14">
    <w:name w:val="caption"/>
    <w:basedOn w:val="1"/>
    <w:next w:val="1"/>
    <w:qFormat/>
    <w:uiPriority w:val="0"/>
    <w:rPr>
      <w:rFonts w:ascii="Arial" w:hAnsi="Arial" w:eastAsia="黑体" w:cs="Arial"/>
      <w:sz w:val="20"/>
      <w:szCs w:val="20"/>
    </w:rPr>
  </w:style>
  <w:style w:type="paragraph" w:styleId="15">
    <w:name w:val="List Bullet"/>
    <w:basedOn w:val="1"/>
    <w:qFormat/>
    <w:uiPriority w:val="0"/>
    <w:pPr>
      <w:numPr>
        <w:ilvl w:val="0"/>
        <w:numId w:val="3"/>
      </w:numPr>
    </w:pPr>
    <w:rPr>
      <w:rFonts w:ascii="Times New Roman"/>
      <w:szCs w:val="24"/>
    </w:rPr>
  </w:style>
  <w:style w:type="paragraph" w:styleId="16">
    <w:name w:val="Document Map"/>
    <w:basedOn w:val="1"/>
    <w:link w:val="71"/>
    <w:semiHidden/>
    <w:qFormat/>
    <w:uiPriority w:val="0"/>
    <w:pPr>
      <w:shd w:val="clear" w:color="auto" w:fill="000080"/>
    </w:pPr>
  </w:style>
  <w:style w:type="paragraph" w:styleId="17">
    <w:name w:val="annotation text"/>
    <w:basedOn w:val="1"/>
    <w:link w:val="72"/>
    <w:semiHidden/>
    <w:qFormat/>
    <w:uiPriority w:val="0"/>
    <w:pPr>
      <w:jc w:val="left"/>
    </w:pPr>
  </w:style>
  <w:style w:type="paragraph" w:styleId="18">
    <w:name w:val="Body Text 3"/>
    <w:basedOn w:val="1"/>
    <w:link w:val="73"/>
    <w:unhideWhenUsed/>
    <w:qFormat/>
    <w:uiPriority w:val="0"/>
    <w:rPr>
      <w:rFonts w:ascii="宋体"/>
      <w:sz w:val="24"/>
      <w:szCs w:val="20"/>
    </w:rPr>
  </w:style>
  <w:style w:type="paragraph" w:styleId="19">
    <w:name w:val="Body Text"/>
    <w:basedOn w:val="1"/>
    <w:next w:val="1"/>
    <w:link w:val="74"/>
    <w:qFormat/>
    <w:uiPriority w:val="0"/>
    <w:pPr>
      <w:spacing w:after="120"/>
    </w:pPr>
  </w:style>
  <w:style w:type="paragraph" w:styleId="20">
    <w:name w:val="Body Text Indent"/>
    <w:basedOn w:val="1"/>
    <w:next w:val="21"/>
    <w:link w:val="61"/>
    <w:qFormat/>
    <w:uiPriority w:val="0"/>
    <w:pPr>
      <w:ind w:firstLine="570"/>
    </w:pPr>
    <w:rPr>
      <w:rFonts w:ascii="Times New Roman"/>
      <w:sz w:val="28"/>
      <w:szCs w:val="20"/>
    </w:rPr>
  </w:style>
  <w:style w:type="paragraph" w:styleId="21">
    <w:name w:val="envelope return"/>
    <w:basedOn w:val="1"/>
    <w:qFormat/>
    <w:uiPriority w:val="0"/>
    <w:pPr>
      <w:snapToGrid w:val="0"/>
    </w:pPr>
    <w:rPr>
      <w:rFonts w:ascii="Arial" w:hAnsi="Arial"/>
      <w:szCs w:val="24"/>
    </w:rPr>
  </w:style>
  <w:style w:type="paragraph" w:styleId="22">
    <w:name w:val="List 2"/>
    <w:basedOn w:val="1"/>
    <w:qFormat/>
    <w:uiPriority w:val="0"/>
    <w:pPr>
      <w:ind w:left="100" w:leftChars="200" w:hanging="200" w:hangingChars="200"/>
    </w:pPr>
    <w:rPr>
      <w:rFonts w:ascii="Times New Roman" w:eastAsia="楷体_GB2312"/>
      <w:szCs w:val="20"/>
    </w:rPr>
  </w:style>
  <w:style w:type="paragraph" w:styleId="23">
    <w:name w:val="List Bullet 2"/>
    <w:basedOn w:val="15"/>
    <w:qFormat/>
    <w:uiPriority w:val="0"/>
    <w:pPr>
      <w:widowControl/>
      <w:numPr>
        <w:ilvl w:val="0"/>
        <w:numId w:val="4"/>
      </w:numPr>
      <w:tabs>
        <w:tab w:val="left" w:pos="432"/>
      </w:tabs>
      <w:spacing w:after="220" w:line="220" w:lineRule="atLeast"/>
      <w:ind w:left="2160" w:right="720" w:hanging="432" w:firstLineChars="0"/>
      <w:jc w:val="left"/>
    </w:pPr>
    <w:rPr>
      <w:kern w:val="0"/>
      <w:szCs w:val="20"/>
    </w:rPr>
  </w:style>
  <w:style w:type="paragraph" w:styleId="24">
    <w:name w:val="toc 5"/>
    <w:basedOn w:val="1"/>
    <w:next w:val="1"/>
    <w:unhideWhenUsed/>
    <w:qFormat/>
    <w:uiPriority w:val="0"/>
    <w:pPr>
      <w:ind w:left="1680" w:leftChars="800"/>
    </w:pPr>
    <w:rPr>
      <w:rFonts w:ascii="Times New Roman"/>
      <w:szCs w:val="22"/>
    </w:rPr>
  </w:style>
  <w:style w:type="paragraph" w:styleId="25">
    <w:name w:val="toc 3"/>
    <w:basedOn w:val="1"/>
    <w:next w:val="1"/>
    <w:qFormat/>
    <w:uiPriority w:val="0"/>
    <w:pPr>
      <w:snapToGrid w:val="0"/>
      <w:spacing w:line="360" w:lineRule="auto"/>
      <w:ind w:left="400" w:leftChars="400"/>
      <w:jc w:val="left"/>
    </w:pPr>
    <w:rPr>
      <w:rFonts w:ascii="Times New Roman"/>
      <w:sz w:val="24"/>
      <w:szCs w:val="20"/>
    </w:rPr>
  </w:style>
  <w:style w:type="paragraph" w:styleId="26">
    <w:name w:val="toc 8"/>
    <w:basedOn w:val="1"/>
    <w:next w:val="1"/>
    <w:unhideWhenUsed/>
    <w:qFormat/>
    <w:uiPriority w:val="0"/>
    <w:pPr>
      <w:ind w:left="2940" w:leftChars="1400"/>
    </w:pPr>
    <w:rPr>
      <w:rFonts w:ascii="Times New Roman"/>
      <w:szCs w:val="22"/>
    </w:rPr>
  </w:style>
  <w:style w:type="paragraph" w:styleId="27">
    <w:name w:val="Date"/>
    <w:basedOn w:val="1"/>
    <w:next w:val="1"/>
    <w:link w:val="76"/>
    <w:qFormat/>
    <w:uiPriority w:val="0"/>
    <w:rPr>
      <w:rFonts w:ascii="Times New Roman"/>
      <w:szCs w:val="20"/>
    </w:rPr>
  </w:style>
  <w:style w:type="paragraph" w:styleId="28">
    <w:name w:val="Body Text Indent 2"/>
    <w:basedOn w:val="1"/>
    <w:link w:val="77"/>
    <w:qFormat/>
    <w:uiPriority w:val="0"/>
    <w:pPr>
      <w:spacing w:line="400" w:lineRule="exact"/>
      <w:ind w:left="425"/>
    </w:pPr>
    <w:rPr>
      <w:rFonts w:ascii="Times New Roman"/>
      <w:color w:val="000000"/>
      <w:sz w:val="24"/>
      <w:szCs w:val="20"/>
    </w:rPr>
  </w:style>
  <w:style w:type="paragraph" w:styleId="29">
    <w:name w:val="endnote text"/>
    <w:basedOn w:val="1"/>
    <w:link w:val="78"/>
    <w:qFormat/>
    <w:uiPriority w:val="0"/>
    <w:pPr>
      <w:snapToGrid w:val="0"/>
      <w:jc w:val="left"/>
    </w:pPr>
    <w:rPr>
      <w:rFonts w:ascii="Times New Roman"/>
      <w:szCs w:val="20"/>
    </w:rPr>
  </w:style>
  <w:style w:type="paragraph" w:styleId="30">
    <w:name w:val="Balloon Text"/>
    <w:basedOn w:val="1"/>
    <w:link w:val="79"/>
    <w:qFormat/>
    <w:uiPriority w:val="0"/>
    <w:rPr>
      <w:rFonts w:ascii="Times New Roman"/>
      <w:sz w:val="18"/>
      <w:szCs w:val="18"/>
    </w:rPr>
  </w:style>
  <w:style w:type="paragraph" w:styleId="31">
    <w:name w:val="footer"/>
    <w:basedOn w:val="1"/>
    <w:link w:val="80"/>
    <w:qFormat/>
    <w:uiPriority w:val="0"/>
    <w:pPr>
      <w:tabs>
        <w:tab w:val="center" w:pos="4153"/>
        <w:tab w:val="right" w:pos="8306"/>
      </w:tabs>
      <w:snapToGrid w:val="0"/>
      <w:jc w:val="left"/>
    </w:pPr>
    <w:rPr>
      <w:sz w:val="18"/>
      <w:szCs w:val="18"/>
    </w:rPr>
  </w:style>
  <w:style w:type="paragraph" w:styleId="32">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0"/>
    <w:pPr>
      <w:tabs>
        <w:tab w:val="right" w:leader="dot" w:pos="9060"/>
      </w:tabs>
      <w:adjustRightInd w:val="0"/>
      <w:snapToGrid w:val="0"/>
      <w:spacing w:line="360" w:lineRule="auto"/>
      <w:jc w:val="left"/>
      <w:textAlignment w:val="baseline"/>
    </w:pPr>
    <w:rPr>
      <w:rFonts w:ascii="宋体" w:hAnsi="宋体"/>
      <w:caps/>
      <w:kern w:val="0"/>
      <w:sz w:val="24"/>
    </w:rPr>
  </w:style>
  <w:style w:type="paragraph" w:styleId="34">
    <w:name w:val="toc 4"/>
    <w:basedOn w:val="1"/>
    <w:next w:val="1"/>
    <w:unhideWhenUsed/>
    <w:qFormat/>
    <w:uiPriority w:val="0"/>
    <w:pPr>
      <w:ind w:left="1260" w:leftChars="600"/>
    </w:pPr>
    <w:rPr>
      <w:rFonts w:ascii="Times New Roman"/>
      <w:szCs w:val="22"/>
    </w:rPr>
  </w:style>
  <w:style w:type="paragraph" w:styleId="35">
    <w:name w:val="Subtitle"/>
    <w:basedOn w:val="1"/>
    <w:next w:val="1"/>
    <w:link w:val="82"/>
    <w:qFormat/>
    <w:uiPriority w:val="0"/>
    <w:pPr>
      <w:widowControl/>
      <w:spacing w:after="60"/>
      <w:jc w:val="center"/>
      <w:outlineLvl w:val="1"/>
    </w:pPr>
    <w:rPr>
      <w:rFonts w:ascii="Arial" w:hAnsi="Arial" w:eastAsia="黑体"/>
      <w:b/>
      <w:bCs/>
      <w:sz w:val="32"/>
    </w:rPr>
  </w:style>
  <w:style w:type="paragraph" w:styleId="36">
    <w:name w:val="List"/>
    <w:basedOn w:val="19"/>
    <w:qFormat/>
    <w:uiPriority w:val="0"/>
    <w:pPr>
      <w:suppressAutoHyphens/>
      <w:spacing w:after="0"/>
    </w:pPr>
    <w:rPr>
      <w:rFonts w:ascii="Times New Roman" w:eastAsia="黑体"/>
      <w:kern w:val="1"/>
      <w:sz w:val="24"/>
      <w:szCs w:val="20"/>
      <w:lang w:eastAsia="ar-SA"/>
    </w:rPr>
  </w:style>
  <w:style w:type="paragraph" w:styleId="37">
    <w:name w:val="footnote text"/>
    <w:basedOn w:val="1"/>
    <w:link w:val="83"/>
    <w:qFormat/>
    <w:uiPriority w:val="0"/>
    <w:pPr>
      <w:snapToGrid w:val="0"/>
      <w:spacing w:line="360" w:lineRule="auto"/>
      <w:ind w:firstLine="523" w:firstLineChars="218"/>
      <w:jc w:val="left"/>
    </w:pPr>
    <w:rPr>
      <w:rFonts w:ascii="宋体" w:hAnsi="宋体"/>
      <w:sz w:val="18"/>
      <w:szCs w:val="18"/>
    </w:rPr>
  </w:style>
  <w:style w:type="paragraph" w:styleId="38">
    <w:name w:val="toc 6"/>
    <w:basedOn w:val="1"/>
    <w:next w:val="1"/>
    <w:unhideWhenUsed/>
    <w:qFormat/>
    <w:uiPriority w:val="0"/>
    <w:pPr>
      <w:ind w:left="2100" w:leftChars="1000"/>
    </w:pPr>
    <w:rPr>
      <w:rFonts w:ascii="Times New Roman"/>
      <w:szCs w:val="22"/>
    </w:rPr>
  </w:style>
  <w:style w:type="paragraph" w:styleId="39">
    <w:name w:val="Body Text Indent 3"/>
    <w:basedOn w:val="1"/>
    <w:link w:val="84"/>
    <w:qFormat/>
    <w:uiPriority w:val="0"/>
    <w:pPr>
      <w:tabs>
        <w:tab w:val="left" w:pos="0"/>
      </w:tabs>
      <w:spacing w:line="400" w:lineRule="exact"/>
      <w:ind w:left="563" w:leftChars="228" w:hanging="84" w:hangingChars="35"/>
    </w:pPr>
    <w:rPr>
      <w:rFonts w:ascii="Times New Roman"/>
      <w:color w:val="000000"/>
      <w:sz w:val="24"/>
      <w:szCs w:val="20"/>
    </w:rPr>
  </w:style>
  <w:style w:type="paragraph" w:styleId="40">
    <w:name w:val="table of figures"/>
    <w:basedOn w:val="1"/>
    <w:next w:val="1"/>
    <w:unhideWhenUsed/>
    <w:qFormat/>
    <w:uiPriority w:val="0"/>
    <w:pPr>
      <w:ind w:leftChars="200" w:hanging="200" w:hangingChars="200"/>
    </w:pPr>
    <w:rPr>
      <w:rFonts w:ascii="Times New Roman"/>
      <w:szCs w:val="22"/>
    </w:rPr>
  </w:style>
  <w:style w:type="paragraph" w:styleId="41">
    <w:name w:val="toc 2"/>
    <w:basedOn w:val="1"/>
    <w:next w:val="1"/>
    <w:qFormat/>
    <w:uiPriority w:val="0"/>
    <w:pPr>
      <w:tabs>
        <w:tab w:val="right" w:leader="dot" w:pos="9060"/>
      </w:tabs>
      <w:snapToGrid w:val="0"/>
      <w:spacing w:line="360" w:lineRule="auto"/>
      <w:ind w:left="420" w:leftChars="200"/>
      <w:jc w:val="left"/>
    </w:pPr>
    <w:rPr>
      <w:rFonts w:ascii="Times New Roman"/>
      <w:sz w:val="24"/>
      <w:szCs w:val="24"/>
    </w:rPr>
  </w:style>
  <w:style w:type="paragraph" w:styleId="42">
    <w:name w:val="toc 9"/>
    <w:basedOn w:val="1"/>
    <w:next w:val="1"/>
    <w:unhideWhenUsed/>
    <w:qFormat/>
    <w:uiPriority w:val="0"/>
    <w:pPr>
      <w:ind w:left="3360" w:leftChars="1600"/>
    </w:pPr>
    <w:rPr>
      <w:rFonts w:ascii="Times New Roman"/>
      <w:szCs w:val="22"/>
    </w:rPr>
  </w:style>
  <w:style w:type="paragraph" w:styleId="43">
    <w:name w:val="Body Text 2"/>
    <w:basedOn w:val="1"/>
    <w:link w:val="85"/>
    <w:qFormat/>
    <w:uiPriority w:val="0"/>
    <w:rPr>
      <w:rFonts w:ascii="宋体" w:hAnsi="宋体"/>
      <w:szCs w:val="24"/>
      <w:u w:val="single"/>
    </w:rPr>
  </w:style>
  <w:style w:type="paragraph" w:styleId="4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45">
    <w:name w:val="index 1"/>
    <w:basedOn w:val="1"/>
    <w:next w:val="1"/>
    <w:qFormat/>
    <w:uiPriority w:val="0"/>
    <w:rPr>
      <w:rFonts w:ascii="Times New Roman" w:eastAsia="仿宋_GB2312"/>
      <w:sz w:val="28"/>
      <w:szCs w:val="20"/>
    </w:rPr>
  </w:style>
  <w:style w:type="paragraph" w:styleId="46">
    <w:name w:val="Title"/>
    <w:basedOn w:val="1"/>
    <w:link w:val="86"/>
    <w:qFormat/>
    <w:uiPriority w:val="0"/>
    <w:pPr>
      <w:spacing w:before="120" w:after="60"/>
      <w:jc w:val="center"/>
    </w:pPr>
    <w:rPr>
      <w:rFonts w:ascii="Arial" w:hAnsi="Arial"/>
      <w:b/>
      <w:sz w:val="44"/>
      <w:szCs w:val="20"/>
    </w:rPr>
  </w:style>
  <w:style w:type="paragraph" w:styleId="47">
    <w:name w:val="annotation subject"/>
    <w:basedOn w:val="17"/>
    <w:next w:val="17"/>
    <w:link w:val="87"/>
    <w:qFormat/>
    <w:uiPriority w:val="0"/>
    <w:pPr>
      <w:spacing w:line="360" w:lineRule="auto"/>
      <w:ind w:firstLine="523" w:firstLineChars="218"/>
    </w:pPr>
    <w:rPr>
      <w:rFonts w:ascii="宋体" w:hAnsi="宋体"/>
      <w:b/>
      <w:bCs/>
      <w:sz w:val="24"/>
      <w:szCs w:val="24"/>
    </w:rPr>
  </w:style>
  <w:style w:type="paragraph" w:styleId="48">
    <w:name w:val="Body Text First Indent"/>
    <w:basedOn w:val="19"/>
    <w:next w:val="19"/>
    <w:link w:val="88"/>
    <w:qFormat/>
    <w:uiPriority w:val="0"/>
    <w:pPr>
      <w:ind w:firstLine="420"/>
    </w:pPr>
    <w:rPr>
      <w:rFonts w:ascii="Times New Roman"/>
      <w:szCs w:val="20"/>
    </w:rPr>
  </w:style>
  <w:style w:type="paragraph" w:styleId="49">
    <w:name w:val="Body Text First Indent 2"/>
    <w:basedOn w:val="20"/>
    <w:qFormat/>
    <w:uiPriority w:val="0"/>
    <w:pPr>
      <w:ind w:firstLine="420" w:firstLineChars="200"/>
    </w:pPr>
    <w:rPr>
      <w:rFonts w:ascii="Times New Roman" w:hAnsi="Times New Roman"/>
      <w:szCs w:val="24"/>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rPr>
      <w:b/>
    </w:rPr>
  </w:style>
  <w:style w:type="character" w:styleId="54">
    <w:name w:val="endnote reference"/>
    <w:qFormat/>
    <w:uiPriority w:val="0"/>
    <w:rPr>
      <w:vertAlign w:val="superscript"/>
    </w:rPr>
  </w:style>
  <w:style w:type="character" w:styleId="55">
    <w:name w:val="page number"/>
    <w:qFormat/>
    <w:uiPriority w:val="0"/>
  </w:style>
  <w:style w:type="character" w:styleId="56">
    <w:name w:val="FollowedHyperlink"/>
    <w:qFormat/>
    <w:uiPriority w:val="0"/>
    <w:rPr>
      <w:color w:val="800080"/>
      <w:u w:val="single"/>
    </w:rPr>
  </w:style>
  <w:style w:type="character" w:styleId="57">
    <w:name w:val="Emphasis"/>
    <w:qFormat/>
    <w:uiPriority w:val="0"/>
    <w:rPr>
      <w:color w:val="CC0000"/>
    </w:rPr>
  </w:style>
  <w:style w:type="character" w:styleId="58">
    <w:name w:val="Hyperlink"/>
    <w:qFormat/>
    <w:uiPriority w:val="0"/>
    <w:rPr>
      <w:color w:val="0000FF"/>
      <w:u w:val="single"/>
    </w:rPr>
  </w:style>
  <w:style w:type="character" w:styleId="59">
    <w:name w:val="annotation reference"/>
    <w:qFormat/>
    <w:uiPriority w:val="0"/>
    <w:rPr>
      <w:sz w:val="21"/>
      <w:szCs w:val="21"/>
    </w:rPr>
  </w:style>
  <w:style w:type="character" w:styleId="60">
    <w:name w:val="footnote reference"/>
    <w:qFormat/>
    <w:uiPriority w:val="0"/>
    <w:rPr>
      <w:vertAlign w:val="superscript"/>
    </w:rPr>
  </w:style>
  <w:style w:type="character" w:customStyle="1" w:styleId="61">
    <w:name w:val="正文文本缩进 Char1"/>
    <w:link w:val="20"/>
    <w:qFormat/>
    <w:locked/>
    <w:uiPriority w:val="0"/>
    <w:rPr>
      <w:kern w:val="2"/>
      <w:sz w:val="28"/>
      <w:lang w:bidi="ar-SA"/>
    </w:rPr>
  </w:style>
  <w:style w:type="character" w:customStyle="1" w:styleId="62">
    <w:name w:val="标题 1 Char1"/>
    <w:link w:val="3"/>
    <w:qFormat/>
    <w:locked/>
    <w:uiPriority w:val="0"/>
    <w:rPr>
      <w:rFonts w:ascii="仿宋_GB2312" w:eastAsia="宋体"/>
      <w:b/>
      <w:bCs/>
      <w:kern w:val="44"/>
      <w:sz w:val="44"/>
      <w:szCs w:val="44"/>
      <w:lang w:val="en-US" w:eastAsia="zh-CN" w:bidi="ar-SA"/>
    </w:rPr>
  </w:style>
  <w:style w:type="character" w:customStyle="1" w:styleId="63">
    <w:name w:val="标题 2 Char2"/>
    <w:link w:val="4"/>
    <w:qFormat/>
    <w:locked/>
    <w:uiPriority w:val="0"/>
    <w:rPr>
      <w:rFonts w:ascii="Arial" w:hAnsi="Arial" w:eastAsia="黑体"/>
      <w:b/>
      <w:bCs/>
      <w:kern w:val="2"/>
      <w:sz w:val="32"/>
      <w:szCs w:val="32"/>
      <w:lang w:val="en-US" w:eastAsia="zh-CN" w:bidi="ar-SA"/>
    </w:rPr>
  </w:style>
  <w:style w:type="character" w:customStyle="1" w:styleId="64">
    <w:name w:val="标题 3 Char1"/>
    <w:link w:val="5"/>
    <w:qFormat/>
    <w:locked/>
    <w:uiPriority w:val="0"/>
    <w:rPr>
      <w:rFonts w:eastAsia="宋体"/>
      <w:b/>
      <w:color w:val="000000"/>
      <w:kern w:val="2"/>
      <w:sz w:val="24"/>
      <w:szCs w:val="24"/>
      <w:lang w:val="en-US" w:eastAsia="zh-CN" w:bidi="ar-SA"/>
    </w:rPr>
  </w:style>
  <w:style w:type="character" w:customStyle="1" w:styleId="65">
    <w:name w:val="标题 4 Char1"/>
    <w:link w:val="7"/>
    <w:qFormat/>
    <w:locked/>
    <w:uiPriority w:val="0"/>
    <w:rPr>
      <w:rFonts w:ascii="Arial" w:hAnsi="Arial" w:eastAsia="宋体"/>
      <w:color w:val="000000"/>
      <w:kern w:val="2"/>
      <w:sz w:val="24"/>
      <w:szCs w:val="24"/>
      <w:lang w:val="en-US" w:eastAsia="zh-CN" w:bidi="ar-SA"/>
    </w:rPr>
  </w:style>
  <w:style w:type="character" w:customStyle="1" w:styleId="66">
    <w:name w:val="标题 5 Char1"/>
    <w:link w:val="8"/>
    <w:qFormat/>
    <w:locked/>
    <w:uiPriority w:val="0"/>
    <w:rPr>
      <w:rFonts w:ascii="Arial" w:hAnsi="Arial" w:eastAsia="宋体"/>
      <w:color w:val="000000"/>
      <w:kern w:val="2"/>
      <w:sz w:val="24"/>
      <w:szCs w:val="24"/>
      <w:lang w:val="en-US" w:eastAsia="zh-CN" w:bidi="ar-SA"/>
    </w:rPr>
  </w:style>
  <w:style w:type="character" w:customStyle="1" w:styleId="67">
    <w:name w:val="标题 6 Char1"/>
    <w:link w:val="9"/>
    <w:qFormat/>
    <w:locked/>
    <w:uiPriority w:val="0"/>
    <w:rPr>
      <w:rFonts w:ascii="Arial" w:hAnsi="Arial" w:eastAsia="黑体"/>
      <w:b/>
      <w:bCs/>
      <w:kern w:val="2"/>
      <w:sz w:val="24"/>
      <w:szCs w:val="24"/>
      <w:lang w:val="en-US" w:eastAsia="zh-CN" w:bidi="ar-SA"/>
    </w:rPr>
  </w:style>
  <w:style w:type="character" w:customStyle="1" w:styleId="68">
    <w:name w:val="标题 7 Char1"/>
    <w:link w:val="10"/>
    <w:qFormat/>
    <w:locked/>
    <w:uiPriority w:val="0"/>
    <w:rPr>
      <w:rFonts w:eastAsia="宋体"/>
      <w:b/>
      <w:kern w:val="2"/>
      <w:sz w:val="24"/>
      <w:lang w:val="en-US" w:eastAsia="zh-CN" w:bidi="ar-SA"/>
    </w:rPr>
  </w:style>
  <w:style w:type="character" w:customStyle="1" w:styleId="69">
    <w:name w:val="标题 8 Char1"/>
    <w:link w:val="11"/>
    <w:qFormat/>
    <w:locked/>
    <w:uiPriority w:val="0"/>
    <w:rPr>
      <w:rFonts w:ascii="Arial" w:hAnsi="Arial" w:eastAsia="黑体"/>
      <w:kern w:val="2"/>
      <w:sz w:val="24"/>
      <w:lang w:val="en-US" w:eastAsia="zh-CN" w:bidi="ar-SA"/>
    </w:rPr>
  </w:style>
  <w:style w:type="character" w:customStyle="1" w:styleId="70">
    <w:name w:val="标题 9 Char1"/>
    <w:link w:val="12"/>
    <w:qFormat/>
    <w:locked/>
    <w:uiPriority w:val="0"/>
    <w:rPr>
      <w:rFonts w:ascii="Arial" w:hAnsi="Arial" w:eastAsia="黑体"/>
      <w:kern w:val="2"/>
      <w:sz w:val="21"/>
      <w:lang w:val="en-US" w:eastAsia="zh-CN" w:bidi="ar-SA"/>
    </w:rPr>
  </w:style>
  <w:style w:type="character" w:customStyle="1" w:styleId="71">
    <w:name w:val="文档结构图 Char1"/>
    <w:link w:val="16"/>
    <w:qFormat/>
    <w:locked/>
    <w:uiPriority w:val="0"/>
    <w:rPr>
      <w:rFonts w:ascii="仿宋_GB2312" w:eastAsia="宋体"/>
      <w:kern w:val="2"/>
      <w:sz w:val="21"/>
      <w:szCs w:val="32"/>
      <w:lang w:val="en-US" w:eastAsia="zh-CN" w:bidi="ar-SA"/>
    </w:rPr>
  </w:style>
  <w:style w:type="character" w:customStyle="1" w:styleId="72">
    <w:name w:val="批注文字 Char1"/>
    <w:link w:val="17"/>
    <w:qFormat/>
    <w:uiPriority w:val="0"/>
    <w:rPr>
      <w:rFonts w:ascii="仿宋_GB2312" w:eastAsia="宋体"/>
      <w:kern w:val="2"/>
      <w:sz w:val="21"/>
      <w:szCs w:val="32"/>
      <w:lang w:val="en-US" w:eastAsia="zh-CN" w:bidi="ar-SA"/>
    </w:rPr>
  </w:style>
  <w:style w:type="character" w:customStyle="1" w:styleId="73">
    <w:name w:val="正文文本 3 Char"/>
    <w:link w:val="18"/>
    <w:qFormat/>
    <w:uiPriority w:val="0"/>
    <w:rPr>
      <w:rFonts w:ascii="宋体"/>
      <w:kern w:val="2"/>
      <w:sz w:val="24"/>
      <w:lang w:bidi="ar-SA"/>
    </w:rPr>
  </w:style>
  <w:style w:type="character" w:customStyle="1" w:styleId="74">
    <w:name w:val="正文文本 Char1"/>
    <w:link w:val="19"/>
    <w:qFormat/>
    <w:locked/>
    <w:uiPriority w:val="0"/>
    <w:rPr>
      <w:rFonts w:ascii="仿宋_GB2312" w:eastAsia="宋体"/>
      <w:kern w:val="2"/>
      <w:sz w:val="21"/>
      <w:szCs w:val="32"/>
      <w:lang w:val="en-US" w:eastAsia="zh-CN" w:bidi="ar-SA"/>
    </w:rPr>
  </w:style>
  <w:style w:type="character" w:customStyle="1" w:styleId="75">
    <w:name w:val="纯文本 Char2"/>
    <w:link w:val="2"/>
    <w:qFormat/>
    <w:locked/>
    <w:uiPriority w:val="0"/>
    <w:rPr>
      <w:rFonts w:ascii="宋体" w:hAnsi="Courier New"/>
      <w:kern w:val="2"/>
      <w:sz w:val="21"/>
      <w:lang w:bidi="ar-SA"/>
    </w:rPr>
  </w:style>
  <w:style w:type="character" w:customStyle="1" w:styleId="76">
    <w:name w:val="日期 Char1"/>
    <w:link w:val="27"/>
    <w:qFormat/>
    <w:locked/>
    <w:uiPriority w:val="0"/>
    <w:rPr>
      <w:kern w:val="2"/>
      <w:sz w:val="21"/>
      <w:lang w:bidi="ar-SA"/>
    </w:rPr>
  </w:style>
  <w:style w:type="character" w:customStyle="1" w:styleId="77">
    <w:name w:val="正文文本缩进 2 Char1"/>
    <w:link w:val="28"/>
    <w:qFormat/>
    <w:locked/>
    <w:uiPriority w:val="0"/>
    <w:rPr>
      <w:color w:val="000000"/>
      <w:kern w:val="2"/>
      <w:sz w:val="24"/>
      <w:lang w:bidi="ar-SA"/>
    </w:rPr>
  </w:style>
  <w:style w:type="character" w:customStyle="1" w:styleId="78">
    <w:name w:val="尾注文本 Char1"/>
    <w:link w:val="29"/>
    <w:qFormat/>
    <w:locked/>
    <w:uiPriority w:val="0"/>
    <w:rPr>
      <w:kern w:val="2"/>
      <w:sz w:val="21"/>
      <w:lang w:bidi="ar-SA"/>
    </w:rPr>
  </w:style>
  <w:style w:type="character" w:customStyle="1" w:styleId="79">
    <w:name w:val="批注框文本 Char1"/>
    <w:link w:val="30"/>
    <w:qFormat/>
    <w:locked/>
    <w:uiPriority w:val="0"/>
    <w:rPr>
      <w:kern w:val="2"/>
      <w:sz w:val="18"/>
      <w:szCs w:val="18"/>
      <w:lang w:bidi="ar-SA"/>
    </w:rPr>
  </w:style>
  <w:style w:type="character" w:customStyle="1" w:styleId="80">
    <w:name w:val="页脚 Char1"/>
    <w:link w:val="31"/>
    <w:qFormat/>
    <w:locked/>
    <w:uiPriority w:val="0"/>
    <w:rPr>
      <w:rFonts w:ascii="仿宋_GB2312" w:eastAsia="宋体"/>
      <w:kern w:val="2"/>
      <w:sz w:val="18"/>
      <w:szCs w:val="18"/>
      <w:lang w:val="en-US" w:eastAsia="zh-CN" w:bidi="ar-SA"/>
    </w:rPr>
  </w:style>
  <w:style w:type="character" w:customStyle="1" w:styleId="81">
    <w:name w:val="页眉 Char1"/>
    <w:link w:val="32"/>
    <w:qFormat/>
    <w:locked/>
    <w:uiPriority w:val="0"/>
    <w:rPr>
      <w:rFonts w:ascii="仿宋_GB2312" w:eastAsia="宋体"/>
      <w:kern w:val="2"/>
      <w:sz w:val="18"/>
      <w:szCs w:val="18"/>
      <w:lang w:val="en-US" w:eastAsia="zh-CN" w:bidi="ar-SA"/>
    </w:rPr>
  </w:style>
  <w:style w:type="character" w:customStyle="1" w:styleId="82">
    <w:name w:val="副标题 Char"/>
    <w:link w:val="35"/>
    <w:qFormat/>
    <w:uiPriority w:val="0"/>
    <w:rPr>
      <w:rFonts w:ascii="Arial" w:hAnsi="Arial" w:eastAsia="黑体"/>
      <w:b/>
      <w:bCs/>
      <w:kern w:val="2"/>
      <w:sz w:val="32"/>
      <w:szCs w:val="32"/>
      <w:lang w:bidi="ar-SA"/>
    </w:rPr>
  </w:style>
  <w:style w:type="character" w:customStyle="1" w:styleId="83">
    <w:name w:val="脚注文本 Char"/>
    <w:link w:val="37"/>
    <w:qFormat/>
    <w:uiPriority w:val="0"/>
    <w:rPr>
      <w:rFonts w:ascii="宋体" w:hAnsi="宋体" w:eastAsia="宋体"/>
      <w:kern w:val="2"/>
      <w:sz w:val="18"/>
      <w:szCs w:val="18"/>
      <w:lang w:val="en-US" w:eastAsia="zh-CN" w:bidi="ar-SA"/>
    </w:rPr>
  </w:style>
  <w:style w:type="character" w:customStyle="1" w:styleId="84">
    <w:name w:val="正文文本缩进 3 Char1"/>
    <w:link w:val="39"/>
    <w:qFormat/>
    <w:locked/>
    <w:uiPriority w:val="0"/>
    <w:rPr>
      <w:color w:val="000000"/>
      <w:kern w:val="2"/>
      <w:sz w:val="24"/>
      <w:lang w:bidi="ar-SA"/>
    </w:rPr>
  </w:style>
  <w:style w:type="character" w:customStyle="1" w:styleId="85">
    <w:name w:val="正文文本 2 Char1"/>
    <w:link w:val="43"/>
    <w:qFormat/>
    <w:locked/>
    <w:uiPriority w:val="0"/>
    <w:rPr>
      <w:rFonts w:ascii="宋体" w:hAnsi="宋体" w:eastAsia="宋体"/>
      <w:kern w:val="2"/>
      <w:sz w:val="21"/>
      <w:szCs w:val="24"/>
      <w:u w:val="single"/>
      <w:lang w:val="en-US" w:eastAsia="zh-CN" w:bidi="ar-SA"/>
    </w:rPr>
  </w:style>
  <w:style w:type="character" w:customStyle="1" w:styleId="86">
    <w:name w:val="标题 Char2"/>
    <w:link w:val="46"/>
    <w:qFormat/>
    <w:locked/>
    <w:uiPriority w:val="0"/>
    <w:rPr>
      <w:rFonts w:ascii="Arial" w:hAnsi="Arial"/>
      <w:b/>
      <w:kern w:val="2"/>
      <w:sz w:val="44"/>
      <w:lang w:bidi="ar-SA"/>
    </w:rPr>
  </w:style>
  <w:style w:type="character" w:customStyle="1" w:styleId="87">
    <w:name w:val="批注主题 Char1"/>
    <w:link w:val="47"/>
    <w:qFormat/>
    <w:uiPriority w:val="0"/>
    <w:rPr>
      <w:rFonts w:ascii="宋体" w:hAnsi="宋体"/>
      <w:b/>
      <w:bCs/>
      <w:kern w:val="2"/>
      <w:sz w:val="24"/>
      <w:szCs w:val="24"/>
      <w:lang w:bidi="ar-SA"/>
    </w:rPr>
  </w:style>
  <w:style w:type="character" w:customStyle="1" w:styleId="88">
    <w:name w:val="正文首行缩进 Char1"/>
    <w:link w:val="48"/>
    <w:qFormat/>
    <w:locked/>
    <w:uiPriority w:val="0"/>
    <w:rPr>
      <w:rFonts w:eastAsia="宋体"/>
      <w:kern w:val="2"/>
      <w:sz w:val="21"/>
      <w:lang w:val="en-US" w:eastAsia="zh-CN" w:bidi="ar-SA"/>
    </w:rPr>
  </w:style>
  <w:style w:type="paragraph" w:customStyle="1" w:styleId="89">
    <w:name w:val="样式1"/>
    <w:basedOn w:val="5"/>
    <w:qFormat/>
    <w:uiPriority w:val="0"/>
    <w:pPr>
      <w:spacing w:before="260" w:beforeLines="0" w:after="260" w:afterLines="0" w:line="413" w:lineRule="auto"/>
      <w:jc w:val="both"/>
    </w:pPr>
    <w:rPr>
      <w:rFonts w:eastAsia="Arial"/>
      <w:color w:val="auto"/>
      <w:sz w:val="32"/>
      <w:szCs w:val="22"/>
    </w:rPr>
  </w:style>
  <w:style w:type="paragraph" w:customStyle="1" w:styleId="90">
    <w:name w:val="样式2"/>
    <w:basedOn w:val="5"/>
    <w:qFormat/>
    <w:uiPriority w:val="0"/>
    <w:pPr>
      <w:spacing w:before="260" w:beforeLines="0" w:after="260" w:afterLines="0" w:line="413" w:lineRule="auto"/>
      <w:jc w:val="both"/>
    </w:pPr>
    <w:rPr>
      <w:color w:val="auto"/>
      <w:sz w:val="32"/>
      <w:szCs w:val="22"/>
    </w:rPr>
  </w:style>
  <w:style w:type="paragraph" w:customStyle="1" w:styleId="91">
    <w:name w:val="样式4"/>
    <w:basedOn w:val="5"/>
    <w:qFormat/>
    <w:uiPriority w:val="0"/>
    <w:pPr>
      <w:spacing w:before="260" w:beforeLines="0" w:after="260" w:afterLines="0" w:line="413" w:lineRule="auto"/>
      <w:jc w:val="both"/>
    </w:pPr>
    <w:rPr>
      <w:rFonts w:eastAsia="Arial"/>
      <w:color w:val="auto"/>
      <w:sz w:val="32"/>
      <w:szCs w:val="22"/>
    </w:rPr>
  </w:style>
  <w:style w:type="paragraph" w:customStyle="1" w:styleId="92">
    <w:name w:val="样式3"/>
    <w:basedOn w:val="5"/>
    <w:qFormat/>
    <w:uiPriority w:val="0"/>
    <w:pPr>
      <w:spacing w:before="260" w:beforeLines="0" w:after="260" w:afterLines="0" w:line="413" w:lineRule="auto"/>
      <w:jc w:val="both"/>
    </w:pPr>
    <w:rPr>
      <w:rFonts w:eastAsia="Arial"/>
      <w:color w:val="auto"/>
      <w:sz w:val="32"/>
      <w:szCs w:val="22"/>
    </w:rPr>
  </w:style>
  <w:style w:type="character" w:customStyle="1" w:styleId="93">
    <w:name w:val="标题 9 Char"/>
    <w:qFormat/>
    <w:uiPriority w:val="0"/>
    <w:rPr>
      <w:rFonts w:ascii="Arial" w:hAnsi="Arial" w:eastAsia="黑体"/>
      <w:sz w:val="21"/>
      <w:szCs w:val="21"/>
    </w:rPr>
  </w:style>
  <w:style w:type="character" w:customStyle="1" w:styleId="94">
    <w:name w:val="正文文本缩进 2 Char"/>
    <w:qFormat/>
    <w:uiPriority w:val="0"/>
    <w:rPr>
      <w:rFonts w:ascii="Times New Roman" w:hAnsi="Times New Roman"/>
      <w:color w:val="000000"/>
      <w:sz w:val="24"/>
    </w:rPr>
  </w:style>
  <w:style w:type="character" w:customStyle="1" w:styleId="95">
    <w:name w:val="标题 8 Char"/>
    <w:qFormat/>
    <w:uiPriority w:val="0"/>
    <w:rPr>
      <w:rFonts w:ascii="Arial" w:hAnsi="Arial" w:eastAsia="黑体"/>
      <w:sz w:val="24"/>
      <w:szCs w:val="22"/>
    </w:rPr>
  </w:style>
  <w:style w:type="character" w:customStyle="1" w:styleId="96">
    <w:name w:val="Char Char10"/>
    <w:qFormat/>
    <w:uiPriority w:val="0"/>
    <w:rPr>
      <w:rFonts w:hint="default" w:ascii="Cambria" w:hAnsi="Cambria" w:eastAsia="宋体"/>
      <w:b/>
      <w:bCs/>
      <w:i/>
      <w:iCs/>
      <w:sz w:val="28"/>
      <w:szCs w:val="28"/>
    </w:rPr>
  </w:style>
  <w:style w:type="character" w:customStyle="1" w:styleId="97">
    <w:name w:val="_Style 96"/>
    <w:qFormat/>
    <w:uiPriority w:val="0"/>
    <w:rPr>
      <w:sz w:val="30"/>
      <w:szCs w:val="24"/>
      <w:u w:val="none"/>
    </w:rPr>
  </w:style>
  <w:style w:type="character" w:customStyle="1" w:styleId="98">
    <w:name w:val="标题 Char1"/>
    <w:qFormat/>
    <w:locked/>
    <w:uiPriority w:val="0"/>
    <w:rPr>
      <w:rFonts w:ascii="Arial" w:hAnsi="Arial"/>
      <w:b/>
      <w:sz w:val="44"/>
    </w:rPr>
  </w:style>
  <w:style w:type="character" w:customStyle="1" w:styleId="99">
    <w:name w:val="尾注文本 Char Char"/>
    <w:qFormat/>
    <w:uiPriority w:val="0"/>
    <w:rPr>
      <w:rFonts w:ascii="宋体" w:hAnsi="宋体" w:eastAsia="宋体"/>
      <w:kern w:val="2"/>
      <w:sz w:val="21"/>
      <w:szCs w:val="24"/>
      <w:lang w:val="en-US" w:eastAsia="zh-CN" w:bidi="ar-SA"/>
    </w:rPr>
  </w:style>
  <w:style w:type="character" w:customStyle="1" w:styleId="100">
    <w:name w:val="正文文本 2 Char"/>
    <w:qFormat/>
    <w:uiPriority w:val="0"/>
    <w:rPr>
      <w:rFonts w:ascii="Times New Roman" w:hAnsi="宋体" w:eastAsia="方正小标宋_GBK"/>
      <w:spacing w:val="-20"/>
      <w:sz w:val="44"/>
      <w:szCs w:val="32"/>
    </w:rPr>
  </w:style>
  <w:style w:type="character" w:customStyle="1" w:styleId="101">
    <w:name w:val="标题 Char"/>
    <w:qFormat/>
    <w:uiPriority w:val="0"/>
    <w:rPr>
      <w:rFonts w:ascii="Arial" w:hAnsi="Arial"/>
      <w:b/>
      <w:sz w:val="32"/>
    </w:rPr>
  </w:style>
  <w:style w:type="character" w:customStyle="1" w:styleId="102">
    <w:name w:val="WW8Num9z0"/>
    <w:qFormat/>
    <w:uiPriority w:val="0"/>
    <w:rPr>
      <w:rFonts w:ascii="Wingdings" w:hAnsi="Wingdings"/>
    </w:rPr>
  </w:style>
  <w:style w:type="character" w:customStyle="1" w:styleId="103">
    <w:name w:val="_Style 102"/>
    <w:qFormat/>
    <w:uiPriority w:val="0"/>
    <w:rPr>
      <w:b/>
      <w:sz w:val="24"/>
      <w:u w:val="single"/>
    </w:rPr>
  </w:style>
  <w:style w:type="character" w:customStyle="1" w:styleId="104">
    <w:name w:val="（1） Char"/>
    <w:qFormat/>
    <w:locked/>
    <w:uiPriority w:val="0"/>
    <w:rPr>
      <w:rFonts w:eastAsia="宋体"/>
      <w:b/>
      <w:kern w:val="2"/>
      <w:sz w:val="24"/>
      <w:lang w:val="en-US" w:eastAsia="zh-CN" w:bidi="ar-SA"/>
    </w:rPr>
  </w:style>
  <w:style w:type="character" w:customStyle="1" w:styleId="105">
    <w:name w:val="标题 7 Char"/>
    <w:qFormat/>
    <w:uiPriority w:val="0"/>
    <w:rPr>
      <w:b/>
      <w:bCs/>
      <w:sz w:val="24"/>
      <w:szCs w:val="22"/>
    </w:rPr>
  </w:style>
  <w:style w:type="character" w:customStyle="1" w:styleId="106">
    <w:name w:val="huh Char"/>
    <w:qFormat/>
    <w:locked/>
    <w:uiPriority w:val="0"/>
    <w:rPr>
      <w:rFonts w:ascii="Arial" w:hAnsi="Arial" w:eastAsia="黑体"/>
      <w:kern w:val="2"/>
      <w:sz w:val="21"/>
      <w:lang w:val="en-US" w:eastAsia="zh-CN" w:bidi="ar-SA"/>
    </w:rPr>
  </w:style>
  <w:style w:type="character" w:customStyle="1" w:styleId="107">
    <w:name w:val="Variable"/>
    <w:qFormat/>
    <w:uiPriority w:val="0"/>
    <w:rPr>
      <w:i/>
    </w:rPr>
  </w:style>
  <w:style w:type="character" w:customStyle="1" w:styleId="108">
    <w:name w:val="批注主题 Char"/>
    <w:qFormat/>
    <w:uiPriority w:val="0"/>
    <w:rPr>
      <w:rFonts w:ascii="Times New Roman" w:hAnsi="Times New Roman"/>
      <w:b/>
      <w:bCs/>
      <w:kern w:val="2"/>
      <w:sz w:val="21"/>
      <w:szCs w:val="24"/>
    </w:rPr>
  </w:style>
  <w:style w:type="character" w:customStyle="1" w:styleId="109">
    <w:name w:val="引用 Char"/>
    <w:link w:val="110"/>
    <w:qFormat/>
    <w:uiPriority w:val="0"/>
    <w:rPr>
      <w:i/>
      <w:sz w:val="24"/>
      <w:szCs w:val="22"/>
      <w:lang w:bidi="ar-SA"/>
    </w:rPr>
  </w:style>
  <w:style w:type="paragraph" w:styleId="110">
    <w:name w:val="Quote"/>
    <w:basedOn w:val="1"/>
    <w:next w:val="1"/>
    <w:link w:val="109"/>
    <w:qFormat/>
    <w:uiPriority w:val="0"/>
    <w:pPr>
      <w:widowControl/>
      <w:jc w:val="left"/>
    </w:pPr>
    <w:rPr>
      <w:rFonts w:ascii="Times New Roman"/>
      <w:i/>
      <w:kern w:val="0"/>
      <w:sz w:val="24"/>
      <w:szCs w:val="22"/>
    </w:rPr>
  </w:style>
  <w:style w:type="character" w:customStyle="1" w:styleId="111">
    <w:name w:val="正文文本缩进 3 Char"/>
    <w:qFormat/>
    <w:uiPriority w:val="0"/>
    <w:rPr>
      <w:kern w:val="2"/>
      <w:sz w:val="16"/>
      <w:szCs w:val="16"/>
    </w:rPr>
  </w:style>
  <w:style w:type="character" w:customStyle="1" w:styleId="112">
    <w:name w:val=" Char Char29"/>
    <w:qFormat/>
    <w:locked/>
    <w:uiPriority w:val="0"/>
    <w:rPr>
      <w:rFonts w:ascii="仿宋_GB2312" w:eastAsia="宋体"/>
      <w:b/>
      <w:bCs/>
      <w:kern w:val="44"/>
      <w:sz w:val="44"/>
      <w:szCs w:val="44"/>
      <w:lang w:val="en-US" w:eastAsia="zh-CN" w:bidi="ar-SA"/>
    </w:rPr>
  </w:style>
  <w:style w:type="character" w:customStyle="1" w:styleId="113">
    <w:name w:val="WW8Num15z1"/>
    <w:qFormat/>
    <w:uiPriority w:val="0"/>
    <w:rPr>
      <w:rFonts w:ascii="Times New Roman" w:hAnsi="Times New Roman" w:cs="Times New Roman"/>
      <w:color w:val="auto"/>
    </w:rPr>
  </w:style>
  <w:style w:type="character" w:customStyle="1" w:styleId="114">
    <w:name w:val="纯文本 Char1"/>
    <w:qFormat/>
    <w:locked/>
    <w:uiPriority w:val="0"/>
    <w:rPr>
      <w:rFonts w:ascii="宋体" w:hAnsi="Courier New"/>
      <w:kern w:val="2"/>
      <w:sz w:val="21"/>
      <w:lang w:bidi="ar-SA"/>
    </w:rPr>
  </w:style>
  <w:style w:type="character" w:customStyle="1" w:styleId="115">
    <w:name w:val=" Char Char27"/>
    <w:qFormat/>
    <w:locked/>
    <w:uiPriority w:val="0"/>
    <w:rPr>
      <w:rFonts w:eastAsia="宋体"/>
      <w:b/>
      <w:color w:val="000000"/>
      <w:kern w:val="2"/>
      <w:sz w:val="24"/>
      <w:szCs w:val="24"/>
      <w:lang w:val="en-US" w:eastAsia="zh-CN" w:bidi="ar-SA"/>
    </w:rPr>
  </w:style>
  <w:style w:type="character" w:customStyle="1" w:styleId="116">
    <w:name w:val=" Char Char Char"/>
    <w:qFormat/>
    <w:uiPriority w:val="0"/>
    <w:rPr>
      <w:rFonts w:eastAsia="楷体_GB2312"/>
      <w:b/>
      <w:kern w:val="1"/>
      <w:sz w:val="21"/>
    </w:rPr>
  </w:style>
  <w:style w:type="character" w:customStyle="1" w:styleId="117">
    <w:name w:val="Body Text Indent Char"/>
    <w:link w:val="118"/>
    <w:qFormat/>
    <w:uiPriority w:val="0"/>
    <w:rPr>
      <w:rFonts w:ascii="宋体" w:hAnsi="宋体" w:eastAsia="宋体"/>
      <w:color w:val="000000"/>
      <w:sz w:val="28"/>
      <w:szCs w:val="28"/>
      <w:lang w:bidi="ar-SA"/>
    </w:rPr>
  </w:style>
  <w:style w:type="paragraph" w:customStyle="1" w:styleId="118">
    <w:name w:val="Body Text Indent"/>
    <w:basedOn w:val="1"/>
    <w:link w:val="117"/>
    <w:qFormat/>
    <w:uiPriority w:val="0"/>
    <w:pPr>
      <w:widowControl/>
      <w:adjustRightInd w:val="0"/>
      <w:snapToGrid w:val="0"/>
      <w:spacing w:line="360" w:lineRule="auto"/>
      <w:ind w:firstLine="633" w:firstLineChars="226"/>
      <w:jc w:val="left"/>
    </w:pPr>
    <w:rPr>
      <w:rFonts w:ascii="宋体" w:hAnsi="宋体"/>
      <w:color w:val="000000"/>
      <w:kern w:val="0"/>
      <w:sz w:val="28"/>
      <w:szCs w:val="28"/>
    </w:rPr>
  </w:style>
  <w:style w:type="character" w:customStyle="1" w:styleId="119">
    <w:name w:val="rightspan"/>
    <w:qFormat/>
    <w:uiPriority w:val="0"/>
  </w:style>
  <w:style w:type="character" w:customStyle="1" w:styleId="120">
    <w:name w:val="Char Char11"/>
    <w:qFormat/>
    <w:uiPriority w:val="0"/>
    <w:rPr>
      <w:rFonts w:hint="default" w:ascii="Cambria" w:hAnsi="Cambria" w:eastAsia="宋体"/>
      <w:b/>
      <w:bCs/>
      <w:kern w:val="32"/>
      <w:sz w:val="32"/>
      <w:szCs w:val="32"/>
    </w:rPr>
  </w:style>
  <w:style w:type="character" w:customStyle="1" w:styleId="121">
    <w:name w:val="Titre5 Char"/>
    <w:qFormat/>
    <w:locked/>
    <w:uiPriority w:val="0"/>
    <w:rPr>
      <w:rFonts w:ascii="Arial" w:hAnsi="Arial" w:eastAsia="宋体"/>
      <w:color w:val="000000"/>
      <w:kern w:val="2"/>
      <w:sz w:val="24"/>
      <w:szCs w:val="24"/>
      <w:lang w:val="en-US" w:eastAsia="zh-CN" w:bidi="ar-SA"/>
    </w:rPr>
  </w:style>
  <w:style w:type="character" w:customStyle="1" w:styleId="122">
    <w:name w:val="WW8Num8z0"/>
    <w:qFormat/>
    <w:uiPriority w:val="0"/>
    <w:rPr>
      <w:sz w:val="24"/>
    </w:rPr>
  </w:style>
  <w:style w:type="character" w:customStyle="1" w:styleId="123">
    <w:name w:val="标题 4 Char"/>
    <w:qFormat/>
    <w:uiPriority w:val="0"/>
    <w:rPr>
      <w:rFonts w:ascii="Arial" w:hAnsi="Arial" w:eastAsia="黑体"/>
      <w:b/>
      <w:bCs/>
      <w:kern w:val="2"/>
      <w:sz w:val="28"/>
      <w:szCs w:val="28"/>
    </w:rPr>
  </w:style>
  <w:style w:type="character" w:customStyle="1" w:styleId="124">
    <w:name w:val="标题 Char Char"/>
    <w:qFormat/>
    <w:uiPriority w:val="0"/>
    <w:rPr>
      <w:rFonts w:ascii="Arial" w:hAnsi="Arial" w:eastAsia="楷体_GB2312"/>
      <w:b/>
      <w:kern w:val="2"/>
      <w:sz w:val="44"/>
      <w:szCs w:val="24"/>
      <w:lang w:val="en-US" w:eastAsia="zh-CN" w:bidi="ar-SA"/>
    </w:rPr>
  </w:style>
  <w:style w:type="character" w:customStyle="1" w:styleId="125">
    <w:name w:val="批注框文本 Char"/>
    <w:qFormat/>
    <w:uiPriority w:val="0"/>
    <w:rPr>
      <w:kern w:val="2"/>
      <w:sz w:val="18"/>
      <w:szCs w:val="18"/>
    </w:rPr>
  </w:style>
  <w:style w:type="character" w:customStyle="1" w:styleId="126">
    <w:name w:val="textcontents1"/>
    <w:qFormat/>
    <w:uiPriority w:val="0"/>
    <w:rPr>
      <w:color w:val="000000"/>
      <w:sz w:val="22"/>
      <w:szCs w:val="22"/>
    </w:rPr>
  </w:style>
  <w:style w:type="character" w:customStyle="1" w:styleId="127">
    <w:name w:val=" Char Char28"/>
    <w:qFormat/>
    <w:locked/>
    <w:uiPriority w:val="0"/>
    <w:rPr>
      <w:rFonts w:ascii="Arial" w:hAnsi="Arial" w:eastAsia="黑体"/>
      <w:b/>
      <w:bCs/>
      <w:kern w:val="2"/>
      <w:sz w:val="32"/>
      <w:szCs w:val="32"/>
      <w:lang w:val="en-US" w:eastAsia="zh-CN" w:bidi="ar-SA"/>
    </w:rPr>
  </w:style>
  <w:style w:type="character" w:customStyle="1" w:styleId="128">
    <w:name w:val="纯文本 Char"/>
    <w:qFormat/>
    <w:uiPriority w:val="0"/>
    <w:rPr>
      <w:rFonts w:ascii="Courier New" w:hAnsi="Courier New"/>
      <w:kern w:val="2"/>
      <w:sz w:val="21"/>
    </w:rPr>
  </w:style>
  <w:style w:type="character" w:customStyle="1" w:styleId="129">
    <w:name w:val="标题 3 Char"/>
    <w:qFormat/>
    <w:uiPriority w:val="0"/>
    <w:rPr>
      <w:rFonts w:ascii="Times New Roman" w:hAnsi="Times New Roman"/>
      <w:b/>
      <w:kern w:val="2"/>
      <w:sz w:val="32"/>
    </w:rPr>
  </w:style>
  <w:style w:type="character" w:customStyle="1" w:styleId="130">
    <w:name w:val="WW8Num4z0"/>
    <w:qFormat/>
    <w:uiPriority w:val="0"/>
    <w:rPr>
      <w:rFonts w:ascii="Courier New" w:hAnsi="Courier New"/>
      <w:sz w:val="22"/>
    </w:rPr>
  </w:style>
  <w:style w:type="character" w:customStyle="1" w:styleId="131">
    <w:name w:val="_Style 130"/>
    <w:qFormat/>
    <w:uiPriority w:val="0"/>
    <w:rPr>
      <w:b/>
      <w:i/>
      <w:sz w:val="24"/>
      <w:szCs w:val="24"/>
      <w:u w:val="single"/>
    </w:rPr>
  </w:style>
  <w:style w:type="character" w:customStyle="1" w:styleId="132">
    <w:name w:val="font01"/>
    <w:qFormat/>
    <w:uiPriority w:val="0"/>
    <w:rPr>
      <w:rFonts w:ascii="微软雅黑" w:hAnsi="微软雅黑" w:eastAsia="微软雅黑" w:cs="微软雅黑"/>
      <w:color w:val="000000"/>
      <w:sz w:val="24"/>
      <w:szCs w:val="24"/>
      <w:u w:val="none"/>
    </w:rPr>
  </w:style>
  <w:style w:type="character" w:customStyle="1" w:styleId="133">
    <w:name w:val="font161"/>
    <w:qFormat/>
    <w:uiPriority w:val="0"/>
    <w:rPr>
      <w:b/>
      <w:bCs/>
      <w:sz w:val="32"/>
      <w:szCs w:val="32"/>
    </w:rPr>
  </w:style>
  <w:style w:type="character" w:customStyle="1" w:styleId="134">
    <w:name w:val="WW8Num1z0"/>
    <w:qFormat/>
    <w:uiPriority w:val="0"/>
    <w:rPr>
      <w:sz w:val="24"/>
    </w:rPr>
  </w:style>
  <w:style w:type="character" w:customStyle="1" w:styleId="135">
    <w:name w:val="标题 2 Char Char"/>
    <w:qFormat/>
    <w:uiPriority w:val="0"/>
    <w:rPr>
      <w:rFonts w:ascii="黑体" w:hAnsi="黑体" w:eastAsia="黑体"/>
      <w:sz w:val="24"/>
    </w:rPr>
  </w:style>
  <w:style w:type="character" w:customStyle="1" w:styleId="136">
    <w:name w:val="无间隔 Char"/>
    <w:link w:val="137"/>
    <w:qFormat/>
    <w:locked/>
    <w:uiPriority w:val="0"/>
    <w:rPr>
      <w:rFonts w:eastAsia="Times New Roman"/>
      <w:kern w:val="2"/>
      <w:sz w:val="22"/>
      <w:lang w:val="en-US" w:eastAsia="zh-CN" w:bidi="ar-SA"/>
    </w:rPr>
  </w:style>
  <w:style w:type="paragraph" w:styleId="137">
    <w:name w:val="No Spacing"/>
    <w:link w:val="136"/>
    <w:qFormat/>
    <w:uiPriority w:val="0"/>
    <w:rPr>
      <w:rFonts w:ascii="Times New Roman" w:hAnsi="Times New Roman" w:eastAsia="Times New Roman" w:cs="Times New Roman"/>
      <w:kern w:val="2"/>
      <w:sz w:val="22"/>
      <w:lang w:val="en-US" w:eastAsia="zh-CN" w:bidi="ar-SA"/>
    </w:rPr>
  </w:style>
  <w:style w:type="character" w:customStyle="1" w:styleId="138">
    <w:name w:val="标题5 Char"/>
    <w:link w:val="139"/>
    <w:qFormat/>
    <w:uiPriority w:val="0"/>
    <w:rPr>
      <w:rFonts w:ascii="Arial" w:hAnsi="Arial" w:eastAsia="黑体"/>
      <w:bCs/>
      <w:kern w:val="2"/>
      <w:sz w:val="24"/>
      <w:szCs w:val="32"/>
      <w:lang w:bidi="ar-SA"/>
    </w:rPr>
  </w:style>
  <w:style w:type="paragraph" w:customStyle="1" w:styleId="139">
    <w:name w:val="标题5"/>
    <w:basedOn w:val="8"/>
    <w:link w:val="138"/>
    <w:qFormat/>
    <w:uiPriority w:val="0"/>
    <w:pPr>
      <w:keepNext w:val="0"/>
      <w:keepLines w:val="0"/>
      <w:widowControl/>
      <w:numPr>
        <w:ilvl w:val="0"/>
        <w:numId w:val="0"/>
      </w:numPr>
      <w:spacing w:before="240" w:beforeLines="0" w:after="60" w:afterLines="0" w:line="240" w:lineRule="auto"/>
    </w:pPr>
    <w:rPr>
      <w:rFonts w:eastAsia="黑体"/>
      <w:bCs/>
      <w:color w:val="auto"/>
      <w:szCs w:val="32"/>
    </w:rPr>
  </w:style>
  <w:style w:type="character" w:customStyle="1" w:styleId="140">
    <w:name w:val="页脚 Char"/>
    <w:qFormat/>
    <w:uiPriority w:val="99"/>
    <w:rPr>
      <w:sz w:val="18"/>
      <w:szCs w:val="18"/>
    </w:rPr>
  </w:style>
  <w:style w:type="character" w:customStyle="1" w:styleId="141">
    <w:name w:val="样式 Char"/>
    <w:link w:val="142"/>
    <w:qFormat/>
    <w:uiPriority w:val="0"/>
    <w:rPr>
      <w:lang w:bidi="ar-SA"/>
    </w:rPr>
  </w:style>
  <w:style w:type="paragraph" w:customStyle="1" w:styleId="142">
    <w:name w:val="样式"/>
    <w:basedOn w:val="139"/>
    <w:link w:val="141"/>
    <w:qFormat/>
    <w:uiPriority w:val="0"/>
    <w:pPr>
      <w:outlineLvl w:val="9"/>
    </w:pPr>
    <w:rPr>
      <w:rFonts w:ascii="Times New Roman" w:hAnsi="Times New Roman" w:eastAsia="宋体"/>
      <w:bCs w:val="0"/>
      <w:kern w:val="0"/>
      <w:sz w:val="20"/>
      <w:szCs w:val="20"/>
    </w:rPr>
  </w:style>
  <w:style w:type="character" w:customStyle="1" w:styleId="143">
    <w:name w:val="A正文 Char"/>
    <w:link w:val="144"/>
    <w:qFormat/>
    <w:uiPriority w:val="0"/>
    <w:rPr>
      <w:rFonts w:eastAsia="仿宋_GB2312"/>
      <w:sz w:val="24"/>
      <w:szCs w:val="24"/>
      <w:lang w:val="en-US" w:eastAsia="zh-CN" w:bidi="ar-SA"/>
    </w:rPr>
  </w:style>
  <w:style w:type="paragraph" w:customStyle="1" w:styleId="144">
    <w:name w:val="A正文"/>
    <w:basedOn w:val="1"/>
    <w:link w:val="143"/>
    <w:qFormat/>
    <w:uiPriority w:val="0"/>
    <w:pPr>
      <w:widowControl/>
      <w:overflowPunct w:val="0"/>
      <w:autoSpaceDE w:val="0"/>
      <w:autoSpaceDN w:val="0"/>
      <w:adjustRightInd w:val="0"/>
      <w:spacing w:line="360" w:lineRule="auto"/>
      <w:ind w:firstLine="200" w:firstLineChars="200"/>
      <w:jc w:val="left"/>
    </w:pPr>
    <w:rPr>
      <w:rFonts w:ascii="Times New Roman" w:eastAsia="仿宋_GB2312"/>
      <w:kern w:val="0"/>
      <w:sz w:val="24"/>
      <w:szCs w:val="24"/>
    </w:rPr>
  </w:style>
  <w:style w:type="character" w:customStyle="1" w:styleId="145">
    <w:name w:val="_Style 144"/>
    <w:qFormat/>
    <w:uiPriority w:val="0"/>
    <w:rPr>
      <w:i/>
      <w:color w:val="5A5A5A"/>
    </w:rPr>
  </w:style>
  <w:style w:type="character" w:customStyle="1" w:styleId="146">
    <w:name w:val="默认段落字体1"/>
    <w:qFormat/>
    <w:uiPriority w:val="0"/>
  </w:style>
  <w:style w:type="character" w:customStyle="1" w:styleId="147">
    <w:name w:val="font31"/>
    <w:qFormat/>
    <w:uiPriority w:val="0"/>
    <w:rPr>
      <w:rFonts w:hint="eastAsia" w:ascii="仿宋_GB2312" w:eastAsia="仿宋_GB2312" w:cs="仿宋_GB2312"/>
      <w:color w:val="000000"/>
      <w:sz w:val="24"/>
      <w:szCs w:val="24"/>
      <w:u w:val="none"/>
    </w:rPr>
  </w:style>
  <w:style w:type="character" w:customStyle="1" w:styleId="148">
    <w:name w:val="textcontents"/>
    <w:qFormat/>
    <w:uiPriority w:val="0"/>
  </w:style>
  <w:style w:type="character" w:customStyle="1" w:styleId="149">
    <w:name w:val="font61"/>
    <w:qFormat/>
    <w:uiPriority w:val="0"/>
    <w:rPr>
      <w:rFonts w:hint="eastAsia" w:ascii="宋体" w:hAnsi="宋体" w:eastAsia="宋体" w:cs="宋体"/>
      <w:color w:val="000000"/>
      <w:sz w:val="22"/>
      <w:szCs w:val="22"/>
      <w:u w:val="none"/>
    </w:rPr>
  </w:style>
  <w:style w:type="character" w:customStyle="1" w:styleId="150">
    <w:name w:val=" Char Char15"/>
    <w:qFormat/>
    <w:locked/>
    <w:uiPriority w:val="0"/>
    <w:rPr>
      <w:lang w:val="en-US" w:eastAsia="zh-CN" w:bidi="ar-SA"/>
    </w:rPr>
  </w:style>
  <w:style w:type="character" w:customStyle="1" w:styleId="151">
    <w:name w:val="小 Char Char"/>
    <w:qFormat/>
    <w:uiPriority w:val="0"/>
    <w:rPr>
      <w:rFonts w:ascii="宋体" w:hAnsi="Courier New"/>
      <w:kern w:val="2"/>
      <w:sz w:val="21"/>
    </w:rPr>
  </w:style>
  <w:style w:type="character" w:customStyle="1" w:styleId="152">
    <w:name w:val="正文首行缩进 Char"/>
    <w:qFormat/>
    <w:uiPriority w:val="0"/>
    <w:rPr>
      <w:rFonts w:ascii="Times New Roman" w:hAnsi="Times New Roman"/>
      <w:kern w:val="2"/>
      <w:sz w:val="21"/>
      <w:szCs w:val="22"/>
    </w:rPr>
  </w:style>
  <w:style w:type="character" w:customStyle="1" w:styleId="153">
    <w:name w:val="WW8Num3z0"/>
    <w:qFormat/>
    <w:uiPriority w:val="0"/>
    <w:rPr>
      <w:sz w:val="24"/>
      <w:szCs w:val="24"/>
    </w:rPr>
  </w:style>
  <w:style w:type="character" w:customStyle="1" w:styleId="154">
    <w:name w:val="Char Char4"/>
    <w:link w:val="155"/>
    <w:qFormat/>
    <w:locked/>
    <w:uiPriority w:val="0"/>
    <w:rPr>
      <w:rFonts w:ascii="Tahoma" w:hAnsi="Tahoma" w:eastAsia="宋体"/>
      <w:kern w:val="2"/>
      <w:sz w:val="24"/>
      <w:lang w:val="en-US" w:eastAsia="zh-CN" w:bidi="ar-SA"/>
    </w:rPr>
  </w:style>
  <w:style w:type="paragraph" w:customStyle="1" w:styleId="155">
    <w:name w:val="Char"/>
    <w:basedOn w:val="1"/>
    <w:link w:val="154"/>
    <w:qFormat/>
    <w:uiPriority w:val="0"/>
    <w:rPr>
      <w:rFonts w:ascii="Tahoma" w:hAnsi="Tahoma"/>
      <w:sz w:val="24"/>
      <w:szCs w:val="20"/>
    </w:rPr>
  </w:style>
  <w:style w:type="character" w:customStyle="1" w:styleId="156">
    <w:name w:val="合同标题 Char"/>
    <w:qFormat/>
    <w:locked/>
    <w:uiPriority w:val="0"/>
    <w:rPr>
      <w:rFonts w:ascii="仿宋_GB2312" w:eastAsia="宋体"/>
      <w:b/>
      <w:bCs/>
      <w:kern w:val="44"/>
      <w:sz w:val="44"/>
      <w:szCs w:val="44"/>
      <w:lang w:val="en-US" w:eastAsia="zh-CN" w:bidi="ar-SA"/>
    </w:rPr>
  </w:style>
  <w:style w:type="character" w:customStyle="1" w:styleId="157">
    <w:name w:val="小 Char"/>
    <w:qFormat/>
    <w:uiPriority w:val="0"/>
    <w:rPr>
      <w:rFonts w:ascii="宋体" w:hAnsi="Courier New"/>
      <w:kern w:val="2"/>
      <w:sz w:val="21"/>
    </w:rPr>
  </w:style>
  <w:style w:type="character" w:customStyle="1" w:styleId="158">
    <w:name w:val="明显引用 Char"/>
    <w:link w:val="159"/>
    <w:qFormat/>
    <w:uiPriority w:val="0"/>
    <w:rPr>
      <w:b/>
      <w:i/>
      <w:sz w:val="24"/>
      <w:szCs w:val="22"/>
      <w:lang w:bidi="ar-SA"/>
    </w:rPr>
  </w:style>
  <w:style w:type="paragraph" w:styleId="159">
    <w:name w:val="Intense Quote"/>
    <w:basedOn w:val="1"/>
    <w:next w:val="1"/>
    <w:link w:val="158"/>
    <w:qFormat/>
    <w:uiPriority w:val="0"/>
    <w:pPr>
      <w:widowControl/>
      <w:ind w:left="720" w:right="720"/>
      <w:jc w:val="left"/>
    </w:pPr>
    <w:rPr>
      <w:rFonts w:ascii="Times New Roman"/>
      <w:b/>
      <w:i/>
      <w:kern w:val="0"/>
      <w:sz w:val="24"/>
      <w:szCs w:val="22"/>
    </w:rPr>
  </w:style>
  <w:style w:type="character" w:customStyle="1" w:styleId="160">
    <w:name w:val="正文文本 Char"/>
    <w:qFormat/>
    <w:uiPriority w:val="0"/>
    <w:rPr>
      <w:kern w:val="2"/>
      <w:sz w:val="21"/>
      <w:szCs w:val="22"/>
    </w:rPr>
  </w:style>
  <w:style w:type="character" w:customStyle="1" w:styleId="161">
    <w:name w:val="font21"/>
    <w:qFormat/>
    <w:uiPriority w:val="0"/>
    <w:rPr>
      <w:rFonts w:hint="eastAsia" w:ascii="仿宋_GB2312" w:eastAsia="仿宋_GB2312" w:cs="仿宋_GB2312"/>
      <w:color w:val="000000"/>
      <w:sz w:val="22"/>
      <w:szCs w:val="22"/>
      <w:u w:val="none"/>
    </w:rPr>
  </w:style>
  <w:style w:type="character" w:customStyle="1" w:styleId="162">
    <w:name w:val="页眉 Char"/>
    <w:qFormat/>
    <w:uiPriority w:val="0"/>
    <w:rPr>
      <w:sz w:val="18"/>
      <w:szCs w:val="18"/>
    </w:rPr>
  </w:style>
  <w:style w:type="character" w:customStyle="1" w:styleId="163">
    <w:name w:val="样式 正文缩进正文（首行缩进两字）特点ALT+Z表正文正文非缩进四号段1Normal Indent Char2... Char"/>
    <w:qFormat/>
    <w:uiPriority w:val="0"/>
    <w:rPr>
      <w:rFonts w:hint="eastAsia" w:ascii="宋体" w:hAnsi="宋体" w:eastAsia="黑体"/>
      <w:b/>
      <w:sz w:val="32"/>
      <w:lang w:val="en-US" w:eastAsia="zh-CN"/>
    </w:rPr>
  </w:style>
  <w:style w:type="character" w:customStyle="1" w:styleId="164">
    <w:name w:val="Char Char2"/>
    <w:qFormat/>
    <w:uiPriority w:val="0"/>
    <w:rPr>
      <w:rFonts w:hint="eastAsia" w:ascii="宋体" w:hAnsi="宋体" w:eastAsia="宋体"/>
      <w:kern w:val="2"/>
      <w:sz w:val="21"/>
      <w:szCs w:val="24"/>
      <w:lang w:val="en-US" w:eastAsia="zh-CN" w:bidi="ar-SA"/>
    </w:rPr>
  </w:style>
  <w:style w:type="character" w:customStyle="1" w:styleId="165">
    <w:name w:val="日期 Char"/>
    <w:qFormat/>
    <w:uiPriority w:val="0"/>
    <w:rPr>
      <w:kern w:val="2"/>
      <w:sz w:val="24"/>
    </w:rPr>
  </w:style>
  <w:style w:type="character" w:customStyle="1" w:styleId="166">
    <w:name w:val="标题6 Char"/>
    <w:link w:val="167"/>
    <w:qFormat/>
    <w:uiPriority w:val="0"/>
    <w:rPr>
      <w:rFonts w:ascii="宋体" w:hAnsi="宋体" w:eastAsia="黑体"/>
      <w:kern w:val="2"/>
      <w:sz w:val="32"/>
      <w:szCs w:val="32"/>
      <w:lang w:bidi="ar-SA"/>
    </w:rPr>
  </w:style>
  <w:style w:type="paragraph" w:customStyle="1" w:styleId="167">
    <w:name w:val="标题6"/>
    <w:basedOn w:val="1"/>
    <w:link w:val="166"/>
    <w:qFormat/>
    <w:uiPriority w:val="0"/>
    <w:pPr>
      <w:keepNext/>
      <w:keepLines/>
      <w:spacing w:line="400" w:lineRule="exact"/>
      <w:jc w:val="center"/>
      <w:outlineLvl w:val="2"/>
    </w:pPr>
    <w:rPr>
      <w:rFonts w:ascii="宋体" w:hAnsi="宋体" w:eastAsia="黑体"/>
      <w:sz w:val="32"/>
    </w:rPr>
  </w:style>
  <w:style w:type="character" w:customStyle="1" w:styleId="168">
    <w:name w:val="Body Text First Indent Char"/>
    <w:link w:val="169"/>
    <w:qFormat/>
    <w:uiPriority w:val="0"/>
    <w:rPr>
      <w:rFonts w:eastAsia="宋体"/>
      <w:sz w:val="24"/>
      <w:szCs w:val="24"/>
      <w:lang w:bidi="ar-SA"/>
    </w:rPr>
  </w:style>
  <w:style w:type="paragraph" w:customStyle="1" w:styleId="169">
    <w:name w:val="Body Text First Indent"/>
    <w:basedOn w:val="19"/>
    <w:link w:val="168"/>
    <w:qFormat/>
    <w:uiPriority w:val="0"/>
    <w:pPr>
      <w:ind w:firstLine="420" w:firstLineChars="100"/>
    </w:pPr>
    <w:rPr>
      <w:rFonts w:ascii="Times New Roman"/>
      <w:kern w:val="0"/>
      <w:sz w:val="24"/>
      <w:szCs w:val="24"/>
    </w:rPr>
  </w:style>
  <w:style w:type="character" w:customStyle="1" w:styleId="170">
    <w:name w:val="标提1 Char"/>
    <w:link w:val="171"/>
    <w:qFormat/>
    <w:uiPriority w:val="0"/>
    <w:rPr>
      <w:rFonts w:eastAsia="黑体"/>
      <w:b/>
      <w:kern w:val="44"/>
      <w:sz w:val="24"/>
      <w:szCs w:val="24"/>
      <w:lang w:val="en-US" w:eastAsia="zh-CN" w:bidi="ar-SA"/>
    </w:rPr>
  </w:style>
  <w:style w:type="paragraph" w:customStyle="1" w:styleId="171">
    <w:name w:val="标提1"/>
    <w:basedOn w:val="3"/>
    <w:next w:val="1"/>
    <w:link w:val="170"/>
    <w:qFormat/>
    <w:uiPriority w:val="0"/>
    <w:pPr>
      <w:spacing w:before="120" w:after="0" w:line="240" w:lineRule="auto"/>
    </w:pPr>
    <w:rPr>
      <w:rFonts w:ascii="Times New Roman" w:eastAsia="黑体"/>
      <w:bCs w:val="0"/>
      <w:sz w:val="24"/>
      <w:szCs w:val="24"/>
    </w:rPr>
  </w:style>
  <w:style w:type="character" w:customStyle="1" w:styleId="172">
    <w:name w:val=" Char Char16"/>
    <w:qFormat/>
    <w:uiPriority w:val="0"/>
    <w:rPr>
      <w:rFonts w:ascii="Arial" w:hAnsi="Arial" w:eastAsia="黑体"/>
      <w:b/>
      <w:bCs/>
      <w:sz w:val="24"/>
      <w:szCs w:val="24"/>
      <w:lang w:val="en-US" w:eastAsia="zh-CN" w:bidi="ar-SA"/>
    </w:rPr>
  </w:style>
  <w:style w:type="character" w:customStyle="1" w:styleId="173">
    <w:name w:val="文一 Char Char"/>
    <w:qFormat/>
    <w:uiPriority w:val="0"/>
    <w:rPr>
      <w:rFonts w:eastAsia="宋体"/>
      <w:snapToGrid w:val="0"/>
      <w:spacing w:val="4"/>
      <w:kern w:val="2"/>
      <w:sz w:val="24"/>
      <w:szCs w:val="24"/>
      <w:lang w:val="en-US" w:eastAsia="zh-CN" w:bidi="ar-SA"/>
    </w:rPr>
  </w:style>
  <w:style w:type="character" w:customStyle="1" w:styleId="174">
    <w:name w:val="文一 Char"/>
    <w:link w:val="175"/>
    <w:qFormat/>
    <w:uiPriority w:val="0"/>
    <w:rPr>
      <w:rFonts w:eastAsia="宋体"/>
      <w:snapToGrid w:val="0"/>
      <w:spacing w:val="4"/>
      <w:sz w:val="24"/>
      <w:szCs w:val="24"/>
      <w:lang w:val="en-US" w:eastAsia="zh-CN" w:bidi="ar-SA"/>
    </w:rPr>
  </w:style>
  <w:style w:type="paragraph" w:customStyle="1" w:styleId="175">
    <w:name w:val="文一"/>
    <w:basedOn w:val="1"/>
    <w:link w:val="174"/>
    <w:qFormat/>
    <w:uiPriority w:val="0"/>
    <w:pPr>
      <w:topLinePunct/>
      <w:adjustRightInd w:val="0"/>
      <w:snapToGrid w:val="0"/>
      <w:spacing w:line="360" w:lineRule="auto"/>
      <w:ind w:firstLine="200" w:firstLineChars="200"/>
    </w:pPr>
    <w:rPr>
      <w:rFonts w:ascii="Times New Roman"/>
      <w:snapToGrid w:val="0"/>
      <w:spacing w:val="4"/>
      <w:kern w:val="0"/>
      <w:sz w:val="24"/>
      <w:szCs w:val="24"/>
    </w:rPr>
  </w:style>
  <w:style w:type="character" w:customStyle="1" w:styleId="176">
    <w:name w:val="_Style 175"/>
    <w:qFormat/>
    <w:uiPriority w:val="0"/>
    <w:rPr>
      <w:rFonts w:hint="default" w:ascii="Cambria" w:hAnsi="Cambria" w:eastAsia="宋体"/>
      <w:b/>
      <w:i/>
      <w:sz w:val="24"/>
      <w:szCs w:val="24"/>
    </w:rPr>
  </w:style>
  <w:style w:type="character" w:customStyle="1" w:styleId="177">
    <w:name w:val=" Char Char26"/>
    <w:qFormat/>
    <w:locked/>
    <w:uiPriority w:val="0"/>
    <w:rPr>
      <w:rFonts w:ascii="Arial" w:hAnsi="Arial" w:eastAsia="宋体"/>
      <w:color w:val="000000"/>
      <w:kern w:val="2"/>
      <w:sz w:val="24"/>
      <w:szCs w:val="24"/>
      <w:lang w:val="en-US" w:eastAsia="zh-CN" w:bidi="ar-SA"/>
    </w:rPr>
  </w:style>
  <w:style w:type="character" w:customStyle="1" w:styleId="178">
    <w:name w:val="1、 Char"/>
    <w:qFormat/>
    <w:locked/>
    <w:uiPriority w:val="0"/>
    <w:rPr>
      <w:rFonts w:ascii="Arial" w:hAnsi="Arial" w:eastAsia="宋体"/>
      <w:color w:val="000000"/>
      <w:kern w:val="2"/>
      <w:sz w:val="24"/>
      <w:szCs w:val="24"/>
      <w:lang w:val="en-US" w:eastAsia="zh-CN" w:bidi="ar-SA"/>
    </w:rPr>
  </w:style>
  <w:style w:type="character" w:customStyle="1" w:styleId="179">
    <w:name w:val="批注文字 Char"/>
    <w:qFormat/>
    <w:uiPriority w:val="0"/>
    <w:rPr>
      <w:rFonts w:ascii="Times New Roman" w:hAnsi="Times New Roman"/>
      <w:kern w:val="2"/>
      <w:sz w:val="21"/>
      <w:szCs w:val="24"/>
    </w:rPr>
  </w:style>
  <w:style w:type="character" w:customStyle="1" w:styleId="180">
    <w:name w:val="正文文本缩进 Char"/>
    <w:qFormat/>
    <w:uiPriority w:val="0"/>
    <w:rPr>
      <w:kern w:val="2"/>
      <w:sz w:val="21"/>
      <w:szCs w:val="22"/>
    </w:rPr>
  </w:style>
  <w:style w:type="character" w:customStyle="1" w:styleId="181">
    <w:name w:val="标题 2 Char1"/>
    <w:qFormat/>
    <w:locked/>
    <w:uiPriority w:val="0"/>
    <w:rPr>
      <w:rFonts w:ascii="Arial" w:hAnsi="Arial" w:eastAsia="黑体"/>
      <w:b/>
      <w:bCs/>
      <w:sz w:val="32"/>
      <w:szCs w:val="32"/>
    </w:rPr>
  </w:style>
  <w:style w:type="character" w:customStyle="1" w:styleId="182">
    <w:name w:val="Char Char8"/>
    <w:qFormat/>
    <w:uiPriority w:val="0"/>
    <w:rPr>
      <w:rFonts w:hint="default" w:ascii="Arial" w:hAnsi="Arial" w:eastAsia="黑体" w:cs="Arial"/>
      <w:b/>
      <w:bCs/>
      <w:kern w:val="2"/>
      <w:sz w:val="32"/>
      <w:szCs w:val="32"/>
      <w:lang w:val="en-US" w:eastAsia="zh-CN" w:bidi="ar-SA"/>
    </w:rPr>
  </w:style>
  <w:style w:type="character" w:customStyle="1" w:styleId="183">
    <w:name w:val="样式 标题 3h3section:3Level 3 HeadH3level_3PIM 33rd level3H... Char"/>
    <w:link w:val="184"/>
    <w:qFormat/>
    <w:locked/>
    <w:uiPriority w:val="0"/>
    <w:rPr>
      <w:rFonts w:ascii="Arial" w:hAnsi="Arial"/>
      <w:b/>
      <w:kern w:val="2"/>
      <w:sz w:val="24"/>
      <w:szCs w:val="28"/>
      <w:lang w:bidi="ar-SA"/>
    </w:rPr>
  </w:style>
  <w:style w:type="paragraph" w:customStyle="1" w:styleId="184">
    <w:name w:val="样式 标题 3h3section:3Level 3 HeadH3level_3PIM 33rd level3H..."/>
    <w:basedOn w:val="5"/>
    <w:link w:val="183"/>
    <w:qFormat/>
    <w:uiPriority w:val="0"/>
    <w:pPr>
      <w:keepLines w:val="0"/>
      <w:widowControl/>
      <w:numPr>
        <w:ilvl w:val="3"/>
        <w:numId w:val="1"/>
      </w:numPr>
      <w:tabs>
        <w:tab w:val="left" w:pos="1680"/>
      </w:tabs>
      <w:adjustRightInd w:val="0"/>
      <w:spacing w:before="240" w:beforeLines="0" w:after="60" w:afterLines="0" w:line="416" w:lineRule="atLeast"/>
      <w:jc w:val="left"/>
    </w:pPr>
    <w:rPr>
      <w:rFonts w:ascii="Arial" w:hAnsi="Arial"/>
      <w:color w:val="auto"/>
      <w:szCs w:val="28"/>
    </w:rPr>
  </w:style>
  <w:style w:type="character" w:customStyle="1" w:styleId="185">
    <w:name w:val="标题 1 Char"/>
    <w:qFormat/>
    <w:uiPriority w:val="0"/>
    <w:rPr>
      <w:rFonts w:ascii="Arial" w:hAnsi="Arial" w:eastAsia="宋体"/>
      <w:b/>
      <w:bCs/>
      <w:color w:val="000000"/>
      <w:kern w:val="44"/>
      <w:sz w:val="30"/>
      <w:szCs w:val="30"/>
      <w:lang w:val="en-US" w:eastAsia="zh-CN" w:bidi="ar-SA"/>
    </w:rPr>
  </w:style>
  <w:style w:type="character" w:customStyle="1" w:styleId="186">
    <w:name w:val="标题 6 Char"/>
    <w:qFormat/>
    <w:uiPriority w:val="0"/>
    <w:rPr>
      <w:rFonts w:ascii="Arial" w:hAnsi="Arial" w:eastAsia="黑体"/>
      <w:b/>
      <w:bCs/>
      <w:sz w:val="24"/>
      <w:szCs w:val="22"/>
    </w:rPr>
  </w:style>
  <w:style w:type="character" w:customStyle="1" w:styleId="187">
    <w:name w:val="style6"/>
    <w:qFormat/>
    <w:uiPriority w:val="0"/>
  </w:style>
  <w:style w:type="character" w:customStyle="1" w:styleId="188">
    <w:name w:val="副标题 Char1"/>
    <w:qFormat/>
    <w:uiPriority w:val="0"/>
    <w:rPr>
      <w:rFonts w:hint="default" w:ascii="Cambria" w:hAnsi="Cambria" w:cs="Times New Roman"/>
      <w:b/>
      <w:bCs/>
      <w:kern w:val="28"/>
      <w:sz w:val="32"/>
      <w:szCs w:val="32"/>
    </w:rPr>
  </w:style>
  <w:style w:type="character" w:customStyle="1" w:styleId="189">
    <w:name w:val="标题 2 Char"/>
    <w:qFormat/>
    <w:uiPriority w:val="0"/>
    <w:rPr>
      <w:rFonts w:ascii="Arial" w:hAnsi="Arial" w:eastAsia="黑体"/>
      <w:b/>
      <w:kern w:val="2"/>
      <w:sz w:val="32"/>
    </w:rPr>
  </w:style>
  <w:style w:type="character" w:customStyle="1" w:styleId="190">
    <w:name w:val="标题 8题注(表格) Char"/>
    <w:qFormat/>
    <w:locked/>
    <w:uiPriority w:val="0"/>
    <w:rPr>
      <w:rFonts w:ascii="Arial" w:hAnsi="Arial" w:eastAsia="黑体"/>
      <w:kern w:val="2"/>
      <w:sz w:val="24"/>
      <w:lang w:val="en-US" w:eastAsia="zh-CN" w:bidi="ar-SA"/>
    </w:rPr>
  </w:style>
  <w:style w:type="character" w:customStyle="1" w:styleId="191">
    <w:name w:val="文档结构图 Char"/>
    <w:qFormat/>
    <w:uiPriority w:val="0"/>
    <w:rPr>
      <w:kern w:val="2"/>
      <w:sz w:val="21"/>
      <w:szCs w:val="22"/>
      <w:shd w:val="clear" w:color="auto" w:fill="000080"/>
    </w:rPr>
  </w:style>
  <w:style w:type="character" w:customStyle="1" w:styleId="192">
    <w:name w:val="标题 5 Char"/>
    <w:qFormat/>
    <w:uiPriority w:val="0"/>
    <w:rPr>
      <w:rFonts w:ascii="Arial" w:hAnsi="Arial" w:eastAsia="黑体"/>
      <w:bCs/>
      <w:kern w:val="2"/>
      <w:sz w:val="24"/>
      <w:szCs w:val="32"/>
    </w:rPr>
  </w:style>
  <w:style w:type="character" w:customStyle="1" w:styleId="193">
    <w:name w:val="尾注文本 Char"/>
    <w:qFormat/>
    <w:uiPriority w:val="0"/>
    <w:rPr>
      <w:kern w:val="2"/>
      <w:sz w:val="21"/>
      <w:szCs w:val="24"/>
    </w:rPr>
  </w:style>
  <w:style w:type="character" w:customStyle="1" w:styleId="194">
    <w:name w:val="普通文字 Char Char"/>
    <w:qFormat/>
    <w:uiPriority w:val="0"/>
    <w:rPr>
      <w:rFonts w:ascii="Courier New" w:eastAsia="宋体" w:cs="Proxy 9"/>
      <w:kern w:val="2"/>
      <w:sz w:val="21"/>
      <w:lang w:val="en-US" w:eastAsia="zh-CN" w:bidi="ar-SA"/>
    </w:rPr>
  </w:style>
  <w:style w:type="paragraph" w:customStyle="1" w:styleId="195">
    <w:name w:val="样式 正文缩进正文（首行缩进两字）特点ALT+Z表正文正文非缩进四号段1Normal Indent Char2..."/>
    <w:basedOn w:val="4"/>
    <w:next w:val="5"/>
    <w:qFormat/>
    <w:uiPriority w:val="0"/>
    <w:pPr>
      <w:tabs>
        <w:tab w:val="left" w:pos="840"/>
      </w:tabs>
      <w:spacing w:before="240" w:after="120" w:line="400" w:lineRule="exact"/>
      <w:ind w:left="840" w:hanging="420"/>
      <w:jc w:val="center"/>
    </w:pPr>
    <w:rPr>
      <w:rFonts w:ascii="宋体" w:hAnsi="宋体"/>
      <w:kern w:val="0"/>
      <w:szCs w:val="20"/>
    </w:rPr>
  </w:style>
  <w:style w:type="paragraph" w:customStyle="1" w:styleId="196">
    <w:name w:val="样式 标题 1 + 宋体 居中 段前: 48 磅 段后: 12 磅 行距: 1.5 倍行距"/>
    <w:basedOn w:val="3"/>
    <w:qFormat/>
    <w:uiPriority w:val="0"/>
    <w:pPr>
      <w:snapToGrid w:val="0"/>
      <w:spacing w:before="1560" w:after="240" w:line="360" w:lineRule="auto"/>
      <w:jc w:val="center"/>
    </w:pPr>
    <w:rPr>
      <w:rFonts w:ascii="宋体" w:hAnsi="宋体"/>
      <w:b w:val="0"/>
      <w:kern w:val="2"/>
      <w:sz w:val="36"/>
      <w:szCs w:val="20"/>
    </w:rPr>
  </w:style>
  <w:style w:type="paragraph" w:customStyle="1" w:styleId="197">
    <w:name w:val=" Char14"/>
    <w:basedOn w:val="16"/>
    <w:qFormat/>
    <w:uiPriority w:val="0"/>
    <w:rPr>
      <w:rFonts w:ascii="Tahoma" w:hAnsi="Tahoma"/>
      <w:sz w:val="24"/>
      <w:szCs w:val="24"/>
    </w:rPr>
  </w:style>
  <w:style w:type="paragraph" w:customStyle="1" w:styleId="198">
    <w:name w:val="章节二"/>
    <w:basedOn w:val="175"/>
    <w:next w:val="175"/>
    <w:qFormat/>
    <w:uiPriority w:val="0"/>
    <w:pPr>
      <w:spacing w:beforeLines="50" w:afterLines="50" w:line="240" w:lineRule="auto"/>
      <w:ind w:firstLine="0" w:firstLineChars="0"/>
      <w:jc w:val="center"/>
      <w:outlineLvl w:val="1"/>
    </w:pPr>
    <w:rPr>
      <w:rFonts w:eastAsia="黑体"/>
      <w:b/>
      <w:sz w:val="30"/>
      <w:szCs w:val="30"/>
    </w:rPr>
  </w:style>
  <w:style w:type="paragraph" w:customStyle="1" w:styleId="199">
    <w:name w:val="表格"/>
    <w:basedOn w:val="1"/>
    <w:qFormat/>
    <w:uiPriority w:val="0"/>
    <w:pPr>
      <w:jc w:val="center"/>
    </w:pPr>
    <w:rPr>
      <w:rFonts w:ascii="华文细黑" w:hAnsi="华文细黑"/>
      <w:kern w:val="0"/>
      <w:szCs w:val="20"/>
    </w:rPr>
  </w:style>
  <w:style w:type="paragraph" w:customStyle="1" w:styleId="20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01">
    <w:name w:val="默认段落字体 Para Char"/>
    <w:basedOn w:val="1"/>
    <w:qFormat/>
    <w:uiPriority w:val="0"/>
    <w:pPr>
      <w:spacing w:line="360" w:lineRule="auto"/>
      <w:jc w:val="left"/>
    </w:pPr>
    <w:rPr>
      <w:rFonts w:ascii="Times New Roman" w:eastAsia="仿宋_GB2312"/>
      <w:b/>
      <w:sz w:val="32"/>
      <w:szCs w:val="24"/>
    </w:rPr>
  </w:style>
  <w:style w:type="paragraph" w:customStyle="1" w:styleId="202">
    <w:name w:val="日期1"/>
    <w:basedOn w:val="1"/>
    <w:next w:val="1"/>
    <w:qFormat/>
    <w:uiPriority w:val="0"/>
    <w:pPr>
      <w:suppressAutoHyphens/>
      <w:ind w:left="100"/>
    </w:pPr>
    <w:rPr>
      <w:rFonts w:ascii="Times New Roman"/>
      <w:kern w:val="1"/>
      <w:szCs w:val="20"/>
      <w:lang w:eastAsia="ar-SA"/>
    </w:rPr>
  </w:style>
  <w:style w:type="paragraph" w:customStyle="1" w:styleId="203">
    <w:name w:val="文二"/>
    <w:basedOn w:val="1"/>
    <w:qFormat/>
    <w:uiPriority w:val="0"/>
    <w:pPr>
      <w:jc w:val="left"/>
    </w:pPr>
    <w:rPr>
      <w:rFonts w:ascii="宋体" w:hAnsi="宋体"/>
      <w:szCs w:val="21"/>
    </w:rPr>
  </w:style>
  <w:style w:type="paragraph" w:customStyle="1" w:styleId="204">
    <w:name w:val="纯文本1"/>
    <w:basedOn w:val="1"/>
    <w:qFormat/>
    <w:uiPriority w:val="0"/>
    <w:pPr>
      <w:suppressAutoHyphens/>
    </w:pPr>
    <w:rPr>
      <w:rFonts w:ascii="宋体" w:hAnsi="宋体"/>
      <w:kern w:val="1"/>
      <w:szCs w:val="20"/>
      <w:lang w:eastAsia="ar-SA"/>
    </w:rPr>
  </w:style>
  <w:style w:type="paragraph" w:customStyle="1" w:styleId="205">
    <w:name w:val="标签"/>
    <w:basedOn w:val="1"/>
    <w:qFormat/>
    <w:uiPriority w:val="0"/>
    <w:pPr>
      <w:suppressLineNumbers/>
      <w:suppressAutoHyphens/>
      <w:spacing w:before="120" w:after="120"/>
    </w:pPr>
    <w:rPr>
      <w:rFonts w:ascii="Times New Roman"/>
      <w:i/>
      <w:iCs/>
      <w:kern w:val="1"/>
      <w:sz w:val="24"/>
      <w:szCs w:val="24"/>
      <w:lang w:eastAsia="ar-SA"/>
    </w:rPr>
  </w:style>
  <w:style w:type="paragraph" w:styleId="206">
    <w:name w:val="List Paragraph"/>
    <w:basedOn w:val="1"/>
    <w:qFormat/>
    <w:uiPriority w:val="0"/>
    <w:pPr>
      <w:ind w:firstLine="420" w:firstLineChars="200"/>
    </w:pPr>
    <w:rPr>
      <w:rFonts w:ascii="Times New Roman"/>
      <w:szCs w:val="22"/>
    </w:rPr>
  </w:style>
  <w:style w:type="paragraph" w:customStyle="1" w:styleId="207">
    <w:name w:val="样式 正文缩进正文（首行缩进两字）特点ALT+Z表正文正文非缩进四号段1Normal Indent Char2...4"/>
    <w:basedOn w:val="20"/>
    <w:qFormat/>
    <w:uiPriority w:val="0"/>
    <w:pPr>
      <w:tabs>
        <w:tab w:val="left" w:pos="510"/>
        <w:tab w:val="left" w:pos="2520"/>
      </w:tabs>
      <w:spacing w:line="300" w:lineRule="auto"/>
      <w:ind w:left="2520" w:hanging="420"/>
    </w:pPr>
    <w:rPr>
      <w:rFonts w:hAnsi="宋体" w:eastAsia="宋体"/>
      <w:kern w:val="0"/>
      <w:sz w:val="24"/>
      <w:lang w:val="en-US" w:eastAsia="zh-CN"/>
    </w:rPr>
  </w:style>
  <w:style w:type="paragraph" w:customStyle="1" w:styleId="208">
    <w:name w:val="BodyText"/>
    <w:basedOn w:val="1"/>
    <w:qFormat/>
    <w:uiPriority w:val="0"/>
    <w:pPr>
      <w:spacing w:after="120"/>
    </w:pPr>
    <w:rPr>
      <w:rFonts w:ascii="Times New Roman" w:hAnsi="Times New Roman"/>
      <w:kern w:val="0"/>
      <w:sz w:val="20"/>
      <w:szCs w:val="20"/>
    </w:rPr>
  </w:style>
  <w:style w:type="paragraph" w:customStyle="1" w:styleId="209">
    <w:name w:val="ÕýÎÄ"/>
    <w:qFormat/>
    <w:uiPriority w:val="0"/>
    <w:pPr>
      <w:widowControl w:val="0"/>
      <w:overflowPunct w:val="0"/>
      <w:autoSpaceDE w:val="0"/>
      <w:autoSpaceDN w:val="0"/>
      <w:adjustRightInd w:val="0"/>
      <w:spacing w:line="357" w:lineRule="atLeast"/>
      <w:jc w:val="both"/>
    </w:pPr>
    <w:rPr>
      <w:rFonts w:ascii="Times New Roman" w:hAnsi="Times New Roman" w:eastAsia="宋体" w:cs="Times New Roman"/>
      <w:color w:val="000000"/>
      <w:sz w:val="21"/>
      <w:lang w:val="en-US" w:eastAsia="zh-CN" w:bidi="ar-SA"/>
    </w:rPr>
  </w:style>
  <w:style w:type="paragraph" w:customStyle="1" w:styleId="210">
    <w:name w:val="样式8"/>
    <w:basedOn w:val="1"/>
    <w:qFormat/>
    <w:uiPriority w:val="0"/>
    <w:pPr>
      <w:keepNext/>
      <w:keepLines/>
      <w:widowControl/>
      <w:spacing w:before="260" w:after="260"/>
      <w:jc w:val="center"/>
      <w:outlineLvl w:val="1"/>
    </w:pPr>
    <w:rPr>
      <w:rFonts w:ascii="Arial" w:hAnsi="Arial" w:eastAsia="黑体"/>
      <w:b/>
      <w:bCs/>
      <w:kern w:val="0"/>
      <w:sz w:val="72"/>
    </w:rPr>
  </w:style>
  <w:style w:type="paragraph" w:customStyle="1" w:styleId="211">
    <w:name w:val="发文落款"/>
    <w:basedOn w:val="200"/>
    <w:qFormat/>
    <w:uiPriority w:val="0"/>
    <w:pPr>
      <w:ind w:left="4094" w:right="607" w:firstLine="0"/>
      <w:jc w:val="center"/>
    </w:pPr>
  </w:style>
  <w:style w:type="paragraph" w:customStyle="1" w:styleId="212">
    <w:name w:val="正题"/>
    <w:basedOn w:val="175"/>
    <w:next w:val="175"/>
    <w:qFormat/>
    <w:uiPriority w:val="0"/>
    <w:pPr>
      <w:ind w:firstLine="0" w:firstLineChars="0"/>
      <w:jc w:val="center"/>
    </w:pPr>
    <w:rPr>
      <w:rFonts w:eastAsia="黑体"/>
      <w:b/>
      <w:sz w:val="36"/>
      <w:szCs w:val="36"/>
    </w:rPr>
  </w:style>
  <w:style w:type="paragraph" w:customStyle="1" w:styleId="213">
    <w:name w:val="正文文本缩进 31"/>
    <w:basedOn w:val="1"/>
    <w:qFormat/>
    <w:uiPriority w:val="0"/>
    <w:pPr>
      <w:suppressAutoHyphens/>
      <w:spacing w:after="120"/>
      <w:ind w:left="420"/>
    </w:pPr>
    <w:rPr>
      <w:rFonts w:ascii="Times New Roman"/>
      <w:kern w:val="1"/>
      <w:sz w:val="16"/>
      <w:szCs w:val="20"/>
      <w:lang w:eastAsia="ar-SA"/>
    </w:rPr>
  </w:style>
  <w:style w:type="paragraph" w:customStyle="1" w:styleId="214">
    <w:name w:val="文提"/>
    <w:basedOn w:val="175"/>
    <w:qFormat/>
    <w:uiPriority w:val="0"/>
    <w:pPr>
      <w:ind w:firstLine="0" w:firstLineChars="0"/>
    </w:pPr>
    <w:rPr>
      <w:rFonts w:eastAsia="黑体" w:cs="宋体"/>
      <w:b/>
    </w:rPr>
  </w:style>
  <w:style w:type="paragraph" w:customStyle="1" w:styleId="215">
    <w:name w:val="公文标题"/>
    <w:basedOn w:val="5"/>
    <w:qFormat/>
    <w:uiPriority w:val="0"/>
    <w:pPr>
      <w:spacing w:beforeLines="0" w:afterLines="0" w:line="240" w:lineRule="auto"/>
      <w:ind w:left="1469" w:right="1542"/>
    </w:pPr>
    <w:rPr>
      <w:color w:val="auto"/>
      <w:sz w:val="44"/>
    </w:rPr>
  </w:style>
  <w:style w:type="paragraph" w:customStyle="1" w:styleId="216">
    <w:name w:val="Normal_1"/>
    <w:qFormat/>
    <w:uiPriority w:val="0"/>
    <w:rPr>
      <w:rFonts w:ascii="Times New Roman" w:hAnsi="Times New Roman" w:eastAsia="Times New Roman" w:cs="Times New Roman"/>
      <w:sz w:val="24"/>
      <w:szCs w:val="24"/>
      <w:lang w:val="en-US" w:eastAsia="zh-CN" w:bidi="ar-SA"/>
    </w:rPr>
  </w:style>
  <w:style w:type="paragraph" w:customStyle="1" w:styleId="217">
    <w:name w:val="cjk"/>
    <w:basedOn w:val="1"/>
    <w:qFormat/>
    <w:uiPriority w:val="0"/>
    <w:pPr>
      <w:widowControl/>
      <w:spacing w:before="284" w:after="100" w:afterAutospacing="1" w:line="360" w:lineRule="auto"/>
      <w:jc w:val="left"/>
    </w:pPr>
    <w:rPr>
      <w:rFonts w:ascii="宋体" w:hAnsi="宋体"/>
      <w:kern w:val="0"/>
      <w:sz w:val="22"/>
      <w:szCs w:val="22"/>
    </w:rPr>
  </w:style>
  <w:style w:type="paragraph" w:customStyle="1" w:styleId="218">
    <w:name w:val="列表项目符号 21"/>
    <w:basedOn w:val="219"/>
    <w:qFormat/>
    <w:uiPriority w:val="0"/>
    <w:pPr>
      <w:widowControl/>
      <w:tabs>
        <w:tab w:val="left" w:pos="360"/>
      </w:tabs>
      <w:spacing w:after="220" w:line="220" w:lineRule="atLeast"/>
      <w:ind w:left="360" w:right="720"/>
      <w:jc w:val="left"/>
    </w:pPr>
  </w:style>
  <w:style w:type="paragraph" w:customStyle="1" w:styleId="219">
    <w:name w:val="列表项目符号1"/>
    <w:basedOn w:val="1"/>
    <w:qFormat/>
    <w:uiPriority w:val="0"/>
    <w:pPr>
      <w:tabs>
        <w:tab w:val="left" w:pos="360"/>
      </w:tabs>
      <w:suppressAutoHyphens/>
    </w:pPr>
    <w:rPr>
      <w:rFonts w:ascii="Times New Roman"/>
      <w:kern w:val="1"/>
      <w:szCs w:val="20"/>
      <w:lang w:eastAsia="ar-SA"/>
    </w:rPr>
  </w:style>
  <w:style w:type="paragraph" w:customStyle="1" w:styleId="22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szCs w:val="20"/>
    </w:rPr>
  </w:style>
  <w:style w:type="paragraph" w:customStyle="1" w:styleId="221">
    <w:name w:val=" Char5 Char Char Char Char Char Char Char Char Char Char Char Char Char Char Char Char Char Char Char Char1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2">
    <w:name w:val="Normal_0"/>
    <w:qFormat/>
    <w:uiPriority w:val="0"/>
    <w:rPr>
      <w:rFonts w:ascii="Times New Roman" w:hAnsi="Times New Roman" w:eastAsia="Times New Roman" w:cs="Times New Roman"/>
      <w:sz w:val="24"/>
      <w:szCs w:val="24"/>
      <w:lang w:val="en-US" w:eastAsia="zh-CN" w:bidi="ar-SA"/>
    </w:rPr>
  </w:style>
  <w:style w:type="paragraph" w:customStyle="1" w:styleId="223">
    <w:name w:val="封四"/>
    <w:basedOn w:val="175"/>
    <w:next w:val="175"/>
    <w:qFormat/>
    <w:uiPriority w:val="0"/>
    <w:pPr>
      <w:jc w:val="left"/>
    </w:pPr>
    <w:rPr>
      <w:sz w:val="30"/>
      <w:szCs w:val="30"/>
    </w:rPr>
  </w:style>
  <w:style w:type="paragraph" w:customStyle="1" w:styleId="224">
    <w:name w:val="表格文字"/>
    <w:basedOn w:val="1"/>
    <w:qFormat/>
    <w:uiPriority w:val="0"/>
    <w:pPr>
      <w:adjustRightInd w:val="0"/>
      <w:spacing w:line="420" w:lineRule="atLeast"/>
      <w:jc w:val="left"/>
    </w:pPr>
    <w:rPr>
      <w:rFonts w:ascii="Times New Roman"/>
      <w:kern w:val="0"/>
      <w:szCs w:val="20"/>
    </w:rPr>
  </w:style>
  <w:style w:type="paragraph" w:customStyle="1" w:styleId="225">
    <w:name w:val="Normal_3"/>
    <w:qFormat/>
    <w:uiPriority w:val="0"/>
    <w:rPr>
      <w:rFonts w:ascii="Times New Roman" w:hAnsi="Times New Roman" w:eastAsia="Times New Roman" w:cs="Times New Roman"/>
      <w:sz w:val="24"/>
      <w:szCs w:val="24"/>
      <w:lang w:val="en-US" w:eastAsia="zh-CN" w:bidi="ar-SA"/>
    </w:rPr>
  </w:style>
  <w:style w:type="paragraph" w:customStyle="1" w:styleId="226">
    <w:name w:val="样式 正文缩进正文（首行缩进两字）特点ALT+Z表正文正文非缩进四号段1Normal Indent Char2...1"/>
    <w:basedOn w:val="4"/>
    <w:qFormat/>
    <w:uiPriority w:val="0"/>
    <w:pPr>
      <w:tabs>
        <w:tab w:val="left" w:pos="1260"/>
      </w:tabs>
      <w:spacing w:before="1320" w:after="240" w:line="300" w:lineRule="auto"/>
      <w:ind w:left="1260" w:hanging="420"/>
      <w:jc w:val="center"/>
    </w:pPr>
    <w:rPr>
      <w:kern w:val="0"/>
      <w:szCs w:val="20"/>
    </w:rPr>
  </w:style>
  <w:style w:type="paragraph" w:customStyle="1" w:styleId="227">
    <w:name w:val="_Style 226"/>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28">
    <w:name w:val="目录文字"/>
    <w:basedOn w:val="1"/>
    <w:qFormat/>
    <w:uiPriority w:val="0"/>
    <w:pPr>
      <w:widowControl/>
      <w:spacing w:line="480" w:lineRule="auto"/>
      <w:jc w:val="left"/>
    </w:pPr>
    <w:rPr>
      <w:rFonts w:ascii="宋体" w:hAnsi="宋体"/>
      <w:kern w:val="0"/>
      <w:sz w:val="24"/>
      <w:szCs w:val="20"/>
    </w:rPr>
  </w:style>
  <w:style w:type="paragraph" w:customStyle="1" w:styleId="22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30">
    <w:name w:val="样式 标题 1 + 小三"/>
    <w:basedOn w:val="3"/>
    <w:qFormat/>
    <w:uiPriority w:val="0"/>
    <w:pPr>
      <w:spacing w:line="240" w:lineRule="auto"/>
      <w:jc w:val="center"/>
    </w:pPr>
    <w:rPr>
      <w:rFonts w:ascii="Times New Roman"/>
      <w:sz w:val="30"/>
    </w:rPr>
  </w:style>
  <w:style w:type="paragraph" w:customStyle="1" w:styleId="231">
    <w:name w:val="样式 标题 3 + (中文) 黑体 小四 非加粗 段前: 7.8 磅 段后: 0 磅 行距: 固定值 20 磅"/>
    <w:basedOn w:val="5"/>
    <w:qFormat/>
    <w:uiPriority w:val="0"/>
    <w:pPr>
      <w:spacing w:beforeLines="0" w:afterLines="0" w:line="400" w:lineRule="exact"/>
      <w:jc w:val="both"/>
    </w:pPr>
    <w:rPr>
      <w:rFonts w:eastAsia="黑体"/>
      <w:b w:val="0"/>
      <w:bCs/>
      <w:color w:val="auto"/>
      <w:szCs w:val="20"/>
    </w:rPr>
  </w:style>
  <w:style w:type="paragraph" w:customStyle="1" w:styleId="232">
    <w:name w:val="表格文字居中"/>
    <w:basedOn w:val="1"/>
    <w:next w:val="1"/>
    <w:qFormat/>
    <w:uiPriority w:val="0"/>
    <w:pPr>
      <w:tabs>
        <w:tab w:val="left" w:pos="720"/>
        <w:tab w:val="left" w:pos="900"/>
      </w:tabs>
      <w:adjustRightInd w:val="0"/>
      <w:snapToGrid w:val="0"/>
      <w:spacing w:before="62" w:beforeLines="20" w:after="62" w:afterLines="20" w:line="360" w:lineRule="auto"/>
      <w:jc w:val="center"/>
    </w:pPr>
    <w:rPr>
      <w:rFonts w:ascii="宋体" w:hAnsi="Arial"/>
      <w:kern w:val="0"/>
      <w:sz w:val="18"/>
      <w:szCs w:val="20"/>
    </w:rPr>
  </w:style>
  <w:style w:type="paragraph" w:customStyle="1" w:styleId="233">
    <w:name w:val=" Char2 Char Char Char"/>
    <w:basedOn w:val="1"/>
    <w:qFormat/>
    <w:uiPriority w:val="0"/>
    <w:pPr>
      <w:numPr>
        <w:ilvl w:val="0"/>
        <w:numId w:val="1"/>
      </w:numPr>
    </w:pPr>
    <w:rPr>
      <w:rFonts w:ascii="Times New Roman"/>
      <w:sz w:val="24"/>
      <w:szCs w:val="24"/>
    </w:rPr>
  </w:style>
  <w:style w:type="paragraph" w:customStyle="1" w:styleId="234">
    <w:name w:val="方框图"/>
    <w:basedOn w:val="1"/>
    <w:qFormat/>
    <w:uiPriority w:val="0"/>
    <w:pPr>
      <w:jc w:val="center"/>
    </w:pPr>
    <w:rPr>
      <w:rFonts w:ascii="Times New Roman"/>
      <w:bCs/>
      <w:szCs w:val="24"/>
    </w:rPr>
  </w:style>
  <w:style w:type="paragraph" w:customStyle="1" w:styleId="235">
    <w:name w:val="xl44"/>
    <w:basedOn w:val="1"/>
    <w:qFormat/>
    <w:uiPriority w:val="0"/>
    <w:pPr>
      <w:widowControl/>
      <w:pBdr>
        <w:left w:val="single" w:color="auto" w:sz="4" w:space="0"/>
        <w:right w:val="single" w:color="auto" w:sz="4" w:space="0"/>
      </w:pBdr>
      <w:spacing w:before="100" w:beforeAutospacing="1" w:after="100" w:afterAutospacing="1"/>
      <w:jc w:val="center"/>
    </w:pPr>
    <w:rPr>
      <w:rFonts w:hint="eastAsia" w:ascii="宋体" w:hAnsi="宋体"/>
      <w:kern w:val="0"/>
      <w:sz w:val="24"/>
      <w:szCs w:val="20"/>
    </w:rPr>
  </w:style>
  <w:style w:type="paragraph" w:customStyle="1" w:styleId="236">
    <w:name w:val="Char Char Char1 Char"/>
    <w:basedOn w:val="16"/>
    <w:qFormat/>
    <w:uiPriority w:val="0"/>
    <w:rPr>
      <w:rFonts w:ascii="Tahoma" w:hAnsi="Tahoma"/>
      <w:sz w:val="24"/>
      <w:szCs w:val="24"/>
    </w:rPr>
  </w:style>
  <w:style w:type="paragraph" w:customStyle="1" w:styleId="237">
    <w:name w:val="Normal"/>
    <w:qFormat/>
    <w:uiPriority w:val="0"/>
    <w:rPr>
      <w:rFonts w:ascii="Times New Roman" w:hAnsi="Times New Roman" w:eastAsia="Times New Roman" w:cs="Times New Roman"/>
      <w:sz w:val="24"/>
      <w:szCs w:val="24"/>
      <w:lang w:val="en-US" w:eastAsia="zh-CN" w:bidi="ar-SA"/>
    </w:rPr>
  </w:style>
  <w:style w:type="paragraph" w:customStyle="1" w:styleId="238">
    <w:name w:val="封一"/>
    <w:basedOn w:val="175"/>
    <w:next w:val="175"/>
    <w:qFormat/>
    <w:uiPriority w:val="0"/>
    <w:pPr>
      <w:ind w:firstLine="0" w:firstLineChars="0"/>
      <w:jc w:val="center"/>
    </w:pPr>
    <w:rPr>
      <w:rFonts w:eastAsia="黑体"/>
      <w:b/>
      <w:sz w:val="84"/>
      <w:szCs w:val="84"/>
    </w:rPr>
  </w:style>
  <w:style w:type="paragraph" w:customStyle="1" w:styleId="239">
    <w:name w:val="目录"/>
    <w:basedOn w:val="1"/>
    <w:qFormat/>
    <w:uiPriority w:val="0"/>
    <w:pPr>
      <w:suppressLineNumbers/>
      <w:suppressAutoHyphens/>
    </w:pPr>
    <w:rPr>
      <w:rFonts w:ascii="Times New Roman"/>
      <w:kern w:val="1"/>
      <w:szCs w:val="20"/>
      <w:lang w:eastAsia="ar-SA"/>
    </w:rPr>
  </w:style>
  <w:style w:type="paragraph" w:customStyle="1" w:styleId="240">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41">
    <w:name w:val=" Char4 Char Char Char"/>
    <w:basedOn w:val="1"/>
    <w:qFormat/>
    <w:uiPriority w:val="0"/>
    <w:pPr>
      <w:ind w:left="567" w:hanging="279"/>
    </w:pPr>
    <w:rPr>
      <w:rFonts w:ascii="Times New Roman"/>
      <w:sz w:val="24"/>
      <w:szCs w:val="24"/>
    </w:rPr>
  </w:style>
  <w:style w:type="paragraph" w:customStyle="1" w:styleId="242">
    <w:name w:val=" Char Char Char Char Char Char1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43">
    <w:name w:val=" Char1"/>
    <w:basedOn w:val="1"/>
    <w:qFormat/>
    <w:uiPriority w:val="0"/>
    <w:pPr>
      <w:ind w:left="567" w:hanging="279"/>
    </w:pPr>
    <w:rPr>
      <w:rFonts w:ascii="Times New Roman"/>
      <w:sz w:val="24"/>
      <w:szCs w:val="24"/>
    </w:rPr>
  </w:style>
  <w:style w:type="paragraph" w:customStyle="1" w:styleId="244">
    <w:name w:val="标题1"/>
    <w:basedOn w:val="1"/>
    <w:next w:val="19"/>
    <w:qFormat/>
    <w:uiPriority w:val="0"/>
    <w:pPr>
      <w:keepNext/>
      <w:suppressAutoHyphens/>
      <w:spacing w:before="240" w:after="120"/>
    </w:pPr>
    <w:rPr>
      <w:rFonts w:ascii="DejaVu Sans" w:hAnsi="DejaVu Sans" w:eastAsia="DejaVu Sans" w:cs="DejaVu Sans"/>
      <w:kern w:val="1"/>
      <w:sz w:val="28"/>
      <w:szCs w:val="28"/>
      <w:lang w:eastAsia="ar-SA"/>
    </w:rPr>
  </w:style>
  <w:style w:type="paragraph" w:customStyle="1" w:styleId="245">
    <w:name w:val=" Char5 Char Char"/>
    <w:basedOn w:val="1"/>
    <w:qFormat/>
    <w:uiPriority w:val="0"/>
    <w:pPr>
      <w:ind w:left="567" w:hanging="279"/>
    </w:pPr>
    <w:rPr>
      <w:rFonts w:ascii="Times New Roman"/>
      <w:sz w:val="24"/>
      <w:szCs w:val="24"/>
    </w:rPr>
  </w:style>
  <w:style w:type="paragraph" w:customStyle="1" w:styleId="246">
    <w:name w:val="Char13 Char Char Char Char Char"/>
    <w:basedOn w:val="1"/>
    <w:qFormat/>
    <w:uiPriority w:val="0"/>
    <w:pPr>
      <w:ind w:left="567" w:hanging="279"/>
    </w:pPr>
    <w:rPr>
      <w:rFonts w:ascii="Times New Roman"/>
      <w:kern w:val="0"/>
      <w:sz w:val="20"/>
      <w:szCs w:val="20"/>
    </w:rPr>
  </w:style>
  <w:style w:type="paragraph" w:customStyle="1" w:styleId="247">
    <w:name w:val="Body Text 2"/>
    <w:basedOn w:val="1"/>
    <w:qFormat/>
    <w:uiPriority w:val="0"/>
    <w:pPr>
      <w:autoSpaceDE w:val="0"/>
      <w:autoSpaceDN w:val="0"/>
      <w:adjustRightInd w:val="0"/>
      <w:spacing w:line="380" w:lineRule="atLeast"/>
      <w:textAlignment w:val="baseline"/>
    </w:pPr>
    <w:rPr>
      <w:rFonts w:ascii="Times New Roman"/>
      <w:spacing w:val="10"/>
      <w:kern w:val="0"/>
      <w:sz w:val="24"/>
      <w:szCs w:val="20"/>
    </w:rPr>
  </w:style>
  <w:style w:type="paragraph" w:customStyle="1" w:styleId="248">
    <w:name w:val="Address"/>
    <w:basedOn w:val="1"/>
    <w:next w:val="1"/>
    <w:qFormat/>
    <w:uiPriority w:val="0"/>
    <w:pPr>
      <w:widowControl/>
      <w:autoSpaceDE w:val="0"/>
      <w:autoSpaceDN w:val="0"/>
      <w:adjustRightInd w:val="0"/>
      <w:jc w:val="left"/>
    </w:pPr>
    <w:rPr>
      <w:rFonts w:ascii="Times New Roman"/>
      <w:i/>
      <w:kern w:val="0"/>
      <w:sz w:val="24"/>
      <w:szCs w:val="20"/>
    </w:rPr>
  </w:style>
  <w:style w:type="paragraph" w:customStyle="1" w:styleId="249">
    <w:name w:val="Blockquote"/>
    <w:basedOn w:val="1"/>
    <w:qFormat/>
    <w:uiPriority w:val="0"/>
    <w:pPr>
      <w:autoSpaceDE w:val="0"/>
      <w:autoSpaceDN w:val="0"/>
      <w:adjustRightInd w:val="0"/>
      <w:spacing w:before="100" w:after="100"/>
      <w:ind w:left="360" w:right="360"/>
      <w:jc w:val="left"/>
    </w:pPr>
    <w:rPr>
      <w:rFonts w:ascii="Times New Roman"/>
      <w:kern w:val="0"/>
      <w:sz w:val="24"/>
      <w:szCs w:val="20"/>
    </w:rPr>
  </w:style>
  <w:style w:type="paragraph" w:customStyle="1" w:styleId="2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1">
    <w:name w:val="正文文本 21"/>
    <w:basedOn w:val="1"/>
    <w:qFormat/>
    <w:uiPriority w:val="0"/>
    <w:pPr>
      <w:suppressAutoHyphens/>
    </w:pPr>
    <w:rPr>
      <w:rFonts w:ascii="Times New Roman" w:eastAsia="楷体_GB2312"/>
      <w:b/>
      <w:kern w:val="1"/>
      <w:szCs w:val="20"/>
      <w:lang w:eastAsia="ar-SA"/>
    </w:rPr>
  </w:style>
  <w:style w:type="paragraph" w:customStyle="1" w:styleId="252">
    <w:name w:val=" Char"/>
    <w:basedOn w:val="1"/>
    <w:qFormat/>
    <w:uiPriority w:val="0"/>
    <w:pPr>
      <w:numPr>
        <w:ilvl w:val="0"/>
        <w:numId w:val="1"/>
      </w:numPr>
      <w:tabs>
        <w:tab w:val="left" w:pos="960"/>
      </w:tabs>
    </w:pPr>
    <w:rPr>
      <w:rFonts w:ascii="Times New Roman"/>
      <w:sz w:val="24"/>
      <w:szCs w:val="24"/>
    </w:rPr>
  </w:style>
  <w:style w:type="paragraph" w:customStyle="1" w:styleId="253">
    <w:name w:val="样式 正文缩进正文（首行缩进两字）特点ALT+Z表正文正文非缩进四号段1Normal Indent Char2...2"/>
    <w:basedOn w:val="5"/>
    <w:qFormat/>
    <w:uiPriority w:val="0"/>
    <w:pPr>
      <w:tabs>
        <w:tab w:val="left" w:pos="1680"/>
      </w:tabs>
      <w:spacing w:before="360" w:beforeLines="0" w:after="120" w:afterLines="0"/>
      <w:ind w:left="1680" w:hanging="420"/>
    </w:pPr>
    <w:rPr>
      <w:rFonts w:ascii="宋体" w:hAnsi="宋体"/>
      <w:bCs/>
      <w:color w:val="auto"/>
      <w:kern w:val="0"/>
      <w:sz w:val="28"/>
      <w:szCs w:val="20"/>
    </w:rPr>
  </w:style>
  <w:style w:type="paragraph" w:customStyle="1" w:styleId="254">
    <w:name w:val="Char Char Char Char"/>
    <w:basedOn w:val="1"/>
    <w:qFormat/>
    <w:uiPriority w:val="0"/>
    <w:rPr>
      <w:rFonts w:ascii="Times New Roman"/>
      <w:sz w:val="30"/>
      <w:szCs w:val="24"/>
    </w:rPr>
  </w:style>
  <w:style w:type="paragraph" w:customStyle="1" w:styleId="255">
    <w:name w:val="Char1"/>
    <w:basedOn w:val="1"/>
    <w:qFormat/>
    <w:uiPriority w:val="0"/>
    <w:pPr>
      <w:numPr>
        <w:ilvl w:val="0"/>
        <w:numId w:val="1"/>
      </w:numPr>
    </w:pPr>
    <w:rPr>
      <w:rFonts w:ascii="Times New Roman"/>
      <w:sz w:val="24"/>
      <w:szCs w:val="24"/>
    </w:rPr>
  </w:style>
  <w:style w:type="paragraph" w:customStyle="1" w:styleId="256">
    <w:name w:val="表头"/>
    <w:basedOn w:val="1"/>
    <w:qFormat/>
    <w:uiPriority w:val="0"/>
    <w:pPr>
      <w:spacing w:line="360" w:lineRule="auto"/>
      <w:jc w:val="center"/>
    </w:pPr>
    <w:rPr>
      <w:rFonts w:ascii="黑体" w:eastAsia="黑体"/>
      <w:kern w:val="0"/>
      <w:sz w:val="24"/>
      <w:szCs w:val="20"/>
    </w:rPr>
  </w:style>
  <w:style w:type="paragraph" w:customStyle="1" w:styleId="257">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b w:val="0"/>
      <w:sz w:val="32"/>
      <w:szCs w:val="20"/>
    </w:rPr>
  </w:style>
  <w:style w:type="paragraph" w:customStyle="1" w:styleId="258">
    <w:name w:val="样式 标题 2 + (西文) 宋体 四号 非加粗 段前: 0.5 行 段后: 0.5 行"/>
    <w:basedOn w:val="4"/>
    <w:qFormat/>
    <w:uiPriority w:val="0"/>
    <w:pPr>
      <w:spacing w:before="50" w:beforeLines="50" w:after="0" w:line="360" w:lineRule="auto"/>
    </w:pPr>
    <w:rPr>
      <w:rFonts w:ascii="宋体" w:hAnsi="宋体" w:cs="宋体"/>
      <w:b w:val="0"/>
      <w:bCs w:val="0"/>
      <w:sz w:val="28"/>
      <w:szCs w:val="20"/>
    </w:rPr>
  </w:style>
  <w:style w:type="paragraph" w:customStyle="1" w:styleId="259">
    <w:name w:val="内容目录 10"/>
    <w:basedOn w:val="239"/>
    <w:qFormat/>
    <w:uiPriority w:val="0"/>
    <w:pPr>
      <w:tabs>
        <w:tab w:val="right" w:leader="dot" w:pos="9637"/>
      </w:tabs>
      <w:ind w:left="2547"/>
    </w:pPr>
  </w:style>
  <w:style w:type="paragraph" w:customStyle="1" w:styleId="260">
    <w:name w:val="6'"/>
    <w:basedOn w:val="1"/>
    <w:qFormat/>
    <w:uiPriority w:val="0"/>
    <w:pPr>
      <w:autoSpaceDE w:val="0"/>
      <w:autoSpaceDN w:val="0"/>
      <w:adjustRightInd w:val="0"/>
      <w:snapToGrid w:val="0"/>
      <w:spacing w:line="320" w:lineRule="exact"/>
      <w:jc w:val="center"/>
    </w:pPr>
    <w:rPr>
      <w:rFonts w:ascii="Times New Roman"/>
      <w:spacing w:val="20"/>
      <w:kern w:val="28"/>
      <w:szCs w:val="20"/>
    </w:rPr>
  </w:style>
  <w:style w:type="paragraph" w:customStyle="1" w:styleId="261">
    <w:name w:val="表格内容"/>
    <w:basedOn w:val="1"/>
    <w:qFormat/>
    <w:uiPriority w:val="0"/>
    <w:pPr>
      <w:suppressLineNumbers/>
      <w:suppressAutoHyphens/>
    </w:pPr>
    <w:rPr>
      <w:rFonts w:ascii="Times New Roman"/>
      <w:kern w:val="1"/>
      <w:szCs w:val="20"/>
      <w:lang w:eastAsia="ar-SA"/>
    </w:rPr>
  </w:style>
  <w:style w:type="paragraph" w:customStyle="1" w:styleId="262">
    <w:name w:val=" Char5 Char Char Char Char Char"/>
    <w:basedOn w:val="1"/>
    <w:qFormat/>
    <w:uiPriority w:val="0"/>
    <w:pPr>
      <w:ind w:left="567" w:hanging="279"/>
    </w:pPr>
    <w:rPr>
      <w:rFonts w:ascii="Times New Roman"/>
      <w:sz w:val="24"/>
      <w:szCs w:val="24"/>
    </w:rPr>
  </w:style>
  <w:style w:type="paragraph" w:customStyle="1" w:styleId="263">
    <w:name w:val="正文文本缩进 21"/>
    <w:basedOn w:val="1"/>
    <w:qFormat/>
    <w:uiPriority w:val="0"/>
    <w:pPr>
      <w:suppressAutoHyphens/>
      <w:spacing w:after="120" w:line="480" w:lineRule="auto"/>
      <w:ind w:left="420"/>
    </w:pPr>
    <w:rPr>
      <w:rFonts w:ascii="Times New Roman"/>
      <w:kern w:val="1"/>
      <w:szCs w:val="20"/>
      <w:lang w:eastAsia="ar-SA"/>
    </w:rPr>
  </w:style>
  <w:style w:type="paragraph" w:customStyle="1" w:styleId="264">
    <w:name w:val=" Char Char Char Char"/>
    <w:basedOn w:val="1"/>
    <w:qFormat/>
    <w:uiPriority w:val="0"/>
    <w:pPr>
      <w:spacing w:line="360" w:lineRule="auto"/>
      <w:ind w:firstLine="640" w:firstLineChars="200"/>
      <w:jc w:val="left"/>
    </w:pPr>
    <w:rPr>
      <w:rFonts w:ascii="Times New Roman"/>
      <w:b/>
      <w:sz w:val="24"/>
      <w:szCs w:val="20"/>
    </w:rPr>
  </w:style>
  <w:style w:type="paragraph" w:customStyle="1" w:styleId="265">
    <w:name w:val="_Style 72"/>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6">
    <w:name w:val="封二"/>
    <w:basedOn w:val="175"/>
    <w:next w:val="175"/>
    <w:qFormat/>
    <w:uiPriority w:val="0"/>
    <w:pPr>
      <w:ind w:firstLine="0" w:firstLineChars="0"/>
      <w:jc w:val="center"/>
    </w:pPr>
    <w:rPr>
      <w:rFonts w:eastAsia="黑体"/>
      <w:b/>
      <w:sz w:val="36"/>
      <w:szCs w:val="36"/>
    </w:rPr>
  </w:style>
  <w:style w:type="paragraph" w:customStyle="1" w:styleId="267">
    <w:name w:val="文档结构图1"/>
    <w:basedOn w:val="1"/>
    <w:qFormat/>
    <w:uiPriority w:val="0"/>
    <w:pPr>
      <w:shd w:val="clear" w:color="auto" w:fill="000080"/>
      <w:suppressAutoHyphens/>
    </w:pPr>
    <w:rPr>
      <w:rFonts w:ascii="Times New Roman"/>
      <w:kern w:val="1"/>
      <w:szCs w:val="20"/>
      <w:lang w:eastAsia="ar-SA"/>
    </w:rPr>
  </w:style>
  <w:style w:type="paragraph" w:customStyle="1" w:styleId="268">
    <w:name w:val=" Char13 Char Char Char Char Char"/>
    <w:basedOn w:val="1"/>
    <w:qFormat/>
    <w:uiPriority w:val="0"/>
    <w:pPr>
      <w:ind w:left="567" w:hanging="279"/>
    </w:pPr>
    <w:rPr>
      <w:rFonts w:ascii="Times New Roman"/>
      <w:kern w:val="0"/>
      <w:sz w:val="20"/>
      <w:szCs w:val="20"/>
    </w:rPr>
  </w:style>
  <w:style w:type="paragraph" w:customStyle="1" w:styleId="269">
    <w:name w:val="样式 宋体 行距: 1.5 倍行距"/>
    <w:basedOn w:val="1"/>
    <w:qFormat/>
    <w:uiPriority w:val="99"/>
    <w:pPr>
      <w:jc w:val="center"/>
    </w:pPr>
    <w:rPr>
      <w:b/>
      <w:bCs/>
    </w:rPr>
  </w:style>
  <w:style w:type="paragraph" w:customStyle="1" w:styleId="270">
    <w:name w:val="章节三"/>
    <w:basedOn w:val="175"/>
    <w:next w:val="175"/>
    <w:qFormat/>
    <w:uiPriority w:val="0"/>
    <w:pPr>
      <w:spacing w:beforeLines="50" w:afterLines="50" w:line="240" w:lineRule="auto"/>
      <w:ind w:firstLine="0" w:firstLineChars="0"/>
      <w:jc w:val="left"/>
      <w:outlineLvl w:val="2"/>
    </w:pPr>
    <w:rPr>
      <w:rFonts w:ascii="黑体" w:hAnsi="宋体" w:eastAsia="黑体"/>
      <w:b/>
    </w:rPr>
  </w:style>
  <w:style w:type="paragraph" w:customStyle="1" w:styleId="271">
    <w:name w:val=" Char Char Char Char Char Char Char Char Char Char Char Char Char"/>
    <w:basedOn w:val="16"/>
    <w:qFormat/>
    <w:uiPriority w:val="0"/>
    <w:rPr>
      <w:rFonts w:ascii="Tahoma" w:hAnsi="Tahoma"/>
      <w:sz w:val="24"/>
      <w:szCs w:val="24"/>
    </w:rPr>
  </w:style>
  <w:style w:type="paragraph" w:customStyle="1" w:styleId="272">
    <w:name w:val=" Char4"/>
    <w:basedOn w:val="16"/>
    <w:qFormat/>
    <w:uiPriority w:val="0"/>
    <w:rPr>
      <w:rFonts w:ascii="Tahoma" w:hAnsi="Tahoma"/>
      <w:sz w:val="24"/>
      <w:szCs w:val="24"/>
    </w:rPr>
  </w:style>
  <w:style w:type="paragraph" w:customStyle="1" w:styleId="273">
    <w:name w:val=" Char Char1 Char Char Char Char Char Char Char"/>
    <w:basedOn w:val="16"/>
    <w:qFormat/>
    <w:uiPriority w:val="0"/>
    <w:rPr>
      <w:rFonts w:ascii="Tahoma" w:hAnsi="Tahoma"/>
      <w:sz w:val="24"/>
      <w:szCs w:val="24"/>
    </w:rPr>
  </w:style>
  <w:style w:type="paragraph" w:customStyle="1" w:styleId="274">
    <w:name w:val="公文抬头"/>
    <w:basedOn w:val="6"/>
    <w:qFormat/>
    <w:uiPriority w:val="0"/>
    <w:pPr>
      <w:ind w:firstLine="0"/>
    </w:pPr>
    <w:rPr>
      <w:rFonts w:ascii="仿宋_GB2312" w:eastAsia="仿宋_GB2312"/>
      <w:sz w:val="30"/>
      <w:szCs w:val="24"/>
    </w:rPr>
  </w:style>
  <w:style w:type="paragraph" w:customStyle="1" w:styleId="275">
    <w:name w:val="批注文字1"/>
    <w:basedOn w:val="1"/>
    <w:qFormat/>
    <w:uiPriority w:val="0"/>
    <w:pPr>
      <w:suppressAutoHyphens/>
      <w:jc w:val="left"/>
    </w:pPr>
    <w:rPr>
      <w:rFonts w:ascii="Times New Roman"/>
      <w:kern w:val="1"/>
      <w:szCs w:val="20"/>
      <w:lang w:eastAsia="ar-SA"/>
    </w:rPr>
  </w:style>
  <w:style w:type="paragraph" w:customStyle="1" w:styleId="276">
    <w:name w:val=" Char Char3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 Char Char9 Char Char Char Char"/>
    <w:basedOn w:val="16"/>
    <w:qFormat/>
    <w:uiPriority w:val="0"/>
    <w:rPr>
      <w:rFonts w:ascii="Tahoma" w:hAnsi="Tahoma"/>
      <w:sz w:val="24"/>
      <w:szCs w:val="24"/>
    </w:rPr>
  </w:style>
  <w:style w:type="paragraph" w:customStyle="1" w:styleId="278">
    <w:name w:val="表格标题"/>
    <w:basedOn w:val="261"/>
    <w:qFormat/>
    <w:uiPriority w:val="0"/>
    <w:pPr>
      <w:jc w:val="center"/>
    </w:pPr>
    <w:rPr>
      <w:b/>
      <w:bCs/>
    </w:rPr>
  </w:style>
  <w:style w:type="paragraph" w:customStyle="1" w:styleId="279">
    <w:name w:val="1"/>
    <w:basedOn w:val="1"/>
    <w:next w:val="1"/>
    <w:qFormat/>
    <w:uiPriority w:val="0"/>
    <w:rPr>
      <w:rFonts w:ascii="Times New Roman"/>
      <w:szCs w:val="22"/>
    </w:rPr>
  </w:style>
  <w:style w:type="paragraph" w:customStyle="1" w:styleId="280">
    <w:name w:val="普通(网站)1"/>
    <w:basedOn w:val="1"/>
    <w:qFormat/>
    <w:uiPriority w:val="0"/>
    <w:pPr>
      <w:widowControl/>
      <w:suppressAutoHyphens/>
      <w:spacing w:before="284" w:after="280" w:line="360" w:lineRule="auto"/>
      <w:jc w:val="left"/>
    </w:pPr>
    <w:rPr>
      <w:rFonts w:ascii="宋体" w:hAnsi="宋体"/>
      <w:kern w:val="1"/>
      <w:sz w:val="24"/>
      <w:szCs w:val="20"/>
      <w:lang w:eastAsia="ar-SA"/>
    </w:rPr>
  </w:style>
  <w:style w:type="paragraph" w:customStyle="1" w:styleId="281">
    <w:name w:val="Normal_2"/>
    <w:qFormat/>
    <w:uiPriority w:val="0"/>
    <w:rPr>
      <w:rFonts w:ascii="Times New Roman" w:hAnsi="Times New Roman" w:eastAsia="Times New Roman" w:cs="Times New Roman"/>
      <w:sz w:val="24"/>
      <w:szCs w:val="24"/>
      <w:lang w:val="en-US" w:eastAsia="zh-CN" w:bidi="ar-SA"/>
    </w:rPr>
  </w:style>
  <w:style w:type="paragraph" w:customStyle="1" w:styleId="282">
    <w:name w:val="WPSOffice手动目录 1"/>
    <w:qFormat/>
    <w:uiPriority w:val="0"/>
    <w:pPr>
      <w:ind w:leftChars="0"/>
    </w:pPr>
    <w:rPr>
      <w:rFonts w:ascii="Times New Roman" w:hAnsi="Times New Roman" w:eastAsia="宋体" w:cs="Times New Roman"/>
      <w:sz w:val="20"/>
      <w:szCs w:val="20"/>
    </w:rPr>
  </w:style>
  <w:style w:type="paragraph" w:customStyle="1" w:styleId="28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11124</Words>
  <Characters>11749</Characters>
  <Lines>111</Lines>
  <Paragraphs>31</Paragraphs>
  <TotalTime>4</TotalTime>
  <ScaleCrop>false</ScaleCrop>
  <LinksUpToDate>false</LinksUpToDate>
  <CharactersWithSpaces>12396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2022-11-25T06:06:00Z</dcterms:created>
  <dc:creator>庞云聪1450921087726</dc:creator>
  <cp:lastModifiedBy>张时雨</cp:lastModifiedBy>
  <cp:lastPrinted>2024-07-16T03:44:00Z</cp:lastPrinted>
  <dcterms:modified xsi:type="dcterms:W3CDTF">2025-06-29T05:55:16Z</dcterms:modified>
  <dc:title>关于小谷围大学城公租房项目施工总承包（电子化评标）招标的说明</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4FD5C5DB8F4849D082A4C7D66C15D0D9_13</vt:lpwstr>
  </property>
  <property fmtid="{D5CDD505-2E9C-101B-9397-08002B2CF9AE}" pid="4" name="KSOTemplateDocerSaveRecord">
    <vt:lpwstr>eyJoZGlkIjoiYzExZjQ5ZjZmZjEwZTIyZWM5ZDUxYmFkOGM2MzY0ZTYiLCJ1c2VySWQiOiIxNTk1ODk1MjU2In0=</vt:lpwstr>
  </property>
</Properties>
</file>