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eastAsia" w:ascii="宋体" w:hAnsi="宋体" w:eastAsia="宋体" w:cs="宋体"/>
          <w:bCs/>
          <w:kern w:val="2"/>
          <w:sz w:val="32"/>
          <w:szCs w:val="32"/>
          <w:highlight w:val="none"/>
          <w:u w:val="single"/>
          <w:lang w:eastAsia="zh-CN"/>
        </w:rPr>
      </w:pPr>
      <w:bookmarkStart w:id="0" w:name="_Toc4659642"/>
      <w:r>
        <w:rPr>
          <w:rFonts w:hint="eastAsia" w:ascii="宋体" w:hAnsi="宋体" w:cs="宋体"/>
          <w:bCs/>
          <w:kern w:val="2"/>
          <w:sz w:val="32"/>
          <w:szCs w:val="32"/>
          <w:highlight w:val="none"/>
          <w:u w:val="single"/>
          <w:lang w:eastAsia="zh-CN"/>
        </w:rPr>
        <w:t>广州海洋馆升级改造工程项目</w:t>
      </w:r>
    </w:p>
    <w:p>
      <w:pPr>
        <w:pStyle w:val="3"/>
        <w:spacing w:before="0" w:after="0" w:line="360" w:lineRule="auto"/>
        <w:jc w:val="center"/>
        <w:rPr>
          <w:rFonts w:ascii="宋体" w:hAnsi="宋体" w:cs="宋体"/>
          <w:bCs/>
          <w:kern w:val="2"/>
          <w:sz w:val="32"/>
          <w:szCs w:val="32"/>
          <w:highlight w:val="none"/>
          <w:u w:val="single"/>
        </w:rPr>
      </w:pPr>
      <w:r>
        <w:rPr>
          <w:rFonts w:hint="eastAsia" w:ascii="宋体" w:hAnsi="宋体" w:cs="宋体"/>
          <w:bCs/>
          <w:kern w:val="2"/>
          <w:sz w:val="32"/>
          <w:szCs w:val="32"/>
          <w:highlight w:val="none"/>
          <w:u w:val="single"/>
        </w:rPr>
        <w:t>施工监理招标公告</w:t>
      </w:r>
      <w:bookmarkEnd w:id="0"/>
    </w:p>
    <w:p>
      <w:pPr>
        <w:pStyle w:val="2"/>
        <w:spacing w:line="360" w:lineRule="auto"/>
        <w:rPr>
          <w:rFonts w:ascii="宋体" w:hAnsi="宋体" w:eastAsia="宋体" w:cs="宋体"/>
          <w:highlight w:val="none"/>
        </w:rPr>
      </w:pPr>
      <w:bookmarkStart w:id="1" w:name="_Toc492300546"/>
      <w:r>
        <w:rPr>
          <w:rFonts w:hint="eastAsia" w:ascii="宋体" w:hAnsi="宋体" w:eastAsia="宋体" w:cs="宋体"/>
          <w:highlight w:val="none"/>
        </w:rPr>
        <w:t>1. 招标条件</w:t>
      </w:r>
      <w:bookmarkEnd w:id="1"/>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本招标项目</w:t>
      </w:r>
      <w:r>
        <w:rPr>
          <w:rFonts w:hint="eastAsia" w:ascii="宋体" w:hAnsi="宋体" w:cs="宋体"/>
          <w:sz w:val="24"/>
          <w:szCs w:val="24"/>
          <w:highlight w:val="none"/>
          <w:u w:val="single"/>
          <w:lang w:eastAsia="zh-CN"/>
        </w:rPr>
        <w:t>广州海洋馆升级改造工程项目</w:t>
      </w:r>
      <w:r>
        <w:rPr>
          <w:rFonts w:hint="eastAsia" w:ascii="宋体" w:hAnsi="宋体" w:cs="宋体"/>
          <w:sz w:val="24"/>
          <w:szCs w:val="24"/>
          <w:highlight w:val="none"/>
          <w:u w:val="single"/>
        </w:rPr>
        <w:t>施工监理</w:t>
      </w:r>
      <w:r>
        <w:rPr>
          <w:rFonts w:hint="eastAsia" w:ascii="宋体" w:hAnsi="宋体" w:cs="宋体"/>
          <w:sz w:val="24"/>
          <w:szCs w:val="24"/>
          <w:highlight w:val="none"/>
        </w:rPr>
        <w:t>已由</w:t>
      </w:r>
      <w:r>
        <w:rPr>
          <w:rFonts w:hint="eastAsia" w:ascii="宋体" w:hAnsi="宋体" w:cs="宋体"/>
          <w:sz w:val="24"/>
          <w:szCs w:val="24"/>
          <w:highlight w:val="none"/>
          <w:u w:val="single"/>
        </w:rPr>
        <w:t>广东省企业投资项目备案证（项目代码：</w:t>
      </w:r>
      <w:r>
        <w:rPr>
          <w:rFonts w:hint="eastAsia" w:ascii="宋体" w:hAnsi="宋体" w:cs="宋体"/>
          <w:sz w:val="24"/>
          <w:szCs w:val="24"/>
          <w:highlight w:val="none"/>
          <w:u w:val="single"/>
          <w:lang w:val="en-US" w:eastAsia="zh-CN"/>
        </w:rPr>
        <w:t>2201-440104-04-02-561917</w:t>
      </w:r>
      <w:r>
        <w:rPr>
          <w:rFonts w:hint="eastAsia" w:ascii="宋体" w:hAnsi="宋体" w:cs="宋体"/>
          <w:sz w:val="24"/>
          <w:szCs w:val="24"/>
          <w:highlight w:val="none"/>
          <w:u w:val="single"/>
        </w:rPr>
        <w:t>）</w:t>
      </w:r>
      <w:r>
        <w:rPr>
          <w:rFonts w:hint="eastAsia" w:ascii="宋体" w:hAnsi="宋体" w:cs="宋体"/>
          <w:sz w:val="24"/>
          <w:szCs w:val="24"/>
          <w:highlight w:val="none"/>
        </w:rPr>
        <w:t>批准建设，招标人为</w:t>
      </w:r>
      <w:r>
        <w:rPr>
          <w:rFonts w:hint="eastAsia" w:ascii="宋体" w:hAnsi="宋体" w:cs="宋体"/>
          <w:sz w:val="24"/>
          <w:szCs w:val="24"/>
          <w:highlight w:val="none"/>
          <w:u w:val="single"/>
        </w:rPr>
        <w:t>广州新中轴建设有限公司</w:t>
      </w:r>
      <w:r>
        <w:rPr>
          <w:rFonts w:hint="eastAsia" w:ascii="宋体" w:hAnsi="宋体" w:cs="宋体"/>
          <w:sz w:val="24"/>
          <w:szCs w:val="24"/>
          <w:highlight w:val="none"/>
        </w:rPr>
        <w:t>。项目已具备招标条件，现对该项目</w:t>
      </w:r>
      <w:r>
        <w:rPr>
          <w:rFonts w:hint="eastAsia" w:ascii="宋体" w:hAnsi="宋体" w:cs="宋体"/>
          <w:sz w:val="24"/>
          <w:szCs w:val="24"/>
          <w:highlight w:val="none"/>
          <w:u w:val="single"/>
        </w:rPr>
        <w:t>的施工监理</w:t>
      </w:r>
      <w:r>
        <w:rPr>
          <w:rFonts w:hint="eastAsia" w:ascii="宋体" w:hAnsi="宋体" w:cs="宋体"/>
          <w:sz w:val="24"/>
          <w:szCs w:val="24"/>
          <w:highlight w:val="none"/>
        </w:rPr>
        <w:t>进行公开招标。</w:t>
      </w:r>
    </w:p>
    <w:p>
      <w:pPr>
        <w:pStyle w:val="2"/>
        <w:spacing w:line="360" w:lineRule="auto"/>
        <w:rPr>
          <w:rFonts w:ascii="宋体" w:hAnsi="宋体" w:eastAsia="宋体" w:cs="宋体"/>
          <w:highlight w:val="none"/>
        </w:rPr>
      </w:pPr>
      <w:bookmarkStart w:id="2" w:name="_Toc492300547"/>
      <w:r>
        <w:rPr>
          <w:rFonts w:hint="eastAsia" w:ascii="宋体" w:hAnsi="宋体" w:eastAsia="宋体" w:cs="宋体"/>
          <w:highlight w:val="none"/>
        </w:rPr>
        <w:t>2. 项目概况与招标范围</w:t>
      </w:r>
      <w:bookmarkEnd w:id="2"/>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2.1 招标项目概况</w:t>
      </w:r>
    </w:p>
    <w:p>
      <w:pPr>
        <w:wordWrap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2.1.1招标项目名称：</w:t>
      </w:r>
      <w:r>
        <w:rPr>
          <w:rFonts w:hint="eastAsia" w:ascii="宋体" w:hAnsi="宋体" w:cs="宋体"/>
          <w:sz w:val="24"/>
          <w:szCs w:val="24"/>
          <w:highlight w:val="none"/>
          <w:u w:val="single"/>
          <w:lang w:eastAsia="zh-CN"/>
        </w:rPr>
        <w:t>广州海洋馆升级改造工程项目</w:t>
      </w:r>
      <w:r>
        <w:rPr>
          <w:rFonts w:hint="eastAsia" w:ascii="宋体" w:hAnsi="宋体" w:cs="宋体"/>
          <w:sz w:val="24"/>
          <w:szCs w:val="24"/>
          <w:highlight w:val="none"/>
          <w:u w:val="single"/>
        </w:rPr>
        <w:t>施工监理</w:t>
      </w:r>
    </w:p>
    <w:p>
      <w:pPr>
        <w:spacing w:line="36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cs="宋体"/>
          <w:sz w:val="24"/>
          <w:szCs w:val="24"/>
          <w:highlight w:val="none"/>
        </w:rPr>
        <w:t>2.1.2工程建设规模：</w:t>
      </w:r>
      <w:r>
        <w:rPr>
          <w:rFonts w:hint="eastAsia" w:ascii="宋体" w:hAnsi="宋体" w:eastAsia="宋体" w:cs="宋体"/>
          <w:b w:val="0"/>
          <w:bCs w:val="0"/>
          <w:color w:val="auto"/>
          <w:sz w:val="24"/>
          <w:szCs w:val="24"/>
          <w:highlight w:val="none"/>
          <w:u w:val="none"/>
        </w:rPr>
        <w:t>总建筑面积</w:t>
      </w:r>
      <w:r>
        <w:rPr>
          <w:rFonts w:hint="eastAsia" w:ascii="宋体" w:hAnsi="宋体" w:eastAsia="宋体" w:cs="宋体"/>
          <w:b w:val="0"/>
          <w:bCs w:val="0"/>
          <w:color w:val="auto"/>
          <w:sz w:val="24"/>
          <w:szCs w:val="24"/>
          <w:highlight w:val="none"/>
          <w:u w:val="none"/>
          <w:lang w:val="en-US" w:eastAsia="zh-CN"/>
        </w:rPr>
        <w:t>约</w:t>
      </w:r>
      <w:r>
        <w:rPr>
          <w:rFonts w:hint="eastAsia" w:ascii="宋体" w:hAnsi="宋体" w:eastAsia="宋体" w:cs="宋体"/>
          <w:b w:val="0"/>
          <w:bCs w:val="0"/>
          <w:color w:val="auto"/>
          <w:sz w:val="24"/>
          <w:szCs w:val="24"/>
          <w:highlight w:val="none"/>
          <w:u w:val="none"/>
        </w:rPr>
        <w:t>2</w:t>
      </w:r>
      <w:r>
        <w:rPr>
          <w:rFonts w:hint="eastAsia" w:ascii="宋体" w:hAnsi="宋体" w:eastAsia="宋体" w:cs="宋体"/>
          <w:b w:val="0"/>
          <w:bCs w:val="0"/>
          <w:color w:val="auto"/>
          <w:sz w:val="24"/>
          <w:szCs w:val="24"/>
          <w:highlight w:val="none"/>
          <w:u w:val="none"/>
          <w:lang w:val="en-US" w:eastAsia="zh-CN"/>
        </w:rPr>
        <w:t>0000</w:t>
      </w:r>
      <w:r>
        <w:rPr>
          <w:rFonts w:hint="eastAsia" w:ascii="宋体" w:hAnsi="宋体" w:eastAsia="宋体" w:cs="宋体"/>
          <w:b w:val="0"/>
          <w:bCs w:val="0"/>
          <w:color w:val="auto"/>
          <w:sz w:val="24"/>
          <w:szCs w:val="24"/>
          <w:highlight w:val="none"/>
          <w:u w:val="none"/>
        </w:rPr>
        <w:t>平方米（含海洋馆</w:t>
      </w:r>
      <w:r>
        <w:rPr>
          <w:rFonts w:hint="eastAsia" w:ascii="宋体" w:hAnsi="宋体" w:eastAsia="宋体" w:cs="宋体"/>
          <w:b w:val="0"/>
          <w:bCs w:val="0"/>
          <w:color w:val="auto"/>
          <w:sz w:val="24"/>
          <w:szCs w:val="24"/>
          <w:highlight w:val="none"/>
          <w:u w:val="none"/>
          <w:lang w:val="en-US" w:eastAsia="zh-CN"/>
        </w:rPr>
        <w:t>约</w:t>
      </w:r>
      <w:r>
        <w:rPr>
          <w:rFonts w:hint="eastAsia" w:ascii="宋体" w:hAnsi="宋体" w:eastAsia="宋体" w:cs="宋体"/>
          <w:b w:val="0"/>
          <w:bCs w:val="0"/>
          <w:color w:val="auto"/>
          <w:sz w:val="24"/>
          <w:szCs w:val="24"/>
          <w:highlight w:val="none"/>
          <w:u w:val="none"/>
        </w:rPr>
        <w:t>17</w:t>
      </w:r>
      <w:r>
        <w:rPr>
          <w:rFonts w:hint="eastAsia" w:ascii="宋体" w:hAnsi="宋体" w:eastAsia="宋体" w:cs="宋体"/>
          <w:b w:val="0"/>
          <w:bCs w:val="0"/>
          <w:color w:val="auto"/>
          <w:sz w:val="24"/>
          <w:szCs w:val="24"/>
          <w:highlight w:val="none"/>
          <w:u w:val="none"/>
          <w:lang w:val="en-US" w:eastAsia="zh-CN"/>
        </w:rPr>
        <w:t>000</w:t>
      </w:r>
      <w:r>
        <w:rPr>
          <w:rFonts w:hint="eastAsia" w:ascii="宋体" w:hAnsi="宋体" w:eastAsia="宋体" w:cs="宋体"/>
          <w:b w:val="0"/>
          <w:bCs w:val="0"/>
          <w:color w:val="auto"/>
          <w:sz w:val="24"/>
          <w:szCs w:val="24"/>
          <w:highlight w:val="none"/>
          <w:u w:val="none"/>
        </w:rPr>
        <w:t>平方米、海洋科普馆</w:t>
      </w:r>
      <w:r>
        <w:rPr>
          <w:rFonts w:hint="eastAsia" w:ascii="宋体" w:hAnsi="宋体" w:eastAsia="宋体" w:cs="宋体"/>
          <w:b w:val="0"/>
          <w:bCs w:val="0"/>
          <w:color w:val="auto"/>
          <w:sz w:val="24"/>
          <w:szCs w:val="24"/>
          <w:highlight w:val="none"/>
          <w:u w:val="none"/>
          <w:lang w:val="en-US" w:eastAsia="zh-CN"/>
        </w:rPr>
        <w:t>约</w:t>
      </w:r>
      <w:r>
        <w:rPr>
          <w:rFonts w:hint="eastAsia" w:ascii="宋体" w:hAnsi="宋体" w:eastAsia="宋体" w:cs="宋体"/>
          <w:b w:val="0"/>
          <w:bCs w:val="0"/>
          <w:color w:val="auto"/>
          <w:sz w:val="24"/>
          <w:szCs w:val="24"/>
          <w:highlight w:val="none"/>
          <w:u w:val="none"/>
        </w:rPr>
        <w:t>7</w:t>
      </w:r>
      <w:r>
        <w:rPr>
          <w:rFonts w:hint="eastAsia" w:ascii="宋体" w:hAnsi="宋体" w:eastAsia="宋体" w:cs="宋体"/>
          <w:b w:val="0"/>
          <w:bCs w:val="0"/>
          <w:color w:val="auto"/>
          <w:sz w:val="24"/>
          <w:szCs w:val="24"/>
          <w:highlight w:val="none"/>
          <w:u w:val="none"/>
          <w:lang w:val="en-US" w:eastAsia="zh-CN"/>
        </w:rPr>
        <w:t>00</w:t>
      </w:r>
      <w:r>
        <w:rPr>
          <w:rFonts w:hint="eastAsia" w:ascii="宋体" w:hAnsi="宋体" w:eastAsia="宋体" w:cs="宋体"/>
          <w:b w:val="0"/>
          <w:bCs w:val="0"/>
          <w:color w:val="auto"/>
          <w:sz w:val="24"/>
          <w:szCs w:val="24"/>
          <w:highlight w:val="none"/>
          <w:u w:val="none"/>
        </w:rPr>
        <w:t>平方米、新增入口雨棚两处共</w:t>
      </w:r>
      <w:r>
        <w:rPr>
          <w:rFonts w:hint="eastAsia" w:ascii="宋体" w:hAnsi="宋体" w:eastAsia="宋体" w:cs="宋体"/>
          <w:b w:val="0"/>
          <w:bCs w:val="0"/>
          <w:color w:val="auto"/>
          <w:sz w:val="24"/>
          <w:szCs w:val="24"/>
          <w:highlight w:val="none"/>
          <w:u w:val="none"/>
          <w:lang w:val="en-US" w:eastAsia="zh-CN"/>
        </w:rPr>
        <w:t>约</w:t>
      </w:r>
      <w:r>
        <w:rPr>
          <w:rFonts w:hint="eastAsia" w:ascii="宋体" w:hAnsi="宋体" w:eastAsia="宋体" w:cs="宋体"/>
          <w:b w:val="0"/>
          <w:bCs w:val="0"/>
          <w:color w:val="auto"/>
          <w:sz w:val="24"/>
          <w:szCs w:val="24"/>
          <w:highlight w:val="none"/>
          <w:u w:val="none"/>
        </w:rPr>
        <w:t>5</w:t>
      </w:r>
      <w:r>
        <w:rPr>
          <w:rFonts w:hint="eastAsia" w:ascii="宋体" w:hAnsi="宋体" w:eastAsia="宋体" w:cs="宋体"/>
          <w:b w:val="0"/>
          <w:bCs w:val="0"/>
          <w:color w:val="auto"/>
          <w:sz w:val="24"/>
          <w:szCs w:val="24"/>
          <w:highlight w:val="none"/>
          <w:u w:val="none"/>
          <w:lang w:val="en-US" w:eastAsia="zh-CN"/>
        </w:rPr>
        <w:t>0</w:t>
      </w:r>
      <w:r>
        <w:rPr>
          <w:rFonts w:hint="eastAsia" w:ascii="宋体" w:hAnsi="宋体" w:eastAsia="宋体" w:cs="宋体"/>
          <w:b w:val="0"/>
          <w:bCs w:val="0"/>
          <w:color w:val="auto"/>
          <w:sz w:val="24"/>
          <w:szCs w:val="24"/>
          <w:highlight w:val="none"/>
          <w:u w:val="none"/>
        </w:rPr>
        <w:t>平方米、海狮馆及看台</w:t>
      </w:r>
      <w:r>
        <w:rPr>
          <w:rFonts w:hint="eastAsia" w:ascii="宋体" w:hAnsi="宋体" w:eastAsia="宋体" w:cs="宋体"/>
          <w:b w:val="0"/>
          <w:bCs w:val="0"/>
          <w:color w:val="auto"/>
          <w:sz w:val="24"/>
          <w:szCs w:val="24"/>
          <w:highlight w:val="none"/>
          <w:u w:val="none"/>
          <w:lang w:val="en-US" w:eastAsia="zh-CN"/>
        </w:rPr>
        <w:t>约3000</w:t>
      </w:r>
      <w:r>
        <w:rPr>
          <w:rFonts w:hint="eastAsia" w:ascii="宋体" w:hAnsi="宋体" w:eastAsia="宋体" w:cs="宋体"/>
          <w:b w:val="0"/>
          <w:bCs w:val="0"/>
          <w:color w:val="auto"/>
          <w:sz w:val="24"/>
          <w:szCs w:val="24"/>
          <w:highlight w:val="none"/>
          <w:u w:val="none"/>
        </w:rPr>
        <w:t>平方米、隧道</w:t>
      </w:r>
      <w:r>
        <w:rPr>
          <w:rFonts w:hint="eastAsia" w:ascii="宋体" w:hAnsi="宋体" w:eastAsia="宋体" w:cs="宋体"/>
          <w:b w:val="0"/>
          <w:bCs w:val="0"/>
          <w:color w:val="auto"/>
          <w:sz w:val="24"/>
          <w:szCs w:val="24"/>
          <w:highlight w:val="none"/>
          <w:u w:val="none"/>
          <w:lang w:val="en-US" w:eastAsia="zh-CN"/>
        </w:rPr>
        <w:t>约</w:t>
      </w:r>
      <w:r>
        <w:rPr>
          <w:rFonts w:hint="eastAsia" w:ascii="宋体" w:hAnsi="宋体" w:eastAsia="宋体" w:cs="宋体"/>
          <w:b w:val="0"/>
          <w:bCs w:val="0"/>
          <w:color w:val="auto"/>
          <w:sz w:val="24"/>
          <w:szCs w:val="24"/>
          <w:highlight w:val="none"/>
          <w:u w:val="none"/>
        </w:rPr>
        <w:t>9</w:t>
      </w:r>
      <w:r>
        <w:rPr>
          <w:rFonts w:hint="eastAsia" w:ascii="宋体" w:hAnsi="宋体" w:eastAsia="宋体" w:cs="宋体"/>
          <w:b w:val="0"/>
          <w:bCs w:val="0"/>
          <w:color w:val="auto"/>
          <w:sz w:val="24"/>
          <w:szCs w:val="24"/>
          <w:highlight w:val="none"/>
          <w:u w:val="none"/>
          <w:lang w:val="en-US" w:eastAsia="zh-CN"/>
        </w:rPr>
        <w:t>0</w:t>
      </w:r>
      <w:r>
        <w:rPr>
          <w:rFonts w:hint="eastAsia" w:ascii="宋体" w:hAnsi="宋体" w:eastAsia="宋体" w:cs="宋体"/>
          <w:b w:val="0"/>
          <w:bCs w:val="0"/>
          <w:color w:val="auto"/>
          <w:sz w:val="24"/>
          <w:szCs w:val="24"/>
          <w:highlight w:val="none"/>
          <w:u w:val="none"/>
        </w:rPr>
        <w:t>平方米）涵盖动物展示、海豚表演等项目，是传统海洋馆类型；建筑高度</w:t>
      </w:r>
      <w:r>
        <w:rPr>
          <w:rFonts w:hint="eastAsia" w:ascii="宋体" w:hAnsi="宋体" w:eastAsia="宋体" w:cs="宋体"/>
          <w:b w:val="0"/>
          <w:bCs w:val="0"/>
          <w:color w:val="auto"/>
          <w:sz w:val="24"/>
          <w:szCs w:val="24"/>
          <w:highlight w:val="none"/>
          <w:u w:val="none"/>
          <w:lang w:val="en-US" w:eastAsia="zh-CN"/>
        </w:rPr>
        <w:t>约</w:t>
      </w:r>
      <w:r>
        <w:rPr>
          <w:rFonts w:hint="eastAsia" w:ascii="宋体" w:hAnsi="宋体" w:eastAsia="宋体" w:cs="宋体"/>
          <w:b w:val="0"/>
          <w:bCs w:val="0"/>
          <w:color w:val="auto"/>
          <w:sz w:val="24"/>
          <w:szCs w:val="24"/>
          <w:highlight w:val="none"/>
          <w:u w:val="none"/>
        </w:rPr>
        <w:t>1</w:t>
      </w:r>
      <w:r>
        <w:rPr>
          <w:rFonts w:hint="eastAsia" w:ascii="宋体" w:hAnsi="宋体" w:eastAsia="宋体" w:cs="宋体"/>
          <w:b w:val="0"/>
          <w:bCs w:val="0"/>
          <w:color w:val="auto"/>
          <w:sz w:val="24"/>
          <w:szCs w:val="24"/>
          <w:highlight w:val="none"/>
          <w:u w:val="none"/>
          <w:lang w:val="en-US" w:eastAsia="zh-CN"/>
        </w:rPr>
        <w:t>5</w:t>
      </w:r>
      <w:r>
        <w:rPr>
          <w:rFonts w:hint="eastAsia" w:ascii="宋体" w:hAnsi="宋体" w:eastAsia="宋体" w:cs="宋体"/>
          <w:b w:val="0"/>
          <w:bCs w:val="0"/>
          <w:color w:val="auto"/>
          <w:sz w:val="24"/>
          <w:szCs w:val="24"/>
          <w:highlight w:val="none"/>
          <w:u w:val="none"/>
        </w:rPr>
        <w:t>米，最大单跨20米。</w:t>
      </w:r>
    </w:p>
    <w:p>
      <w:pPr>
        <w:numPr>
          <w:ilvl w:val="0"/>
          <w:numId w:val="1"/>
        </w:numPr>
        <w:autoSpaceDN w:val="0"/>
        <w:spacing w:line="360" w:lineRule="auto"/>
        <w:ind w:firstLine="537" w:firstLineChars="224"/>
        <w:rPr>
          <w:rFonts w:ascii="宋体" w:hAnsi="宋体" w:cs="宋体"/>
          <w:sz w:val="24"/>
          <w:szCs w:val="24"/>
          <w:highlight w:val="none"/>
        </w:rPr>
      </w:pPr>
      <w:r>
        <w:rPr>
          <w:rFonts w:hint="eastAsia" w:ascii="宋体" w:hAnsi="宋体" w:cs="宋体"/>
          <w:sz w:val="24"/>
          <w:szCs w:val="24"/>
          <w:highlight w:val="none"/>
        </w:rPr>
        <w:t>2.1.3工程建设地点：广州海洋馆(广州动物园内)，广州市越秀区，东邻十九路军陵园，南接环市东路，西边云鹤路，北衔先烈中路。</w:t>
      </w:r>
    </w:p>
    <w:p>
      <w:pPr>
        <w:wordWrap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2.1.4工程</w:t>
      </w:r>
      <w:r>
        <w:rPr>
          <w:rFonts w:hint="eastAsia" w:ascii="宋体" w:hAnsi="宋体" w:cs="宋体"/>
          <w:sz w:val="24"/>
          <w:szCs w:val="24"/>
          <w:highlight w:val="none"/>
          <w:lang w:val="en-US" w:eastAsia="zh-CN"/>
        </w:rPr>
        <w:t>建安费</w:t>
      </w:r>
      <w:r>
        <w:rPr>
          <w:rFonts w:hint="eastAsia" w:ascii="宋体" w:hAnsi="宋体" w:cs="宋体"/>
          <w:sz w:val="24"/>
          <w:szCs w:val="24"/>
          <w:highlight w:val="none"/>
        </w:rPr>
        <w:t>：</w:t>
      </w:r>
      <w:r>
        <w:rPr>
          <w:rFonts w:hint="eastAsia" w:ascii="宋体" w:hAnsi="宋体" w:cs="宋体"/>
          <w:sz w:val="24"/>
          <w:szCs w:val="24"/>
          <w:highlight w:val="none"/>
          <w:u w:val="single"/>
          <w:lang w:val="en-US" w:eastAsia="zh-CN"/>
        </w:rPr>
        <w:t xml:space="preserve">19198.12 </w:t>
      </w:r>
      <w:r>
        <w:rPr>
          <w:rFonts w:hint="eastAsia" w:ascii="宋体" w:hAnsi="宋体" w:cs="宋体"/>
          <w:sz w:val="24"/>
          <w:szCs w:val="24"/>
          <w:highlight w:val="none"/>
        </w:rPr>
        <w:t>万元。</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2.2招标范围</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2.2.1监理标段划分：本项目设1个标段。</w:t>
      </w:r>
    </w:p>
    <w:p>
      <w:pPr>
        <w:tabs>
          <w:tab w:val="left" w:pos="7513"/>
        </w:tabs>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2.2.2监理范围：</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（1）本工程的监理范围为本工程的项目</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含专项工程）</w:t>
      </w:r>
      <w:r>
        <w:rPr>
          <w:rFonts w:hint="eastAsia" w:ascii="宋体" w:hAnsi="宋体" w:cs="宋体"/>
          <w:sz w:val="24"/>
          <w:szCs w:val="24"/>
          <w:highlight w:val="none"/>
        </w:rPr>
        <w:t>施工准备阶段、施工阶段、工程收尾阶段（包括但不限于竣工验收及竣工验收资料移交城建档案、整改、工程移交及实物移交、工程结算、竣工备案等）及工程质量保修阶段的质量控制、进度控制、投资控制、安全生产监督管理、合同管理、信息管理及组织协调等监理工作。</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除上述工作范围外，监理人还须按委托人或发包人的要求提前进场参与本工程开工前期的准备和筹划工作，协助委托人或发包人制定本监理工程的工程管理办法、各参建方职责及有关事务性工作等。具体按合同条款约定。</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2.2.3监理服务期限： </w:t>
      </w:r>
    </w:p>
    <w:p>
      <w:pPr>
        <w:spacing w:line="360" w:lineRule="auto"/>
        <w:ind w:left="0" w:leftChars="0" w:firstLine="480" w:firstLineChars="200"/>
        <w:rPr>
          <w:rFonts w:ascii="宋体" w:hAnsi="宋体" w:cs="宋体"/>
          <w:sz w:val="24"/>
          <w:szCs w:val="24"/>
          <w:highlight w:val="none"/>
        </w:rPr>
      </w:pPr>
      <w:r>
        <w:rPr>
          <w:rFonts w:hint="eastAsia" w:ascii="宋体" w:hAnsi="宋体" w:eastAsia="宋体" w:cs="宋体"/>
          <w:b w:val="0"/>
          <w:sz w:val="24"/>
          <w:szCs w:val="24"/>
          <w:highlight w:val="none"/>
        </w:rPr>
        <w:t>从监理人收到中标通知书或参加由委托人组织的第一次进场动员会之日起算，至所有工程缺陷责任期结束且办妥竣工结算止（此处竣工结算指项目终审部门进行的竣工结算）</w:t>
      </w:r>
      <w:r>
        <w:rPr>
          <w:rFonts w:hint="eastAsia" w:ascii="宋体" w:hAnsi="宋体" w:cs="宋体"/>
          <w:b w:val="0"/>
          <w:sz w:val="24"/>
          <w:szCs w:val="24"/>
          <w:highlight w:val="none"/>
          <w:lang w:eastAsia="zh-CN"/>
        </w:rPr>
        <w:t>，</w:t>
      </w:r>
      <w:r>
        <w:rPr>
          <w:rFonts w:hint="eastAsia" w:ascii="宋体" w:hAnsi="宋体" w:eastAsia="宋体" w:cs="宋体"/>
          <w:b w:val="0"/>
          <w:sz w:val="24"/>
          <w:szCs w:val="24"/>
          <w:highlight w:val="none"/>
        </w:rPr>
        <w:t>包括本工程的施工准备期、施工期、工程收尾等全过程</w:t>
      </w:r>
      <w:bookmarkStart w:id="40" w:name="_GoBack"/>
      <w:bookmarkEnd w:id="40"/>
      <w:r>
        <w:rPr>
          <w:rFonts w:hint="eastAsia" w:ascii="宋体" w:hAnsi="宋体" w:eastAsia="宋体" w:cs="宋体"/>
          <w:b w:val="0"/>
          <w:sz w:val="24"/>
          <w:szCs w:val="24"/>
          <w:highlight w:val="none"/>
        </w:rPr>
        <w:t>监理服务</w:t>
      </w:r>
      <w:r>
        <w:rPr>
          <w:rFonts w:hint="eastAsia" w:ascii="宋体" w:hAnsi="宋体" w:cs="宋体"/>
          <w:sz w:val="24"/>
          <w:szCs w:val="24"/>
          <w:highlight w:val="none"/>
        </w:rPr>
        <w:t>。</w:t>
      </w:r>
    </w:p>
    <w:p>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2.2.4监理服务最高投标限价：人民币</w:t>
      </w:r>
      <w:r>
        <w:rPr>
          <w:rFonts w:hint="eastAsia" w:ascii="宋体" w:hAnsi="宋体" w:cs="宋体"/>
          <w:sz w:val="24"/>
          <w:szCs w:val="24"/>
          <w:highlight w:val="none"/>
          <w:u w:val="single"/>
          <w:lang w:val="en-US" w:eastAsia="zh-CN"/>
        </w:rPr>
        <w:t xml:space="preserve"> 303.51万 </w:t>
      </w:r>
      <w:r>
        <w:rPr>
          <w:rFonts w:hint="eastAsia" w:ascii="宋体" w:hAnsi="宋体" w:cs="宋体"/>
          <w:sz w:val="24"/>
          <w:szCs w:val="24"/>
          <w:highlight w:val="none"/>
        </w:rPr>
        <w:t>元。</w:t>
      </w:r>
    </w:p>
    <w:p>
      <w:pPr>
        <w:pStyle w:val="2"/>
        <w:spacing w:line="360" w:lineRule="auto"/>
        <w:rPr>
          <w:rFonts w:ascii="宋体" w:hAnsi="宋体" w:eastAsia="宋体" w:cs="宋体"/>
          <w:highlight w:val="none"/>
        </w:rPr>
      </w:pPr>
      <w:bookmarkStart w:id="3" w:name="_Toc492300548"/>
      <w:r>
        <w:rPr>
          <w:rFonts w:hint="eastAsia" w:ascii="宋体" w:hAnsi="宋体" w:eastAsia="宋体" w:cs="宋体"/>
          <w:highlight w:val="none"/>
        </w:rPr>
        <w:t>3. 投标人资格要求</w:t>
      </w:r>
      <w:bookmarkEnd w:id="3"/>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3.1 本次招标要求投标人须具备</w:t>
      </w:r>
      <w:r>
        <w:rPr>
          <w:rFonts w:hint="eastAsia" w:ascii="宋体" w:hAnsi="宋体" w:cs="宋体"/>
          <w:b/>
          <w:bCs/>
          <w:sz w:val="24"/>
          <w:szCs w:val="24"/>
          <w:highlight w:val="none"/>
          <w:u w:val="single"/>
        </w:rPr>
        <w:t>工程监理综合资质</w:t>
      </w:r>
      <w:r>
        <w:rPr>
          <w:rFonts w:hint="eastAsia" w:ascii="宋体" w:hAnsi="宋体" w:cs="宋体"/>
          <w:sz w:val="24"/>
          <w:szCs w:val="24"/>
          <w:highlight w:val="none"/>
          <w:u w:val="single"/>
        </w:rPr>
        <w:t>或</w:t>
      </w:r>
      <w:r>
        <w:rPr>
          <w:rFonts w:hint="eastAsia" w:ascii="宋体" w:hAnsi="宋体" w:cs="宋体"/>
          <w:b/>
          <w:bCs/>
          <w:sz w:val="24"/>
          <w:szCs w:val="24"/>
          <w:highlight w:val="none"/>
          <w:u w:val="single"/>
        </w:rPr>
        <w:t>房屋建筑工程监理</w:t>
      </w:r>
      <w:r>
        <w:rPr>
          <w:rFonts w:hint="eastAsia" w:ascii="宋体" w:hAnsi="宋体" w:cs="宋体"/>
          <w:b/>
          <w:bCs/>
          <w:sz w:val="24"/>
          <w:szCs w:val="24"/>
          <w:highlight w:val="none"/>
          <w:u w:val="single"/>
          <w:lang w:val="en-US" w:eastAsia="zh-CN"/>
        </w:rPr>
        <w:t>乙</w:t>
      </w:r>
      <w:r>
        <w:rPr>
          <w:rFonts w:hint="eastAsia" w:ascii="宋体" w:hAnsi="宋体" w:cs="宋体"/>
          <w:b/>
          <w:bCs/>
          <w:sz w:val="24"/>
          <w:szCs w:val="24"/>
          <w:highlight w:val="none"/>
          <w:u w:val="single"/>
        </w:rPr>
        <w:t>级</w:t>
      </w:r>
      <w:r>
        <w:rPr>
          <w:rFonts w:hint="eastAsia" w:ascii="宋体" w:hAnsi="宋体" w:cs="宋体"/>
          <w:b/>
          <w:bCs/>
          <w:sz w:val="24"/>
          <w:szCs w:val="24"/>
          <w:highlight w:val="none"/>
          <w:u w:val="single"/>
          <w:lang w:eastAsia="zh-CN"/>
        </w:rPr>
        <w:t>（</w:t>
      </w:r>
      <w:r>
        <w:rPr>
          <w:rFonts w:hint="eastAsia" w:ascii="宋体" w:hAnsi="宋体" w:cs="宋体"/>
          <w:b/>
          <w:bCs/>
          <w:sz w:val="24"/>
          <w:szCs w:val="24"/>
          <w:highlight w:val="none"/>
          <w:u w:val="single"/>
          <w:lang w:val="en-US" w:eastAsia="zh-CN"/>
        </w:rPr>
        <w:t>或以上</w:t>
      </w:r>
      <w:r>
        <w:rPr>
          <w:rFonts w:hint="eastAsia" w:ascii="宋体" w:hAnsi="宋体" w:cs="宋体"/>
          <w:b/>
          <w:bCs/>
          <w:sz w:val="24"/>
          <w:szCs w:val="24"/>
          <w:highlight w:val="none"/>
          <w:u w:val="single"/>
          <w:lang w:eastAsia="zh-CN"/>
        </w:rPr>
        <w:t>）</w:t>
      </w:r>
      <w:r>
        <w:rPr>
          <w:rFonts w:hint="eastAsia" w:ascii="宋体" w:hAnsi="宋体" w:cs="宋体"/>
          <w:sz w:val="24"/>
          <w:szCs w:val="24"/>
          <w:highlight w:val="none"/>
        </w:rPr>
        <w:t>资质。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w:t>
      </w:r>
      <w:r>
        <w:rPr>
          <w:rFonts w:hint="eastAsia" w:ascii="宋体" w:hAnsi="宋体" w:cs="宋体"/>
          <w:color w:val="000000"/>
          <w:sz w:val="24"/>
          <w:szCs w:val="24"/>
          <w:highlight w:val="none"/>
          <w:u w:val="single"/>
        </w:rPr>
        <w:t>住房和城乡建设部或广东省各级住房城乡建设主管部门核发的工程监理企业资质，资质证书有效期按《住房和城乡建设部办公厅关于建设工程企业资质延续有关事项的通知》（建办市函〔2020〕334号）、《住房和城乡建设部办公厅关于建设工程企业资质统一延续有关事项的通知》（建办市函[2021]510号）</w:t>
      </w:r>
      <w:r>
        <w:rPr>
          <w:rFonts w:hint="eastAsia" w:ascii="宋体" w:hAnsi="宋体" w:cs="宋体"/>
          <w:color w:val="000000"/>
          <w:sz w:val="24"/>
          <w:szCs w:val="24"/>
          <w:highlight w:val="none"/>
          <w:u w:val="single"/>
          <w:lang w:eastAsia="zh-CN"/>
        </w:rPr>
        <w:t>、</w:t>
      </w:r>
      <w:r>
        <w:rPr>
          <w:rFonts w:hint="eastAsia" w:ascii="宋体" w:hAnsi="宋体" w:cs="宋体"/>
          <w:color w:val="000000"/>
          <w:sz w:val="24"/>
          <w:szCs w:val="24"/>
          <w:highlight w:val="none"/>
          <w:u w:val="single"/>
        </w:rPr>
        <w:t>《住房和城乡建设部建筑市场监管司关于建设工程企业资质有效期延期的通知》（建司局函市〔2020〕38号）、《广东省住房和城乡建设厅关于建设工程企业资质延续有关事项的通知》（粤建许函〔2020〕298号）和《住房和城乡建设部办公厅关于做好建筑业“证照分离”改革衔接有关工作的通知》（建办市〔2021〕30号）执行。香港企业参加投标的，须在广东省住房和城乡建设主管部门备案且备案的业务范围满足本项目资质要求。</w:t>
      </w:r>
    </w:p>
    <w:p>
      <w:pPr>
        <w:spacing w:line="360" w:lineRule="auto"/>
        <w:ind w:left="900" w:leftChars="200" w:hanging="480" w:hangingChars="200"/>
        <w:rPr>
          <w:rFonts w:ascii="宋体" w:hAnsi="宋体" w:cs="宋体"/>
          <w:sz w:val="24"/>
          <w:szCs w:val="24"/>
          <w:highlight w:val="none"/>
          <w:u w:val="single"/>
        </w:rPr>
      </w:pPr>
      <w:r>
        <w:rPr>
          <w:rFonts w:hint="eastAsia" w:ascii="宋体" w:hAnsi="宋体" w:cs="宋体"/>
          <w:sz w:val="24"/>
          <w:szCs w:val="24"/>
          <w:highlight w:val="none"/>
          <w:u w:val="single"/>
        </w:rPr>
        <w:t>3.2</w:t>
      </w:r>
      <w:r>
        <w:rPr>
          <w:rFonts w:hint="eastAsia" w:ascii="宋体" w:hAnsi="宋体" w:cs="宋体"/>
          <w:sz w:val="24"/>
          <w:szCs w:val="24"/>
          <w:highlight w:val="none"/>
        </w:rPr>
        <w:t>本次招标</w:t>
      </w:r>
      <w:r>
        <w:rPr>
          <w:rFonts w:hint="eastAsia" w:ascii="宋体" w:hAnsi="宋体" w:cs="宋体"/>
          <w:sz w:val="24"/>
          <w:szCs w:val="24"/>
          <w:highlight w:val="none"/>
          <w:u w:val="single"/>
        </w:rPr>
        <w:t xml:space="preserve"> 不接受 </w:t>
      </w:r>
      <w:r>
        <w:rPr>
          <w:rFonts w:hint="eastAsia" w:ascii="宋体" w:hAnsi="宋体" w:cs="宋体"/>
          <w:sz w:val="24"/>
          <w:szCs w:val="24"/>
          <w:highlight w:val="none"/>
        </w:rPr>
        <w:t>联合体投标。</w:t>
      </w:r>
    </w:p>
    <w:p>
      <w:pPr>
        <w:spacing w:line="360" w:lineRule="auto"/>
        <w:ind w:firstLine="437"/>
        <w:jc w:val="left"/>
        <w:rPr>
          <w:rFonts w:ascii="宋体" w:hAnsi="宋体" w:cs="宋体"/>
          <w:sz w:val="24"/>
          <w:szCs w:val="24"/>
          <w:highlight w:val="none"/>
          <w:u w:val="single"/>
        </w:rPr>
      </w:pPr>
      <w:r>
        <w:rPr>
          <w:rFonts w:hint="eastAsia" w:ascii="宋体" w:hAnsi="宋体" w:cs="宋体"/>
          <w:sz w:val="24"/>
          <w:szCs w:val="24"/>
          <w:highlight w:val="none"/>
        </w:rPr>
        <w:t>3.3拟派总监理工程师须具备：建设部2006年4月1日后颁发的中华人民共和国</w:t>
      </w:r>
      <w:r>
        <w:rPr>
          <w:rFonts w:hint="eastAsia" w:ascii="宋体" w:hAnsi="宋体" w:cs="宋体"/>
          <w:b/>
          <w:bCs/>
          <w:sz w:val="24"/>
          <w:szCs w:val="24"/>
          <w:highlight w:val="none"/>
        </w:rPr>
        <w:t>注册监理工程师注册执业证书，且其注册专业为房屋建筑工程</w:t>
      </w:r>
      <w:r>
        <w:rPr>
          <w:rFonts w:hint="eastAsia" w:ascii="宋体" w:hAnsi="宋体" w:cs="宋体"/>
          <w:sz w:val="24"/>
          <w:szCs w:val="24"/>
          <w:highlight w:val="none"/>
        </w:rPr>
        <w:t>，注册执业单位为本公司。</w:t>
      </w:r>
      <w:r>
        <w:rPr>
          <w:rFonts w:hint="eastAsia" w:ascii="宋体" w:hAnsi="宋体" w:cs="宋体"/>
          <w:color w:val="000000"/>
          <w:sz w:val="24"/>
          <w:szCs w:val="24"/>
          <w:highlight w:val="none"/>
          <w:u w:val="single"/>
        </w:rPr>
        <w:t>或在广东省住房和城乡建设主管部门备案且备案的资格满足本项目总监理工程师的资格要求的香港专业人士。</w:t>
      </w:r>
    </w:p>
    <w:p>
      <w:pPr>
        <w:spacing w:line="360" w:lineRule="auto"/>
        <w:ind w:left="2357" w:leftChars="208" w:hanging="1920" w:hangingChars="800"/>
        <w:jc w:val="left"/>
        <w:rPr>
          <w:rFonts w:ascii="宋体" w:hAnsi="宋体" w:cs="宋体"/>
          <w:sz w:val="24"/>
          <w:szCs w:val="24"/>
          <w:highlight w:val="none"/>
        </w:rPr>
      </w:pPr>
      <w:r>
        <w:rPr>
          <w:rFonts w:hint="eastAsia" w:ascii="宋体" w:hAnsi="宋体" w:cs="宋体"/>
          <w:sz w:val="24"/>
          <w:szCs w:val="24"/>
          <w:highlight w:val="none"/>
        </w:rPr>
        <w:t>3.4其他要求：</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① 投标人参加投标的意思表达清楚，投标人代表被授权有效。</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② 投标人均具有独立法人资格，持有有效的工商行政</w:t>
      </w:r>
      <w:r>
        <w:rPr>
          <w:rFonts w:hint="eastAsia" w:ascii="宋体" w:hAnsi="宋体" w:cs="宋体"/>
          <w:color w:val="000000"/>
          <w:sz w:val="24"/>
          <w:szCs w:val="24"/>
          <w:highlight w:val="none"/>
          <w:u w:val="single"/>
        </w:rPr>
        <w:t>（市场监督）</w:t>
      </w:r>
      <w:r>
        <w:rPr>
          <w:rFonts w:hint="eastAsia" w:ascii="宋体" w:hAnsi="宋体" w:cs="宋体"/>
          <w:sz w:val="24"/>
          <w:szCs w:val="24"/>
          <w:highlight w:val="none"/>
        </w:rPr>
        <w:t>管理部门核发的法人营业执照，按国家法律经营。</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③资格审查前，投标人须在广州市住房和城乡建设局建立了企业诚信档案，且拟担任本项目的总监理工程师须是本企业诚信档案中的在册人员。</w:t>
      </w:r>
    </w:p>
    <w:p>
      <w:pPr>
        <w:spacing w:line="360" w:lineRule="auto"/>
        <w:ind w:firstLine="537" w:firstLineChars="224"/>
        <w:rPr>
          <w:rFonts w:ascii="宋体" w:hAnsi="宋体" w:cs="宋体"/>
          <w:b/>
          <w:kern w:val="0"/>
          <w:sz w:val="24"/>
          <w:szCs w:val="24"/>
          <w:highlight w:val="none"/>
          <w:u w:val="single"/>
        </w:rPr>
      </w:pPr>
      <w:r>
        <w:rPr>
          <w:rFonts w:hint="eastAsia" w:ascii="宋体" w:hAnsi="宋体" w:cs="宋体"/>
          <w:sz w:val="24"/>
          <w:szCs w:val="24"/>
          <w:highlight w:val="none"/>
        </w:rPr>
        <w:t>注：</w:t>
      </w:r>
      <w:r>
        <w:rPr>
          <w:rFonts w:hint="eastAsia" w:ascii="宋体" w:hAnsi="宋体" w:cs="宋体"/>
          <w:sz w:val="24"/>
          <w:highlight w:val="none"/>
          <w:u w:val="single"/>
          <w:lang w:bidi="ar"/>
        </w:rPr>
        <w:t>企业</w:t>
      </w:r>
      <w:r>
        <w:rPr>
          <w:rFonts w:hint="eastAsia" w:ascii="宋体" w:hAnsi="宋体" w:cs="宋体"/>
          <w:b/>
          <w:sz w:val="24"/>
          <w:highlight w:val="none"/>
          <w:u w:val="single"/>
          <w:lang w:bidi="ar"/>
        </w:rPr>
        <w:t>信用</w:t>
      </w:r>
      <w:r>
        <w:rPr>
          <w:rFonts w:hint="eastAsia" w:ascii="宋体" w:hAnsi="宋体" w:cs="宋体"/>
          <w:sz w:val="24"/>
          <w:highlight w:val="none"/>
          <w:u w:val="single"/>
          <w:lang w:bidi="ar"/>
        </w:rPr>
        <w:t>档案取自投标截止时间投标人在</w:t>
      </w:r>
      <w:r>
        <w:rPr>
          <w:rFonts w:hint="eastAsia" w:ascii="宋体" w:hAnsi="宋体" w:cs="宋体"/>
          <w:b/>
          <w:sz w:val="24"/>
          <w:highlight w:val="none"/>
          <w:u w:val="single"/>
          <w:lang w:bidi="ar"/>
        </w:rPr>
        <w:t>信用管理平台</w:t>
      </w:r>
      <w:r>
        <w:rPr>
          <w:rFonts w:hint="eastAsia" w:ascii="宋体" w:hAnsi="宋体" w:cs="宋体"/>
          <w:sz w:val="24"/>
          <w:highlight w:val="none"/>
          <w:u w:val="single"/>
          <w:lang w:bidi="ar"/>
        </w:rPr>
        <w:t>的信息，投标人无需提交相关资料，若招标人延长递交投标文件截止时间的，</w:t>
      </w:r>
      <w:r>
        <w:rPr>
          <w:rFonts w:hint="eastAsia" w:ascii="宋体" w:hAnsi="宋体" w:cs="宋体"/>
          <w:b/>
          <w:sz w:val="24"/>
          <w:highlight w:val="none"/>
          <w:u w:val="single"/>
          <w:lang w:bidi="ar"/>
        </w:rPr>
        <w:t>信用档案</w:t>
      </w:r>
      <w:r>
        <w:rPr>
          <w:rFonts w:hint="eastAsia" w:ascii="宋体" w:hAnsi="宋体" w:cs="宋体"/>
          <w:sz w:val="24"/>
          <w:highlight w:val="none"/>
          <w:u w:val="single"/>
          <w:lang w:bidi="ar"/>
        </w:rPr>
        <w:t>信息的评审时点也相应延长。（</w:t>
      </w:r>
      <w:r>
        <w:rPr>
          <w:rFonts w:hint="eastAsia" w:ascii="宋体" w:hAnsi="宋体" w:cs="宋体"/>
          <w:b/>
          <w:sz w:val="24"/>
          <w:highlight w:val="none"/>
          <w:u w:val="single"/>
          <w:lang w:bidi="ar"/>
        </w:rPr>
        <w:t>信用档案</w:t>
      </w:r>
      <w:r>
        <w:rPr>
          <w:rFonts w:hint="eastAsia" w:ascii="宋体" w:hAnsi="宋体" w:cs="宋体"/>
          <w:sz w:val="24"/>
          <w:highlight w:val="none"/>
          <w:u w:val="single"/>
          <w:lang w:bidi="ar"/>
        </w:rPr>
        <w:t>办理详见《</w:t>
      </w:r>
      <w:r>
        <w:rPr>
          <w:rFonts w:hint="eastAsia" w:ascii="宋体" w:hAnsi="宋体" w:cs="宋体"/>
          <w:b/>
          <w:sz w:val="24"/>
          <w:highlight w:val="none"/>
          <w:u w:val="single"/>
          <w:lang w:bidi="ar"/>
        </w:rPr>
        <w:t>广州市住建行业信用管理平台监理企业信息录入指引》</w:t>
      </w:r>
    </w:p>
    <w:p>
      <w:pPr>
        <w:spacing w:line="360" w:lineRule="auto"/>
        <w:ind w:firstLine="420" w:firstLineChars="200"/>
        <w:rPr>
          <w:highlight w:val="none"/>
        </w:rPr>
      </w:pPr>
      <w:r>
        <w:rPr>
          <w:rFonts w:hint="eastAsia"/>
          <w:highlight w:val="none"/>
        </w:rPr>
        <w:t>http://zfcj.gz.gov.cn/zwgk/zsdwxxgkzl/gzsjzyglfwzx/bszy/content/post_8484886.html）</w:t>
      </w:r>
    </w:p>
    <w:p>
      <w:pPr>
        <w:pStyle w:val="10"/>
        <w:widowControl/>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④投标人已按规定格式签字盖章《投标人声明》（格式见本招标公告附件一）作为投标人资格要求之一，此《投标人声明》应同时作为投标文件中资格审查资料的组成部分。 </w:t>
      </w:r>
    </w:p>
    <w:p>
      <w:pPr>
        <w:pStyle w:val="10"/>
        <w:widowControl/>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color w:val="000000"/>
          <w:kern w:val="2"/>
          <w:sz w:val="24"/>
          <w:szCs w:val="24"/>
          <w:highlight w:val="none"/>
        </w:rPr>
        <w:t>⑤未被纳入失信联合惩戒名单且被限制参加建设工程投标的（具体名单以递交投标文件截止时间“信用广州”https://credit1.gz.gov.cn/sgs/sgsXkNew公布的“失信黑名单（国家下发）”为准。不包含限制参加财政投资工程或政府投资工程的投标）；本项评审投标人无需提供资料，按资格评审时广州公共资源交易中心交易系统比对的结果进行评审。</w:t>
      </w:r>
    </w:p>
    <w:p>
      <w:pPr>
        <w:pStyle w:val="10"/>
        <w:widowControl/>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注：依据《广东省住房和城乡建设厅关于印发香港工程建设咨询企业和专业人士在粤港澳大湾区内地城市开业执业试点管理暂行办法的通知》（粤建规范〔2020〕1号，详见链接：http://zfcxjst.gd.gov.cn/xxgk/wjtz/content/post_3137220.html），自2021年1月1日起，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 </w:t>
      </w:r>
    </w:p>
    <w:p>
      <w:pPr>
        <w:pStyle w:val="2"/>
        <w:spacing w:line="360" w:lineRule="auto"/>
        <w:rPr>
          <w:rFonts w:ascii="宋体" w:hAnsi="宋体" w:eastAsia="宋体" w:cs="宋体"/>
          <w:highlight w:val="none"/>
        </w:rPr>
      </w:pPr>
      <w:bookmarkStart w:id="4" w:name="_Toc492300549"/>
      <w:r>
        <w:rPr>
          <w:rFonts w:hint="eastAsia" w:ascii="宋体" w:hAnsi="宋体" w:eastAsia="宋体" w:cs="宋体"/>
          <w:highlight w:val="none"/>
        </w:rPr>
        <w:t>4. 招标文件的获取</w:t>
      </w:r>
      <w:bookmarkEnd w:id="4"/>
    </w:p>
    <w:p>
      <w:pPr>
        <w:wordWrap w:val="0"/>
        <w:spacing w:line="360" w:lineRule="auto"/>
        <w:ind w:left="210" w:leftChars="100" w:firstLine="240" w:firstLineChars="100"/>
        <w:rPr>
          <w:rFonts w:ascii="宋体" w:cs="宋体"/>
          <w:sz w:val="24"/>
          <w:szCs w:val="24"/>
          <w:highlight w:val="none"/>
        </w:rPr>
      </w:pPr>
      <w:bookmarkStart w:id="5" w:name="_Toc514099628"/>
      <w:bookmarkStart w:id="6" w:name="_Toc3471142"/>
      <w:bookmarkStart w:id="7" w:name="_Toc492300550"/>
      <w:r>
        <w:rPr>
          <w:rFonts w:hint="eastAsia" w:ascii="宋体" w:cs="宋体"/>
          <w:sz w:val="24"/>
          <w:szCs w:val="24"/>
          <w:highlight w:val="none"/>
          <w:lang w:bidi="ar"/>
        </w:rPr>
        <w:t>4.1凡有意参加投标者，请于</w:t>
      </w:r>
      <w:r>
        <w:rPr>
          <w:rFonts w:hint="eastAsia" w:ascii="宋体" w:cs="宋体"/>
          <w:sz w:val="24"/>
          <w:szCs w:val="24"/>
          <w:highlight w:val="none"/>
          <w:u w:val="single"/>
          <w:lang w:bidi="ar"/>
        </w:rPr>
        <w:t>2022</w:t>
      </w:r>
      <w:r>
        <w:rPr>
          <w:rFonts w:hint="eastAsia" w:ascii="宋体" w:cs="宋体"/>
          <w:sz w:val="24"/>
          <w:szCs w:val="24"/>
          <w:highlight w:val="none"/>
          <w:lang w:bidi="ar"/>
        </w:rPr>
        <w:t>年</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月</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日</w:t>
      </w:r>
      <w:r>
        <w:rPr>
          <w:rFonts w:hint="eastAsia" w:ascii="宋体" w:cs="宋体"/>
          <w:sz w:val="24"/>
          <w:szCs w:val="24"/>
          <w:highlight w:val="none"/>
          <w:u w:val="single"/>
          <w:lang w:bidi="ar"/>
        </w:rPr>
        <w:t>0</w:t>
      </w:r>
      <w:r>
        <w:rPr>
          <w:rFonts w:hint="eastAsia" w:ascii="宋体" w:cs="宋体"/>
          <w:sz w:val="24"/>
          <w:szCs w:val="24"/>
          <w:highlight w:val="none"/>
          <w:lang w:bidi="ar"/>
        </w:rPr>
        <w:t>时</w:t>
      </w:r>
      <w:r>
        <w:rPr>
          <w:rFonts w:hint="eastAsia" w:ascii="宋体" w:cs="宋体"/>
          <w:sz w:val="24"/>
          <w:szCs w:val="24"/>
          <w:highlight w:val="none"/>
          <w:u w:val="single"/>
          <w:lang w:bidi="ar"/>
        </w:rPr>
        <w:t>0</w:t>
      </w:r>
      <w:r>
        <w:rPr>
          <w:rFonts w:hint="eastAsia" w:ascii="宋体" w:cs="宋体"/>
          <w:sz w:val="24"/>
          <w:szCs w:val="24"/>
          <w:highlight w:val="none"/>
          <w:lang w:bidi="ar"/>
        </w:rPr>
        <w:t>分至</w:t>
      </w:r>
      <w:r>
        <w:rPr>
          <w:rFonts w:hint="eastAsia" w:ascii="宋体" w:cs="宋体"/>
          <w:sz w:val="24"/>
          <w:szCs w:val="24"/>
          <w:highlight w:val="none"/>
          <w:u w:val="single"/>
          <w:lang w:bidi="ar"/>
        </w:rPr>
        <w:t>2022</w:t>
      </w:r>
      <w:r>
        <w:rPr>
          <w:rFonts w:hint="eastAsia" w:ascii="宋体" w:cs="宋体"/>
          <w:sz w:val="24"/>
          <w:szCs w:val="24"/>
          <w:highlight w:val="none"/>
          <w:lang w:bidi="ar"/>
        </w:rPr>
        <w:t>年</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月</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日</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时</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分(北京时间，下同)，登录广州公共资源交易中心网站（http://ggzy.gz.gov.cn）</w:t>
      </w:r>
      <w:r>
        <w:rPr>
          <w:rFonts w:hint="eastAsia" w:ascii="宋体" w:hAnsi="宋体" w:cs="宋体"/>
          <w:sz w:val="24"/>
          <w:szCs w:val="24"/>
          <w:highlight w:val="none"/>
          <w:lang w:bidi="ar"/>
        </w:rPr>
        <w:t>下载电子招标文件。</w:t>
      </w:r>
    </w:p>
    <w:p>
      <w:pPr>
        <w:wordWrap w:val="0"/>
        <w:spacing w:line="360" w:lineRule="auto"/>
        <w:ind w:left="660" w:leftChars="200" w:hanging="240" w:hangingChars="100"/>
        <w:rPr>
          <w:rFonts w:ascii="宋体" w:cs="宋体"/>
          <w:sz w:val="24"/>
          <w:szCs w:val="24"/>
          <w:highlight w:val="none"/>
        </w:rPr>
      </w:pPr>
      <w:bookmarkStart w:id="8" w:name="_Toc511557030"/>
      <w:r>
        <w:rPr>
          <w:rFonts w:hint="eastAsia" w:ascii="宋体" w:cs="宋体"/>
          <w:sz w:val="24"/>
          <w:szCs w:val="24"/>
          <w:highlight w:val="none"/>
          <w:lang w:bidi="ar"/>
        </w:rPr>
        <w:t>4.2 发布招标公告时间（含本日）</w:t>
      </w:r>
      <w:r>
        <w:rPr>
          <w:rFonts w:hint="eastAsia" w:ascii="宋体" w:cs="宋体"/>
          <w:sz w:val="24"/>
          <w:szCs w:val="24"/>
          <w:highlight w:val="none"/>
          <w:u w:val="single"/>
          <w:lang w:bidi="ar"/>
        </w:rPr>
        <w:t>2022</w:t>
      </w:r>
      <w:r>
        <w:rPr>
          <w:rFonts w:hint="eastAsia" w:ascii="宋体" w:cs="宋体"/>
          <w:sz w:val="24"/>
          <w:szCs w:val="24"/>
          <w:highlight w:val="none"/>
          <w:lang w:bidi="ar"/>
        </w:rPr>
        <w:t>年</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月</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日</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时</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分至</w:t>
      </w:r>
      <w:r>
        <w:rPr>
          <w:rFonts w:hint="eastAsia" w:ascii="宋体" w:cs="宋体"/>
          <w:sz w:val="24"/>
          <w:szCs w:val="24"/>
          <w:highlight w:val="none"/>
          <w:u w:val="single"/>
          <w:lang w:bidi="ar"/>
        </w:rPr>
        <w:t>2022</w:t>
      </w:r>
      <w:r>
        <w:rPr>
          <w:rFonts w:hint="eastAsia" w:ascii="宋体" w:cs="宋体"/>
          <w:sz w:val="24"/>
          <w:szCs w:val="24"/>
          <w:highlight w:val="none"/>
          <w:lang w:bidi="ar"/>
        </w:rPr>
        <w:t>年</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月</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日</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时</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分。</w:t>
      </w:r>
    </w:p>
    <w:p>
      <w:pPr>
        <w:wordWrap w:val="0"/>
        <w:spacing w:line="360" w:lineRule="auto"/>
        <w:ind w:firstLine="480" w:firstLineChars="200"/>
        <w:rPr>
          <w:rFonts w:ascii="宋体" w:cs="宋体"/>
          <w:sz w:val="24"/>
          <w:szCs w:val="24"/>
          <w:highlight w:val="none"/>
        </w:rPr>
      </w:pPr>
      <w:r>
        <w:rPr>
          <w:rFonts w:hint="eastAsia" w:ascii="宋体" w:cs="宋体"/>
          <w:sz w:val="24"/>
          <w:szCs w:val="24"/>
          <w:highlight w:val="none"/>
          <w:lang w:bidi="ar"/>
        </w:rPr>
        <w:t>注：发布招标公告的时间为招标公告发出之日起至递交投标文件截止时间止。</w:t>
      </w:r>
    </w:p>
    <w:p>
      <w:pPr>
        <w:wordWrap w:val="0"/>
        <w:spacing w:line="360" w:lineRule="auto"/>
        <w:ind w:firstLine="480" w:firstLineChars="200"/>
        <w:rPr>
          <w:rFonts w:ascii="宋体" w:cs="宋体"/>
          <w:sz w:val="24"/>
          <w:szCs w:val="24"/>
          <w:highlight w:val="none"/>
        </w:rPr>
      </w:pPr>
      <w:r>
        <w:rPr>
          <w:rFonts w:hint="eastAsia" w:ascii="宋体" w:cs="宋体"/>
          <w:sz w:val="24"/>
          <w:szCs w:val="24"/>
          <w:highlight w:val="none"/>
          <w:lang w:bidi="ar"/>
        </w:rPr>
        <w:t xml:space="preserve">4.2.1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广州公共资源交易中心网站。 </w:t>
      </w:r>
    </w:p>
    <w:p>
      <w:pPr>
        <w:wordWrap w:val="0"/>
        <w:spacing w:line="360" w:lineRule="auto"/>
        <w:ind w:firstLine="480" w:firstLineChars="200"/>
        <w:rPr>
          <w:rFonts w:ascii="宋体" w:cs="宋体"/>
          <w:sz w:val="24"/>
          <w:szCs w:val="24"/>
          <w:highlight w:val="none"/>
        </w:rPr>
      </w:pPr>
      <w:r>
        <w:rPr>
          <w:rFonts w:hint="eastAsia" w:ascii="宋体" w:cs="宋体"/>
          <w:sz w:val="24"/>
          <w:szCs w:val="24"/>
          <w:highlight w:val="none"/>
          <w:lang w:bidi="ar"/>
        </w:rPr>
        <w:t>注：在投标登记时，投标人应按本项目招标文件第五章委托人要求《项目监理人员组成配备要求表》中的人员配备要求在交易系统中填写《监理项目管理团队人员信息表》（详见招标公告附件二），表中的项目管理团队人员信息作为投标文件的一部分，将由交易系统提取后供各相关单位在中标人履约时进行比对、查核。</w:t>
      </w:r>
    </w:p>
    <w:p>
      <w:pPr>
        <w:wordWrap w:val="0"/>
        <w:spacing w:line="360" w:lineRule="auto"/>
        <w:ind w:firstLine="480" w:firstLineChars="200"/>
        <w:rPr>
          <w:rFonts w:ascii="宋体" w:cs="宋体"/>
          <w:sz w:val="24"/>
          <w:szCs w:val="24"/>
          <w:highlight w:val="none"/>
        </w:rPr>
      </w:pPr>
      <w:r>
        <w:rPr>
          <w:rFonts w:hint="eastAsia" w:ascii="宋体" w:cs="宋体"/>
          <w:sz w:val="24"/>
          <w:szCs w:val="24"/>
          <w:highlight w:val="none"/>
          <w:lang w:bidi="ar"/>
        </w:rPr>
        <w:t>4.2.2开标时间：</w:t>
      </w:r>
      <w:r>
        <w:rPr>
          <w:rFonts w:hint="eastAsia" w:ascii="宋体" w:cs="宋体"/>
          <w:sz w:val="24"/>
          <w:szCs w:val="24"/>
          <w:highlight w:val="none"/>
          <w:u w:val="single"/>
          <w:lang w:bidi="ar"/>
        </w:rPr>
        <w:t>2022</w:t>
      </w:r>
      <w:r>
        <w:rPr>
          <w:rFonts w:hint="eastAsia" w:ascii="宋体" w:cs="宋体"/>
          <w:sz w:val="24"/>
          <w:szCs w:val="24"/>
          <w:highlight w:val="none"/>
          <w:lang w:bidi="ar"/>
        </w:rPr>
        <w:t>年</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月</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日</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时</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分。</w:t>
      </w:r>
    </w:p>
    <w:p>
      <w:pPr>
        <w:wordWrap w:val="0"/>
        <w:spacing w:line="360" w:lineRule="auto"/>
        <w:ind w:firstLine="480" w:firstLineChars="200"/>
        <w:rPr>
          <w:rFonts w:ascii="宋体" w:cs="宋体"/>
          <w:sz w:val="24"/>
          <w:szCs w:val="24"/>
          <w:highlight w:val="none"/>
        </w:rPr>
      </w:pPr>
      <w:r>
        <w:rPr>
          <w:rFonts w:hint="eastAsia" w:ascii="宋体" w:cs="宋体"/>
          <w:sz w:val="24"/>
          <w:szCs w:val="24"/>
          <w:highlight w:val="none"/>
          <w:lang w:bidi="ar"/>
        </w:rPr>
        <w:t>4.3 本项目采用资格后审方式。</w:t>
      </w:r>
    </w:p>
    <w:p>
      <w:pPr>
        <w:wordWrap w:val="0"/>
        <w:spacing w:line="360" w:lineRule="auto"/>
        <w:ind w:firstLine="480" w:firstLineChars="200"/>
        <w:rPr>
          <w:rFonts w:ascii="宋体" w:cs="宋体"/>
          <w:sz w:val="24"/>
          <w:szCs w:val="24"/>
          <w:highlight w:val="none"/>
        </w:rPr>
      </w:pPr>
      <w:r>
        <w:rPr>
          <w:rFonts w:hint="eastAsia" w:ascii="宋体" w:cs="宋体"/>
          <w:sz w:val="24"/>
          <w:szCs w:val="24"/>
          <w:highlight w:val="none"/>
          <w:lang w:bidi="ar"/>
        </w:rPr>
        <w:t>注：（1）电子招投标操作流程详见广州公共资源交易中心网站发布的最新版操作指引。</w:t>
      </w:r>
    </w:p>
    <w:p>
      <w:pPr>
        <w:wordWrap w:val="0"/>
        <w:spacing w:line="360" w:lineRule="auto"/>
        <w:ind w:firstLine="480" w:firstLineChars="200"/>
        <w:rPr>
          <w:rFonts w:ascii="宋体" w:cs="宋体"/>
          <w:sz w:val="24"/>
          <w:szCs w:val="24"/>
          <w:highlight w:val="none"/>
        </w:rPr>
      </w:pPr>
      <w:bookmarkStart w:id="9" w:name="_Toc27470_WPSOffice_Level3"/>
      <w:r>
        <w:rPr>
          <w:rFonts w:hint="eastAsia" w:ascii="宋体" w:cs="宋体"/>
          <w:sz w:val="24"/>
          <w:szCs w:val="24"/>
          <w:highlight w:val="none"/>
          <w:lang w:bidi="ar"/>
        </w:rPr>
        <w:t>（2）本公告发布之日起开始计算备标时间。</w:t>
      </w:r>
      <w:bookmarkEnd w:id="9"/>
    </w:p>
    <w:p>
      <w:pPr>
        <w:wordWrap w:val="0"/>
        <w:spacing w:line="360" w:lineRule="auto"/>
        <w:ind w:firstLine="480" w:firstLineChars="200"/>
        <w:rPr>
          <w:rFonts w:ascii="宋体" w:cs="宋体"/>
          <w:sz w:val="24"/>
          <w:szCs w:val="24"/>
          <w:highlight w:val="none"/>
        </w:rPr>
      </w:pPr>
      <w:r>
        <w:rPr>
          <w:rFonts w:hint="eastAsia" w:ascii="宋体" w:cs="宋体"/>
          <w:sz w:val="24"/>
          <w:szCs w:val="24"/>
          <w:highlight w:val="none"/>
          <w:lang w:bidi="ar"/>
        </w:rPr>
        <w:t>4.4 潜在投标人或利害关系人对本招标公告及招标内容异议的，可向招标人书面提出。</w:t>
      </w:r>
      <w:bookmarkEnd w:id="5"/>
      <w:bookmarkEnd w:id="6"/>
      <w:bookmarkEnd w:id="8"/>
    </w:p>
    <w:p>
      <w:pPr>
        <w:pStyle w:val="2"/>
        <w:spacing w:line="360" w:lineRule="auto"/>
        <w:rPr>
          <w:rFonts w:ascii="宋体" w:hAnsi="宋体" w:eastAsia="宋体" w:cs="宋体"/>
          <w:highlight w:val="none"/>
        </w:rPr>
      </w:pPr>
      <w:r>
        <w:rPr>
          <w:rFonts w:hint="eastAsia" w:ascii="宋体" w:hAnsi="宋体" w:eastAsia="宋体" w:cs="宋体"/>
          <w:highlight w:val="none"/>
        </w:rPr>
        <w:t>5. 投标文件的递交</w:t>
      </w:r>
      <w:bookmarkEnd w:id="7"/>
    </w:p>
    <w:p>
      <w:pPr>
        <w:snapToGrid w:val="0"/>
        <w:spacing w:line="360" w:lineRule="auto"/>
        <w:ind w:left="660" w:leftChars="200" w:hanging="240" w:hangingChars="100"/>
        <w:rPr>
          <w:rFonts w:ascii="宋体" w:hAnsi="宋体" w:cs="宋体"/>
          <w:sz w:val="24"/>
          <w:szCs w:val="24"/>
          <w:highlight w:val="none"/>
        </w:rPr>
      </w:pPr>
      <w:r>
        <w:rPr>
          <w:rFonts w:hint="eastAsia" w:ascii="宋体" w:hAnsi="宋体" w:cs="宋体"/>
          <w:sz w:val="24"/>
          <w:szCs w:val="24"/>
          <w:highlight w:val="none"/>
          <w:lang w:bidi="ar"/>
        </w:rPr>
        <w:t>5.1 投标文件递交的截止时间（投标截止时间，下同）为</w:t>
      </w:r>
      <w:r>
        <w:rPr>
          <w:rFonts w:hint="eastAsia" w:ascii="宋体" w:cs="宋体"/>
          <w:sz w:val="24"/>
          <w:szCs w:val="24"/>
          <w:highlight w:val="none"/>
          <w:u w:val="single"/>
          <w:lang w:bidi="ar"/>
        </w:rPr>
        <w:t>2022</w:t>
      </w:r>
      <w:r>
        <w:rPr>
          <w:rFonts w:hint="eastAsia" w:ascii="宋体" w:cs="宋体"/>
          <w:sz w:val="24"/>
          <w:szCs w:val="24"/>
          <w:highlight w:val="none"/>
          <w:lang w:bidi="ar"/>
        </w:rPr>
        <w:t>年</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月</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日</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时</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分</w:t>
      </w:r>
      <w:r>
        <w:rPr>
          <w:rFonts w:hint="eastAsia" w:ascii="宋体" w:hAnsi="宋体" w:cs="宋体"/>
          <w:sz w:val="24"/>
          <w:szCs w:val="24"/>
          <w:highlight w:val="none"/>
          <w:lang w:bidi="ar"/>
        </w:rPr>
        <w:t>，投标人应在截止时间前通过广州公共资源交易中心数字交易平台（</w:t>
      </w:r>
      <w:r>
        <w:rPr>
          <w:rFonts w:hint="eastAsia" w:ascii="宋体" w:cs="宋体"/>
          <w:sz w:val="24"/>
          <w:szCs w:val="24"/>
          <w:highlight w:val="none"/>
          <w:lang w:bidi="ar"/>
        </w:rPr>
        <w:t>http://ggzy.gz.gov.cn</w:t>
      </w:r>
      <w:r>
        <w:rPr>
          <w:rFonts w:hint="eastAsia" w:ascii="宋体" w:hAnsi="宋体" w:cs="宋体"/>
          <w:sz w:val="24"/>
          <w:szCs w:val="24"/>
          <w:highlight w:val="none"/>
          <w:lang w:bidi="ar"/>
        </w:rPr>
        <w:t>）递交电子投标文件。</w:t>
      </w:r>
    </w:p>
    <w:p>
      <w:pPr>
        <w:snapToGrid w:val="0"/>
        <w:spacing w:line="360" w:lineRule="auto"/>
        <w:ind w:left="118" w:leftChars="56" w:firstLine="360" w:firstLineChars="150"/>
        <w:rPr>
          <w:rFonts w:ascii="宋体" w:hAnsi="宋体" w:cs="宋体"/>
          <w:sz w:val="24"/>
          <w:szCs w:val="24"/>
          <w:highlight w:val="none"/>
        </w:rPr>
      </w:pPr>
      <w:r>
        <w:rPr>
          <w:rFonts w:hint="eastAsia" w:ascii="宋体" w:hAnsi="宋体" w:cs="宋体"/>
          <w:sz w:val="24"/>
          <w:szCs w:val="24"/>
          <w:highlight w:val="none"/>
          <w:lang w:bidi="ar"/>
        </w:rPr>
        <w:t>递交备用投标文件电子光盘的规定：时间为</w:t>
      </w:r>
      <w:r>
        <w:rPr>
          <w:rFonts w:hint="eastAsia" w:ascii="宋体" w:cs="宋体"/>
          <w:sz w:val="24"/>
          <w:szCs w:val="24"/>
          <w:highlight w:val="none"/>
          <w:u w:val="single"/>
          <w:lang w:bidi="ar"/>
        </w:rPr>
        <w:t>2022</w:t>
      </w:r>
      <w:r>
        <w:rPr>
          <w:rFonts w:hint="eastAsia" w:ascii="宋体" w:cs="宋体"/>
          <w:sz w:val="24"/>
          <w:szCs w:val="24"/>
          <w:highlight w:val="none"/>
          <w:lang w:bidi="ar"/>
        </w:rPr>
        <w:t>年</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月</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日</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时</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分</w:t>
      </w:r>
      <w:r>
        <w:rPr>
          <w:rFonts w:hint="eastAsia" w:ascii="宋体" w:hAnsi="宋体" w:cs="宋体"/>
          <w:sz w:val="24"/>
          <w:szCs w:val="24"/>
          <w:highlight w:val="none"/>
          <w:u w:val="single"/>
          <w:lang w:bidi="ar"/>
        </w:rPr>
        <w:t>至</w:t>
      </w:r>
      <w:r>
        <w:rPr>
          <w:rFonts w:hint="eastAsia" w:ascii="宋体" w:cs="宋体"/>
          <w:sz w:val="24"/>
          <w:szCs w:val="24"/>
          <w:highlight w:val="none"/>
          <w:u w:val="single"/>
          <w:lang w:bidi="ar"/>
        </w:rPr>
        <w:t>2022</w:t>
      </w:r>
      <w:r>
        <w:rPr>
          <w:rFonts w:hint="eastAsia" w:ascii="宋体" w:cs="宋体"/>
          <w:sz w:val="24"/>
          <w:szCs w:val="24"/>
          <w:highlight w:val="none"/>
          <w:lang w:bidi="ar"/>
        </w:rPr>
        <w:t>年</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月</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日</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时</w:t>
      </w:r>
      <w:r>
        <w:rPr>
          <w:rFonts w:hint="eastAsia" w:ascii="宋体" w:cs="宋体"/>
          <w:sz w:val="24"/>
          <w:szCs w:val="24"/>
          <w:highlight w:val="none"/>
          <w:u w:val="single"/>
          <w:lang w:bidi="ar"/>
        </w:rPr>
        <w:t xml:space="preserve">  </w:t>
      </w:r>
      <w:r>
        <w:rPr>
          <w:rFonts w:hint="eastAsia" w:ascii="宋体" w:cs="宋体"/>
          <w:sz w:val="24"/>
          <w:szCs w:val="24"/>
          <w:highlight w:val="none"/>
          <w:lang w:bidi="ar"/>
        </w:rPr>
        <w:t>分</w:t>
      </w:r>
      <w:r>
        <w:rPr>
          <w:rFonts w:hint="eastAsia" w:ascii="宋体" w:hAnsi="宋体" w:cs="宋体"/>
          <w:sz w:val="24"/>
          <w:szCs w:val="24"/>
          <w:highlight w:val="none"/>
          <w:lang w:bidi="ar"/>
        </w:rPr>
        <w:t>；地点：广州公共资源交易中心第</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开标室。（电子光盘需按规定封装。投标人将数据刻录到光盘之后，投标前自行检查文件是否可以读取。）</w:t>
      </w:r>
    </w:p>
    <w:p>
      <w:pPr>
        <w:tabs>
          <w:tab w:val="left" w:pos="1100"/>
        </w:tabs>
        <w:spacing w:line="360" w:lineRule="auto"/>
        <w:ind w:firstLine="480" w:firstLineChars="200"/>
        <w:jc w:val="left"/>
        <w:rPr>
          <w:rFonts w:ascii="宋体" w:cs="宋体"/>
          <w:sz w:val="24"/>
          <w:szCs w:val="24"/>
          <w:highlight w:val="none"/>
        </w:rPr>
      </w:pPr>
      <w:r>
        <w:rPr>
          <w:rFonts w:hint="eastAsia" w:ascii="宋体" w:cs="宋体"/>
          <w:sz w:val="24"/>
          <w:szCs w:val="24"/>
          <w:highlight w:val="none"/>
          <w:lang w:bidi="ar"/>
        </w:rPr>
        <w:t>5.2  采取电子投标时，逾期送达的投标文件，电子招标投标交易平台将予以拒收。逾期未上传成功的电子投标文件，招标人拒绝接收。</w:t>
      </w:r>
    </w:p>
    <w:p>
      <w:pPr>
        <w:tabs>
          <w:tab w:val="left" w:pos="1100"/>
        </w:tabs>
        <w:spacing w:line="360" w:lineRule="auto"/>
        <w:ind w:firstLine="480" w:firstLineChars="200"/>
        <w:jc w:val="left"/>
        <w:rPr>
          <w:rFonts w:ascii="宋体" w:hAnsi="宋体" w:cs="宋体"/>
          <w:sz w:val="24"/>
          <w:szCs w:val="24"/>
          <w:highlight w:val="none"/>
        </w:rPr>
      </w:pPr>
    </w:p>
    <w:p>
      <w:pPr>
        <w:pStyle w:val="2"/>
        <w:spacing w:line="360" w:lineRule="auto"/>
        <w:rPr>
          <w:rFonts w:ascii="宋体" w:hAnsi="宋体" w:eastAsia="宋体" w:cs="宋体"/>
          <w:highlight w:val="none"/>
        </w:rPr>
      </w:pPr>
      <w:bookmarkStart w:id="10" w:name="_Toc492300551"/>
      <w:r>
        <w:rPr>
          <w:rFonts w:hint="eastAsia" w:ascii="宋体" w:hAnsi="宋体" w:eastAsia="宋体" w:cs="宋体"/>
          <w:highlight w:val="none"/>
        </w:rPr>
        <w:t>6. 发布公告的媒介</w:t>
      </w:r>
      <w:bookmarkEnd w:id="10"/>
    </w:p>
    <w:p>
      <w:pPr>
        <w:pStyle w:val="2"/>
        <w:spacing w:line="360" w:lineRule="auto"/>
        <w:ind w:firstLine="720" w:firstLineChars="300"/>
        <w:rPr>
          <w:rFonts w:ascii="宋体" w:hAnsi="Times New Roman" w:eastAsia="宋体" w:cs="宋体"/>
          <w:b w:val="0"/>
          <w:sz w:val="24"/>
          <w:szCs w:val="24"/>
          <w:highlight w:val="none"/>
          <w:lang w:bidi="ar"/>
        </w:rPr>
      </w:pPr>
      <w:bookmarkStart w:id="11" w:name="_Toc492300552"/>
      <w:r>
        <w:rPr>
          <w:rFonts w:hint="eastAsia" w:ascii="宋体" w:hAnsi="Times New Roman" w:eastAsia="宋体" w:cs="宋体"/>
          <w:b w:val="0"/>
          <w:sz w:val="24"/>
          <w:szCs w:val="24"/>
          <w:highlight w:val="none"/>
          <w:lang w:bidi="ar"/>
        </w:rPr>
        <w:t>本次招标公告同时在广州公共资源交易中心网、广东省招标投标监管网和中国招标投标公共服务平台、广州国企阳光采购信息发布平台等媒体上发布，本公告的修改、补充，在广州公共资源交易中心网站上发布。</w:t>
      </w:r>
    </w:p>
    <w:p>
      <w:pPr>
        <w:pStyle w:val="2"/>
        <w:spacing w:line="360" w:lineRule="auto"/>
        <w:rPr>
          <w:rFonts w:ascii="宋体" w:hAnsi="宋体" w:eastAsia="宋体" w:cs="宋体"/>
          <w:highlight w:val="none"/>
        </w:rPr>
      </w:pPr>
      <w:r>
        <w:rPr>
          <w:rFonts w:hint="eastAsia" w:ascii="宋体" w:hAnsi="宋体" w:eastAsia="宋体" w:cs="宋体"/>
          <w:highlight w:val="none"/>
        </w:rPr>
        <w:t>7. 联系方式</w:t>
      </w:r>
      <w:bookmarkEnd w:id="11"/>
    </w:p>
    <w:p>
      <w:pPr>
        <w:topLinePunct/>
        <w:spacing w:line="360" w:lineRule="auto"/>
        <w:ind w:firstLine="480" w:firstLineChars="200"/>
        <w:rPr>
          <w:rFonts w:ascii="宋体" w:hAnsi="宋体" w:cs="宋体"/>
          <w:sz w:val="24"/>
          <w:szCs w:val="24"/>
          <w:highlight w:val="none"/>
        </w:rPr>
      </w:pPr>
      <w:bookmarkStart w:id="12" w:name="_Toc369531498"/>
      <w:bookmarkEnd w:id="12"/>
      <w:bookmarkStart w:id="13" w:name="_Toc352691455"/>
      <w:bookmarkEnd w:id="13"/>
      <w:bookmarkStart w:id="14" w:name="_Toc352691456"/>
      <w:bookmarkEnd w:id="14"/>
      <w:bookmarkStart w:id="15" w:name="_Toc352691453"/>
      <w:bookmarkEnd w:id="15"/>
      <w:bookmarkStart w:id="16" w:name="_Toc152045513"/>
      <w:bookmarkEnd w:id="16"/>
      <w:bookmarkStart w:id="17" w:name="_Toc300834929"/>
      <w:bookmarkEnd w:id="17"/>
      <w:bookmarkStart w:id="18" w:name="_Toc247513935"/>
      <w:bookmarkEnd w:id="18"/>
      <w:bookmarkStart w:id="19" w:name="_Toc17972"/>
      <w:bookmarkEnd w:id="19"/>
      <w:bookmarkStart w:id="20" w:name="_Toc152042288"/>
      <w:bookmarkEnd w:id="20"/>
      <w:bookmarkStart w:id="21" w:name="_Toc247527535"/>
      <w:bookmarkEnd w:id="21"/>
      <w:bookmarkStart w:id="22" w:name="_Toc369531495"/>
      <w:bookmarkEnd w:id="22"/>
      <w:bookmarkStart w:id="23" w:name="_Toc144974481"/>
      <w:bookmarkEnd w:id="23"/>
      <w:bookmarkStart w:id="24" w:name="_Toc152045512"/>
      <w:bookmarkEnd w:id="24"/>
      <w:bookmarkStart w:id="25" w:name="_Toc361508560"/>
      <w:bookmarkEnd w:id="25"/>
      <w:bookmarkStart w:id="26" w:name="_Toc30817"/>
      <w:bookmarkEnd w:id="26"/>
      <w:bookmarkStart w:id="27" w:name="_Toc247513934"/>
      <w:bookmarkEnd w:id="27"/>
      <w:bookmarkStart w:id="28" w:name="_Toc361508562"/>
      <w:bookmarkEnd w:id="28"/>
      <w:bookmarkStart w:id="29" w:name="_Toc144974480"/>
      <w:bookmarkEnd w:id="29"/>
      <w:bookmarkStart w:id="30" w:name="_Toc10785"/>
      <w:bookmarkEnd w:id="30"/>
      <w:bookmarkStart w:id="31" w:name="_Toc361508563"/>
      <w:bookmarkEnd w:id="31"/>
      <w:bookmarkStart w:id="32" w:name="_Toc384308185"/>
      <w:bookmarkEnd w:id="32"/>
      <w:bookmarkStart w:id="33" w:name="_Toc384308187"/>
      <w:bookmarkEnd w:id="33"/>
      <w:bookmarkStart w:id="34" w:name="_Toc247527536"/>
      <w:bookmarkEnd w:id="34"/>
      <w:bookmarkStart w:id="35" w:name="_Toc300834930"/>
      <w:bookmarkEnd w:id="35"/>
      <w:bookmarkStart w:id="36" w:name="_Toc384308188"/>
      <w:bookmarkEnd w:id="36"/>
      <w:bookmarkStart w:id="37" w:name="_Toc152042289"/>
      <w:bookmarkEnd w:id="37"/>
      <w:bookmarkStart w:id="38" w:name="_Toc300834927"/>
      <w:bookmarkEnd w:id="38"/>
      <w:bookmarkStart w:id="39" w:name="_Toc369531497"/>
      <w:bookmarkEnd w:id="39"/>
      <w:r>
        <w:rPr>
          <w:rFonts w:hint="eastAsia" w:ascii="宋体" w:hAnsi="宋体" w:cs="宋体"/>
          <w:sz w:val="24"/>
          <w:szCs w:val="24"/>
          <w:highlight w:val="none"/>
        </w:rPr>
        <w:t>招 标 人：</w:t>
      </w:r>
      <w:r>
        <w:rPr>
          <w:rFonts w:hint="eastAsia" w:ascii="宋体" w:hAnsi="宋体" w:cs="宋体"/>
          <w:sz w:val="24"/>
          <w:szCs w:val="24"/>
          <w:highlight w:val="none"/>
          <w:u w:val="single"/>
        </w:rPr>
        <w:t>广州新中轴建设有限公司</w:t>
      </w:r>
    </w:p>
    <w:p>
      <w:pPr>
        <w:topLinePunct/>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地    址：</w:t>
      </w:r>
      <w:r>
        <w:rPr>
          <w:rFonts w:hint="eastAsia" w:ascii="宋体" w:hAnsi="宋体"/>
          <w:sz w:val="24"/>
          <w:highlight w:val="none"/>
          <w:u w:val="single"/>
        </w:rPr>
        <w:t>广州市越秀区流花路117号流花展馆15号馆</w:t>
      </w:r>
      <w:r>
        <w:rPr>
          <w:rFonts w:hint="eastAsia" w:ascii="宋体" w:hAnsi="宋体" w:cs="宋体"/>
          <w:sz w:val="24"/>
          <w:szCs w:val="24"/>
          <w:highlight w:val="none"/>
          <w:u w:val="single"/>
        </w:rPr>
        <w:t xml:space="preserve"> </w:t>
      </w:r>
    </w:p>
    <w:p>
      <w:pPr>
        <w:topLinePunct/>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联 系 人：</w:t>
      </w:r>
      <w:r>
        <w:rPr>
          <w:rFonts w:hint="eastAsia" w:ascii="宋体" w:hAnsi="宋体" w:cs="宋体"/>
          <w:sz w:val="24"/>
          <w:szCs w:val="24"/>
          <w:highlight w:val="none"/>
          <w:u w:val="single"/>
          <w:lang w:val="en-US" w:eastAsia="zh-CN"/>
        </w:rPr>
        <w:t>杨</w:t>
      </w:r>
      <w:r>
        <w:rPr>
          <w:rFonts w:hint="eastAsia" w:ascii="宋体" w:hAnsi="宋体" w:cs="宋体"/>
          <w:sz w:val="24"/>
          <w:szCs w:val="24"/>
          <w:highlight w:val="none"/>
          <w:u w:val="single"/>
        </w:rPr>
        <w:t>工</w:t>
      </w:r>
    </w:p>
    <w:p>
      <w:pPr>
        <w:topLinePunct/>
        <w:spacing w:line="360" w:lineRule="auto"/>
        <w:ind w:left="7422" w:leftChars="202" w:hanging="6998" w:hangingChars="2916"/>
        <w:jc w:val="left"/>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电    话：</w:t>
      </w:r>
      <w:r>
        <w:rPr>
          <w:rFonts w:hint="eastAsia" w:ascii="宋体" w:hAnsi="宋体" w:cs="宋体"/>
          <w:sz w:val="24"/>
          <w:szCs w:val="24"/>
          <w:highlight w:val="none"/>
          <w:u w:val="single"/>
        </w:rPr>
        <w:t>020-2807906</w:t>
      </w:r>
      <w:r>
        <w:rPr>
          <w:rFonts w:hint="eastAsia" w:ascii="宋体" w:hAnsi="宋体" w:cs="宋体"/>
          <w:sz w:val="24"/>
          <w:szCs w:val="24"/>
          <w:highlight w:val="none"/>
          <w:u w:val="single"/>
          <w:lang w:val="en-US" w:eastAsia="zh-CN"/>
        </w:rPr>
        <w:t>1</w:t>
      </w:r>
    </w:p>
    <w:p>
      <w:pPr>
        <w:adjustRightInd w:val="0"/>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招标代理机构：</w:t>
      </w:r>
      <w:r>
        <w:rPr>
          <w:rFonts w:hint="eastAsia" w:ascii="宋体" w:hAnsi="宋体" w:cs="宋体"/>
          <w:sz w:val="24"/>
          <w:szCs w:val="24"/>
          <w:highlight w:val="none"/>
          <w:u w:val="single"/>
        </w:rPr>
        <w:t>国义招标股份有限公司</w:t>
      </w:r>
    </w:p>
    <w:p>
      <w:pPr>
        <w:adjustRightInd w:val="0"/>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single"/>
        </w:rPr>
        <w:t>广州市东风东路726号</w:t>
      </w:r>
    </w:p>
    <w:p>
      <w:pPr>
        <w:adjustRightInd w:val="0"/>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联系人：吴亚倩、杨静怡</w:t>
      </w:r>
    </w:p>
    <w:p>
      <w:pPr>
        <w:adjustRightInd w:val="0"/>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电话：020-37860745、37860731</w:t>
      </w:r>
    </w:p>
    <w:p>
      <w:pPr>
        <w:spacing w:line="360" w:lineRule="auto"/>
        <w:ind w:firstLine="489" w:firstLineChars="204"/>
        <w:rPr>
          <w:rFonts w:ascii="宋体" w:hAnsi="宋体" w:cs="宋体"/>
          <w:sz w:val="24"/>
          <w:szCs w:val="24"/>
          <w:highlight w:val="none"/>
        </w:rPr>
      </w:pPr>
      <w:r>
        <w:rPr>
          <w:rFonts w:hint="eastAsia" w:ascii="宋体" w:hAnsi="宋体" w:cs="宋体"/>
          <w:sz w:val="24"/>
          <w:szCs w:val="24"/>
          <w:highlight w:val="none"/>
        </w:rPr>
        <w:t>异议受理部门：</w:t>
      </w:r>
      <w:r>
        <w:rPr>
          <w:rFonts w:hint="eastAsia" w:ascii="宋体" w:hAnsi="宋体" w:cs="宋体"/>
          <w:sz w:val="24"/>
          <w:szCs w:val="24"/>
          <w:highlight w:val="none"/>
          <w:u w:val="single"/>
        </w:rPr>
        <w:t>广州新中轴建设有限公司</w:t>
      </w:r>
    </w:p>
    <w:p>
      <w:pPr>
        <w:spacing w:line="360" w:lineRule="auto"/>
        <w:ind w:firstLine="489" w:firstLineChars="204"/>
        <w:rPr>
          <w:rFonts w:ascii="宋体" w:hAnsi="宋体" w:cs="宋体"/>
          <w:sz w:val="24"/>
          <w:szCs w:val="24"/>
          <w:highlight w:val="none"/>
          <w:u w:val="single"/>
        </w:rPr>
      </w:pPr>
      <w:r>
        <w:rPr>
          <w:rFonts w:hint="eastAsia" w:ascii="宋体" w:hAnsi="宋体" w:cs="宋体"/>
          <w:sz w:val="24"/>
          <w:szCs w:val="24"/>
          <w:highlight w:val="none"/>
        </w:rPr>
        <w:t>地址：</w:t>
      </w:r>
      <w:r>
        <w:rPr>
          <w:rFonts w:hint="eastAsia" w:ascii="宋体" w:hAnsi="宋体"/>
          <w:sz w:val="24"/>
          <w:highlight w:val="none"/>
          <w:u w:val="single"/>
        </w:rPr>
        <w:t>广州市越秀区流花路117号流花展馆15号馆</w:t>
      </w:r>
    </w:p>
    <w:p>
      <w:pPr>
        <w:spacing w:line="360" w:lineRule="auto"/>
        <w:ind w:firstLine="489" w:firstLineChars="204"/>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u w:val="single"/>
          <w:lang w:val="en-US" w:eastAsia="zh-CN"/>
        </w:rPr>
        <w:t>杨</w:t>
      </w:r>
      <w:r>
        <w:rPr>
          <w:rFonts w:hint="eastAsia" w:ascii="宋体" w:hAnsi="宋体" w:cs="宋体"/>
          <w:sz w:val="24"/>
          <w:szCs w:val="24"/>
          <w:highlight w:val="none"/>
          <w:u w:val="single"/>
        </w:rPr>
        <w:t>工</w:t>
      </w:r>
    </w:p>
    <w:p>
      <w:pPr>
        <w:topLinePunct/>
        <w:spacing w:line="360" w:lineRule="auto"/>
        <w:ind w:left="7422" w:leftChars="202" w:hanging="6998" w:hangingChars="2916"/>
        <w:jc w:val="left"/>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电话：</w:t>
      </w:r>
      <w:r>
        <w:rPr>
          <w:rFonts w:hint="eastAsia" w:ascii="宋体" w:hAnsi="宋体" w:cs="宋体"/>
          <w:sz w:val="24"/>
          <w:szCs w:val="24"/>
          <w:highlight w:val="none"/>
          <w:u w:val="single"/>
        </w:rPr>
        <w:t>020-2807906</w:t>
      </w:r>
      <w:r>
        <w:rPr>
          <w:rFonts w:hint="eastAsia" w:ascii="宋体" w:hAnsi="宋体" w:cs="宋体"/>
          <w:sz w:val="24"/>
          <w:szCs w:val="24"/>
          <w:highlight w:val="none"/>
          <w:u w:val="single"/>
          <w:lang w:val="en-US" w:eastAsia="zh-CN"/>
        </w:rPr>
        <w:t>1</w:t>
      </w:r>
    </w:p>
    <w:p>
      <w:pPr>
        <w:spacing w:line="360" w:lineRule="auto"/>
        <w:ind w:firstLine="489" w:firstLineChars="204"/>
        <w:rPr>
          <w:rFonts w:ascii="宋体" w:hAnsi="宋体" w:cs="宋体"/>
          <w:sz w:val="24"/>
          <w:szCs w:val="24"/>
          <w:highlight w:val="none"/>
        </w:rPr>
      </w:pPr>
    </w:p>
    <w:p>
      <w:pPr>
        <w:spacing w:line="360" w:lineRule="auto"/>
        <w:ind w:firstLine="489" w:firstLineChars="204"/>
        <w:rPr>
          <w:rFonts w:ascii="宋体" w:hAnsi="宋体" w:cs="宋体"/>
          <w:sz w:val="24"/>
          <w:szCs w:val="24"/>
          <w:highlight w:val="none"/>
          <w:u w:val="single"/>
        </w:rPr>
      </w:pPr>
      <w:r>
        <w:rPr>
          <w:rFonts w:hint="eastAsia" w:ascii="宋体" w:hAnsi="宋体" w:cs="宋体"/>
          <w:sz w:val="24"/>
          <w:szCs w:val="24"/>
          <w:highlight w:val="none"/>
        </w:rPr>
        <w:t>招标监督机构：广州市越秀区建设工程招投标管理中心</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rPr>
        <w:t>地址：</w:t>
      </w:r>
      <w:r>
        <w:rPr>
          <w:rFonts w:hint="eastAsia" w:ascii="宋体" w:hAnsi="宋体" w:cs="宋体"/>
          <w:sz w:val="24"/>
          <w:szCs w:val="24"/>
          <w:highlight w:val="none"/>
          <w:lang w:val="en-US" w:eastAsia="zh-CN"/>
        </w:rPr>
        <w:t>广州市越秀区东华东路 353 号锦桦荟 336 室</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电话：</w:t>
      </w:r>
      <w:r>
        <w:rPr>
          <w:rFonts w:hint="eastAsia" w:ascii="宋体" w:hAnsi="宋体" w:cs="宋体"/>
          <w:sz w:val="24"/>
          <w:szCs w:val="24"/>
          <w:highlight w:val="none"/>
          <w:lang w:val="en-US" w:eastAsia="zh-CN"/>
        </w:rPr>
        <w:t>020-37668900</w:t>
      </w:r>
      <w:r>
        <w:rPr>
          <w:rFonts w:hint="eastAsia" w:ascii="宋体" w:hAnsi="宋体" w:cs="宋体"/>
          <w:highlight w:val="none"/>
        </w:rPr>
        <w:br w:type="page"/>
      </w:r>
      <w:r>
        <w:rPr>
          <w:rFonts w:hint="eastAsia" w:ascii="宋体" w:hAnsi="宋体" w:cs="宋体"/>
          <w:highlight w:val="none"/>
        </w:rPr>
        <w:t>附件一</w:t>
      </w:r>
    </w:p>
    <w:p>
      <w:pPr>
        <w:widowControl/>
        <w:snapToGrid w:val="0"/>
        <w:spacing w:before="260" w:after="260" w:line="360" w:lineRule="auto"/>
        <w:ind w:right="384"/>
        <w:jc w:val="center"/>
        <w:rPr>
          <w:rFonts w:ascii="宋体" w:hAnsi="宋体" w:cs="宋体"/>
          <w:b/>
          <w:bCs/>
          <w:kern w:val="0"/>
          <w:sz w:val="24"/>
          <w:highlight w:val="none"/>
        </w:rPr>
      </w:pPr>
      <w:r>
        <w:rPr>
          <w:rFonts w:hint="eastAsia" w:ascii="宋体" w:hAnsi="宋体" w:cs="宋体"/>
          <w:b/>
          <w:bCs/>
          <w:kern w:val="0"/>
          <w:sz w:val="28"/>
          <w:szCs w:val="28"/>
          <w:highlight w:val="none"/>
        </w:rPr>
        <w:t>投标人声明</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广州市住房和城乡建设局、本招标项目招标人及招标监管机构：</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本公司就参加</w:t>
      </w:r>
      <w:r>
        <w:rPr>
          <w:rFonts w:hint="eastAsia" w:ascii="宋体" w:hAnsi="宋体" w:cs="宋体"/>
          <w:kern w:val="0"/>
          <w:sz w:val="24"/>
          <w:highlight w:val="none"/>
          <w:u w:val="single"/>
        </w:rPr>
        <w:t xml:space="preserve">             </w:t>
      </w:r>
      <w:r>
        <w:rPr>
          <w:rFonts w:hint="eastAsia" w:ascii="宋体" w:hAnsi="宋体" w:cs="宋体"/>
          <w:kern w:val="0"/>
          <w:sz w:val="24"/>
          <w:highlight w:val="none"/>
        </w:rPr>
        <w:t>项目投标工作，作出郑重声明：</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一、本公司保证投标登记材料及其后提供的一切材料都是真实的。如我司成为本项目中标候选人，我司同意并授权招标人将我司投标文件商务部分的人员、业绩、奖项等资料进行公开。</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三、本公司不存在招标文件第二章投标人须知第1.4.3项所规定的任何一种情形。</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四、本公司及其有隶属关系的机构，没有参加本项目招标文件的编写工作；本公司与本次招标的招标代理机构没有隶属关系或其他利害关系；</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五、本公司承诺，中标后严格执行安全生产相关管理规定。</w:t>
      </w:r>
    </w:p>
    <w:p>
      <w:pPr>
        <w:snapToGrid w:val="0"/>
        <w:spacing w:line="360" w:lineRule="auto"/>
        <w:ind w:firstLine="480" w:firstLineChars="200"/>
        <w:jc w:val="left"/>
        <w:rPr>
          <w:highlight w:val="none"/>
        </w:rPr>
      </w:pPr>
      <w:r>
        <w:rPr>
          <w:rFonts w:hint="eastAsia" w:ascii="宋体" w:hAnsi="宋体" w:cs="宋体"/>
          <w:kern w:val="0"/>
          <w:sz w:val="24"/>
          <w:highlight w:val="none"/>
        </w:rPr>
        <w:t>六、与本公司单位负责人为同一人或者与本公司存在控股、管理关系的其他单位包括：</w:t>
      </w:r>
      <w:r>
        <w:rPr>
          <w:rFonts w:hint="eastAsia" w:ascii="宋体" w:hAnsi="宋体" w:cs="宋体"/>
          <w:kern w:val="0"/>
          <w:sz w:val="24"/>
          <w:highlight w:val="none"/>
          <w:u w:val="single"/>
        </w:rPr>
        <w:t xml:space="preserve">                       </w:t>
      </w:r>
      <w:r>
        <w:rPr>
          <w:rFonts w:hint="eastAsia" w:ascii="宋体" w:hAnsi="宋体" w:cs="宋体"/>
          <w:kern w:val="0"/>
          <w:sz w:val="24"/>
          <w:highlight w:val="none"/>
        </w:rPr>
        <w:t>。（注：本条由投标人如实填写，如有，应列出全部满足招标公告资质要求的相关单位的名称；如无，则填写“无”。）</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本公司违反上述承诺，或本声明陈述与事实不符，经查实，本公司愿意接受公开通报，愿意按照《广州市建筑市场信用管理办法》（穗建规字﹝2019﹞16号）的规定被记录为失信信息，承担由此带来的一切后果，并自愿停止参加广州市行政辖区内的招标投标活动三个月。</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特此声明。</w:t>
      </w:r>
    </w:p>
    <w:p>
      <w:pPr>
        <w:snapToGrid w:val="0"/>
        <w:spacing w:line="360" w:lineRule="auto"/>
        <w:ind w:firstLine="4320" w:firstLineChars="1800"/>
        <w:jc w:val="left"/>
        <w:rPr>
          <w:rFonts w:ascii="宋体" w:hAnsi="宋体" w:cs="宋体"/>
          <w:kern w:val="0"/>
          <w:sz w:val="24"/>
          <w:highlight w:val="none"/>
        </w:rPr>
      </w:pPr>
      <w:r>
        <w:rPr>
          <w:rFonts w:hint="eastAsia" w:ascii="宋体" w:hAnsi="宋体" w:cs="宋体"/>
          <w:kern w:val="0"/>
          <w:sz w:val="24"/>
          <w:highlight w:val="none"/>
        </w:rPr>
        <w:t>声明企业：            (企业公章)</w:t>
      </w:r>
    </w:p>
    <w:p>
      <w:pPr>
        <w:snapToGrid w:val="0"/>
        <w:spacing w:line="360" w:lineRule="auto"/>
        <w:ind w:firstLine="4320" w:firstLineChars="1800"/>
        <w:jc w:val="left"/>
        <w:rPr>
          <w:rFonts w:ascii="宋体" w:hAnsi="宋体" w:cs="宋体"/>
          <w:kern w:val="0"/>
          <w:sz w:val="24"/>
          <w:highlight w:val="none"/>
        </w:rPr>
      </w:pPr>
      <w:r>
        <w:rPr>
          <w:rFonts w:hint="eastAsia" w:ascii="宋体" w:hAnsi="宋体" w:cs="宋体"/>
          <w:kern w:val="0"/>
          <w:sz w:val="24"/>
          <w:highlight w:val="none"/>
        </w:rPr>
        <w:t xml:space="preserve">总监理工程师（签字）：         </w:t>
      </w:r>
    </w:p>
    <w:p>
      <w:pPr>
        <w:snapToGrid w:val="0"/>
        <w:spacing w:line="360" w:lineRule="auto"/>
        <w:ind w:firstLine="4252" w:firstLineChars="1772"/>
        <w:rPr>
          <w:rFonts w:ascii="宋体" w:hAnsi="宋体" w:cs="宋体"/>
          <w:kern w:val="0"/>
          <w:sz w:val="24"/>
          <w:highlight w:val="none"/>
        </w:rPr>
      </w:pPr>
      <w:r>
        <w:rPr>
          <w:rFonts w:hint="eastAsia" w:ascii="宋体" w:hAnsi="宋体" w:cs="宋体"/>
          <w:kern w:val="0"/>
          <w:sz w:val="24"/>
          <w:highlight w:val="none"/>
        </w:rPr>
        <w:t>法定代表人签字</w:t>
      </w:r>
      <w:r>
        <w:rPr>
          <w:rFonts w:hint="eastAsia" w:ascii="宋体" w:hAnsi="宋体" w:cs="宋体"/>
          <w:kern w:val="0"/>
          <w:sz w:val="24"/>
          <w:highlight w:val="none"/>
          <w:lang w:val="en-US" w:eastAsia="zh-CN"/>
        </w:rPr>
        <w:t>或盖章</w:t>
      </w:r>
      <w:r>
        <w:rPr>
          <w:rFonts w:hint="eastAsia" w:ascii="宋体" w:hAnsi="宋体" w:cs="宋体"/>
          <w:kern w:val="0"/>
          <w:sz w:val="24"/>
          <w:highlight w:val="none"/>
        </w:rPr>
        <w:t>：</w:t>
      </w:r>
    </w:p>
    <w:p>
      <w:pPr>
        <w:snapToGrid w:val="0"/>
        <w:spacing w:line="360" w:lineRule="auto"/>
        <w:ind w:firstLine="5092" w:firstLineChars="2122"/>
        <w:rPr>
          <w:rFonts w:ascii="宋体" w:hAnsi="宋体" w:cs="宋体"/>
          <w:kern w:val="0"/>
          <w:sz w:val="24"/>
          <w:highlight w:val="none"/>
        </w:rPr>
      </w:pPr>
      <w:r>
        <w:rPr>
          <w:rFonts w:hint="eastAsia" w:ascii="宋体" w:hAnsi="宋体" w:cs="宋体"/>
          <w:kern w:val="0"/>
          <w:sz w:val="24"/>
          <w:highlight w:val="none"/>
        </w:rPr>
        <w:t>年   月   日</w:t>
      </w:r>
    </w:p>
    <w:p>
      <w:pPr>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附件二</w:t>
      </w:r>
    </w:p>
    <w:p>
      <w:pPr>
        <w:snapToGrid w:val="0"/>
        <w:spacing w:line="360" w:lineRule="auto"/>
        <w:jc w:val="center"/>
        <w:rPr>
          <w:rFonts w:ascii="方正大标宋简体" w:hAnsi="方正大标宋简体" w:eastAsia="方正大标宋简体" w:cs="方正大标宋简体"/>
          <w:b/>
          <w:sz w:val="32"/>
          <w:szCs w:val="32"/>
          <w:highlight w:val="none"/>
          <w:shd w:val="clear" w:color="auto" w:fill="FFFFFF"/>
        </w:rPr>
      </w:pPr>
      <w:r>
        <w:rPr>
          <w:rFonts w:ascii="方正大标宋简体" w:hAnsi="方正大标宋简体" w:eastAsia="方正大标宋简体" w:cs="方正大标宋简体"/>
          <w:b/>
          <w:sz w:val="32"/>
          <w:szCs w:val="32"/>
          <w:highlight w:val="none"/>
          <w:shd w:val="clear" w:color="auto" w:fill="FFFFFF"/>
        </w:rPr>
        <w:t>监理项目管理团队人员信息表</w:t>
      </w:r>
    </w:p>
    <w:tbl>
      <w:tblPr>
        <w:tblStyle w:val="12"/>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074"/>
        <w:gridCol w:w="2905"/>
        <w:gridCol w:w="1208"/>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pct"/>
            <w:noWrap/>
            <w:vAlign w:val="center"/>
          </w:tcPr>
          <w:p>
            <w:pPr>
              <w:snapToGrid w:val="0"/>
              <w:spacing w:line="360" w:lineRule="auto"/>
              <w:jc w:val="center"/>
              <w:rPr>
                <w:rFonts w:ascii="宋体" w:hAnsi="宋体" w:cs="宋体"/>
                <w:b/>
                <w:szCs w:val="21"/>
                <w:highlight w:val="none"/>
                <w:shd w:val="clear" w:color="auto" w:fill="FFFFFF"/>
              </w:rPr>
            </w:pPr>
            <w:r>
              <w:rPr>
                <w:rFonts w:hint="eastAsia" w:ascii="宋体" w:hAnsi="宋体" w:cs="宋体"/>
                <w:b/>
                <w:szCs w:val="21"/>
                <w:highlight w:val="none"/>
                <w:shd w:val="clear" w:color="auto" w:fill="FFFFFF"/>
              </w:rPr>
              <w:t>序号</w:t>
            </w:r>
          </w:p>
        </w:tc>
        <w:tc>
          <w:tcPr>
            <w:tcW w:w="554" w:type="pct"/>
            <w:noWrap/>
            <w:vAlign w:val="center"/>
          </w:tcPr>
          <w:p>
            <w:pPr>
              <w:snapToGrid w:val="0"/>
              <w:spacing w:line="360" w:lineRule="auto"/>
              <w:jc w:val="center"/>
              <w:rPr>
                <w:rFonts w:ascii="宋体" w:hAnsi="宋体" w:cs="宋体"/>
                <w:b/>
                <w:szCs w:val="21"/>
                <w:highlight w:val="none"/>
                <w:shd w:val="clear" w:color="auto" w:fill="FFFFFF"/>
              </w:rPr>
            </w:pPr>
            <w:r>
              <w:rPr>
                <w:rFonts w:hint="eastAsia" w:ascii="宋体" w:hAnsi="宋体" w:cs="宋体"/>
                <w:b/>
                <w:szCs w:val="21"/>
                <w:highlight w:val="none"/>
                <w:shd w:val="clear" w:color="auto" w:fill="FFFFFF"/>
              </w:rPr>
              <w:t>姓名</w:t>
            </w:r>
          </w:p>
        </w:tc>
        <w:tc>
          <w:tcPr>
            <w:tcW w:w="1498" w:type="pct"/>
            <w:noWrap/>
            <w:vAlign w:val="center"/>
          </w:tcPr>
          <w:p>
            <w:pPr>
              <w:snapToGrid w:val="0"/>
              <w:spacing w:line="360" w:lineRule="auto"/>
              <w:jc w:val="center"/>
              <w:rPr>
                <w:rFonts w:ascii="宋体" w:hAnsi="宋体" w:cs="宋体"/>
                <w:b/>
                <w:szCs w:val="21"/>
                <w:highlight w:val="none"/>
                <w:shd w:val="clear" w:color="auto" w:fill="FFFFFF"/>
              </w:rPr>
            </w:pPr>
            <w:r>
              <w:rPr>
                <w:rFonts w:hint="eastAsia" w:ascii="宋体" w:hAnsi="宋体" w:cs="宋体"/>
                <w:b/>
                <w:szCs w:val="21"/>
                <w:highlight w:val="none"/>
                <w:shd w:val="clear" w:color="auto" w:fill="FFFFFF"/>
              </w:rPr>
              <w:t>岗位</w:t>
            </w:r>
          </w:p>
        </w:tc>
        <w:tc>
          <w:tcPr>
            <w:tcW w:w="623" w:type="pct"/>
            <w:noWrap/>
            <w:vAlign w:val="center"/>
          </w:tcPr>
          <w:p>
            <w:pPr>
              <w:snapToGrid w:val="0"/>
              <w:spacing w:line="360" w:lineRule="auto"/>
              <w:jc w:val="center"/>
              <w:rPr>
                <w:rFonts w:ascii="宋体" w:hAnsi="宋体" w:cs="宋体"/>
                <w:b/>
                <w:szCs w:val="21"/>
                <w:highlight w:val="none"/>
                <w:shd w:val="clear" w:color="auto" w:fill="FFFFFF"/>
              </w:rPr>
            </w:pPr>
            <w:r>
              <w:rPr>
                <w:rFonts w:hint="eastAsia" w:ascii="宋体" w:hAnsi="宋体" w:cs="宋体"/>
                <w:b/>
                <w:szCs w:val="21"/>
                <w:highlight w:val="none"/>
                <w:shd w:val="clear" w:color="auto" w:fill="FFFFFF"/>
              </w:rPr>
              <w:t>职称</w:t>
            </w:r>
          </w:p>
        </w:tc>
        <w:tc>
          <w:tcPr>
            <w:tcW w:w="1701" w:type="pct"/>
            <w:noWrap/>
            <w:vAlign w:val="center"/>
          </w:tcPr>
          <w:p>
            <w:pPr>
              <w:snapToGrid w:val="0"/>
              <w:spacing w:line="360" w:lineRule="auto"/>
              <w:jc w:val="center"/>
              <w:rPr>
                <w:rFonts w:ascii="宋体" w:hAnsi="宋体" w:cs="宋体"/>
                <w:b/>
                <w:szCs w:val="21"/>
                <w:highlight w:val="none"/>
                <w:shd w:val="clear" w:color="auto" w:fill="FFFFFF"/>
              </w:rPr>
            </w:pPr>
            <w:r>
              <w:rPr>
                <w:rFonts w:hint="eastAsia" w:ascii="宋体" w:hAnsi="宋体" w:cs="宋体"/>
                <w:b/>
                <w:szCs w:val="21"/>
                <w:highlight w:val="none"/>
                <w:shd w:val="clear" w:color="auto" w:fill="FFFFFF"/>
              </w:rPr>
              <w:t>职称证书或资格证书编号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21" w:type="pct"/>
            <w:noWrap/>
            <w:vAlign w:val="center"/>
          </w:tcPr>
          <w:p>
            <w:pPr>
              <w:snapToGrid w:val="0"/>
              <w:spacing w:line="360" w:lineRule="auto"/>
              <w:jc w:val="center"/>
              <w:rPr>
                <w:rFonts w:ascii="宋体" w:hAnsi="宋体" w:cs="宋体"/>
                <w:b/>
                <w:szCs w:val="21"/>
                <w:highlight w:val="none"/>
                <w:shd w:val="clear" w:color="auto" w:fill="FFFFFF"/>
              </w:rPr>
            </w:pPr>
            <w:r>
              <w:rPr>
                <w:rFonts w:ascii="宋体" w:hAnsi="宋体" w:cs="宋体"/>
                <w:b/>
                <w:szCs w:val="21"/>
                <w:highlight w:val="none"/>
                <w:shd w:val="clear" w:color="auto" w:fill="FFFFFF"/>
              </w:rPr>
              <w:t>1</w:t>
            </w:r>
          </w:p>
        </w:tc>
        <w:tc>
          <w:tcPr>
            <w:tcW w:w="554" w:type="pct"/>
            <w:noWrap/>
            <w:vAlign w:val="center"/>
          </w:tcPr>
          <w:p>
            <w:pPr>
              <w:snapToGrid w:val="0"/>
              <w:spacing w:line="360" w:lineRule="auto"/>
              <w:jc w:val="center"/>
              <w:rPr>
                <w:rFonts w:ascii="宋体" w:hAnsi="宋体" w:cs="宋体"/>
                <w:b/>
                <w:szCs w:val="21"/>
                <w:highlight w:val="none"/>
                <w:shd w:val="clear" w:color="auto" w:fill="FFFFFF"/>
              </w:rPr>
            </w:pPr>
          </w:p>
        </w:tc>
        <w:tc>
          <w:tcPr>
            <w:tcW w:w="1498" w:type="pct"/>
            <w:noWrap/>
            <w:vAlign w:val="center"/>
          </w:tcPr>
          <w:p>
            <w:pPr>
              <w:snapToGrid w:val="0"/>
              <w:spacing w:line="360" w:lineRule="auto"/>
              <w:jc w:val="center"/>
              <w:rPr>
                <w:rFonts w:ascii="宋体" w:hAnsi="宋体" w:cs="宋体"/>
                <w:b/>
                <w:szCs w:val="21"/>
                <w:highlight w:val="none"/>
                <w:shd w:val="clear" w:color="auto" w:fill="FFFFFF"/>
              </w:rPr>
            </w:pPr>
            <w:r>
              <w:rPr>
                <w:rFonts w:hint="eastAsia" w:ascii="宋体" w:hAnsi="宋体" w:cs="宋体"/>
                <w:sz w:val="21"/>
                <w:szCs w:val="22"/>
                <w:highlight w:val="none"/>
              </w:rPr>
              <w:t>总监理工程师代表</w:t>
            </w:r>
          </w:p>
        </w:tc>
        <w:tc>
          <w:tcPr>
            <w:tcW w:w="623" w:type="pct"/>
            <w:noWrap/>
            <w:vAlign w:val="center"/>
          </w:tcPr>
          <w:p>
            <w:pPr>
              <w:snapToGrid w:val="0"/>
              <w:spacing w:line="360" w:lineRule="auto"/>
              <w:jc w:val="center"/>
              <w:rPr>
                <w:rFonts w:ascii="宋体" w:hAnsi="宋体" w:cs="宋体"/>
                <w:b/>
                <w:szCs w:val="21"/>
                <w:highlight w:val="none"/>
                <w:shd w:val="clear" w:color="auto" w:fill="FFFFFF"/>
              </w:rPr>
            </w:pPr>
          </w:p>
        </w:tc>
        <w:tc>
          <w:tcPr>
            <w:tcW w:w="1701" w:type="pct"/>
            <w:noWrap/>
            <w:vAlign w:val="center"/>
          </w:tcPr>
          <w:p>
            <w:pPr>
              <w:snapToGrid w:val="0"/>
              <w:spacing w:line="360" w:lineRule="auto"/>
              <w:jc w:val="center"/>
              <w:rPr>
                <w:rFonts w:ascii="宋体" w:hAnsi="宋体" w:cs="宋体"/>
                <w:b/>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21" w:type="pct"/>
            <w:noWrap/>
            <w:vAlign w:val="center"/>
          </w:tcPr>
          <w:p>
            <w:pPr>
              <w:snapToGrid w:val="0"/>
              <w:spacing w:line="360" w:lineRule="auto"/>
              <w:jc w:val="center"/>
              <w:rPr>
                <w:rFonts w:ascii="宋体" w:hAnsi="宋体" w:cs="宋体"/>
                <w:b/>
                <w:szCs w:val="21"/>
                <w:highlight w:val="none"/>
                <w:shd w:val="clear" w:color="auto" w:fill="FFFFFF"/>
              </w:rPr>
            </w:pPr>
            <w:r>
              <w:rPr>
                <w:rFonts w:ascii="宋体" w:hAnsi="宋体" w:cs="宋体"/>
                <w:b/>
                <w:szCs w:val="21"/>
                <w:highlight w:val="none"/>
                <w:shd w:val="clear" w:color="auto" w:fill="FFFFFF"/>
              </w:rPr>
              <w:t>2</w:t>
            </w:r>
          </w:p>
        </w:tc>
        <w:tc>
          <w:tcPr>
            <w:tcW w:w="554" w:type="pct"/>
            <w:noWrap/>
            <w:vAlign w:val="center"/>
          </w:tcPr>
          <w:p>
            <w:pPr>
              <w:snapToGrid w:val="0"/>
              <w:spacing w:line="360" w:lineRule="auto"/>
              <w:jc w:val="center"/>
              <w:rPr>
                <w:rFonts w:ascii="宋体" w:hAnsi="宋体" w:cs="宋体"/>
                <w:b/>
                <w:szCs w:val="21"/>
                <w:highlight w:val="none"/>
                <w:shd w:val="clear" w:color="auto" w:fill="FFFFFF"/>
              </w:rPr>
            </w:pPr>
          </w:p>
        </w:tc>
        <w:tc>
          <w:tcPr>
            <w:tcW w:w="1498" w:type="pct"/>
            <w:noWrap/>
            <w:vAlign w:val="center"/>
          </w:tcPr>
          <w:p>
            <w:pPr>
              <w:snapToGrid w:val="0"/>
              <w:spacing w:line="0" w:lineRule="atLeast"/>
              <w:jc w:val="center"/>
              <w:rPr>
                <w:rFonts w:ascii="宋体" w:hAnsi="宋体" w:cs="宋体"/>
                <w:sz w:val="24"/>
                <w:szCs w:val="24"/>
                <w:highlight w:val="none"/>
              </w:rPr>
            </w:pPr>
            <w:r>
              <w:rPr>
                <w:rFonts w:hint="eastAsia" w:ascii="宋体" w:hAnsi="宋体" w:eastAsia="宋体" w:cs="宋体"/>
                <w:highlight w:val="none"/>
              </w:rPr>
              <w:t>房建监理工程师</w:t>
            </w:r>
          </w:p>
        </w:tc>
        <w:tc>
          <w:tcPr>
            <w:tcW w:w="623" w:type="pct"/>
            <w:noWrap/>
            <w:vAlign w:val="center"/>
          </w:tcPr>
          <w:p>
            <w:pPr>
              <w:snapToGrid w:val="0"/>
              <w:spacing w:line="360" w:lineRule="auto"/>
              <w:jc w:val="center"/>
              <w:rPr>
                <w:rFonts w:ascii="宋体" w:hAnsi="宋体" w:cs="宋体"/>
                <w:b/>
                <w:szCs w:val="21"/>
                <w:highlight w:val="none"/>
                <w:shd w:val="clear" w:color="auto" w:fill="FFFFFF"/>
              </w:rPr>
            </w:pPr>
          </w:p>
        </w:tc>
        <w:tc>
          <w:tcPr>
            <w:tcW w:w="1701" w:type="pct"/>
            <w:noWrap/>
            <w:vAlign w:val="center"/>
          </w:tcPr>
          <w:p>
            <w:pPr>
              <w:snapToGrid w:val="0"/>
              <w:spacing w:line="360" w:lineRule="auto"/>
              <w:jc w:val="center"/>
              <w:rPr>
                <w:rFonts w:ascii="宋体" w:hAnsi="宋体" w:cs="宋体"/>
                <w:b/>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21" w:type="pct"/>
            <w:noWrap/>
            <w:vAlign w:val="center"/>
          </w:tcPr>
          <w:p>
            <w:pPr>
              <w:snapToGrid w:val="0"/>
              <w:spacing w:line="360" w:lineRule="auto"/>
              <w:jc w:val="center"/>
              <w:rPr>
                <w:rFonts w:ascii="宋体" w:hAnsi="宋体" w:cs="宋体"/>
                <w:b/>
                <w:szCs w:val="21"/>
                <w:highlight w:val="none"/>
                <w:shd w:val="clear" w:color="auto" w:fill="FFFFFF"/>
              </w:rPr>
            </w:pPr>
            <w:r>
              <w:rPr>
                <w:rFonts w:ascii="宋体" w:hAnsi="宋体" w:cs="宋体"/>
                <w:b/>
                <w:szCs w:val="21"/>
                <w:highlight w:val="none"/>
                <w:shd w:val="clear" w:color="auto" w:fill="FFFFFF"/>
              </w:rPr>
              <w:t>3</w:t>
            </w:r>
          </w:p>
        </w:tc>
        <w:tc>
          <w:tcPr>
            <w:tcW w:w="554" w:type="pct"/>
            <w:noWrap/>
            <w:vAlign w:val="center"/>
          </w:tcPr>
          <w:p>
            <w:pPr>
              <w:snapToGrid w:val="0"/>
              <w:spacing w:line="360" w:lineRule="auto"/>
              <w:jc w:val="center"/>
              <w:rPr>
                <w:rFonts w:ascii="宋体" w:hAnsi="宋体" w:cs="宋体"/>
                <w:b/>
                <w:szCs w:val="21"/>
                <w:highlight w:val="none"/>
                <w:shd w:val="clear" w:color="auto" w:fill="FFFFFF"/>
              </w:rPr>
            </w:pPr>
          </w:p>
        </w:tc>
        <w:tc>
          <w:tcPr>
            <w:tcW w:w="1498" w:type="pct"/>
            <w:noWrap/>
            <w:vAlign w:val="center"/>
          </w:tcPr>
          <w:p>
            <w:pPr>
              <w:snapToGrid w:val="0"/>
              <w:spacing w:line="0" w:lineRule="atLeast"/>
              <w:jc w:val="center"/>
              <w:rPr>
                <w:rFonts w:ascii="宋体" w:hAnsi="宋体" w:cs="宋体"/>
                <w:b/>
                <w:szCs w:val="21"/>
                <w:highlight w:val="none"/>
                <w:shd w:val="clear" w:color="auto" w:fill="FFFFFF"/>
              </w:rPr>
            </w:pPr>
            <w:r>
              <w:rPr>
                <w:rFonts w:hint="eastAsia" w:ascii="宋体" w:hAnsi="宋体" w:eastAsia="宋体" w:cs="宋体"/>
                <w:highlight w:val="none"/>
              </w:rPr>
              <w:t>弱电监理工程师</w:t>
            </w:r>
          </w:p>
        </w:tc>
        <w:tc>
          <w:tcPr>
            <w:tcW w:w="623" w:type="pct"/>
            <w:noWrap/>
            <w:vAlign w:val="center"/>
          </w:tcPr>
          <w:p>
            <w:pPr>
              <w:snapToGrid w:val="0"/>
              <w:spacing w:line="360" w:lineRule="auto"/>
              <w:jc w:val="center"/>
              <w:rPr>
                <w:rFonts w:ascii="宋体" w:hAnsi="宋体" w:cs="宋体"/>
                <w:b/>
                <w:szCs w:val="21"/>
                <w:highlight w:val="none"/>
                <w:shd w:val="clear" w:color="auto" w:fill="FFFFFF"/>
              </w:rPr>
            </w:pPr>
          </w:p>
        </w:tc>
        <w:tc>
          <w:tcPr>
            <w:tcW w:w="1701" w:type="pct"/>
            <w:noWrap/>
            <w:vAlign w:val="center"/>
          </w:tcPr>
          <w:p>
            <w:pPr>
              <w:snapToGrid w:val="0"/>
              <w:spacing w:line="360" w:lineRule="auto"/>
              <w:jc w:val="center"/>
              <w:rPr>
                <w:rFonts w:ascii="宋体" w:hAnsi="宋体" w:cs="宋体"/>
                <w:b/>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21" w:type="pct"/>
            <w:noWrap/>
            <w:vAlign w:val="center"/>
          </w:tcPr>
          <w:p>
            <w:pPr>
              <w:snapToGrid w:val="0"/>
              <w:spacing w:line="360" w:lineRule="auto"/>
              <w:jc w:val="center"/>
              <w:rPr>
                <w:rFonts w:ascii="宋体" w:hAnsi="宋体" w:cs="宋体"/>
                <w:b/>
                <w:szCs w:val="21"/>
                <w:highlight w:val="none"/>
                <w:shd w:val="clear" w:color="auto" w:fill="FFFFFF"/>
              </w:rPr>
            </w:pPr>
            <w:r>
              <w:rPr>
                <w:rFonts w:ascii="宋体" w:hAnsi="宋体" w:cs="宋体"/>
                <w:b/>
                <w:szCs w:val="21"/>
                <w:highlight w:val="none"/>
                <w:shd w:val="clear" w:color="auto" w:fill="FFFFFF"/>
              </w:rPr>
              <w:t>4</w:t>
            </w:r>
          </w:p>
        </w:tc>
        <w:tc>
          <w:tcPr>
            <w:tcW w:w="554" w:type="pct"/>
            <w:noWrap/>
            <w:vAlign w:val="center"/>
          </w:tcPr>
          <w:p>
            <w:pPr>
              <w:snapToGrid w:val="0"/>
              <w:spacing w:line="360" w:lineRule="auto"/>
              <w:jc w:val="center"/>
              <w:rPr>
                <w:rFonts w:ascii="宋体" w:hAnsi="宋体" w:cs="宋体"/>
                <w:b/>
                <w:szCs w:val="21"/>
                <w:highlight w:val="none"/>
                <w:shd w:val="clear" w:color="auto" w:fill="FFFFFF"/>
              </w:rPr>
            </w:pPr>
          </w:p>
        </w:tc>
        <w:tc>
          <w:tcPr>
            <w:tcW w:w="1498" w:type="pct"/>
            <w:noWrap/>
            <w:vAlign w:val="center"/>
          </w:tcPr>
          <w:p>
            <w:pPr>
              <w:snapToGrid w:val="0"/>
              <w:spacing w:line="0" w:lineRule="atLeast"/>
              <w:jc w:val="center"/>
              <w:rPr>
                <w:rFonts w:ascii="宋体" w:hAnsi="宋体" w:cs="宋体"/>
                <w:b/>
                <w:szCs w:val="21"/>
                <w:highlight w:val="none"/>
                <w:shd w:val="clear" w:color="auto" w:fill="FFFFFF"/>
              </w:rPr>
            </w:pPr>
            <w:r>
              <w:rPr>
                <w:rFonts w:hint="eastAsia" w:ascii="宋体" w:hAnsi="宋体" w:eastAsia="宋体" w:cs="宋体"/>
                <w:highlight w:val="none"/>
              </w:rPr>
              <w:t>机电监理工程师</w:t>
            </w:r>
          </w:p>
        </w:tc>
        <w:tc>
          <w:tcPr>
            <w:tcW w:w="623" w:type="pct"/>
            <w:noWrap/>
            <w:vAlign w:val="center"/>
          </w:tcPr>
          <w:p>
            <w:pPr>
              <w:snapToGrid w:val="0"/>
              <w:spacing w:line="360" w:lineRule="auto"/>
              <w:jc w:val="center"/>
              <w:rPr>
                <w:rFonts w:ascii="宋体" w:hAnsi="宋体" w:cs="宋体"/>
                <w:b/>
                <w:szCs w:val="21"/>
                <w:highlight w:val="none"/>
                <w:shd w:val="clear" w:color="auto" w:fill="FFFFFF"/>
              </w:rPr>
            </w:pPr>
          </w:p>
        </w:tc>
        <w:tc>
          <w:tcPr>
            <w:tcW w:w="1701" w:type="pct"/>
            <w:noWrap/>
            <w:vAlign w:val="center"/>
          </w:tcPr>
          <w:p>
            <w:pPr>
              <w:snapToGrid w:val="0"/>
              <w:spacing w:line="360" w:lineRule="auto"/>
              <w:jc w:val="center"/>
              <w:rPr>
                <w:rFonts w:ascii="宋体" w:hAnsi="宋体" w:cs="宋体"/>
                <w:b/>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05" w:type="dxa"/>
            <w:noWrap/>
            <w:vAlign w:val="center"/>
          </w:tcPr>
          <w:p>
            <w:pPr>
              <w:snapToGrid w:val="0"/>
              <w:spacing w:line="360" w:lineRule="auto"/>
              <w:jc w:val="center"/>
              <w:rPr>
                <w:rFonts w:hint="eastAsia" w:ascii="宋体" w:hAnsi="宋体" w:eastAsia="宋体" w:cs="宋体"/>
                <w:b/>
                <w:szCs w:val="21"/>
                <w:highlight w:val="none"/>
                <w:shd w:val="clear" w:color="auto" w:fill="FFFFFF"/>
                <w:lang w:val="en-US" w:eastAsia="zh-CN"/>
              </w:rPr>
            </w:pPr>
            <w:r>
              <w:rPr>
                <w:rFonts w:ascii="宋体" w:hAnsi="宋体" w:cs="宋体"/>
                <w:b/>
                <w:szCs w:val="21"/>
                <w:highlight w:val="none"/>
                <w:shd w:val="clear" w:color="auto" w:fill="FFFFFF"/>
              </w:rPr>
              <w:t>5</w:t>
            </w:r>
          </w:p>
        </w:tc>
        <w:tc>
          <w:tcPr>
            <w:tcW w:w="554" w:type="pct"/>
            <w:noWrap/>
            <w:vAlign w:val="center"/>
          </w:tcPr>
          <w:p>
            <w:pPr>
              <w:snapToGrid w:val="0"/>
              <w:spacing w:line="360" w:lineRule="auto"/>
              <w:jc w:val="center"/>
              <w:rPr>
                <w:rFonts w:ascii="宋体" w:hAnsi="宋体" w:cs="宋体"/>
                <w:b/>
                <w:szCs w:val="21"/>
                <w:highlight w:val="none"/>
                <w:shd w:val="clear" w:color="auto" w:fill="FFFFFF"/>
              </w:rPr>
            </w:pPr>
          </w:p>
        </w:tc>
        <w:tc>
          <w:tcPr>
            <w:tcW w:w="1498" w:type="pct"/>
            <w:noWrap/>
            <w:vAlign w:val="center"/>
          </w:tcPr>
          <w:p>
            <w:pPr>
              <w:snapToGrid w:val="0"/>
              <w:spacing w:line="0" w:lineRule="atLeast"/>
              <w:jc w:val="center"/>
              <w:rPr>
                <w:rFonts w:hint="eastAsia" w:ascii="宋体" w:hAnsi="宋体" w:eastAsia="宋体" w:cs="宋体"/>
                <w:highlight w:val="none"/>
              </w:rPr>
            </w:pPr>
            <w:r>
              <w:rPr>
                <w:rFonts w:hint="eastAsia" w:ascii="宋体" w:hAnsi="宋体" w:cs="宋体"/>
                <w:b w:val="0"/>
                <w:bCs/>
                <w:sz w:val="21"/>
                <w:szCs w:val="21"/>
                <w:highlight w:val="none"/>
                <w:lang w:val="en-US" w:eastAsia="zh-CN"/>
              </w:rPr>
              <w:t>给排水监理工程师</w:t>
            </w:r>
          </w:p>
        </w:tc>
        <w:tc>
          <w:tcPr>
            <w:tcW w:w="623" w:type="pct"/>
            <w:noWrap/>
            <w:vAlign w:val="center"/>
          </w:tcPr>
          <w:p>
            <w:pPr>
              <w:snapToGrid w:val="0"/>
              <w:spacing w:line="360" w:lineRule="auto"/>
              <w:jc w:val="center"/>
              <w:rPr>
                <w:rFonts w:ascii="宋体" w:hAnsi="宋体" w:cs="宋体"/>
                <w:b/>
                <w:szCs w:val="21"/>
                <w:highlight w:val="none"/>
                <w:shd w:val="clear" w:color="auto" w:fill="FFFFFF"/>
              </w:rPr>
            </w:pPr>
          </w:p>
        </w:tc>
        <w:tc>
          <w:tcPr>
            <w:tcW w:w="1701" w:type="pct"/>
            <w:noWrap/>
            <w:vAlign w:val="center"/>
          </w:tcPr>
          <w:p>
            <w:pPr>
              <w:snapToGrid w:val="0"/>
              <w:spacing w:line="360" w:lineRule="auto"/>
              <w:jc w:val="center"/>
              <w:rPr>
                <w:rFonts w:ascii="宋体" w:hAnsi="宋体" w:cs="宋体"/>
                <w:b/>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05" w:type="dxa"/>
            <w:noWrap/>
            <w:vAlign w:val="center"/>
          </w:tcPr>
          <w:p>
            <w:pPr>
              <w:snapToGrid w:val="0"/>
              <w:spacing w:line="360" w:lineRule="auto"/>
              <w:jc w:val="center"/>
              <w:rPr>
                <w:rFonts w:ascii="宋体" w:hAnsi="宋体" w:cs="宋体"/>
                <w:b/>
                <w:szCs w:val="21"/>
                <w:highlight w:val="none"/>
                <w:shd w:val="clear" w:color="auto" w:fill="FFFFFF"/>
              </w:rPr>
            </w:pPr>
            <w:r>
              <w:rPr>
                <w:rFonts w:ascii="宋体" w:hAnsi="宋体" w:cs="宋体"/>
                <w:b/>
                <w:szCs w:val="21"/>
                <w:highlight w:val="none"/>
                <w:shd w:val="clear" w:color="auto" w:fill="FFFFFF"/>
              </w:rPr>
              <w:t>6</w:t>
            </w:r>
          </w:p>
        </w:tc>
        <w:tc>
          <w:tcPr>
            <w:tcW w:w="554" w:type="pct"/>
            <w:noWrap/>
            <w:vAlign w:val="center"/>
          </w:tcPr>
          <w:p>
            <w:pPr>
              <w:snapToGrid w:val="0"/>
              <w:spacing w:line="360" w:lineRule="auto"/>
              <w:jc w:val="center"/>
              <w:rPr>
                <w:rFonts w:ascii="宋体" w:hAnsi="宋体" w:cs="宋体"/>
                <w:b/>
                <w:szCs w:val="21"/>
                <w:highlight w:val="none"/>
                <w:shd w:val="clear" w:color="auto" w:fill="FFFFFF"/>
              </w:rPr>
            </w:pPr>
          </w:p>
        </w:tc>
        <w:tc>
          <w:tcPr>
            <w:tcW w:w="1498" w:type="pct"/>
            <w:noWrap/>
            <w:vAlign w:val="center"/>
          </w:tcPr>
          <w:p>
            <w:pPr>
              <w:snapToGrid w:val="0"/>
              <w:spacing w:line="0" w:lineRule="atLeast"/>
              <w:jc w:val="center"/>
              <w:rPr>
                <w:rFonts w:ascii="宋体" w:hAnsi="宋体" w:cs="宋体"/>
                <w:b/>
                <w:szCs w:val="21"/>
                <w:highlight w:val="none"/>
                <w:shd w:val="clear" w:color="auto" w:fill="FFFFFF"/>
              </w:rPr>
            </w:pPr>
            <w:r>
              <w:rPr>
                <w:rFonts w:hint="eastAsia" w:ascii="宋体" w:hAnsi="宋体" w:eastAsia="宋体" w:cs="宋体"/>
                <w:highlight w:val="none"/>
              </w:rPr>
              <w:t>造价工程师</w:t>
            </w:r>
          </w:p>
        </w:tc>
        <w:tc>
          <w:tcPr>
            <w:tcW w:w="623" w:type="pct"/>
            <w:noWrap/>
            <w:vAlign w:val="center"/>
          </w:tcPr>
          <w:p>
            <w:pPr>
              <w:snapToGrid w:val="0"/>
              <w:spacing w:line="360" w:lineRule="auto"/>
              <w:jc w:val="center"/>
              <w:rPr>
                <w:rFonts w:ascii="宋体" w:hAnsi="宋体" w:cs="宋体"/>
                <w:b/>
                <w:szCs w:val="21"/>
                <w:highlight w:val="none"/>
                <w:shd w:val="clear" w:color="auto" w:fill="FFFFFF"/>
              </w:rPr>
            </w:pPr>
          </w:p>
        </w:tc>
        <w:tc>
          <w:tcPr>
            <w:tcW w:w="1701" w:type="pct"/>
            <w:noWrap/>
            <w:vAlign w:val="center"/>
          </w:tcPr>
          <w:p>
            <w:pPr>
              <w:snapToGrid w:val="0"/>
              <w:spacing w:line="360" w:lineRule="auto"/>
              <w:jc w:val="center"/>
              <w:rPr>
                <w:rFonts w:ascii="宋体" w:hAnsi="宋体" w:cs="宋体"/>
                <w:b/>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5" w:type="dxa"/>
            <w:noWrap/>
            <w:vAlign w:val="center"/>
          </w:tcPr>
          <w:p>
            <w:pPr>
              <w:snapToGrid w:val="0"/>
              <w:spacing w:line="360" w:lineRule="auto"/>
              <w:jc w:val="center"/>
              <w:rPr>
                <w:rFonts w:ascii="宋体" w:hAnsi="宋体" w:cs="宋体"/>
                <w:b/>
                <w:szCs w:val="21"/>
                <w:highlight w:val="none"/>
                <w:shd w:val="clear" w:color="auto" w:fill="FFFFFF"/>
              </w:rPr>
            </w:pPr>
            <w:r>
              <w:rPr>
                <w:rFonts w:ascii="宋体" w:hAnsi="宋体" w:cs="宋体"/>
                <w:b/>
                <w:szCs w:val="21"/>
                <w:highlight w:val="none"/>
                <w:shd w:val="clear" w:color="auto" w:fill="FFFFFF"/>
              </w:rPr>
              <w:t>7</w:t>
            </w:r>
          </w:p>
        </w:tc>
        <w:tc>
          <w:tcPr>
            <w:tcW w:w="554" w:type="pct"/>
            <w:noWrap/>
            <w:vAlign w:val="center"/>
          </w:tcPr>
          <w:p>
            <w:pPr>
              <w:snapToGrid w:val="0"/>
              <w:spacing w:line="360" w:lineRule="auto"/>
              <w:jc w:val="center"/>
              <w:rPr>
                <w:rFonts w:ascii="宋体" w:hAnsi="宋体" w:cs="宋体"/>
                <w:b/>
                <w:szCs w:val="21"/>
                <w:highlight w:val="none"/>
                <w:shd w:val="clear" w:color="auto" w:fill="FFFFFF"/>
              </w:rPr>
            </w:pPr>
          </w:p>
        </w:tc>
        <w:tc>
          <w:tcPr>
            <w:tcW w:w="1498" w:type="pct"/>
            <w:noWrap/>
            <w:vAlign w:val="center"/>
          </w:tcPr>
          <w:p>
            <w:pPr>
              <w:snapToGrid w:val="0"/>
              <w:spacing w:line="0" w:lineRule="atLeast"/>
              <w:jc w:val="center"/>
              <w:rPr>
                <w:rFonts w:ascii="宋体" w:hAnsi="宋体" w:cs="宋体"/>
                <w:b/>
                <w:szCs w:val="21"/>
                <w:highlight w:val="none"/>
                <w:shd w:val="clear" w:color="auto" w:fill="FFFFFF"/>
              </w:rPr>
            </w:pPr>
            <w:r>
              <w:rPr>
                <w:rFonts w:hint="eastAsia" w:ascii="宋体" w:hAnsi="宋体" w:eastAsia="宋体" w:cs="宋体"/>
                <w:highlight w:val="none"/>
              </w:rPr>
              <w:t>安全工程师</w:t>
            </w:r>
          </w:p>
        </w:tc>
        <w:tc>
          <w:tcPr>
            <w:tcW w:w="623" w:type="pct"/>
            <w:noWrap/>
            <w:vAlign w:val="center"/>
          </w:tcPr>
          <w:p>
            <w:pPr>
              <w:snapToGrid w:val="0"/>
              <w:spacing w:line="360" w:lineRule="auto"/>
              <w:jc w:val="center"/>
              <w:rPr>
                <w:rFonts w:ascii="宋体" w:hAnsi="宋体" w:cs="宋体"/>
                <w:b/>
                <w:szCs w:val="21"/>
                <w:highlight w:val="none"/>
                <w:shd w:val="clear" w:color="auto" w:fill="FFFFFF"/>
              </w:rPr>
            </w:pPr>
          </w:p>
        </w:tc>
        <w:tc>
          <w:tcPr>
            <w:tcW w:w="1701" w:type="pct"/>
            <w:noWrap/>
            <w:vAlign w:val="center"/>
          </w:tcPr>
          <w:p>
            <w:pPr>
              <w:snapToGrid w:val="0"/>
              <w:spacing w:line="360" w:lineRule="auto"/>
              <w:jc w:val="center"/>
              <w:rPr>
                <w:rFonts w:ascii="宋体" w:hAnsi="宋体" w:cs="宋体"/>
                <w:b/>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205" w:type="dxa"/>
            <w:noWrap/>
            <w:vAlign w:val="center"/>
          </w:tcPr>
          <w:p>
            <w:pPr>
              <w:snapToGrid w:val="0"/>
              <w:spacing w:line="360" w:lineRule="auto"/>
              <w:jc w:val="center"/>
              <w:rPr>
                <w:rFonts w:ascii="宋体" w:hAnsi="宋体" w:cs="宋体"/>
                <w:b/>
                <w:szCs w:val="21"/>
                <w:highlight w:val="none"/>
                <w:shd w:val="clear" w:color="auto" w:fill="FFFFFF"/>
              </w:rPr>
            </w:pPr>
            <w:r>
              <w:rPr>
                <w:rFonts w:ascii="宋体" w:hAnsi="宋体" w:cs="宋体"/>
                <w:b/>
                <w:szCs w:val="21"/>
                <w:highlight w:val="none"/>
                <w:shd w:val="clear" w:color="auto" w:fill="FFFFFF"/>
              </w:rPr>
              <w:t>8</w:t>
            </w:r>
          </w:p>
        </w:tc>
        <w:tc>
          <w:tcPr>
            <w:tcW w:w="554" w:type="pct"/>
            <w:noWrap/>
            <w:vAlign w:val="center"/>
          </w:tcPr>
          <w:p>
            <w:pPr>
              <w:snapToGrid w:val="0"/>
              <w:spacing w:line="360" w:lineRule="auto"/>
              <w:jc w:val="center"/>
              <w:rPr>
                <w:rFonts w:ascii="宋体" w:hAnsi="宋体" w:cs="宋体"/>
                <w:b/>
                <w:szCs w:val="21"/>
                <w:highlight w:val="none"/>
                <w:shd w:val="clear" w:color="auto" w:fill="FFFFFF"/>
              </w:rPr>
            </w:pPr>
          </w:p>
        </w:tc>
        <w:tc>
          <w:tcPr>
            <w:tcW w:w="1498" w:type="pct"/>
            <w:noWrap/>
            <w:vAlign w:val="center"/>
          </w:tcPr>
          <w:p>
            <w:pPr>
              <w:snapToGrid w:val="0"/>
              <w:spacing w:line="0" w:lineRule="atLeast"/>
              <w:jc w:val="center"/>
              <w:rPr>
                <w:rFonts w:ascii="宋体" w:hAnsi="宋体" w:eastAsia="宋体" w:cs="宋体"/>
                <w:highlight w:val="none"/>
              </w:rPr>
            </w:pPr>
            <w:r>
              <w:rPr>
                <w:rFonts w:hint="eastAsia" w:ascii="宋体" w:hAnsi="宋体" w:eastAsia="宋体" w:cs="宋体"/>
                <w:highlight w:val="none"/>
              </w:rPr>
              <w:t>监理员</w:t>
            </w:r>
          </w:p>
        </w:tc>
        <w:tc>
          <w:tcPr>
            <w:tcW w:w="623" w:type="pct"/>
            <w:noWrap/>
            <w:vAlign w:val="center"/>
          </w:tcPr>
          <w:p>
            <w:pPr>
              <w:snapToGrid w:val="0"/>
              <w:spacing w:line="360" w:lineRule="auto"/>
              <w:jc w:val="center"/>
              <w:rPr>
                <w:rFonts w:ascii="宋体" w:hAnsi="宋体" w:cs="宋体"/>
                <w:b/>
                <w:szCs w:val="21"/>
                <w:highlight w:val="none"/>
                <w:shd w:val="clear" w:color="auto" w:fill="FFFFFF"/>
              </w:rPr>
            </w:pPr>
          </w:p>
        </w:tc>
        <w:tc>
          <w:tcPr>
            <w:tcW w:w="1701" w:type="pct"/>
            <w:noWrap/>
            <w:vAlign w:val="center"/>
          </w:tcPr>
          <w:p>
            <w:pPr>
              <w:snapToGrid w:val="0"/>
              <w:spacing w:line="360" w:lineRule="auto"/>
              <w:jc w:val="center"/>
              <w:rPr>
                <w:rFonts w:ascii="宋体" w:hAnsi="宋体" w:cs="宋体"/>
                <w:b/>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621" w:type="pct"/>
            <w:noWrap/>
            <w:vAlign w:val="center"/>
          </w:tcPr>
          <w:p>
            <w:pPr>
              <w:snapToGrid w:val="0"/>
              <w:spacing w:line="360" w:lineRule="auto"/>
              <w:jc w:val="center"/>
              <w:rPr>
                <w:rFonts w:hint="eastAsia" w:ascii="宋体" w:hAnsi="宋体" w:eastAsia="宋体" w:cs="宋体"/>
                <w:b/>
                <w:szCs w:val="21"/>
                <w:highlight w:val="none"/>
                <w:shd w:val="clear" w:color="auto" w:fill="FFFFFF"/>
                <w:lang w:eastAsia="zh-CN"/>
              </w:rPr>
            </w:pPr>
            <w:r>
              <w:rPr>
                <w:rFonts w:hint="eastAsia" w:ascii="宋体" w:hAnsi="宋体" w:cs="宋体"/>
                <w:b/>
                <w:szCs w:val="21"/>
                <w:highlight w:val="none"/>
                <w:shd w:val="clear" w:color="auto" w:fill="FFFFFF"/>
                <w:lang w:val="en-US" w:eastAsia="zh-CN"/>
              </w:rPr>
              <w:t>9</w:t>
            </w:r>
          </w:p>
        </w:tc>
        <w:tc>
          <w:tcPr>
            <w:tcW w:w="554" w:type="pct"/>
            <w:noWrap/>
            <w:vAlign w:val="center"/>
          </w:tcPr>
          <w:p>
            <w:pPr>
              <w:snapToGrid w:val="0"/>
              <w:spacing w:line="360" w:lineRule="auto"/>
              <w:jc w:val="center"/>
              <w:rPr>
                <w:rFonts w:ascii="宋体" w:hAnsi="宋体" w:cs="宋体"/>
                <w:b/>
                <w:szCs w:val="21"/>
                <w:highlight w:val="none"/>
                <w:shd w:val="clear" w:color="auto" w:fill="FFFFFF"/>
              </w:rPr>
            </w:pPr>
          </w:p>
        </w:tc>
        <w:tc>
          <w:tcPr>
            <w:tcW w:w="1498" w:type="pct"/>
            <w:noWrap/>
            <w:vAlign w:val="center"/>
          </w:tcPr>
          <w:p>
            <w:pPr>
              <w:snapToGrid w:val="0"/>
              <w:spacing w:line="0" w:lineRule="atLeast"/>
              <w:jc w:val="center"/>
              <w:rPr>
                <w:rFonts w:ascii="宋体" w:hAnsi="宋体" w:eastAsia="宋体" w:cs="宋体"/>
                <w:highlight w:val="none"/>
              </w:rPr>
            </w:pPr>
            <w:r>
              <w:rPr>
                <w:rFonts w:hint="eastAsia" w:ascii="宋体" w:hAnsi="宋体" w:eastAsia="宋体" w:cs="宋体"/>
                <w:highlight w:val="none"/>
              </w:rPr>
              <w:t>资料员</w:t>
            </w:r>
          </w:p>
        </w:tc>
        <w:tc>
          <w:tcPr>
            <w:tcW w:w="623" w:type="pct"/>
            <w:noWrap/>
            <w:vAlign w:val="center"/>
          </w:tcPr>
          <w:p>
            <w:pPr>
              <w:snapToGrid w:val="0"/>
              <w:spacing w:line="360" w:lineRule="auto"/>
              <w:jc w:val="center"/>
              <w:rPr>
                <w:rFonts w:ascii="宋体" w:hAnsi="宋体" w:cs="宋体"/>
                <w:b/>
                <w:szCs w:val="21"/>
                <w:highlight w:val="none"/>
                <w:shd w:val="clear" w:color="auto" w:fill="FFFFFF"/>
              </w:rPr>
            </w:pPr>
          </w:p>
        </w:tc>
        <w:tc>
          <w:tcPr>
            <w:tcW w:w="1701" w:type="pct"/>
            <w:noWrap/>
            <w:vAlign w:val="center"/>
          </w:tcPr>
          <w:p>
            <w:pPr>
              <w:snapToGrid w:val="0"/>
              <w:spacing w:line="360" w:lineRule="auto"/>
              <w:jc w:val="center"/>
              <w:rPr>
                <w:rFonts w:ascii="宋体" w:hAnsi="宋体" w:cs="宋体"/>
                <w:b/>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pct"/>
            <w:noWrap/>
            <w:vAlign w:val="center"/>
          </w:tcPr>
          <w:p>
            <w:pPr>
              <w:snapToGrid w:val="0"/>
              <w:spacing w:line="360" w:lineRule="auto"/>
              <w:jc w:val="center"/>
              <w:rPr>
                <w:rFonts w:ascii="宋体" w:hAnsi="宋体" w:cs="宋体"/>
                <w:b/>
                <w:szCs w:val="21"/>
                <w:highlight w:val="none"/>
                <w:shd w:val="clear" w:color="auto" w:fill="FFFFFF"/>
              </w:rPr>
            </w:pPr>
          </w:p>
        </w:tc>
        <w:tc>
          <w:tcPr>
            <w:tcW w:w="554" w:type="pct"/>
            <w:noWrap/>
            <w:vAlign w:val="center"/>
          </w:tcPr>
          <w:p>
            <w:pPr>
              <w:snapToGrid w:val="0"/>
              <w:spacing w:line="360" w:lineRule="auto"/>
              <w:jc w:val="center"/>
              <w:rPr>
                <w:rFonts w:ascii="宋体" w:hAnsi="宋体" w:cs="宋体"/>
                <w:b/>
                <w:szCs w:val="21"/>
                <w:highlight w:val="none"/>
                <w:shd w:val="clear" w:color="auto" w:fill="FFFFFF"/>
              </w:rPr>
            </w:pPr>
          </w:p>
        </w:tc>
        <w:tc>
          <w:tcPr>
            <w:tcW w:w="1498" w:type="pct"/>
            <w:noWrap/>
            <w:vAlign w:val="center"/>
          </w:tcPr>
          <w:p>
            <w:pPr>
              <w:snapToGrid w:val="0"/>
              <w:spacing w:line="360" w:lineRule="auto"/>
              <w:jc w:val="center"/>
              <w:rPr>
                <w:rFonts w:ascii="宋体" w:hAnsi="宋体" w:cs="宋体"/>
                <w:b/>
                <w:szCs w:val="21"/>
                <w:highlight w:val="none"/>
                <w:shd w:val="clear" w:color="auto" w:fill="FFFFFF"/>
              </w:rPr>
            </w:pPr>
          </w:p>
        </w:tc>
        <w:tc>
          <w:tcPr>
            <w:tcW w:w="623" w:type="pct"/>
            <w:noWrap/>
            <w:vAlign w:val="center"/>
          </w:tcPr>
          <w:p>
            <w:pPr>
              <w:snapToGrid w:val="0"/>
              <w:spacing w:line="360" w:lineRule="auto"/>
              <w:jc w:val="center"/>
              <w:rPr>
                <w:rFonts w:ascii="宋体" w:hAnsi="宋体" w:cs="宋体"/>
                <w:b/>
                <w:szCs w:val="21"/>
                <w:highlight w:val="none"/>
                <w:shd w:val="clear" w:color="auto" w:fill="FFFFFF"/>
              </w:rPr>
            </w:pPr>
          </w:p>
        </w:tc>
        <w:tc>
          <w:tcPr>
            <w:tcW w:w="1701" w:type="pct"/>
            <w:noWrap/>
            <w:vAlign w:val="center"/>
          </w:tcPr>
          <w:p>
            <w:pPr>
              <w:snapToGrid w:val="0"/>
              <w:spacing w:line="360" w:lineRule="auto"/>
              <w:jc w:val="center"/>
              <w:rPr>
                <w:rFonts w:ascii="宋体" w:hAnsi="宋体" w:cs="宋体"/>
                <w:b/>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5000" w:type="pct"/>
            <w:gridSpan w:val="5"/>
            <w:noWrap/>
            <w:vAlign w:val="center"/>
          </w:tcPr>
          <w:p>
            <w:pPr>
              <w:snapToGrid w:val="0"/>
              <w:spacing w:line="360" w:lineRule="auto"/>
              <w:rPr>
                <w:rFonts w:ascii="宋体" w:hAnsi="宋体" w:cs="宋体"/>
                <w:bCs/>
                <w:szCs w:val="21"/>
                <w:highlight w:val="none"/>
                <w:shd w:val="clear" w:color="auto" w:fill="FFFFFF"/>
              </w:rPr>
            </w:pPr>
            <w:r>
              <w:rPr>
                <w:rFonts w:hint="eastAsia" w:ascii="宋体" w:hAnsi="宋体" w:cs="宋体"/>
                <w:bCs/>
                <w:szCs w:val="21"/>
                <w:highlight w:val="none"/>
                <w:shd w:val="clear" w:color="auto" w:fill="FFFFFF"/>
              </w:rPr>
              <w:t>备注：</w:t>
            </w:r>
          </w:p>
          <w:p>
            <w:pPr>
              <w:snapToGrid w:val="0"/>
              <w:spacing w:line="360" w:lineRule="auto"/>
              <w:rPr>
                <w:rFonts w:ascii="宋体" w:hAnsi="宋体" w:cs="宋体"/>
                <w:bCs/>
                <w:szCs w:val="21"/>
                <w:highlight w:val="none"/>
                <w:shd w:val="clear" w:color="auto" w:fill="FFFFFF"/>
              </w:rPr>
            </w:pPr>
            <w:r>
              <w:rPr>
                <w:rFonts w:ascii="宋体" w:hAnsi="宋体" w:cs="宋体"/>
                <w:bCs/>
                <w:szCs w:val="21"/>
                <w:highlight w:val="none"/>
                <w:shd w:val="clear" w:color="auto" w:fill="FFFFFF"/>
              </w:rPr>
              <w:t>1、“岗位”要求（总监理工程师除外）由招标人根据项目管理需要在本表备注中明确提出，如：拟派驻施工现场的总监理工程师代表、专业监理工程师、监理员等。以上项目管理团队人员信息将由交易系统提取后供各相关单位在履约时比对、查核。</w:t>
            </w:r>
          </w:p>
          <w:p>
            <w:pPr>
              <w:snapToGrid w:val="0"/>
              <w:spacing w:line="360" w:lineRule="auto"/>
              <w:rPr>
                <w:rFonts w:ascii="宋体" w:hAnsi="宋体" w:cs="宋体"/>
                <w:bCs/>
                <w:szCs w:val="21"/>
                <w:highlight w:val="none"/>
                <w:shd w:val="clear" w:color="auto" w:fill="FFFFFF"/>
              </w:rPr>
            </w:pPr>
            <w:r>
              <w:rPr>
                <w:rFonts w:ascii="宋体" w:hAnsi="宋体" w:cs="宋体"/>
                <w:bCs/>
                <w:szCs w:val="21"/>
                <w:highlight w:val="none"/>
                <w:shd w:val="clear" w:color="auto" w:fill="FFFFFF"/>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snapToGrid w:val="0"/>
              <w:spacing w:line="360" w:lineRule="auto"/>
              <w:rPr>
                <w:rFonts w:ascii="宋体" w:hAnsi="宋体" w:cs="宋体"/>
                <w:b/>
                <w:szCs w:val="21"/>
                <w:highlight w:val="none"/>
                <w:shd w:val="clear" w:color="auto" w:fill="FFFFFF"/>
              </w:rPr>
            </w:pPr>
            <w:r>
              <w:rPr>
                <w:rFonts w:ascii="宋体" w:hAnsi="宋体" w:cs="宋体"/>
                <w:bCs/>
                <w:szCs w:val="21"/>
                <w:highlight w:val="none"/>
                <w:shd w:val="clear" w:color="auto" w:fill="FFFFFF"/>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snapToGrid w:val="0"/>
        <w:spacing w:line="360" w:lineRule="auto"/>
        <w:rPr>
          <w:rFonts w:ascii="宋体" w:hAnsi="宋体" w:cs="宋体"/>
          <w:kern w:val="0"/>
          <w:sz w:val="24"/>
          <w:highlight w:val="none"/>
        </w:rPr>
      </w:pPr>
    </w:p>
    <w:p>
      <w:pPr>
        <w:snapToGrid w:val="0"/>
        <w:spacing w:line="360" w:lineRule="auto"/>
        <w:rPr>
          <w:rFonts w:ascii="宋体" w:hAnsi="宋体" w:cs="宋体"/>
          <w:strike/>
          <w:kern w:val="0"/>
          <w:sz w:val="24"/>
          <w:highlight w:val="none"/>
        </w:rPr>
      </w:pPr>
    </w:p>
    <w:p>
      <w:pPr>
        <w:snapToGrid w:val="0"/>
        <w:spacing w:line="360" w:lineRule="auto"/>
        <w:rPr>
          <w:rFonts w:ascii="宋体" w:hAnsi="宋体" w:cs="宋体"/>
          <w:strike/>
          <w:kern w:val="0"/>
          <w:sz w:val="24"/>
          <w:highlight w:val="none"/>
        </w:rPr>
      </w:pPr>
    </w:p>
    <w:sectPr>
      <w:footerReference r:id="rId3"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方正大标宋简体">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FC1EE9"/>
    <w:multiLevelType w:val="singleLevel"/>
    <w:tmpl w:val="B7FC1EE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M2ZWQ1ODQ2ZGJlNjc3MmVlMDQyZjRlODEwM2U4MmEifQ=="/>
  </w:docVars>
  <w:rsids>
    <w:rsidRoot w:val="00172A27"/>
    <w:rsid w:val="00003EC5"/>
    <w:rsid w:val="000545FC"/>
    <w:rsid w:val="00067D97"/>
    <w:rsid w:val="000B5A47"/>
    <w:rsid w:val="00100B02"/>
    <w:rsid w:val="00161817"/>
    <w:rsid w:val="00172A27"/>
    <w:rsid w:val="0018308A"/>
    <w:rsid w:val="00185F70"/>
    <w:rsid w:val="00263541"/>
    <w:rsid w:val="00286D98"/>
    <w:rsid w:val="002941FE"/>
    <w:rsid w:val="002C0543"/>
    <w:rsid w:val="002F4615"/>
    <w:rsid w:val="00355AB1"/>
    <w:rsid w:val="00361BD0"/>
    <w:rsid w:val="00382D13"/>
    <w:rsid w:val="00392EFC"/>
    <w:rsid w:val="003A7462"/>
    <w:rsid w:val="003C7881"/>
    <w:rsid w:val="003D3EDC"/>
    <w:rsid w:val="003F183C"/>
    <w:rsid w:val="003F2908"/>
    <w:rsid w:val="00400D8E"/>
    <w:rsid w:val="004410BE"/>
    <w:rsid w:val="00451E7F"/>
    <w:rsid w:val="004664AE"/>
    <w:rsid w:val="004A77EC"/>
    <w:rsid w:val="004B2912"/>
    <w:rsid w:val="004B57DE"/>
    <w:rsid w:val="004C4207"/>
    <w:rsid w:val="004E5AD8"/>
    <w:rsid w:val="00506BF3"/>
    <w:rsid w:val="00517017"/>
    <w:rsid w:val="00565964"/>
    <w:rsid w:val="005834B4"/>
    <w:rsid w:val="0059559D"/>
    <w:rsid w:val="0059658F"/>
    <w:rsid w:val="005E776B"/>
    <w:rsid w:val="0064355D"/>
    <w:rsid w:val="006E7879"/>
    <w:rsid w:val="006F2AEF"/>
    <w:rsid w:val="007037F1"/>
    <w:rsid w:val="00710A01"/>
    <w:rsid w:val="00753E76"/>
    <w:rsid w:val="007606D4"/>
    <w:rsid w:val="007727F2"/>
    <w:rsid w:val="007C0726"/>
    <w:rsid w:val="007C3182"/>
    <w:rsid w:val="00817BDF"/>
    <w:rsid w:val="008A48D5"/>
    <w:rsid w:val="008C6737"/>
    <w:rsid w:val="008F1B19"/>
    <w:rsid w:val="0096041A"/>
    <w:rsid w:val="009742FD"/>
    <w:rsid w:val="009A48A6"/>
    <w:rsid w:val="009C4A36"/>
    <w:rsid w:val="00A5705C"/>
    <w:rsid w:val="00A64754"/>
    <w:rsid w:val="00A66B25"/>
    <w:rsid w:val="00A7276B"/>
    <w:rsid w:val="00AA7A5B"/>
    <w:rsid w:val="00AC0528"/>
    <w:rsid w:val="00B15514"/>
    <w:rsid w:val="00B70F46"/>
    <w:rsid w:val="00BA688E"/>
    <w:rsid w:val="00BB3B6C"/>
    <w:rsid w:val="00BD7078"/>
    <w:rsid w:val="00BE1085"/>
    <w:rsid w:val="00C009CB"/>
    <w:rsid w:val="00C367E3"/>
    <w:rsid w:val="00C61C4F"/>
    <w:rsid w:val="00C66298"/>
    <w:rsid w:val="00C74E39"/>
    <w:rsid w:val="00CD4CE2"/>
    <w:rsid w:val="00DA149C"/>
    <w:rsid w:val="00E07905"/>
    <w:rsid w:val="00E13597"/>
    <w:rsid w:val="00E465F0"/>
    <w:rsid w:val="00EB7593"/>
    <w:rsid w:val="00EC7ACB"/>
    <w:rsid w:val="00EC7F68"/>
    <w:rsid w:val="00F135D3"/>
    <w:rsid w:val="00F262BD"/>
    <w:rsid w:val="00F3366C"/>
    <w:rsid w:val="00F67858"/>
    <w:rsid w:val="01045B85"/>
    <w:rsid w:val="01A81730"/>
    <w:rsid w:val="02D5589A"/>
    <w:rsid w:val="031F1D77"/>
    <w:rsid w:val="03DE48EB"/>
    <w:rsid w:val="043317E2"/>
    <w:rsid w:val="044D34B7"/>
    <w:rsid w:val="04676994"/>
    <w:rsid w:val="04F80678"/>
    <w:rsid w:val="061A13D7"/>
    <w:rsid w:val="0660364A"/>
    <w:rsid w:val="06C26A1A"/>
    <w:rsid w:val="06EE35C7"/>
    <w:rsid w:val="06FC2909"/>
    <w:rsid w:val="070B0A13"/>
    <w:rsid w:val="0729492C"/>
    <w:rsid w:val="076022EA"/>
    <w:rsid w:val="07783CC5"/>
    <w:rsid w:val="07A930E0"/>
    <w:rsid w:val="0866713C"/>
    <w:rsid w:val="08804890"/>
    <w:rsid w:val="0921146F"/>
    <w:rsid w:val="09FC79ED"/>
    <w:rsid w:val="0ABE2746"/>
    <w:rsid w:val="0AC364C2"/>
    <w:rsid w:val="0AEE49EB"/>
    <w:rsid w:val="0B0D37C0"/>
    <w:rsid w:val="0B267042"/>
    <w:rsid w:val="0B920E8C"/>
    <w:rsid w:val="0BD506F1"/>
    <w:rsid w:val="0C1344CF"/>
    <w:rsid w:val="0C7828A3"/>
    <w:rsid w:val="0CD959B1"/>
    <w:rsid w:val="0D1A745B"/>
    <w:rsid w:val="0D6003E7"/>
    <w:rsid w:val="0D8866CA"/>
    <w:rsid w:val="0E391301"/>
    <w:rsid w:val="0E4402C8"/>
    <w:rsid w:val="0E525B92"/>
    <w:rsid w:val="0E611D27"/>
    <w:rsid w:val="0F0E02F9"/>
    <w:rsid w:val="0F5B6B9F"/>
    <w:rsid w:val="0F6B155B"/>
    <w:rsid w:val="101A52A1"/>
    <w:rsid w:val="101C4CDA"/>
    <w:rsid w:val="10251E66"/>
    <w:rsid w:val="10D339E7"/>
    <w:rsid w:val="11122605"/>
    <w:rsid w:val="11BB4325"/>
    <w:rsid w:val="11CD3712"/>
    <w:rsid w:val="12352358"/>
    <w:rsid w:val="12522F78"/>
    <w:rsid w:val="12C5485D"/>
    <w:rsid w:val="12DF19DE"/>
    <w:rsid w:val="13082B03"/>
    <w:rsid w:val="134D2CAC"/>
    <w:rsid w:val="13A53D5C"/>
    <w:rsid w:val="13E713A8"/>
    <w:rsid w:val="14EA2290"/>
    <w:rsid w:val="15381370"/>
    <w:rsid w:val="15577D0C"/>
    <w:rsid w:val="157D5185"/>
    <w:rsid w:val="15B97FE3"/>
    <w:rsid w:val="15C672BE"/>
    <w:rsid w:val="16754744"/>
    <w:rsid w:val="171135A0"/>
    <w:rsid w:val="17DA2333"/>
    <w:rsid w:val="181E4207"/>
    <w:rsid w:val="18B232E6"/>
    <w:rsid w:val="19623030"/>
    <w:rsid w:val="199C756E"/>
    <w:rsid w:val="1A27597A"/>
    <w:rsid w:val="1A360138"/>
    <w:rsid w:val="1A557ECE"/>
    <w:rsid w:val="1A8951F1"/>
    <w:rsid w:val="1AF252C1"/>
    <w:rsid w:val="1B2E6601"/>
    <w:rsid w:val="1B494CAD"/>
    <w:rsid w:val="1B680E8F"/>
    <w:rsid w:val="1B863B71"/>
    <w:rsid w:val="1BAC0D1D"/>
    <w:rsid w:val="1D2F49EE"/>
    <w:rsid w:val="1D692AB2"/>
    <w:rsid w:val="1D9E17FB"/>
    <w:rsid w:val="1E265C15"/>
    <w:rsid w:val="1E7D4E64"/>
    <w:rsid w:val="1E807550"/>
    <w:rsid w:val="1E817F6C"/>
    <w:rsid w:val="1EDC0BC7"/>
    <w:rsid w:val="1F2177FA"/>
    <w:rsid w:val="1FF63872"/>
    <w:rsid w:val="219C60A6"/>
    <w:rsid w:val="21CD1151"/>
    <w:rsid w:val="2201018D"/>
    <w:rsid w:val="222063B1"/>
    <w:rsid w:val="22383D5A"/>
    <w:rsid w:val="228A5B32"/>
    <w:rsid w:val="22F13815"/>
    <w:rsid w:val="23152545"/>
    <w:rsid w:val="2336452C"/>
    <w:rsid w:val="23492314"/>
    <w:rsid w:val="23845DCE"/>
    <w:rsid w:val="23922E6E"/>
    <w:rsid w:val="24192176"/>
    <w:rsid w:val="24337310"/>
    <w:rsid w:val="24487875"/>
    <w:rsid w:val="24B638CC"/>
    <w:rsid w:val="25736029"/>
    <w:rsid w:val="25CE5577"/>
    <w:rsid w:val="261F7F15"/>
    <w:rsid w:val="262E0955"/>
    <w:rsid w:val="26976C3C"/>
    <w:rsid w:val="281540D0"/>
    <w:rsid w:val="28162DCC"/>
    <w:rsid w:val="28EB6E5D"/>
    <w:rsid w:val="29424BE1"/>
    <w:rsid w:val="2A754512"/>
    <w:rsid w:val="2B037365"/>
    <w:rsid w:val="2C1043D5"/>
    <w:rsid w:val="2C1504A7"/>
    <w:rsid w:val="2C3606B3"/>
    <w:rsid w:val="2C445A83"/>
    <w:rsid w:val="2C650013"/>
    <w:rsid w:val="2CCD6F0D"/>
    <w:rsid w:val="2D95205E"/>
    <w:rsid w:val="2D9767D9"/>
    <w:rsid w:val="2DA0115F"/>
    <w:rsid w:val="2DC36224"/>
    <w:rsid w:val="2DF242A2"/>
    <w:rsid w:val="2E3D4247"/>
    <w:rsid w:val="2E3E69AA"/>
    <w:rsid w:val="2EB06BE1"/>
    <w:rsid w:val="2ED731F5"/>
    <w:rsid w:val="2F1848F1"/>
    <w:rsid w:val="2F413D89"/>
    <w:rsid w:val="2F4F4071"/>
    <w:rsid w:val="2F865B33"/>
    <w:rsid w:val="2F945E06"/>
    <w:rsid w:val="2FC160E9"/>
    <w:rsid w:val="2FE51FF6"/>
    <w:rsid w:val="303A7E12"/>
    <w:rsid w:val="31397CB3"/>
    <w:rsid w:val="31506895"/>
    <w:rsid w:val="31FE0F66"/>
    <w:rsid w:val="321E333F"/>
    <w:rsid w:val="325A0074"/>
    <w:rsid w:val="327D6344"/>
    <w:rsid w:val="327F34A8"/>
    <w:rsid w:val="32E1221F"/>
    <w:rsid w:val="33396F91"/>
    <w:rsid w:val="33781C54"/>
    <w:rsid w:val="33F37558"/>
    <w:rsid w:val="33F77569"/>
    <w:rsid w:val="340115EB"/>
    <w:rsid w:val="34145E57"/>
    <w:rsid w:val="344718D7"/>
    <w:rsid w:val="36086103"/>
    <w:rsid w:val="363051E0"/>
    <w:rsid w:val="3657284B"/>
    <w:rsid w:val="36774AAF"/>
    <w:rsid w:val="367C1309"/>
    <w:rsid w:val="36DC4154"/>
    <w:rsid w:val="36FB6185"/>
    <w:rsid w:val="37935A74"/>
    <w:rsid w:val="37E77F34"/>
    <w:rsid w:val="381C47F6"/>
    <w:rsid w:val="383B33FF"/>
    <w:rsid w:val="38897C0D"/>
    <w:rsid w:val="38AF14BB"/>
    <w:rsid w:val="38F32C80"/>
    <w:rsid w:val="38FA4530"/>
    <w:rsid w:val="39A53F61"/>
    <w:rsid w:val="39FE23C3"/>
    <w:rsid w:val="3ADA58E6"/>
    <w:rsid w:val="3B144FD5"/>
    <w:rsid w:val="3B625B3D"/>
    <w:rsid w:val="3C201D89"/>
    <w:rsid w:val="3C7630A2"/>
    <w:rsid w:val="3CEB3C5D"/>
    <w:rsid w:val="3D3F366C"/>
    <w:rsid w:val="3E5B110E"/>
    <w:rsid w:val="3EB051E7"/>
    <w:rsid w:val="3EE40697"/>
    <w:rsid w:val="3F1553EA"/>
    <w:rsid w:val="3F944510"/>
    <w:rsid w:val="3F97656A"/>
    <w:rsid w:val="3FDE16FC"/>
    <w:rsid w:val="3FFE1625"/>
    <w:rsid w:val="40157A9F"/>
    <w:rsid w:val="406E4977"/>
    <w:rsid w:val="40857556"/>
    <w:rsid w:val="40A62E5A"/>
    <w:rsid w:val="40E511A0"/>
    <w:rsid w:val="410B4E45"/>
    <w:rsid w:val="411972EB"/>
    <w:rsid w:val="413E5C30"/>
    <w:rsid w:val="414B66B2"/>
    <w:rsid w:val="41C26A00"/>
    <w:rsid w:val="42033CD4"/>
    <w:rsid w:val="421F3CC7"/>
    <w:rsid w:val="428247B4"/>
    <w:rsid w:val="42EE4C97"/>
    <w:rsid w:val="43465F9D"/>
    <w:rsid w:val="43520E72"/>
    <w:rsid w:val="43F6747C"/>
    <w:rsid w:val="43F85001"/>
    <w:rsid w:val="44075480"/>
    <w:rsid w:val="441B4AB4"/>
    <w:rsid w:val="444E6562"/>
    <w:rsid w:val="447D750C"/>
    <w:rsid w:val="449B5C12"/>
    <w:rsid w:val="45A44BE1"/>
    <w:rsid w:val="45B932F3"/>
    <w:rsid w:val="45E14740"/>
    <w:rsid w:val="46A570E2"/>
    <w:rsid w:val="481C2CEF"/>
    <w:rsid w:val="48513090"/>
    <w:rsid w:val="48B60ACF"/>
    <w:rsid w:val="48E71C39"/>
    <w:rsid w:val="48F668AE"/>
    <w:rsid w:val="49082535"/>
    <w:rsid w:val="49537130"/>
    <w:rsid w:val="49CF7139"/>
    <w:rsid w:val="49FA536C"/>
    <w:rsid w:val="4A261BA3"/>
    <w:rsid w:val="4A446CE8"/>
    <w:rsid w:val="4B3D2802"/>
    <w:rsid w:val="4BD70B83"/>
    <w:rsid w:val="4C510A9E"/>
    <w:rsid w:val="4C6E7B77"/>
    <w:rsid w:val="4C8F74FD"/>
    <w:rsid w:val="4CB41511"/>
    <w:rsid w:val="4DC24B13"/>
    <w:rsid w:val="4DE003C0"/>
    <w:rsid w:val="4DF20979"/>
    <w:rsid w:val="4E3943F2"/>
    <w:rsid w:val="4E3B4CFE"/>
    <w:rsid w:val="4E494A59"/>
    <w:rsid w:val="4E6B1349"/>
    <w:rsid w:val="4E721C53"/>
    <w:rsid w:val="4EFF6B37"/>
    <w:rsid w:val="4F61309F"/>
    <w:rsid w:val="4F621379"/>
    <w:rsid w:val="4FBC5418"/>
    <w:rsid w:val="50612BA6"/>
    <w:rsid w:val="50616329"/>
    <w:rsid w:val="507218FF"/>
    <w:rsid w:val="507B7BD3"/>
    <w:rsid w:val="51F86BDC"/>
    <w:rsid w:val="52341436"/>
    <w:rsid w:val="528C66A1"/>
    <w:rsid w:val="529F4A13"/>
    <w:rsid w:val="52A03CC5"/>
    <w:rsid w:val="52C1287D"/>
    <w:rsid w:val="52F924CF"/>
    <w:rsid w:val="530B3C23"/>
    <w:rsid w:val="531E5240"/>
    <w:rsid w:val="534D3864"/>
    <w:rsid w:val="537263CB"/>
    <w:rsid w:val="539C4261"/>
    <w:rsid w:val="547B661F"/>
    <w:rsid w:val="54905CA6"/>
    <w:rsid w:val="549B4A5F"/>
    <w:rsid w:val="54AE0D6E"/>
    <w:rsid w:val="54D0627D"/>
    <w:rsid w:val="54E3532B"/>
    <w:rsid w:val="54FD33D4"/>
    <w:rsid w:val="553E1AA4"/>
    <w:rsid w:val="556D2836"/>
    <w:rsid w:val="556D5EC9"/>
    <w:rsid w:val="557F30A9"/>
    <w:rsid w:val="55E00476"/>
    <w:rsid w:val="564B76DA"/>
    <w:rsid w:val="56B611AE"/>
    <w:rsid w:val="57070259"/>
    <w:rsid w:val="58021E09"/>
    <w:rsid w:val="587E528D"/>
    <w:rsid w:val="58CD6AA7"/>
    <w:rsid w:val="58FC4850"/>
    <w:rsid w:val="5A45580C"/>
    <w:rsid w:val="5A533987"/>
    <w:rsid w:val="5A595A5C"/>
    <w:rsid w:val="5A7766B4"/>
    <w:rsid w:val="5A88111A"/>
    <w:rsid w:val="5ACA6167"/>
    <w:rsid w:val="5AF8280B"/>
    <w:rsid w:val="5B324E10"/>
    <w:rsid w:val="5C0B62BA"/>
    <w:rsid w:val="5C195F2D"/>
    <w:rsid w:val="5C830A2F"/>
    <w:rsid w:val="5C9811CB"/>
    <w:rsid w:val="5CA26EDC"/>
    <w:rsid w:val="5D847A68"/>
    <w:rsid w:val="5DAC7026"/>
    <w:rsid w:val="5DC850BE"/>
    <w:rsid w:val="5E45460E"/>
    <w:rsid w:val="5E546B63"/>
    <w:rsid w:val="5EB56692"/>
    <w:rsid w:val="5F387920"/>
    <w:rsid w:val="60011BDB"/>
    <w:rsid w:val="603E0975"/>
    <w:rsid w:val="60504DC6"/>
    <w:rsid w:val="60683F04"/>
    <w:rsid w:val="609A63BE"/>
    <w:rsid w:val="60D03538"/>
    <w:rsid w:val="610753CD"/>
    <w:rsid w:val="615856BC"/>
    <w:rsid w:val="616072A1"/>
    <w:rsid w:val="61813319"/>
    <w:rsid w:val="61904A0F"/>
    <w:rsid w:val="61B302ED"/>
    <w:rsid w:val="62225609"/>
    <w:rsid w:val="623E1652"/>
    <w:rsid w:val="627848AA"/>
    <w:rsid w:val="62BD4EA7"/>
    <w:rsid w:val="62C14E31"/>
    <w:rsid w:val="6312272A"/>
    <w:rsid w:val="63B30841"/>
    <w:rsid w:val="64286FF6"/>
    <w:rsid w:val="64694012"/>
    <w:rsid w:val="64875B72"/>
    <w:rsid w:val="64883D13"/>
    <w:rsid w:val="649A0321"/>
    <w:rsid w:val="660E30F9"/>
    <w:rsid w:val="66856181"/>
    <w:rsid w:val="66C46218"/>
    <w:rsid w:val="66D12122"/>
    <w:rsid w:val="66D6491E"/>
    <w:rsid w:val="6736281D"/>
    <w:rsid w:val="67C428DD"/>
    <w:rsid w:val="688871ED"/>
    <w:rsid w:val="68B5003D"/>
    <w:rsid w:val="68C65034"/>
    <w:rsid w:val="68CC75A2"/>
    <w:rsid w:val="693E6429"/>
    <w:rsid w:val="6987019D"/>
    <w:rsid w:val="69FD14FE"/>
    <w:rsid w:val="6A05414F"/>
    <w:rsid w:val="6A6451C0"/>
    <w:rsid w:val="6A854EFE"/>
    <w:rsid w:val="6AF51692"/>
    <w:rsid w:val="6B451351"/>
    <w:rsid w:val="6B6942E5"/>
    <w:rsid w:val="6B816167"/>
    <w:rsid w:val="6C287B6A"/>
    <w:rsid w:val="6C472C4C"/>
    <w:rsid w:val="6C681E09"/>
    <w:rsid w:val="6CBF5C6C"/>
    <w:rsid w:val="6D46424F"/>
    <w:rsid w:val="6DF41058"/>
    <w:rsid w:val="6EFE11F4"/>
    <w:rsid w:val="6F530B21"/>
    <w:rsid w:val="6F573BB2"/>
    <w:rsid w:val="6FC07B82"/>
    <w:rsid w:val="6FF7362A"/>
    <w:rsid w:val="70085061"/>
    <w:rsid w:val="70A5701B"/>
    <w:rsid w:val="71164FC0"/>
    <w:rsid w:val="71EB1288"/>
    <w:rsid w:val="720A4B35"/>
    <w:rsid w:val="729D6E25"/>
    <w:rsid w:val="72CD5FDA"/>
    <w:rsid w:val="730C4F95"/>
    <w:rsid w:val="733D783F"/>
    <w:rsid w:val="73451595"/>
    <w:rsid w:val="73BC6F01"/>
    <w:rsid w:val="743C466D"/>
    <w:rsid w:val="748012CB"/>
    <w:rsid w:val="74D46B68"/>
    <w:rsid w:val="74E16B61"/>
    <w:rsid w:val="75262C78"/>
    <w:rsid w:val="75772F46"/>
    <w:rsid w:val="75C52758"/>
    <w:rsid w:val="75CA0D2A"/>
    <w:rsid w:val="763F30AD"/>
    <w:rsid w:val="76B53304"/>
    <w:rsid w:val="76C257EE"/>
    <w:rsid w:val="76D4604A"/>
    <w:rsid w:val="77235B7D"/>
    <w:rsid w:val="78114176"/>
    <w:rsid w:val="78234186"/>
    <w:rsid w:val="78353E4E"/>
    <w:rsid w:val="78457421"/>
    <w:rsid w:val="78831E94"/>
    <w:rsid w:val="789A4A06"/>
    <w:rsid w:val="79465286"/>
    <w:rsid w:val="79F563E6"/>
    <w:rsid w:val="7A4F2A40"/>
    <w:rsid w:val="7A960E37"/>
    <w:rsid w:val="7BB944C3"/>
    <w:rsid w:val="7BCB26B9"/>
    <w:rsid w:val="7C07632D"/>
    <w:rsid w:val="7C1B6C37"/>
    <w:rsid w:val="7C8E1DEA"/>
    <w:rsid w:val="7D290472"/>
    <w:rsid w:val="7D765CB9"/>
    <w:rsid w:val="7ED449A0"/>
    <w:rsid w:val="7EF050BA"/>
    <w:rsid w:val="7F236C5A"/>
    <w:rsid w:val="7F3F1D19"/>
    <w:rsid w:val="7F4067C0"/>
    <w:rsid w:val="7F542426"/>
    <w:rsid w:val="7F782389"/>
    <w:rsid w:val="7F800505"/>
    <w:rsid w:val="7FC570BF"/>
    <w:rsid w:val="7FD467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paragraph" w:styleId="2">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annotation text"/>
    <w:basedOn w:val="1"/>
    <w:link w:val="25"/>
    <w:qFormat/>
    <w:uiPriority w:val="0"/>
    <w:pPr>
      <w:jc w:val="left"/>
    </w:pPr>
  </w:style>
  <w:style w:type="paragraph" w:styleId="6">
    <w:name w:val="Body Text"/>
    <w:basedOn w:val="1"/>
    <w:next w:val="1"/>
    <w:qFormat/>
    <w:uiPriority w:val="0"/>
    <w:pPr>
      <w:spacing w:after="120"/>
    </w:pPr>
    <w:rPr>
      <w:rFonts w:ascii="Calibri" w:hAnsi="Calibri"/>
    </w:rPr>
  </w:style>
  <w:style w:type="paragraph" w:styleId="7">
    <w:name w:val="Balloon Text"/>
    <w:basedOn w:val="1"/>
    <w:link w:val="2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qFormat/>
    <w:uiPriority w:val="0"/>
    <w:pPr>
      <w:jc w:val="left"/>
    </w:pPr>
    <w:rPr>
      <w:rFonts w:ascii="微软雅黑" w:hAnsi="微软雅黑" w:eastAsia="微软雅黑"/>
      <w:kern w:val="0"/>
      <w:sz w:val="20"/>
      <w:szCs w:val="20"/>
    </w:rPr>
  </w:style>
  <w:style w:type="paragraph" w:styleId="11">
    <w:name w:val="annotation subject"/>
    <w:basedOn w:val="5"/>
    <w:next w:val="5"/>
    <w:link w:val="23"/>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character" w:styleId="16">
    <w:name w:val="FollowedHyperlink"/>
    <w:qFormat/>
    <w:uiPriority w:val="0"/>
    <w:rPr>
      <w:rFonts w:hint="eastAsia" w:ascii="微软雅黑" w:hAnsi="微软雅黑" w:eastAsia="微软雅黑" w:cs="微软雅黑"/>
      <w:color w:val="337AB7"/>
      <w:u w:val="none"/>
    </w:rPr>
  </w:style>
  <w:style w:type="character" w:styleId="17">
    <w:name w:val="HTML Definition"/>
    <w:qFormat/>
    <w:uiPriority w:val="0"/>
    <w:rPr>
      <w:i/>
      <w:sz w:val="20"/>
      <w:szCs w:val="20"/>
    </w:rPr>
  </w:style>
  <w:style w:type="character" w:styleId="18">
    <w:name w:val="Hyperlink"/>
    <w:qFormat/>
    <w:uiPriority w:val="0"/>
    <w:rPr>
      <w:rFonts w:hint="eastAsia" w:ascii="微软雅黑" w:hAnsi="微软雅黑" w:eastAsia="微软雅黑" w:cs="微软雅黑"/>
      <w:color w:val="337AB7"/>
      <w:u w:val="none"/>
    </w:rPr>
  </w:style>
  <w:style w:type="character" w:styleId="19">
    <w:name w:val="HTML Code"/>
    <w:qFormat/>
    <w:uiPriority w:val="0"/>
    <w:rPr>
      <w:rFonts w:ascii="Consolas" w:hAnsi="Consolas" w:eastAsia="Consolas" w:cs="Consolas"/>
      <w:color w:val="C7254E"/>
      <w:sz w:val="21"/>
      <w:szCs w:val="21"/>
      <w:bdr w:val="single" w:color="E1E1E1" w:sz="6" w:space="0"/>
      <w:shd w:val="clear" w:color="auto" w:fill="F9F2F4"/>
    </w:rPr>
  </w:style>
  <w:style w:type="character" w:styleId="20">
    <w:name w:val="annotation reference"/>
    <w:qFormat/>
    <w:uiPriority w:val="0"/>
    <w:rPr>
      <w:sz w:val="21"/>
      <w:szCs w:val="21"/>
    </w:rPr>
  </w:style>
  <w:style w:type="character" w:styleId="21">
    <w:name w:val="HTML Keyboard"/>
    <w:qFormat/>
    <w:uiPriority w:val="0"/>
    <w:rPr>
      <w:rFonts w:hint="default" w:ascii="Consolas" w:hAnsi="Consolas" w:eastAsia="Consolas" w:cs="Consolas"/>
      <w:color w:val="FFFFFF"/>
      <w:sz w:val="21"/>
      <w:szCs w:val="21"/>
      <w:shd w:val="clear" w:color="auto" w:fill="333333"/>
      <w:vertAlign w:val="baseline"/>
    </w:rPr>
  </w:style>
  <w:style w:type="character" w:styleId="22">
    <w:name w:val="HTML Sample"/>
    <w:qFormat/>
    <w:uiPriority w:val="0"/>
    <w:rPr>
      <w:rFonts w:hint="default" w:ascii="Consolas" w:hAnsi="Consolas" w:eastAsia="Consolas" w:cs="Consolas"/>
      <w:sz w:val="21"/>
      <w:szCs w:val="21"/>
    </w:rPr>
  </w:style>
  <w:style w:type="character" w:customStyle="1" w:styleId="23">
    <w:name w:val="批注主题 字符"/>
    <w:link w:val="11"/>
    <w:qFormat/>
    <w:uiPriority w:val="0"/>
    <w:rPr>
      <w:b/>
      <w:bCs/>
      <w:kern w:val="2"/>
      <w:sz w:val="21"/>
      <w:szCs w:val="22"/>
    </w:rPr>
  </w:style>
  <w:style w:type="character" w:customStyle="1" w:styleId="24">
    <w:name w:val="页眉 字符"/>
    <w:link w:val="9"/>
    <w:qFormat/>
    <w:uiPriority w:val="0"/>
    <w:rPr>
      <w:rFonts w:ascii="Calibri" w:hAnsi="Calibri"/>
      <w:kern w:val="2"/>
      <w:sz w:val="18"/>
      <w:szCs w:val="18"/>
    </w:rPr>
  </w:style>
  <w:style w:type="character" w:customStyle="1" w:styleId="25">
    <w:name w:val="批注文字 字符"/>
    <w:link w:val="5"/>
    <w:qFormat/>
    <w:uiPriority w:val="0"/>
    <w:rPr>
      <w:kern w:val="2"/>
      <w:sz w:val="21"/>
      <w:szCs w:val="22"/>
    </w:rPr>
  </w:style>
  <w:style w:type="character" w:customStyle="1" w:styleId="26">
    <w:name w:val="批注框文本 字符"/>
    <w:link w:val="7"/>
    <w:qFormat/>
    <w:uiPriority w:val="0"/>
    <w:rPr>
      <w:kern w:val="2"/>
      <w:sz w:val="18"/>
      <w:szCs w:val="18"/>
    </w:rPr>
  </w:style>
  <w:style w:type="character" w:customStyle="1" w:styleId="27">
    <w:name w:val="title24"/>
    <w:basedOn w:val="14"/>
    <w:qFormat/>
    <w:uiPriority w:val="0"/>
  </w:style>
  <w:style w:type="character" w:customStyle="1" w:styleId="28">
    <w:name w:val="username"/>
    <w:basedOn w:val="14"/>
    <w:qFormat/>
    <w:uiPriority w:val="0"/>
  </w:style>
  <w:style w:type="character" w:customStyle="1" w:styleId="29">
    <w:name w:val="title2"/>
    <w:basedOn w:val="14"/>
    <w:qFormat/>
    <w:uiPriority w:val="0"/>
  </w:style>
  <w:style w:type="character" w:customStyle="1" w:styleId="30">
    <w:name w:val="title26"/>
    <w:basedOn w:val="14"/>
    <w:qFormat/>
    <w:uiPriority w:val="0"/>
  </w:style>
  <w:style w:type="character" w:customStyle="1" w:styleId="31">
    <w:name w:val="title21"/>
    <w:basedOn w:val="14"/>
    <w:qFormat/>
    <w:uiPriority w:val="0"/>
  </w:style>
  <w:style w:type="character" w:customStyle="1" w:styleId="32">
    <w:name w:val="title23"/>
    <w:basedOn w:val="14"/>
    <w:qFormat/>
    <w:uiPriority w:val="0"/>
  </w:style>
  <w:style w:type="paragraph" w:customStyle="1" w:styleId="33">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34">
    <w:name w:val="Revision"/>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4198</Words>
  <Characters>4667</Characters>
  <Lines>40</Lines>
  <Paragraphs>11</Paragraphs>
  <TotalTime>15</TotalTime>
  <ScaleCrop>false</ScaleCrop>
  <LinksUpToDate>false</LinksUpToDate>
  <CharactersWithSpaces>4841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2021-03-19T01:25:00Z</dcterms:created>
  <dc:creator>BB空白一片</dc:creator>
  <cp:lastModifiedBy>吴亚倩：｜</cp:lastModifiedBy>
  <cp:lastPrinted>2022-09-19T03:01:00Z</cp:lastPrinted>
  <dcterms:modified xsi:type="dcterms:W3CDTF">2022-12-02T12:24:00Z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2E75C1086C774F488E1487AB314D0EE6</vt:lpwstr>
  </property>
</Properties>
</file>