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spacing w:line="440" w:lineRule="exact"/>
        <w:jc w:val="center"/>
        <w:rPr>
          <w:rFonts w:hint="default" w:ascii="Times New Roman" w:hAnsi="Times New Roman" w:cs="Times New Roman"/>
          <w:color w:val="auto"/>
          <w:highlight w:val="none"/>
          <w:shd w:val="clear" w:color="auto" w:fill="FFFFFF"/>
        </w:rPr>
      </w:pPr>
      <w:r>
        <w:rPr>
          <w:rFonts w:hint="default" w:ascii="Times New Roman" w:hAnsi="Times New Roman" w:eastAsia="黑体" w:cs="Times New Roman"/>
          <w:b/>
          <w:bCs/>
          <w:color w:val="auto"/>
          <w:highlight w:val="none"/>
          <w:shd w:val="clear" w:color="auto" w:fill="FFFFFF"/>
        </w:rPr>
        <w:t>附录1   资格审查条件（资质最低条件）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22" w:type="dxa"/>
            <w:noWrap w:val="0"/>
            <w:vAlign w:val="center"/>
          </w:tcPr>
          <w:p>
            <w:pPr>
              <w:spacing w:line="360"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同时具备：</w:t>
            </w:r>
          </w:p>
          <w:p>
            <w:pPr>
              <w:spacing w:line="360"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1、具有在中华人民共和国境内工商管理部门注册的有效的独立企业法人营业执照。</w:t>
            </w:r>
          </w:p>
          <w:p>
            <w:pPr>
              <w:spacing w:line="400" w:lineRule="exact"/>
              <w:ind w:firstLine="420" w:firstLineChars="200"/>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2、具备建设主管部门颁发的工程设计综合资质（甲级）资质证书或</w:t>
            </w:r>
            <w:r>
              <w:rPr>
                <w:rFonts w:hint="default" w:ascii="Times New Roman" w:hAnsi="Times New Roman" w:cs="Times New Roman"/>
                <w:color w:val="auto"/>
                <w:kern w:val="0"/>
                <w:sz w:val="21"/>
                <w:szCs w:val="21"/>
                <w:highlight w:val="none"/>
                <w:shd w:val="clear" w:color="auto" w:fill="FFFFFF"/>
                <w:lang w:val="en-US" w:eastAsia="zh-CN"/>
              </w:rPr>
              <w:t>具备</w:t>
            </w:r>
            <w:r>
              <w:rPr>
                <w:rFonts w:hint="default" w:ascii="Times New Roman" w:hAnsi="Times New Roman" w:cs="Times New Roman"/>
                <w:color w:val="auto"/>
                <w:kern w:val="0"/>
                <w:sz w:val="21"/>
                <w:szCs w:val="21"/>
                <w:highlight w:val="none"/>
                <w:shd w:val="clear" w:color="auto" w:fill="FFFFFF"/>
              </w:rPr>
              <w:t>公路行业设计</w:t>
            </w:r>
            <w:r>
              <w:rPr>
                <w:rFonts w:hint="default" w:ascii="Times New Roman" w:hAnsi="Times New Roman" w:cs="Times New Roman"/>
                <w:color w:val="auto"/>
                <w:kern w:val="0"/>
                <w:sz w:val="21"/>
                <w:szCs w:val="21"/>
                <w:highlight w:val="none"/>
                <w:shd w:val="clear" w:color="auto" w:fill="FFFFFF"/>
                <w:lang w:val="en-US" w:eastAsia="zh-CN"/>
              </w:rPr>
              <w:t>乙</w:t>
            </w:r>
            <w:r>
              <w:rPr>
                <w:rFonts w:hint="default" w:ascii="Times New Roman" w:hAnsi="Times New Roman" w:cs="Times New Roman"/>
                <w:color w:val="auto"/>
                <w:kern w:val="0"/>
                <w:sz w:val="21"/>
                <w:szCs w:val="21"/>
                <w:highlight w:val="none"/>
                <w:shd w:val="clear" w:color="auto" w:fill="FFFFFF"/>
              </w:rPr>
              <w:t>级</w:t>
            </w:r>
            <w:r>
              <w:rPr>
                <w:rFonts w:hint="default" w:ascii="Times New Roman" w:hAnsi="Times New Roman" w:cs="Times New Roman"/>
                <w:color w:val="auto"/>
                <w:kern w:val="0"/>
                <w:sz w:val="21"/>
                <w:szCs w:val="21"/>
                <w:highlight w:val="none"/>
                <w:shd w:val="clear" w:color="auto" w:fill="FFFFFF"/>
                <w:lang w:eastAsia="zh-CN"/>
              </w:rPr>
              <w:t>（</w:t>
            </w:r>
            <w:r>
              <w:rPr>
                <w:rFonts w:hint="default" w:ascii="Times New Roman" w:hAnsi="Times New Roman" w:cs="Times New Roman"/>
                <w:color w:val="auto"/>
                <w:kern w:val="0"/>
                <w:sz w:val="21"/>
                <w:szCs w:val="21"/>
                <w:highlight w:val="none"/>
                <w:shd w:val="clear" w:color="auto" w:fill="FFFFFF"/>
                <w:lang w:val="en-US" w:eastAsia="zh-CN"/>
              </w:rPr>
              <w:t>或以上</w:t>
            </w:r>
            <w:r>
              <w:rPr>
                <w:rFonts w:hint="default" w:ascii="Times New Roman" w:hAnsi="Times New Roman" w:cs="Times New Roman"/>
                <w:color w:val="auto"/>
                <w:kern w:val="0"/>
                <w:sz w:val="21"/>
                <w:szCs w:val="21"/>
                <w:highlight w:val="none"/>
                <w:shd w:val="clear" w:color="auto" w:fill="FFFFFF"/>
                <w:lang w:eastAsia="zh-CN"/>
              </w:rPr>
              <w:t>）</w:t>
            </w:r>
            <w:r>
              <w:rPr>
                <w:rFonts w:hint="default" w:ascii="Times New Roman" w:hAnsi="Times New Roman" w:cs="Times New Roman"/>
                <w:color w:val="auto"/>
                <w:kern w:val="0"/>
                <w:sz w:val="21"/>
                <w:szCs w:val="21"/>
                <w:highlight w:val="none"/>
                <w:shd w:val="clear" w:color="auto" w:fill="FFFFFF"/>
              </w:rPr>
              <w:t>资质证书或</w:t>
            </w:r>
            <w:r>
              <w:rPr>
                <w:rFonts w:hint="default" w:ascii="Times New Roman" w:hAnsi="Times New Roman" w:cs="Times New Roman"/>
                <w:color w:val="auto"/>
                <w:kern w:val="0"/>
                <w:sz w:val="21"/>
                <w:szCs w:val="21"/>
                <w:highlight w:val="none"/>
                <w:shd w:val="clear" w:color="auto" w:fill="FFFFFF"/>
                <w:lang w:val="en-US" w:eastAsia="zh-CN"/>
              </w:rPr>
              <w:t>具备</w:t>
            </w:r>
            <w:r>
              <w:rPr>
                <w:rFonts w:hint="default" w:ascii="Times New Roman" w:hAnsi="Times New Roman" w:cs="Times New Roman"/>
                <w:color w:val="auto"/>
                <w:kern w:val="0"/>
                <w:sz w:val="21"/>
                <w:szCs w:val="21"/>
                <w:highlight w:val="none"/>
                <w:shd w:val="clear" w:color="auto" w:fill="FFFFFF"/>
              </w:rPr>
              <w:t>公路行业（公路）专业设计</w:t>
            </w:r>
            <w:r>
              <w:rPr>
                <w:rFonts w:hint="default" w:ascii="Times New Roman" w:hAnsi="Times New Roman" w:cs="Times New Roman"/>
                <w:color w:val="auto"/>
                <w:kern w:val="0"/>
                <w:sz w:val="21"/>
                <w:szCs w:val="21"/>
                <w:highlight w:val="none"/>
                <w:shd w:val="clear" w:color="auto" w:fill="FFFFFF"/>
                <w:lang w:val="en-US" w:eastAsia="zh-CN"/>
              </w:rPr>
              <w:t>乙</w:t>
            </w:r>
            <w:r>
              <w:rPr>
                <w:rFonts w:hint="default" w:ascii="Times New Roman" w:hAnsi="Times New Roman" w:cs="Times New Roman"/>
                <w:color w:val="auto"/>
                <w:kern w:val="0"/>
                <w:sz w:val="21"/>
                <w:szCs w:val="21"/>
                <w:highlight w:val="none"/>
                <w:shd w:val="clear" w:color="auto" w:fill="FFFFFF"/>
              </w:rPr>
              <w:t>级</w:t>
            </w:r>
            <w:r>
              <w:rPr>
                <w:rFonts w:hint="default" w:ascii="Times New Roman" w:hAnsi="Times New Roman" w:cs="Times New Roman"/>
                <w:color w:val="auto"/>
                <w:kern w:val="0"/>
                <w:sz w:val="21"/>
                <w:szCs w:val="21"/>
                <w:highlight w:val="none"/>
                <w:shd w:val="clear" w:color="auto" w:fill="FFFFFF"/>
                <w:lang w:eastAsia="zh-CN"/>
              </w:rPr>
              <w:t>（</w:t>
            </w:r>
            <w:r>
              <w:rPr>
                <w:rFonts w:hint="default" w:ascii="Times New Roman" w:hAnsi="Times New Roman" w:cs="Times New Roman"/>
                <w:color w:val="auto"/>
                <w:kern w:val="0"/>
                <w:sz w:val="21"/>
                <w:szCs w:val="21"/>
                <w:highlight w:val="none"/>
                <w:shd w:val="clear" w:color="auto" w:fill="FFFFFF"/>
                <w:lang w:val="en-US" w:eastAsia="zh-CN"/>
              </w:rPr>
              <w:t>或以上</w:t>
            </w:r>
            <w:r>
              <w:rPr>
                <w:rFonts w:hint="default" w:ascii="Times New Roman" w:hAnsi="Times New Roman" w:cs="Times New Roman"/>
                <w:color w:val="auto"/>
                <w:kern w:val="0"/>
                <w:sz w:val="21"/>
                <w:szCs w:val="21"/>
                <w:highlight w:val="none"/>
                <w:shd w:val="clear" w:color="auto" w:fill="FFFFFF"/>
                <w:lang w:eastAsia="zh-CN"/>
              </w:rPr>
              <w:t>）</w:t>
            </w:r>
            <w:r>
              <w:rPr>
                <w:rFonts w:hint="default" w:ascii="Times New Roman" w:hAnsi="Times New Roman" w:cs="Times New Roman"/>
                <w:color w:val="auto"/>
                <w:kern w:val="0"/>
                <w:sz w:val="21"/>
                <w:szCs w:val="21"/>
                <w:highlight w:val="none"/>
                <w:shd w:val="clear" w:color="auto" w:fill="FFFFFF"/>
              </w:rPr>
              <w:t>资质证书。</w:t>
            </w:r>
          </w:p>
          <w:p>
            <w:pPr>
              <w:snapToGrid w:val="0"/>
              <w:spacing w:line="420" w:lineRule="exact"/>
              <w:ind w:firstLine="420" w:firstLineChars="200"/>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3、具备建设主管部门颁发的工程勘察综合类资质（甲级）证书或同时具备工程勘察专业类（工程测量）乙级（或以上）资质证书及工程勘察专业类（岩土工程）</w:t>
            </w:r>
            <w:r>
              <w:rPr>
                <w:rFonts w:hint="default" w:ascii="Times New Roman" w:hAnsi="Times New Roman" w:cs="Times New Roman"/>
                <w:color w:val="auto"/>
                <w:sz w:val="21"/>
                <w:szCs w:val="21"/>
                <w:highlight w:val="none"/>
                <w:shd w:val="clear" w:color="auto" w:fill="FFFFFF"/>
                <w:lang w:val="en-US" w:eastAsia="zh-CN"/>
              </w:rPr>
              <w:t>乙</w:t>
            </w:r>
            <w:r>
              <w:rPr>
                <w:rFonts w:hint="default" w:ascii="Times New Roman" w:hAnsi="Times New Roman" w:cs="Times New Roman"/>
                <w:color w:val="auto"/>
                <w:sz w:val="21"/>
                <w:szCs w:val="21"/>
                <w:highlight w:val="none"/>
                <w:shd w:val="clear" w:color="auto" w:fill="FFFFFF"/>
              </w:rPr>
              <w:t>级（或以上）资质证书或同时具备工程勘察专业类（工程测量）乙级（或以上）资质证书及工程勘察专业类（岩土工程（勘察））</w:t>
            </w:r>
            <w:r>
              <w:rPr>
                <w:rFonts w:hint="default" w:ascii="Times New Roman" w:hAnsi="Times New Roman" w:cs="Times New Roman"/>
                <w:color w:val="auto"/>
                <w:sz w:val="21"/>
                <w:szCs w:val="21"/>
                <w:highlight w:val="none"/>
                <w:shd w:val="clear" w:color="auto" w:fill="FFFFFF"/>
                <w:lang w:val="en-US" w:eastAsia="zh-CN"/>
              </w:rPr>
              <w:t>乙</w:t>
            </w:r>
            <w:r>
              <w:rPr>
                <w:rFonts w:hint="default" w:ascii="Times New Roman" w:hAnsi="Times New Roman" w:cs="Times New Roman"/>
                <w:color w:val="auto"/>
                <w:sz w:val="21"/>
                <w:szCs w:val="21"/>
                <w:highlight w:val="none"/>
                <w:shd w:val="clear" w:color="auto" w:fill="FFFFFF"/>
              </w:rPr>
              <w:t>级（或以上）资质证书。</w:t>
            </w:r>
          </w:p>
          <w:p>
            <w:pPr>
              <w:spacing w:line="312" w:lineRule="auto"/>
              <w:rPr>
                <w:rFonts w:hint="default" w:ascii="Times New Roman" w:hAnsi="Times New Roman" w:cs="Times New Roman"/>
                <w:color w:val="auto"/>
                <w:sz w:val="21"/>
                <w:szCs w:val="21"/>
                <w:highlight w:val="none"/>
                <w:shd w:val="clear" w:color="auto" w:fill="FFFFFF"/>
              </w:rPr>
            </w:pPr>
          </w:p>
        </w:tc>
      </w:tr>
    </w:tbl>
    <w:p>
      <w:pPr>
        <w:topLinePunct/>
        <w:spacing w:line="240" w:lineRule="auto"/>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rPr>
        <w:t>注：</w:t>
      </w:r>
    </w:p>
    <w:p>
      <w:pPr>
        <w:topLinePunct/>
        <w:adjustRightInd/>
        <w:spacing w:line="240" w:lineRule="auto"/>
        <w:jc w:val="both"/>
        <w:textAlignment w:val="auto"/>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rPr>
        <w:t>1.招标人将按照交通运输部《全国公路建设市场信用信息管理系统》网站中“公路工程设计资质企业名录”（以上简称“名录”）进行审核。对于未列入“名录”或投标人名称、资质信息与“名录”查询结果不符的，将不能通过资格审查。</w:t>
      </w:r>
    </w:p>
    <w:p>
      <w:pPr>
        <w:pStyle w:val="6"/>
        <w:wordWrap w:val="0"/>
        <w:topLinePunct/>
        <w:adjustRightInd/>
        <w:spacing w:line="480" w:lineRule="exact"/>
        <w:ind w:firstLine="0" w:firstLineChars="0"/>
        <w:jc w:val="center"/>
        <w:rPr>
          <w:rFonts w:hint="default" w:ascii="Times New Roman" w:hAnsi="Times New Roman" w:cs="Times New Roman"/>
          <w:color w:val="auto"/>
          <w:sz w:val="18"/>
          <w:szCs w:val="18"/>
          <w:highlight w:val="none"/>
          <w:shd w:val="clear" w:color="auto" w:fill="FFFFFF"/>
        </w:rPr>
        <w:sectPr>
          <w:footnotePr>
            <w:numFmt w:val="decimalEnclosedCircleChinese"/>
            <w:numRestart w:val="eachPage"/>
          </w:footnotePr>
          <w:pgSz w:w="11900" w:h="16840"/>
          <w:pgMar w:top="1440" w:right="1797" w:bottom="1440" w:left="1797" w:header="851" w:footer="992" w:gutter="0"/>
          <w:cols w:space="720" w:num="1"/>
          <w:docGrid w:linePitch="326" w:charSpace="0"/>
        </w:sectPr>
      </w:pPr>
    </w:p>
    <w:p>
      <w:pPr>
        <w:pStyle w:val="6"/>
        <w:topLinePunct/>
        <w:adjustRightInd/>
        <w:spacing w:line="240" w:lineRule="auto"/>
        <w:ind w:firstLine="0" w:firstLineChars="0"/>
        <w:jc w:val="center"/>
        <w:rPr>
          <w:rFonts w:hint="default" w:ascii="Times New Roman" w:hAnsi="Times New Roman" w:cs="Times New Roman"/>
          <w:color w:val="auto"/>
          <w:sz w:val="18"/>
          <w:szCs w:val="18"/>
          <w:highlight w:val="none"/>
          <w:shd w:val="clear" w:color="auto" w:fill="FFFFFF"/>
        </w:rPr>
      </w:pPr>
      <w:r>
        <w:rPr>
          <w:rFonts w:hint="default" w:ascii="Times New Roman" w:hAnsi="Times New Roman" w:eastAsia="黑体" w:cs="Times New Roman"/>
          <w:b/>
          <w:bCs/>
          <w:color w:val="auto"/>
          <w:highlight w:val="none"/>
          <w:shd w:val="clear" w:color="auto" w:fill="FFFFFF"/>
        </w:rPr>
        <w:t>附录2   资格审查条件（业绩最低条件）</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89" w:hRule="atLeast"/>
          <w:tblHeader/>
          <w:jc w:val="center"/>
        </w:trPr>
        <w:tc>
          <w:tcPr>
            <w:tcW w:w="8522" w:type="dxa"/>
            <w:tcBorders>
              <w:top w:val="outset" w:color="auto" w:sz="6" w:space="0"/>
              <w:left w:val="outset" w:color="auto" w:sz="6" w:space="0"/>
              <w:bottom w:val="outset" w:color="auto" w:sz="6" w:space="0"/>
              <w:right w:val="single" w:color="auto" w:sz="4" w:space="0"/>
            </w:tcBorders>
            <w:noWrap w:val="0"/>
            <w:vAlign w:val="center"/>
          </w:tcPr>
          <w:p>
            <w:pPr>
              <w:topLinePunct/>
              <w:spacing w:line="240" w:lineRule="auto"/>
              <w:jc w:val="center"/>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业绩要求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874" w:hRule="atLeast"/>
          <w:jc w:val="center"/>
        </w:trPr>
        <w:tc>
          <w:tcPr>
            <w:tcW w:w="8522" w:type="dxa"/>
            <w:tcBorders>
              <w:top w:val="single" w:color="auto" w:sz="4" w:space="0"/>
              <w:left w:val="outset" w:color="auto" w:sz="6" w:space="0"/>
              <w:bottom w:val="single" w:color="auto" w:sz="4" w:space="0"/>
              <w:right w:val="single" w:color="auto" w:sz="4" w:space="0"/>
            </w:tcBorders>
            <w:noWrap w:val="0"/>
            <w:vAlign w:val="center"/>
          </w:tcPr>
          <w:p>
            <w:pPr>
              <w:spacing w:line="360" w:lineRule="auto"/>
              <w:ind w:firstLine="420" w:firstLineChars="200"/>
              <w:jc w:val="center"/>
              <w:rPr>
                <w:rFonts w:hint="default" w:ascii="Times New Roman" w:hAnsi="Times New Roman" w:eastAsia="宋体" w:cs="Times New Roman"/>
                <w:color w:val="auto"/>
                <w:sz w:val="21"/>
                <w:szCs w:val="21"/>
                <w:highlight w:val="none"/>
                <w:shd w:val="clear" w:color="auto" w:fill="FFFFFF"/>
                <w:lang w:val="en-US" w:eastAsia="zh-CN"/>
              </w:rPr>
            </w:pPr>
            <w:r>
              <w:rPr>
                <w:rFonts w:hint="default" w:ascii="Times New Roman" w:hAnsi="Times New Roman" w:cs="Times New Roman"/>
                <w:b w:val="0"/>
                <w:bCs/>
                <w:color w:val="auto"/>
                <w:sz w:val="21"/>
                <w:szCs w:val="21"/>
                <w:highlight w:val="none"/>
                <w:lang w:val="en-US" w:eastAsia="zh-CN"/>
              </w:rPr>
              <w:t>近五年(2017年</w:t>
            </w:r>
            <w:r>
              <w:rPr>
                <w:rFonts w:hint="eastAsia" w:ascii="Times New Roman" w:hAnsi="Times New Roman" w:cs="Times New Roman"/>
                <w:b w:val="0"/>
                <w:bCs/>
                <w:color w:val="auto"/>
                <w:sz w:val="21"/>
                <w:szCs w:val="21"/>
                <w:highlight w:val="none"/>
                <w:lang w:val="en-US" w:eastAsia="zh-CN"/>
              </w:rPr>
              <w:t>12</w:t>
            </w:r>
            <w:r>
              <w:rPr>
                <w:rFonts w:hint="default" w:ascii="Times New Roman" w:hAnsi="Times New Roman" w:cs="Times New Roman"/>
                <w:b w:val="0"/>
                <w:bCs/>
                <w:color w:val="auto"/>
                <w:sz w:val="21"/>
                <w:szCs w:val="21"/>
                <w:highlight w:val="none"/>
                <w:lang w:val="en-US" w:eastAsia="zh-CN"/>
              </w:rPr>
              <w:t>月1日至投标截止日)，累计完成新建或改建或扩建或改造二级公路（或以上等级）的公路工程设计业绩累计里程32公里或以上，且至少有一个标段不少于8公里</w:t>
            </w:r>
          </w:p>
        </w:tc>
      </w:tr>
    </w:tbl>
    <w:p>
      <w:pPr>
        <w:spacing w:line="288" w:lineRule="auto"/>
        <w:rPr>
          <w:rFonts w:hint="default" w:ascii="Times New Roman" w:hAnsi="Times New Roman" w:cs="Times New Roman"/>
          <w:color w:val="auto"/>
          <w:sz w:val="18"/>
          <w:szCs w:val="18"/>
          <w:highlight w:val="none"/>
          <w:shd w:val="clear" w:color="auto" w:fill="FFFFFF"/>
          <w:lang w:val="en-US" w:eastAsia="zh-CN"/>
        </w:rPr>
      </w:pPr>
      <w:r>
        <w:rPr>
          <w:rFonts w:hint="default" w:ascii="Times New Roman" w:hAnsi="Times New Roman" w:cs="Times New Roman"/>
          <w:color w:val="auto"/>
          <w:sz w:val="18"/>
          <w:szCs w:val="18"/>
          <w:highlight w:val="none"/>
          <w:shd w:val="clear" w:color="auto" w:fill="FFFFFF"/>
          <w:lang w:val="en-US" w:eastAsia="zh-CN"/>
        </w:rPr>
        <w:t>注：1、业绩认定时间以施工图批复为准；</w:t>
      </w:r>
    </w:p>
    <w:p>
      <w:pPr>
        <w:pStyle w:val="2"/>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18"/>
          <w:szCs w:val="18"/>
          <w:highlight w:val="none"/>
          <w:shd w:val="clear" w:color="auto" w:fill="FFFFFF"/>
          <w:lang w:val="en-US" w:eastAsia="zh-CN"/>
        </w:rPr>
        <w:t xml:space="preserve">    2、联合体投标的，以牵头人的计算。</w:t>
      </w:r>
    </w:p>
    <w:p>
      <w:pPr>
        <w:pStyle w:val="2"/>
        <w:rPr>
          <w:rFonts w:hint="default" w:ascii="Times New Roman" w:hAnsi="Times New Roman" w:cs="Times New Roman"/>
          <w:color w:val="auto"/>
          <w:highlight w:val="none"/>
        </w:rPr>
      </w:pPr>
    </w:p>
    <w:p>
      <w:pPr>
        <w:topLinePunct/>
        <w:adjustRightInd/>
        <w:jc w:val="center"/>
        <w:rPr>
          <w:rFonts w:hint="default" w:ascii="Times New Roman" w:hAnsi="Times New Roman" w:eastAsia="黑体" w:cs="Times New Roman"/>
          <w:b/>
          <w:bCs/>
          <w:color w:val="auto"/>
          <w:sz w:val="27"/>
          <w:szCs w:val="27"/>
          <w:highlight w:val="none"/>
          <w:shd w:val="clear" w:color="auto" w:fill="FFFFFF"/>
        </w:rPr>
      </w:pPr>
      <w:r>
        <w:rPr>
          <w:rFonts w:hint="default" w:ascii="Times New Roman" w:hAnsi="Times New Roman" w:eastAsia="黑体" w:cs="Times New Roman"/>
          <w:b/>
          <w:bCs/>
          <w:color w:val="auto"/>
          <w:sz w:val="27"/>
          <w:szCs w:val="27"/>
          <w:highlight w:val="none"/>
          <w:shd w:val="clear" w:color="auto" w:fill="FFFFFF"/>
        </w:rPr>
        <w:t>附录3  资格审查条件（信誉最低条件）</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28" w:type="dxa"/>
            <w:tcBorders>
              <w:bottom w:val="single" w:color="auto" w:sz="4" w:space="0"/>
            </w:tcBorders>
            <w:noWrap w:val="0"/>
            <w:vAlign w:val="center"/>
          </w:tcPr>
          <w:p>
            <w:pPr>
              <w:wordWrap w:val="0"/>
              <w:topLinePunct/>
              <w:spacing w:line="360" w:lineRule="auto"/>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信 誉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jc w:val="center"/>
        </w:trPr>
        <w:tc>
          <w:tcPr>
            <w:tcW w:w="8528" w:type="dxa"/>
            <w:tcBorders>
              <w:top w:val="single" w:color="auto" w:sz="4" w:space="0"/>
            </w:tcBorders>
            <w:noWrap w:val="0"/>
            <w:vAlign w:val="center"/>
          </w:tcPr>
          <w:p>
            <w:pPr>
              <w:spacing w:line="360"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1、在最新年度广东省公路工程从业单位（设计单位）信用评价（含无最新年度而上一年度有信用评价）中，信用等级未被评为D级；</w:t>
            </w:r>
          </w:p>
          <w:p>
            <w:pPr>
              <w:spacing w:line="360"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初次进入广东省的投标人，在最新年度全国公路从业单位（勘察设计单位）信用评价结果中未被评为D级。</w:t>
            </w:r>
          </w:p>
        </w:tc>
      </w:tr>
    </w:tbl>
    <w:p>
      <w:pPr>
        <w:spacing w:line="288" w:lineRule="auto"/>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rPr>
        <w:t>注：</w:t>
      </w:r>
    </w:p>
    <w:p>
      <w:pPr>
        <w:spacing w:line="288" w:lineRule="auto"/>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rPr>
        <w:t>1.以联合体形式参加投标的，上述信用等级的要求以联合体中信用等级较低的为准。</w:t>
      </w:r>
    </w:p>
    <w:p>
      <w:pPr>
        <w:spacing w:line="288" w:lineRule="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sz w:val="18"/>
          <w:szCs w:val="18"/>
          <w:highlight w:val="none"/>
          <w:shd w:val="clear" w:color="auto" w:fill="FFFFFF"/>
        </w:rPr>
        <w:t>2.信用等级的确定原则遵循投标人须知前附表10.2款的规定。</w:t>
      </w:r>
    </w:p>
    <w:p>
      <w:pPr>
        <w:pStyle w:val="5"/>
        <w:wordWrap w:val="0"/>
        <w:topLinePunct/>
        <w:adjustRightInd/>
        <w:spacing w:line="480" w:lineRule="exact"/>
        <w:jc w:val="center"/>
        <w:rPr>
          <w:rFonts w:hint="default" w:ascii="Times New Roman" w:hAnsi="Times New Roman" w:eastAsia="黑体" w:cs="Times New Roman"/>
          <w:color w:val="auto"/>
          <w:sz w:val="36"/>
          <w:szCs w:val="36"/>
          <w:highlight w:val="none"/>
          <w:shd w:val="clear" w:color="auto" w:fill="FFFFFF"/>
        </w:rPr>
      </w:pPr>
    </w:p>
    <w:p>
      <w:pPr>
        <w:pStyle w:val="6"/>
        <w:wordWrap w:val="0"/>
        <w:topLinePunct/>
        <w:adjustRightInd/>
        <w:spacing w:line="480" w:lineRule="exact"/>
        <w:ind w:firstLine="0" w:firstLineChars="0"/>
        <w:jc w:val="center"/>
        <w:rPr>
          <w:rFonts w:hint="default" w:ascii="Times New Roman" w:hAnsi="Times New Roman" w:eastAsia="黑体" w:cs="Times New Roman"/>
          <w:b/>
          <w:bCs/>
          <w:color w:val="auto"/>
          <w:highlight w:val="none"/>
          <w:shd w:val="clear" w:color="auto" w:fill="FFFFFF"/>
        </w:rPr>
      </w:pPr>
      <w:r>
        <w:rPr>
          <w:rFonts w:hint="default" w:ascii="Times New Roman" w:hAnsi="Times New Roman" w:eastAsia="黑体" w:cs="Times New Roman"/>
          <w:b/>
          <w:bCs/>
          <w:color w:val="auto"/>
          <w:highlight w:val="none"/>
          <w:shd w:val="clear" w:color="auto" w:fill="FFFFFF"/>
        </w:rPr>
        <w:t>附录4  资格审查条件（项目负责人最低要求）</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93"/>
        <w:gridCol w:w="51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wordWrap w:val="0"/>
              <w:topLinePunct/>
              <w:spacing w:line="360" w:lineRule="auto"/>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人员</w:t>
            </w:r>
          </w:p>
        </w:tc>
        <w:tc>
          <w:tcPr>
            <w:tcW w:w="993" w:type="dxa"/>
            <w:noWrap w:val="0"/>
            <w:vAlign w:val="center"/>
          </w:tcPr>
          <w:p>
            <w:pPr>
              <w:wordWrap w:val="0"/>
              <w:topLinePunct/>
              <w:spacing w:line="360" w:lineRule="auto"/>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数量</w:t>
            </w:r>
          </w:p>
        </w:tc>
        <w:tc>
          <w:tcPr>
            <w:tcW w:w="5153" w:type="dxa"/>
            <w:noWrap w:val="0"/>
            <w:vAlign w:val="center"/>
          </w:tcPr>
          <w:p>
            <w:pPr>
              <w:wordWrap w:val="0"/>
              <w:topLinePunct/>
              <w:spacing w:line="360" w:lineRule="auto"/>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资 格 标 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376" w:type="dxa"/>
            <w:noWrap w:val="0"/>
            <w:vAlign w:val="center"/>
          </w:tcPr>
          <w:p>
            <w:pPr>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项目负责人</w:t>
            </w:r>
          </w:p>
        </w:tc>
        <w:tc>
          <w:tcPr>
            <w:tcW w:w="993" w:type="dxa"/>
            <w:noWrap w:val="0"/>
            <w:vAlign w:val="center"/>
          </w:tcPr>
          <w:p>
            <w:pPr>
              <w:spacing w:line="360" w:lineRule="auto"/>
              <w:ind w:firstLine="33" w:firstLineChars="16"/>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w:t>
            </w:r>
          </w:p>
        </w:tc>
        <w:tc>
          <w:tcPr>
            <w:tcW w:w="5153" w:type="dxa"/>
            <w:noWrap w:val="0"/>
            <w:vAlign w:val="center"/>
          </w:tcPr>
          <w:p>
            <w:pPr>
              <w:spacing w:line="400" w:lineRule="exact"/>
              <w:ind w:firstLine="420" w:firstLineChars="200"/>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路桥相关专业高级工程师（或以上职称），近5年内（201</w:t>
            </w:r>
            <w:r>
              <w:rPr>
                <w:rFonts w:hint="default" w:ascii="Times New Roman" w:hAnsi="Times New Roman" w:cs="Times New Roman"/>
                <w:color w:val="auto"/>
                <w:sz w:val="21"/>
                <w:szCs w:val="21"/>
                <w:highlight w:val="none"/>
                <w:shd w:val="clear" w:color="auto" w:fill="FFFFFF"/>
                <w:lang w:val="en-US" w:eastAsia="zh-CN"/>
              </w:rPr>
              <w:t>7</w:t>
            </w:r>
            <w:r>
              <w:rPr>
                <w:rFonts w:hint="default" w:ascii="Times New Roman" w:hAnsi="Times New Roman" w:cs="Times New Roman"/>
                <w:color w:val="auto"/>
                <w:sz w:val="21"/>
                <w:szCs w:val="21"/>
                <w:highlight w:val="none"/>
                <w:shd w:val="clear" w:color="auto" w:fill="FFFFFF"/>
              </w:rPr>
              <w:t>年</w:t>
            </w:r>
            <w:r>
              <w:rPr>
                <w:rFonts w:hint="eastAsia" w:ascii="Times New Roman" w:hAnsi="Times New Roman" w:cs="Times New Roman"/>
                <w:color w:val="auto"/>
                <w:sz w:val="21"/>
                <w:szCs w:val="21"/>
                <w:highlight w:val="none"/>
                <w:shd w:val="clear" w:color="auto" w:fill="FFFFFF"/>
                <w:lang w:val="en-US" w:eastAsia="zh-CN"/>
              </w:rPr>
              <w:t>12</w:t>
            </w:r>
            <w:r>
              <w:rPr>
                <w:rFonts w:hint="default" w:ascii="Times New Roman" w:hAnsi="Times New Roman" w:cs="Times New Roman"/>
                <w:color w:val="auto"/>
                <w:sz w:val="21"/>
                <w:szCs w:val="21"/>
                <w:highlight w:val="none"/>
                <w:shd w:val="clear" w:color="auto" w:fill="FFFFFF"/>
              </w:rPr>
              <w:t>月1日</w:t>
            </w:r>
            <w:r>
              <w:rPr>
                <w:rFonts w:hint="default" w:ascii="Times New Roman" w:hAnsi="Times New Roman" w:cs="Times New Roman"/>
                <w:color w:val="auto"/>
                <w:sz w:val="21"/>
                <w:szCs w:val="21"/>
                <w:highlight w:val="none"/>
                <w:shd w:val="clear" w:color="auto" w:fill="FFFFFF"/>
                <w:lang w:val="en-US" w:eastAsia="zh-CN"/>
              </w:rPr>
              <w:t>至</w:t>
            </w:r>
            <w:r>
              <w:rPr>
                <w:rFonts w:hint="default" w:ascii="Times New Roman" w:hAnsi="Times New Roman" w:cs="Times New Roman"/>
                <w:color w:val="auto"/>
                <w:sz w:val="21"/>
                <w:szCs w:val="21"/>
                <w:highlight w:val="none"/>
                <w:shd w:val="clear" w:color="auto" w:fill="FFFFFF"/>
              </w:rPr>
              <w:t>投标截止日）作为项目负责人至少主持过1个合同段</w:t>
            </w:r>
            <w:r>
              <w:rPr>
                <w:rFonts w:hint="default" w:ascii="Times New Roman" w:hAnsi="Times New Roman" w:cs="Times New Roman"/>
                <w:color w:val="auto"/>
                <w:sz w:val="21"/>
                <w:szCs w:val="21"/>
                <w:highlight w:val="none"/>
                <w:shd w:val="clear" w:color="auto" w:fill="FFFFFF"/>
                <w:lang w:val="en-US" w:eastAsia="zh-CN"/>
              </w:rPr>
              <w:t>二</w:t>
            </w:r>
            <w:r>
              <w:rPr>
                <w:rFonts w:hint="default" w:ascii="Times New Roman" w:hAnsi="Times New Roman" w:cs="Times New Roman"/>
                <w:color w:val="auto"/>
                <w:sz w:val="21"/>
                <w:szCs w:val="21"/>
                <w:highlight w:val="none"/>
                <w:shd w:val="clear" w:color="auto" w:fill="FFFFFF"/>
              </w:rPr>
              <w:t>级公路（或以上等级）新建或改建或扩建</w:t>
            </w:r>
            <w:r>
              <w:rPr>
                <w:rFonts w:hint="default" w:ascii="Times New Roman" w:hAnsi="Times New Roman" w:cs="Times New Roman"/>
                <w:color w:val="auto"/>
                <w:sz w:val="21"/>
                <w:szCs w:val="21"/>
                <w:highlight w:val="none"/>
                <w:shd w:val="clear" w:color="auto" w:fill="FFFFFF"/>
                <w:lang w:val="en-US" w:eastAsia="zh-CN"/>
              </w:rPr>
              <w:t>或改造</w:t>
            </w:r>
            <w:r>
              <w:rPr>
                <w:rFonts w:hint="default" w:ascii="Times New Roman" w:hAnsi="Times New Roman" w:cs="Times New Roman"/>
                <w:color w:val="auto"/>
                <w:sz w:val="21"/>
                <w:szCs w:val="21"/>
                <w:highlight w:val="none"/>
                <w:shd w:val="clear" w:color="auto" w:fill="FFFFFF"/>
              </w:rPr>
              <w:t>的设计工作。</w:t>
            </w:r>
          </w:p>
        </w:tc>
      </w:tr>
    </w:tbl>
    <w:p>
      <w:pPr>
        <w:pStyle w:val="6"/>
        <w:tabs>
          <w:tab w:val="left" w:pos="5130"/>
        </w:tabs>
        <w:wordWrap w:val="0"/>
        <w:topLinePunct/>
        <w:spacing w:line="480" w:lineRule="exact"/>
        <w:ind w:firstLine="360"/>
        <w:rPr>
          <w:rFonts w:hint="default" w:ascii="Times New Roman" w:hAnsi="Times New Roman" w:cs="Times New Roman"/>
          <w:color w:val="auto"/>
          <w:sz w:val="18"/>
          <w:szCs w:val="18"/>
          <w:highlight w:val="none"/>
          <w:shd w:val="clear" w:color="auto" w:fill="FFFFFF"/>
        </w:rPr>
        <w:sectPr>
          <w:footnotePr>
            <w:numFmt w:val="decimalEnclosedCircleChinese"/>
            <w:numRestart w:val="eachPage"/>
          </w:footnotePr>
          <w:pgSz w:w="11900" w:h="16840"/>
          <w:pgMar w:top="1440" w:right="1797" w:bottom="1440" w:left="1797" w:header="851" w:footer="992" w:gutter="0"/>
          <w:cols w:space="720" w:num="1"/>
          <w:titlePg/>
          <w:docGrid w:linePitch="312" w:charSpace="0"/>
        </w:sectPr>
      </w:pPr>
      <w:r>
        <w:rPr>
          <w:rFonts w:hint="default" w:ascii="Times New Roman" w:hAnsi="Times New Roman" w:cs="Times New Roman"/>
          <w:color w:val="auto"/>
          <w:sz w:val="18"/>
          <w:szCs w:val="18"/>
          <w:highlight w:val="none"/>
          <w:shd w:val="clear" w:color="auto" w:fill="FFFFFF"/>
        </w:rPr>
        <w:t>注：1、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专业。</w:t>
      </w:r>
    </w:p>
    <w:p>
      <w:pPr>
        <w:jc w:val="center"/>
        <w:rPr>
          <w:rFonts w:hint="default" w:ascii="Times New Roman" w:hAnsi="Times New Roman" w:cs="Times New Roman"/>
          <w:b/>
          <w:color w:val="auto"/>
          <w:sz w:val="36"/>
          <w:szCs w:val="36"/>
          <w:highlight w:val="none"/>
          <w:shd w:val="clear" w:color="auto" w:fill="FFFFFF"/>
        </w:rPr>
      </w:pPr>
      <w:r>
        <w:rPr>
          <w:rFonts w:hint="default" w:ascii="Times New Roman" w:hAnsi="Times New Roman" w:cs="Times New Roman"/>
          <w:b/>
          <w:color w:val="auto"/>
          <w:sz w:val="36"/>
          <w:szCs w:val="36"/>
          <w:highlight w:val="none"/>
          <w:shd w:val="clear" w:color="auto" w:fill="FFFFFF"/>
        </w:rPr>
        <w:t>第三章  评标办法（综合评估法）</w:t>
      </w:r>
    </w:p>
    <w:tbl>
      <w:tblPr>
        <w:tblStyle w:val="7"/>
        <w:tblpPr w:leftFromText="180" w:rightFromText="180" w:vertAnchor="text" w:horzAnchor="page" w:tblpX="1789"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2"/>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trPr>
        <w:tc>
          <w:tcPr>
            <w:tcW w:w="2518" w:type="dxa"/>
            <w:gridSpan w:val="2"/>
            <w:noWrap w:val="0"/>
            <w:vAlign w:val="center"/>
          </w:tcPr>
          <w:p>
            <w:pPr>
              <w:wordWrap w:val="0"/>
              <w:topLinePunct/>
              <w:adjustRightInd/>
              <w:spacing w:line="312" w:lineRule="auto"/>
              <w:jc w:val="center"/>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条款号</w:t>
            </w:r>
          </w:p>
        </w:tc>
        <w:tc>
          <w:tcPr>
            <w:tcW w:w="6004" w:type="dxa"/>
            <w:noWrap w:val="0"/>
            <w:vAlign w:val="center"/>
          </w:tcPr>
          <w:p>
            <w:pPr>
              <w:wordWrap w:val="0"/>
              <w:topLinePunct/>
              <w:adjustRightInd/>
              <w:spacing w:line="312" w:lineRule="auto"/>
              <w:jc w:val="center"/>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pPr>
              <w:wordWrap w:val="0"/>
              <w:topLinePunct/>
              <w:adjustRightInd/>
              <w:spacing w:line="360" w:lineRule="auto"/>
              <w:jc w:val="center"/>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w:t>
            </w:r>
          </w:p>
        </w:tc>
        <w:tc>
          <w:tcPr>
            <w:tcW w:w="1512" w:type="dxa"/>
            <w:noWrap w:val="0"/>
            <w:vAlign w:val="center"/>
          </w:tcPr>
          <w:p>
            <w:pPr>
              <w:wordWrap w:val="0"/>
              <w:topLinePunct/>
              <w:adjustRightInd/>
              <w:spacing w:line="360" w:lineRule="auto"/>
              <w:jc w:val="center"/>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评标方法</w:t>
            </w:r>
          </w:p>
        </w:tc>
        <w:tc>
          <w:tcPr>
            <w:tcW w:w="6004" w:type="dxa"/>
            <w:noWrap w:val="0"/>
            <w:vAlign w:val="center"/>
          </w:tcPr>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综合评分相等时，评标委员会依次按照以下优先顺序推荐中标候选人或确定中标人：</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（1）投标下浮率绝对值大的投标人优先；</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按招标文件规定被认定为最新年度广东省公路工程从业单位（设计单位）信用评价等级较高的投标人优先；【采用如下的优先顺序：承诺使用的AA级投标人、不承诺使用的AA级投标人、承诺使用的A级投标人、不承诺使用的A级投标人、B级投标人、未参评且被确定为B级投标人】</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（3）商务和技术得分较高的投标人优先；</w:t>
            </w:r>
          </w:p>
          <w:p>
            <w:pPr>
              <w:spacing w:line="340" w:lineRule="atLeast"/>
              <w:ind w:firstLine="420" w:firstLineChars="200"/>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2.1.1</w:t>
            </w: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2.1.3</w:t>
            </w: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2.1.1</w:t>
            </w: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2.1.3</w:t>
            </w:r>
          </w:p>
        </w:tc>
        <w:tc>
          <w:tcPr>
            <w:tcW w:w="1512" w:type="dxa"/>
            <w:noWrap w:val="0"/>
            <w:vAlign w:val="center"/>
          </w:tcPr>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形式评审与响应性评审标准</w:t>
            </w: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p>
          <w:p>
            <w:pPr>
              <w:wordWrap w:val="0"/>
              <w:topLinePunct/>
              <w:adjustRightInd/>
              <w:spacing w:line="360"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 w:val="21"/>
                <w:szCs w:val="21"/>
                <w:highlight w:val="none"/>
                <w:shd w:val="clear" w:color="auto" w:fill="FFFFFF"/>
              </w:rPr>
              <w:t>形式评审与响应性评审标准</w:t>
            </w:r>
          </w:p>
          <w:p>
            <w:pPr>
              <w:wordWrap w:val="0"/>
              <w:topLinePunct/>
              <w:adjustRightInd/>
              <w:spacing w:line="360" w:lineRule="auto"/>
              <w:rPr>
                <w:rFonts w:hint="default" w:ascii="Times New Roman" w:hAnsi="Times New Roman" w:cs="Times New Roman"/>
                <w:color w:val="auto"/>
                <w:szCs w:val="24"/>
                <w:highlight w:val="none"/>
                <w:shd w:val="clear" w:color="auto" w:fill="FFFFFF"/>
              </w:rPr>
            </w:pPr>
          </w:p>
        </w:tc>
        <w:tc>
          <w:tcPr>
            <w:tcW w:w="6004" w:type="dxa"/>
            <w:noWrap w:val="0"/>
            <w:vAlign w:val="top"/>
          </w:tcPr>
          <w:p>
            <w:pPr>
              <w:adjustRightInd/>
              <w:ind w:firstLine="422" w:firstLineChars="200"/>
              <w:jc w:val="both"/>
              <w:textAlignment w:val="auto"/>
              <w:rPr>
                <w:rFonts w:hint="default" w:ascii="Times New Roman" w:hAnsi="Times New Roman" w:cs="Times New Roman"/>
                <w:b/>
                <w:bCs/>
                <w:color w:val="auto"/>
                <w:sz w:val="21"/>
                <w:szCs w:val="21"/>
                <w:highlight w:val="none"/>
                <w:shd w:val="clear" w:color="auto" w:fill="FFFFFF"/>
              </w:rPr>
            </w:pPr>
            <w:r>
              <w:rPr>
                <w:rFonts w:hint="default" w:ascii="Times New Roman" w:hAnsi="Times New Roman" w:cs="Times New Roman"/>
                <w:b/>
                <w:bCs/>
                <w:color w:val="auto"/>
                <w:sz w:val="21"/>
                <w:szCs w:val="21"/>
                <w:highlight w:val="none"/>
                <w:shd w:val="clear" w:color="auto" w:fill="FFFFFF"/>
              </w:rPr>
              <w:t>第一个信封（商务及技术文件）评审标准：</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（1）投标文件按照招标文件规定的格式、内容填写，字迹清晰可辨：</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a.投标函按招标文件规定填报了项目名称、补遗书编号（如有）、勘察设计服务期限、质量要求及安全目标；</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b.投标文件组成齐全完整，内容均按规定填写。</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（2）投标文件上法定代表人或其委托代理人的签字、投标人的单位章盖章齐全，符合招标文件规定。</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 投标人按照招标文件的规定提供了投标保证金：</w:t>
            </w:r>
          </w:p>
          <w:p>
            <w:pPr>
              <w:adjustRightInd/>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a.投标保证金金额符合招标文件规定的金额，且投标保证金有效期不少于投标有效期；</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b.若投标保证金采用现金或支票形式提交，投标人应在投标人须知前附表3.4.1款规定的时间，将投标保证金由投标人的基本账户转入招标人指定账户；</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c.</w:t>
            </w:r>
            <w:r>
              <w:rPr>
                <w:rFonts w:hint="default" w:ascii="Times New Roman" w:hAnsi="Times New Roman" w:cs="Times New Roman"/>
                <w:color w:val="auto"/>
                <w:highlight w:val="none"/>
              </w:rPr>
              <w:t xml:space="preserve"> </w:t>
            </w:r>
            <w:r>
              <w:rPr>
                <w:rFonts w:hint="default" w:ascii="Times New Roman" w:hAnsi="Times New Roman" w:cs="Times New Roman"/>
                <w:color w:val="auto"/>
                <w:sz w:val="21"/>
                <w:szCs w:val="21"/>
                <w:highlight w:val="none"/>
                <w:shd w:val="clear" w:color="auto" w:fill="FFFFFF"/>
              </w:rPr>
              <w:t>若投标保证金采用银行保函或保证保险形式提交，银行保函的格式、开具保函的银行或保证保险的格式均满足招标文件要求，银行保函或保证保险原件在递交投标文件时单独密封递交，其复印件装订在投标文件中</w:t>
            </w:r>
            <w:r>
              <w:rPr>
                <w:rFonts w:hint="default" w:ascii="Times New Roman" w:hAnsi="Times New Roman" w:cs="Times New Roman"/>
                <w:color w:val="auto"/>
                <w:spacing w:val="-8"/>
                <w:sz w:val="21"/>
                <w:szCs w:val="21"/>
                <w:highlight w:val="none"/>
                <w:shd w:val="clear" w:color="auto" w:fill="FFFFFF"/>
              </w:rPr>
              <w:t>。</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（4）投标人法定代表人授权委托代理人签署投标文件的，须提交授权委托书，且授权人和被授权人均在授权委托书上签名，未使用印章、签名章或其他电子制版签名代替。</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（5）投标人法定代表人亲自签署投标文件的，提供了法定代表人身份证明，且法定代表人在法定代表人身份证明上签名，未使用印章、签名章或其他电子制版签名代替。</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（6）投标人以联合体形式投标时，联合体满足招标文件的要求：</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a.投标人按照招标文件提供的格式签订了联合体协议书，明确各方承担连带责任，并明确了联合体牵头人。</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（7）投标人如有分包计划，符合招标文件第二章“投标人须知”第1.11款规定，且按招标文件第六章“投标文件格式”的要求填写了“拟分包项目情况表”。</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（8）同一投标人未提交两个以上不同的投标文件，但招标文件要求提交备选投标的除外。</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（9）投标文件中未出现有关投标报价的内容。</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（10）投标文件载明的招标项目完成期限未超过招标文件规定的时限。</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（11）投标文件对招标文件的实质性要求和条件作出响应。</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（12）权利义务符合招标文件规定：</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a.投标人应接受招标文件规定的风险划分原则，未提出新的风险划分办法；</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b.投标人未增加发包人的责任范围，或减少投标人义务；</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c.投标人未提出不同的支付办法；</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d.投标人对合同纠纷、事故处理办法未提出异议；</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e.投标人在投标活动中无欺诈行为；</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f.投标人未对合同条款有重要保留。</w:t>
            </w:r>
          </w:p>
          <w:p>
            <w:pPr>
              <w:adjustRightInd/>
              <w:spacing w:line="33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（13）投标文件正、副本份数符合招标文件第二章“投标人须知”第3.7.4项规定。</w:t>
            </w:r>
          </w:p>
          <w:p>
            <w:pPr>
              <w:spacing w:line="340" w:lineRule="atLeast"/>
              <w:ind w:firstLine="422" w:firstLineChars="200"/>
              <w:rPr>
                <w:rFonts w:hint="default" w:ascii="Times New Roman" w:hAnsi="Times New Roman" w:cs="Times New Roman"/>
                <w:b/>
                <w:bCs/>
                <w:color w:val="auto"/>
                <w:sz w:val="21"/>
                <w:szCs w:val="21"/>
                <w:highlight w:val="none"/>
                <w:shd w:val="clear" w:color="auto" w:fill="FFFFFF"/>
              </w:rPr>
            </w:pPr>
            <w:r>
              <w:rPr>
                <w:rFonts w:hint="default" w:ascii="Times New Roman" w:hAnsi="Times New Roman" w:cs="Times New Roman"/>
                <w:b/>
                <w:bCs/>
                <w:color w:val="auto"/>
                <w:sz w:val="21"/>
                <w:szCs w:val="21"/>
                <w:highlight w:val="none"/>
                <w:shd w:val="clear" w:color="auto" w:fill="FFFFFF"/>
              </w:rPr>
              <w:t>第二个信封（报价文件）评审标准：</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（1）投标文件按照招标文件规定的格式、内容填写，字迹清晰可辨，内容齐全完整：</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a.投标函按招标文件规定填报了项目名称、补遗书编号（如有）、投标报价（或下浮率）；</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b.已标价报价清单说明文字与招标文件规定一致，未进行实质性修改和删减；</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c.投标文件组成齐全完整，内容均按规定填写。</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（2）投标文件上法定代表人或其委托代理人的签字、投标人的单位章盖章齐全，符合招标文件规定。</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（3）投标报价</w:t>
            </w:r>
            <w:r>
              <w:rPr>
                <w:rFonts w:hint="default" w:ascii="Times New Roman" w:hAnsi="Times New Roman" w:eastAsia="宋体" w:cs="Times New Roman"/>
                <w:color w:val="auto"/>
                <w:sz w:val="21"/>
                <w:szCs w:val="21"/>
                <w:highlight w:val="none"/>
                <w:shd w:val="clear" w:color="auto" w:fill="FFFFFF"/>
                <w:lang w:val="en-US" w:eastAsia="zh-CN"/>
              </w:rPr>
              <w:t>大于或等于</w:t>
            </w:r>
            <w:r>
              <w:rPr>
                <w:rFonts w:hint="default" w:ascii="Times New Roman" w:hAnsi="Times New Roman" w:cs="Times New Roman"/>
                <w:color w:val="auto"/>
                <w:sz w:val="21"/>
                <w:szCs w:val="21"/>
                <w:highlight w:val="none"/>
                <w:shd w:val="clear" w:color="auto" w:fill="FFFFFF"/>
                <w:lang w:val="en-US" w:eastAsia="zh-CN"/>
              </w:rPr>
              <w:t>最低报价下浮率</w:t>
            </w:r>
            <w:r>
              <w:rPr>
                <w:rFonts w:hint="default" w:ascii="Times New Roman" w:hAnsi="Times New Roman" w:cs="Times New Roman"/>
                <w:color w:val="auto"/>
                <w:sz w:val="21"/>
                <w:szCs w:val="21"/>
                <w:highlight w:val="none"/>
                <w:shd w:val="clear" w:color="auto" w:fill="FFFFFF"/>
              </w:rPr>
              <w:t>。</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（4）投标报价的大写金额能够确定具体数值。</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（5）同一投标人未提交两个以上不同的投标报价，但招标文件要求提交备选投标的除外。</w:t>
            </w:r>
          </w:p>
          <w:p>
            <w:pPr>
              <w:adjustRightInd/>
              <w:spacing w:line="340" w:lineRule="atLeast"/>
              <w:ind w:firstLine="420" w:firstLineChars="200"/>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Cs w:val="24"/>
                <w:highlight w:val="none"/>
                <w:shd w:val="clear" w:color="auto" w:fill="FFFFFF"/>
              </w:rPr>
              <w:t>2.1.2</w:t>
            </w:r>
          </w:p>
        </w:tc>
        <w:tc>
          <w:tcPr>
            <w:tcW w:w="1512" w:type="dxa"/>
            <w:noWrap w:val="0"/>
            <w:vAlign w:val="center"/>
          </w:tcPr>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资格评审标准</w:t>
            </w:r>
          </w:p>
        </w:tc>
        <w:tc>
          <w:tcPr>
            <w:tcW w:w="6004" w:type="dxa"/>
            <w:noWrap w:val="0"/>
            <w:vAlign w:val="center"/>
          </w:tcPr>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（1）投标人具备有效的营业执照、组织机构代码证（如有）、勘察资质证书、设计资质证书和基本账户开户许可证（或基本存款账户信息）。</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（2）投标人的资质等级符合招标文件规定。</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（3）投标人的类似项目业绩符合招标文件规定。</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（4）投标人的信誉符合招标文件规定。</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（5）投标人的项目负责人资格符合招标文件规定。</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（6）投标人的其他要求符合招标文件规定。</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（7）投标人不存在第二章“投标人须知”第1.4.3项或第1.4.4项规定的任何一种情形。</w:t>
            </w:r>
          </w:p>
          <w:p>
            <w:pPr>
              <w:spacing w:line="340" w:lineRule="atLeas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（8）投标人符合第二章“投标人须知”第1.4.5项规定。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1006" w:type="dxa"/>
            <w:noWrap w:val="0"/>
            <w:vAlign w:val="center"/>
          </w:tcPr>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Cs w:val="24"/>
                <w:highlight w:val="none"/>
                <w:shd w:val="clear" w:color="auto" w:fill="FFFFFF"/>
              </w:rPr>
              <w:t>2.2.1</w:t>
            </w:r>
          </w:p>
        </w:tc>
        <w:tc>
          <w:tcPr>
            <w:tcW w:w="1512" w:type="dxa"/>
            <w:noWrap w:val="0"/>
            <w:vAlign w:val="center"/>
          </w:tcPr>
          <w:p>
            <w:pPr>
              <w:adjustRightInd/>
              <w:spacing w:line="380" w:lineRule="atLeas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分值构成</w:t>
            </w:r>
          </w:p>
          <w:p>
            <w:pPr>
              <w:wordWrap w:val="0"/>
              <w:topLinePunct/>
              <w:adjustRightInd/>
              <w:spacing w:line="360"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（总分100分）</w:t>
            </w:r>
          </w:p>
        </w:tc>
        <w:tc>
          <w:tcPr>
            <w:tcW w:w="6004" w:type="dxa"/>
            <w:noWrap w:val="0"/>
            <w:vAlign w:val="center"/>
          </w:tcPr>
          <w:p>
            <w:pPr>
              <w:spacing w:line="360" w:lineRule="auto"/>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bCs/>
                <w:color w:val="auto"/>
                <w:sz w:val="21"/>
                <w:szCs w:val="21"/>
                <w:highlight w:val="none"/>
                <w:shd w:val="clear" w:color="auto" w:fill="FFFFFF"/>
              </w:rPr>
              <w:t>第一个信封（商务及技术文件）评分分值构成：</w:t>
            </w:r>
          </w:p>
          <w:p>
            <w:pPr>
              <w:widowControl/>
              <w:spacing w:line="360" w:lineRule="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sz w:val="21"/>
                <w:szCs w:val="21"/>
                <w:highlight w:val="none"/>
                <w:shd w:val="clear" w:color="auto" w:fill="FFFFFF"/>
              </w:rPr>
              <w:t>分值构成：</w:t>
            </w:r>
            <w:r>
              <w:rPr>
                <w:rFonts w:hint="default" w:ascii="Times New Roman" w:hAnsi="Times New Roman" w:cs="Times New Roman"/>
                <w:color w:val="auto"/>
                <w:szCs w:val="21"/>
                <w:highlight w:val="none"/>
                <w:shd w:val="clear" w:color="auto" w:fill="FFFFFF"/>
              </w:rPr>
              <w:t xml:space="preserve">       </w:t>
            </w:r>
          </w:p>
          <w:p>
            <w:pPr>
              <w:adjustRightInd/>
              <w:spacing w:line="360" w:lineRule="auto"/>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技术建议书：</w:t>
            </w:r>
            <w:r>
              <w:rPr>
                <w:rFonts w:hint="default" w:ascii="Times New Roman" w:hAnsi="Times New Roman" w:cs="Times New Roman"/>
                <w:color w:val="auto"/>
                <w:sz w:val="21"/>
                <w:szCs w:val="21"/>
                <w:highlight w:val="none"/>
                <w:u w:val="single"/>
                <w:shd w:val="clear" w:color="auto" w:fill="FFFFFF"/>
              </w:rPr>
              <w:t xml:space="preserve">   35   </w:t>
            </w:r>
            <w:r>
              <w:rPr>
                <w:rFonts w:hint="default" w:ascii="Times New Roman" w:hAnsi="Times New Roman" w:cs="Times New Roman"/>
                <w:color w:val="auto"/>
                <w:sz w:val="21"/>
                <w:szCs w:val="21"/>
                <w:highlight w:val="none"/>
                <w:shd w:val="clear" w:color="auto" w:fill="FFFFFF"/>
              </w:rPr>
              <w:t xml:space="preserve">分       </w:t>
            </w:r>
          </w:p>
          <w:p>
            <w:pPr>
              <w:adjustRightInd/>
              <w:spacing w:line="360" w:lineRule="auto"/>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主要人员：</w:t>
            </w:r>
            <w:r>
              <w:rPr>
                <w:rFonts w:hint="default" w:ascii="Times New Roman" w:hAnsi="Times New Roman" w:cs="Times New Roman"/>
                <w:color w:val="auto"/>
                <w:sz w:val="21"/>
                <w:szCs w:val="21"/>
                <w:highlight w:val="none"/>
                <w:u w:val="single"/>
                <w:shd w:val="clear" w:color="auto" w:fill="FFFFFF"/>
              </w:rPr>
              <w:t xml:space="preserve">   2</w:t>
            </w:r>
            <w:r>
              <w:rPr>
                <w:rFonts w:hint="default" w:ascii="Times New Roman" w:hAnsi="Times New Roman" w:eastAsia="宋体" w:cs="Times New Roman"/>
                <w:color w:val="auto"/>
                <w:sz w:val="21"/>
                <w:szCs w:val="21"/>
                <w:highlight w:val="none"/>
                <w:u w:val="single"/>
                <w:shd w:val="clear" w:color="auto" w:fill="FFFFFF"/>
                <w:lang w:val="en-US" w:eastAsia="zh-CN"/>
              </w:rPr>
              <w:t>0</w:t>
            </w:r>
            <w:r>
              <w:rPr>
                <w:rFonts w:hint="default" w:ascii="Times New Roman" w:hAnsi="Times New Roman" w:cs="Times New Roman"/>
                <w:color w:val="auto"/>
                <w:sz w:val="21"/>
                <w:szCs w:val="21"/>
                <w:highlight w:val="none"/>
                <w:u w:val="single"/>
                <w:shd w:val="clear" w:color="auto" w:fill="FFFFFF"/>
              </w:rPr>
              <w:t xml:space="preserve">   </w:t>
            </w:r>
            <w:r>
              <w:rPr>
                <w:rFonts w:hint="default" w:ascii="Times New Roman" w:hAnsi="Times New Roman" w:cs="Times New Roman"/>
                <w:color w:val="auto"/>
                <w:sz w:val="21"/>
                <w:szCs w:val="21"/>
                <w:highlight w:val="none"/>
                <w:shd w:val="clear" w:color="auto" w:fill="FFFFFF"/>
              </w:rPr>
              <w:t xml:space="preserve">分         </w:t>
            </w:r>
          </w:p>
          <w:p>
            <w:pPr>
              <w:adjustRightInd/>
              <w:spacing w:line="360" w:lineRule="auto"/>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技术能力：</w:t>
            </w:r>
            <w:r>
              <w:rPr>
                <w:rFonts w:hint="default" w:ascii="Times New Roman" w:hAnsi="Times New Roman" w:cs="Times New Roman"/>
                <w:color w:val="auto"/>
                <w:sz w:val="21"/>
                <w:szCs w:val="21"/>
                <w:highlight w:val="none"/>
                <w:u w:val="single"/>
                <w:shd w:val="clear" w:color="auto" w:fill="FFFFFF"/>
              </w:rPr>
              <w:t xml:space="preserve">   </w:t>
            </w:r>
            <w:r>
              <w:rPr>
                <w:rFonts w:hint="default" w:ascii="Times New Roman" w:hAnsi="Times New Roman" w:eastAsia="宋体" w:cs="Times New Roman"/>
                <w:color w:val="auto"/>
                <w:sz w:val="21"/>
                <w:szCs w:val="21"/>
                <w:highlight w:val="none"/>
                <w:u w:val="single"/>
                <w:shd w:val="clear" w:color="auto" w:fill="FFFFFF"/>
                <w:lang w:val="en-US" w:eastAsia="zh-CN"/>
              </w:rPr>
              <w:t>0</w:t>
            </w:r>
            <w:r>
              <w:rPr>
                <w:rFonts w:hint="default" w:ascii="Times New Roman" w:hAnsi="Times New Roman" w:cs="Times New Roman"/>
                <w:color w:val="auto"/>
                <w:sz w:val="21"/>
                <w:szCs w:val="21"/>
                <w:highlight w:val="none"/>
                <w:u w:val="single"/>
                <w:shd w:val="clear" w:color="auto" w:fill="FFFFFF"/>
              </w:rPr>
              <w:t xml:space="preserve">  </w:t>
            </w:r>
            <w:r>
              <w:rPr>
                <w:rFonts w:hint="default" w:ascii="Times New Roman" w:hAnsi="Times New Roman" w:cs="Times New Roman"/>
                <w:color w:val="auto"/>
                <w:sz w:val="21"/>
                <w:szCs w:val="21"/>
                <w:highlight w:val="none"/>
                <w:shd w:val="clear" w:color="auto" w:fill="FFFFFF"/>
              </w:rPr>
              <w:t xml:space="preserve">分                      </w:t>
            </w:r>
          </w:p>
          <w:p>
            <w:pPr>
              <w:adjustRightInd/>
              <w:spacing w:line="360" w:lineRule="auto"/>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业绩：</w:t>
            </w:r>
            <w:r>
              <w:rPr>
                <w:rFonts w:hint="default" w:ascii="Times New Roman" w:hAnsi="Times New Roman" w:cs="Times New Roman"/>
                <w:color w:val="auto"/>
                <w:sz w:val="21"/>
                <w:szCs w:val="21"/>
                <w:highlight w:val="none"/>
                <w:u w:val="single"/>
                <w:shd w:val="clear" w:color="auto" w:fill="FFFFFF"/>
              </w:rPr>
              <w:t xml:space="preserve">  </w:t>
            </w:r>
            <w:r>
              <w:rPr>
                <w:rFonts w:hint="default" w:ascii="Times New Roman" w:hAnsi="Times New Roman" w:cs="Times New Roman"/>
                <w:color w:val="auto"/>
                <w:sz w:val="21"/>
                <w:szCs w:val="21"/>
                <w:highlight w:val="none"/>
                <w:u w:val="single"/>
                <w:shd w:val="clear" w:color="auto" w:fill="FFFFFF"/>
                <w:lang w:val="en-US" w:eastAsia="zh-CN"/>
              </w:rPr>
              <w:t>25</w:t>
            </w:r>
            <w:r>
              <w:rPr>
                <w:rFonts w:hint="default" w:ascii="Times New Roman" w:hAnsi="Times New Roman" w:cs="Times New Roman"/>
                <w:color w:val="auto"/>
                <w:sz w:val="21"/>
                <w:szCs w:val="21"/>
                <w:highlight w:val="none"/>
                <w:u w:val="single"/>
                <w:shd w:val="clear" w:color="auto" w:fill="FFFFFF"/>
              </w:rPr>
              <w:t xml:space="preserve">   </w:t>
            </w:r>
            <w:r>
              <w:rPr>
                <w:rFonts w:hint="default" w:ascii="Times New Roman" w:hAnsi="Times New Roman" w:cs="Times New Roman"/>
                <w:color w:val="auto"/>
                <w:sz w:val="21"/>
                <w:szCs w:val="21"/>
                <w:highlight w:val="none"/>
                <w:shd w:val="clear" w:color="auto" w:fill="FFFFFF"/>
              </w:rPr>
              <w:t>分</w:t>
            </w:r>
          </w:p>
          <w:p>
            <w:pPr>
              <w:adjustRightInd/>
              <w:spacing w:line="360" w:lineRule="auto"/>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履约信誉：</w:t>
            </w:r>
            <w:r>
              <w:rPr>
                <w:rFonts w:hint="default" w:ascii="Times New Roman" w:hAnsi="Times New Roman" w:cs="Times New Roman"/>
                <w:color w:val="auto"/>
                <w:sz w:val="21"/>
                <w:szCs w:val="21"/>
                <w:highlight w:val="none"/>
                <w:u w:val="single"/>
                <w:shd w:val="clear" w:color="auto" w:fill="FFFFFF"/>
              </w:rPr>
              <w:t xml:space="preserve">   10   </w:t>
            </w:r>
            <w:r>
              <w:rPr>
                <w:rFonts w:hint="default" w:ascii="Times New Roman" w:hAnsi="Times New Roman" w:cs="Times New Roman"/>
                <w:color w:val="auto"/>
                <w:sz w:val="21"/>
                <w:szCs w:val="21"/>
                <w:highlight w:val="none"/>
                <w:shd w:val="clear" w:color="auto" w:fill="FFFFFF"/>
              </w:rPr>
              <w:t xml:space="preserve">分         </w:t>
            </w:r>
          </w:p>
          <w:p>
            <w:pPr>
              <w:adjustRightInd/>
              <w:spacing w:line="360" w:lineRule="auto"/>
              <w:jc w:val="both"/>
              <w:textAlignment w:val="auto"/>
              <w:rPr>
                <w:rFonts w:hint="default" w:ascii="Times New Roman" w:hAnsi="Times New Roman" w:cs="Times New Roman"/>
                <w:b/>
                <w:bCs/>
                <w:color w:val="auto"/>
                <w:sz w:val="21"/>
                <w:szCs w:val="21"/>
                <w:highlight w:val="none"/>
                <w:shd w:val="clear" w:color="auto" w:fill="FFFFFF"/>
              </w:rPr>
            </w:pPr>
            <w:r>
              <w:rPr>
                <w:rFonts w:hint="default" w:ascii="Times New Roman" w:hAnsi="Times New Roman" w:cs="Times New Roman"/>
                <w:b/>
                <w:bCs/>
                <w:color w:val="auto"/>
                <w:sz w:val="21"/>
                <w:szCs w:val="21"/>
                <w:highlight w:val="none"/>
                <w:shd w:val="clear" w:color="auto" w:fill="FFFFFF"/>
              </w:rPr>
              <w:t>第二个信封（报价文件）评分分值构成：</w:t>
            </w:r>
          </w:p>
          <w:p>
            <w:pPr>
              <w:spacing w:line="340" w:lineRule="atLeast"/>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评标价：</w:t>
            </w:r>
            <w:r>
              <w:rPr>
                <w:rFonts w:hint="default" w:ascii="Times New Roman" w:hAnsi="Times New Roman" w:cs="Times New Roman"/>
                <w:color w:val="auto"/>
                <w:sz w:val="21"/>
                <w:szCs w:val="21"/>
                <w:highlight w:val="none"/>
                <w:u w:val="single"/>
                <w:shd w:val="clear" w:color="auto" w:fill="FFFFFF"/>
              </w:rPr>
              <w:t xml:space="preserve">   10   </w:t>
            </w:r>
            <w:r>
              <w:rPr>
                <w:rFonts w:hint="default" w:ascii="Times New Roman" w:hAnsi="Times New Roman" w:cs="Times New Roman"/>
                <w:color w:val="auto"/>
                <w:sz w:val="21"/>
                <w:szCs w:val="21"/>
                <w:highlight w:val="none"/>
                <w:shd w:val="clear" w:color="auto" w:fill="FFFFFF"/>
              </w:rPr>
              <w:t>分</w:t>
            </w:r>
          </w:p>
        </w:tc>
      </w:tr>
    </w:tbl>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pStyle w:val="2"/>
        <w:rPr>
          <w:rFonts w:hint="default" w:ascii="Times New Roman" w:hAnsi="Times New Roman" w:eastAsia="黑体" w:cs="Times New Roman"/>
          <w:color w:val="auto"/>
          <w:szCs w:val="24"/>
          <w:highlight w:val="none"/>
          <w:shd w:val="clear" w:color="auto" w:fill="FFFFFF"/>
        </w:rPr>
      </w:pPr>
    </w:p>
    <w:p>
      <w:pPr>
        <w:pStyle w:val="2"/>
        <w:rPr>
          <w:rFonts w:hint="default" w:ascii="Times New Roman" w:hAnsi="Times New Roman" w:eastAsia="黑体" w:cs="Times New Roman"/>
          <w:color w:val="auto"/>
          <w:szCs w:val="24"/>
          <w:highlight w:val="none"/>
          <w:shd w:val="clear" w:color="auto" w:fill="FFFFFF"/>
        </w:rPr>
      </w:pPr>
    </w:p>
    <w:p>
      <w:pPr>
        <w:pStyle w:val="2"/>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eastAsia="黑体" w:cs="Times New Roman"/>
          <w:color w:val="auto"/>
          <w:szCs w:val="24"/>
          <w:highlight w:val="none"/>
          <w:shd w:val="clear" w:color="auto" w:fill="FFFFFF"/>
        </w:rPr>
      </w:pPr>
    </w:p>
    <w:p>
      <w:pPr>
        <w:rPr>
          <w:rFonts w:hint="default" w:ascii="Times New Roman" w:hAnsi="Times New Roman" w:cs="Times New Roman"/>
          <w:color w:val="auto"/>
          <w:highlight w:val="none"/>
          <w:shd w:val="clear" w:color="auto" w:fill="FFFFFF"/>
        </w:rPr>
      </w:pPr>
      <w:r>
        <w:rPr>
          <w:rFonts w:hint="default" w:ascii="Times New Roman" w:hAnsi="Times New Roman" w:eastAsia="黑体" w:cs="Times New Roman"/>
          <w:color w:val="auto"/>
          <w:szCs w:val="24"/>
          <w:highlight w:val="none"/>
          <w:shd w:val="clear" w:color="auto" w:fill="FFFFFF"/>
        </w:rPr>
        <w:t>评标办法前附表：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trPr>
        <w:tc>
          <w:tcPr>
            <w:tcW w:w="994" w:type="dxa"/>
            <w:noWrap w:val="0"/>
            <w:vAlign w:val="center"/>
          </w:tcPr>
          <w:p>
            <w:pPr>
              <w:wordWrap w:val="0"/>
              <w:topLinePunct/>
              <w:adjustRightInd/>
              <w:spacing w:line="276"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条款号</w:t>
            </w:r>
          </w:p>
        </w:tc>
        <w:tc>
          <w:tcPr>
            <w:tcW w:w="1634" w:type="dxa"/>
            <w:noWrap w:val="0"/>
            <w:vAlign w:val="center"/>
          </w:tcPr>
          <w:p>
            <w:pPr>
              <w:wordWrap w:val="0"/>
              <w:topLinePunct/>
              <w:adjustRightInd/>
              <w:spacing w:line="276" w:lineRule="auto"/>
              <w:jc w:val="center"/>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条款内容</w:t>
            </w:r>
          </w:p>
        </w:tc>
        <w:tc>
          <w:tcPr>
            <w:tcW w:w="5894" w:type="dxa"/>
            <w:noWrap w:val="0"/>
            <w:vAlign w:val="center"/>
          </w:tcPr>
          <w:p>
            <w:pPr>
              <w:wordWrap w:val="0"/>
              <w:topLinePunct/>
              <w:adjustRightInd/>
              <w:spacing w:line="276" w:lineRule="auto"/>
              <w:ind w:firstLine="422" w:firstLineChars="200"/>
              <w:jc w:val="center"/>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8" w:hRule="atLeast"/>
        </w:trPr>
        <w:tc>
          <w:tcPr>
            <w:tcW w:w="994" w:type="dxa"/>
            <w:noWrap w:val="0"/>
            <w:vAlign w:val="center"/>
          </w:tcPr>
          <w:p>
            <w:pPr>
              <w:wordWrap w:val="0"/>
              <w:topLinePunct/>
              <w:spacing w:line="276" w:lineRule="auto"/>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2.2.2</w:t>
            </w:r>
          </w:p>
        </w:tc>
        <w:tc>
          <w:tcPr>
            <w:tcW w:w="1634" w:type="dxa"/>
            <w:noWrap w:val="0"/>
            <w:vAlign w:val="center"/>
          </w:tcPr>
          <w:p>
            <w:pPr>
              <w:widowControl/>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sz w:val="21"/>
                <w:szCs w:val="21"/>
                <w:highlight w:val="none"/>
                <w:shd w:val="clear" w:color="auto" w:fill="FFFFFF"/>
              </w:rPr>
              <w:t>评标基准价计算方法</w:t>
            </w:r>
          </w:p>
          <w:p>
            <w:pPr>
              <w:wordWrap w:val="0"/>
              <w:topLinePunct/>
              <w:spacing w:line="276" w:lineRule="auto"/>
              <w:jc w:val="center"/>
              <w:rPr>
                <w:rFonts w:hint="default" w:ascii="Times New Roman" w:hAnsi="Times New Roman" w:cs="Times New Roman"/>
                <w:color w:val="auto"/>
                <w:sz w:val="21"/>
                <w:szCs w:val="21"/>
                <w:highlight w:val="none"/>
                <w:shd w:val="clear" w:color="auto" w:fill="FFFFFF"/>
              </w:rPr>
            </w:pPr>
          </w:p>
        </w:tc>
        <w:tc>
          <w:tcPr>
            <w:tcW w:w="5894" w:type="dxa"/>
            <w:noWrap w:val="0"/>
            <w:vAlign w:val="center"/>
          </w:tcPr>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评标基准价的计算：</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在开标现场，招标人将当场计算并宣布评标基准价。</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（1）评标价的确定：</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评标价＝投标函文字报价</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（2）评标价的平均值的计算：</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 xml:space="preserve">①除按第二章“投标人须知”第5.2.4项规定开标现场被宣布为不进入评标基准价计算的投标报价之外，所有投标人的评标价去掉一个最高值和一个最低值后的算术平均值即为评标价平均值（如果参加评标价平均值计算的有效投标人少于5家时，则计算评标价平均值时不去掉最高值和最低值）。 </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②参与评标价平均值计算的评标价的范围：</w:t>
            </w:r>
            <w:r>
              <w:rPr>
                <w:rFonts w:hint="default" w:ascii="Times New Roman" w:hAnsi="Times New Roman" w:cs="Times New Roman"/>
                <w:color w:val="auto"/>
                <w:sz w:val="21"/>
                <w:szCs w:val="21"/>
                <w:highlight w:val="none"/>
                <w:shd w:val="clear" w:color="auto" w:fill="FFFFFF"/>
                <w:lang w:val="en-US" w:eastAsia="zh-CN"/>
              </w:rPr>
              <w:t>40</w:t>
            </w:r>
            <w:r>
              <w:rPr>
                <w:rFonts w:hint="default" w:ascii="Times New Roman" w:hAnsi="Times New Roman" w:cs="Times New Roman"/>
                <w:color w:val="auto"/>
                <w:sz w:val="21"/>
                <w:szCs w:val="21"/>
                <w:highlight w:val="none"/>
                <w:shd w:val="clear" w:color="auto" w:fill="FFFFFF"/>
              </w:rPr>
              <w:t>.00%≤参与评标价平均值计算的评标价≤</w:t>
            </w:r>
            <w:r>
              <w:rPr>
                <w:rFonts w:hint="default" w:ascii="Times New Roman" w:hAnsi="Times New Roman" w:cs="Times New Roman"/>
                <w:color w:val="auto"/>
                <w:sz w:val="21"/>
                <w:szCs w:val="21"/>
                <w:highlight w:val="none"/>
                <w:shd w:val="clear" w:color="auto" w:fill="FFFFFF"/>
                <w:lang w:val="en-US" w:eastAsia="zh-CN"/>
              </w:rPr>
              <w:t>49</w:t>
            </w:r>
            <w:r>
              <w:rPr>
                <w:rFonts w:hint="default" w:ascii="Times New Roman" w:hAnsi="Times New Roman" w:cs="Times New Roman"/>
                <w:color w:val="auto"/>
                <w:sz w:val="21"/>
                <w:szCs w:val="21"/>
                <w:highlight w:val="none"/>
                <w:shd w:val="clear" w:color="auto" w:fill="FFFFFF"/>
              </w:rPr>
              <w:t>.</w:t>
            </w:r>
            <w:r>
              <w:rPr>
                <w:rFonts w:hint="default" w:ascii="Times New Roman" w:hAnsi="Times New Roman" w:cs="Times New Roman"/>
                <w:color w:val="auto"/>
                <w:sz w:val="21"/>
                <w:szCs w:val="21"/>
                <w:highlight w:val="none"/>
                <w:shd w:val="clear" w:color="auto" w:fill="FFFFFF"/>
                <w:lang w:val="en-US" w:eastAsia="zh-CN"/>
              </w:rPr>
              <w:t>00</w:t>
            </w:r>
            <w:r>
              <w:rPr>
                <w:rFonts w:hint="default" w:ascii="Times New Roman" w:hAnsi="Times New Roman" w:cs="Times New Roman"/>
                <w:color w:val="auto"/>
                <w:sz w:val="21"/>
                <w:szCs w:val="21"/>
                <w:highlight w:val="none"/>
                <w:shd w:val="clear" w:color="auto" w:fill="FFFFFF"/>
              </w:rPr>
              <w:t>%；（注：大于</w:t>
            </w:r>
            <w:r>
              <w:rPr>
                <w:rFonts w:hint="default" w:ascii="Times New Roman" w:hAnsi="Times New Roman" w:cs="Times New Roman"/>
                <w:color w:val="auto"/>
                <w:sz w:val="21"/>
                <w:szCs w:val="21"/>
                <w:highlight w:val="none"/>
                <w:shd w:val="clear" w:color="auto" w:fill="FFFFFF"/>
                <w:lang w:val="en-US" w:eastAsia="zh-CN"/>
              </w:rPr>
              <w:t>49</w:t>
            </w:r>
            <w:r>
              <w:rPr>
                <w:rFonts w:hint="default" w:ascii="Times New Roman" w:hAnsi="Times New Roman" w:cs="Times New Roman"/>
                <w:color w:val="auto"/>
                <w:sz w:val="21"/>
                <w:szCs w:val="21"/>
                <w:highlight w:val="none"/>
                <w:shd w:val="clear" w:color="auto" w:fill="FFFFFF"/>
              </w:rPr>
              <w:t>.</w:t>
            </w:r>
            <w:r>
              <w:rPr>
                <w:rFonts w:hint="default" w:ascii="Times New Roman" w:hAnsi="Times New Roman" w:cs="Times New Roman"/>
                <w:color w:val="auto"/>
                <w:sz w:val="21"/>
                <w:szCs w:val="21"/>
                <w:highlight w:val="none"/>
                <w:shd w:val="clear" w:color="auto" w:fill="FFFFFF"/>
                <w:lang w:val="en-US" w:eastAsia="zh-CN"/>
              </w:rPr>
              <w:t>00</w:t>
            </w:r>
            <w:r>
              <w:rPr>
                <w:rFonts w:hint="default" w:ascii="Times New Roman" w:hAnsi="Times New Roman" w:cs="Times New Roman"/>
                <w:color w:val="auto"/>
                <w:sz w:val="21"/>
                <w:szCs w:val="21"/>
                <w:highlight w:val="none"/>
                <w:shd w:val="clear" w:color="auto" w:fill="FFFFFF"/>
              </w:rPr>
              <w:t xml:space="preserve">%的评标价不参与评标价平均值的计算，但仍参与评标价的得分计算）； </w:t>
            </w:r>
          </w:p>
          <w:p>
            <w:pPr>
              <w:spacing w:line="360" w:lineRule="exact"/>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③大于</w:t>
            </w:r>
            <w:r>
              <w:rPr>
                <w:rFonts w:hint="default" w:ascii="Times New Roman" w:hAnsi="Times New Roman" w:cs="Times New Roman"/>
                <w:color w:val="auto"/>
                <w:sz w:val="21"/>
                <w:szCs w:val="21"/>
                <w:highlight w:val="none"/>
                <w:shd w:val="clear" w:color="auto" w:fill="FFFFFF"/>
                <w:lang w:val="en-US" w:eastAsia="zh-CN"/>
              </w:rPr>
              <w:t>49</w:t>
            </w:r>
            <w:r>
              <w:rPr>
                <w:rFonts w:hint="default" w:ascii="Times New Roman" w:hAnsi="Times New Roman" w:cs="Times New Roman"/>
                <w:color w:val="auto"/>
                <w:sz w:val="21"/>
                <w:szCs w:val="21"/>
                <w:highlight w:val="none"/>
                <w:shd w:val="clear" w:color="auto" w:fill="FFFFFF"/>
              </w:rPr>
              <w:t>.</w:t>
            </w:r>
            <w:r>
              <w:rPr>
                <w:rFonts w:hint="default" w:ascii="Times New Roman" w:hAnsi="Times New Roman" w:cs="Times New Roman"/>
                <w:color w:val="auto"/>
                <w:sz w:val="21"/>
                <w:szCs w:val="21"/>
                <w:highlight w:val="none"/>
                <w:shd w:val="clear" w:color="auto" w:fill="FFFFFF"/>
                <w:lang w:val="en-US" w:eastAsia="zh-CN"/>
              </w:rPr>
              <w:t>00</w:t>
            </w:r>
            <w:r>
              <w:rPr>
                <w:rFonts w:hint="default" w:ascii="Times New Roman" w:hAnsi="Times New Roman" w:cs="Times New Roman"/>
                <w:color w:val="auto"/>
                <w:sz w:val="21"/>
                <w:szCs w:val="21"/>
                <w:highlight w:val="none"/>
                <w:shd w:val="clear" w:color="auto" w:fill="FFFFFF"/>
              </w:rPr>
              <w:t>%的评标价不参与评标价平均值的计算，但仍参与评标价的得分计算。若投标人的评标价均大于</w:t>
            </w:r>
            <w:r>
              <w:rPr>
                <w:rFonts w:hint="default" w:ascii="Times New Roman" w:hAnsi="Times New Roman" w:cs="Times New Roman"/>
                <w:color w:val="auto"/>
                <w:sz w:val="21"/>
                <w:szCs w:val="21"/>
                <w:highlight w:val="none"/>
                <w:shd w:val="clear" w:color="auto" w:fill="FFFFFF"/>
                <w:lang w:val="en-US" w:eastAsia="zh-CN"/>
              </w:rPr>
              <w:t>49</w:t>
            </w:r>
            <w:r>
              <w:rPr>
                <w:rFonts w:hint="default" w:ascii="Times New Roman" w:hAnsi="Times New Roman" w:cs="Times New Roman"/>
                <w:color w:val="auto"/>
                <w:sz w:val="21"/>
                <w:szCs w:val="21"/>
                <w:highlight w:val="none"/>
                <w:shd w:val="clear" w:color="auto" w:fill="FFFFFF"/>
              </w:rPr>
              <w:t>.</w:t>
            </w:r>
            <w:r>
              <w:rPr>
                <w:rFonts w:hint="default" w:ascii="Times New Roman" w:hAnsi="Times New Roman" w:cs="Times New Roman"/>
                <w:color w:val="auto"/>
                <w:sz w:val="21"/>
                <w:szCs w:val="21"/>
                <w:highlight w:val="none"/>
                <w:shd w:val="clear" w:color="auto" w:fill="FFFFFF"/>
                <w:lang w:val="en-US" w:eastAsia="zh-CN"/>
              </w:rPr>
              <w:t>00</w:t>
            </w:r>
            <w:r>
              <w:rPr>
                <w:rFonts w:hint="default" w:ascii="Times New Roman" w:hAnsi="Times New Roman" w:cs="Times New Roman"/>
                <w:color w:val="auto"/>
                <w:sz w:val="21"/>
                <w:szCs w:val="21"/>
                <w:highlight w:val="none"/>
                <w:shd w:val="clear" w:color="auto" w:fill="FFFFFF"/>
              </w:rPr>
              <w:t>%时，则以</w:t>
            </w:r>
            <w:r>
              <w:rPr>
                <w:rFonts w:hint="default" w:ascii="Times New Roman" w:hAnsi="Times New Roman" w:cs="Times New Roman"/>
                <w:color w:val="auto"/>
                <w:sz w:val="21"/>
                <w:szCs w:val="21"/>
                <w:highlight w:val="none"/>
                <w:shd w:val="clear" w:color="auto" w:fill="FFFFFF"/>
                <w:lang w:val="en-US" w:eastAsia="zh-CN"/>
              </w:rPr>
              <w:t>49</w:t>
            </w:r>
            <w:r>
              <w:rPr>
                <w:rFonts w:hint="default" w:ascii="Times New Roman" w:hAnsi="Times New Roman" w:cs="Times New Roman"/>
                <w:color w:val="auto"/>
                <w:sz w:val="21"/>
                <w:szCs w:val="21"/>
                <w:highlight w:val="none"/>
                <w:shd w:val="clear" w:color="auto" w:fill="FFFFFF"/>
              </w:rPr>
              <w:t>.</w:t>
            </w:r>
            <w:r>
              <w:rPr>
                <w:rFonts w:hint="default" w:ascii="Times New Roman" w:hAnsi="Times New Roman" w:cs="Times New Roman"/>
                <w:color w:val="auto"/>
                <w:sz w:val="21"/>
                <w:szCs w:val="21"/>
                <w:highlight w:val="none"/>
                <w:shd w:val="clear" w:color="auto" w:fill="FFFFFF"/>
                <w:lang w:val="en-US" w:eastAsia="zh-CN"/>
              </w:rPr>
              <w:t>00</w:t>
            </w:r>
            <w:r>
              <w:rPr>
                <w:rFonts w:hint="default" w:ascii="Times New Roman" w:hAnsi="Times New Roman" w:cs="Times New Roman"/>
                <w:color w:val="auto"/>
                <w:sz w:val="21"/>
                <w:szCs w:val="21"/>
                <w:highlight w:val="none"/>
                <w:shd w:val="clear" w:color="auto" w:fill="FFFFFF"/>
              </w:rPr>
              <w:t xml:space="preserve">%作为评标价平均值。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4" w:type="dxa"/>
            <w:noWrap w:val="0"/>
            <w:vAlign w:val="center"/>
          </w:tcPr>
          <w:p>
            <w:pPr>
              <w:wordWrap w:val="0"/>
              <w:topLinePunct/>
              <w:adjustRightInd/>
              <w:spacing w:line="276" w:lineRule="auto"/>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highlight w:val="none"/>
                <w:shd w:val="clear" w:color="auto" w:fill="FFFFFF"/>
              </w:rPr>
              <w:t>2.2.2</w:t>
            </w:r>
          </w:p>
        </w:tc>
        <w:tc>
          <w:tcPr>
            <w:tcW w:w="1634" w:type="dxa"/>
            <w:noWrap w:val="0"/>
            <w:vAlign w:val="center"/>
          </w:tcPr>
          <w:p>
            <w:pPr>
              <w:wordWrap w:val="0"/>
              <w:topLinePunct/>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评标基准价计算方法</w:t>
            </w:r>
          </w:p>
        </w:tc>
        <w:tc>
          <w:tcPr>
            <w:tcW w:w="5894" w:type="dxa"/>
            <w:noWrap w:val="0"/>
            <w:vAlign w:val="center"/>
          </w:tcPr>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（3）评标基准价的确定：</w:t>
            </w:r>
          </w:p>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将评标价平均值直接作为评标基准价。</w:t>
            </w:r>
          </w:p>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注：评标价平均值、评标基准价的计算均四舍五入至小数点后两位。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994" w:type="dxa"/>
            <w:noWrap w:val="0"/>
            <w:vAlign w:val="center"/>
          </w:tcPr>
          <w:p>
            <w:pPr>
              <w:wordWrap w:val="0"/>
              <w:topLinePunct/>
              <w:adjustRightInd/>
              <w:spacing w:line="276" w:lineRule="auto"/>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2.2.3</w:t>
            </w:r>
          </w:p>
        </w:tc>
        <w:tc>
          <w:tcPr>
            <w:tcW w:w="1634" w:type="dxa"/>
            <w:noWrap w:val="0"/>
            <w:vAlign w:val="center"/>
          </w:tcPr>
          <w:p>
            <w:pPr>
              <w:wordWrap w:val="0"/>
              <w:topLinePunct/>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评标价的偏差率计算公式</w:t>
            </w:r>
          </w:p>
        </w:tc>
        <w:tc>
          <w:tcPr>
            <w:tcW w:w="5894" w:type="dxa"/>
            <w:noWrap w:val="0"/>
            <w:vAlign w:val="center"/>
          </w:tcPr>
          <w:p>
            <w:pP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w:t>
            </w:r>
          </w:p>
        </w:tc>
      </w:tr>
    </w:tbl>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p>
    <w:p>
      <w:pPr>
        <w:pStyle w:val="2"/>
        <w:rPr>
          <w:rFonts w:hint="default" w:ascii="Times New Roman" w:hAnsi="Times New Roman" w:cs="Times New Roman"/>
          <w:b/>
          <w:color w:val="auto"/>
          <w:highlight w:val="none"/>
          <w:shd w:val="clear" w:color="auto" w:fill="FFFFFF"/>
        </w:rPr>
      </w:pPr>
    </w:p>
    <w:p>
      <w:pPr>
        <w:pStyle w:val="2"/>
        <w:rPr>
          <w:rFonts w:hint="default" w:ascii="Times New Roman" w:hAnsi="Times New Roman" w:cs="Times New Roman"/>
          <w:b/>
          <w:color w:val="auto"/>
          <w:highlight w:val="none"/>
          <w:shd w:val="clear" w:color="auto" w:fill="FFFFFF"/>
        </w:rPr>
      </w:pPr>
      <w:bookmarkStart w:id="17" w:name="_GoBack"/>
      <w:bookmarkEnd w:id="17"/>
    </w:p>
    <w:p>
      <w:pPr>
        <w:jc w:val="right"/>
        <w:rPr>
          <w:rFonts w:hint="default" w:ascii="Times New Roman" w:hAnsi="Times New Roman" w:cs="Times New Roman"/>
          <w:b/>
          <w:color w:val="auto"/>
          <w:highlight w:val="none"/>
          <w:shd w:val="clear" w:color="auto" w:fill="FFFFFF"/>
        </w:rPr>
      </w:pPr>
    </w:p>
    <w:p>
      <w:pPr>
        <w:wordWrap w:val="0"/>
        <w:ind w:right="-546" w:rightChars="-260"/>
        <w:jc w:val="right"/>
        <w:rPr>
          <w:rFonts w:hint="default" w:ascii="Times New Roman" w:hAnsi="Times New Roman" w:cs="Times New Roman"/>
          <w:color w:val="auto"/>
          <w:highlight w:val="none"/>
          <w:shd w:val="clear" w:color="auto" w:fill="FFFFFF"/>
        </w:rPr>
      </w:pPr>
      <w:r>
        <w:rPr>
          <w:rFonts w:hint="default" w:ascii="Times New Roman" w:hAnsi="Times New Roman" w:cs="Times New Roman"/>
          <w:b/>
          <w:color w:val="auto"/>
          <w:highlight w:val="none"/>
          <w:shd w:val="clear" w:color="auto" w:fill="FFFFFF"/>
        </w:rPr>
        <w:t xml:space="preserve">   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
        <w:gridCol w:w="276"/>
        <w:gridCol w:w="707"/>
        <w:gridCol w:w="493"/>
        <w:gridCol w:w="1344"/>
        <w:gridCol w:w="156"/>
        <w:gridCol w:w="553"/>
        <w:gridCol w:w="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15" w:type="dxa"/>
            <w:gridSpan w:val="8"/>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bookmarkStart w:id="0" w:name="OLE_LINK1" w:colFirst="0" w:colLast="5"/>
            <w:r>
              <w:rPr>
                <w:rFonts w:hint="default" w:ascii="Times New Roman" w:hAnsi="Times New Roman" w:cs="Times New Roman"/>
                <w:b/>
                <w:color w:val="auto"/>
                <w:sz w:val="21"/>
                <w:szCs w:val="21"/>
                <w:highlight w:val="none"/>
                <w:shd w:val="clear" w:color="auto" w:fill="FFFFFF"/>
              </w:rPr>
              <w:t>评审因素与评分值</w:t>
            </w:r>
          </w:p>
        </w:tc>
        <w:tc>
          <w:tcPr>
            <w:tcW w:w="5127" w:type="dxa"/>
            <w:vMerge w:val="restart"/>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2"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条款号</w:t>
            </w:r>
          </w:p>
        </w:tc>
        <w:tc>
          <w:tcPr>
            <w:tcW w:w="1067" w:type="dxa"/>
            <w:gridSpan w:val="3"/>
            <w:noWrap w:val="0"/>
            <w:vAlign w:val="center"/>
          </w:tcPr>
          <w:p>
            <w:pPr>
              <w:spacing w:line="276" w:lineRule="auto"/>
              <w:jc w:val="center"/>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评审</w:t>
            </w:r>
          </w:p>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因素</w:t>
            </w:r>
          </w:p>
        </w:tc>
        <w:tc>
          <w:tcPr>
            <w:tcW w:w="493" w:type="dxa"/>
            <w:noWrap w:val="0"/>
            <w:vAlign w:val="center"/>
          </w:tcPr>
          <w:p>
            <w:pPr>
              <w:spacing w:line="276"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b/>
                <w:color w:val="auto"/>
                <w:sz w:val="21"/>
                <w:szCs w:val="21"/>
                <w:highlight w:val="none"/>
                <w:shd w:val="clear" w:color="auto" w:fill="FFFFFF"/>
              </w:rPr>
              <w:t>评分因素权重分值</w:t>
            </w:r>
          </w:p>
        </w:tc>
        <w:tc>
          <w:tcPr>
            <w:tcW w:w="1500" w:type="dxa"/>
            <w:gridSpan w:val="2"/>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各评审因素细分项</w:t>
            </w:r>
          </w:p>
        </w:tc>
        <w:tc>
          <w:tcPr>
            <w:tcW w:w="553"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分值</w:t>
            </w:r>
          </w:p>
        </w:tc>
        <w:tc>
          <w:tcPr>
            <w:tcW w:w="5127" w:type="dxa"/>
            <w:vMerge w:val="continue"/>
            <w:noWrap w:val="0"/>
            <w:vAlign w:val="center"/>
          </w:tcPr>
          <w:p>
            <w:pPr>
              <w:spacing w:line="276" w:lineRule="auto"/>
              <w:jc w:val="both"/>
              <w:rPr>
                <w:rFonts w:hint="default" w:ascii="Times New Roman" w:hAnsi="Times New Roman" w:cs="Times New Roman"/>
                <w:color w:val="auto"/>
                <w:sz w:val="21"/>
                <w:szCs w:val="21"/>
                <w:highlight w:val="none"/>
                <w:shd w:val="clear" w:color="auto" w:fill="FFFFFF"/>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restart"/>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2.2.4</w:t>
            </w:r>
          </w:p>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w:t>
            </w:r>
          </w:p>
        </w:tc>
        <w:tc>
          <w:tcPr>
            <w:tcW w:w="1067" w:type="dxa"/>
            <w:gridSpan w:val="3"/>
            <w:vMerge w:val="restart"/>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技术建议书</w:t>
            </w:r>
          </w:p>
        </w:tc>
        <w:tc>
          <w:tcPr>
            <w:tcW w:w="493" w:type="dxa"/>
            <w:vMerge w:val="restart"/>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u w:val="single"/>
                <w:shd w:val="clear" w:color="auto" w:fill="FFFFFF"/>
              </w:rPr>
              <w:t>35</w:t>
            </w:r>
            <w:r>
              <w:rPr>
                <w:rFonts w:hint="default" w:ascii="Times New Roman" w:hAnsi="Times New Roman" w:cs="Times New Roman"/>
                <w:color w:val="auto"/>
                <w:sz w:val="21"/>
                <w:szCs w:val="21"/>
                <w:highlight w:val="none"/>
                <w:shd w:val="clear" w:color="auto" w:fill="FFFFFF"/>
              </w:rPr>
              <w:t>分</w:t>
            </w:r>
          </w:p>
        </w:tc>
        <w:tc>
          <w:tcPr>
            <w:tcW w:w="1500" w:type="dxa"/>
            <w:gridSpan w:val="2"/>
            <w:noWrap w:val="0"/>
            <w:vAlign w:val="center"/>
          </w:tcPr>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对招标项目勘察设计的理解和总体设计思路</w:t>
            </w:r>
          </w:p>
        </w:tc>
        <w:tc>
          <w:tcPr>
            <w:tcW w:w="553" w:type="dxa"/>
            <w:noWrap w:val="0"/>
            <w:vAlign w:val="center"/>
          </w:tcPr>
          <w:p>
            <w:pPr>
              <w:adjustRightInd/>
              <w:spacing w:line="312"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u w:val="single"/>
                <w:shd w:val="clear" w:color="auto" w:fill="FFFFFF"/>
              </w:rPr>
              <w:t>10</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topLinePunct/>
              <w:adjustRightInd/>
              <w:spacing w:line="240" w:lineRule="auto"/>
              <w:jc w:val="both"/>
              <w:rPr>
                <w:rStyle w:val="9"/>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根据对勘察设计工作范围和任务描述准确程度和总体设计思路清晰、切实可行程度，</w:t>
            </w:r>
            <w:r>
              <w:rPr>
                <w:rStyle w:val="9"/>
                <w:rFonts w:hint="default" w:ascii="Times New Roman" w:hAnsi="Times New Roman" w:cs="Times New Roman"/>
                <w:color w:val="auto"/>
                <w:sz w:val="21"/>
                <w:szCs w:val="21"/>
                <w:highlight w:val="none"/>
                <w:shd w:val="clear" w:color="auto" w:fill="FFFFFF"/>
              </w:rPr>
              <w:t>得</w:t>
            </w:r>
            <w:r>
              <w:rPr>
                <w:rStyle w:val="9"/>
                <w:rFonts w:hint="default" w:ascii="Times New Roman" w:hAnsi="Times New Roman" w:eastAsia="宋体" w:cs="Times New Roman"/>
                <w:color w:val="auto"/>
                <w:sz w:val="21"/>
                <w:szCs w:val="21"/>
                <w:highlight w:val="none"/>
                <w:shd w:val="clear" w:color="auto" w:fill="FFFFFF"/>
                <w:lang w:val="en-US" w:eastAsia="zh-CN"/>
              </w:rPr>
              <w:t>9</w:t>
            </w:r>
            <w:r>
              <w:rPr>
                <w:rStyle w:val="9"/>
                <w:rFonts w:hint="default" w:ascii="Times New Roman" w:hAnsi="Times New Roman" w:cs="Times New Roman"/>
                <w:color w:val="auto"/>
                <w:sz w:val="21"/>
                <w:szCs w:val="21"/>
                <w:highlight w:val="none"/>
                <w:shd w:val="clear" w:color="auto" w:fill="FFFFFF"/>
              </w:rPr>
              <w:t>～10分</w:t>
            </w:r>
          </w:p>
          <w:p>
            <w:pPr>
              <w:numPr>
                <w:ilvl w:val="0"/>
                <w:numId w:val="1"/>
              </w:num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基本分</w:t>
            </w:r>
            <w:r>
              <w:rPr>
                <w:rFonts w:hint="default" w:ascii="Times New Roman" w:hAnsi="Times New Roman" w:cs="Times New Roman"/>
                <w:color w:val="auto"/>
                <w:kern w:val="0"/>
                <w:sz w:val="21"/>
                <w:szCs w:val="21"/>
                <w:highlight w:val="none"/>
                <w:shd w:val="clear" w:color="auto" w:fill="FFFFFF"/>
                <w:lang w:val="en-US" w:eastAsia="zh-CN"/>
              </w:rPr>
              <w:t>9</w:t>
            </w:r>
            <w:r>
              <w:rPr>
                <w:rFonts w:hint="default" w:ascii="Times New Roman" w:hAnsi="Times New Roman" w:cs="Times New Roman"/>
                <w:color w:val="auto"/>
                <w:kern w:val="0"/>
                <w:sz w:val="21"/>
                <w:szCs w:val="21"/>
                <w:highlight w:val="none"/>
                <w:shd w:val="clear" w:color="auto" w:fill="FFFFFF"/>
              </w:rPr>
              <w:t>分；</w:t>
            </w:r>
          </w:p>
          <w:p>
            <w:pPr>
              <w:numPr>
                <w:ilvl w:val="0"/>
                <w:numId w:val="1"/>
              </w:num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较合理，得</w:t>
            </w:r>
            <w:r>
              <w:rPr>
                <w:rFonts w:hint="default" w:ascii="Times New Roman" w:hAnsi="Times New Roman" w:cs="Times New Roman"/>
                <w:color w:val="auto"/>
                <w:kern w:val="0"/>
                <w:sz w:val="21"/>
                <w:szCs w:val="21"/>
                <w:highlight w:val="none"/>
                <w:shd w:val="clear" w:color="auto" w:fill="FFFFFF"/>
                <w:lang w:val="en-US" w:eastAsia="zh-CN"/>
              </w:rPr>
              <w:t>9.5</w:t>
            </w:r>
            <w:r>
              <w:rPr>
                <w:rFonts w:hint="default" w:ascii="Times New Roman" w:hAnsi="Times New Roman" w:cs="Times New Roman"/>
                <w:color w:val="auto"/>
                <w:kern w:val="0"/>
                <w:sz w:val="21"/>
                <w:szCs w:val="21"/>
                <w:highlight w:val="none"/>
                <w:shd w:val="clear" w:color="auto" w:fill="FFFFFF"/>
              </w:rPr>
              <w:t>分；</w:t>
            </w:r>
          </w:p>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③合理有效，得10分。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continue"/>
            <w:noWrap w:val="0"/>
            <w:vAlign w:val="center"/>
          </w:tcPr>
          <w:p>
            <w:pPr>
              <w:spacing w:line="276" w:lineRule="auto"/>
              <w:jc w:val="both"/>
              <w:rPr>
                <w:rFonts w:hint="default" w:ascii="Times New Roman" w:hAnsi="Times New Roman" w:cs="Times New Roman"/>
                <w:color w:val="auto"/>
                <w:sz w:val="21"/>
                <w:szCs w:val="21"/>
                <w:highlight w:val="none"/>
                <w:shd w:val="clear" w:color="auto" w:fill="FFFFFF"/>
              </w:rPr>
            </w:pPr>
          </w:p>
        </w:tc>
        <w:tc>
          <w:tcPr>
            <w:tcW w:w="1067" w:type="dxa"/>
            <w:gridSpan w:val="3"/>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493" w:type="dxa"/>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1500" w:type="dxa"/>
            <w:gridSpan w:val="2"/>
            <w:noWrap w:val="0"/>
            <w:vAlign w:val="center"/>
          </w:tcPr>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招标项目勘察设计的特点、关键技术问题的认识及其对策措施</w:t>
            </w:r>
          </w:p>
        </w:tc>
        <w:tc>
          <w:tcPr>
            <w:tcW w:w="553" w:type="dxa"/>
            <w:noWrap w:val="0"/>
            <w:vAlign w:val="center"/>
          </w:tcPr>
          <w:p>
            <w:pPr>
              <w:adjustRightInd/>
              <w:spacing w:line="312"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u w:val="single"/>
                <w:shd w:val="clear" w:color="auto" w:fill="FFFFFF"/>
              </w:rPr>
              <w:t>10</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topLinePunct/>
              <w:adjustRightInd/>
              <w:spacing w:line="240" w:lineRule="auto"/>
              <w:jc w:val="both"/>
              <w:rPr>
                <w:rStyle w:val="9"/>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根据对项目特点、关键技术问题的把握程度和初步设计、施工图设计应着重解决的技术问题所提出处理措施的可行性程度，</w:t>
            </w:r>
            <w:r>
              <w:rPr>
                <w:rStyle w:val="9"/>
                <w:rFonts w:hint="default" w:ascii="Times New Roman" w:hAnsi="Times New Roman" w:cs="Times New Roman"/>
                <w:color w:val="auto"/>
                <w:sz w:val="21"/>
                <w:szCs w:val="21"/>
                <w:highlight w:val="none"/>
                <w:shd w:val="clear" w:color="auto" w:fill="FFFFFF"/>
              </w:rPr>
              <w:t>得</w:t>
            </w:r>
            <w:r>
              <w:rPr>
                <w:rStyle w:val="9"/>
                <w:rFonts w:hint="default" w:ascii="Times New Roman" w:hAnsi="Times New Roman" w:eastAsia="宋体" w:cs="Times New Roman"/>
                <w:color w:val="auto"/>
                <w:sz w:val="21"/>
                <w:szCs w:val="21"/>
                <w:highlight w:val="none"/>
                <w:shd w:val="clear" w:color="auto" w:fill="FFFFFF"/>
                <w:lang w:val="en-US" w:eastAsia="zh-CN"/>
              </w:rPr>
              <w:t>9</w:t>
            </w:r>
            <w:r>
              <w:rPr>
                <w:rStyle w:val="9"/>
                <w:rFonts w:hint="default" w:ascii="Times New Roman" w:hAnsi="Times New Roman" w:cs="Times New Roman"/>
                <w:color w:val="auto"/>
                <w:sz w:val="21"/>
                <w:szCs w:val="21"/>
                <w:highlight w:val="none"/>
                <w:shd w:val="clear" w:color="auto" w:fill="FFFFFF"/>
              </w:rPr>
              <w:t>～10分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①基本分</w:t>
            </w:r>
            <w:r>
              <w:rPr>
                <w:rFonts w:hint="default" w:ascii="Times New Roman" w:hAnsi="Times New Roman" w:cs="Times New Roman"/>
                <w:color w:val="auto"/>
                <w:kern w:val="0"/>
                <w:sz w:val="21"/>
                <w:szCs w:val="21"/>
                <w:highlight w:val="none"/>
                <w:shd w:val="clear" w:color="auto" w:fill="FFFFFF"/>
                <w:lang w:val="en-US" w:eastAsia="zh-CN"/>
              </w:rPr>
              <w:t>9</w:t>
            </w:r>
            <w:r>
              <w:rPr>
                <w:rFonts w:hint="default" w:ascii="Times New Roman" w:hAnsi="Times New Roman" w:cs="Times New Roman"/>
                <w:color w:val="auto"/>
                <w:kern w:val="0"/>
                <w:sz w:val="21"/>
                <w:szCs w:val="21"/>
                <w:highlight w:val="none"/>
                <w:shd w:val="clear" w:color="auto" w:fill="FFFFFF"/>
              </w:rPr>
              <w:t>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②较合理，得</w:t>
            </w:r>
            <w:r>
              <w:rPr>
                <w:rFonts w:hint="default" w:ascii="Times New Roman" w:hAnsi="Times New Roman" w:cs="Times New Roman"/>
                <w:color w:val="auto"/>
                <w:kern w:val="0"/>
                <w:sz w:val="21"/>
                <w:szCs w:val="21"/>
                <w:highlight w:val="none"/>
                <w:shd w:val="clear" w:color="auto" w:fill="FFFFFF"/>
                <w:lang w:val="en-US" w:eastAsia="zh-CN"/>
              </w:rPr>
              <w:t>9.5</w:t>
            </w:r>
            <w:r>
              <w:rPr>
                <w:rFonts w:hint="default" w:ascii="Times New Roman" w:hAnsi="Times New Roman" w:cs="Times New Roman"/>
                <w:color w:val="auto"/>
                <w:kern w:val="0"/>
                <w:sz w:val="21"/>
                <w:szCs w:val="21"/>
                <w:highlight w:val="none"/>
                <w:shd w:val="clear" w:color="auto" w:fill="FFFFFF"/>
              </w:rPr>
              <w:t>分；</w:t>
            </w:r>
          </w:p>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③合理有效，得10分。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02" w:type="dxa"/>
            <w:vMerge w:val="continue"/>
            <w:noWrap w:val="0"/>
            <w:vAlign w:val="center"/>
          </w:tcPr>
          <w:p>
            <w:pPr>
              <w:spacing w:line="276" w:lineRule="auto"/>
              <w:jc w:val="both"/>
              <w:rPr>
                <w:rFonts w:hint="default" w:ascii="Times New Roman" w:hAnsi="Times New Roman" w:cs="Times New Roman"/>
                <w:color w:val="auto"/>
                <w:sz w:val="21"/>
                <w:szCs w:val="21"/>
                <w:highlight w:val="none"/>
                <w:shd w:val="clear" w:color="auto" w:fill="FFFFFF"/>
              </w:rPr>
            </w:pPr>
          </w:p>
        </w:tc>
        <w:tc>
          <w:tcPr>
            <w:tcW w:w="1067" w:type="dxa"/>
            <w:gridSpan w:val="3"/>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493" w:type="dxa"/>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1500" w:type="dxa"/>
            <w:gridSpan w:val="2"/>
            <w:noWrap w:val="0"/>
            <w:vAlign w:val="center"/>
          </w:tcPr>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勘察设计工作量及计划安排</w:t>
            </w:r>
          </w:p>
        </w:tc>
        <w:tc>
          <w:tcPr>
            <w:tcW w:w="553" w:type="dxa"/>
            <w:noWrap w:val="0"/>
            <w:vAlign w:val="center"/>
          </w:tcPr>
          <w:p>
            <w:pPr>
              <w:adjustRightInd/>
              <w:spacing w:line="312"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topLinePunct/>
              <w:adjustRightInd/>
              <w:spacing w:line="240" w:lineRule="auto"/>
              <w:jc w:val="both"/>
              <w:rPr>
                <w:rStyle w:val="9"/>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根据工作计划实施、安排的合理程度，</w:t>
            </w:r>
            <w:r>
              <w:rPr>
                <w:rStyle w:val="9"/>
                <w:rFonts w:hint="default" w:ascii="Times New Roman" w:hAnsi="Times New Roman" w:cs="Times New Roman"/>
                <w:color w:val="auto"/>
                <w:sz w:val="21"/>
                <w:szCs w:val="21"/>
                <w:highlight w:val="none"/>
                <w:shd w:val="clear" w:color="auto" w:fill="FFFFFF"/>
              </w:rPr>
              <w:t>得4</w:t>
            </w:r>
            <w:r>
              <w:rPr>
                <w:rStyle w:val="9"/>
                <w:rFonts w:hint="default" w:ascii="Times New Roman" w:hAnsi="Times New Roman" w:eastAsia="宋体" w:cs="Times New Roman"/>
                <w:color w:val="auto"/>
                <w:sz w:val="21"/>
                <w:szCs w:val="21"/>
                <w:highlight w:val="none"/>
                <w:shd w:val="clear" w:color="auto" w:fill="FFFFFF"/>
                <w:lang w:val="en-US" w:eastAsia="zh-CN"/>
              </w:rPr>
              <w:t>.5</w:t>
            </w:r>
            <w:r>
              <w:rPr>
                <w:rStyle w:val="9"/>
                <w:rFonts w:hint="default" w:ascii="Times New Roman" w:hAnsi="Times New Roman" w:cs="Times New Roman"/>
                <w:color w:val="auto"/>
                <w:sz w:val="21"/>
                <w:szCs w:val="21"/>
                <w:highlight w:val="none"/>
                <w:shd w:val="clear" w:color="auto" w:fill="FFFFFF"/>
              </w:rPr>
              <w:t>～5分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①基本分4</w:t>
            </w:r>
            <w:r>
              <w:rPr>
                <w:rFonts w:hint="default" w:ascii="Times New Roman" w:hAnsi="Times New Roman" w:cs="Times New Roman"/>
                <w:color w:val="auto"/>
                <w:kern w:val="0"/>
                <w:sz w:val="21"/>
                <w:szCs w:val="21"/>
                <w:highlight w:val="none"/>
                <w:shd w:val="clear" w:color="auto" w:fill="FFFFFF"/>
                <w:lang w:val="en-US" w:eastAsia="zh-CN"/>
              </w:rPr>
              <w:t>.5</w:t>
            </w:r>
            <w:r>
              <w:rPr>
                <w:rFonts w:hint="default" w:ascii="Times New Roman" w:hAnsi="Times New Roman" w:cs="Times New Roman"/>
                <w:color w:val="auto"/>
                <w:kern w:val="0"/>
                <w:sz w:val="21"/>
                <w:szCs w:val="21"/>
                <w:highlight w:val="none"/>
                <w:shd w:val="clear" w:color="auto" w:fill="FFFFFF"/>
              </w:rPr>
              <w:t>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②较合理，得4</w:t>
            </w:r>
            <w:r>
              <w:rPr>
                <w:rFonts w:hint="default" w:ascii="Times New Roman" w:hAnsi="Times New Roman" w:cs="Times New Roman"/>
                <w:color w:val="auto"/>
                <w:kern w:val="0"/>
                <w:sz w:val="21"/>
                <w:szCs w:val="21"/>
                <w:highlight w:val="none"/>
                <w:shd w:val="clear" w:color="auto" w:fill="FFFFFF"/>
                <w:lang w:val="en-US" w:eastAsia="zh-CN"/>
              </w:rPr>
              <w:t>.7</w:t>
            </w:r>
            <w:r>
              <w:rPr>
                <w:rFonts w:hint="default" w:ascii="Times New Roman" w:hAnsi="Times New Roman" w:cs="Times New Roman"/>
                <w:color w:val="auto"/>
                <w:kern w:val="0"/>
                <w:sz w:val="21"/>
                <w:szCs w:val="21"/>
                <w:highlight w:val="none"/>
                <w:shd w:val="clear" w:color="auto" w:fill="FFFFFF"/>
              </w:rPr>
              <w:t>分；</w:t>
            </w:r>
          </w:p>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③合理有效，得5分。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02" w:type="dxa"/>
            <w:vMerge w:val="continue"/>
            <w:noWrap w:val="0"/>
            <w:vAlign w:val="center"/>
          </w:tcPr>
          <w:p>
            <w:pPr>
              <w:spacing w:line="276" w:lineRule="auto"/>
              <w:jc w:val="both"/>
              <w:rPr>
                <w:rFonts w:hint="default" w:ascii="Times New Roman" w:hAnsi="Times New Roman" w:cs="Times New Roman"/>
                <w:color w:val="auto"/>
                <w:sz w:val="21"/>
                <w:szCs w:val="21"/>
                <w:highlight w:val="none"/>
                <w:shd w:val="clear" w:color="auto" w:fill="FFFFFF"/>
              </w:rPr>
            </w:pPr>
          </w:p>
        </w:tc>
        <w:tc>
          <w:tcPr>
            <w:tcW w:w="1067" w:type="dxa"/>
            <w:gridSpan w:val="3"/>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493" w:type="dxa"/>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u w:val="single"/>
                <w:shd w:val="clear" w:color="auto" w:fill="FFFFFF"/>
              </w:rPr>
            </w:pPr>
          </w:p>
        </w:tc>
        <w:tc>
          <w:tcPr>
            <w:tcW w:w="1500" w:type="dxa"/>
            <w:gridSpan w:val="2"/>
            <w:noWrap w:val="0"/>
            <w:vAlign w:val="center"/>
          </w:tcPr>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勘察设计的质量保证措施、进度保证措施</w:t>
            </w:r>
          </w:p>
        </w:tc>
        <w:tc>
          <w:tcPr>
            <w:tcW w:w="553" w:type="dxa"/>
            <w:noWrap w:val="0"/>
            <w:vAlign w:val="center"/>
          </w:tcPr>
          <w:p>
            <w:pPr>
              <w:adjustRightInd/>
              <w:spacing w:line="312"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topLinePunct/>
              <w:adjustRightInd/>
              <w:spacing w:line="240" w:lineRule="auto"/>
              <w:jc w:val="both"/>
              <w:rPr>
                <w:rStyle w:val="9"/>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根据进度和质量保证措施的可实施性，</w:t>
            </w:r>
            <w:r>
              <w:rPr>
                <w:rStyle w:val="9"/>
                <w:rFonts w:hint="default" w:ascii="Times New Roman" w:hAnsi="Times New Roman" w:cs="Times New Roman"/>
                <w:color w:val="auto"/>
                <w:sz w:val="21"/>
                <w:szCs w:val="21"/>
                <w:highlight w:val="none"/>
                <w:shd w:val="clear" w:color="auto" w:fill="FFFFFF"/>
              </w:rPr>
              <w:t>得4</w:t>
            </w:r>
            <w:r>
              <w:rPr>
                <w:rStyle w:val="9"/>
                <w:rFonts w:hint="default" w:ascii="Times New Roman" w:hAnsi="Times New Roman" w:eastAsia="宋体" w:cs="Times New Roman"/>
                <w:color w:val="auto"/>
                <w:sz w:val="21"/>
                <w:szCs w:val="21"/>
                <w:highlight w:val="none"/>
                <w:shd w:val="clear" w:color="auto" w:fill="FFFFFF"/>
                <w:lang w:val="en-US" w:eastAsia="zh-CN"/>
              </w:rPr>
              <w:t>.5</w:t>
            </w:r>
            <w:r>
              <w:rPr>
                <w:rStyle w:val="9"/>
                <w:rFonts w:hint="default" w:ascii="Times New Roman" w:hAnsi="Times New Roman" w:cs="Times New Roman"/>
                <w:color w:val="auto"/>
                <w:sz w:val="21"/>
                <w:szCs w:val="21"/>
                <w:highlight w:val="none"/>
                <w:shd w:val="clear" w:color="auto" w:fill="FFFFFF"/>
              </w:rPr>
              <w:t>～5分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①基本分4</w:t>
            </w:r>
            <w:r>
              <w:rPr>
                <w:rFonts w:hint="default" w:ascii="Times New Roman" w:hAnsi="Times New Roman" w:cs="Times New Roman"/>
                <w:color w:val="auto"/>
                <w:kern w:val="0"/>
                <w:sz w:val="21"/>
                <w:szCs w:val="21"/>
                <w:highlight w:val="none"/>
                <w:shd w:val="clear" w:color="auto" w:fill="FFFFFF"/>
                <w:lang w:val="en-US" w:eastAsia="zh-CN"/>
              </w:rPr>
              <w:t>.5</w:t>
            </w:r>
            <w:r>
              <w:rPr>
                <w:rFonts w:hint="default" w:ascii="Times New Roman" w:hAnsi="Times New Roman" w:cs="Times New Roman"/>
                <w:color w:val="auto"/>
                <w:kern w:val="0"/>
                <w:sz w:val="21"/>
                <w:szCs w:val="21"/>
                <w:highlight w:val="none"/>
                <w:shd w:val="clear" w:color="auto" w:fill="FFFFFF"/>
              </w:rPr>
              <w:t>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②较合理，得4</w:t>
            </w:r>
            <w:r>
              <w:rPr>
                <w:rFonts w:hint="default" w:ascii="Times New Roman" w:hAnsi="Times New Roman" w:cs="Times New Roman"/>
                <w:color w:val="auto"/>
                <w:kern w:val="0"/>
                <w:sz w:val="21"/>
                <w:szCs w:val="21"/>
                <w:highlight w:val="none"/>
                <w:shd w:val="clear" w:color="auto" w:fill="FFFFFF"/>
                <w:lang w:val="en-US" w:eastAsia="zh-CN"/>
              </w:rPr>
              <w:t>.7</w:t>
            </w:r>
            <w:r>
              <w:rPr>
                <w:rFonts w:hint="default" w:ascii="Times New Roman" w:hAnsi="Times New Roman" w:cs="Times New Roman"/>
                <w:color w:val="auto"/>
                <w:kern w:val="0"/>
                <w:sz w:val="21"/>
                <w:szCs w:val="21"/>
                <w:highlight w:val="none"/>
                <w:shd w:val="clear" w:color="auto" w:fill="FFFFFF"/>
              </w:rPr>
              <w:t>分；</w:t>
            </w:r>
          </w:p>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③合理有效，得5分。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02" w:type="dxa"/>
            <w:vMerge w:val="continue"/>
            <w:noWrap w:val="0"/>
            <w:vAlign w:val="center"/>
          </w:tcPr>
          <w:p>
            <w:pPr>
              <w:spacing w:line="276" w:lineRule="auto"/>
              <w:jc w:val="both"/>
              <w:rPr>
                <w:rFonts w:hint="default" w:ascii="Times New Roman" w:hAnsi="Times New Roman" w:cs="Times New Roman"/>
                <w:color w:val="auto"/>
                <w:sz w:val="21"/>
                <w:szCs w:val="21"/>
                <w:highlight w:val="none"/>
                <w:shd w:val="clear" w:color="auto" w:fill="FFFFFF"/>
              </w:rPr>
            </w:pPr>
          </w:p>
        </w:tc>
        <w:tc>
          <w:tcPr>
            <w:tcW w:w="1067" w:type="dxa"/>
            <w:gridSpan w:val="3"/>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p>
        </w:tc>
        <w:tc>
          <w:tcPr>
            <w:tcW w:w="493" w:type="dxa"/>
            <w:vMerge w:val="continue"/>
            <w:noWrap w:val="0"/>
            <w:vAlign w:val="center"/>
          </w:tcPr>
          <w:p>
            <w:pPr>
              <w:adjustRightInd/>
              <w:spacing w:line="276" w:lineRule="auto"/>
              <w:jc w:val="both"/>
              <w:rPr>
                <w:rFonts w:hint="default" w:ascii="Times New Roman" w:hAnsi="Times New Roman" w:cs="Times New Roman"/>
                <w:color w:val="auto"/>
                <w:sz w:val="21"/>
                <w:szCs w:val="21"/>
                <w:highlight w:val="none"/>
                <w:u w:val="single"/>
                <w:shd w:val="clear" w:color="auto" w:fill="FFFFFF"/>
              </w:rPr>
            </w:pPr>
          </w:p>
        </w:tc>
        <w:tc>
          <w:tcPr>
            <w:tcW w:w="1500" w:type="dxa"/>
            <w:gridSpan w:val="2"/>
            <w:noWrap w:val="0"/>
            <w:vAlign w:val="center"/>
          </w:tcPr>
          <w:p>
            <w:pPr>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后续服务的安排及保证措施</w:t>
            </w:r>
          </w:p>
        </w:tc>
        <w:tc>
          <w:tcPr>
            <w:tcW w:w="553" w:type="dxa"/>
            <w:noWrap w:val="0"/>
            <w:vAlign w:val="center"/>
          </w:tcPr>
          <w:p>
            <w:pPr>
              <w:adjustRightInd/>
              <w:spacing w:line="312"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topLinePunct/>
              <w:adjustRightInd/>
              <w:spacing w:line="240" w:lineRule="auto"/>
              <w:jc w:val="both"/>
              <w:rPr>
                <w:rStyle w:val="9"/>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根据承诺的后续服务机构人员的完善程度，</w:t>
            </w:r>
            <w:r>
              <w:rPr>
                <w:rStyle w:val="9"/>
                <w:rFonts w:hint="default" w:ascii="Times New Roman" w:hAnsi="Times New Roman" w:cs="Times New Roman"/>
                <w:color w:val="auto"/>
                <w:sz w:val="21"/>
                <w:szCs w:val="21"/>
                <w:highlight w:val="none"/>
                <w:shd w:val="clear" w:color="auto" w:fill="FFFFFF"/>
              </w:rPr>
              <w:t>得4</w:t>
            </w:r>
            <w:r>
              <w:rPr>
                <w:rStyle w:val="9"/>
                <w:rFonts w:hint="default" w:ascii="Times New Roman" w:hAnsi="Times New Roman" w:eastAsia="宋体" w:cs="Times New Roman"/>
                <w:color w:val="auto"/>
                <w:sz w:val="21"/>
                <w:szCs w:val="21"/>
                <w:highlight w:val="none"/>
                <w:shd w:val="clear" w:color="auto" w:fill="FFFFFF"/>
                <w:lang w:val="en-US" w:eastAsia="zh-CN"/>
              </w:rPr>
              <w:t>.5</w:t>
            </w:r>
            <w:r>
              <w:rPr>
                <w:rStyle w:val="9"/>
                <w:rFonts w:hint="default" w:ascii="Times New Roman" w:hAnsi="Times New Roman" w:cs="Times New Roman"/>
                <w:color w:val="auto"/>
                <w:sz w:val="21"/>
                <w:szCs w:val="21"/>
                <w:highlight w:val="none"/>
                <w:shd w:val="clear" w:color="auto" w:fill="FFFFFF"/>
              </w:rPr>
              <w:t>～5分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①基本分4</w:t>
            </w:r>
            <w:r>
              <w:rPr>
                <w:rFonts w:hint="default" w:ascii="Times New Roman" w:hAnsi="Times New Roman" w:cs="Times New Roman"/>
                <w:color w:val="auto"/>
                <w:kern w:val="0"/>
                <w:sz w:val="21"/>
                <w:szCs w:val="21"/>
                <w:highlight w:val="none"/>
                <w:shd w:val="clear" w:color="auto" w:fill="FFFFFF"/>
                <w:lang w:val="en-US" w:eastAsia="zh-CN"/>
              </w:rPr>
              <w:t>.5</w:t>
            </w:r>
            <w:r>
              <w:rPr>
                <w:rFonts w:hint="default" w:ascii="Times New Roman" w:hAnsi="Times New Roman" w:cs="Times New Roman"/>
                <w:color w:val="auto"/>
                <w:kern w:val="0"/>
                <w:sz w:val="21"/>
                <w:szCs w:val="21"/>
                <w:highlight w:val="none"/>
                <w:shd w:val="clear" w:color="auto" w:fill="FFFFFF"/>
              </w:rPr>
              <w:t>分；</w:t>
            </w:r>
          </w:p>
          <w:p>
            <w:pPr>
              <w:topLinePunct/>
              <w:spacing w:line="240" w:lineRule="auto"/>
              <w:rPr>
                <w:rFonts w:hint="default" w:ascii="Times New Roman" w:hAnsi="Times New Roman" w:cs="Times New Roman"/>
                <w:color w:val="auto"/>
                <w:kern w:val="0"/>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②较合理，得4</w:t>
            </w:r>
            <w:r>
              <w:rPr>
                <w:rFonts w:hint="default" w:ascii="Times New Roman" w:hAnsi="Times New Roman" w:cs="Times New Roman"/>
                <w:color w:val="auto"/>
                <w:kern w:val="0"/>
                <w:sz w:val="21"/>
                <w:szCs w:val="21"/>
                <w:highlight w:val="none"/>
                <w:shd w:val="clear" w:color="auto" w:fill="FFFFFF"/>
                <w:lang w:val="en-US" w:eastAsia="zh-CN"/>
              </w:rPr>
              <w:t>.7</w:t>
            </w:r>
            <w:r>
              <w:rPr>
                <w:rFonts w:hint="default" w:ascii="Times New Roman" w:hAnsi="Times New Roman" w:cs="Times New Roman"/>
                <w:color w:val="auto"/>
                <w:kern w:val="0"/>
                <w:sz w:val="21"/>
                <w:szCs w:val="21"/>
                <w:highlight w:val="none"/>
                <w:shd w:val="clear" w:color="auto" w:fill="FFFFFF"/>
              </w:rPr>
              <w:t>分；</w:t>
            </w:r>
          </w:p>
          <w:p>
            <w:pPr>
              <w:topLinePunct/>
              <w:adjustRightInd/>
              <w:spacing w:line="312"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0"/>
                <w:sz w:val="21"/>
                <w:szCs w:val="21"/>
                <w:highlight w:val="none"/>
                <w:shd w:val="clear" w:color="auto" w:fill="FFFFFF"/>
              </w:rPr>
              <w:t>③合理有效，得5分。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02" w:type="dxa"/>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2.2.4</w:t>
            </w:r>
          </w:p>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w:t>
            </w:r>
          </w:p>
        </w:tc>
        <w:tc>
          <w:tcPr>
            <w:tcW w:w="1067" w:type="dxa"/>
            <w:gridSpan w:val="3"/>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主要</w:t>
            </w:r>
          </w:p>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人员</w:t>
            </w:r>
          </w:p>
        </w:tc>
        <w:tc>
          <w:tcPr>
            <w:tcW w:w="493" w:type="dxa"/>
            <w:noWrap w:val="0"/>
            <w:vAlign w:val="center"/>
          </w:tcPr>
          <w:p>
            <w:pPr>
              <w:adjustRightInd/>
              <w:spacing w:line="276"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20</w:t>
            </w:r>
            <w:r>
              <w:rPr>
                <w:rFonts w:hint="default" w:ascii="Times New Roman" w:hAnsi="Times New Roman" w:cs="Times New Roman"/>
                <w:color w:val="auto"/>
                <w:sz w:val="21"/>
                <w:szCs w:val="21"/>
                <w:highlight w:val="none"/>
                <w:shd w:val="clear" w:color="auto" w:fill="FFFFFF"/>
              </w:rPr>
              <w:t>分</w:t>
            </w:r>
          </w:p>
        </w:tc>
        <w:tc>
          <w:tcPr>
            <w:tcW w:w="1500" w:type="dxa"/>
            <w:gridSpan w:val="2"/>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项目负责人任职资格与业绩</w:t>
            </w:r>
          </w:p>
        </w:tc>
        <w:tc>
          <w:tcPr>
            <w:tcW w:w="553" w:type="dxa"/>
            <w:noWrap w:val="0"/>
            <w:vAlign w:val="center"/>
          </w:tcPr>
          <w:p>
            <w:pPr>
              <w:adjustRightInd/>
              <w:spacing w:line="276" w:lineRule="auto"/>
              <w:jc w:val="both"/>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u w:val="single"/>
                <w:shd w:val="clear" w:color="auto" w:fill="FFFFFF"/>
              </w:rPr>
              <w:t>20</w:t>
            </w:r>
          </w:p>
        </w:tc>
        <w:tc>
          <w:tcPr>
            <w:tcW w:w="5127" w:type="dxa"/>
            <w:noWrap w:val="0"/>
            <w:vAlign w:val="center"/>
          </w:tcPr>
          <w:p>
            <w:pPr>
              <w:adjustRightInd/>
              <w:spacing w:line="276"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满足资格审查条件（项目负责人最低要求）得基本分12分，此满足资格审查最低条件基础上，</w:t>
            </w:r>
          </w:p>
          <w:p>
            <w:pPr>
              <w:numPr>
                <w:ilvl w:val="0"/>
                <w:numId w:val="2"/>
              </w:numPr>
              <w:adjustRightInd/>
              <w:spacing w:line="276"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设计项目负责人每增加担任过1个合同段</w:t>
            </w:r>
            <w:r>
              <w:rPr>
                <w:rFonts w:hint="default" w:ascii="Times New Roman" w:hAnsi="Times New Roman" w:cs="Times New Roman"/>
                <w:color w:val="auto"/>
                <w:sz w:val="21"/>
                <w:szCs w:val="21"/>
                <w:highlight w:val="none"/>
                <w:lang w:eastAsia="zh-CN"/>
              </w:rPr>
              <w:t>二</w:t>
            </w:r>
            <w:r>
              <w:rPr>
                <w:rFonts w:hint="default" w:ascii="Times New Roman" w:hAnsi="Times New Roman" w:cs="Times New Roman"/>
                <w:color w:val="auto"/>
                <w:sz w:val="21"/>
                <w:szCs w:val="21"/>
                <w:highlight w:val="none"/>
              </w:rPr>
              <w:t>级公路（或以上等级）</w:t>
            </w:r>
            <w:r>
              <w:rPr>
                <w:rFonts w:hint="default" w:ascii="Times New Roman" w:hAnsi="Times New Roman" w:cs="Times New Roman"/>
                <w:color w:val="auto"/>
                <w:sz w:val="21"/>
                <w:szCs w:val="21"/>
                <w:highlight w:val="none"/>
                <w:lang w:eastAsia="zh-CN"/>
              </w:rPr>
              <w:t>新建或扩建或改造的</w:t>
            </w:r>
            <w:r>
              <w:rPr>
                <w:rFonts w:hint="default" w:ascii="Times New Roman" w:hAnsi="Times New Roman" w:cs="Times New Roman"/>
                <w:color w:val="auto"/>
                <w:sz w:val="21"/>
                <w:szCs w:val="21"/>
                <w:highlight w:val="none"/>
              </w:rPr>
              <w:t>设计工作</w:t>
            </w:r>
            <w:r>
              <w:rPr>
                <w:rFonts w:hint="default" w:ascii="Times New Roman" w:hAnsi="Times New Roman" w:cs="Times New Roman"/>
                <w:color w:val="auto"/>
                <w:sz w:val="21"/>
                <w:szCs w:val="21"/>
                <w:highlight w:val="none"/>
                <w:lang w:eastAsia="zh-CN"/>
              </w:rPr>
              <w:t>的项目负责人</w:t>
            </w:r>
            <w:r>
              <w:rPr>
                <w:rFonts w:hint="default" w:ascii="Times New Roman" w:hAnsi="Times New Roman" w:cs="Times New Roman"/>
                <w:color w:val="auto"/>
                <w:sz w:val="21"/>
                <w:szCs w:val="21"/>
                <w:highlight w:val="none"/>
              </w:rPr>
              <w:t>岗位经验的加2分，最多加</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分。</w:t>
            </w:r>
          </w:p>
          <w:p>
            <w:pPr>
              <w:numPr>
                <w:ilvl w:val="0"/>
                <w:numId w:val="0"/>
              </w:numPr>
              <w:adjustRightInd/>
              <w:spacing w:line="276"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注：完成是指完成施工图设计；业绩认定时间以施工图批复时间为准。</w:t>
            </w:r>
          </w:p>
          <w:p>
            <w:pPr>
              <w:numPr>
                <w:ilvl w:val="0"/>
                <w:numId w:val="0"/>
              </w:numPr>
              <w:adjustRightInd/>
              <w:spacing w:line="276" w:lineRule="auto"/>
              <w:jc w:val="both"/>
              <w:rPr>
                <w:rFonts w:hint="default" w:ascii="Times New Roman" w:hAnsi="Times New Roman" w:eastAsia="宋体" w:cs="Times New Roman"/>
                <w:bCs w:val="0"/>
                <w:i w:val="0"/>
                <w:iCs w:val="0"/>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）项目负责人具备注册土木工程师（岩土）</w:t>
            </w:r>
            <w:r>
              <w:rPr>
                <w:rFonts w:hint="default" w:ascii="Times New Roman" w:hAnsi="Times New Roman" w:cs="Times New Roman"/>
                <w:color w:val="auto"/>
                <w:sz w:val="21"/>
                <w:szCs w:val="21"/>
                <w:highlight w:val="none"/>
                <w:lang w:eastAsia="zh-CN"/>
              </w:rPr>
              <w:t>加</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分，同时</w:t>
            </w:r>
            <w:r>
              <w:rPr>
                <w:rFonts w:hint="default" w:ascii="Times New Roman" w:hAnsi="Times New Roman" w:cs="Times New Roman"/>
                <w:color w:val="auto"/>
                <w:highlight w:val="none"/>
              </w:rPr>
              <w:t>具有交通</w:t>
            </w:r>
            <w:r>
              <w:rPr>
                <w:rFonts w:hint="default" w:ascii="Times New Roman" w:hAnsi="Times New Roman" w:cs="Times New Roman"/>
                <w:color w:val="auto"/>
                <w:highlight w:val="none"/>
                <w:lang w:val="en-US" w:eastAsia="zh-CN"/>
              </w:rPr>
              <w:t>运输</w:t>
            </w:r>
            <w:r>
              <w:rPr>
                <w:rFonts w:hint="default" w:ascii="Times New Roman" w:hAnsi="Times New Roman" w:cs="Times New Roman"/>
                <w:color w:val="auto"/>
                <w:highlight w:val="none"/>
              </w:rPr>
              <w:t>部造价工程师</w:t>
            </w:r>
            <w:r>
              <w:rPr>
                <w:rFonts w:hint="default" w:ascii="Times New Roman" w:hAnsi="Times New Roman" w:cs="Times New Roman"/>
                <w:color w:val="auto"/>
                <w:highlight w:val="none"/>
                <w:lang w:val="en-US" w:eastAsia="zh-CN"/>
              </w:rPr>
              <w:t>甲级</w:t>
            </w:r>
            <w:r>
              <w:rPr>
                <w:rFonts w:hint="default" w:ascii="Times New Roman" w:hAnsi="Times New Roman" w:cs="Times New Roman"/>
                <w:color w:val="auto"/>
                <w:highlight w:val="none"/>
              </w:rPr>
              <w:t>执业资格</w:t>
            </w:r>
            <w:r>
              <w:rPr>
                <w:rFonts w:hint="default" w:ascii="Times New Roman" w:hAnsi="Times New Roman" w:cs="Times New Roman"/>
                <w:color w:val="auto"/>
                <w:highlight w:val="none"/>
                <w:lang w:val="en-US" w:eastAsia="zh-CN"/>
              </w:rPr>
              <w:t>或一</w:t>
            </w:r>
            <w:r>
              <w:rPr>
                <w:rFonts w:hint="default" w:ascii="Times New Roman" w:hAnsi="Times New Roman" w:eastAsia="Helvetica" w:cs="Times New Roman"/>
                <w:i w:val="0"/>
                <w:caps w:val="0"/>
                <w:color w:val="auto"/>
                <w:spacing w:val="0"/>
                <w:sz w:val="21"/>
                <w:szCs w:val="21"/>
                <w:highlight w:val="none"/>
                <w:shd w:val="clear" w:color="auto" w:fill="FFFFFF"/>
              </w:rPr>
              <w:t>级</w:t>
            </w:r>
            <w:r>
              <w:rPr>
                <w:rFonts w:hint="default" w:ascii="Times New Roman" w:hAnsi="Times New Roman" w:eastAsia="宋体" w:cs="Times New Roman"/>
                <w:i w:val="0"/>
                <w:caps w:val="0"/>
                <w:color w:val="auto"/>
                <w:spacing w:val="0"/>
                <w:sz w:val="21"/>
                <w:szCs w:val="21"/>
                <w:highlight w:val="none"/>
                <w:shd w:val="clear" w:color="auto" w:fill="FFFFFF"/>
                <w:lang w:val="en-US" w:eastAsia="zh-CN"/>
              </w:rPr>
              <w:t>注册</w:t>
            </w:r>
            <w:r>
              <w:rPr>
                <w:rFonts w:hint="default" w:ascii="Times New Roman" w:hAnsi="Times New Roman" w:eastAsia="Helvetica" w:cs="Times New Roman"/>
                <w:i w:val="0"/>
                <w:caps w:val="0"/>
                <w:color w:val="auto"/>
                <w:spacing w:val="0"/>
                <w:sz w:val="21"/>
                <w:szCs w:val="21"/>
                <w:highlight w:val="none"/>
                <w:shd w:val="clear" w:color="auto" w:fill="FFFFFF"/>
              </w:rPr>
              <w:t>造价工程师</w:t>
            </w:r>
            <w:r>
              <w:rPr>
                <w:rFonts w:hint="default" w:ascii="Times New Roman" w:hAnsi="Times New Roman" w:eastAsia="宋体" w:cs="Times New Roman"/>
                <w:i w:val="0"/>
                <w:caps w:val="0"/>
                <w:color w:val="auto"/>
                <w:spacing w:val="0"/>
                <w:sz w:val="21"/>
                <w:szCs w:val="21"/>
                <w:highlight w:val="none"/>
                <w:shd w:val="clear" w:color="auto" w:fill="FFFFFF"/>
                <w:lang w:eastAsia="zh-CN"/>
              </w:rPr>
              <w:t>（交通运输工程）</w:t>
            </w:r>
            <w:r>
              <w:rPr>
                <w:rFonts w:hint="default" w:ascii="Times New Roman" w:hAnsi="Times New Roman" w:cs="Times New Roman"/>
                <w:color w:val="auto"/>
                <w:highlight w:val="none"/>
              </w:rPr>
              <w:t>执业资格</w:t>
            </w:r>
            <w:r>
              <w:rPr>
                <w:rFonts w:hint="default" w:ascii="Times New Roman" w:hAnsi="Times New Roman" w:cs="Times New Roman"/>
                <w:color w:val="auto"/>
                <w:highlight w:val="none"/>
                <w:lang w:val="en-US" w:eastAsia="zh-CN"/>
              </w:rPr>
              <w:t>或具有住房城乡建设部颁发的注册造价工程师证书</w:t>
            </w:r>
            <w:r>
              <w:rPr>
                <w:rFonts w:hint="default" w:ascii="Times New Roman" w:hAnsi="Times New Roman" w:cs="Times New Roman"/>
                <w:color w:val="auto"/>
                <w:highlight w:val="none"/>
              </w:rPr>
              <w:t>的</w:t>
            </w:r>
            <w:r>
              <w:rPr>
                <w:rFonts w:hint="default" w:ascii="Times New Roman" w:hAnsi="Times New Roman" w:cs="Times New Roman"/>
                <w:color w:val="auto"/>
                <w:sz w:val="21"/>
                <w:szCs w:val="21"/>
                <w:highlight w:val="none"/>
                <w:lang w:eastAsia="zh-CN"/>
              </w:rPr>
              <w:t>加</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分</w:t>
            </w:r>
            <w:r>
              <w:rPr>
                <w:rFonts w:hint="default" w:ascii="Times New Roman" w:hAnsi="Times New Roman" w:cs="Times New Roman"/>
                <w:color w:val="auto"/>
                <w:sz w:val="21"/>
                <w:szCs w:val="21"/>
                <w:highlight w:val="none"/>
                <w:lang w:eastAsia="zh-CN"/>
              </w:rPr>
              <w:t>，本项最多得</w:t>
            </w:r>
            <w:r>
              <w:rPr>
                <w:rFonts w:hint="default" w:ascii="Times New Roman" w:hAnsi="Times New Roman" w:cs="Times New Roman"/>
                <w:color w:val="auto"/>
                <w:sz w:val="21"/>
                <w:szCs w:val="21"/>
                <w:highlight w:val="none"/>
                <w:lang w:val="en-US" w:eastAsia="zh-CN"/>
              </w:rPr>
              <w:t>6分。</w:t>
            </w:r>
            <w:r>
              <w:rPr>
                <w:rFonts w:hint="default" w:ascii="Times New Roman" w:hAnsi="Times New Roman" w:cs="Times New Roman"/>
                <w:color w:val="auto"/>
                <w:sz w:val="21"/>
                <w:szCs w:val="21"/>
                <w:highlight w:val="none"/>
              </w:rPr>
              <w:t>（须提供证书的彩色复印件）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02" w:type="dxa"/>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2.2.4（3）</w:t>
            </w:r>
          </w:p>
        </w:tc>
        <w:tc>
          <w:tcPr>
            <w:tcW w:w="1067" w:type="dxa"/>
            <w:gridSpan w:val="3"/>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评标价</w:t>
            </w:r>
          </w:p>
        </w:tc>
        <w:tc>
          <w:tcPr>
            <w:tcW w:w="493" w:type="dxa"/>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u w:val="single"/>
                <w:shd w:val="clear" w:color="auto" w:fill="FFFFFF"/>
              </w:rPr>
              <w:t>10</w:t>
            </w:r>
            <w:r>
              <w:rPr>
                <w:rFonts w:hint="default" w:ascii="Times New Roman" w:hAnsi="Times New Roman" w:cs="Times New Roman"/>
                <w:color w:val="auto"/>
                <w:sz w:val="21"/>
                <w:szCs w:val="21"/>
                <w:highlight w:val="none"/>
                <w:shd w:val="clear" w:color="auto" w:fill="FFFFFF"/>
              </w:rPr>
              <w:t>分</w:t>
            </w:r>
          </w:p>
        </w:tc>
        <w:tc>
          <w:tcPr>
            <w:tcW w:w="7180" w:type="dxa"/>
            <w:gridSpan w:val="4"/>
            <w:noWrap w:val="0"/>
            <w:vAlign w:val="center"/>
          </w:tcPr>
          <w:p>
            <w:pPr>
              <w:adjustRightInd/>
              <w:spacing w:line="380" w:lineRule="atLeast"/>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评标价得分计算公式示例：</w:t>
            </w:r>
          </w:p>
          <w:p>
            <w:pPr>
              <w:adjustRightInd/>
              <w:spacing w:line="380" w:lineRule="atLeast"/>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（1）如果投标人的投标报价（下浮率的绝对值）＞评标基准价，则评标价得分=F-（投标人投标报价（下浮率的绝对值）-评标基准价）×100×E</w:t>
            </w:r>
            <w:r>
              <w:rPr>
                <w:rFonts w:hint="default" w:ascii="Times New Roman" w:hAnsi="Times New Roman" w:cs="Times New Roman"/>
                <w:color w:val="auto"/>
                <w:sz w:val="21"/>
                <w:szCs w:val="21"/>
                <w:highlight w:val="none"/>
                <w:shd w:val="clear" w:color="auto" w:fill="FFFFFF"/>
                <w:vertAlign w:val="subscript"/>
              </w:rPr>
              <w:t>1</w:t>
            </w:r>
            <w:r>
              <w:rPr>
                <w:rFonts w:hint="default" w:ascii="Times New Roman" w:hAnsi="Times New Roman" w:cs="Times New Roman"/>
                <w:color w:val="auto"/>
                <w:sz w:val="21"/>
                <w:szCs w:val="21"/>
                <w:highlight w:val="none"/>
                <w:shd w:val="clear" w:color="auto" w:fill="FFFFFF"/>
              </w:rPr>
              <w:t>；</w:t>
            </w:r>
          </w:p>
          <w:p>
            <w:pPr>
              <w:adjustRightInd/>
              <w:spacing w:line="380" w:lineRule="atLeast"/>
              <w:jc w:val="both"/>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（2）如果投标人的投标报价（下浮率的绝对值）≤评标基准价，则评标价得分=F+（投标人投标报价（下浮率的绝对值）-评标基准价）×100×E</w:t>
            </w:r>
            <w:r>
              <w:rPr>
                <w:rFonts w:hint="default" w:ascii="Times New Roman" w:hAnsi="Times New Roman" w:cs="Times New Roman"/>
                <w:color w:val="auto"/>
                <w:sz w:val="21"/>
                <w:szCs w:val="21"/>
                <w:highlight w:val="none"/>
                <w:shd w:val="clear" w:color="auto" w:fill="FFFFFF"/>
                <w:vertAlign w:val="subscript"/>
              </w:rPr>
              <w:t>2</w:t>
            </w:r>
            <w:r>
              <w:rPr>
                <w:rFonts w:hint="default" w:ascii="Times New Roman" w:hAnsi="Times New Roman" w:cs="Times New Roman"/>
                <w:color w:val="auto"/>
                <w:sz w:val="21"/>
                <w:szCs w:val="21"/>
                <w:highlight w:val="none"/>
                <w:shd w:val="clear" w:color="auto" w:fill="FFFFFF"/>
              </w:rPr>
              <w:t>。</w:t>
            </w:r>
          </w:p>
          <w:p>
            <w:pPr>
              <w:spacing w:line="380" w:lineRule="atLeast"/>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其中：F是评标价所占的权重分值，E</w:t>
            </w:r>
            <w:r>
              <w:rPr>
                <w:rFonts w:hint="default" w:ascii="Times New Roman" w:hAnsi="Times New Roman" w:cs="Times New Roman"/>
                <w:color w:val="auto"/>
                <w:sz w:val="21"/>
                <w:szCs w:val="21"/>
                <w:highlight w:val="none"/>
                <w:shd w:val="clear" w:color="auto" w:fill="FFFFFF"/>
                <w:vertAlign w:val="subscript"/>
              </w:rPr>
              <w:t>1</w:t>
            </w:r>
            <w:r>
              <w:rPr>
                <w:rFonts w:hint="default" w:ascii="Times New Roman" w:hAnsi="Times New Roman" w:cs="Times New Roman"/>
                <w:color w:val="auto"/>
                <w:sz w:val="21"/>
                <w:szCs w:val="21"/>
                <w:highlight w:val="none"/>
                <w:shd w:val="clear" w:color="auto" w:fill="FFFFFF"/>
              </w:rPr>
              <w:t>是评标价每高于评标基准价一个百分点的扣分值，E</w:t>
            </w:r>
            <w:r>
              <w:rPr>
                <w:rFonts w:hint="default" w:ascii="Times New Roman" w:hAnsi="Times New Roman" w:cs="Times New Roman"/>
                <w:color w:val="auto"/>
                <w:sz w:val="21"/>
                <w:szCs w:val="21"/>
                <w:highlight w:val="none"/>
                <w:shd w:val="clear" w:color="auto" w:fill="FFFFFF"/>
                <w:vertAlign w:val="subscript"/>
              </w:rPr>
              <w:t>2</w:t>
            </w:r>
            <w:r>
              <w:rPr>
                <w:rFonts w:hint="default" w:ascii="Times New Roman" w:hAnsi="Times New Roman" w:cs="Times New Roman"/>
                <w:color w:val="auto"/>
                <w:sz w:val="21"/>
                <w:szCs w:val="21"/>
                <w:highlight w:val="none"/>
                <w:shd w:val="clear" w:color="auto" w:fill="FFFFFF"/>
              </w:rPr>
              <w:t>是评标价每低于评标基准价一个百分点的扣分值；E1取0.3，E2取0.6。评标价得分四舍五入至小数点后四位。投标人的评标价最低得分为0分。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restart"/>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2.2.4（4）</w:t>
            </w:r>
          </w:p>
        </w:tc>
        <w:tc>
          <w:tcPr>
            <w:tcW w:w="360" w:type="dxa"/>
            <w:gridSpan w:val="2"/>
            <w:vMerge w:val="restart"/>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其他因素</w:t>
            </w:r>
          </w:p>
        </w:tc>
        <w:tc>
          <w:tcPr>
            <w:tcW w:w="707" w:type="dxa"/>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技术能力</w:t>
            </w:r>
          </w:p>
        </w:tc>
        <w:tc>
          <w:tcPr>
            <w:tcW w:w="493" w:type="dxa"/>
            <w:noWrap w:val="0"/>
            <w:vAlign w:val="center"/>
          </w:tcPr>
          <w:p>
            <w:pPr>
              <w:adjustRightInd/>
              <w:spacing w:line="276"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highlight w:val="none"/>
                <w:u w:val="single"/>
                <w:shd w:val="clear" w:color="auto" w:fill="FFFFFF"/>
                <w:lang w:val="en-US" w:eastAsia="zh-CN"/>
              </w:rPr>
              <w:t>0</w:t>
            </w:r>
            <w:r>
              <w:rPr>
                <w:rFonts w:hint="default" w:ascii="Times New Roman" w:hAnsi="Times New Roman" w:cs="Times New Roman"/>
                <w:color w:val="auto"/>
                <w:highlight w:val="none"/>
                <w:shd w:val="clear" w:color="auto" w:fill="FFFFFF"/>
              </w:rPr>
              <w:t>分</w:t>
            </w:r>
          </w:p>
        </w:tc>
        <w:tc>
          <w:tcPr>
            <w:tcW w:w="7180" w:type="dxa"/>
            <w:gridSpan w:val="4"/>
            <w:noWrap w:val="0"/>
            <w:vAlign w:val="center"/>
          </w:tcPr>
          <w:p>
            <w:pPr>
              <w:snapToGrid w:val="0"/>
              <w:spacing w:line="240" w:lineRule="auto"/>
              <w:ind w:firstLine="42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802" w:type="dxa"/>
            <w:vMerge w:val="continue"/>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p>
        </w:tc>
        <w:tc>
          <w:tcPr>
            <w:tcW w:w="360" w:type="dxa"/>
            <w:gridSpan w:val="2"/>
            <w:vMerge w:val="continue"/>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p>
        </w:tc>
        <w:tc>
          <w:tcPr>
            <w:tcW w:w="707" w:type="dxa"/>
            <w:noWrap w:val="0"/>
            <w:vAlign w:val="center"/>
          </w:tcPr>
          <w:p>
            <w:pPr>
              <w:snapToGrid w:val="0"/>
              <w:spacing w:line="360" w:lineRule="exa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业绩</w:t>
            </w:r>
          </w:p>
        </w:tc>
        <w:tc>
          <w:tcPr>
            <w:tcW w:w="493" w:type="dxa"/>
            <w:noWrap w:val="0"/>
            <w:vAlign w:val="center"/>
          </w:tcPr>
          <w:p>
            <w:pPr>
              <w:snapToGrid w:val="0"/>
              <w:spacing w:line="360" w:lineRule="exact"/>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shd w:val="clear" w:color="auto" w:fill="FFFFFF"/>
                <w:lang w:val="en-US" w:eastAsia="zh-CN"/>
              </w:rPr>
              <w:t>25</w:t>
            </w:r>
            <w:r>
              <w:rPr>
                <w:rFonts w:hint="default" w:ascii="Times New Roman" w:hAnsi="Times New Roman" w:cs="Times New Roman"/>
                <w:color w:val="auto"/>
                <w:sz w:val="21"/>
                <w:szCs w:val="21"/>
                <w:highlight w:val="none"/>
                <w:shd w:val="clear" w:color="auto" w:fill="FFFFFF"/>
              </w:rPr>
              <w:t>分</w:t>
            </w:r>
          </w:p>
        </w:tc>
        <w:tc>
          <w:tcPr>
            <w:tcW w:w="1344" w:type="dxa"/>
            <w:noWrap w:val="0"/>
            <w:vAlign w:val="center"/>
          </w:tcPr>
          <w:p>
            <w:pPr>
              <w:snapToGrid w:val="0"/>
              <w:spacing w:line="360" w:lineRule="exa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常规土建类</w:t>
            </w:r>
          </w:p>
        </w:tc>
        <w:tc>
          <w:tcPr>
            <w:tcW w:w="709" w:type="dxa"/>
            <w:gridSpan w:val="2"/>
            <w:noWrap w:val="0"/>
            <w:vAlign w:val="center"/>
          </w:tcPr>
          <w:p>
            <w:pPr>
              <w:snapToGrid w:val="0"/>
              <w:spacing w:line="360" w:lineRule="exact"/>
              <w:jc w:val="both"/>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highlight w:val="none"/>
                <w:u w:val="single"/>
                <w:shd w:val="clear" w:color="auto" w:fill="FFFFFF"/>
                <w:lang w:val="en-US" w:eastAsia="zh-CN"/>
              </w:rPr>
              <w:t>25</w:t>
            </w:r>
            <w:r>
              <w:rPr>
                <w:rFonts w:hint="default" w:ascii="Times New Roman" w:hAnsi="Times New Roman" w:cs="Times New Roman"/>
                <w:color w:val="auto"/>
                <w:highlight w:val="none"/>
                <w:shd w:val="clear" w:color="auto" w:fill="FFFFFF"/>
              </w:rPr>
              <w:t>分</w:t>
            </w:r>
          </w:p>
        </w:tc>
        <w:tc>
          <w:tcPr>
            <w:tcW w:w="5127" w:type="dxa"/>
            <w:noWrap w:val="0"/>
            <w:vAlign w:val="center"/>
          </w:tcPr>
          <w:p>
            <w:pPr>
              <w:pStyle w:val="2"/>
              <w:ind w:left="0" w:leftChars="0" w:firstLine="420" w:firstLineChars="20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满足资格审查条件（业绩最低要求）得基本分15分；在此基础上，近5年内（2017年</w:t>
            </w:r>
            <w:r>
              <w:rPr>
                <w:rFonts w:hint="eastAsia" w:cs="Times New Roman"/>
                <w:color w:val="auto"/>
                <w:kern w:val="2"/>
                <w:sz w:val="21"/>
                <w:szCs w:val="21"/>
                <w:highlight w:val="none"/>
                <w:lang w:val="en-US" w:eastAsia="zh-CN" w:bidi="ar-SA"/>
              </w:rPr>
              <w:t>12</w:t>
            </w:r>
            <w:r>
              <w:rPr>
                <w:rFonts w:hint="default" w:ascii="Times New Roman" w:hAnsi="Times New Roman" w:cs="Times New Roman"/>
                <w:color w:val="auto"/>
                <w:kern w:val="2"/>
                <w:sz w:val="21"/>
                <w:szCs w:val="21"/>
                <w:highlight w:val="none"/>
                <w:lang w:val="en-US" w:eastAsia="zh-CN" w:bidi="ar-SA"/>
              </w:rPr>
              <w:t>月1 日至递交投标文件截止之日止）：每累计完成8km（尾数不计）二级公路（或以上等级）新建或改建或扩建或改造的设计工作加2.5分，最多加10分。</w:t>
            </w:r>
          </w:p>
          <w:p>
            <w:pPr>
              <w:pStyle w:val="2"/>
              <w:ind w:left="0" w:leftChars="0" w:firstLine="0" w:firstLineChars="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注：1、完成是指完成施工图设计；</w:t>
            </w:r>
          </w:p>
          <w:p>
            <w:pPr>
              <w:pStyle w:val="2"/>
              <w:ind w:left="0" w:leftChars="0" w:firstLine="420" w:firstLineChars="20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2、业绩认定时间以施工图批复时间为准；</w:t>
            </w:r>
          </w:p>
          <w:p>
            <w:pPr>
              <w:pStyle w:val="2"/>
              <w:ind w:left="0" w:leftChars="0" w:firstLine="420" w:firstLineChars="200"/>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kern w:val="2"/>
                <w:sz w:val="21"/>
                <w:szCs w:val="21"/>
                <w:highlight w:val="none"/>
                <w:lang w:val="en-US" w:eastAsia="zh-CN" w:bidi="ar-SA"/>
              </w:rPr>
              <w:t>3、联合体投标的指牵头人业绩。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continue"/>
            <w:noWrap w:val="0"/>
            <w:vAlign w:val="center"/>
          </w:tcPr>
          <w:p>
            <w:pPr>
              <w:adjustRightInd/>
              <w:spacing w:line="276" w:lineRule="auto"/>
              <w:jc w:val="center"/>
              <w:rPr>
                <w:rFonts w:hint="default" w:ascii="Times New Roman" w:hAnsi="Times New Roman" w:cs="Times New Roman"/>
                <w:color w:val="auto"/>
                <w:sz w:val="18"/>
                <w:szCs w:val="18"/>
                <w:highlight w:val="none"/>
                <w:shd w:val="clear" w:color="auto" w:fill="FFFFFF"/>
              </w:rPr>
            </w:pPr>
          </w:p>
        </w:tc>
        <w:tc>
          <w:tcPr>
            <w:tcW w:w="360" w:type="dxa"/>
            <w:gridSpan w:val="2"/>
            <w:vMerge w:val="continue"/>
            <w:noWrap w:val="0"/>
            <w:vAlign w:val="center"/>
          </w:tcPr>
          <w:p>
            <w:pPr>
              <w:adjustRightInd/>
              <w:spacing w:line="276" w:lineRule="auto"/>
              <w:jc w:val="center"/>
              <w:rPr>
                <w:rFonts w:hint="default" w:ascii="Times New Roman" w:hAnsi="Times New Roman" w:cs="Times New Roman"/>
                <w:color w:val="auto"/>
                <w:sz w:val="18"/>
                <w:szCs w:val="18"/>
                <w:highlight w:val="none"/>
                <w:shd w:val="clear" w:color="auto" w:fill="FFFFFF"/>
              </w:rPr>
            </w:pPr>
          </w:p>
        </w:tc>
        <w:tc>
          <w:tcPr>
            <w:tcW w:w="707" w:type="dxa"/>
            <w:vMerge w:val="restart"/>
            <w:noWrap w:val="0"/>
            <w:vAlign w:val="center"/>
          </w:tcPr>
          <w:p>
            <w:pPr>
              <w:snapToGrid w:val="0"/>
              <w:spacing w:line="360" w:lineRule="exa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履约信誉</w:t>
            </w:r>
          </w:p>
        </w:tc>
        <w:tc>
          <w:tcPr>
            <w:tcW w:w="493" w:type="dxa"/>
            <w:vMerge w:val="restart"/>
            <w:noWrap w:val="0"/>
            <w:vAlign w:val="center"/>
          </w:tcPr>
          <w:p>
            <w:pPr>
              <w:snapToGrid w:val="0"/>
              <w:spacing w:line="360" w:lineRule="exact"/>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10</w:t>
            </w:r>
            <w:r>
              <w:rPr>
                <w:rFonts w:hint="default" w:ascii="Times New Roman" w:hAnsi="Times New Roman" w:cs="Times New Roman"/>
                <w:color w:val="auto"/>
                <w:sz w:val="21"/>
                <w:szCs w:val="21"/>
                <w:highlight w:val="none"/>
                <w:shd w:val="clear" w:color="auto" w:fill="FFFFFF"/>
              </w:rPr>
              <w:t>分</w:t>
            </w:r>
          </w:p>
        </w:tc>
        <w:tc>
          <w:tcPr>
            <w:tcW w:w="1344" w:type="dxa"/>
            <w:noWrap w:val="0"/>
            <w:vAlign w:val="center"/>
          </w:tcPr>
          <w:p>
            <w:pPr>
              <w:snapToGrid w:val="0"/>
              <w:spacing w:line="360" w:lineRule="exa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履约情况</w:t>
            </w:r>
          </w:p>
        </w:tc>
        <w:tc>
          <w:tcPr>
            <w:tcW w:w="709" w:type="dxa"/>
            <w:gridSpan w:val="2"/>
            <w:noWrap w:val="0"/>
            <w:vAlign w:val="center"/>
          </w:tcPr>
          <w:p>
            <w:pPr>
              <w:snapToGrid w:val="0"/>
              <w:spacing w:line="360" w:lineRule="exact"/>
              <w:jc w:val="both"/>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pStyle w:val="10"/>
              <w:kinsoku w:val="0"/>
              <w:overflowPunct w:val="0"/>
              <w:spacing w:before="41" w:line="295" w:lineRule="auto"/>
              <w:ind w:left="99" w:right="184"/>
              <w:rPr>
                <w:rFonts w:hint="default" w:ascii="Times New Roman" w:hAnsi="Times New Roman" w:cs="Times New Roman"/>
                <w:color w:val="auto"/>
                <w:highlight w:val="none"/>
              </w:rPr>
            </w:pPr>
            <w:r>
              <w:rPr>
                <w:rFonts w:hint="default" w:ascii="Times New Roman" w:hAnsi="Times New Roman" w:cs="Times New Roman"/>
                <w:color w:val="auto"/>
                <w:highlight w:val="none"/>
              </w:rPr>
              <w:t>若没出现下述情形得满分（5分） ；自202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月1日至投标文件递交截止日（投标文件递交截止日前1年内），因公路工程勘察设计原因、 履约或招标投标问题等原因被：</w:t>
            </w:r>
          </w:p>
          <w:p>
            <w:pPr>
              <w:pStyle w:val="10"/>
              <w:kinsoku w:val="0"/>
              <w:overflowPunct w:val="0"/>
              <w:spacing w:before="35"/>
              <w:ind w:left="99"/>
              <w:rPr>
                <w:rFonts w:hint="default" w:ascii="Times New Roman" w:hAnsi="Times New Roman" w:cs="Times New Roman"/>
                <w:color w:val="auto"/>
                <w:highlight w:val="none"/>
              </w:rPr>
            </w:pPr>
            <w:r>
              <w:rPr>
                <w:rFonts w:hint="default" w:ascii="Times New Roman" w:hAnsi="Times New Roman" w:cs="Times New Roman"/>
                <w:color w:val="auto"/>
                <w:highlight w:val="none"/>
              </w:rPr>
              <w:t>（1）交通运输部通报批评的，扣5分/次；</w:t>
            </w:r>
          </w:p>
          <w:p>
            <w:pPr>
              <w:pStyle w:val="10"/>
              <w:kinsoku w:val="0"/>
              <w:overflowPunct w:val="0"/>
              <w:spacing w:before="69"/>
              <w:ind w:left="99"/>
              <w:rPr>
                <w:rFonts w:hint="default" w:ascii="Times New Roman" w:hAnsi="Times New Roman" w:cs="Times New Roman"/>
                <w:color w:val="auto"/>
                <w:highlight w:val="none"/>
              </w:rPr>
            </w:pPr>
            <w:r>
              <w:rPr>
                <w:rFonts w:hint="default" w:ascii="Times New Roman" w:hAnsi="Times New Roman" w:cs="Times New Roman"/>
                <w:color w:val="auto"/>
                <w:highlight w:val="none"/>
              </w:rPr>
              <w:t>（2）广东省交通运输厅通报批评的，扣 4分/次；</w:t>
            </w:r>
          </w:p>
          <w:p>
            <w:pPr>
              <w:pStyle w:val="10"/>
              <w:kinsoku w:val="0"/>
              <w:overflowPunct w:val="0"/>
              <w:spacing w:before="26" w:line="360" w:lineRule="exact"/>
              <w:ind w:left="99" w:right="97"/>
              <w:rPr>
                <w:rFonts w:hint="default" w:ascii="Times New Roman" w:hAnsi="Times New Roman" w:cs="Times New Roman"/>
                <w:color w:val="auto"/>
                <w:highlight w:val="none"/>
              </w:rPr>
            </w:pPr>
            <w:r>
              <w:rPr>
                <w:rFonts w:hint="default" w:ascii="Times New Roman" w:hAnsi="Times New Roman" w:cs="Times New Roman"/>
                <w:color w:val="auto"/>
                <w:highlight w:val="none"/>
              </w:rPr>
              <w:t>（3）茂名市交通运输局</w:t>
            </w:r>
            <w:r>
              <w:rPr>
                <w:rFonts w:hint="default" w:ascii="Times New Roman" w:hAnsi="Times New Roman" w:cs="Times New Roman"/>
                <w:color w:val="auto"/>
                <w:highlight w:val="none"/>
                <w:lang w:val="en-US" w:eastAsia="zh-CN"/>
              </w:rPr>
              <w:t>或</w:t>
            </w:r>
            <w:r>
              <w:rPr>
                <w:rFonts w:hint="default" w:ascii="Times New Roman" w:hAnsi="Times New Roman" w:cs="Times New Roman"/>
                <w:color w:val="auto"/>
                <w:highlight w:val="none"/>
              </w:rPr>
              <w:t>茂名市交通运输局</w:t>
            </w:r>
            <w:r>
              <w:rPr>
                <w:rFonts w:hint="default" w:ascii="Times New Roman" w:hAnsi="Times New Roman" w:cs="Times New Roman"/>
                <w:color w:val="auto"/>
                <w:highlight w:val="none"/>
                <w:lang w:val="en-US" w:eastAsia="zh-CN"/>
              </w:rPr>
              <w:t>茂南分局或茂名市茂南区农村公路建设项目管理处</w:t>
            </w:r>
            <w:r>
              <w:rPr>
                <w:rFonts w:hint="default" w:ascii="Times New Roman" w:hAnsi="Times New Roman" w:cs="Times New Roman"/>
                <w:color w:val="auto"/>
                <w:highlight w:val="none"/>
              </w:rPr>
              <w:t>通报批评的，扣 1分/次。</w:t>
            </w:r>
          </w:p>
          <w:p>
            <w:pPr>
              <w:autoSpaceDE w:val="0"/>
              <w:autoSpaceDN w:val="0"/>
              <w:snapToGrid w:val="0"/>
              <w:spacing w:line="360" w:lineRule="exact"/>
              <w:textAlignment w:val="auto"/>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rPr>
              <w:t>注：</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同一事项同时被多个部门通报批评只按最高的扣分计算 1 次，如果扣完本项分值，可以从总分中扣</w:t>
            </w:r>
            <w:r>
              <w:rPr>
                <w:rFonts w:hint="default" w:ascii="Times New Roman" w:hAnsi="Times New Roman" w:cs="Times New Roman"/>
                <w:color w:val="auto"/>
                <w:sz w:val="18"/>
                <w:szCs w:val="18"/>
                <w:highlight w:val="none"/>
                <w:lang w:eastAsia="zh-CN"/>
              </w:rPr>
              <w:t>；</w:t>
            </w:r>
          </w:p>
          <w:p>
            <w:pPr>
              <w:autoSpaceDE w:val="0"/>
              <w:autoSpaceDN w:val="0"/>
              <w:snapToGrid w:val="0"/>
              <w:spacing w:line="360" w:lineRule="exact"/>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2、以联合体形式投标的，若各联合体成员均有上述</w:t>
            </w:r>
          </w:p>
          <w:p>
            <w:pPr>
              <w:autoSpaceDE w:val="0"/>
              <w:autoSpaceDN w:val="0"/>
              <w:snapToGrid w:val="0"/>
              <w:spacing w:line="3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18"/>
                <w:szCs w:val="18"/>
                <w:highlight w:val="none"/>
                <w:lang w:val="en-US" w:eastAsia="zh-CN"/>
              </w:rPr>
              <w:t>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dxa"/>
            <w:vMerge w:val="continue"/>
            <w:noWrap w:val="0"/>
            <w:vAlign w:val="center"/>
          </w:tcPr>
          <w:p>
            <w:pPr>
              <w:adjustRightInd/>
              <w:spacing w:line="276" w:lineRule="auto"/>
              <w:jc w:val="center"/>
              <w:rPr>
                <w:rFonts w:hint="default" w:ascii="Times New Roman" w:hAnsi="Times New Roman" w:cs="Times New Roman"/>
                <w:color w:val="auto"/>
                <w:sz w:val="18"/>
                <w:szCs w:val="18"/>
                <w:highlight w:val="none"/>
                <w:shd w:val="clear" w:color="auto" w:fill="FFFFFF"/>
              </w:rPr>
            </w:pPr>
          </w:p>
        </w:tc>
        <w:tc>
          <w:tcPr>
            <w:tcW w:w="360" w:type="dxa"/>
            <w:gridSpan w:val="2"/>
            <w:vMerge w:val="continue"/>
            <w:noWrap w:val="0"/>
            <w:vAlign w:val="center"/>
          </w:tcPr>
          <w:p>
            <w:pPr>
              <w:adjustRightInd/>
              <w:spacing w:line="276" w:lineRule="auto"/>
              <w:jc w:val="center"/>
              <w:rPr>
                <w:rFonts w:hint="default" w:ascii="Times New Roman" w:hAnsi="Times New Roman" w:cs="Times New Roman"/>
                <w:color w:val="auto"/>
                <w:sz w:val="18"/>
                <w:szCs w:val="18"/>
                <w:highlight w:val="none"/>
                <w:shd w:val="clear" w:color="auto" w:fill="FFFFFF"/>
              </w:rPr>
            </w:pPr>
          </w:p>
        </w:tc>
        <w:tc>
          <w:tcPr>
            <w:tcW w:w="707" w:type="dxa"/>
            <w:vMerge w:val="continue"/>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p>
        </w:tc>
        <w:tc>
          <w:tcPr>
            <w:tcW w:w="493" w:type="dxa"/>
            <w:vMerge w:val="continue"/>
            <w:noWrap w:val="0"/>
            <w:vAlign w:val="center"/>
          </w:tcPr>
          <w:p>
            <w:pPr>
              <w:spacing w:line="276" w:lineRule="auto"/>
              <w:jc w:val="center"/>
              <w:rPr>
                <w:rFonts w:hint="default" w:ascii="Times New Roman" w:hAnsi="Times New Roman" w:cs="Times New Roman"/>
                <w:color w:val="auto"/>
                <w:sz w:val="21"/>
                <w:szCs w:val="21"/>
                <w:highlight w:val="none"/>
                <w:u w:val="single"/>
                <w:shd w:val="clear" w:color="auto" w:fill="FFFFFF"/>
              </w:rPr>
            </w:pPr>
          </w:p>
        </w:tc>
        <w:tc>
          <w:tcPr>
            <w:tcW w:w="1344" w:type="dxa"/>
            <w:noWrap w:val="0"/>
            <w:vAlign w:val="center"/>
          </w:tcPr>
          <w:p>
            <w:pPr>
              <w:adjustRightInd/>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信用评价</w:t>
            </w:r>
          </w:p>
        </w:tc>
        <w:tc>
          <w:tcPr>
            <w:tcW w:w="709" w:type="dxa"/>
            <w:gridSpan w:val="2"/>
            <w:noWrap w:val="0"/>
            <w:vAlign w:val="center"/>
          </w:tcPr>
          <w:p>
            <w:pPr>
              <w:adjustRightInd/>
              <w:spacing w:line="276"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分</w:t>
            </w:r>
          </w:p>
        </w:tc>
        <w:tc>
          <w:tcPr>
            <w:tcW w:w="5127" w:type="dxa"/>
            <w:noWrap w:val="0"/>
            <w:vAlign w:val="center"/>
          </w:tcPr>
          <w:p>
            <w:pPr>
              <w:adjustRightInd/>
              <w:spacing w:line="360" w:lineRule="auto"/>
              <w:textAlignment w:val="auto"/>
              <w:rPr>
                <w:rFonts w:hint="default" w:ascii="Times New Roman" w:hAnsi="Times New Roman" w:cs="Times New Roman"/>
                <w:color w:val="auto"/>
                <w:sz w:val="21"/>
                <w:szCs w:val="21"/>
                <w:highlight w:val="none"/>
                <w:shd w:val="clear" w:color="auto" w:fill="FFFFFF"/>
                <w:lang w:val="zh-CN"/>
              </w:rPr>
            </w:pPr>
            <w:r>
              <w:rPr>
                <w:rFonts w:hint="default" w:ascii="Times New Roman" w:hAnsi="Times New Roman" w:cs="Times New Roman"/>
                <w:color w:val="auto"/>
                <w:sz w:val="21"/>
                <w:szCs w:val="21"/>
                <w:highlight w:val="none"/>
                <w:shd w:val="clear" w:color="auto" w:fill="FFFFFF"/>
                <w:lang w:val="zh-CN"/>
              </w:rPr>
              <w:t>信用等级分值（</w:t>
            </w:r>
            <w:r>
              <w:rPr>
                <w:rFonts w:hint="default" w:ascii="Times New Roman" w:hAnsi="Times New Roman" w:cs="Times New Roman"/>
                <w:color w:val="auto"/>
                <w:sz w:val="21"/>
                <w:szCs w:val="21"/>
                <w:highlight w:val="none"/>
                <w:u w:val="single"/>
                <w:shd w:val="clear" w:color="auto" w:fill="FFFFFF"/>
                <w:lang w:val="zh-CN"/>
              </w:rPr>
              <w:t>5</w:t>
            </w:r>
            <w:r>
              <w:rPr>
                <w:rFonts w:hint="default" w:ascii="Times New Roman" w:hAnsi="Times New Roman" w:cs="Times New Roman"/>
                <w:color w:val="auto"/>
                <w:sz w:val="21"/>
                <w:szCs w:val="21"/>
                <w:highlight w:val="none"/>
                <w:shd w:val="clear" w:color="auto" w:fill="FFFFFF"/>
                <w:lang w:val="zh-CN"/>
              </w:rPr>
              <w:t>分）</w:t>
            </w:r>
          </w:p>
          <w:p>
            <w:pPr>
              <w:adjustRightInd/>
              <w:spacing w:line="360" w:lineRule="auto"/>
              <w:jc w:val="both"/>
              <w:rPr>
                <w:rFonts w:hint="default" w:ascii="Times New Roman" w:hAnsi="Times New Roman" w:cs="Times New Roman"/>
                <w:color w:val="auto"/>
                <w:sz w:val="21"/>
                <w:szCs w:val="21"/>
                <w:highlight w:val="none"/>
                <w:shd w:val="clear" w:color="auto" w:fill="FFFFFF"/>
                <w:lang w:val="zh-CN"/>
              </w:rPr>
            </w:pPr>
            <w:r>
              <w:rPr>
                <w:rFonts w:hint="default" w:ascii="Times New Roman" w:hAnsi="Times New Roman" w:cs="Times New Roman"/>
                <w:color w:val="auto"/>
                <w:sz w:val="21"/>
                <w:szCs w:val="21"/>
                <w:highlight w:val="none"/>
                <w:shd w:val="clear" w:color="auto" w:fill="FFFFFF"/>
                <w:lang w:val="zh-CN"/>
              </w:rPr>
              <w:t>信用等级为AA、A、B、C级单位的得分分别为</w:t>
            </w:r>
            <w:r>
              <w:rPr>
                <w:rFonts w:hint="default" w:ascii="Times New Roman" w:hAnsi="Times New Roman" w:cs="Times New Roman"/>
                <w:color w:val="auto"/>
                <w:sz w:val="21"/>
                <w:szCs w:val="21"/>
                <w:highlight w:val="none"/>
                <w:u w:val="single"/>
                <w:shd w:val="clear" w:color="auto" w:fill="FFFFFF"/>
                <w:lang w:val="zh-CN"/>
              </w:rPr>
              <w:t>5</w:t>
            </w:r>
            <w:r>
              <w:rPr>
                <w:rFonts w:hint="default" w:ascii="Times New Roman" w:hAnsi="Times New Roman" w:cs="Times New Roman"/>
                <w:color w:val="auto"/>
                <w:sz w:val="21"/>
                <w:szCs w:val="21"/>
                <w:highlight w:val="none"/>
                <w:shd w:val="clear" w:color="auto" w:fill="FFFFFF"/>
                <w:lang w:val="zh-CN"/>
              </w:rPr>
              <w:t>、</w:t>
            </w:r>
            <w:r>
              <w:rPr>
                <w:rFonts w:hint="default" w:ascii="Times New Roman" w:hAnsi="Times New Roman" w:cs="Times New Roman"/>
                <w:color w:val="auto"/>
                <w:sz w:val="21"/>
                <w:szCs w:val="21"/>
                <w:highlight w:val="none"/>
                <w:u w:val="single"/>
                <w:shd w:val="clear" w:color="auto" w:fill="FFFFFF"/>
                <w:lang w:val="zh-CN"/>
              </w:rPr>
              <w:t>4.75</w:t>
            </w:r>
            <w:r>
              <w:rPr>
                <w:rFonts w:hint="default" w:ascii="Times New Roman" w:hAnsi="Times New Roman" w:cs="Times New Roman"/>
                <w:color w:val="auto"/>
                <w:sz w:val="21"/>
                <w:szCs w:val="21"/>
                <w:highlight w:val="none"/>
                <w:shd w:val="clear" w:color="auto" w:fill="FFFFFF"/>
                <w:lang w:val="zh-CN"/>
              </w:rPr>
              <w:t>、</w:t>
            </w:r>
            <w:r>
              <w:rPr>
                <w:rFonts w:hint="default" w:ascii="Times New Roman" w:hAnsi="Times New Roman" w:cs="Times New Roman"/>
                <w:color w:val="auto"/>
                <w:sz w:val="21"/>
                <w:szCs w:val="21"/>
                <w:highlight w:val="none"/>
                <w:u w:val="single"/>
                <w:shd w:val="clear" w:color="auto" w:fill="FFFFFF"/>
                <w:lang w:val="zh-CN"/>
              </w:rPr>
              <w:t>4.45</w:t>
            </w:r>
            <w:r>
              <w:rPr>
                <w:rFonts w:hint="default" w:ascii="Times New Roman" w:hAnsi="Times New Roman" w:cs="Times New Roman"/>
                <w:color w:val="auto"/>
                <w:sz w:val="21"/>
                <w:szCs w:val="21"/>
                <w:highlight w:val="none"/>
                <w:shd w:val="clear" w:color="auto" w:fill="FFFFFF"/>
                <w:lang w:val="zh-CN"/>
              </w:rPr>
              <w:t>、</w:t>
            </w:r>
            <w:r>
              <w:rPr>
                <w:rFonts w:hint="default" w:ascii="Times New Roman" w:hAnsi="Times New Roman" w:cs="Times New Roman"/>
                <w:color w:val="auto"/>
                <w:sz w:val="21"/>
                <w:szCs w:val="21"/>
                <w:highlight w:val="none"/>
                <w:u w:val="single"/>
                <w:shd w:val="clear" w:color="auto" w:fill="FFFFFF"/>
                <w:lang w:val="zh-CN"/>
              </w:rPr>
              <w:t>3.65</w:t>
            </w:r>
            <w:r>
              <w:rPr>
                <w:rFonts w:hint="default" w:ascii="Times New Roman" w:hAnsi="Times New Roman" w:cs="Times New Roman"/>
                <w:color w:val="auto"/>
                <w:sz w:val="21"/>
                <w:szCs w:val="21"/>
                <w:highlight w:val="none"/>
                <w:shd w:val="clear" w:color="auto" w:fill="FFFFFF"/>
                <w:lang w:val="zh-CN"/>
              </w:rPr>
              <w:t>分。</w:t>
            </w:r>
          </w:p>
          <w:p>
            <w:pPr>
              <w:adjustRightInd/>
              <w:spacing w:line="240" w:lineRule="auto"/>
              <w:jc w:val="both"/>
              <w:rPr>
                <w:rFonts w:hint="default" w:ascii="Times New Roman" w:hAnsi="Times New Roman" w:cs="Times New Roman"/>
                <w:color w:val="auto"/>
                <w:sz w:val="18"/>
                <w:szCs w:val="18"/>
                <w:highlight w:val="none"/>
                <w:shd w:val="clear" w:color="auto" w:fill="FFFFFF"/>
              </w:rPr>
            </w:pPr>
            <w:r>
              <w:rPr>
                <w:rFonts w:hint="default" w:ascii="Times New Roman" w:hAnsi="Times New Roman" w:cs="Times New Roman"/>
                <w:color w:val="auto"/>
                <w:sz w:val="18"/>
                <w:szCs w:val="18"/>
                <w:highlight w:val="none"/>
                <w:shd w:val="clear" w:color="auto" w:fill="FFFFFF"/>
                <w:lang w:val="zh-CN"/>
              </w:rPr>
              <w:t>注：信用等级的确定原则遵循投标人须知前附表10.2款的规定。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542" w:type="dxa"/>
            <w:gridSpan w:val="9"/>
            <w:noWrap w:val="0"/>
            <w:vAlign w:val="center"/>
          </w:tcPr>
          <w:p>
            <w:pPr>
              <w:spacing w:line="276" w:lineRule="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6" w:type="dxa"/>
            <w:gridSpan w:val="2"/>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条款号</w:t>
            </w:r>
          </w:p>
        </w:tc>
        <w:tc>
          <w:tcPr>
            <w:tcW w:w="8656" w:type="dxa"/>
            <w:gridSpan w:val="7"/>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6" w:type="dxa"/>
            <w:gridSpan w:val="2"/>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w:t>
            </w:r>
          </w:p>
        </w:tc>
        <w:tc>
          <w:tcPr>
            <w:tcW w:w="8656" w:type="dxa"/>
            <w:gridSpan w:val="7"/>
            <w:noWrap w:val="0"/>
            <w:vAlign w:val="center"/>
          </w:tcPr>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将评标办法范本原文第1条“评标方法”改为“评标方法、组织及工作程序”，并且原文内容修改如下：</w:t>
            </w:r>
          </w:p>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1.1评标方法</w:t>
            </w:r>
          </w:p>
          <w:p>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1.2评标组织</w:t>
            </w:r>
          </w:p>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1.2.1协助工作组</w:t>
            </w:r>
          </w:p>
          <w:p>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招标人可在评标工作开始前成立协助工作组，选派熟悉招标工作、政治素质高的人员组成，协助评标委员会工作。协助工作组人员的具体数量由招标人视评标工作量确定。</w:t>
            </w:r>
          </w:p>
          <w:p>
            <w:pPr>
              <w:keepNext w:val="0"/>
              <w:keepLines w:val="0"/>
              <w:pageBreakBefore w:val="0"/>
              <w:widowControl w:val="0"/>
              <w:kinsoku/>
              <w:wordWrap/>
              <w:overflowPunct/>
              <w:topLinePunct w:val="0"/>
              <w:autoSpaceDE/>
              <w:autoSpaceDN/>
              <w:bidi w:val="0"/>
              <w:adjustRightInd w:val="0"/>
              <w:snapToGrid/>
              <w:spacing w:line="380" w:lineRule="exact"/>
              <w:ind w:firstLine="485"/>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招标人可以协助评标委员会开展下列工作并提供相关信息：</w:t>
            </w:r>
          </w:p>
          <w:p>
            <w:pPr>
              <w:keepNext w:val="0"/>
              <w:keepLines w:val="0"/>
              <w:pageBreakBefore w:val="0"/>
              <w:widowControl w:val="0"/>
              <w:kinsoku/>
              <w:wordWrap/>
              <w:overflowPunct/>
              <w:topLinePunct w:val="0"/>
              <w:autoSpaceDE/>
              <w:autoSpaceDN/>
              <w:bidi w:val="0"/>
              <w:adjustRightInd w:val="0"/>
              <w:snapToGrid/>
              <w:spacing w:line="380" w:lineRule="exact"/>
              <w:ind w:firstLine="485"/>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（1）根据招标文件，编制评标使用的相应表格；</w:t>
            </w:r>
          </w:p>
          <w:p>
            <w:pPr>
              <w:keepNext w:val="0"/>
              <w:keepLines w:val="0"/>
              <w:pageBreakBefore w:val="0"/>
              <w:widowControl w:val="0"/>
              <w:kinsoku/>
              <w:wordWrap/>
              <w:overflowPunct/>
              <w:topLinePunct w:val="0"/>
              <w:autoSpaceDE/>
              <w:autoSpaceDN/>
              <w:bidi w:val="0"/>
              <w:adjustRightInd w:val="0"/>
              <w:snapToGrid/>
              <w:spacing w:line="380" w:lineRule="exact"/>
              <w:ind w:firstLine="485"/>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（2）对投标报价进行算术性校核（如采用固化工程量清单，本步骤省略）；</w:t>
            </w:r>
          </w:p>
          <w:p>
            <w:pPr>
              <w:keepNext w:val="0"/>
              <w:keepLines w:val="0"/>
              <w:pageBreakBefore w:val="0"/>
              <w:widowControl w:val="0"/>
              <w:kinsoku/>
              <w:wordWrap/>
              <w:overflowPunct/>
              <w:topLinePunct w:val="0"/>
              <w:autoSpaceDE/>
              <w:autoSpaceDN/>
              <w:bidi w:val="0"/>
              <w:adjustRightInd w:val="0"/>
              <w:snapToGrid/>
              <w:spacing w:line="380" w:lineRule="exact"/>
              <w:ind w:firstLine="485"/>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（3）以评标标准和方法为依据，列出投标文件相对于招标文件的所有偏差，并进行归类汇总；</w:t>
            </w:r>
          </w:p>
          <w:p>
            <w:pPr>
              <w:keepNext w:val="0"/>
              <w:keepLines w:val="0"/>
              <w:pageBreakBefore w:val="0"/>
              <w:widowControl w:val="0"/>
              <w:kinsoku/>
              <w:wordWrap/>
              <w:overflowPunct/>
              <w:topLinePunct w:val="0"/>
              <w:autoSpaceDE/>
              <w:autoSpaceDN/>
              <w:bidi w:val="0"/>
              <w:adjustRightInd w:val="0"/>
              <w:snapToGrid/>
              <w:spacing w:line="380" w:lineRule="exact"/>
              <w:ind w:firstLine="485"/>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（4）查询全国公路建设市场信用信息管理系统，对投标人的资质、业绩、信用等级进行核实。</w:t>
            </w:r>
          </w:p>
          <w:p>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招标人不得对投标文件作出任何评价，不得故意遗漏或者片面摘录，不得在评标委员会对所有偏差定性之前透露存有偏差的投标人名称。</w:t>
            </w:r>
          </w:p>
          <w:p>
            <w:pPr>
              <w:keepNext w:val="0"/>
              <w:keepLines w:val="0"/>
              <w:pageBreakBefore w:val="0"/>
              <w:widowControl w:val="0"/>
              <w:kinsoku/>
              <w:wordWrap/>
              <w:overflowPunct/>
              <w:topLinePunct w:val="0"/>
              <w:autoSpaceDE/>
              <w:autoSpaceDN/>
              <w:bidi w:val="0"/>
              <w:adjustRightInd w:val="0"/>
              <w:snapToGrid/>
              <w:spacing w:line="380" w:lineRule="exact"/>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1.2.2评标委员会</w:t>
            </w:r>
          </w:p>
          <w:p>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评标委员会的组建按投标人须知第6.1.1项执行。评标委员会的主要工作内容包括：</w:t>
            </w:r>
          </w:p>
          <w:p>
            <w:pPr>
              <w:keepNext w:val="0"/>
              <w:keepLines w:val="0"/>
              <w:pageBreakBefore w:val="0"/>
              <w:widowControl w:val="0"/>
              <w:kinsoku/>
              <w:wordWrap/>
              <w:overflowPunct/>
              <w:topLinePunct w:val="0"/>
              <w:autoSpaceDE/>
              <w:autoSpaceDN/>
              <w:bidi w:val="0"/>
              <w:adjustRightInd w:val="0"/>
              <w:snapToGrid/>
              <w:spacing w:line="380" w:lineRule="exact"/>
              <w:ind w:firstLine="210" w:firstLineChars="1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（1）评标委员会开始评标工作之前，首先听取招标人、协助工作组关于工程情况和辅助工作的说明，并认真研读招标文件，获取评标所需的重要信息和数据；</w:t>
            </w:r>
          </w:p>
          <w:p>
            <w:pPr>
              <w:keepNext w:val="0"/>
              <w:keepLines w:val="0"/>
              <w:pageBreakBefore w:val="0"/>
              <w:widowControl w:val="0"/>
              <w:kinsoku/>
              <w:wordWrap/>
              <w:overflowPunct/>
              <w:topLinePunct w:val="0"/>
              <w:autoSpaceDE/>
              <w:autoSpaceDN/>
              <w:bidi w:val="0"/>
              <w:adjustRightInd w:val="0"/>
              <w:snapToGrid/>
              <w:spacing w:line="380" w:lineRule="exact"/>
              <w:ind w:firstLine="210" w:firstLineChars="1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（2）对协助工作组提供的评标工作用表和评标内容进行核查。</w:t>
            </w:r>
          </w:p>
          <w:p>
            <w:pPr>
              <w:keepNext w:val="0"/>
              <w:keepLines w:val="0"/>
              <w:pageBreakBefore w:val="0"/>
              <w:widowControl w:val="0"/>
              <w:kinsoku/>
              <w:wordWrap/>
              <w:overflowPunct/>
              <w:topLinePunct w:val="0"/>
              <w:autoSpaceDE/>
              <w:autoSpaceDN/>
              <w:bidi w:val="0"/>
              <w:adjustRightInd w:val="0"/>
              <w:snapToGrid/>
              <w:spacing w:line="380" w:lineRule="exact"/>
              <w:ind w:firstLine="210" w:firstLineChars="100"/>
              <w:textAlignment w:val="baseline"/>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（3）按照评标程序进行各项评审工作。</w:t>
            </w:r>
          </w:p>
        </w:tc>
      </w:tr>
    </w:tbl>
    <w:p>
      <w:pPr>
        <w:jc w:val="right"/>
        <w:rPr>
          <w:rFonts w:hint="default" w:ascii="Times New Roman" w:hAnsi="Times New Roman" w:cs="Times New Roman"/>
          <w:color w:val="auto"/>
          <w:highlight w:val="none"/>
          <w:shd w:val="clear" w:color="auto" w:fill="FFFFFF"/>
        </w:rPr>
      </w:pPr>
    </w:p>
    <w:p>
      <w:pPr>
        <w:jc w:val="right"/>
        <w:rPr>
          <w:rFonts w:hint="default" w:ascii="Times New Roman" w:hAnsi="Times New Roman" w:cs="Times New Roman"/>
          <w:color w:val="auto"/>
          <w:highlight w:val="none"/>
          <w:shd w:val="clear" w:color="auto" w:fill="FFFFFF"/>
        </w:rPr>
      </w:pPr>
    </w:p>
    <w:p>
      <w:pPr>
        <w:jc w:val="right"/>
        <w:rPr>
          <w:rFonts w:hint="default" w:ascii="Times New Roman" w:hAnsi="Times New Roman" w:cs="Times New Roman"/>
          <w:color w:val="auto"/>
          <w:highlight w:val="none"/>
          <w:shd w:val="clear" w:color="auto" w:fill="FFFFFF"/>
        </w:rPr>
      </w:pPr>
    </w:p>
    <w:p>
      <w:pPr>
        <w:jc w:val="right"/>
        <w:rPr>
          <w:rFonts w:hint="default" w:ascii="Times New Roman" w:hAnsi="Times New Roman" w:cs="Times New Roman"/>
          <w:color w:val="auto"/>
          <w:highlight w:val="none"/>
          <w:shd w:val="clear" w:color="auto" w:fill="FFFFFF"/>
        </w:rPr>
      </w:pPr>
    </w:p>
    <w:p>
      <w:pPr>
        <w:jc w:val="righ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35"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条款号</w:t>
            </w:r>
          </w:p>
        </w:tc>
        <w:tc>
          <w:tcPr>
            <w:tcW w:w="7687" w:type="dxa"/>
            <w:noWrap w:val="0"/>
            <w:vAlign w:val="center"/>
          </w:tcPr>
          <w:p>
            <w:pPr>
              <w:spacing w:line="276" w:lineRule="auto"/>
              <w:ind w:firstLine="422" w:firstLineChars="200"/>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b/>
                <w:color w:val="auto"/>
                <w:sz w:val="21"/>
                <w:szCs w:val="21"/>
                <w:highlight w:val="none"/>
                <w:shd w:val="clear" w:color="auto" w:fill="FFFFFF"/>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35"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3.2.3</w:t>
            </w:r>
          </w:p>
        </w:tc>
        <w:tc>
          <w:tcPr>
            <w:tcW w:w="7687" w:type="dxa"/>
            <w:noWrap w:val="0"/>
            <w:vAlign w:val="center"/>
          </w:tcPr>
          <w:p>
            <w:pPr>
              <w:spacing w:line="307" w:lineRule="auto"/>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将评标办法范本原文第3.2.3款细化如下：</w:t>
            </w:r>
          </w:p>
          <w:p>
            <w:pPr>
              <w:spacing w:line="307"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投标人的商务和技术得分=A+B+D。</w:t>
            </w:r>
          </w:p>
          <w:p>
            <w:pPr>
              <w:spacing w:line="307"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各评分因素（评标价、履约信誉、技术建议书评分项除外）及其各评审因素细分项的得分一般不得低于其权重分值的60%（技术建议书的各评审因素细分项的得分一般不得低于其权重分值的</w:t>
            </w:r>
            <w:r>
              <w:rPr>
                <w:rFonts w:hint="default" w:ascii="Times New Roman" w:hAnsi="Times New Roman" w:cs="Times New Roman"/>
                <w:color w:val="auto"/>
                <w:sz w:val="21"/>
                <w:szCs w:val="21"/>
                <w:highlight w:val="none"/>
                <w:shd w:val="clear" w:color="auto" w:fill="FFFFFF"/>
                <w:lang w:val="en-US" w:eastAsia="zh-CN"/>
              </w:rPr>
              <w:t>9</w:t>
            </w:r>
            <w:r>
              <w:rPr>
                <w:rFonts w:hint="default" w:ascii="Times New Roman" w:hAnsi="Times New Roman" w:cs="Times New Roman"/>
                <w:color w:val="auto"/>
                <w:sz w:val="21"/>
                <w:szCs w:val="21"/>
                <w:highlight w:val="none"/>
                <w:shd w:val="clear" w:color="auto" w:fill="FFFFFF"/>
              </w:rPr>
              <w:t>0%），评分低于上述权重分值百分比的，评标委员会成员应当在评标报告中作出说明。</w:t>
            </w:r>
          </w:p>
          <w:p>
            <w:pPr>
              <w:spacing w:line="307" w:lineRule="auto"/>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计算投标人技术得分时：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35"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lang w:val="zh-CN"/>
              </w:rPr>
              <w:t>3.6</w:t>
            </w:r>
          </w:p>
        </w:tc>
        <w:tc>
          <w:tcPr>
            <w:tcW w:w="7687" w:type="dxa"/>
            <w:noWrap w:val="0"/>
            <w:vAlign w:val="center"/>
          </w:tcPr>
          <w:p>
            <w:pPr>
              <w:spacing w:line="307" w:lineRule="auto"/>
              <w:rPr>
                <w:rFonts w:hint="default" w:ascii="Times New Roman" w:hAnsi="Times New Roman" w:cs="Times New Roman"/>
                <w:color w:val="auto"/>
                <w:sz w:val="21"/>
                <w:szCs w:val="21"/>
                <w:highlight w:val="none"/>
                <w:shd w:val="clear" w:color="auto" w:fill="FFFFFF"/>
                <w:lang w:val="zh-CN"/>
              </w:rPr>
            </w:pPr>
            <w:r>
              <w:rPr>
                <w:rFonts w:hint="default" w:ascii="Times New Roman" w:hAnsi="Times New Roman" w:cs="Times New Roman"/>
                <w:color w:val="auto"/>
                <w:sz w:val="21"/>
                <w:szCs w:val="21"/>
                <w:highlight w:val="none"/>
                <w:shd w:val="clear" w:color="auto" w:fill="FFFFFF"/>
              </w:rPr>
              <w:t>评标办法范本原文</w:t>
            </w:r>
            <w:r>
              <w:rPr>
                <w:rFonts w:hint="default" w:ascii="Times New Roman" w:hAnsi="Times New Roman" w:cs="Times New Roman"/>
                <w:color w:val="auto"/>
                <w:sz w:val="21"/>
                <w:szCs w:val="21"/>
                <w:highlight w:val="none"/>
                <w:shd w:val="clear" w:color="auto" w:fill="FFFFFF"/>
                <w:lang w:val="zh-CN"/>
              </w:rPr>
              <w:t>增加3.6.3款：</w:t>
            </w:r>
          </w:p>
          <w:p>
            <w:pPr>
              <w:pStyle w:val="5"/>
              <w:snapToGrid w:val="0"/>
              <w:spacing w:line="307" w:lineRule="auto"/>
              <w:ind w:left="44" w:leftChars="21" w:firstLine="432" w:firstLineChars="206"/>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lang w:val="zh-CN"/>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35" w:type="dxa"/>
            <w:noWrap w:val="0"/>
            <w:vAlign w:val="center"/>
          </w:tcPr>
          <w:p>
            <w:pPr>
              <w:spacing w:line="276" w:lineRule="auto"/>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3.9</w:t>
            </w:r>
          </w:p>
        </w:tc>
        <w:tc>
          <w:tcPr>
            <w:tcW w:w="7687" w:type="dxa"/>
            <w:noWrap w:val="0"/>
            <w:vAlign w:val="center"/>
          </w:tcPr>
          <w:p>
            <w:pPr>
              <w:snapToGrid w:val="0"/>
              <w:spacing w:line="307" w:lineRule="auto"/>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评标办法范本原文</w:t>
            </w:r>
            <w:r>
              <w:rPr>
                <w:rFonts w:hint="default" w:ascii="Times New Roman" w:hAnsi="Times New Roman" w:cs="Times New Roman"/>
                <w:bCs/>
                <w:color w:val="auto"/>
                <w:sz w:val="21"/>
                <w:szCs w:val="21"/>
                <w:highlight w:val="none"/>
                <w:shd w:val="clear" w:color="auto" w:fill="FFFFFF"/>
              </w:rPr>
              <w:t>增加3.9.3</w:t>
            </w:r>
            <w:r>
              <w:rPr>
                <w:rFonts w:hint="default" w:ascii="Times New Roman" w:hAnsi="Times New Roman" w:cs="Times New Roman"/>
                <w:color w:val="auto"/>
                <w:sz w:val="21"/>
                <w:szCs w:val="21"/>
                <w:highlight w:val="none"/>
                <w:shd w:val="clear" w:color="auto" w:fill="FFFFFF"/>
                <w:lang w:val="zh-CN"/>
              </w:rPr>
              <w:t>款</w:t>
            </w:r>
            <w:r>
              <w:rPr>
                <w:rFonts w:hint="default" w:ascii="Times New Roman" w:hAnsi="Times New Roman" w:cs="Times New Roman"/>
                <w:bCs/>
                <w:color w:val="auto"/>
                <w:sz w:val="21"/>
                <w:szCs w:val="21"/>
                <w:highlight w:val="none"/>
                <w:shd w:val="clear" w:color="auto" w:fill="FFFFFF"/>
              </w:rPr>
              <w:t>-3.9.</w:t>
            </w:r>
            <w:r>
              <w:rPr>
                <w:rFonts w:hint="default" w:ascii="Times New Roman" w:hAnsi="Times New Roman" w:eastAsia="宋体" w:cs="Times New Roman"/>
                <w:bCs/>
                <w:color w:val="auto"/>
                <w:sz w:val="21"/>
                <w:szCs w:val="21"/>
                <w:highlight w:val="none"/>
                <w:shd w:val="clear" w:color="auto" w:fill="FFFFFF"/>
                <w:lang w:val="en-US" w:eastAsia="zh-CN"/>
              </w:rPr>
              <w:t>5</w:t>
            </w:r>
            <w:r>
              <w:rPr>
                <w:rFonts w:hint="default" w:ascii="Times New Roman" w:hAnsi="Times New Roman" w:cs="Times New Roman"/>
                <w:bCs/>
                <w:color w:val="auto"/>
                <w:sz w:val="21"/>
                <w:szCs w:val="21"/>
                <w:highlight w:val="none"/>
                <w:shd w:val="clear" w:color="auto" w:fill="FFFFFF"/>
              </w:rPr>
              <w:t>款：</w:t>
            </w:r>
          </w:p>
          <w:p>
            <w:pPr>
              <w:snapToGrid w:val="0"/>
              <w:spacing w:line="307" w:lineRule="auto"/>
              <w:ind w:firstLine="432" w:firstLineChars="206"/>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3.9.</w:t>
            </w:r>
            <w:r>
              <w:rPr>
                <w:rFonts w:hint="default" w:ascii="Times New Roman" w:hAnsi="Times New Roman" w:eastAsia="宋体" w:cs="Times New Roman"/>
                <w:color w:val="auto"/>
                <w:sz w:val="21"/>
                <w:szCs w:val="21"/>
                <w:highlight w:val="none"/>
                <w:shd w:val="clear" w:color="auto" w:fill="FFFFFF"/>
                <w:lang w:val="en-US" w:eastAsia="zh-CN"/>
              </w:rPr>
              <w:t>3</w:t>
            </w:r>
            <w:r>
              <w:rPr>
                <w:rFonts w:hint="default" w:ascii="Times New Roman" w:hAnsi="Times New Roman" w:cs="Times New Roman"/>
                <w:color w:val="auto"/>
                <w:sz w:val="21"/>
                <w:szCs w:val="21"/>
                <w:highlight w:val="none"/>
                <w:shd w:val="clear" w:color="auto" w:fill="FFFFFF"/>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07" w:lineRule="auto"/>
              <w:ind w:firstLine="424" w:firstLineChars="202"/>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3.9.</w:t>
            </w:r>
            <w:r>
              <w:rPr>
                <w:rFonts w:hint="default" w:ascii="Times New Roman" w:hAnsi="Times New Roman" w:eastAsia="宋体" w:cs="Times New Roman"/>
                <w:color w:val="auto"/>
                <w:sz w:val="21"/>
                <w:szCs w:val="21"/>
                <w:highlight w:val="none"/>
                <w:shd w:val="clear" w:color="auto" w:fill="FFFFFF"/>
                <w:lang w:val="en-US" w:eastAsia="zh-CN"/>
              </w:rPr>
              <w:t>4</w:t>
            </w:r>
            <w:r>
              <w:rPr>
                <w:rFonts w:hint="default" w:ascii="Times New Roman" w:hAnsi="Times New Roman" w:cs="Times New Roman"/>
                <w:color w:val="auto"/>
                <w:sz w:val="21"/>
                <w:szCs w:val="21"/>
                <w:highlight w:val="none"/>
                <w:shd w:val="clear" w:color="auto" w:fill="FFFFFF"/>
              </w:rPr>
              <w:t>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pStyle w:val="5"/>
              <w:snapToGrid w:val="0"/>
              <w:spacing w:line="307" w:lineRule="auto"/>
              <w:ind w:left="44" w:leftChars="21" w:firstLine="432" w:firstLineChars="206"/>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3.9.</w:t>
            </w:r>
            <w:r>
              <w:rPr>
                <w:rFonts w:hint="default" w:ascii="Times New Roman" w:hAnsi="Times New Roman" w:eastAsia="宋体" w:cs="Times New Roman"/>
                <w:color w:val="auto"/>
                <w:sz w:val="21"/>
                <w:szCs w:val="21"/>
                <w:highlight w:val="none"/>
                <w:shd w:val="clear" w:color="auto" w:fill="FFFFFF"/>
                <w:lang w:val="en-US" w:eastAsia="zh-CN"/>
              </w:rPr>
              <w:t>5</w:t>
            </w:r>
            <w:r>
              <w:rPr>
                <w:rFonts w:hint="default" w:ascii="Times New Roman" w:hAnsi="Times New Roman" w:cs="Times New Roman"/>
                <w:color w:val="auto"/>
                <w:sz w:val="21"/>
                <w:szCs w:val="21"/>
                <w:highlight w:val="none"/>
                <w:shd w:val="clear" w:color="auto" w:fill="FFFFFF"/>
              </w:rPr>
              <w:t>如果发生无法确定推荐中标候选人的其它意外情况，评标委员会可建议招标人重新招标。</w:t>
            </w:r>
          </w:p>
        </w:tc>
      </w:tr>
    </w:tbl>
    <w:p>
      <w:pPr>
        <w:pStyle w:val="4"/>
        <w:spacing w:before="240" w:after="240" w:line="240" w:lineRule="atLeast"/>
        <w:rPr>
          <w:rFonts w:hint="default" w:ascii="Times New Roman" w:hAnsi="Times New Roman" w:eastAsia="黑体" w:cs="Times New Roman"/>
          <w:b w:val="0"/>
          <w:color w:val="auto"/>
          <w:sz w:val="28"/>
          <w:szCs w:val="28"/>
          <w:highlight w:val="none"/>
          <w:shd w:val="clear" w:color="auto" w:fill="FFFFFF"/>
        </w:rPr>
      </w:pPr>
      <w:r>
        <w:rPr>
          <w:rFonts w:hint="default" w:ascii="Times New Roman" w:hAnsi="Times New Roman" w:cs="Times New Roman"/>
          <w:color w:val="auto"/>
          <w:highlight w:val="none"/>
          <w:shd w:val="clear" w:color="auto" w:fill="FFFFFF"/>
        </w:rPr>
        <w:br w:type="page"/>
      </w:r>
      <w:bookmarkStart w:id="1" w:name="_Toc509993883"/>
      <w:bookmarkStart w:id="2" w:name="_Toc234832944"/>
      <w:r>
        <w:rPr>
          <w:rFonts w:hint="default" w:ascii="Times New Roman" w:hAnsi="Times New Roman" w:eastAsia="黑体" w:cs="Times New Roman"/>
          <w:b w:val="0"/>
          <w:color w:val="auto"/>
          <w:sz w:val="28"/>
          <w:szCs w:val="28"/>
          <w:highlight w:val="none"/>
          <w:shd w:val="clear" w:color="auto" w:fill="FFFFFF"/>
        </w:rPr>
        <w:t>1. 评标方法</w:t>
      </w:r>
      <w:bookmarkEnd w:id="1"/>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4"/>
        <w:spacing w:before="360" w:after="240" w:line="240" w:lineRule="atLeast"/>
        <w:rPr>
          <w:rFonts w:hint="default" w:ascii="Times New Roman" w:hAnsi="Times New Roman" w:eastAsia="黑体" w:cs="Times New Roman"/>
          <w:b w:val="0"/>
          <w:color w:val="auto"/>
          <w:sz w:val="28"/>
          <w:szCs w:val="28"/>
          <w:highlight w:val="none"/>
          <w:shd w:val="clear" w:color="auto" w:fill="FFFFFF"/>
        </w:rPr>
      </w:pPr>
      <w:bookmarkStart w:id="3" w:name="_Toc509993884"/>
      <w:r>
        <w:rPr>
          <w:rFonts w:hint="default" w:ascii="Times New Roman" w:hAnsi="Times New Roman" w:eastAsia="黑体" w:cs="Times New Roman"/>
          <w:b w:val="0"/>
          <w:color w:val="auto"/>
          <w:sz w:val="28"/>
          <w:szCs w:val="28"/>
          <w:highlight w:val="none"/>
          <w:shd w:val="clear" w:color="auto" w:fill="FFFFFF"/>
        </w:rPr>
        <w:t>2. 评审标准</w:t>
      </w:r>
      <w:bookmarkEnd w:id="3"/>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4" w:name="_Toc509993885"/>
      <w:r>
        <w:rPr>
          <w:rFonts w:hint="default" w:ascii="Times New Roman" w:hAnsi="Times New Roman" w:eastAsia="黑体" w:cs="Times New Roman"/>
          <w:b w:val="0"/>
          <w:color w:val="auto"/>
          <w:sz w:val="24"/>
          <w:szCs w:val="24"/>
          <w:highlight w:val="none"/>
          <w:shd w:val="clear" w:color="auto" w:fill="FFFFFF"/>
        </w:rPr>
        <w:t>2.1 初步评审标准</w:t>
      </w:r>
      <w:bookmarkEnd w:id="4"/>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2.1.1 形式评审标准：见评标办法前附表。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2.1.2 资格评审标准：见评标办法前附表。（适用于未进行资格预审的）</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2.1.2 资格评审标准：见资格预审文件第三章“资格审查办法”详细审查标准。（适用于已进行资格预审的）</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2.1.3 响应性评审标准：见评标办法前附表。</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5" w:name="_Toc509993886"/>
      <w:r>
        <w:rPr>
          <w:rFonts w:hint="default" w:ascii="Times New Roman" w:hAnsi="Times New Roman" w:eastAsia="黑体" w:cs="Times New Roman"/>
          <w:b w:val="0"/>
          <w:color w:val="auto"/>
          <w:sz w:val="24"/>
          <w:szCs w:val="24"/>
          <w:highlight w:val="none"/>
          <w:shd w:val="clear" w:color="auto" w:fill="FFFFFF"/>
        </w:rPr>
        <w:t>2.2 分值构成与评分标准</w:t>
      </w:r>
      <w:bookmarkEnd w:id="5"/>
    </w:p>
    <w:p>
      <w:pPr>
        <w:tabs>
          <w:tab w:val="left" w:pos="360"/>
        </w:tabs>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2.2.1 </w:t>
      </w:r>
      <w:r>
        <w:rPr>
          <w:rFonts w:hint="default" w:ascii="Times New Roman" w:hAnsi="Times New Roman" w:eastAsia="黑体" w:cs="Times New Roman"/>
          <w:color w:val="auto"/>
          <w:highlight w:val="none"/>
          <w:shd w:val="clear" w:color="auto" w:fill="FFFFFF"/>
        </w:rPr>
        <w:t>分值构成</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（1）技术建议书：见评标办法前附表；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（2）主要人员：见评标办法前附表；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（3）评标价：见评标办法前附表；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（4）其他评分因素：见评标办法前附表。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2.2.2 </w:t>
      </w:r>
      <w:r>
        <w:rPr>
          <w:rFonts w:hint="default" w:ascii="Times New Roman" w:hAnsi="Times New Roman" w:eastAsia="黑体" w:cs="Times New Roman"/>
          <w:color w:val="auto"/>
          <w:highlight w:val="none"/>
          <w:shd w:val="clear" w:color="auto" w:fill="FFFFFF"/>
        </w:rPr>
        <w:t>评标基准价计算</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评标基准价计算方法：见评标办法前附表。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2.2.3 </w:t>
      </w:r>
      <w:r>
        <w:rPr>
          <w:rFonts w:hint="default" w:ascii="Times New Roman" w:hAnsi="Times New Roman" w:eastAsia="黑体" w:cs="Times New Roman"/>
          <w:color w:val="auto"/>
          <w:highlight w:val="none"/>
          <w:shd w:val="clear" w:color="auto" w:fill="FFFFFF"/>
        </w:rPr>
        <w:t>评标价的偏差率计算</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评标价的偏差率计算公式：见评标办法前附表。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2.2.4 </w:t>
      </w:r>
      <w:r>
        <w:rPr>
          <w:rFonts w:hint="default" w:ascii="Times New Roman" w:hAnsi="Times New Roman" w:eastAsia="黑体" w:cs="Times New Roman"/>
          <w:color w:val="auto"/>
          <w:highlight w:val="none"/>
          <w:shd w:val="clear" w:color="auto" w:fill="FFFFFF"/>
        </w:rPr>
        <w:t>评分标准</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（1）技术建议书评分标准：见评标办法前附表；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（2）主要人员评分标准：见评标办法前附表；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（3）评标价评分标准：见评标办法前附表；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（4）其他因素评分标准：见评标办法前附表。</w:t>
      </w:r>
    </w:p>
    <w:p>
      <w:pPr>
        <w:pStyle w:val="4"/>
        <w:spacing w:before="360" w:after="240" w:line="240" w:lineRule="atLeast"/>
        <w:rPr>
          <w:rFonts w:hint="default" w:ascii="Times New Roman" w:hAnsi="Times New Roman" w:eastAsia="黑体" w:cs="Times New Roman"/>
          <w:b w:val="0"/>
          <w:color w:val="auto"/>
          <w:sz w:val="28"/>
          <w:szCs w:val="28"/>
          <w:highlight w:val="none"/>
          <w:shd w:val="clear" w:color="auto" w:fill="FFFFFF"/>
        </w:rPr>
      </w:pPr>
      <w:bookmarkStart w:id="6" w:name="_Toc509993887"/>
      <w:r>
        <w:rPr>
          <w:rFonts w:hint="default" w:ascii="Times New Roman" w:hAnsi="Times New Roman" w:eastAsia="黑体" w:cs="Times New Roman"/>
          <w:b w:val="0"/>
          <w:color w:val="auto"/>
          <w:sz w:val="28"/>
          <w:szCs w:val="28"/>
          <w:highlight w:val="none"/>
          <w:shd w:val="clear" w:color="auto" w:fill="FFFFFF"/>
        </w:rPr>
        <w:t>3. 评标程序</w:t>
      </w:r>
      <w:bookmarkEnd w:id="6"/>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7" w:name="_Toc509993888"/>
      <w:r>
        <w:rPr>
          <w:rFonts w:hint="default" w:ascii="Times New Roman" w:hAnsi="Times New Roman" w:eastAsia="黑体" w:cs="Times New Roman"/>
          <w:b w:val="0"/>
          <w:color w:val="auto"/>
          <w:sz w:val="24"/>
          <w:szCs w:val="24"/>
          <w:highlight w:val="none"/>
          <w:shd w:val="clear" w:color="auto" w:fill="FFFFFF"/>
        </w:rPr>
        <w:t>3.1 第一个信封初步评审</w:t>
      </w:r>
      <w:bookmarkEnd w:id="7"/>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8" w:name="_Toc509993889"/>
      <w:r>
        <w:rPr>
          <w:rFonts w:hint="default" w:ascii="Times New Roman" w:hAnsi="Times New Roman" w:eastAsia="黑体" w:cs="Times New Roman"/>
          <w:b w:val="0"/>
          <w:color w:val="auto"/>
          <w:sz w:val="24"/>
          <w:szCs w:val="24"/>
          <w:highlight w:val="none"/>
          <w:shd w:val="clear" w:color="auto" w:fill="FFFFFF"/>
        </w:rPr>
        <w:t>3.2 第一个信封详细评审</w:t>
      </w:r>
      <w:bookmarkEnd w:id="8"/>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3.2.1 评标委员会按本章第2.2款规定的量化因素和分值进行打分，并计算出各投标人的商务和技术得分。</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（1）按本章第2.2.4项（1）目规定的评审因素和分值对技术建议书部分计算出得分A；</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（2）按本章第2.2.4项（2）目规定的评审因素和分值对主要人员部分计算出得分B；</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（3）按本章第2.2.4项（4）目规定的评审因素和分值对其他部分计算出得分D。</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3.2.2 投标人的商务和技术得分分值计算保留小数点后两位，小数点后第三位“四舍五入”。</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3.2.3 投标人的商务和技术得分=A+B+D。 </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9" w:name="_Toc509993890"/>
      <w:r>
        <w:rPr>
          <w:rFonts w:hint="default" w:ascii="Times New Roman" w:hAnsi="Times New Roman" w:eastAsia="黑体" w:cs="Times New Roman"/>
          <w:b w:val="0"/>
          <w:color w:val="auto"/>
          <w:sz w:val="24"/>
          <w:szCs w:val="24"/>
          <w:highlight w:val="none"/>
          <w:shd w:val="clear" w:color="auto" w:fill="FFFFFF"/>
        </w:rPr>
        <w:t>3.3 第二个信封开标</w:t>
      </w:r>
      <w:bookmarkEnd w:id="9"/>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第一个信封（商务及技术文件）评审结束后，招标人将按照第二章“投标人须知”第5.1款规定的时间和地点对通过投标文件第一个信封（商务及技术文件）评审的投标文件第二个信封（报价文件）进行开标。</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10" w:name="_Toc509993891"/>
      <w:r>
        <w:rPr>
          <w:rFonts w:hint="default" w:ascii="Times New Roman" w:hAnsi="Times New Roman" w:eastAsia="黑体" w:cs="Times New Roman"/>
          <w:b w:val="0"/>
          <w:color w:val="auto"/>
          <w:sz w:val="24"/>
          <w:szCs w:val="24"/>
          <w:highlight w:val="none"/>
          <w:shd w:val="clear" w:color="auto" w:fill="FFFFFF"/>
        </w:rPr>
        <w:t>3.4 第二个信封初步评审</w:t>
      </w:r>
      <w:bookmarkEnd w:id="10"/>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3.4.1 评标委员会依据本章第2.1.1项、第2.1.3项规定的评审标准对投标文件第二个信封（报价文件）进行初步评审。有一项不符合评审标准的，评标委员会应否决其投标。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3.4.2 投标报价有算术错误的，评标委员会按以下原则对投标报价进行修正，修正的价格经投标人书面确认后具有约束力。投标人不接受修正价格的，评标委员会应否决其投标。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（1）投标文件中的大写金额与小写金额不一致的，以大写金额为准；</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（2）总价金额与依据单价计算出的结果不一致的，以单价金额为准修正总价，但单价金额小数点有明显错误的除外；</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（3）当单价与数量相乘不等于合价时，以单价计算为准，如果单价有明显的小数点位置差错，应以标出的合价为准，同时对单价予以修正；</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（4）当各子目的合价累计不等于总价时，应以各子目合价累计数为准，修正总价。</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3.4.3 修正后的最终投标报价</w:t>
      </w:r>
      <w:r>
        <w:rPr>
          <w:rFonts w:hint="default" w:ascii="Times New Roman" w:hAnsi="Times New Roman" w:eastAsia="宋体" w:cs="Times New Roman"/>
          <w:color w:val="auto"/>
          <w:highlight w:val="none"/>
          <w:shd w:val="clear" w:color="auto" w:fill="FFFFFF"/>
          <w:lang w:val="en-US" w:eastAsia="zh-CN"/>
        </w:rPr>
        <w:t>小于招标文件规定的最低下浮率的</w:t>
      </w:r>
      <w:r>
        <w:rPr>
          <w:rFonts w:hint="default" w:ascii="Times New Roman" w:hAnsi="Times New Roman" w:cs="Times New Roman"/>
          <w:color w:val="auto"/>
          <w:highlight w:val="none"/>
          <w:shd w:val="clear" w:color="auto" w:fill="FFFFFF"/>
        </w:rPr>
        <w:t>，评标委员会应否决其投标。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3.4.4 修正后的最终投标报价仅作为签订合同的一个依据，不参与评标价得分的计算。</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11" w:name="_Toc509993892"/>
      <w:r>
        <w:rPr>
          <w:rFonts w:hint="default" w:ascii="Times New Roman" w:hAnsi="Times New Roman" w:eastAsia="黑体" w:cs="Times New Roman"/>
          <w:b w:val="0"/>
          <w:color w:val="auto"/>
          <w:sz w:val="24"/>
          <w:szCs w:val="24"/>
          <w:highlight w:val="none"/>
          <w:shd w:val="clear" w:color="auto" w:fill="FFFFFF"/>
        </w:rPr>
        <w:t>3.5 第二个信封详细评审</w:t>
      </w:r>
      <w:bookmarkEnd w:id="11"/>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3.5.1 评标委员会按本章第2.2.4项（3）目规定的评审因素和分值对评标价计算出得分C。评标价得分分值计算保留小数点后两位，小数点后第三位“四舍五入”。</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3.5.2 投标人综合得分=投标人的商务和技术得分+C。</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12" w:name="_Toc509993893"/>
      <w:r>
        <w:rPr>
          <w:rFonts w:hint="default" w:ascii="Times New Roman" w:hAnsi="Times New Roman" w:eastAsia="黑体" w:cs="Times New Roman"/>
          <w:b w:val="0"/>
          <w:color w:val="auto"/>
          <w:sz w:val="24"/>
          <w:szCs w:val="24"/>
          <w:highlight w:val="none"/>
          <w:shd w:val="clear" w:color="auto" w:fill="FFFFFF"/>
        </w:rPr>
        <w:t>3.6 投标文件相关信息的核查</w:t>
      </w:r>
      <w:bookmarkEnd w:id="12"/>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（1）有下列情形之一的，属于投标人相互串通投标：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a.投标人之间协商投标报价等投标文件的实质性内容；</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b.投标人之间约定中标人；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c.投标人之间约定部分投标人放弃投标或中标；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d.属于同一集团、协会、商会等组织成员的投标人按照该组织要求协同投标；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e.投标人之间为谋取中标或排斥特定投标人而采取的其他联合行动。</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（2）有下列情形之一的，视为投标人相互串通投标：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a.不同投标人的投标文件由同一单位或个人编制；</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b.不同投标人委托同一单位或个人办理投标事宜；</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c.不同投标人的投标文件载明的项目管理成员为同一人；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d.不同投标人的投标文件异常一致或投标报价呈规律性差异；</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e.不同投标人的投标文件相互混装；</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f.不同投标人的投标保证金从同一单位或个人的账户转出。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（3）有下列情形之一的，属于招标人与投标人串通投标：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a.招标人在开标前开启投标文件并将有关信息泄露给其他投标人;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b.招标人直接或间接向投标人泄露标底、评标委员会成员等信息；</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c.招标人明示或暗示投标人压低或抬高投标报价；</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d.招标人授意投标人撤换、修改投标文件；</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e.招标人明示或暗示投标人为特定投标人中标提供方便；</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f.招标人与投标人为谋求特定投标人中标而采取的其他串通行为。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（4）投标人有下列情形之一的，属于弄虚作假的行为：</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a.使用通过受让或租借等方式获取的资格、资质证书投标；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b.使用伪造、变造的许可证件；</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c.提供虚假的业绩；</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d.提供虚假的项目负责人或主要技术人员简历、劳动关系证明；</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e.提供虚假的信用状况；</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f.其他弄虚作假的行为。</w:t>
      </w:r>
    </w:p>
    <w:p>
      <w:pPr>
        <w:pStyle w:val="4"/>
        <w:spacing w:before="240" w:after="240" w:line="400" w:lineRule="atLeast"/>
        <w:rPr>
          <w:rFonts w:hint="default" w:ascii="Times New Roman" w:hAnsi="Times New Roman" w:eastAsia="黑体" w:cs="Times New Roman"/>
          <w:b w:val="0"/>
          <w:color w:val="auto"/>
          <w:sz w:val="24"/>
          <w:szCs w:val="24"/>
          <w:highlight w:val="none"/>
          <w:shd w:val="clear" w:color="auto" w:fill="FFFFFF"/>
        </w:rPr>
      </w:pPr>
      <w:bookmarkStart w:id="13" w:name="_Toc509993894"/>
      <w:r>
        <w:rPr>
          <w:rFonts w:hint="default" w:ascii="Times New Roman" w:hAnsi="Times New Roman" w:eastAsia="黑体" w:cs="Times New Roman"/>
          <w:b w:val="0"/>
          <w:color w:val="auto"/>
          <w:sz w:val="24"/>
          <w:szCs w:val="24"/>
          <w:highlight w:val="none"/>
          <w:shd w:val="clear" w:color="auto" w:fill="FFFFFF"/>
        </w:rPr>
        <w:t>3.7 投标文件的澄清和说明</w:t>
      </w:r>
      <w:bookmarkEnd w:id="13"/>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3.7.2 澄清和说明不得超出投标文件的范围或改变投标文件的实质性内容（算术性错误的修正除外）。投标人的书面澄清、说明属于投标文件的组成部分。</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3.7.3 评标委员会不得暗示或诱导投标人作出澄清、说明，对投标人提交的澄清、说明有疑问的，可以要求投标人进一步澄清或说明，直至满足评标委员会的要求。</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3.7.4 凡超出招标文件规定的或给发包人带来未曾要求的利益的变化、偏差或其他因素在评标时不予考虑。</w:t>
      </w:r>
    </w:p>
    <w:p>
      <w:pPr>
        <w:pStyle w:val="4"/>
        <w:spacing w:before="240" w:after="240" w:line="400" w:lineRule="atLeast"/>
        <w:rPr>
          <w:rFonts w:hint="default" w:ascii="Times New Roman" w:hAnsi="Times New Roman" w:eastAsia="黑体" w:cs="Times New Roman"/>
          <w:b w:val="0"/>
          <w:color w:val="auto"/>
          <w:sz w:val="24"/>
          <w:szCs w:val="24"/>
          <w:highlight w:val="none"/>
          <w:shd w:val="clear" w:color="auto" w:fill="FFFFFF"/>
        </w:rPr>
      </w:pPr>
      <w:bookmarkStart w:id="14" w:name="_Toc501257170"/>
      <w:bookmarkStart w:id="15" w:name="_Toc509993895"/>
      <w:r>
        <w:rPr>
          <w:rFonts w:hint="default" w:ascii="Times New Roman" w:hAnsi="Times New Roman" w:eastAsia="黑体" w:cs="Times New Roman"/>
          <w:b w:val="0"/>
          <w:color w:val="auto"/>
          <w:sz w:val="24"/>
          <w:szCs w:val="24"/>
          <w:highlight w:val="none"/>
          <w:shd w:val="clear" w:color="auto" w:fill="FFFFFF"/>
        </w:rPr>
        <w:t>3.8 不得否决投标的情形</w:t>
      </w:r>
      <w:bookmarkEnd w:id="14"/>
      <w:bookmarkEnd w:id="15"/>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投标文件存在第二章“投标人须知”第1.12.3项所列情形的，均视为细微偏差，评标委员会不得否决投标人的投标，应按照第二章“投标人须知”第1.12.4项规定的原则处理。</w:t>
      </w:r>
    </w:p>
    <w:p>
      <w:pPr>
        <w:pStyle w:val="4"/>
        <w:spacing w:before="240" w:after="240" w:line="240" w:lineRule="atLeast"/>
        <w:rPr>
          <w:rFonts w:hint="default" w:ascii="Times New Roman" w:hAnsi="Times New Roman" w:eastAsia="黑体" w:cs="Times New Roman"/>
          <w:b w:val="0"/>
          <w:color w:val="auto"/>
          <w:sz w:val="24"/>
          <w:szCs w:val="24"/>
          <w:highlight w:val="none"/>
          <w:shd w:val="clear" w:color="auto" w:fill="FFFFFF"/>
        </w:rPr>
      </w:pPr>
      <w:bookmarkStart w:id="16" w:name="_Toc509993896"/>
      <w:r>
        <w:rPr>
          <w:rFonts w:hint="default" w:ascii="Times New Roman" w:hAnsi="Times New Roman" w:eastAsia="黑体" w:cs="Times New Roman"/>
          <w:b w:val="0"/>
          <w:color w:val="auto"/>
          <w:sz w:val="24"/>
          <w:szCs w:val="24"/>
          <w:highlight w:val="none"/>
          <w:shd w:val="clear" w:color="auto" w:fill="FFFFFF"/>
        </w:rPr>
        <w:t>3.9 评标结果</w:t>
      </w:r>
      <w:bookmarkEnd w:id="16"/>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3.9.1 除第二章“投标人须知”前附表授权直接确定中标人外，评标委员会按照得分由高到低的顺序推荐中标候选人，并标明排序。</w:t>
      </w:r>
    </w:p>
    <w:p>
      <w:pPr>
        <w:spacing w:line="400" w:lineRule="atLeas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3.9.2 评标委员会完成评标后，应向招标人提交书面评标报告。</w:t>
      </w:r>
      <w:bookmarkEnd w:id="2"/>
    </w:p>
    <w:p>
      <w:pPr>
        <w:rPr>
          <w:rFonts w:hint="default" w:ascii="Times New Roman" w:hAnsi="Times New Roman" w:cs="Times New Roman"/>
          <w:color w:val="auto"/>
          <w:highlight w:val="none"/>
          <w:shd w:val="clear" w:color="auto" w:fill="FFFFFF"/>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ngLiU-ExtB"/>
    <w:panose1 w:val="00000000000000000000"/>
    <w:charset w:val="88"/>
    <w:family w:val="modern"/>
    <w:pitch w:val="default"/>
    <w:sig w:usb0="00000000" w:usb1="00000000" w:usb2="00000016" w:usb3="00000000" w:csb0="00100001" w:csb1="00000000"/>
  </w:font>
  <w:font w:name="Helvetica">
    <w:altName w:val="Arial"/>
    <w:panose1 w:val="00000000000000000000"/>
    <w:charset w:val="00"/>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18C85"/>
    <w:multiLevelType w:val="singleLevel"/>
    <w:tmpl w:val="03018C85"/>
    <w:lvl w:ilvl="0" w:tentative="0">
      <w:start w:val="1"/>
      <w:numFmt w:val="decimal"/>
      <w:suff w:val="nothing"/>
      <w:lvlText w:val="（%1）"/>
      <w:lvlJc w:val="left"/>
    </w:lvl>
  </w:abstractNum>
  <w:abstractNum w:abstractNumId="1">
    <w:nsid w:val="4E9D0FD0"/>
    <w:multiLevelType w:val="multilevel"/>
    <w:tmpl w:val="4E9D0FD0"/>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2Q4MjNiNjFiMmViMDE3ODNhZGZlYjBmNTMyNDQifQ=="/>
  </w:docVars>
  <w:rsids>
    <w:rsidRoot w:val="651F6F9B"/>
    <w:rsid w:val="651F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afterLines="0"/>
      <w:ind w:left="420" w:leftChars="200"/>
    </w:pPr>
    <w:rPr>
      <w:rFonts w:ascii="Times New Roman" w:hAnsi="Times New Roman"/>
      <w:sz w:val="20"/>
      <w:szCs w:val="24"/>
    </w:rPr>
  </w:style>
  <w:style w:type="paragraph" w:styleId="5">
    <w:name w:val="Plain Text"/>
    <w:basedOn w:val="1"/>
    <w:qFormat/>
    <w:uiPriority w:val="0"/>
    <w:rPr>
      <w:rFonts w:ascii="宋体" w:hAnsi="Courier New"/>
      <w:sz w:val="20"/>
    </w:rPr>
  </w:style>
  <w:style w:type="paragraph" w:styleId="6">
    <w:name w:val="Body Text Indent 2"/>
    <w:basedOn w:val="1"/>
    <w:uiPriority w:val="0"/>
    <w:pPr>
      <w:spacing w:line="500" w:lineRule="exact"/>
      <w:ind w:firstLine="540" w:firstLineChars="200"/>
    </w:pPr>
    <w:rPr>
      <w:rFonts w:ascii="宋体" w:hAnsi="宋体"/>
      <w:sz w:val="27"/>
      <w:szCs w:val="27"/>
    </w:rPr>
  </w:style>
  <w:style w:type="character" w:customStyle="1" w:styleId="9">
    <w:name w:val="正文文本 (2) + 间距 0 pt3"/>
    <w:qFormat/>
    <w:uiPriority w:val="99"/>
    <w:rPr>
      <w:rFonts w:ascii="MingLiU" w:eastAsia="MingLiU" w:cs="MingLiU"/>
      <w:spacing w:val="0"/>
      <w:sz w:val="22"/>
      <w:szCs w:val="22"/>
      <w:u w:val="none"/>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2022-12-02T09:09:00Z</dcterms:created>
  <dc:creator>    信者＂</dc:creator>
  <cp:lastModifiedBy>    信者＂</cp:lastModifiedBy>
  <dcterms:modified xsi:type="dcterms:W3CDTF">2022-12-02T09:11:39Z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EDF8FE27708D461188D562250707BA19</vt:lpwstr>
  </property>
</Properties>
</file>