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5F7BD">
      <w:pPr>
        <w:tabs>
          <w:tab w:val="left" w:pos="8600"/>
        </w:tabs>
        <w:autoSpaceDE w:val="0"/>
        <w:autoSpaceDN w:val="0"/>
        <w:adjustRightInd w:val="0"/>
        <w:spacing w:line="372" w:lineRule="exact"/>
        <w:ind w:firstLine="150" w:firstLineChars="50"/>
        <w:jc w:val="left"/>
        <w:rPr>
          <w:rFonts w:ascii="宋体" w:cs="宋体"/>
          <w:kern w:val="0"/>
          <w:position w:val="-3"/>
          <w:sz w:val="30"/>
          <w:szCs w:val="30"/>
          <w:highlight w:val="none"/>
        </w:rPr>
      </w:pPr>
      <w:bookmarkStart w:id="17" w:name="_GoBack"/>
    </w:p>
    <w:p w14:paraId="3AE319D5">
      <w:pPr>
        <w:pStyle w:val="7"/>
        <w:rPr>
          <w:highlight w:val="none"/>
        </w:rPr>
      </w:pPr>
    </w:p>
    <w:p w14:paraId="712EBEF5">
      <w:pPr>
        <w:autoSpaceDE w:val="0"/>
        <w:autoSpaceDN w:val="0"/>
        <w:adjustRightInd w:val="0"/>
        <w:spacing w:before="13" w:line="260" w:lineRule="exact"/>
        <w:jc w:val="left"/>
        <w:rPr>
          <w:rFonts w:ascii="黑体" w:eastAsia="黑体" w:cs="宋体"/>
          <w:kern w:val="0"/>
          <w:sz w:val="28"/>
          <w:szCs w:val="28"/>
          <w:highlight w:val="none"/>
        </w:rPr>
      </w:pPr>
    </w:p>
    <w:p w14:paraId="44CF2365">
      <w:pPr>
        <w:autoSpaceDE w:val="0"/>
        <w:autoSpaceDN w:val="0"/>
        <w:adjustRightInd w:val="0"/>
        <w:spacing w:line="360" w:lineRule="auto"/>
        <w:ind w:right="-85"/>
        <w:jc w:val="center"/>
        <w:rPr>
          <w:rFonts w:ascii="黑体" w:hAnsi="黑体" w:eastAsia="黑体"/>
          <w:b/>
          <w:sz w:val="48"/>
          <w:szCs w:val="48"/>
          <w:highlight w:val="none"/>
        </w:rPr>
      </w:pPr>
      <w:r>
        <w:rPr>
          <w:rFonts w:hint="eastAsia" w:ascii="黑体" w:hAnsi="黑体" w:eastAsia="黑体"/>
          <w:b/>
          <w:sz w:val="48"/>
          <w:szCs w:val="48"/>
          <w:highlight w:val="none"/>
          <w:u w:val="single"/>
        </w:rPr>
        <w:t>广州市白云区云城街萧岗经济联合社省实留用地项目（AB2804070地块得润留用地）</w:t>
      </w:r>
      <w:r>
        <w:rPr>
          <w:rFonts w:hint="eastAsia" w:ascii="黑体" w:hAnsi="黑体" w:eastAsia="黑体"/>
          <w:b/>
          <w:sz w:val="48"/>
          <w:szCs w:val="48"/>
          <w:highlight w:val="none"/>
          <w:lang w:val="en-US" w:eastAsia="zh-CN"/>
        </w:rPr>
        <w:t>工程</w:t>
      </w:r>
      <w:r>
        <w:rPr>
          <w:rFonts w:hint="eastAsia" w:ascii="黑体" w:hAnsi="黑体" w:eastAsia="黑体"/>
          <w:b/>
          <w:sz w:val="48"/>
          <w:szCs w:val="48"/>
          <w:highlight w:val="none"/>
        </w:rPr>
        <w:t>设计</w:t>
      </w:r>
      <w:r>
        <w:rPr>
          <w:rFonts w:hint="eastAsia" w:ascii="黑体" w:hAnsi="宋体" w:eastAsia="黑体"/>
          <w:b/>
          <w:bCs/>
          <w:sz w:val="48"/>
          <w:szCs w:val="48"/>
          <w:highlight w:val="none"/>
        </w:rPr>
        <w:t>合同</w:t>
      </w:r>
    </w:p>
    <w:p w14:paraId="5DF376B4">
      <w:pPr>
        <w:autoSpaceDE w:val="0"/>
        <w:autoSpaceDN w:val="0"/>
        <w:adjustRightInd w:val="0"/>
        <w:spacing w:before="4" w:line="130" w:lineRule="exact"/>
        <w:jc w:val="left"/>
        <w:rPr>
          <w:rFonts w:ascii="黑体" w:eastAsia="黑体" w:cs="宋体"/>
          <w:kern w:val="0"/>
          <w:sz w:val="28"/>
          <w:szCs w:val="28"/>
          <w:highlight w:val="none"/>
        </w:rPr>
      </w:pPr>
    </w:p>
    <w:p w14:paraId="223BE5E9">
      <w:pPr>
        <w:autoSpaceDE w:val="0"/>
        <w:autoSpaceDN w:val="0"/>
        <w:adjustRightInd w:val="0"/>
        <w:spacing w:line="200" w:lineRule="exact"/>
        <w:jc w:val="left"/>
        <w:rPr>
          <w:rFonts w:ascii="黑体" w:eastAsia="黑体" w:cs="宋体"/>
          <w:kern w:val="0"/>
          <w:sz w:val="28"/>
          <w:szCs w:val="28"/>
          <w:highlight w:val="none"/>
        </w:rPr>
      </w:pPr>
    </w:p>
    <w:p w14:paraId="4E5678DF">
      <w:pPr>
        <w:autoSpaceDE w:val="0"/>
        <w:autoSpaceDN w:val="0"/>
        <w:adjustRightInd w:val="0"/>
        <w:spacing w:line="200" w:lineRule="exact"/>
        <w:jc w:val="left"/>
        <w:rPr>
          <w:rFonts w:ascii="黑体" w:eastAsia="黑体" w:cs="宋体"/>
          <w:kern w:val="0"/>
          <w:sz w:val="28"/>
          <w:szCs w:val="28"/>
          <w:highlight w:val="none"/>
        </w:rPr>
      </w:pPr>
    </w:p>
    <w:p w14:paraId="5783E5C1">
      <w:pPr>
        <w:autoSpaceDE w:val="0"/>
        <w:autoSpaceDN w:val="0"/>
        <w:adjustRightInd w:val="0"/>
        <w:spacing w:line="200" w:lineRule="exact"/>
        <w:jc w:val="left"/>
        <w:rPr>
          <w:rFonts w:ascii="黑体" w:eastAsia="黑体" w:cs="宋体"/>
          <w:kern w:val="0"/>
          <w:sz w:val="28"/>
          <w:szCs w:val="28"/>
          <w:highlight w:val="none"/>
        </w:rPr>
      </w:pPr>
    </w:p>
    <w:p w14:paraId="325CAC4C">
      <w:pPr>
        <w:autoSpaceDE w:val="0"/>
        <w:autoSpaceDN w:val="0"/>
        <w:adjustRightInd w:val="0"/>
        <w:spacing w:line="200" w:lineRule="exact"/>
        <w:jc w:val="left"/>
        <w:rPr>
          <w:rFonts w:ascii="黑体" w:eastAsia="黑体" w:cs="宋体"/>
          <w:kern w:val="0"/>
          <w:sz w:val="28"/>
          <w:szCs w:val="28"/>
          <w:highlight w:val="none"/>
        </w:rPr>
      </w:pPr>
    </w:p>
    <w:p w14:paraId="73327618">
      <w:pPr>
        <w:pStyle w:val="7"/>
        <w:rPr>
          <w:highlight w:val="none"/>
        </w:rPr>
      </w:pPr>
    </w:p>
    <w:p w14:paraId="3F279604">
      <w:pPr>
        <w:pStyle w:val="7"/>
        <w:rPr>
          <w:highlight w:val="none"/>
        </w:rPr>
      </w:pPr>
    </w:p>
    <w:p w14:paraId="02B349BE">
      <w:pPr>
        <w:autoSpaceDE w:val="0"/>
        <w:autoSpaceDN w:val="0"/>
        <w:adjustRightInd w:val="0"/>
        <w:spacing w:line="200" w:lineRule="exact"/>
        <w:jc w:val="left"/>
        <w:rPr>
          <w:rFonts w:ascii="黑体" w:eastAsia="黑体" w:cs="宋体"/>
          <w:kern w:val="0"/>
          <w:sz w:val="28"/>
          <w:szCs w:val="28"/>
          <w:highlight w:val="none"/>
        </w:rPr>
      </w:pPr>
    </w:p>
    <w:p w14:paraId="24EED0F4">
      <w:pPr>
        <w:autoSpaceDE w:val="0"/>
        <w:autoSpaceDN w:val="0"/>
        <w:adjustRightInd w:val="0"/>
        <w:spacing w:line="200" w:lineRule="exact"/>
        <w:jc w:val="left"/>
        <w:rPr>
          <w:rFonts w:ascii="黑体" w:eastAsia="黑体" w:cs="宋体"/>
          <w:kern w:val="0"/>
          <w:sz w:val="28"/>
          <w:szCs w:val="28"/>
          <w:highlight w:val="none"/>
        </w:rPr>
      </w:pPr>
    </w:p>
    <w:p w14:paraId="16450C97">
      <w:pPr>
        <w:autoSpaceDE w:val="0"/>
        <w:autoSpaceDN w:val="0"/>
        <w:adjustRightInd w:val="0"/>
        <w:spacing w:line="200" w:lineRule="exact"/>
        <w:jc w:val="left"/>
        <w:rPr>
          <w:rFonts w:ascii="黑体" w:eastAsia="黑体" w:cs="宋体"/>
          <w:kern w:val="0"/>
          <w:sz w:val="28"/>
          <w:szCs w:val="28"/>
          <w:highlight w:val="none"/>
        </w:rPr>
      </w:pPr>
    </w:p>
    <w:p w14:paraId="6BC13CC6">
      <w:pPr>
        <w:pStyle w:val="2"/>
        <w:tabs>
          <w:tab w:val="left" w:pos="2268"/>
        </w:tabs>
        <w:spacing w:line="360" w:lineRule="auto"/>
        <w:jc w:val="left"/>
        <w:rPr>
          <w:rFonts w:ascii="黑体" w:eastAsia="黑体"/>
          <w:bCs/>
          <w:sz w:val="28"/>
          <w:szCs w:val="28"/>
          <w:highlight w:val="none"/>
        </w:rPr>
      </w:pPr>
    </w:p>
    <w:p w14:paraId="452B9689">
      <w:pPr>
        <w:pStyle w:val="2"/>
        <w:tabs>
          <w:tab w:val="left" w:pos="2268"/>
        </w:tabs>
        <w:spacing w:line="360" w:lineRule="auto"/>
        <w:jc w:val="left"/>
        <w:rPr>
          <w:rFonts w:hint="eastAsia" w:ascii="黑体" w:hAnsi="宋体" w:eastAsia="黑体" w:cs="宋体"/>
          <w:bCs/>
          <w:kern w:val="0"/>
          <w:sz w:val="28"/>
          <w:szCs w:val="28"/>
          <w:highlight w:val="none"/>
          <w:u w:val="single"/>
          <w:lang w:eastAsia="zh-CN"/>
        </w:rPr>
      </w:pPr>
      <w:r>
        <w:rPr>
          <w:rFonts w:hint="eastAsia" w:ascii="黑体" w:eastAsia="黑体"/>
          <w:bCs/>
          <w:sz w:val="28"/>
          <w:szCs w:val="28"/>
          <w:highlight w:val="none"/>
        </w:rPr>
        <w:t>项目名称：</w:t>
      </w:r>
      <w:r>
        <w:rPr>
          <w:rFonts w:hint="eastAsia" w:ascii="黑体" w:hAnsi="宋体" w:eastAsia="黑体" w:cs="宋体"/>
          <w:bCs/>
          <w:kern w:val="0"/>
          <w:sz w:val="28"/>
          <w:szCs w:val="28"/>
          <w:highlight w:val="none"/>
          <w:u w:val="single"/>
        </w:rPr>
        <w:t xml:space="preserve">广州市白云区云城街萧岗经济联合社省实留用地项目（AB2804070地块得润留用地）   </w:t>
      </w:r>
    </w:p>
    <w:p w14:paraId="6A6CEFEF">
      <w:pPr>
        <w:pStyle w:val="34"/>
        <w:spacing w:before="120" w:beforeLines="50" w:after="240" w:afterLines="100" w:line="360" w:lineRule="exact"/>
        <w:jc w:val="left"/>
        <w:rPr>
          <w:rFonts w:hint="eastAsia" w:ascii="黑体" w:eastAsia="黑体"/>
          <w:bCs/>
          <w:sz w:val="28"/>
          <w:szCs w:val="28"/>
          <w:highlight w:val="none"/>
          <w:lang w:eastAsia="zh-CN"/>
        </w:rPr>
      </w:pPr>
      <w:r>
        <w:rPr>
          <w:rFonts w:hint="eastAsia" w:ascii="黑体" w:eastAsia="黑体"/>
          <w:bCs/>
          <w:sz w:val="28"/>
          <w:szCs w:val="28"/>
          <w:highlight w:val="none"/>
        </w:rPr>
        <w:t>项目地点：</w:t>
      </w:r>
      <w:r>
        <w:rPr>
          <w:rFonts w:hint="eastAsia" w:ascii="黑体" w:eastAsia="黑体"/>
          <w:bCs/>
          <w:sz w:val="28"/>
          <w:szCs w:val="28"/>
          <w:highlight w:val="none"/>
          <w:u w:val="single"/>
        </w:rPr>
        <w:t xml:space="preserve"> 广州市白云区  </w:t>
      </w:r>
    </w:p>
    <w:p w14:paraId="57D94FF8">
      <w:pPr>
        <w:pStyle w:val="34"/>
        <w:spacing w:before="120" w:beforeLines="50" w:after="240" w:afterLines="100" w:line="360" w:lineRule="exact"/>
        <w:jc w:val="left"/>
        <w:rPr>
          <w:rFonts w:hint="eastAsia" w:ascii="黑体" w:eastAsia="黑体"/>
          <w:bCs/>
          <w:sz w:val="28"/>
          <w:szCs w:val="28"/>
          <w:highlight w:val="none"/>
          <w:lang w:eastAsia="zh-CN"/>
        </w:rPr>
      </w:pPr>
      <w:r>
        <w:rPr>
          <w:rFonts w:hint="eastAsia" w:ascii="黑体" w:eastAsia="黑体"/>
          <w:bCs/>
          <w:sz w:val="28"/>
          <w:szCs w:val="28"/>
          <w:highlight w:val="none"/>
        </w:rPr>
        <w:t>建设单位（甲方）：</w:t>
      </w:r>
      <w:r>
        <w:rPr>
          <w:rFonts w:hint="eastAsia" w:ascii="黑体" w:eastAsia="黑体"/>
          <w:bCs/>
          <w:sz w:val="28"/>
          <w:szCs w:val="28"/>
          <w:highlight w:val="none"/>
          <w:u w:val="single"/>
        </w:rPr>
        <w:t xml:space="preserve"> 广州市白云区云城街萧岗经济联合社</w:t>
      </w:r>
    </w:p>
    <w:p w14:paraId="300FB56C">
      <w:pPr>
        <w:pStyle w:val="34"/>
        <w:spacing w:before="120" w:beforeLines="50" w:after="240" w:afterLines="100" w:line="360" w:lineRule="exact"/>
        <w:jc w:val="left"/>
        <w:rPr>
          <w:rFonts w:hint="eastAsia" w:ascii="黑体" w:eastAsia="黑体"/>
          <w:bCs/>
          <w:sz w:val="28"/>
          <w:szCs w:val="28"/>
          <w:highlight w:val="none"/>
          <w:lang w:eastAsia="zh-CN"/>
        </w:rPr>
      </w:pPr>
      <w:r>
        <w:rPr>
          <w:rFonts w:hint="eastAsia" w:ascii="黑体" w:eastAsia="黑体"/>
          <w:bCs/>
          <w:sz w:val="28"/>
          <w:szCs w:val="28"/>
          <w:highlight w:val="none"/>
        </w:rPr>
        <w:t>建设单位合同编号：</w:t>
      </w:r>
      <w:r>
        <w:rPr>
          <w:rFonts w:hint="eastAsia" w:ascii="黑体" w:eastAsia="黑体"/>
          <w:bCs/>
          <w:sz w:val="28"/>
          <w:szCs w:val="28"/>
          <w:highlight w:val="none"/>
          <w:u w:val="single"/>
        </w:rPr>
        <w:t xml:space="preserve">                                          </w:t>
      </w:r>
    </w:p>
    <w:p w14:paraId="53CD0ECD">
      <w:pPr>
        <w:pStyle w:val="34"/>
        <w:spacing w:before="312" w:line="360" w:lineRule="exact"/>
        <w:jc w:val="left"/>
        <w:rPr>
          <w:rFonts w:ascii="黑体" w:eastAsia="黑体"/>
          <w:bCs/>
          <w:sz w:val="28"/>
          <w:szCs w:val="28"/>
          <w:highlight w:val="none"/>
        </w:rPr>
      </w:pPr>
    </w:p>
    <w:p w14:paraId="19ED2695">
      <w:pPr>
        <w:pStyle w:val="34"/>
        <w:spacing w:before="312" w:line="360" w:lineRule="exact"/>
        <w:jc w:val="left"/>
        <w:rPr>
          <w:rFonts w:hint="eastAsia" w:ascii="黑体" w:eastAsia="黑体"/>
          <w:bCs/>
          <w:sz w:val="28"/>
          <w:szCs w:val="28"/>
          <w:highlight w:val="none"/>
          <w:u w:val="single"/>
          <w:lang w:eastAsia="zh-CN"/>
        </w:rPr>
      </w:pPr>
      <w:r>
        <w:rPr>
          <w:rFonts w:hint="eastAsia" w:ascii="黑体" w:eastAsia="黑体"/>
          <w:bCs/>
          <w:sz w:val="28"/>
          <w:szCs w:val="28"/>
          <w:highlight w:val="none"/>
        </w:rPr>
        <w:t>受托单位（乙方）：</w:t>
      </w:r>
      <w:r>
        <w:rPr>
          <w:rFonts w:hint="eastAsia" w:ascii="黑体" w:eastAsia="黑体"/>
          <w:bCs/>
          <w:sz w:val="28"/>
          <w:szCs w:val="28"/>
          <w:highlight w:val="none"/>
          <w:u w:val="single"/>
        </w:rPr>
        <w:t xml:space="preserve">                                    </w:t>
      </w:r>
    </w:p>
    <w:p w14:paraId="289D7004">
      <w:pPr>
        <w:pStyle w:val="34"/>
        <w:spacing w:before="240" w:beforeLines="100" w:after="240" w:afterLines="100" w:line="360" w:lineRule="exact"/>
        <w:jc w:val="left"/>
        <w:rPr>
          <w:rFonts w:hint="eastAsia" w:ascii="黑体" w:eastAsia="黑体"/>
          <w:bCs/>
          <w:sz w:val="28"/>
          <w:szCs w:val="28"/>
          <w:highlight w:val="none"/>
          <w:lang w:eastAsia="zh-CN"/>
        </w:rPr>
      </w:pPr>
      <w:r>
        <w:rPr>
          <w:rFonts w:hint="eastAsia" w:ascii="黑体" w:eastAsia="黑体"/>
          <w:bCs/>
          <w:sz w:val="28"/>
          <w:szCs w:val="28"/>
          <w:highlight w:val="none"/>
        </w:rPr>
        <w:t>受托单位合同编号：</w:t>
      </w:r>
      <w:r>
        <w:rPr>
          <w:rFonts w:hint="eastAsia" w:ascii="黑体" w:eastAsia="黑体"/>
          <w:bCs/>
          <w:sz w:val="28"/>
          <w:szCs w:val="28"/>
          <w:highlight w:val="none"/>
          <w:u w:val="single"/>
        </w:rPr>
        <w:t xml:space="preserve">                                          </w:t>
      </w:r>
    </w:p>
    <w:p w14:paraId="39C5C715">
      <w:pPr>
        <w:pStyle w:val="34"/>
        <w:spacing w:before="312" w:line="360" w:lineRule="exact"/>
        <w:jc w:val="left"/>
        <w:rPr>
          <w:rFonts w:hint="eastAsia" w:ascii="黑体" w:eastAsia="黑体"/>
          <w:bCs/>
          <w:sz w:val="28"/>
          <w:szCs w:val="28"/>
          <w:highlight w:val="none"/>
          <w:lang w:eastAsia="zh-CN"/>
        </w:rPr>
      </w:pPr>
      <w:r>
        <w:rPr>
          <w:rFonts w:hint="eastAsia" w:ascii="黑体" w:eastAsia="黑体"/>
          <w:bCs/>
          <w:sz w:val="28"/>
          <w:szCs w:val="28"/>
          <w:highlight w:val="none"/>
        </w:rPr>
        <w:t>签订地点：</w:t>
      </w:r>
      <w:r>
        <w:rPr>
          <w:rFonts w:hint="eastAsia" w:ascii="黑体" w:eastAsia="黑体"/>
          <w:bCs/>
          <w:sz w:val="28"/>
          <w:szCs w:val="28"/>
          <w:highlight w:val="none"/>
          <w:u w:val="single"/>
        </w:rPr>
        <w:t xml:space="preserve">                                                               </w:t>
      </w:r>
    </w:p>
    <w:p w14:paraId="1C295AEE">
      <w:pPr>
        <w:autoSpaceDE w:val="0"/>
        <w:autoSpaceDN w:val="0"/>
        <w:adjustRightInd w:val="0"/>
        <w:spacing w:before="240" w:beforeLines="100" w:line="360" w:lineRule="auto"/>
        <w:jc w:val="left"/>
        <w:rPr>
          <w:rFonts w:hint="eastAsia" w:ascii="黑体" w:eastAsia="黑体" w:cs="宋体"/>
          <w:kern w:val="0"/>
          <w:sz w:val="28"/>
          <w:szCs w:val="28"/>
          <w:highlight w:val="none"/>
          <w:lang w:eastAsia="zh-CN"/>
        </w:rPr>
      </w:pPr>
      <w:r>
        <w:rPr>
          <w:rFonts w:hint="eastAsia" w:ascii="黑体" w:eastAsia="黑体"/>
          <w:bCs/>
          <w:sz w:val="28"/>
          <w:szCs w:val="28"/>
          <w:highlight w:val="none"/>
        </w:rPr>
        <w:t>签订日期：</w:t>
      </w:r>
      <w:r>
        <w:rPr>
          <w:rFonts w:hint="eastAsia" w:ascii="黑体" w:eastAsia="黑体"/>
          <w:bCs/>
          <w:sz w:val="28"/>
          <w:szCs w:val="28"/>
          <w:highlight w:val="none"/>
          <w:u w:val="single"/>
        </w:rPr>
        <w:t xml:space="preserve">            年     月    日                        </w:t>
      </w:r>
    </w:p>
    <w:p w14:paraId="7C5A1A64">
      <w:pPr>
        <w:autoSpaceDE w:val="0"/>
        <w:autoSpaceDN w:val="0"/>
        <w:adjustRightInd w:val="0"/>
        <w:spacing w:line="200" w:lineRule="exact"/>
        <w:jc w:val="left"/>
        <w:rPr>
          <w:rFonts w:ascii="黑体" w:eastAsia="黑体" w:cs="宋体"/>
          <w:kern w:val="0"/>
          <w:sz w:val="28"/>
          <w:szCs w:val="28"/>
          <w:highlight w:val="none"/>
        </w:rPr>
      </w:pPr>
    </w:p>
    <w:p w14:paraId="7142A794">
      <w:pPr>
        <w:pStyle w:val="41"/>
        <w:spacing w:line="360" w:lineRule="auto"/>
        <w:jc w:val="center"/>
        <w:rPr>
          <w:rFonts w:ascii="宋体" w:hAnsi="宋体"/>
          <w:b/>
          <w:sz w:val="32"/>
          <w:szCs w:val="32"/>
          <w:highlight w:val="none"/>
        </w:rPr>
      </w:pPr>
      <w:bookmarkStart w:id="0" w:name="_Toc287627913"/>
    </w:p>
    <w:p w14:paraId="6844378F">
      <w:pPr>
        <w:pStyle w:val="41"/>
        <w:spacing w:line="360" w:lineRule="auto"/>
        <w:jc w:val="center"/>
        <w:rPr>
          <w:rFonts w:ascii="宋体" w:hAnsi="宋体"/>
          <w:b/>
          <w:sz w:val="32"/>
          <w:szCs w:val="32"/>
          <w:highlight w:val="none"/>
        </w:rPr>
      </w:pPr>
    </w:p>
    <w:p w14:paraId="7F732277">
      <w:pPr>
        <w:pStyle w:val="41"/>
        <w:spacing w:line="360" w:lineRule="auto"/>
        <w:jc w:val="center"/>
        <w:rPr>
          <w:rFonts w:ascii="宋体" w:hAnsi="宋体"/>
          <w:b/>
          <w:sz w:val="32"/>
          <w:szCs w:val="32"/>
          <w:highlight w:val="none"/>
        </w:rPr>
      </w:pPr>
    </w:p>
    <w:p w14:paraId="12EB2FFE">
      <w:pPr>
        <w:pStyle w:val="41"/>
        <w:spacing w:line="360" w:lineRule="auto"/>
        <w:jc w:val="center"/>
        <w:rPr>
          <w:rFonts w:ascii="宋体" w:hAnsi="宋体"/>
          <w:b/>
          <w:sz w:val="32"/>
          <w:szCs w:val="32"/>
          <w:highlight w:val="none"/>
        </w:rPr>
      </w:pPr>
    </w:p>
    <w:p w14:paraId="4CA4E527">
      <w:pPr>
        <w:pStyle w:val="41"/>
        <w:spacing w:line="360" w:lineRule="auto"/>
        <w:jc w:val="center"/>
        <w:rPr>
          <w:rFonts w:ascii="宋体" w:hAnsi="宋体"/>
          <w:b/>
          <w:sz w:val="32"/>
          <w:szCs w:val="32"/>
          <w:highlight w:val="none"/>
        </w:rPr>
      </w:pPr>
      <w:r>
        <w:rPr>
          <w:rFonts w:hint="eastAsia" w:ascii="宋体" w:hAnsi="宋体"/>
          <w:b/>
          <w:sz w:val="32"/>
          <w:szCs w:val="32"/>
          <w:highlight w:val="none"/>
        </w:rPr>
        <w:t>合　同　目  录</w:t>
      </w:r>
    </w:p>
    <w:p w14:paraId="65F599EF">
      <w:pPr>
        <w:pStyle w:val="41"/>
        <w:spacing w:line="360" w:lineRule="auto"/>
        <w:jc w:val="left"/>
        <w:rPr>
          <w:rFonts w:ascii="宋体" w:hAnsi="宋体"/>
          <w:b/>
          <w:sz w:val="32"/>
          <w:szCs w:val="32"/>
          <w:highlight w:val="none"/>
        </w:rPr>
      </w:pPr>
    </w:p>
    <w:p w14:paraId="1A38C9DF">
      <w:pPr>
        <w:pStyle w:val="41"/>
        <w:spacing w:line="360" w:lineRule="auto"/>
        <w:ind w:firstLine="562" w:firstLineChars="200"/>
        <w:jc w:val="left"/>
        <w:rPr>
          <w:rFonts w:ascii="宋体" w:hAnsi="宋体"/>
          <w:b/>
          <w:sz w:val="28"/>
          <w:szCs w:val="28"/>
          <w:highlight w:val="none"/>
        </w:rPr>
      </w:pPr>
      <w:r>
        <w:rPr>
          <w:rFonts w:hint="eastAsia" w:ascii="宋体" w:hAnsi="宋体"/>
          <w:b/>
          <w:sz w:val="28"/>
          <w:szCs w:val="28"/>
          <w:highlight w:val="none"/>
        </w:rPr>
        <w:t>第一篇 合同协议书</w:t>
      </w:r>
    </w:p>
    <w:p w14:paraId="07091424">
      <w:pPr>
        <w:pStyle w:val="41"/>
        <w:spacing w:line="360" w:lineRule="auto"/>
        <w:ind w:firstLine="562" w:firstLineChars="200"/>
        <w:jc w:val="left"/>
        <w:rPr>
          <w:rFonts w:ascii="宋体" w:hAnsi="宋体"/>
          <w:b/>
          <w:sz w:val="28"/>
          <w:szCs w:val="28"/>
          <w:highlight w:val="none"/>
        </w:rPr>
      </w:pPr>
      <w:r>
        <w:rPr>
          <w:rFonts w:hint="eastAsia" w:ascii="宋体" w:hAnsi="宋体"/>
          <w:b/>
          <w:sz w:val="28"/>
          <w:szCs w:val="28"/>
          <w:highlight w:val="none"/>
        </w:rPr>
        <w:t>第二篇 工程设计合同条款</w:t>
      </w:r>
    </w:p>
    <w:p w14:paraId="34131845">
      <w:pPr>
        <w:pStyle w:val="41"/>
        <w:spacing w:line="360" w:lineRule="auto"/>
        <w:ind w:left="561"/>
        <w:jc w:val="left"/>
        <w:rPr>
          <w:rFonts w:ascii="宋体" w:hAnsi="宋体"/>
          <w:b/>
          <w:sz w:val="28"/>
          <w:szCs w:val="28"/>
          <w:highlight w:val="none"/>
        </w:rPr>
      </w:pPr>
      <w:r>
        <w:rPr>
          <w:rFonts w:hint="eastAsia" w:ascii="宋体" w:hAnsi="宋体"/>
          <w:b/>
          <w:sz w:val="28"/>
          <w:szCs w:val="28"/>
          <w:highlight w:val="none"/>
        </w:rPr>
        <w:t>第三篇 组成合同附件</w:t>
      </w:r>
    </w:p>
    <w:p w14:paraId="68A45B03">
      <w:pPr>
        <w:pStyle w:val="7"/>
        <w:spacing w:line="360" w:lineRule="auto"/>
        <w:ind w:firstLine="560"/>
        <w:rPr>
          <w:sz w:val="28"/>
          <w:szCs w:val="28"/>
          <w:highlight w:val="none"/>
        </w:rPr>
      </w:pPr>
      <w:r>
        <w:rPr>
          <w:rFonts w:hint="eastAsia"/>
          <w:sz w:val="28"/>
          <w:szCs w:val="28"/>
          <w:highlight w:val="none"/>
        </w:rPr>
        <w:t>附件一 廉政合同</w:t>
      </w:r>
    </w:p>
    <w:p w14:paraId="44A04DF8">
      <w:pPr>
        <w:pStyle w:val="7"/>
        <w:spacing w:line="360" w:lineRule="auto"/>
        <w:ind w:firstLine="560"/>
        <w:rPr>
          <w:sz w:val="28"/>
          <w:szCs w:val="28"/>
          <w:highlight w:val="none"/>
        </w:rPr>
      </w:pPr>
      <w:r>
        <w:rPr>
          <w:rFonts w:hint="eastAsia"/>
          <w:sz w:val="28"/>
          <w:szCs w:val="28"/>
          <w:highlight w:val="none"/>
        </w:rPr>
        <w:t>附件二 工程设计附件</w:t>
      </w:r>
    </w:p>
    <w:p w14:paraId="0A3107D6">
      <w:pPr>
        <w:pStyle w:val="7"/>
        <w:spacing w:line="360" w:lineRule="auto"/>
        <w:ind w:firstLine="560"/>
        <w:jc w:val="left"/>
        <w:rPr>
          <w:sz w:val="28"/>
          <w:szCs w:val="28"/>
          <w:highlight w:val="none"/>
        </w:rPr>
      </w:pPr>
      <w:r>
        <w:rPr>
          <w:rFonts w:hint="eastAsia"/>
          <w:sz w:val="28"/>
          <w:szCs w:val="28"/>
          <w:highlight w:val="none"/>
        </w:rPr>
        <w:t>附件2.1 设计管理办法</w:t>
      </w:r>
    </w:p>
    <w:p w14:paraId="1E1757EE">
      <w:pPr>
        <w:pStyle w:val="7"/>
        <w:spacing w:line="360" w:lineRule="auto"/>
        <w:ind w:firstLine="560"/>
        <w:rPr>
          <w:sz w:val="28"/>
          <w:szCs w:val="28"/>
          <w:highlight w:val="none"/>
        </w:rPr>
      </w:pPr>
      <w:r>
        <w:rPr>
          <w:rFonts w:hint="eastAsia"/>
          <w:sz w:val="28"/>
          <w:szCs w:val="28"/>
          <w:highlight w:val="none"/>
        </w:rPr>
        <w:t>附件2.2设计人员架构表</w:t>
      </w:r>
    </w:p>
    <w:p w14:paraId="29A7D980">
      <w:pPr>
        <w:pStyle w:val="7"/>
        <w:spacing w:line="360" w:lineRule="auto"/>
        <w:ind w:firstLine="560"/>
        <w:rPr>
          <w:sz w:val="28"/>
          <w:szCs w:val="28"/>
          <w:highlight w:val="none"/>
        </w:rPr>
      </w:pPr>
      <w:r>
        <w:rPr>
          <w:rFonts w:hint="eastAsia"/>
          <w:sz w:val="28"/>
          <w:szCs w:val="28"/>
          <w:highlight w:val="none"/>
        </w:rPr>
        <w:t>附件三 中标通知书</w:t>
      </w:r>
    </w:p>
    <w:p w14:paraId="42FFB8DD">
      <w:pPr>
        <w:pStyle w:val="7"/>
        <w:ind w:firstLine="560"/>
        <w:rPr>
          <w:rFonts w:ascii="宋体" w:hAnsi="宋体"/>
          <w:sz w:val="24"/>
          <w:highlight w:val="none"/>
        </w:rPr>
      </w:pPr>
      <w:r>
        <w:rPr>
          <w:rFonts w:hint="eastAsia"/>
          <w:sz w:val="28"/>
          <w:szCs w:val="28"/>
          <w:highlight w:val="none"/>
        </w:rPr>
        <w:t>附件四 设计任务书</w:t>
      </w:r>
    </w:p>
    <w:p w14:paraId="08B37EA8">
      <w:pPr>
        <w:pStyle w:val="7"/>
        <w:ind w:firstLine="480"/>
        <w:rPr>
          <w:sz w:val="24"/>
          <w:highlight w:val="none"/>
        </w:rPr>
      </w:pPr>
    </w:p>
    <w:p w14:paraId="69D127D4">
      <w:pPr>
        <w:pStyle w:val="7"/>
        <w:ind w:firstLine="600" w:firstLineChars="250"/>
        <w:rPr>
          <w:sz w:val="24"/>
          <w:highlight w:val="none"/>
        </w:rPr>
      </w:pPr>
    </w:p>
    <w:p w14:paraId="10938849">
      <w:pPr>
        <w:pStyle w:val="41"/>
        <w:spacing w:line="360" w:lineRule="auto"/>
        <w:ind w:left="1686"/>
        <w:jc w:val="left"/>
        <w:rPr>
          <w:rFonts w:ascii="宋体" w:hAnsi="宋体"/>
          <w:b/>
          <w:sz w:val="28"/>
          <w:szCs w:val="28"/>
          <w:highlight w:val="none"/>
        </w:rPr>
      </w:pPr>
    </w:p>
    <w:p w14:paraId="654E9F61">
      <w:pPr>
        <w:pStyle w:val="41"/>
        <w:spacing w:line="360" w:lineRule="auto"/>
        <w:ind w:firstLine="562" w:firstLineChars="200"/>
        <w:jc w:val="left"/>
        <w:rPr>
          <w:rFonts w:ascii="宋体" w:hAnsi="宋体"/>
          <w:b/>
          <w:sz w:val="28"/>
          <w:szCs w:val="28"/>
          <w:highlight w:val="none"/>
        </w:rPr>
      </w:pPr>
    </w:p>
    <w:p w14:paraId="1A4B96B1">
      <w:pPr>
        <w:pStyle w:val="41"/>
        <w:spacing w:line="360" w:lineRule="auto"/>
        <w:ind w:firstLine="562" w:firstLineChars="200"/>
        <w:jc w:val="left"/>
        <w:rPr>
          <w:rFonts w:ascii="宋体" w:hAnsi="宋体"/>
          <w:b/>
          <w:sz w:val="28"/>
          <w:szCs w:val="28"/>
          <w:highlight w:val="none"/>
        </w:rPr>
      </w:pPr>
    </w:p>
    <w:p w14:paraId="77D128AC">
      <w:pPr>
        <w:pStyle w:val="41"/>
        <w:spacing w:line="360" w:lineRule="auto"/>
        <w:ind w:firstLine="562" w:firstLineChars="200"/>
        <w:jc w:val="left"/>
        <w:rPr>
          <w:rFonts w:ascii="宋体" w:hAnsi="宋体"/>
          <w:b/>
          <w:sz w:val="28"/>
          <w:szCs w:val="28"/>
          <w:highlight w:val="none"/>
        </w:rPr>
      </w:pPr>
    </w:p>
    <w:p w14:paraId="7ED325B8">
      <w:pPr>
        <w:pStyle w:val="41"/>
        <w:spacing w:line="360" w:lineRule="auto"/>
        <w:ind w:firstLine="562" w:firstLineChars="200"/>
        <w:jc w:val="left"/>
        <w:rPr>
          <w:rFonts w:ascii="宋体" w:hAnsi="宋体"/>
          <w:b/>
          <w:sz w:val="28"/>
          <w:szCs w:val="28"/>
          <w:highlight w:val="none"/>
        </w:rPr>
      </w:pPr>
    </w:p>
    <w:p w14:paraId="53B88868">
      <w:pPr>
        <w:pStyle w:val="41"/>
        <w:spacing w:line="360" w:lineRule="auto"/>
        <w:ind w:firstLine="562" w:firstLineChars="200"/>
        <w:jc w:val="left"/>
        <w:rPr>
          <w:rFonts w:ascii="宋体" w:hAnsi="宋体"/>
          <w:b/>
          <w:sz w:val="28"/>
          <w:szCs w:val="28"/>
          <w:highlight w:val="none"/>
        </w:rPr>
      </w:pPr>
    </w:p>
    <w:p w14:paraId="21CD7190">
      <w:pPr>
        <w:pStyle w:val="41"/>
        <w:spacing w:line="360" w:lineRule="auto"/>
        <w:ind w:firstLine="562" w:firstLineChars="200"/>
        <w:jc w:val="left"/>
        <w:rPr>
          <w:rFonts w:ascii="宋体" w:hAnsi="宋体"/>
          <w:b/>
          <w:sz w:val="28"/>
          <w:szCs w:val="28"/>
          <w:highlight w:val="none"/>
        </w:rPr>
      </w:pPr>
    </w:p>
    <w:p w14:paraId="2AAB0BDE">
      <w:pPr>
        <w:pStyle w:val="41"/>
        <w:spacing w:line="360" w:lineRule="auto"/>
        <w:ind w:firstLine="562" w:firstLineChars="200"/>
        <w:jc w:val="left"/>
        <w:rPr>
          <w:rFonts w:ascii="宋体" w:hAnsi="宋体"/>
          <w:b/>
          <w:sz w:val="28"/>
          <w:szCs w:val="28"/>
          <w:highlight w:val="none"/>
        </w:rPr>
      </w:pPr>
    </w:p>
    <w:p w14:paraId="0E0CA7FB">
      <w:pPr>
        <w:pStyle w:val="41"/>
        <w:spacing w:line="360" w:lineRule="auto"/>
        <w:ind w:firstLine="562" w:firstLineChars="200"/>
        <w:jc w:val="left"/>
        <w:rPr>
          <w:rFonts w:ascii="宋体" w:hAnsi="宋体"/>
          <w:b/>
          <w:sz w:val="28"/>
          <w:szCs w:val="28"/>
          <w:highlight w:val="none"/>
        </w:rPr>
      </w:pPr>
    </w:p>
    <w:p w14:paraId="6FCCFAFE">
      <w:pPr>
        <w:pStyle w:val="41"/>
        <w:spacing w:line="360" w:lineRule="auto"/>
        <w:ind w:firstLine="833" w:firstLineChars="397"/>
        <w:jc w:val="left"/>
        <w:rPr>
          <w:rFonts w:hint="eastAsia" w:eastAsia="宋体"/>
          <w:highlight w:val="none"/>
          <w:lang w:eastAsia="zh-CN"/>
        </w:rPr>
      </w:pPr>
    </w:p>
    <w:p w14:paraId="5637A42E">
      <w:pPr>
        <w:widowControl/>
        <w:jc w:val="left"/>
        <w:rPr>
          <w:rFonts w:ascii="黑体" w:hAnsi="黑体" w:eastAsia="黑体"/>
          <w:bCs/>
          <w:kern w:val="0"/>
          <w:sz w:val="32"/>
          <w:szCs w:val="32"/>
          <w:highlight w:val="none"/>
        </w:rPr>
      </w:pPr>
      <w:r>
        <w:rPr>
          <w:sz w:val="32"/>
          <w:szCs w:val="32"/>
          <w:highlight w:val="none"/>
        </w:rPr>
        <w:br w:type="page"/>
      </w:r>
    </w:p>
    <w:p w14:paraId="7E6A120C">
      <w:pPr>
        <w:pStyle w:val="49"/>
        <w:rPr>
          <w:sz w:val="32"/>
          <w:szCs w:val="32"/>
          <w:highlight w:val="none"/>
        </w:rPr>
      </w:pPr>
      <w:r>
        <w:rPr>
          <w:rFonts w:hint="eastAsia"/>
          <w:sz w:val="32"/>
          <w:szCs w:val="32"/>
          <w:highlight w:val="none"/>
        </w:rPr>
        <w:t>第一篇协议书</w:t>
      </w:r>
      <w:bookmarkEnd w:id="0"/>
    </w:p>
    <w:p w14:paraId="79DE0567">
      <w:pPr>
        <w:autoSpaceDE w:val="0"/>
        <w:autoSpaceDN w:val="0"/>
        <w:adjustRightInd w:val="0"/>
        <w:spacing w:before="4" w:line="130" w:lineRule="exact"/>
        <w:jc w:val="left"/>
        <w:rPr>
          <w:rFonts w:ascii="宋体" w:cs="宋体"/>
          <w:kern w:val="0"/>
          <w:sz w:val="13"/>
          <w:szCs w:val="13"/>
          <w:highlight w:val="none"/>
        </w:rPr>
      </w:pPr>
    </w:p>
    <w:p w14:paraId="0E3F8B9A">
      <w:pPr>
        <w:spacing w:line="360" w:lineRule="auto"/>
        <w:ind w:firstLine="482" w:firstLineChars="200"/>
        <w:rPr>
          <w:rFonts w:hint="eastAsia" w:ascii="宋体" w:hAnsi="宋体" w:eastAsia="宋体"/>
          <w:b/>
          <w:snapToGrid w:val="0"/>
          <w:kern w:val="13"/>
          <w:sz w:val="24"/>
          <w:highlight w:val="none"/>
          <w:u w:val="single"/>
          <w:lang w:eastAsia="zh-CN"/>
        </w:rPr>
      </w:pPr>
      <w:r>
        <w:rPr>
          <w:rFonts w:hint="eastAsia" w:ascii="宋体" w:hAnsi="宋体"/>
          <w:b/>
          <w:sz w:val="24"/>
          <w:highlight w:val="none"/>
        </w:rPr>
        <w:t>甲方</w:t>
      </w:r>
      <w:r>
        <w:rPr>
          <w:rFonts w:hint="eastAsia" w:ascii="宋体" w:hAnsi="宋体"/>
          <w:b/>
          <w:snapToGrid w:val="0"/>
          <w:kern w:val="13"/>
          <w:sz w:val="24"/>
          <w:highlight w:val="none"/>
        </w:rPr>
        <w:t>：</w:t>
      </w:r>
      <w:r>
        <w:rPr>
          <w:rFonts w:hint="eastAsia" w:ascii="宋体" w:hAnsi="宋体" w:cs="仿宋_GB2312"/>
          <w:b/>
          <w:sz w:val="24"/>
          <w:highlight w:val="none"/>
          <w:u w:val="single"/>
        </w:rPr>
        <w:t xml:space="preserve"> </w:t>
      </w:r>
      <w:r>
        <w:rPr>
          <w:rFonts w:hint="eastAsia" w:ascii="宋体" w:hAnsi="宋体"/>
          <w:b/>
          <w:snapToGrid w:val="0"/>
          <w:kern w:val="13"/>
          <w:sz w:val="24"/>
          <w:highlight w:val="none"/>
          <w:u w:val="single"/>
        </w:rPr>
        <w:t xml:space="preserve">                                  </w:t>
      </w:r>
    </w:p>
    <w:p w14:paraId="455916FB">
      <w:pPr>
        <w:spacing w:line="360" w:lineRule="auto"/>
        <w:ind w:firstLine="482" w:firstLineChars="200"/>
        <w:rPr>
          <w:rFonts w:hint="eastAsia" w:ascii="宋体" w:hAnsi="宋体" w:eastAsia="宋体"/>
          <w:b/>
          <w:snapToGrid w:val="0"/>
          <w:kern w:val="13"/>
          <w:sz w:val="24"/>
          <w:highlight w:val="none"/>
          <w:u w:val="single"/>
          <w:lang w:eastAsia="zh-CN"/>
        </w:rPr>
      </w:pPr>
      <w:r>
        <w:rPr>
          <w:rFonts w:hint="eastAsia" w:ascii="宋体" w:hAnsi="宋体"/>
          <w:b/>
          <w:snapToGrid w:val="0"/>
          <w:kern w:val="13"/>
          <w:sz w:val="24"/>
          <w:highlight w:val="none"/>
        </w:rPr>
        <w:t>法定代表人：</w:t>
      </w:r>
      <w:r>
        <w:rPr>
          <w:rFonts w:hint="eastAsia" w:ascii="宋体" w:hAnsi="宋体" w:cs="仿宋_GB2312"/>
          <w:b/>
          <w:sz w:val="24"/>
          <w:highlight w:val="none"/>
          <w:u w:val="single"/>
        </w:rPr>
        <w:t xml:space="preserve"> </w:t>
      </w:r>
      <w:r>
        <w:rPr>
          <w:rFonts w:hint="eastAsia" w:ascii="宋体" w:hAnsi="宋体"/>
          <w:b/>
          <w:snapToGrid w:val="0"/>
          <w:kern w:val="13"/>
          <w:sz w:val="24"/>
          <w:highlight w:val="none"/>
          <w:u w:val="single"/>
        </w:rPr>
        <w:t xml:space="preserve">                                                    </w:t>
      </w:r>
    </w:p>
    <w:p w14:paraId="75DA51FA">
      <w:pPr>
        <w:spacing w:after="120" w:afterLines="50" w:line="360" w:lineRule="auto"/>
        <w:ind w:firstLine="482" w:firstLineChars="200"/>
        <w:rPr>
          <w:rFonts w:hint="eastAsia" w:ascii="宋体" w:hAnsi="宋体" w:eastAsia="宋体"/>
          <w:b/>
          <w:snapToGrid w:val="0"/>
          <w:kern w:val="13"/>
          <w:sz w:val="24"/>
          <w:highlight w:val="none"/>
          <w:u w:val="single"/>
          <w:lang w:eastAsia="zh-CN"/>
        </w:rPr>
      </w:pPr>
      <w:r>
        <w:rPr>
          <w:rFonts w:hint="eastAsia" w:ascii="宋体" w:hAnsi="宋体"/>
          <w:b/>
          <w:snapToGrid w:val="0"/>
          <w:kern w:val="13"/>
          <w:sz w:val="24"/>
          <w:highlight w:val="none"/>
        </w:rPr>
        <w:t>通信地址：</w:t>
      </w:r>
      <w:r>
        <w:rPr>
          <w:rFonts w:hint="eastAsia" w:ascii="宋体" w:hAnsi="宋体" w:cs="仿宋_GB2312"/>
          <w:b/>
          <w:sz w:val="24"/>
          <w:highlight w:val="none"/>
          <w:u w:val="single"/>
        </w:rPr>
        <w:t xml:space="preserve">                                                         </w:t>
      </w:r>
      <w:r>
        <w:rPr>
          <w:rFonts w:hint="eastAsia" w:ascii="宋体" w:hAnsi="宋体"/>
          <w:b/>
          <w:snapToGrid w:val="0"/>
          <w:kern w:val="13"/>
          <w:sz w:val="24"/>
          <w:highlight w:val="none"/>
          <w:u w:val="single"/>
        </w:rPr>
        <w:t xml:space="preserve">                                      </w:t>
      </w:r>
    </w:p>
    <w:p w14:paraId="0819A2CE">
      <w:pPr>
        <w:spacing w:line="360" w:lineRule="auto"/>
        <w:ind w:firstLine="482" w:firstLineChars="200"/>
        <w:rPr>
          <w:rFonts w:hint="eastAsia" w:ascii="宋体" w:hAnsi="宋体" w:eastAsia="宋体"/>
          <w:b/>
          <w:snapToGrid w:val="0"/>
          <w:kern w:val="13"/>
          <w:sz w:val="24"/>
          <w:highlight w:val="none"/>
          <w:u w:val="single"/>
          <w:lang w:eastAsia="zh-CN"/>
        </w:rPr>
      </w:pPr>
      <w:r>
        <w:rPr>
          <w:rFonts w:hint="eastAsia" w:ascii="宋体" w:hAnsi="宋体"/>
          <w:b/>
          <w:sz w:val="24"/>
          <w:highlight w:val="none"/>
        </w:rPr>
        <w:t>乙方</w:t>
      </w:r>
      <w:r>
        <w:rPr>
          <w:rFonts w:hint="eastAsia" w:ascii="宋体" w:hAnsi="宋体"/>
          <w:b/>
          <w:snapToGrid w:val="0"/>
          <w:kern w:val="13"/>
          <w:sz w:val="24"/>
          <w:highlight w:val="none"/>
        </w:rPr>
        <w:t>：</w:t>
      </w:r>
      <w:r>
        <w:rPr>
          <w:rFonts w:hint="eastAsia" w:ascii="宋体" w:hAnsi="宋体"/>
          <w:b/>
          <w:snapToGrid w:val="0"/>
          <w:kern w:val="13"/>
          <w:sz w:val="24"/>
          <w:highlight w:val="none"/>
          <w:u w:val="single"/>
        </w:rPr>
        <w:t xml:space="preserve"> </w:t>
      </w:r>
      <w:r>
        <w:rPr>
          <w:rFonts w:hint="eastAsia" w:ascii="宋体" w:hAnsi="宋体"/>
          <w:b/>
          <w:sz w:val="24"/>
          <w:highlight w:val="none"/>
          <w:u w:val="single"/>
        </w:rPr>
        <w:t xml:space="preserve">                                                        </w:t>
      </w:r>
      <w:r>
        <w:rPr>
          <w:rFonts w:hint="eastAsia" w:ascii="宋体" w:hAnsi="宋体"/>
          <w:b/>
          <w:snapToGrid w:val="0"/>
          <w:kern w:val="13"/>
          <w:sz w:val="24"/>
          <w:highlight w:val="none"/>
          <w:u w:val="single"/>
        </w:rPr>
        <w:t xml:space="preserve">                            </w:t>
      </w:r>
    </w:p>
    <w:p w14:paraId="48C6DEDD">
      <w:pPr>
        <w:spacing w:line="360" w:lineRule="auto"/>
        <w:ind w:firstLine="482" w:firstLineChars="200"/>
        <w:rPr>
          <w:rFonts w:hint="eastAsia" w:ascii="宋体" w:hAnsi="宋体" w:eastAsia="宋体"/>
          <w:b/>
          <w:snapToGrid w:val="0"/>
          <w:kern w:val="13"/>
          <w:sz w:val="24"/>
          <w:highlight w:val="none"/>
          <w:u w:val="single"/>
          <w:lang w:eastAsia="zh-CN"/>
        </w:rPr>
      </w:pPr>
      <w:r>
        <w:rPr>
          <w:rFonts w:hint="eastAsia" w:ascii="宋体" w:hAnsi="宋体"/>
          <w:b/>
          <w:snapToGrid w:val="0"/>
          <w:kern w:val="13"/>
          <w:sz w:val="24"/>
          <w:highlight w:val="none"/>
        </w:rPr>
        <w:t>负责人：</w:t>
      </w:r>
      <w:r>
        <w:rPr>
          <w:rFonts w:hint="eastAsia" w:ascii="宋体" w:hAnsi="宋体"/>
          <w:b/>
          <w:snapToGrid w:val="0"/>
          <w:kern w:val="13"/>
          <w:sz w:val="24"/>
          <w:highlight w:val="none"/>
          <w:u w:val="single"/>
        </w:rPr>
        <w:t xml:space="preserve">                                                         </w:t>
      </w:r>
    </w:p>
    <w:p w14:paraId="5C602B6F">
      <w:pPr>
        <w:spacing w:after="120" w:afterLines="50" w:line="360" w:lineRule="auto"/>
        <w:ind w:firstLine="482" w:firstLineChars="200"/>
        <w:rPr>
          <w:rFonts w:hint="eastAsia" w:ascii="宋体" w:hAnsi="宋体" w:eastAsia="宋体"/>
          <w:b/>
          <w:snapToGrid w:val="0"/>
          <w:kern w:val="13"/>
          <w:sz w:val="24"/>
          <w:highlight w:val="none"/>
          <w:lang w:eastAsia="zh-CN"/>
        </w:rPr>
      </w:pPr>
      <w:r>
        <w:rPr>
          <w:rFonts w:hint="eastAsia" w:ascii="宋体" w:hAnsi="宋体"/>
          <w:b/>
          <w:snapToGrid w:val="0"/>
          <w:kern w:val="13"/>
          <w:sz w:val="24"/>
          <w:highlight w:val="none"/>
        </w:rPr>
        <w:t>通信地址：</w:t>
      </w:r>
      <w:r>
        <w:rPr>
          <w:rFonts w:hint="eastAsia" w:ascii="宋体" w:hAnsi="宋体"/>
          <w:b/>
          <w:snapToGrid w:val="0"/>
          <w:kern w:val="13"/>
          <w:sz w:val="24"/>
          <w:highlight w:val="none"/>
          <w:u w:val="single"/>
        </w:rPr>
        <w:t xml:space="preserve">                                                                                    </w:t>
      </w:r>
    </w:p>
    <w:p w14:paraId="22F15CE8">
      <w:pPr>
        <w:autoSpaceDE w:val="0"/>
        <w:autoSpaceDN w:val="0"/>
        <w:adjustRightInd w:val="0"/>
        <w:spacing w:line="360" w:lineRule="auto"/>
        <w:ind w:firstLine="484" w:firstLineChars="200"/>
        <w:jc w:val="left"/>
        <w:rPr>
          <w:rFonts w:hint="eastAsia" w:ascii="宋体" w:eastAsia="宋体" w:cs="宋体"/>
          <w:kern w:val="0"/>
          <w:sz w:val="24"/>
          <w:highlight w:val="none"/>
          <w:lang w:eastAsia="zh-CN"/>
        </w:rPr>
      </w:pPr>
      <w:r>
        <w:rPr>
          <w:rFonts w:hint="eastAsia" w:ascii="宋体" w:cs="宋体"/>
          <w:spacing w:val="1"/>
          <w:kern w:val="0"/>
          <w:position w:val="-3"/>
          <w:sz w:val="24"/>
          <w:highlight w:val="none"/>
        </w:rPr>
        <w:t>依照《中华人民共和国民法典</w:t>
      </w:r>
      <w:r>
        <w:rPr>
          <w:rFonts w:hint="eastAsia" w:ascii="宋体" w:cs="宋体"/>
          <w:spacing w:val="1"/>
          <w:kern w:val="0"/>
          <w:position w:val="-3"/>
          <w:sz w:val="24"/>
          <w:highlight w:val="none"/>
          <w:lang w:eastAsia="zh-CN"/>
        </w:rPr>
        <w:t>》《</w:t>
      </w:r>
      <w:r>
        <w:rPr>
          <w:rFonts w:hint="eastAsia" w:ascii="宋体" w:cs="宋体"/>
          <w:spacing w:val="1"/>
          <w:kern w:val="0"/>
          <w:position w:val="-3"/>
          <w:sz w:val="24"/>
          <w:highlight w:val="none"/>
        </w:rPr>
        <w:t>中华人民共和国建筑法》及</w:t>
      </w:r>
      <w:r>
        <w:rPr>
          <w:rFonts w:hint="eastAsia" w:ascii="宋体" w:cs="宋体"/>
          <w:kern w:val="0"/>
          <w:position w:val="-3"/>
          <w:sz w:val="24"/>
          <w:highlight w:val="none"/>
        </w:rPr>
        <w:t>其</w:t>
      </w:r>
      <w:r>
        <w:rPr>
          <w:rFonts w:hint="eastAsia" w:ascii="宋体" w:cs="宋体"/>
          <w:spacing w:val="1"/>
          <w:kern w:val="0"/>
          <w:position w:val="-3"/>
          <w:sz w:val="24"/>
          <w:highlight w:val="none"/>
        </w:rPr>
        <w:t>他有关法律法规，遵循平</w:t>
      </w:r>
      <w:r>
        <w:rPr>
          <w:rFonts w:hint="eastAsia" w:ascii="宋体" w:cs="宋体"/>
          <w:kern w:val="0"/>
          <w:sz w:val="24"/>
          <w:highlight w:val="none"/>
        </w:rPr>
        <w:t>等、自愿、公平和诚实信用</w:t>
      </w:r>
      <w:r>
        <w:rPr>
          <w:rFonts w:hint="eastAsia" w:ascii="宋体" w:cs="宋体"/>
          <w:spacing w:val="2"/>
          <w:kern w:val="0"/>
          <w:sz w:val="24"/>
          <w:highlight w:val="none"/>
        </w:rPr>
        <w:t>的</w:t>
      </w:r>
      <w:r>
        <w:rPr>
          <w:rFonts w:hint="eastAsia" w:ascii="宋体" w:cs="宋体"/>
          <w:kern w:val="0"/>
          <w:sz w:val="24"/>
          <w:highlight w:val="none"/>
        </w:rPr>
        <w:t>原则，合同双方当事人就合同工</w:t>
      </w:r>
      <w:r>
        <w:rPr>
          <w:rFonts w:hint="eastAsia" w:ascii="宋体" w:cs="宋体"/>
          <w:spacing w:val="2"/>
          <w:kern w:val="0"/>
          <w:sz w:val="24"/>
          <w:highlight w:val="none"/>
        </w:rPr>
        <w:t>程设计</w:t>
      </w:r>
      <w:r>
        <w:rPr>
          <w:rFonts w:hint="eastAsia" w:ascii="宋体" w:cs="宋体"/>
          <w:kern w:val="0"/>
          <w:sz w:val="24"/>
          <w:highlight w:val="none"/>
        </w:rPr>
        <w:t>有关事项达成一</w:t>
      </w:r>
      <w:r>
        <w:rPr>
          <w:rFonts w:hint="eastAsia" w:ascii="宋体" w:cs="宋体"/>
          <w:spacing w:val="2"/>
          <w:kern w:val="0"/>
          <w:sz w:val="24"/>
          <w:highlight w:val="none"/>
        </w:rPr>
        <w:t>致</w:t>
      </w:r>
      <w:r>
        <w:rPr>
          <w:rFonts w:hint="eastAsia" w:ascii="宋体" w:cs="宋体"/>
          <w:kern w:val="0"/>
          <w:sz w:val="24"/>
          <w:highlight w:val="none"/>
        </w:rPr>
        <w:t>意</w:t>
      </w:r>
      <w:r>
        <w:rPr>
          <w:rFonts w:hint="eastAsia" w:ascii="宋体" w:cs="宋体"/>
          <w:spacing w:val="2"/>
          <w:kern w:val="0"/>
          <w:sz w:val="24"/>
          <w:highlight w:val="none"/>
        </w:rPr>
        <w:t>见</w:t>
      </w:r>
      <w:r>
        <w:rPr>
          <w:rFonts w:hint="eastAsia" w:ascii="宋体" w:cs="宋体"/>
          <w:kern w:val="0"/>
          <w:sz w:val="24"/>
          <w:highlight w:val="none"/>
        </w:rPr>
        <w:t>，订立本协议书。</w:t>
      </w:r>
    </w:p>
    <w:p w14:paraId="6E028545">
      <w:pPr>
        <w:pStyle w:val="32"/>
        <w:spacing w:before="120" w:beforeLines="50" w:line="360" w:lineRule="auto"/>
        <w:ind w:firstLine="198"/>
        <w:jc w:val="both"/>
        <w:outlineLvl w:val="9"/>
        <w:rPr>
          <w:highlight w:val="none"/>
        </w:rPr>
      </w:pPr>
      <w:bookmarkStart w:id="1" w:name="_Toc287627914"/>
      <w:r>
        <w:rPr>
          <w:rFonts w:hint="eastAsia"/>
          <w:highlight w:val="none"/>
        </w:rPr>
        <w:t>一、工程概况</w:t>
      </w:r>
      <w:bookmarkEnd w:id="1"/>
    </w:p>
    <w:p w14:paraId="2B2407D6">
      <w:pPr>
        <w:autoSpaceDE w:val="0"/>
        <w:autoSpaceDN w:val="0"/>
        <w:adjustRightInd w:val="0"/>
        <w:spacing w:line="360" w:lineRule="auto"/>
        <w:ind w:firstLine="484" w:firstLineChars="200"/>
        <w:rPr>
          <w:rFonts w:ascii="宋体" w:cs="宋体"/>
          <w:spacing w:val="1"/>
          <w:kern w:val="0"/>
          <w:position w:val="-3"/>
          <w:sz w:val="24"/>
          <w:highlight w:val="none"/>
        </w:rPr>
      </w:pPr>
      <w:r>
        <w:rPr>
          <w:rFonts w:hint="eastAsia" w:ascii="宋体" w:cs="宋体"/>
          <w:spacing w:val="1"/>
          <w:kern w:val="0"/>
          <w:position w:val="-3"/>
          <w:sz w:val="24"/>
          <w:highlight w:val="none"/>
        </w:rPr>
        <w:t>1、工程名称：</w:t>
      </w:r>
      <w:r>
        <w:rPr>
          <w:rFonts w:hint="eastAsia" w:ascii="宋体" w:cs="宋体"/>
          <w:spacing w:val="1"/>
          <w:kern w:val="0"/>
          <w:position w:val="-3"/>
          <w:sz w:val="24"/>
          <w:highlight w:val="none"/>
          <w:u w:val="single"/>
        </w:rPr>
        <w:t>广州市白云区云城街萧岗经济联合社省实留用地项目（AB2804070地块得润留用地）</w:t>
      </w:r>
      <w:r>
        <w:rPr>
          <w:rFonts w:hint="eastAsia" w:ascii="宋体" w:cs="宋体"/>
          <w:spacing w:val="1"/>
          <w:kern w:val="0"/>
          <w:position w:val="-3"/>
          <w:sz w:val="24"/>
          <w:highlight w:val="none"/>
        </w:rPr>
        <w:t>。</w:t>
      </w:r>
    </w:p>
    <w:p w14:paraId="0480F74F">
      <w:pPr>
        <w:autoSpaceDE w:val="0"/>
        <w:autoSpaceDN w:val="0"/>
        <w:adjustRightInd w:val="0"/>
        <w:spacing w:line="360" w:lineRule="auto"/>
        <w:ind w:firstLine="484" w:firstLineChars="200"/>
        <w:rPr>
          <w:rFonts w:ascii="宋体" w:cs="宋体"/>
          <w:spacing w:val="1"/>
          <w:kern w:val="0"/>
          <w:position w:val="-3"/>
          <w:sz w:val="24"/>
          <w:highlight w:val="none"/>
        </w:rPr>
      </w:pPr>
      <w:r>
        <w:rPr>
          <w:rFonts w:hint="eastAsia" w:ascii="宋体" w:cs="宋体"/>
          <w:spacing w:val="1"/>
          <w:kern w:val="0"/>
          <w:position w:val="-3"/>
          <w:sz w:val="24"/>
          <w:highlight w:val="none"/>
        </w:rPr>
        <w:t>2、工程地点：</w:t>
      </w:r>
      <w:r>
        <w:rPr>
          <w:rFonts w:hint="eastAsia" w:ascii="宋体" w:cs="宋体"/>
          <w:spacing w:val="1"/>
          <w:kern w:val="0"/>
          <w:position w:val="-3"/>
          <w:sz w:val="24"/>
          <w:highlight w:val="none"/>
          <w:u w:val="single"/>
        </w:rPr>
        <w:t>广州市白云区</w:t>
      </w:r>
      <w:r>
        <w:rPr>
          <w:rFonts w:hint="eastAsia" w:ascii="宋体" w:cs="宋体"/>
          <w:spacing w:val="1"/>
          <w:kern w:val="0"/>
          <w:position w:val="-3"/>
          <w:sz w:val="24"/>
          <w:highlight w:val="none"/>
        </w:rPr>
        <w:t>。</w:t>
      </w:r>
    </w:p>
    <w:p w14:paraId="2AFC6E73">
      <w:pPr>
        <w:autoSpaceDE w:val="0"/>
        <w:autoSpaceDN w:val="0"/>
        <w:adjustRightInd w:val="0"/>
        <w:spacing w:line="360" w:lineRule="auto"/>
        <w:ind w:firstLine="484" w:firstLineChars="200"/>
        <w:rPr>
          <w:kern w:val="0"/>
          <w:sz w:val="24"/>
          <w:highlight w:val="none"/>
        </w:rPr>
      </w:pPr>
      <w:r>
        <w:rPr>
          <w:rFonts w:hint="eastAsia" w:ascii="宋体" w:cs="宋体"/>
          <w:spacing w:val="1"/>
          <w:kern w:val="0"/>
          <w:position w:val="-3"/>
          <w:sz w:val="24"/>
          <w:highlight w:val="none"/>
        </w:rPr>
        <w:t>3、工程内容：</w:t>
      </w:r>
      <w:r>
        <w:rPr>
          <w:rFonts w:hint="eastAsia" w:ascii="黑体" w:eastAsia="黑体"/>
          <w:bCs/>
          <w:sz w:val="28"/>
          <w:szCs w:val="28"/>
          <w:highlight w:val="none"/>
          <w:u w:val="single"/>
        </w:rPr>
        <w:t xml:space="preserve">                         </w:t>
      </w:r>
      <w:r>
        <w:rPr>
          <w:rFonts w:hint="eastAsia" w:ascii="宋体" w:cs="宋体"/>
          <w:spacing w:val="1"/>
          <w:kern w:val="0"/>
          <w:position w:val="-3"/>
          <w:sz w:val="24"/>
          <w:highlight w:val="none"/>
        </w:rPr>
        <w:t>。</w:t>
      </w:r>
    </w:p>
    <w:p w14:paraId="21D43A50">
      <w:pPr>
        <w:autoSpaceDE w:val="0"/>
        <w:autoSpaceDN w:val="0"/>
        <w:adjustRightInd w:val="0"/>
        <w:spacing w:line="360" w:lineRule="auto"/>
        <w:ind w:firstLine="484" w:firstLineChars="200"/>
        <w:rPr>
          <w:rFonts w:ascii="宋体" w:cs="宋体"/>
          <w:spacing w:val="1"/>
          <w:kern w:val="0"/>
          <w:position w:val="-3"/>
          <w:sz w:val="24"/>
          <w:highlight w:val="none"/>
        </w:rPr>
      </w:pPr>
      <w:r>
        <w:rPr>
          <w:rFonts w:hint="eastAsia" w:ascii="宋体" w:cs="宋体"/>
          <w:spacing w:val="1"/>
          <w:kern w:val="0"/>
          <w:position w:val="-3"/>
          <w:sz w:val="24"/>
          <w:highlight w:val="none"/>
        </w:rPr>
        <w:t>4、结构形式：框架为主。</w:t>
      </w:r>
    </w:p>
    <w:p w14:paraId="55106226">
      <w:pPr>
        <w:autoSpaceDE w:val="0"/>
        <w:autoSpaceDN w:val="0"/>
        <w:adjustRightInd w:val="0"/>
        <w:spacing w:line="360" w:lineRule="auto"/>
        <w:ind w:firstLine="484" w:firstLineChars="200"/>
        <w:rPr>
          <w:rFonts w:ascii="宋体" w:cs="宋体"/>
          <w:spacing w:val="1"/>
          <w:kern w:val="0"/>
          <w:position w:val="-3"/>
          <w:sz w:val="24"/>
          <w:highlight w:val="none"/>
        </w:rPr>
      </w:pPr>
      <w:r>
        <w:rPr>
          <w:rFonts w:hint="eastAsia" w:ascii="宋体" w:cs="宋体"/>
          <w:spacing w:val="1"/>
          <w:kern w:val="0"/>
          <w:position w:val="-3"/>
          <w:sz w:val="24"/>
          <w:highlight w:val="none"/>
        </w:rPr>
        <w:t>5、工程立项、规划批准文件号：</w:t>
      </w:r>
      <w:r>
        <w:rPr>
          <w:rFonts w:hint="eastAsia" w:ascii="宋体" w:cs="宋体"/>
          <w:spacing w:val="1"/>
          <w:kern w:val="0"/>
          <w:position w:val="-3"/>
          <w:sz w:val="24"/>
          <w:highlight w:val="none"/>
          <w:u w:val="single"/>
        </w:rPr>
        <w:t>广东省投资项目代码：2209-440111-17-01-548136。</w:t>
      </w:r>
    </w:p>
    <w:p w14:paraId="64B36C4A">
      <w:pPr>
        <w:autoSpaceDE w:val="0"/>
        <w:autoSpaceDN w:val="0"/>
        <w:adjustRightInd w:val="0"/>
        <w:spacing w:line="360" w:lineRule="auto"/>
        <w:ind w:firstLine="484" w:firstLineChars="200"/>
        <w:rPr>
          <w:rFonts w:ascii="宋体" w:cs="宋体"/>
          <w:spacing w:val="1"/>
          <w:kern w:val="0"/>
          <w:position w:val="-3"/>
          <w:sz w:val="24"/>
          <w:highlight w:val="none"/>
        </w:rPr>
      </w:pPr>
      <w:r>
        <w:rPr>
          <w:rFonts w:hint="eastAsia" w:ascii="宋体" w:cs="宋体"/>
          <w:spacing w:val="1"/>
          <w:kern w:val="0"/>
          <w:position w:val="-3"/>
          <w:sz w:val="24"/>
          <w:highlight w:val="none"/>
        </w:rPr>
        <w:t>6、资金来源：工程总投资</w:t>
      </w:r>
      <w:r>
        <w:rPr>
          <w:rFonts w:hint="eastAsia" w:ascii="宋体" w:cs="宋体"/>
          <w:spacing w:val="1"/>
          <w:kern w:val="0"/>
          <w:position w:val="-3"/>
          <w:sz w:val="24"/>
          <w:highlight w:val="none"/>
          <w:u w:val="single"/>
        </w:rPr>
        <w:t>人民币</w:t>
      </w:r>
      <w:r>
        <w:rPr>
          <w:rFonts w:hint="eastAsia" w:ascii="宋体" w:cs="宋体"/>
          <w:spacing w:val="1"/>
          <w:kern w:val="0"/>
          <w:position w:val="-3"/>
          <w:sz w:val="24"/>
          <w:highlight w:val="none"/>
          <w:u w:val="single"/>
          <w:lang w:val="en-US" w:eastAsia="zh-CN"/>
        </w:rPr>
        <w:t>11600.00</w:t>
      </w:r>
      <w:r>
        <w:rPr>
          <w:rFonts w:hint="eastAsia" w:ascii="宋体" w:cs="宋体"/>
          <w:spacing w:val="1"/>
          <w:kern w:val="0"/>
          <w:position w:val="-3"/>
          <w:sz w:val="24"/>
          <w:highlight w:val="none"/>
          <w:u w:val="single"/>
        </w:rPr>
        <w:t>万元。其中，</w:t>
      </w:r>
      <w:r>
        <w:rPr>
          <w:rFonts w:hint="eastAsia" w:ascii="宋体" w:cs="宋体"/>
          <w:spacing w:val="1"/>
          <w:kern w:val="0"/>
          <w:position w:val="-3"/>
          <w:sz w:val="24"/>
          <w:highlight w:val="none"/>
          <w:u w:val="single"/>
          <w:lang w:val="en-US" w:eastAsia="zh-CN"/>
        </w:rPr>
        <w:t>建安</w:t>
      </w:r>
      <w:r>
        <w:rPr>
          <w:rFonts w:hint="eastAsia" w:ascii="宋体" w:cs="宋体"/>
          <w:spacing w:val="1"/>
          <w:kern w:val="0"/>
          <w:position w:val="-3"/>
          <w:sz w:val="24"/>
          <w:highlight w:val="none"/>
          <w:u w:val="single"/>
        </w:rPr>
        <w:t>工程费用限额：</w:t>
      </w:r>
      <w:r>
        <w:rPr>
          <w:rFonts w:hint="eastAsia" w:ascii="宋体" w:cs="宋体"/>
          <w:spacing w:val="1"/>
          <w:kern w:val="0"/>
          <w:position w:val="-3"/>
          <w:sz w:val="24"/>
          <w:highlight w:val="none"/>
          <w:u w:val="single"/>
          <w:lang w:val="en-US" w:eastAsia="zh-CN"/>
        </w:rPr>
        <w:t>9000.00</w:t>
      </w:r>
      <w:r>
        <w:rPr>
          <w:rFonts w:hint="eastAsia" w:ascii="宋体" w:cs="宋体"/>
          <w:spacing w:val="1"/>
          <w:kern w:val="0"/>
          <w:position w:val="-3"/>
          <w:sz w:val="24"/>
          <w:highlight w:val="none"/>
          <w:u w:val="single"/>
        </w:rPr>
        <w:t>人民币万元，资金来源为集体资金</w:t>
      </w:r>
      <w:r>
        <w:rPr>
          <w:rFonts w:hint="eastAsia" w:ascii="宋体" w:hAnsi="宋体" w:cs="仿宋_GB2312"/>
          <w:sz w:val="24"/>
          <w:highlight w:val="none"/>
        </w:rPr>
        <w:t>。</w:t>
      </w:r>
    </w:p>
    <w:p w14:paraId="049A9484">
      <w:pPr>
        <w:pStyle w:val="32"/>
        <w:spacing w:before="120" w:beforeLines="50" w:line="360" w:lineRule="auto"/>
        <w:ind w:firstLine="198"/>
        <w:jc w:val="both"/>
        <w:outlineLvl w:val="9"/>
        <w:rPr>
          <w:highlight w:val="none"/>
        </w:rPr>
      </w:pPr>
      <w:bookmarkStart w:id="2" w:name="_Toc287627915"/>
      <w:r>
        <w:rPr>
          <w:rFonts w:hint="eastAsia"/>
          <w:highlight w:val="none"/>
        </w:rPr>
        <w:t>二、</w:t>
      </w:r>
      <w:r>
        <w:rPr>
          <w:rFonts w:hint="eastAsia"/>
          <w:highlight w:val="none"/>
          <w:lang w:val="en-US" w:eastAsia="zh-CN"/>
        </w:rPr>
        <w:t>工作</w:t>
      </w:r>
      <w:r>
        <w:rPr>
          <w:rFonts w:hint="eastAsia"/>
          <w:highlight w:val="none"/>
        </w:rPr>
        <w:t>范围及承包方式</w:t>
      </w:r>
      <w:bookmarkEnd w:id="2"/>
    </w:p>
    <w:p w14:paraId="75993EF3">
      <w:pPr>
        <w:widowControl/>
        <w:spacing w:line="360" w:lineRule="auto"/>
        <w:ind w:hanging="8"/>
        <w:jc w:val="left"/>
        <w:rPr>
          <w:rFonts w:ascii="宋体" w:hAnsi="宋体"/>
          <w:sz w:val="24"/>
          <w:highlight w:val="none"/>
          <w:u w:val="single"/>
          <w:lang w:bidi="ar"/>
        </w:rPr>
      </w:pPr>
      <w:r>
        <w:rPr>
          <w:rFonts w:hint="eastAsia" w:ascii="宋体" w:cs="宋体"/>
          <w:kern w:val="0"/>
          <w:sz w:val="24"/>
          <w:highlight w:val="none"/>
        </w:rPr>
        <w:t>（一）</w:t>
      </w:r>
      <w:r>
        <w:rPr>
          <w:rFonts w:hint="eastAsia" w:ascii="宋体" w:cs="宋体"/>
          <w:kern w:val="0"/>
          <w:sz w:val="24"/>
          <w:highlight w:val="none"/>
          <w:lang w:val="en-US" w:eastAsia="zh-CN"/>
        </w:rPr>
        <w:t>工作</w:t>
      </w:r>
      <w:r>
        <w:rPr>
          <w:rFonts w:hint="eastAsia" w:ascii="宋体" w:cs="宋体"/>
          <w:kern w:val="0"/>
          <w:sz w:val="24"/>
          <w:highlight w:val="none"/>
        </w:rPr>
        <w:t>范围:</w:t>
      </w:r>
      <w:r>
        <w:rPr>
          <w:rFonts w:hint="eastAsia" w:ascii="宋体" w:hAnsi="宋体"/>
          <w:sz w:val="24"/>
          <w:highlight w:val="none"/>
          <w:u w:val="single"/>
          <w:lang w:bidi="ar"/>
        </w:rPr>
        <w:t>具体内容包括但不限于以下工作（具体以设计任务书及合同约定为准）：</w:t>
      </w:r>
    </w:p>
    <w:p w14:paraId="25F19507">
      <w:pPr>
        <w:widowControl/>
        <w:spacing w:line="360" w:lineRule="auto"/>
        <w:ind w:hanging="8"/>
        <w:jc w:val="left"/>
        <w:rPr>
          <w:rFonts w:ascii="宋体" w:hAnsi="宋体"/>
          <w:sz w:val="24"/>
          <w:highlight w:val="none"/>
          <w:u w:val="single"/>
          <w:lang w:bidi="ar"/>
        </w:rPr>
      </w:pPr>
      <w:r>
        <w:rPr>
          <w:rFonts w:hint="eastAsia" w:eastAsia="黑体"/>
          <w:bCs/>
          <w:kern w:val="0"/>
          <w:position w:val="-1"/>
          <w:sz w:val="24"/>
          <w:highlight w:val="none"/>
          <w:lang w:val="en-US" w:eastAsia="zh-CN"/>
        </w:rPr>
        <w:t>1.</w:t>
      </w:r>
      <w:r>
        <w:rPr>
          <w:rFonts w:hint="eastAsia" w:eastAsia="黑体"/>
          <w:bCs/>
          <w:kern w:val="0"/>
          <w:position w:val="-1"/>
          <w:sz w:val="24"/>
          <w:highlight w:val="none"/>
        </w:rPr>
        <w:t>设计总承包范围</w:t>
      </w:r>
      <w:r>
        <w:rPr>
          <w:rFonts w:hint="eastAsia" w:ascii="宋体" w:cs="宋体"/>
          <w:kern w:val="0"/>
          <w:sz w:val="24"/>
          <w:highlight w:val="none"/>
        </w:rPr>
        <w:t>:</w:t>
      </w:r>
      <w:r>
        <w:rPr>
          <w:rFonts w:hint="eastAsia" w:ascii="宋体" w:hAnsi="宋体"/>
          <w:sz w:val="24"/>
          <w:highlight w:val="none"/>
          <w:u w:val="single"/>
          <w:lang w:bidi="ar"/>
        </w:rPr>
        <w:t>具体内容包括但不限于以下工作：</w:t>
      </w:r>
    </w:p>
    <w:p w14:paraId="5E72C7EF">
      <w:pPr>
        <w:pStyle w:val="41"/>
        <w:snapToGrid w:val="0"/>
        <w:spacing w:line="360" w:lineRule="auto"/>
        <w:rPr>
          <w:rFonts w:ascii="宋体" w:hAnsi="宋体"/>
          <w:color w:val="auto"/>
          <w:sz w:val="24"/>
          <w:szCs w:val="24"/>
          <w:highlight w:val="none"/>
          <w:u w:val="single"/>
          <w:lang w:bidi="ar"/>
        </w:rPr>
      </w:pPr>
      <w:r>
        <w:rPr>
          <w:rFonts w:hint="eastAsia" w:ascii="宋体" w:hAnsi="宋体"/>
          <w:sz w:val="24"/>
          <w:szCs w:val="24"/>
          <w:highlight w:val="none"/>
          <w:u w:val="single"/>
          <w:lang w:eastAsia="zh-CN" w:bidi="ar"/>
        </w:rPr>
        <w:t>（</w:t>
      </w:r>
      <w:r>
        <w:rPr>
          <w:rFonts w:hint="eastAsia" w:ascii="宋体" w:hAnsi="宋体"/>
          <w:sz w:val="24"/>
          <w:szCs w:val="24"/>
          <w:highlight w:val="none"/>
          <w:u w:val="single"/>
          <w:lang w:bidi="ar"/>
        </w:rPr>
        <w:t>1</w:t>
      </w:r>
      <w:r>
        <w:rPr>
          <w:rFonts w:hint="eastAsia" w:ascii="宋体" w:hAnsi="宋体"/>
          <w:sz w:val="24"/>
          <w:szCs w:val="24"/>
          <w:highlight w:val="none"/>
          <w:u w:val="single"/>
          <w:lang w:eastAsia="zh-CN" w:bidi="ar"/>
        </w:rPr>
        <w:t>）</w:t>
      </w:r>
      <w:r>
        <w:rPr>
          <w:rFonts w:hint="eastAsia" w:ascii="宋体" w:hAnsi="宋体"/>
          <w:sz w:val="24"/>
          <w:szCs w:val="24"/>
          <w:highlight w:val="none"/>
          <w:u w:val="single"/>
          <w:lang w:bidi="ar"/>
        </w:rPr>
        <w:t>负责以下工作并提交相关文件（本</w:t>
      </w:r>
      <w:r>
        <w:rPr>
          <w:rFonts w:hint="eastAsia" w:ascii="宋体" w:hAnsi="宋体"/>
          <w:sz w:val="24"/>
          <w:szCs w:val="24"/>
          <w:highlight w:val="none"/>
          <w:u w:val="single"/>
          <w:lang w:val="en-US" w:eastAsia="zh-CN" w:bidi="ar"/>
        </w:rPr>
        <w:t>合同项下</w:t>
      </w:r>
      <w:r>
        <w:rPr>
          <w:rFonts w:hint="eastAsia" w:ascii="宋体" w:hAnsi="宋体"/>
          <w:sz w:val="24"/>
          <w:szCs w:val="24"/>
          <w:highlight w:val="none"/>
          <w:u w:val="single"/>
          <w:lang w:bidi="ar"/>
        </w:rPr>
        <w:t>所提及的全部需提交文件均需满足以下全部条件：①由</w:t>
      </w:r>
      <w:r>
        <w:rPr>
          <w:rFonts w:hint="eastAsia" w:ascii="宋体" w:hAnsi="宋体"/>
          <w:sz w:val="24"/>
          <w:szCs w:val="24"/>
          <w:highlight w:val="none"/>
          <w:u w:val="single"/>
          <w:lang w:val="en-US" w:eastAsia="zh-CN" w:bidi="ar"/>
        </w:rPr>
        <w:t>乙方</w:t>
      </w:r>
      <w:r>
        <w:rPr>
          <w:rFonts w:hint="eastAsia" w:ascii="宋体" w:hAnsi="宋体"/>
          <w:sz w:val="24"/>
          <w:szCs w:val="24"/>
          <w:highlight w:val="none"/>
          <w:u w:val="single"/>
          <w:lang w:bidi="ar"/>
        </w:rPr>
        <w:t>加盖公章；②若</w:t>
      </w:r>
      <w:r>
        <w:rPr>
          <w:rFonts w:hint="eastAsia" w:ascii="宋体" w:hAnsi="宋体"/>
          <w:sz w:val="24"/>
          <w:szCs w:val="24"/>
          <w:highlight w:val="none"/>
          <w:u w:val="single"/>
          <w:lang w:val="en-US" w:eastAsia="zh-CN" w:bidi="ar"/>
        </w:rPr>
        <w:t>乙方</w:t>
      </w:r>
      <w:r>
        <w:rPr>
          <w:rFonts w:hint="eastAsia" w:ascii="宋体" w:hAnsi="宋体"/>
          <w:sz w:val="24"/>
          <w:szCs w:val="24"/>
          <w:highlight w:val="none"/>
          <w:u w:val="single"/>
          <w:lang w:bidi="ar"/>
        </w:rPr>
        <w:t>所提交文件最终需向相关部门提交审批使用的，应同时提供一份加盖</w:t>
      </w:r>
      <w:r>
        <w:rPr>
          <w:rFonts w:hint="eastAsia" w:ascii="宋体" w:hAnsi="宋体"/>
          <w:sz w:val="24"/>
          <w:szCs w:val="24"/>
          <w:highlight w:val="none"/>
          <w:u w:val="single"/>
          <w:lang w:val="en-US" w:eastAsia="zh-CN" w:bidi="ar"/>
        </w:rPr>
        <w:t>乙方</w:t>
      </w:r>
      <w:r>
        <w:rPr>
          <w:rFonts w:hint="eastAsia" w:ascii="宋体" w:hAnsi="宋体"/>
          <w:sz w:val="24"/>
          <w:szCs w:val="24"/>
          <w:highlight w:val="none"/>
          <w:u w:val="single"/>
          <w:lang w:bidi="ar"/>
        </w:rPr>
        <w:t>公章的原件给</w:t>
      </w:r>
      <w:r>
        <w:rPr>
          <w:rFonts w:hint="eastAsia" w:ascii="宋体" w:hAnsi="宋体"/>
          <w:sz w:val="24"/>
          <w:szCs w:val="24"/>
          <w:highlight w:val="none"/>
          <w:u w:val="single"/>
          <w:lang w:val="en-US" w:eastAsia="zh-CN" w:bidi="ar"/>
        </w:rPr>
        <w:t>甲方</w:t>
      </w:r>
      <w:r>
        <w:rPr>
          <w:rFonts w:hint="eastAsia" w:ascii="宋体" w:hAnsi="宋体"/>
          <w:sz w:val="24"/>
          <w:szCs w:val="24"/>
          <w:highlight w:val="none"/>
          <w:u w:val="single"/>
          <w:lang w:bidi="ar"/>
        </w:rPr>
        <w:t>存档。否则，视为</w:t>
      </w:r>
      <w:r>
        <w:rPr>
          <w:rFonts w:hint="eastAsia" w:ascii="宋体" w:hAnsi="宋体"/>
          <w:sz w:val="24"/>
          <w:szCs w:val="24"/>
          <w:highlight w:val="none"/>
          <w:u w:val="single"/>
          <w:lang w:val="en-US" w:eastAsia="zh-CN" w:bidi="ar"/>
        </w:rPr>
        <w:t>乙方</w:t>
      </w:r>
      <w:r>
        <w:rPr>
          <w:rFonts w:hint="eastAsia" w:ascii="宋体" w:hAnsi="宋体"/>
          <w:sz w:val="24"/>
          <w:szCs w:val="24"/>
          <w:highlight w:val="none"/>
          <w:u w:val="single"/>
          <w:lang w:bidi="ar"/>
        </w:rPr>
        <w:t>未提交有效文件，未履行相关的提交文件义务）：建筑设计、结构设计、通风空调设计、给排水设计、电气专业设计、幕墙设计、园林景观设计、规划条件调整（如需）、公区室内</w:t>
      </w:r>
      <w:r>
        <w:rPr>
          <w:rFonts w:hint="eastAsia" w:ascii="宋体" w:hAnsi="宋体"/>
          <w:color w:val="auto"/>
          <w:sz w:val="24"/>
          <w:szCs w:val="24"/>
          <w:highlight w:val="none"/>
          <w:u w:val="single"/>
          <w:lang w:bidi="ar"/>
        </w:rPr>
        <w:t>设计、室外管线综合设计、基坑支护设计、智能化设计（含通信、电信）、永水永电</w:t>
      </w:r>
      <w:r>
        <w:rPr>
          <w:rFonts w:hint="eastAsia" w:ascii="宋体" w:hAnsi="宋体"/>
          <w:color w:val="auto"/>
          <w:sz w:val="24"/>
          <w:szCs w:val="24"/>
          <w:highlight w:val="none"/>
          <w:u w:val="single"/>
          <w:lang w:val="en-US" w:eastAsia="zh-CN" w:bidi="ar"/>
        </w:rPr>
        <w:t>设计、燃气</w:t>
      </w:r>
      <w:r>
        <w:rPr>
          <w:rFonts w:hint="eastAsia" w:ascii="宋体" w:hAnsi="宋体"/>
          <w:color w:val="auto"/>
          <w:sz w:val="24"/>
          <w:szCs w:val="24"/>
          <w:highlight w:val="none"/>
          <w:u w:val="single"/>
          <w:lang w:bidi="ar"/>
        </w:rPr>
        <w:t>设计</w:t>
      </w:r>
      <w:r>
        <w:rPr>
          <w:rFonts w:hint="eastAsia" w:ascii="宋体" w:hAnsi="宋体"/>
          <w:color w:val="auto"/>
          <w:sz w:val="24"/>
          <w:szCs w:val="24"/>
          <w:highlight w:val="none"/>
          <w:u w:val="single"/>
          <w:lang w:eastAsia="zh-CN" w:bidi="ar"/>
        </w:rPr>
        <w:t>、</w:t>
      </w:r>
      <w:r>
        <w:rPr>
          <w:rFonts w:hint="eastAsia" w:ascii="宋体" w:hAnsi="宋体"/>
          <w:color w:val="auto"/>
          <w:sz w:val="24"/>
          <w:szCs w:val="24"/>
          <w:highlight w:val="none"/>
          <w:u w:val="single"/>
          <w:lang w:bidi="ar"/>
        </w:rPr>
        <w:t>绿色建筑设计（绿建二星）、海绵城市设计、泛光照明设计、人防设计、</w:t>
      </w:r>
      <w:r>
        <w:rPr>
          <w:rFonts w:hint="eastAsia" w:ascii="宋体" w:hAnsi="宋体"/>
          <w:sz w:val="24"/>
          <w:szCs w:val="24"/>
          <w:highlight w:val="none"/>
          <w:u w:val="single"/>
          <w:lang w:val="en-US" w:eastAsia="zh-CN" w:bidi="ar"/>
        </w:rPr>
        <w:t>二次机电设计（公区室内）、停车划线、</w:t>
      </w:r>
      <w:r>
        <w:rPr>
          <w:rFonts w:hint="eastAsia" w:ascii="宋体" w:hAnsi="宋体"/>
          <w:color w:val="auto"/>
          <w:sz w:val="24"/>
          <w:szCs w:val="24"/>
          <w:highlight w:val="none"/>
          <w:u w:val="single"/>
          <w:lang w:bidi="ar"/>
        </w:rPr>
        <w:t>BIM设计、装配式建筑设计等方案及深化</w:t>
      </w:r>
      <w:r>
        <w:rPr>
          <w:rFonts w:hint="eastAsia" w:ascii="宋体" w:hAnsi="宋体"/>
          <w:color w:val="auto"/>
          <w:sz w:val="24"/>
          <w:szCs w:val="24"/>
          <w:highlight w:val="none"/>
          <w:u w:val="single"/>
          <w:lang w:eastAsia="zh-CN" w:bidi="ar"/>
        </w:rPr>
        <w:t>（</w:t>
      </w:r>
      <w:r>
        <w:rPr>
          <w:rFonts w:hint="eastAsia" w:ascii="宋体" w:hAnsi="宋体"/>
          <w:color w:val="auto"/>
          <w:sz w:val="24"/>
          <w:szCs w:val="24"/>
          <w:highlight w:val="none"/>
          <w:u w:val="single"/>
          <w:lang w:val="en-US" w:eastAsia="zh-CN" w:bidi="ar"/>
        </w:rPr>
        <w:t>如需</w:t>
      </w:r>
      <w:r>
        <w:rPr>
          <w:rFonts w:hint="eastAsia" w:ascii="宋体" w:hAnsi="宋体"/>
          <w:color w:val="auto"/>
          <w:sz w:val="24"/>
          <w:szCs w:val="24"/>
          <w:highlight w:val="none"/>
          <w:u w:val="single"/>
          <w:lang w:eastAsia="zh-CN" w:bidi="ar"/>
        </w:rPr>
        <w:t>）</w:t>
      </w:r>
      <w:r>
        <w:rPr>
          <w:rFonts w:hint="eastAsia" w:ascii="宋体" w:hAnsi="宋体"/>
          <w:color w:val="auto"/>
          <w:sz w:val="24"/>
          <w:szCs w:val="24"/>
          <w:highlight w:val="none"/>
          <w:u w:val="single"/>
          <w:lang w:bidi="ar"/>
        </w:rPr>
        <w:t>、方案估算、方案审查及专家技术论证；初步设计、施工图设计、出具设计变更图并附变更清单等。</w:t>
      </w:r>
    </w:p>
    <w:p w14:paraId="1F573F5A">
      <w:pPr>
        <w:pStyle w:val="41"/>
        <w:snapToGrid w:val="0"/>
        <w:spacing w:line="360" w:lineRule="auto"/>
        <w:rPr>
          <w:rFonts w:ascii="宋体" w:hAnsi="宋体"/>
          <w:color w:val="auto"/>
          <w:sz w:val="24"/>
          <w:szCs w:val="24"/>
          <w:highlight w:val="none"/>
          <w:u w:val="single"/>
          <w:lang w:bidi="ar"/>
        </w:rPr>
      </w:pPr>
      <w:r>
        <w:rPr>
          <w:rFonts w:hint="eastAsia" w:ascii="宋体" w:hAnsi="宋体"/>
          <w:color w:val="auto"/>
          <w:sz w:val="24"/>
          <w:szCs w:val="24"/>
          <w:highlight w:val="none"/>
          <w:u w:val="single"/>
          <w:lang w:eastAsia="zh-CN" w:bidi="ar"/>
        </w:rPr>
        <w:t>（</w:t>
      </w:r>
      <w:r>
        <w:rPr>
          <w:rFonts w:hint="eastAsia" w:ascii="宋体" w:hAnsi="宋体"/>
          <w:color w:val="auto"/>
          <w:sz w:val="24"/>
          <w:szCs w:val="24"/>
          <w:highlight w:val="none"/>
          <w:u w:val="single"/>
          <w:lang w:bidi="ar"/>
        </w:rPr>
        <w:t>2</w:t>
      </w:r>
      <w:r>
        <w:rPr>
          <w:rFonts w:hint="eastAsia" w:ascii="宋体" w:hAnsi="宋体"/>
          <w:color w:val="auto"/>
          <w:sz w:val="24"/>
          <w:szCs w:val="24"/>
          <w:highlight w:val="none"/>
          <w:u w:val="single"/>
          <w:lang w:eastAsia="zh-CN" w:bidi="ar"/>
        </w:rPr>
        <w:t>）</w:t>
      </w:r>
      <w:r>
        <w:rPr>
          <w:rFonts w:hint="eastAsia" w:ascii="宋体" w:hAnsi="宋体"/>
          <w:color w:val="auto"/>
          <w:sz w:val="24"/>
          <w:szCs w:val="24"/>
          <w:highlight w:val="none"/>
          <w:u w:val="single"/>
          <w:lang w:bidi="ar"/>
        </w:rPr>
        <w:t>负责甲方开展规</w:t>
      </w:r>
      <w:r>
        <w:rPr>
          <w:rFonts w:hint="eastAsia" w:ascii="宋体" w:hAnsi="宋体"/>
          <w:color w:val="auto"/>
          <w:sz w:val="24"/>
          <w:szCs w:val="24"/>
          <w:highlight w:val="none"/>
          <w:u w:val="single"/>
          <w:lang w:val="en-US" w:eastAsia="zh-CN" w:bidi="ar"/>
        </w:rPr>
        <w:t>划</w:t>
      </w:r>
      <w:r>
        <w:rPr>
          <w:rFonts w:hint="eastAsia" w:ascii="宋体" w:hAnsi="宋体"/>
          <w:color w:val="auto"/>
          <w:sz w:val="24"/>
          <w:szCs w:val="24"/>
          <w:highlight w:val="none"/>
          <w:u w:val="single"/>
          <w:lang w:bidi="ar"/>
        </w:rPr>
        <w:t>调整</w:t>
      </w:r>
      <w:r>
        <w:rPr>
          <w:rFonts w:hint="eastAsia" w:ascii="宋体" w:hAnsi="宋体"/>
          <w:color w:val="000000" w:themeColor="text1"/>
          <w:sz w:val="24"/>
          <w:szCs w:val="24"/>
          <w:highlight w:val="none"/>
          <w:u w:val="single"/>
          <w:lang w:bidi="ar"/>
          <w14:textFill>
            <w14:solidFill>
              <w14:schemeClr w14:val="tx1"/>
            </w14:solidFill>
          </w14:textFill>
        </w:rPr>
        <w:t>（如有）</w:t>
      </w:r>
      <w:r>
        <w:rPr>
          <w:rFonts w:hint="eastAsia" w:ascii="宋体" w:hAnsi="宋体"/>
          <w:color w:val="auto"/>
          <w:sz w:val="24"/>
          <w:szCs w:val="24"/>
          <w:highlight w:val="none"/>
          <w:u w:val="single"/>
          <w:lang w:bidi="ar"/>
        </w:rPr>
        <w:t>、报建报批并提交相关文件包括但不限于：总平面规划、管线综合规划、专业报建、造价咨询单位概算审核、施工图审查及备案（含节能）；招标、配合测量勘察、规划报批等各项工作相关文件；</w:t>
      </w:r>
      <w:r>
        <w:rPr>
          <w:rFonts w:hint="eastAsia" w:ascii="宋体" w:hAnsi="宋体"/>
          <w:color w:val="auto"/>
          <w:sz w:val="24"/>
          <w:szCs w:val="24"/>
          <w:highlight w:val="none"/>
          <w:u w:val="single"/>
          <w:lang w:val="en-US" w:eastAsia="zh-CN" w:bidi="ar"/>
        </w:rPr>
        <w:t>负责审核</w:t>
      </w:r>
      <w:r>
        <w:rPr>
          <w:rFonts w:hint="eastAsia" w:ascii="宋体" w:hAnsi="宋体"/>
          <w:color w:val="auto"/>
          <w:sz w:val="24"/>
          <w:szCs w:val="24"/>
          <w:highlight w:val="none"/>
          <w:u w:val="single"/>
          <w:lang w:bidi="ar"/>
        </w:rPr>
        <w:t>各专业竣工图及盖章工作（资料满足验收通过）。</w:t>
      </w:r>
    </w:p>
    <w:p w14:paraId="51B6B5A5">
      <w:pPr>
        <w:pStyle w:val="41"/>
        <w:snapToGrid w:val="0"/>
        <w:spacing w:line="360" w:lineRule="auto"/>
        <w:rPr>
          <w:rFonts w:ascii="宋体" w:hAnsi="宋体"/>
          <w:color w:val="auto"/>
          <w:sz w:val="24"/>
          <w:szCs w:val="24"/>
          <w:highlight w:val="none"/>
          <w:u w:val="single"/>
          <w:lang w:bidi="ar"/>
        </w:rPr>
      </w:pPr>
      <w:r>
        <w:rPr>
          <w:rFonts w:hint="eastAsia" w:eastAsia="黑体"/>
          <w:bCs/>
          <w:color w:val="auto"/>
          <w:kern w:val="0"/>
          <w:position w:val="-1"/>
          <w:sz w:val="24"/>
          <w:szCs w:val="24"/>
          <w:highlight w:val="none"/>
          <w:lang w:val="en-US" w:eastAsia="zh-CN"/>
        </w:rPr>
        <w:t>2.</w:t>
      </w:r>
      <w:r>
        <w:rPr>
          <w:rFonts w:hint="eastAsia" w:eastAsia="黑体"/>
          <w:bCs/>
          <w:color w:val="auto"/>
          <w:kern w:val="0"/>
          <w:position w:val="-1"/>
          <w:sz w:val="24"/>
          <w:szCs w:val="24"/>
          <w:highlight w:val="none"/>
        </w:rPr>
        <w:t>报批报建</w:t>
      </w:r>
      <w:r>
        <w:rPr>
          <w:rFonts w:hint="eastAsia" w:eastAsia="黑体"/>
          <w:b w:val="0"/>
          <w:bCs/>
          <w:color w:val="auto"/>
          <w:kern w:val="0"/>
          <w:position w:val="-1"/>
          <w:sz w:val="24"/>
          <w:szCs w:val="24"/>
          <w:highlight w:val="none"/>
          <w:u w:val="single"/>
          <w:lang w:val="en-US" w:eastAsia="zh-CN"/>
        </w:rPr>
        <w:t>全过程</w:t>
      </w:r>
      <w:r>
        <w:rPr>
          <w:rFonts w:hint="eastAsia" w:eastAsia="黑体"/>
          <w:bCs/>
          <w:color w:val="auto"/>
          <w:kern w:val="0"/>
          <w:position w:val="-1"/>
          <w:sz w:val="24"/>
          <w:szCs w:val="24"/>
          <w:highlight w:val="none"/>
        </w:rPr>
        <w:t>服务范围</w:t>
      </w:r>
      <w:r>
        <w:rPr>
          <w:rFonts w:hint="eastAsia" w:ascii="宋体" w:cs="宋体"/>
          <w:color w:val="auto"/>
          <w:kern w:val="0"/>
          <w:sz w:val="24"/>
          <w:highlight w:val="none"/>
          <w:u w:val="single"/>
        </w:rPr>
        <w:t>：</w:t>
      </w:r>
      <w:r>
        <w:rPr>
          <w:rFonts w:hint="eastAsia" w:eastAsia="仿宋_GB2312"/>
          <w:color w:val="auto"/>
          <w:sz w:val="32"/>
          <w:szCs w:val="32"/>
          <w:highlight w:val="none"/>
          <w:u w:val="single"/>
        </w:rPr>
        <w:t> </w:t>
      </w:r>
      <w:r>
        <w:rPr>
          <w:rFonts w:hint="eastAsia" w:ascii="宋体" w:hAnsi="宋体"/>
          <w:color w:val="auto"/>
          <w:sz w:val="24"/>
          <w:szCs w:val="24"/>
          <w:highlight w:val="none"/>
          <w:u w:val="single"/>
          <w:lang w:bidi="ar"/>
        </w:rPr>
        <w:t>牵头统筹并负责本项目从项目立项到竣工验收备案</w:t>
      </w:r>
      <w:r>
        <w:rPr>
          <w:rFonts w:hint="eastAsia" w:ascii="宋体" w:hAnsi="宋体"/>
          <w:color w:val="auto"/>
          <w:sz w:val="24"/>
          <w:szCs w:val="24"/>
          <w:highlight w:val="none"/>
          <w:u w:val="single"/>
          <w:lang w:eastAsia="zh-CN" w:bidi="ar"/>
        </w:rPr>
        <w:t>、</w:t>
      </w:r>
      <w:r>
        <w:rPr>
          <w:rFonts w:hint="eastAsia" w:ascii="宋体" w:hAnsi="宋体"/>
          <w:color w:val="auto"/>
          <w:sz w:val="24"/>
          <w:szCs w:val="24"/>
          <w:highlight w:val="none"/>
          <w:u w:val="single"/>
          <w:lang w:bidi="ar"/>
        </w:rPr>
        <w:t>办理项目不动产证的全过程报批报建工作，具体包括但不限于以下内容：</w:t>
      </w:r>
    </w:p>
    <w:p w14:paraId="413FC03D">
      <w:pPr>
        <w:pStyle w:val="41"/>
        <w:snapToGrid w:val="0"/>
        <w:spacing w:line="360" w:lineRule="auto"/>
        <w:rPr>
          <w:rFonts w:ascii="宋体" w:hAnsi="宋体"/>
          <w:color w:val="auto"/>
          <w:sz w:val="24"/>
          <w:szCs w:val="24"/>
          <w:highlight w:val="none"/>
          <w:u w:val="single"/>
          <w:lang w:bidi="ar"/>
        </w:rPr>
      </w:pPr>
      <w:r>
        <w:rPr>
          <w:rFonts w:hint="eastAsia" w:ascii="宋体" w:hAnsi="宋体"/>
          <w:color w:val="auto"/>
          <w:sz w:val="24"/>
          <w:szCs w:val="24"/>
          <w:highlight w:val="none"/>
          <w:u w:val="single"/>
          <w:lang w:eastAsia="zh-CN" w:bidi="ar"/>
        </w:rPr>
        <w:t>（</w:t>
      </w:r>
      <w:r>
        <w:rPr>
          <w:rFonts w:hint="eastAsia" w:ascii="宋体" w:hAnsi="宋体"/>
          <w:color w:val="auto"/>
          <w:sz w:val="24"/>
          <w:szCs w:val="24"/>
          <w:highlight w:val="none"/>
          <w:u w:val="single"/>
          <w:lang w:bidi="ar"/>
        </w:rPr>
        <w:t>1</w:t>
      </w:r>
      <w:r>
        <w:rPr>
          <w:rFonts w:hint="eastAsia" w:ascii="宋体" w:hAnsi="宋体"/>
          <w:color w:val="auto"/>
          <w:sz w:val="24"/>
          <w:szCs w:val="24"/>
          <w:highlight w:val="none"/>
          <w:u w:val="single"/>
          <w:lang w:eastAsia="zh-CN" w:bidi="ar"/>
        </w:rPr>
        <w:t>）</w:t>
      </w:r>
      <w:r>
        <w:rPr>
          <w:rFonts w:hint="eastAsia" w:ascii="宋体" w:hAnsi="宋体"/>
          <w:color w:val="auto"/>
          <w:sz w:val="24"/>
          <w:szCs w:val="24"/>
          <w:highlight w:val="none"/>
          <w:u w:val="single"/>
          <w:lang w:bidi="ar"/>
        </w:rPr>
        <w:t>规划设计阶段：根据项目定位和规划要求，</w:t>
      </w:r>
      <w:r>
        <w:rPr>
          <w:rFonts w:hint="eastAsia" w:ascii="宋体" w:hAnsi="宋体"/>
          <w:color w:val="auto"/>
          <w:sz w:val="24"/>
          <w:szCs w:val="24"/>
          <w:highlight w:val="none"/>
          <w:u w:val="single"/>
          <w:lang w:val="en-US" w:eastAsia="zh-CN" w:bidi="ar"/>
        </w:rPr>
        <w:t>负责</w:t>
      </w:r>
      <w:r>
        <w:rPr>
          <w:rFonts w:hint="eastAsia" w:ascii="宋体" w:hAnsi="宋体"/>
          <w:color w:val="auto"/>
          <w:sz w:val="24"/>
          <w:szCs w:val="24"/>
          <w:highlight w:val="none"/>
          <w:u w:val="single"/>
          <w:lang w:bidi="ar"/>
        </w:rPr>
        <w:t>设计单位编制项目修建性详细规划、建筑设计方案等文件，并负责向规划部门报审，取得建设用地规划许可证、建设工程规划许可证等规划相关证照。</w:t>
      </w:r>
    </w:p>
    <w:p w14:paraId="174F48AE">
      <w:pPr>
        <w:pStyle w:val="41"/>
        <w:snapToGrid w:val="0"/>
        <w:spacing w:line="360" w:lineRule="auto"/>
        <w:rPr>
          <w:rFonts w:ascii="宋体" w:hAnsi="宋体"/>
          <w:color w:val="auto"/>
          <w:sz w:val="24"/>
          <w:szCs w:val="24"/>
          <w:highlight w:val="none"/>
          <w:u w:val="single"/>
          <w:lang w:bidi="ar"/>
        </w:rPr>
      </w:pPr>
      <w:r>
        <w:rPr>
          <w:rFonts w:hint="eastAsia" w:ascii="宋体" w:hAnsi="宋体"/>
          <w:color w:val="auto"/>
          <w:sz w:val="24"/>
          <w:szCs w:val="24"/>
          <w:highlight w:val="none"/>
          <w:u w:val="single"/>
          <w:lang w:eastAsia="zh-CN" w:bidi="ar"/>
        </w:rPr>
        <w:t>（</w:t>
      </w:r>
      <w:r>
        <w:rPr>
          <w:rFonts w:hint="eastAsia" w:ascii="宋体" w:hAnsi="宋体"/>
          <w:color w:val="auto"/>
          <w:sz w:val="24"/>
          <w:szCs w:val="24"/>
          <w:highlight w:val="none"/>
          <w:u w:val="single"/>
          <w:lang w:bidi="ar"/>
        </w:rPr>
        <w:t>2</w:t>
      </w:r>
      <w:r>
        <w:rPr>
          <w:rFonts w:hint="eastAsia" w:ascii="宋体" w:hAnsi="宋体"/>
          <w:color w:val="auto"/>
          <w:sz w:val="24"/>
          <w:szCs w:val="24"/>
          <w:highlight w:val="none"/>
          <w:u w:val="single"/>
          <w:lang w:eastAsia="zh-CN" w:bidi="ar"/>
        </w:rPr>
        <w:t>）</w:t>
      </w:r>
      <w:r>
        <w:rPr>
          <w:rFonts w:hint="eastAsia" w:ascii="宋体" w:hAnsi="宋体"/>
          <w:color w:val="auto"/>
          <w:sz w:val="24"/>
          <w:szCs w:val="24"/>
          <w:highlight w:val="none"/>
          <w:u w:val="single"/>
          <w:lang w:bidi="ar"/>
        </w:rPr>
        <w:t>施工许可阶段：负责整理施工许可证申请材料，包括施工图设计文件审查、施工合同备案、监理合同备案、质量安全监督手续办理等，向建设行政主管部门提交申请，取得建筑工程施工许可证。</w:t>
      </w:r>
    </w:p>
    <w:p w14:paraId="6CD67B95">
      <w:pPr>
        <w:pStyle w:val="41"/>
        <w:snapToGrid w:val="0"/>
        <w:spacing w:line="360" w:lineRule="auto"/>
        <w:rPr>
          <w:rFonts w:ascii="宋体" w:hAnsi="宋体"/>
          <w:color w:val="auto"/>
          <w:sz w:val="24"/>
          <w:szCs w:val="24"/>
          <w:highlight w:val="none"/>
          <w:u w:val="single"/>
          <w:lang w:bidi="ar"/>
        </w:rPr>
      </w:pPr>
      <w:r>
        <w:rPr>
          <w:rFonts w:hint="eastAsia" w:ascii="宋体" w:hAnsi="宋体"/>
          <w:color w:val="auto"/>
          <w:sz w:val="24"/>
          <w:szCs w:val="24"/>
          <w:highlight w:val="none"/>
          <w:u w:val="single"/>
          <w:lang w:eastAsia="zh-CN" w:bidi="ar"/>
        </w:rPr>
        <w:t>（</w:t>
      </w:r>
      <w:r>
        <w:rPr>
          <w:rFonts w:hint="eastAsia" w:ascii="宋体" w:hAnsi="宋体"/>
          <w:color w:val="auto"/>
          <w:sz w:val="24"/>
          <w:szCs w:val="24"/>
          <w:highlight w:val="none"/>
          <w:u w:val="single"/>
          <w:lang w:bidi="ar"/>
        </w:rPr>
        <w:t>3</w:t>
      </w:r>
      <w:r>
        <w:rPr>
          <w:rFonts w:hint="eastAsia" w:ascii="宋体" w:hAnsi="宋体"/>
          <w:color w:val="auto"/>
          <w:sz w:val="24"/>
          <w:szCs w:val="24"/>
          <w:highlight w:val="none"/>
          <w:u w:val="single"/>
          <w:lang w:eastAsia="zh-CN" w:bidi="ar"/>
        </w:rPr>
        <w:t>）</w:t>
      </w:r>
      <w:r>
        <w:rPr>
          <w:rFonts w:hint="eastAsia" w:ascii="宋体" w:hAnsi="宋体"/>
          <w:color w:val="auto"/>
          <w:sz w:val="24"/>
          <w:szCs w:val="24"/>
          <w:highlight w:val="none"/>
          <w:u w:val="single"/>
          <w:lang w:bidi="ar"/>
        </w:rPr>
        <w:t>建设施工阶段：</w:t>
      </w:r>
      <w:r>
        <w:rPr>
          <w:rFonts w:hint="eastAsia" w:ascii="宋体" w:hAnsi="宋体"/>
          <w:color w:val="auto"/>
          <w:sz w:val="24"/>
          <w:szCs w:val="24"/>
          <w:highlight w:val="none"/>
          <w:u w:val="single"/>
          <w:lang w:val="en-US" w:eastAsia="zh-CN" w:bidi="ar"/>
        </w:rPr>
        <w:t>负责</w:t>
      </w:r>
      <w:r>
        <w:rPr>
          <w:rFonts w:hint="eastAsia" w:ascii="宋体" w:hAnsi="宋体"/>
          <w:color w:val="auto"/>
          <w:sz w:val="24"/>
          <w:szCs w:val="24"/>
          <w:highlight w:val="none"/>
          <w:u w:val="single"/>
          <w:lang w:bidi="ar"/>
        </w:rPr>
        <w:t>跟进项目建设过程中的各项审批手续，确保项目按照审批通过的方案进行建设。负责甲方处理因设计变更、施工调整等原因导致的报批报建手续变更事宜。</w:t>
      </w:r>
    </w:p>
    <w:p w14:paraId="007AC113">
      <w:pPr>
        <w:pStyle w:val="41"/>
        <w:snapToGrid w:val="0"/>
        <w:spacing w:line="360" w:lineRule="auto"/>
        <w:rPr>
          <w:rFonts w:ascii="宋体" w:hAnsi="宋体"/>
          <w:color w:val="auto"/>
          <w:sz w:val="24"/>
          <w:szCs w:val="24"/>
          <w:highlight w:val="none"/>
          <w:u w:val="single"/>
          <w:lang w:bidi="ar"/>
        </w:rPr>
      </w:pPr>
      <w:r>
        <w:rPr>
          <w:rFonts w:hint="eastAsia" w:ascii="宋体" w:hAnsi="宋体"/>
          <w:color w:val="auto"/>
          <w:sz w:val="24"/>
          <w:szCs w:val="24"/>
          <w:highlight w:val="none"/>
          <w:u w:val="single"/>
          <w:lang w:eastAsia="zh-CN" w:bidi="ar"/>
        </w:rPr>
        <w:t>（</w:t>
      </w:r>
      <w:r>
        <w:rPr>
          <w:rFonts w:hint="eastAsia" w:ascii="宋体" w:hAnsi="宋体"/>
          <w:color w:val="auto"/>
          <w:sz w:val="24"/>
          <w:szCs w:val="24"/>
          <w:highlight w:val="none"/>
          <w:u w:val="single"/>
          <w:lang w:bidi="ar"/>
        </w:rPr>
        <w:t>4</w:t>
      </w:r>
      <w:r>
        <w:rPr>
          <w:rFonts w:hint="eastAsia" w:ascii="宋体" w:hAnsi="宋体"/>
          <w:color w:val="auto"/>
          <w:sz w:val="24"/>
          <w:szCs w:val="24"/>
          <w:highlight w:val="none"/>
          <w:u w:val="single"/>
          <w:lang w:eastAsia="zh-CN" w:bidi="ar"/>
        </w:rPr>
        <w:t>）</w:t>
      </w:r>
      <w:r>
        <w:rPr>
          <w:rFonts w:hint="eastAsia" w:ascii="宋体" w:hAnsi="宋体"/>
          <w:color w:val="auto"/>
          <w:sz w:val="24"/>
          <w:szCs w:val="24"/>
          <w:highlight w:val="none"/>
          <w:u w:val="single"/>
          <w:lang w:bidi="ar"/>
        </w:rPr>
        <w:t>竣工验收阶段：负责组织进行规划验收、消防验收、环保验收、人防验收等专项验收，取得各专项验收合格文件。完成竣工验收备案手续，取得竣工验收备案表。</w:t>
      </w:r>
    </w:p>
    <w:p w14:paraId="05D0DAB3">
      <w:pPr>
        <w:pStyle w:val="41"/>
        <w:snapToGrid w:val="0"/>
        <w:spacing w:line="360" w:lineRule="auto"/>
        <w:rPr>
          <w:rFonts w:ascii="仿宋_GB2312" w:hAnsi="仿宋_GB2312" w:eastAsia="仿宋_GB2312" w:cs="仿宋_GB2312"/>
          <w:color w:val="auto"/>
          <w:sz w:val="32"/>
          <w:szCs w:val="32"/>
          <w:highlight w:val="none"/>
        </w:rPr>
      </w:pPr>
      <w:r>
        <w:rPr>
          <w:rFonts w:hint="eastAsia" w:ascii="宋体" w:hAnsi="宋体"/>
          <w:color w:val="auto"/>
          <w:sz w:val="24"/>
          <w:szCs w:val="24"/>
          <w:highlight w:val="none"/>
          <w:u w:val="single"/>
          <w:lang w:eastAsia="zh-CN" w:bidi="ar"/>
        </w:rPr>
        <w:t>（</w:t>
      </w:r>
      <w:r>
        <w:rPr>
          <w:rFonts w:hint="eastAsia" w:ascii="宋体" w:hAnsi="宋体"/>
          <w:color w:val="auto"/>
          <w:sz w:val="24"/>
          <w:szCs w:val="24"/>
          <w:highlight w:val="none"/>
          <w:u w:val="single"/>
          <w:lang w:bidi="ar"/>
        </w:rPr>
        <w:t>5</w:t>
      </w:r>
      <w:r>
        <w:rPr>
          <w:rFonts w:hint="eastAsia" w:ascii="宋体" w:hAnsi="宋体"/>
          <w:color w:val="auto"/>
          <w:sz w:val="24"/>
          <w:szCs w:val="24"/>
          <w:highlight w:val="none"/>
          <w:u w:val="single"/>
          <w:lang w:eastAsia="zh-CN" w:bidi="ar"/>
        </w:rPr>
        <w:t>）</w:t>
      </w:r>
      <w:r>
        <w:rPr>
          <w:rFonts w:hint="eastAsia" w:ascii="宋体" w:hAnsi="宋体"/>
          <w:color w:val="auto"/>
          <w:sz w:val="24"/>
          <w:szCs w:val="24"/>
          <w:highlight w:val="none"/>
          <w:u w:val="single"/>
          <w:lang w:bidi="ar"/>
        </w:rPr>
        <w:t>不动产证办理阶段：负责整理办理项目不动产证所需的全部资料，向不动产登记机构提交申请，取得项目不动产证。</w:t>
      </w:r>
    </w:p>
    <w:p w14:paraId="6D776BD0">
      <w:pPr>
        <w:pStyle w:val="41"/>
        <w:snapToGrid w:val="0"/>
        <w:spacing w:line="360" w:lineRule="auto"/>
        <w:rPr>
          <w:rFonts w:ascii="宋体" w:hAnsi="宋体"/>
          <w:color w:val="auto"/>
          <w:sz w:val="24"/>
          <w:szCs w:val="24"/>
          <w:highlight w:val="none"/>
          <w:u w:val="single"/>
        </w:rPr>
      </w:pPr>
      <w:r>
        <w:rPr>
          <w:rFonts w:hint="eastAsia" w:ascii="宋体" w:hAnsi="宋体"/>
          <w:sz w:val="24"/>
          <w:szCs w:val="24"/>
          <w:highlight w:val="none"/>
          <w:lang w:bidi="ar"/>
        </w:rPr>
        <w:t>（二）</w:t>
      </w:r>
      <w:r>
        <w:rPr>
          <w:rFonts w:hint="eastAsia" w:ascii="宋体" w:cs="宋体"/>
          <w:kern w:val="0"/>
          <w:sz w:val="24"/>
          <w:highlight w:val="none"/>
        </w:rPr>
        <w:t>承包方式</w:t>
      </w:r>
    </w:p>
    <w:p w14:paraId="3EF64B63">
      <w:pPr>
        <w:pStyle w:val="41"/>
        <w:snapToGrid w:val="0"/>
        <w:spacing w:line="360" w:lineRule="auto"/>
        <w:ind w:firstLine="480" w:firstLineChars="200"/>
        <w:rPr>
          <w:rFonts w:ascii="宋体" w:hAnsi="宋体"/>
          <w:color w:val="auto"/>
          <w:sz w:val="24"/>
          <w:szCs w:val="24"/>
          <w:highlight w:val="none"/>
          <w:u w:val="single"/>
        </w:rPr>
      </w:pPr>
      <w:r>
        <w:rPr>
          <w:rFonts w:hint="eastAsia" w:ascii="宋体" w:cs="宋体"/>
          <w:color w:val="auto"/>
          <w:kern w:val="0"/>
          <w:sz w:val="24"/>
          <w:highlight w:val="none"/>
        </w:rPr>
        <w:t>1、承包方式：</w:t>
      </w:r>
      <w:r>
        <w:rPr>
          <w:rFonts w:hint="eastAsia" w:ascii="宋体" w:cs="宋体"/>
          <w:color w:val="auto"/>
          <w:kern w:val="0"/>
          <w:sz w:val="24"/>
          <w:highlight w:val="none"/>
          <w:u w:val="single"/>
          <w:lang w:val="en-US" w:eastAsia="zh-CN"/>
        </w:rPr>
        <w:t>设计总承包及</w:t>
      </w:r>
      <w:r>
        <w:rPr>
          <w:rFonts w:hint="eastAsia" w:ascii="宋体" w:hAnsi="Times New Roman" w:cs="宋体"/>
          <w:color w:val="auto"/>
          <w:kern w:val="0"/>
          <w:sz w:val="24"/>
          <w:highlight w:val="none"/>
          <w:u w:val="single"/>
          <w:lang w:val="en-US" w:eastAsia="zh-CN"/>
        </w:rPr>
        <w:t>报批报建</w:t>
      </w:r>
      <w:r>
        <w:rPr>
          <w:rFonts w:hint="eastAsia" w:ascii="宋体" w:cs="宋体"/>
          <w:color w:val="auto"/>
          <w:kern w:val="0"/>
          <w:sz w:val="24"/>
          <w:highlight w:val="none"/>
          <w:u w:val="single"/>
          <w:lang w:val="en-US" w:eastAsia="zh-CN"/>
        </w:rPr>
        <w:t>全过程</w:t>
      </w:r>
      <w:r>
        <w:rPr>
          <w:rFonts w:hint="eastAsia" w:ascii="宋体" w:hAnsi="Times New Roman" w:cs="宋体"/>
          <w:color w:val="auto"/>
          <w:kern w:val="0"/>
          <w:sz w:val="24"/>
          <w:highlight w:val="none"/>
          <w:u w:val="single"/>
          <w:lang w:val="en-US" w:eastAsia="zh-CN"/>
        </w:rPr>
        <w:t>服务</w:t>
      </w:r>
      <w:r>
        <w:rPr>
          <w:rFonts w:hint="eastAsia" w:ascii="宋体" w:cs="宋体"/>
          <w:color w:val="auto"/>
          <w:kern w:val="0"/>
          <w:sz w:val="24"/>
          <w:highlight w:val="none"/>
          <w:u w:val="single"/>
          <w:lang w:val="en-US" w:eastAsia="zh-CN"/>
        </w:rPr>
        <w:t>，总价包干，结算价不超过合同价</w:t>
      </w:r>
      <w:r>
        <w:rPr>
          <w:rFonts w:hint="eastAsia" w:ascii="宋体" w:hAnsi="Times New Roman" w:cs="宋体"/>
          <w:color w:val="auto"/>
          <w:kern w:val="0"/>
          <w:sz w:val="24"/>
          <w:highlight w:val="none"/>
          <w:u w:val="single"/>
          <w:lang w:val="en-US" w:eastAsia="zh-CN"/>
        </w:rPr>
        <w:t>。</w:t>
      </w:r>
    </w:p>
    <w:p w14:paraId="207FB2CA">
      <w:pPr>
        <w:pStyle w:val="41"/>
        <w:snapToGrid w:val="0"/>
        <w:spacing w:line="360" w:lineRule="auto"/>
        <w:ind w:firstLine="480" w:firstLineChars="200"/>
        <w:rPr>
          <w:rFonts w:hint="eastAsia" w:ascii="宋体" w:hAnsi="宋体" w:eastAsia="宋体"/>
          <w:sz w:val="24"/>
          <w:szCs w:val="24"/>
          <w:highlight w:val="none"/>
          <w:lang w:eastAsia="zh-CN"/>
        </w:rPr>
      </w:pPr>
      <w:r>
        <w:rPr>
          <w:rFonts w:hint="eastAsia" w:ascii="宋体" w:hAnsi="宋体"/>
          <w:bCs/>
          <w:snapToGrid w:val="0"/>
          <w:kern w:val="0"/>
          <w:sz w:val="24"/>
          <w:szCs w:val="24"/>
          <w:highlight w:val="none"/>
        </w:rPr>
        <w:t>2、工程设计必须</w:t>
      </w:r>
      <w:r>
        <w:rPr>
          <w:rFonts w:hint="eastAsia" w:ascii="宋体" w:hAnsi="宋体"/>
          <w:sz w:val="24"/>
          <w:szCs w:val="24"/>
          <w:highlight w:val="none"/>
        </w:rPr>
        <w:t>以批准的设计方案进行初步设计和施工图设计，工程设计的范围、标准、规格、限额均不得超过设计方案的要求</w:t>
      </w:r>
      <w:r>
        <w:rPr>
          <w:rFonts w:hint="eastAsia" w:ascii="宋体" w:hAnsi="宋体"/>
          <w:sz w:val="24"/>
          <w:szCs w:val="24"/>
          <w:highlight w:val="none"/>
          <w:lang w:eastAsia="zh-CN"/>
        </w:rPr>
        <w:t>，</w:t>
      </w:r>
      <w:r>
        <w:rPr>
          <w:rFonts w:hint="eastAsia" w:ascii="宋体" w:hAnsi="宋体"/>
          <w:sz w:val="24"/>
          <w:szCs w:val="24"/>
          <w:highlight w:val="none"/>
          <w:lang w:val="en-US" w:eastAsia="zh-CN"/>
        </w:rPr>
        <w:t>具体的设计时限以乙方签订本合同时与甲方商定的为准（同时作为本合同附件之一）</w:t>
      </w:r>
      <w:r>
        <w:rPr>
          <w:rFonts w:hint="eastAsia" w:ascii="宋体" w:hAnsi="宋体"/>
          <w:sz w:val="24"/>
          <w:szCs w:val="24"/>
          <w:highlight w:val="none"/>
        </w:rPr>
        <w:t>。</w:t>
      </w:r>
    </w:p>
    <w:p w14:paraId="6229E72D">
      <w:pPr>
        <w:pStyle w:val="41"/>
        <w:snapToGrid w:val="0"/>
        <w:spacing w:line="360" w:lineRule="auto"/>
        <w:ind w:firstLine="480" w:firstLineChars="200"/>
        <w:rPr>
          <w:rFonts w:hint="eastAsia" w:ascii="宋体" w:hAnsi="宋体"/>
          <w:sz w:val="24"/>
          <w:szCs w:val="24"/>
          <w:highlight w:val="none"/>
          <w:u w:val="none"/>
          <w:shd w:val="clear" w:fill="E6F0FF"/>
          <w:lang w:val="en-US" w:eastAsia="zh-CN"/>
        </w:rPr>
      </w:pPr>
      <w:r>
        <w:rPr>
          <w:rFonts w:hint="eastAsia" w:ascii="宋体" w:hAnsi="宋体"/>
          <w:sz w:val="24"/>
          <w:szCs w:val="24"/>
          <w:highlight w:val="none"/>
          <w:lang w:val="en-US" w:eastAsia="zh-CN"/>
        </w:rPr>
        <w:t>3、报批报</w:t>
      </w:r>
      <w:r>
        <w:rPr>
          <w:rFonts w:hint="eastAsia" w:ascii="宋体" w:hAnsi="宋体" w:cs="Times New Roman"/>
          <w:sz w:val="24"/>
          <w:szCs w:val="24"/>
          <w:highlight w:val="none"/>
          <w:u w:val="none"/>
          <w:lang w:val="en-US" w:eastAsia="zh-CN" w:bidi="ar"/>
        </w:rPr>
        <w:t>建工作应依据甲方开发节点要求（以届时甲方通知的时限为准）及工程设计进度，主导申办各阶段审批证书</w:t>
      </w:r>
      <w:r>
        <w:rPr>
          <w:rFonts w:hint="eastAsia" w:ascii="宋体" w:hAnsi="宋体"/>
          <w:sz w:val="24"/>
          <w:szCs w:val="24"/>
          <w:highlight w:val="none"/>
          <w:u w:val="none"/>
          <w:lang w:val="en-US" w:eastAsia="zh-CN"/>
        </w:rPr>
        <w:t>。</w:t>
      </w:r>
    </w:p>
    <w:p w14:paraId="1AEE5096">
      <w:pPr>
        <w:pStyle w:val="41"/>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（三）设计限额及标准</w:t>
      </w:r>
    </w:p>
    <w:p w14:paraId="2FC4214F">
      <w:pPr>
        <w:pStyle w:val="41"/>
        <w:snapToGrid w:val="0"/>
        <w:spacing w:line="360" w:lineRule="auto"/>
        <w:ind w:firstLine="480" w:firstLineChars="200"/>
        <w:rPr>
          <w:rFonts w:ascii="宋体" w:hAnsi="宋体"/>
          <w:sz w:val="24"/>
          <w:szCs w:val="24"/>
          <w:highlight w:val="none"/>
        </w:rPr>
      </w:pPr>
      <w:r>
        <w:rPr>
          <w:rFonts w:hint="eastAsia" w:ascii="宋体" w:hAnsi="宋体"/>
          <w:sz w:val="24"/>
          <w:szCs w:val="24"/>
          <w:highlight w:val="none"/>
        </w:rPr>
        <w:t>1、</w:t>
      </w:r>
      <w:bookmarkStart w:id="3" w:name="OLE_LINK2"/>
      <w:bookmarkStart w:id="4" w:name="OLE_LINK1"/>
      <w:r>
        <w:rPr>
          <w:rFonts w:hint="eastAsia" w:ascii="宋体" w:hAnsi="宋体"/>
          <w:sz w:val="24"/>
          <w:szCs w:val="24"/>
          <w:highlight w:val="none"/>
        </w:rPr>
        <w:t>限额</w:t>
      </w:r>
      <w:bookmarkEnd w:id="3"/>
      <w:bookmarkEnd w:id="4"/>
      <w:r>
        <w:rPr>
          <w:rFonts w:hint="eastAsia" w:ascii="宋体" w:hAnsi="宋体"/>
          <w:sz w:val="24"/>
          <w:szCs w:val="24"/>
          <w:highlight w:val="none"/>
        </w:rPr>
        <w:t>设计（建安工程费）为</w:t>
      </w:r>
      <w:r>
        <w:rPr>
          <w:rFonts w:hint="eastAsia" w:ascii="宋体" w:hAnsi="宋体"/>
          <w:sz w:val="24"/>
          <w:szCs w:val="24"/>
          <w:highlight w:val="none"/>
          <w:u w:val="single"/>
          <w:lang w:val="en-US" w:eastAsia="zh-CN"/>
        </w:rPr>
        <w:t xml:space="preserve">     </w:t>
      </w:r>
      <w:r>
        <w:rPr>
          <w:rFonts w:hint="eastAsia" w:ascii="宋体" w:hAnsi="宋体"/>
          <w:sz w:val="24"/>
          <w:szCs w:val="24"/>
          <w:highlight w:val="none"/>
        </w:rPr>
        <w:t>万元，具体限额以经批准的项目概算文件为准。应按照</w:t>
      </w:r>
      <w:r>
        <w:rPr>
          <w:rFonts w:hint="eastAsia" w:ascii="宋体" w:hAnsi="宋体"/>
          <w:sz w:val="24"/>
          <w:szCs w:val="24"/>
          <w:highlight w:val="none"/>
          <w:lang w:eastAsia="zh-CN"/>
        </w:rPr>
        <w:t>甲方</w:t>
      </w:r>
      <w:r>
        <w:rPr>
          <w:rFonts w:hint="eastAsia" w:ascii="宋体" w:hAnsi="宋体"/>
          <w:sz w:val="24"/>
          <w:szCs w:val="24"/>
          <w:highlight w:val="none"/>
        </w:rPr>
        <w:t>的要求，遵循功能适用、标准合理、经济合理和工程建设工期可控的原则开展限额设计。</w:t>
      </w:r>
    </w:p>
    <w:p w14:paraId="3E10041F">
      <w:pPr>
        <w:pStyle w:val="41"/>
        <w:snapToGrid w:val="0"/>
        <w:spacing w:line="360" w:lineRule="auto"/>
        <w:ind w:firstLine="480" w:firstLineChars="200"/>
        <w:rPr>
          <w:rFonts w:ascii="宋体" w:hAnsi="宋体"/>
          <w:sz w:val="24"/>
          <w:szCs w:val="24"/>
          <w:highlight w:val="none"/>
          <w:u w:val="single"/>
        </w:rPr>
      </w:pPr>
      <w:r>
        <w:rPr>
          <w:rFonts w:hint="eastAsia" w:ascii="宋体" w:hAnsi="宋体"/>
          <w:sz w:val="24"/>
          <w:szCs w:val="24"/>
          <w:highlight w:val="none"/>
        </w:rPr>
        <w:t>2、方案设计、初步设计经项目主管部门审定后，由乙方</w:t>
      </w:r>
      <w:r>
        <w:rPr>
          <w:rFonts w:hint="eastAsia" w:ascii="宋体" w:hAnsi="宋体"/>
          <w:sz w:val="24"/>
          <w:szCs w:val="24"/>
          <w:highlight w:val="none"/>
          <w:lang w:val="en-US" w:eastAsia="zh-CN"/>
        </w:rPr>
        <w:t>在甲方届时要求的期限内完成</w:t>
      </w:r>
      <w:r>
        <w:rPr>
          <w:rFonts w:hint="eastAsia" w:ascii="宋体" w:hAnsi="宋体"/>
          <w:sz w:val="24"/>
          <w:szCs w:val="24"/>
          <w:highlight w:val="none"/>
        </w:rPr>
        <w:t>编制项目概算，并配合概算和预算的评审。</w:t>
      </w:r>
    </w:p>
    <w:p w14:paraId="0F0AEEF7">
      <w:pPr>
        <w:autoSpaceDE w:val="0"/>
        <w:autoSpaceDN w:val="0"/>
        <w:adjustRightInd w:val="0"/>
        <w:spacing w:line="360" w:lineRule="auto"/>
        <w:ind w:firstLine="480" w:firstLineChars="200"/>
        <w:rPr>
          <w:rFonts w:ascii="宋体" w:cs="宋体"/>
          <w:kern w:val="0"/>
          <w:sz w:val="24"/>
          <w:highlight w:val="none"/>
        </w:rPr>
      </w:pPr>
      <w:r>
        <w:rPr>
          <w:rFonts w:hint="eastAsia"/>
          <w:sz w:val="24"/>
          <w:highlight w:val="none"/>
        </w:rPr>
        <w:t>（四）甲</w:t>
      </w:r>
      <w:r>
        <w:rPr>
          <w:rFonts w:hint="eastAsia"/>
          <w:sz w:val="24"/>
          <w:highlight w:val="none"/>
          <w:lang w:val="en-US" w:eastAsia="zh-CN"/>
        </w:rPr>
        <w:t>方</w:t>
      </w:r>
      <w:r>
        <w:rPr>
          <w:rFonts w:hint="eastAsia"/>
          <w:sz w:val="24"/>
          <w:highlight w:val="none"/>
        </w:rPr>
        <w:t>根据项目情况，有权对设计范围和内容进行调整，</w:t>
      </w:r>
      <w:r>
        <w:rPr>
          <w:rFonts w:hint="eastAsia"/>
          <w:sz w:val="24"/>
          <w:highlight w:val="none"/>
          <w:lang w:val="en-US" w:eastAsia="zh-CN"/>
        </w:rPr>
        <w:t>主体工规证出证后，若甲方提出重大设计变更，双方另行协商变更事宜。</w:t>
      </w:r>
      <w:r>
        <w:rPr>
          <w:rFonts w:hint="eastAsia"/>
          <w:sz w:val="24"/>
          <w:highlight w:val="none"/>
        </w:rPr>
        <w:t>增加设计范围的，增加的设计费按本合同约定的方式计算。减小实施范围、内容的，按实际计算设计费，乙方无异议。乙方未经甲</w:t>
      </w:r>
      <w:r>
        <w:rPr>
          <w:rFonts w:hint="eastAsia"/>
          <w:sz w:val="24"/>
          <w:highlight w:val="none"/>
          <w:lang w:val="en-US" w:eastAsia="zh-CN"/>
        </w:rPr>
        <w:t>方</w:t>
      </w:r>
      <w:r>
        <w:rPr>
          <w:rFonts w:hint="eastAsia"/>
          <w:sz w:val="24"/>
          <w:highlight w:val="none"/>
        </w:rPr>
        <w:t>书面同意不得擅自变更设计范围和内容，如果乙方未经甲</w:t>
      </w:r>
      <w:r>
        <w:rPr>
          <w:rFonts w:hint="eastAsia"/>
          <w:sz w:val="24"/>
          <w:highlight w:val="none"/>
          <w:lang w:val="en-US" w:eastAsia="zh-CN"/>
        </w:rPr>
        <w:t>方</w:t>
      </w:r>
      <w:r>
        <w:rPr>
          <w:rFonts w:hint="eastAsia"/>
          <w:sz w:val="24"/>
          <w:highlight w:val="none"/>
        </w:rPr>
        <w:t>书面同意擅自增加实施范围、内容的，甲方不补偿乙方任何费用。</w:t>
      </w:r>
      <w:r>
        <w:rPr>
          <w:rFonts w:hint="eastAsia" w:ascii="宋体" w:hAnsi="宋体" w:cs="仿宋_GB2312"/>
          <w:sz w:val="24"/>
          <w:highlight w:val="none"/>
        </w:rPr>
        <w:t>供电工程、供水工程、燃气等需专业设计分包的项目，可指定分包或经</w:t>
      </w:r>
      <w:r>
        <w:rPr>
          <w:rFonts w:hint="eastAsia" w:ascii="宋体" w:hAnsi="宋体" w:cs="仿宋_GB2312"/>
          <w:sz w:val="24"/>
          <w:highlight w:val="none"/>
          <w:lang w:val="en-US" w:eastAsia="zh-CN"/>
        </w:rPr>
        <w:t>甲方</w:t>
      </w:r>
      <w:r>
        <w:rPr>
          <w:rFonts w:hint="eastAsia" w:ascii="宋体" w:hAnsi="宋体" w:cs="仿宋_GB2312"/>
          <w:sz w:val="24"/>
          <w:highlight w:val="none"/>
        </w:rPr>
        <w:t>批准后乙方直接分包，相关费用已包含于合同价款内，由乙方直接支付给分包和相关单位，甲方不再支付任何费用。</w:t>
      </w:r>
    </w:p>
    <w:p w14:paraId="026667B3">
      <w:pPr>
        <w:pStyle w:val="32"/>
        <w:spacing w:before="120" w:beforeLines="50" w:line="360" w:lineRule="auto"/>
        <w:ind w:firstLine="198"/>
        <w:jc w:val="both"/>
        <w:outlineLvl w:val="9"/>
        <w:rPr>
          <w:highlight w:val="none"/>
        </w:rPr>
      </w:pPr>
      <w:bookmarkStart w:id="5" w:name="_Toc287627916"/>
      <w:r>
        <w:rPr>
          <w:rFonts w:hint="eastAsia"/>
          <w:highlight w:val="none"/>
        </w:rPr>
        <w:t>三、合同服务工期</w:t>
      </w:r>
      <w:bookmarkEnd w:id="5"/>
    </w:p>
    <w:p w14:paraId="1347AC57">
      <w:pPr>
        <w:spacing w:line="360" w:lineRule="auto"/>
        <w:ind w:firstLine="480" w:firstLineChars="200"/>
        <w:jc w:val="left"/>
        <w:rPr>
          <w:rFonts w:hint="eastAsia" w:ascii="宋体" w:hAnsi="宋体" w:eastAsia="宋体"/>
          <w:szCs w:val="21"/>
          <w:highlight w:val="none"/>
          <w:lang w:eastAsia="zh-CN"/>
        </w:rPr>
      </w:pPr>
      <w:r>
        <w:rPr>
          <w:rFonts w:hint="eastAsia" w:ascii="宋体" w:cs="宋体"/>
          <w:kern w:val="0"/>
          <w:sz w:val="24"/>
          <w:highlight w:val="none"/>
        </w:rPr>
        <w:t>合同服务工期：</w:t>
      </w:r>
      <w:r>
        <w:rPr>
          <w:rFonts w:hint="eastAsia" w:ascii="宋体" w:hAnsi="宋体"/>
          <w:sz w:val="24"/>
          <w:highlight w:val="none"/>
        </w:rPr>
        <w:t>自本服务项目中标公示完成之日起，至项目建设各项程序完成</w:t>
      </w:r>
      <w:r>
        <w:rPr>
          <w:rFonts w:hint="eastAsia" w:ascii="宋体" w:hAnsi="宋体"/>
          <w:sz w:val="24"/>
          <w:highlight w:val="none"/>
          <w:lang w:eastAsia="zh-CN"/>
        </w:rPr>
        <w:t>、</w:t>
      </w:r>
      <w:r>
        <w:rPr>
          <w:rFonts w:hint="eastAsia" w:ascii="宋体" w:hAnsi="宋体"/>
          <w:sz w:val="24"/>
          <w:highlight w:val="none"/>
        </w:rPr>
        <w:t>工程保修期结束、本项目项下全部证照办理完毕且本合同工程结算金额经项目</w:t>
      </w:r>
      <w:r>
        <w:rPr>
          <w:rFonts w:hint="eastAsia" w:ascii="宋体" w:hAnsi="宋体"/>
          <w:sz w:val="24"/>
          <w:highlight w:val="none"/>
          <w:lang w:val="en-US" w:eastAsia="zh-CN"/>
        </w:rPr>
        <w:t>造价</w:t>
      </w:r>
      <w:r>
        <w:rPr>
          <w:rFonts w:hint="eastAsia" w:ascii="宋体" w:hAnsi="宋体"/>
          <w:sz w:val="24"/>
          <w:highlight w:val="none"/>
        </w:rPr>
        <w:t>咨询单位审定及业主确认之日止。</w:t>
      </w:r>
      <w:r>
        <w:rPr>
          <w:rFonts w:hint="eastAsia" w:ascii="宋体" w:hAnsi="宋体"/>
          <w:sz w:val="24"/>
          <w:highlight w:val="none"/>
          <w:lang w:val="en-US" w:eastAsia="zh-CN"/>
        </w:rPr>
        <w:t>前述</w:t>
      </w:r>
      <w:r>
        <w:rPr>
          <w:rFonts w:hint="eastAsia" w:ascii="宋体" w:hAnsi="宋体"/>
          <w:sz w:val="24"/>
          <w:highlight w:val="none"/>
        </w:rPr>
        <w:t>各节点工期如下：</w:t>
      </w:r>
    </w:p>
    <w:p w14:paraId="1569013C">
      <w:pPr>
        <w:pStyle w:val="41"/>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1、在设计合同签订后 5 日历天内完成方案修改。</w:t>
      </w:r>
    </w:p>
    <w:p w14:paraId="75C79010">
      <w:pPr>
        <w:pStyle w:val="41"/>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2、方案确定后30日历天内完成初步设计，不含概算</w:t>
      </w:r>
    </w:p>
    <w:p w14:paraId="53F2F6C6">
      <w:pPr>
        <w:pStyle w:val="41"/>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3、初步设计审查通过后25日历天完成施工图设计。</w:t>
      </w:r>
    </w:p>
    <w:p w14:paraId="46A34E23">
      <w:pPr>
        <w:pStyle w:val="41"/>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4、施工图设计文件经审查发现问题后15日历天内完成补充、修改。</w:t>
      </w:r>
    </w:p>
    <w:p w14:paraId="2A4D0703">
      <w:pPr>
        <w:pStyle w:val="41"/>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5、相关单位对图纸等提出修改或者评审意见的，应在7日历天内提交合格的修改文件。</w:t>
      </w:r>
    </w:p>
    <w:p w14:paraId="34445829">
      <w:pPr>
        <w:pStyle w:val="41"/>
        <w:snapToGrid w:val="0"/>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6、发生方案及施工图变更，在接到甲方指令后应在7日历天内完成符合要求的变更文件，并附变更概算清单。</w:t>
      </w:r>
    </w:p>
    <w:p w14:paraId="2B86E7BD">
      <w:pPr>
        <w:pStyle w:val="41"/>
        <w:snapToGrid w:val="0"/>
        <w:spacing w:line="360" w:lineRule="auto"/>
        <w:ind w:firstLine="566" w:firstLineChars="236"/>
        <w:rPr>
          <w:rFonts w:ascii="宋体" w:hAnsi="宋体"/>
          <w:sz w:val="24"/>
          <w:szCs w:val="24"/>
          <w:highlight w:val="none"/>
        </w:rPr>
      </w:pPr>
      <w:r>
        <w:rPr>
          <w:rFonts w:hint="eastAsia" w:ascii="宋体" w:hAnsi="宋体"/>
          <w:sz w:val="24"/>
          <w:szCs w:val="24"/>
          <w:highlight w:val="none"/>
        </w:rPr>
        <w:t>7、现场设计服务：自本合同签订后至工程竣工验收通过之日止。</w:t>
      </w:r>
    </w:p>
    <w:p w14:paraId="7F67B8F6">
      <w:pPr>
        <w:pStyle w:val="32"/>
        <w:spacing w:before="120" w:beforeLines="50" w:line="360" w:lineRule="auto"/>
        <w:ind w:firstLine="198"/>
        <w:jc w:val="both"/>
        <w:outlineLvl w:val="9"/>
        <w:rPr>
          <w:rFonts w:ascii="宋体" w:cs="宋体"/>
          <w:sz w:val="18"/>
          <w:szCs w:val="18"/>
          <w:highlight w:val="none"/>
        </w:rPr>
      </w:pPr>
      <w:bookmarkStart w:id="6" w:name="_Toc287627917"/>
      <w:r>
        <w:rPr>
          <w:rFonts w:hint="eastAsia"/>
          <w:highlight w:val="none"/>
        </w:rPr>
        <w:t>四、质量标准</w:t>
      </w:r>
      <w:bookmarkEnd w:id="6"/>
    </w:p>
    <w:p w14:paraId="0F410634">
      <w:pPr>
        <w:autoSpaceDE w:val="0"/>
        <w:autoSpaceDN w:val="0"/>
        <w:adjustRightInd w:val="0"/>
        <w:spacing w:line="360" w:lineRule="auto"/>
        <w:ind w:firstLine="480" w:firstLineChars="200"/>
        <w:rPr>
          <w:rFonts w:ascii="宋体" w:cs="宋体"/>
          <w:kern w:val="0"/>
          <w:sz w:val="24"/>
          <w:highlight w:val="none"/>
          <w:u w:val="single"/>
        </w:rPr>
      </w:pPr>
      <w:r>
        <w:rPr>
          <w:rFonts w:hint="eastAsia" w:ascii="宋体" w:cs="宋体"/>
          <w:kern w:val="0"/>
          <w:sz w:val="24"/>
          <w:highlight w:val="none"/>
          <w:u w:val="single"/>
        </w:rPr>
        <w:t>按工程设计规范及有关文件要求的质量标准。</w:t>
      </w:r>
    </w:p>
    <w:p w14:paraId="76E1CB5B">
      <w:pPr>
        <w:pStyle w:val="32"/>
        <w:spacing w:before="120" w:beforeLines="50" w:line="360" w:lineRule="auto"/>
        <w:ind w:firstLine="198"/>
        <w:jc w:val="both"/>
        <w:outlineLvl w:val="9"/>
        <w:rPr>
          <w:highlight w:val="none"/>
        </w:rPr>
      </w:pPr>
      <w:bookmarkStart w:id="7" w:name="_Toc287627918"/>
      <w:r>
        <w:rPr>
          <w:rFonts w:hint="eastAsia"/>
          <w:highlight w:val="none"/>
        </w:rPr>
        <w:t>五、合同价款</w:t>
      </w:r>
      <w:bookmarkEnd w:id="7"/>
    </w:p>
    <w:p w14:paraId="4FA7F241">
      <w:pPr>
        <w:spacing w:line="360" w:lineRule="auto"/>
        <w:ind w:firstLine="480" w:firstLineChars="200"/>
        <w:rPr>
          <w:rFonts w:hint="eastAsia" w:ascii="宋体" w:hAnsi="宋体"/>
          <w:sz w:val="24"/>
          <w:highlight w:val="none"/>
        </w:rPr>
      </w:pPr>
      <w:r>
        <w:rPr>
          <w:rFonts w:hint="eastAsia" w:ascii="宋体" w:hAnsi="宋体"/>
          <w:sz w:val="24"/>
          <w:highlight w:val="none"/>
        </w:rPr>
        <w:t>（一）暂定</w:t>
      </w:r>
      <w:r>
        <w:rPr>
          <w:rFonts w:hint="eastAsia" w:ascii="宋体" w:hAnsi="宋体"/>
          <w:sz w:val="24"/>
          <w:highlight w:val="none"/>
          <w:lang w:val="en-US" w:eastAsia="zh-CN"/>
        </w:rPr>
        <w:t>含税</w:t>
      </w:r>
      <w:r>
        <w:rPr>
          <w:rFonts w:hint="eastAsia" w:ascii="宋体" w:hAnsi="宋体"/>
          <w:sz w:val="24"/>
          <w:highlight w:val="none"/>
        </w:rPr>
        <w:t>合同总价为：（大写）人民币</w:t>
      </w:r>
      <w:r>
        <w:rPr>
          <w:rFonts w:hint="eastAsia" w:ascii="宋体" w:hAnsi="宋体"/>
          <w:sz w:val="24"/>
          <w:highlight w:val="none"/>
          <w:lang w:val="en-US" w:eastAsia="zh-CN"/>
        </w:rPr>
        <w:t xml:space="preserve">   </w:t>
      </w:r>
      <w:r>
        <w:rPr>
          <w:rFonts w:hint="eastAsia" w:ascii="宋体" w:hAnsi="宋体"/>
          <w:sz w:val="24"/>
          <w:highlight w:val="none"/>
        </w:rPr>
        <w:t>元整（￥</w:t>
      </w:r>
      <w:r>
        <w:rPr>
          <w:rFonts w:hint="eastAsia" w:ascii="宋体" w:hAnsi="宋体"/>
          <w:sz w:val="24"/>
          <w:highlight w:val="none"/>
          <w:lang w:val="en-US" w:eastAsia="zh-CN"/>
        </w:rPr>
        <w:t xml:space="preserve">  </w:t>
      </w:r>
      <w:r>
        <w:rPr>
          <w:rFonts w:hint="eastAsia" w:ascii="宋体" w:hAnsi="宋体"/>
          <w:sz w:val="24"/>
          <w:highlight w:val="none"/>
        </w:rPr>
        <w:t>元）。</w:t>
      </w:r>
    </w:p>
    <w:p w14:paraId="0C986418">
      <w:pPr>
        <w:spacing w:line="360" w:lineRule="auto"/>
        <w:ind w:firstLine="480" w:firstLineChars="200"/>
        <w:rPr>
          <w:rFonts w:ascii="宋体" w:hAnsi="宋体"/>
          <w:sz w:val="24"/>
          <w:highlight w:val="none"/>
        </w:rPr>
      </w:pPr>
      <w:r>
        <w:rPr>
          <w:rFonts w:hint="eastAsia" w:ascii="宋体" w:hAnsi="宋体"/>
          <w:sz w:val="24"/>
          <w:highlight w:val="none"/>
        </w:rPr>
        <w:t>各项服务费的最终结算价均不得超过本项目招标时设定的最高投标限价。</w:t>
      </w:r>
    </w:p>
    <w:p w14:paraId="1E3092F7">
      <w:pPr>
        <w:pStyle w:val="32"/>
        <w:spacing w:before="120" w:beforeLines="50" w:line="360" w:lineRule="auto"/>
        <w:ind w:firstLine="198"/>
        <w:jc w:val="both"/>
        <w:outlineLvl w:val="9"/>
        <w:rPr>
          <w:szCs w:val="24"/>
          <w:highlight w:val="none"/>
        </w:rPr>
      </w:pPr>
      <w:bookmarkStart w:id="8" w:name="_Toc287627919"/>
      <w:r>
        <w:rPr>
          <w:rFonts w:hint="eastAsia"/>
          <w:szCs w:val="24"/>
          <w:highlight w:val="none"/>
        </w:rPr>
        <w:t>六、组成合同的文件</w:t>
      </w:r>
      <w:bookmarkEnd w:id="8"/>
    </w:p>
    <w:p w14:paraId="7B458D5F">
      <w:pPr>
        <w:tabs>
          <w:tab w:val="left" w:pos="2268"/>
        </w:tabs>
        <w:autoSpaceDE w:val="0"/>
        <w:autoSpaceDN w:val="0"/>
        <w:adjustRightInd w:val="0"/>
        <w:spacing w:line="360" w:lineRule="auto"/>
        <w:ind w:firstLine="556" w:firstLineChars="232"/>
        <w:rPr>
          <w:rFonts w:ascii="宋体" w:cs="宋体"/>
          <w:kern w:val="0"/>
          <w:sz w:val="24"/>
          <w:highlight w:val="none"/>
        </w:rPr>
      </w:pPr>
      <w:r>
        <w:rPr>
          <w:rFonts w:hint="eastAsia" w:ascii="宋体" w:cs="宋体"/>
          <w:kern w:val="0"/>
          <w:sz w:val="24"/>
          <w:highlight w:val="none"/>
        </w:rPr>
        <w:t>1、本协议书中所用术语的含义与下文提及的合同条款中相应术语的含义相同。</w:t>
      </w:r>
    </w:p>
    <w:p w14:paraId="05E2790C">
      <w:pPr>
        <w:autoSpaceDE w:val="0"/>
        <w:autoSpaceDN w:val="0"/>
        <w:adjustRightInd w:val="0"/>
        <w:spacing w:line="360" w:lineRule="auto"/>
        <w:ind w:firstLine="556" w:firstLineChars="232"/>
        <w:rPr>
          <w:rFonts w:ascii="宋体" w:cs="宋体"/>
          <w:kern w:val="0"/>
          <w:sz w:val="24"/>
          <w:highlight w:val="none"/>
        </w:rPr>
      </w:pPr>
      <w:r>
        <w:rPr>
          <w:rFonts w:hint="eastAsia" w:ascii="宋体" w:cs="宋体"/>
          <w:kern w:val="0"/>
          <w:sz w:val="24"/>
          <w:highlight w:val="none"/>
        </w:rPr>
        <w:t>2、下列文件应被认为是组成本协议书的一部分，并互为补充和解释,如上述各部分存在不一致之处,以先后排列次序为优先。</w:t>
      </w:r>
    </w:p>
    <w:p w14:paraId="7EAA5BD7">
      <w:pPr>
        <w:spacing w:line="360" w:lineRule="auto"/>
        <w:ind w:firstLine="480" w:firstLineChars="200"/>
        <w:rPr>
          <w:rFonts w:ascii="宋体" w:hAnsi="宋体"/>
          <w:sz w:val="24"/>
          <w:highlight w:val="none"/>
        </w:rPr>
      </w:pPr>
      <w:r>
        <w:rPr>
          <w:rFonts w:hint="eastAsia" w:ascii="宋体" w:hAnsi="宋体"/>
          <w:sz w:val="24"/>
          <w:highlight w:val="none"/>
        </w:rPr>
        <w:t>（1）本合同协议书及附件；</w:t>
      </w:r>
    </w:p>
    <w:p w14:paraId="54C3F687">
      <w:pPr>
        <w:pStyle w:val="46"/>
        <w:spacing w:line="360" w:lineRule="auto"/>
        <w:ind w:firstLine="480" w:firstLineChars="200"/>
        <w:jc w:val="both"/>
        <w:rPr>
          <w:highlight w:val="none"/>
          <w:lang w:eastAsia="zh-CN"/>
        </w:rPr>
      </w:pPr>
      <w:r>
        <w:rPr>
          <w:rFonts w:hint="eastAsia" w:ascii="宋体"/>
          <w:highlight w:val="none"/>
          <w:lang w:eastAsia="zh-CN"/>
        </w:rPr>
        <w:t>（2）</w:t>
      </w:r>
      <w:r>
        <w:rPr>
          <w:rFonts w:hint="eastAsia"/>
          <w:highlight w:val="none"/>
          <w:lang w:eastAsia="zh-CN"/>
        </w:rPr>
        <w:t>履行本合同的相关补充协议（含工程洽商记录、会议纪要、工程变更、现场签证、索赔和合同价款调整报告等修正文件）；</w:t>
      </w:r>
    </w:p>
    <w:p w14:paraId="5C36AE60">
      <w:pPr>
        <w:spacing w:line="360" w:lineRule="auto"/>
        <w:ind w:firstLine="480" w:firstLineChars="200"/>
        <w:rPr>
          <w:rFonts w:ascii="宋体" w:hAnsi="宋体"/>
          <w:sz w:val="24"/>
          <w:highlight w:val="none"/>
        </w:rPr>
      </w:pPr>
      <w:r>
        <w:rPr>
          <w:rFonts w:hint="eastAsia" w:ascii="宋体" w:hAnsi="宋体"/>
          <w:sz w:val="24"/>
          <w:highlight w:val="none"/>
        </w:rPr>
        <w:t>（3）中标通知书；</w:t>
      </w:r>
    </w:p>
    <w:p w14:paraId="3F9664A4">
      <w:pPr>
        <w:spacing w:line="360" w:lineRule="auto"/>
        <w:ind w:firstLine="480" w:firstLineChars="200"/>
        <w:rPr>
          <w:rFonts w:ascii="宋体" w:hAnsi="宋体"/>
          <w:sz w:val="24"/>
          <w:highlight w:val="none"/>
        </w:rPr>
      </w:pPr>
      <w:r>
        <w:rPr>
          <w:rFonts w:hint="eastAsia" w:ascii="宋体" w:hAnsi="宋体"/>
          <w:sz w:val="24"/>
          <w:highlight w:val="none"/>
        </w:rPr>
        <w:t>（4）本合同第二篇；</w:t>
      </w:r>
    </w:p>
    <w:p w14:paraId="102C10C8">
      <w:pPr>
        <w:spacing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rPr>
        <w:t>（5）设计任务书；</w:t>
      </w:r>
    </w:p>
    <w:p w14:paraId="475BED96">
      <w:pPr>
        <w:spacing w:line="360" w:lineRule="auto"/>
        <w:ind w:firstLine="480" w:firstLineChars="200"/>
        <w:rPr>
          <w:rFonts w:ascii="宋体" w:hAnsi="宋体"/>
          <w:sz w:val="24"/>
          <w:highlight w:val="none"/>
        </w:rPr>
      </w:pPr>
      <w:r>
        <w:rPr>
          <w:rFonts w:hint="eastAsia" w:ascii="宋体" w:hAnsi="宋体"/>
          <w:sz w:val="24"/>
          <w:highlight w:val="none"/>
        </w:rPr>
        <w:t>（6）招标文件及其附件、招标答疑会议纪要等；</w:t>
      </w:r>
    </w:p>
    <w:p w14:paraId="21B09B90">
      <w:pPr>
        <w:spacing w:line="360" w:lineRule="auto"/>
        <w:ind w:firstLine="480" w:firstLineChars="200"/>
        <w:rPr>
          <w:rFonts w:ascii="宋体" w:hAnsi="宋体"/>
          <w:sz w:val="24"/>
          <w:highlight w:val="none"/>
        </w:rPr>
      </w:pPr>
      <w:r>
        <w:rPr>
          <w:rFonts w:hint="eastAsia" w:ascii="宋体" w:hAnsi="宋体"/>
          <w:sz w:val="24"/>
          <w:highlight w:val="none"/>
        </w:rPr>
        <w:t>（7）标准、规范及有关技术文件；</w:t>
      </w:r>
    </w:p>
    <w:p w14:paraId="4AF69525">
      <w:pPr>
        <w:spacing w:line="360" w:lineRule="auto"/>
        <w:ind w:firstLine="480" w:firstLineChars="200"/>
        <w:rPr>
          <w:rFonts w:ascii="宋体" w:hAnsi="宋体"/>
          <w:sz w:val="24"/>
          <w:highlight w:val="none"/>
        </w:rPr>
      </w:pPr>
      <w:r>
        <w:rPr>
          <w:rFonts w:hint="eastAsia" w:ascii="宋体" w:hAnsi="宋体"/>
          <w:sz w:val="24"/>
          <w:highlight w:val="none"/>
        </w:rPr>
        <w:t>（8）经确认的设计工作大纲及实施计划；</w:t>
      </w:r>
    </w:p>
    <w:p w14:paraId="15DD9808">
      <w:pPr>
        <w:spacing w:line="360" w:lineRule="auto"/>
        <w:ind w:firstLine="480" w:firstLineChars="200"/>
        <w:rPr>
          <w:rFonts w:ascii="宋体" w:hAnsi="宋体"/>
          <w:sz w:val="24"/>
          <w:highlight w:val="none"/>
        </w:rPr>
      </w:pPr>
      <w:r>
        <w:rPr>
          <w:rFonts w:hint="eastAsia" w:ascii="宋体" w:hAnsi="宋体"/>
          <w:sz w:val="24"/>
          <w:highlight w:val="none"/>
        </w:rPr>
        <w:t>（9）投标书及其附件。</w:t>
      </w:r>
    </w:p>
    <w:p w14:paraId="50CD3E73">
      <w:pPr>
        <w:pStyle w:val="32"/>
        <w:spacing w:before="120" w:beforeLines="50" w:line="360" w:lineRule="auto"/>
        <w:ind w:firstLine="198"/>
        <w:jc w:val="both"/>
        <w:outlineLvl w:val="9"/>
        <w:rPr>
          <w:highlight w:val="none"/>
        </w:rPr>
      </w:pPr>
      <w:bookmarkStart w:id="9" w:name="_Toc287627921"/>
      <w:r>
        <w:rPr>
          <w:rFonts w:hint="eastAsia"/>
          <w:highlight w:val="none"/>
        </w:rPr>
        <w:t>七、乙方承诺</w:t>
      </w:r>
      <w:bookmarkEnd w:id="9"/>
    </w:p>
    <w:p w14:paraId="4CF1627E">
      <w:pPr>
        <w:autoSpaceDE w:val="0"/>
        <w:autoSpaceDN w:val="0"/>
        <w:adjustRightInd w:val="0"/>
        <w:spacing w:line="360" w:lineRule="auto"/>
        <w:ind w:firstLine="484" w:firstLineChars="200"/>
        <w:rPr>
          <w:rFonts w:ascii="宋体" w:cs="宋体"/>
          <w:kern w:val="0"/>
          <w:sz w:val="24"/>
          <w:highlight w:val="none"/>
        </w:rPr>
      </w:pPr>
      <w:r>
        <w:rPr>
          <w:rFonts w:hint="eastAsia" w:ascii="宋体" w:cs="宋体"/>
          <w:spacing w:val="1"/>
          <w:kern w:val="0"/>
          <w:sz w:val="24"/>
          <w:highlight w:val="none"/>
        </w:rPr>
        <w:t>乙方向</w:t>
      </w:r>
      <w:r>
        <w:rPr>
          <w:rFonts w:hint="eastAsia" w:ascii="宋体" w:cs="宋体"/>
          <w:spacing w:val="1"/>
          <w:kern w:val="0"/>
          <w:sz w:val="24"/>
          <w:highlight w:val="none"/>
          <w:lang w:eastAsia="zh-CN"/>
        </w:rPr>
        <w:t>甲方</w:t>
      </w:r>
      <w:r>
        <w:rPr>
          <w:rFonts w:hint="eastAsia" w:ascii="宋体" w:cs="宋体"/>
          <w:spacing w:val="1"/>
          <w:kern w:val="0"/>
          <w:sz w:val="24"/>
          <w:highlight w:val="none"/>
        </w:rPr>
        <w:t>承诺已阅读、理</w:t>
      </w:r>
      <w:r>
        <w:rPr>
          <w:rFonts w:hint="eastAsia" w:ascii="宋体" w:cs="宋体"/>
          <w:kern w:val="0"/>
          <w:sz w:val="24"/>
          <w:highlight w:val="none"/>
        </w:rPr>
        <w:t>解</w:t>
      </w:r>
      <w:r>
        <w:rPr>
          <w:rFonts w:hint="eastAsia" w:ascii="宋体" w:cs="宋体"/>
          <w:spacing w:val="1"/>
          <w:kern w:val="0"/>
          <w:sz w:val="24"/>
          <w:highlight w:val="none"/>
        </w:rPr>
        <w:t>并接受本合同所有条款，</w:t>
      </w:r>
      <w:r>
        <w:rPr>
          <w:rFonts w:hint="eastAsia" w:ascii="宋体" w:cs="宋体"/>
          <w:kern w:val="0"/>
          <w:sz w:val="24"/>
          <w:highlight w:val="none"/>
        </w:rPr>
        <w:t>履行本合同所约定的全部义务。</w:t>
      </w:r>
    </w:p>
    <w:p w14:paraId="05C60601">
      <w:pPr>
        <w:pStyle w:val="32"/>
        <w:spacing w:before="120" w:beforeLines="50" w:line="360" w:lineRule="auto"/>
        <w:ind w:firstLine="198"/>
        <w:jc w:val="both"/>
        <w:outlineLvl w:val="9"/>
        <w:rPr>
          <w:highlight w:val="none"/>
        </w:rPr>
      </w:pPr>
      <w:bookmarkStart w:id="10" w:name="_Toc287627922"/>
      <w:r>
        <w:rPr>
          <w:rFonts w:hint="eastAsia"/>
          <w:highlight w:val="none"/>
        </w:rPr>
        <w:t>八、</w:t>
      </w:r>
      <w:r>
        <w:rPr>
          <w:rFonts w:hint="eastAsia"/>
          <w:highlight w:val="none"/>
          <w:lang w:eastAsia="zh-CN"/>
        </w:rPr>
        <w:t>甲方</w:t>
      </w:r>
      <w:r>
        <w:rPr>
          <w:rFonts w:hint="eastAsia"/>
          <w:highlight w:val="none"/>
        </w:rPr>
        <w:t>承诺</w:t>
      </w:r>
      <w:bookmarkEnd w:id="10"/>
    </w:p>
    <w:p w14:paraId="30DD1205">
      <w:pPr>
        <w:autoSpaceDE w:val="0"/>
        <w:autoSpaceDN w:val="0"/>
        <w:adjustRightInd w:val="0"/>
        <w:spacing w:line="360" w:lineRule="auto"/>
        <w:ind w:firstLine="556" w:firstLineChars="230"/>
        <w:rPr>
          <w:highlight w:val="none"/>
        </w:rPr>
      </w:pPr>
      <w:r>
        <w:rPr>
          <w:rFonts w:hint="eastAsia" w:ascii="宋体" w:cs="宋体"/>
          <w:spacing w:val="1"/>
          <w:kern w:val="0"/>
          <w:sz w:val="24"/>
          <w:highlight w:val="none"/>
          <w:lang w:eastAsia="zh-CN"/>
        </w:rPr>
        <w:t>甲方</w:t>
      </w:r>
      <w:r>
        <w:rPr>
          <w:rFonts w:hint="eastAsia" w:ascii="宋体" w:cs="宋体"/>
          <w:spacing w:val="1"/>
          <w:kern w:val="0"/>
          <w:sz w:val="24"/>
          <w:highlight w:val="none"/>
        </w:rPr>
        <w:t>向乙方承诺已阅读、理</w:t>
      </w:r>
      <w:r>
        <w:rPr>
          <w:rFonts w:hint="eastAsia" w:ascii="宋体" w:cs="宋体"/>
          <w:kern w:val="0"/>
          <w:sz w:val="24"/>
          <w:highlight w:val="none"/>
        </w:rPr>
        <w:t>解</w:t>
      </w:r>
      <w:r>
        <w:rPr>
          <w:rFonts w:hint="eastAsia" w:ascii="宋体" w:cs="宋体"/>
          <w:spacing w:val="1"/>
          <w:kern w:val="0"/>
          <w:sz w:val="24"/>
          <w:highlight w:val="none"/>
        </w:rPr>
        <w:t>并接受本合同所有条款，</w:t>
      </w:r>
      <w:r>
        <w:rPr>
          <w:rFonts w:hint="eastAsia" w:ascii="宋体" w:cs="宋体"/>
          <w:kern w:val="0"/>
          <w:sz w:val="24"/>
          <w:highlight w:val="none"/>
        </w:rPr>
        <w:t>履行本合同所约定的全部义务。</w:t>
      </w:r>
    </w:p>
    <w:p w14:paraId="0EF5BA6B">
      <w:pPr>
        <w:pStyle w:val="32"/>
        <w:spacing w:before="120" w:beforeLines="50" w:line="360" w:lineRule="auto"/>
        <w:ind w:firstLine="198"/>
        <w:jc w:val="both"/>
        <w:outlineLvl w:val="9"/>
        <w:rPr>
          <w:rFonts w:ascii="宋体" w:hAnsi="宋体"/>
          <w:b/>
          <w:bCs w:val="0"/>
          <w:highlight w:val="none"/>
        </w:rPr>
      </w:pPr>
      <w:r>
        <w:rPr>
          <w:rFonts w:hint="eastAsia" w:ascii="宋体" w:hAnsi="宋体"/>
          <w:b/>
          <w:highlight w:val="none"/>
        </w:rPr>
        <w:t>九、开户银行账号</w:t>
      </w:r>
    </w:p>
    <w:p w14:paraId="24C7EAB0">
      <w:pPr>
        <w:pStyle w:val="7"/>
        <w:spacing w:line="360" w:lineRule="auto"/>
        <w:ind w:firstLine="480"/>
        <w:rPr>
          <w:rFonts w:ascii="宋体" w:hAnsi="宋体"/>
          <w:bCs/>
          <w:sz w:val="24"/>
          <w:highlight w:val="none"/>
        </w:rPr>
      </w:pPr>
      <w:r>
        <w:rPr>
          <w:rFonts w:hint="eastAsia" w:ascii="宋体" w:hAnsi="宋体"/>
          <w:bCs/>
          <w:sz w:val="24"/>
          <w:highlight w:val="none"/>
        </w:rPr>
        <w:t>1、乙方签订本合同时使用的“开户银行名称、账户名称（简称户名）及账号”必须与技术投标书附表中所填写的“开户银行名称、账户名称（简称户名）及账号”一致、且账户不得是临时账户，合同签订后不得变更，否则甲方有权拒绝合同授予、有权停止款项的拨付，所造成的一切后果由乙方承担。</w:t>
      </w:r>
    </w:p>
    <w:p w14:paraId="09E57CD5">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2、双方委托银行代收代付有关费用。乙方指定的有效银行账户如下：</w:t>
      </w:r>
    </w:p>
    <w:p w14:paraId="5319F0B9">
      <w:pPr>
        <w:adjustRightInd w:val="0"/>
        <w:snapToGrid w:val="0"/>
        <w:spacing w:line="360" w:lineRule="auto"/>
        <w:ind w:firstLine="2409" w:firstLineChars="1000"/>
        <w:rPr>
          <w:rFonts w:hint="eastAsia" w:ascii="宋体" w:hAnsi="宋体" w:eastAsia="宋体"/>
          <w:b/>
          <w:sz w:val="24"/>
          <w:highlight w:val="none"/>
          <w:lang w:eastAsia="zh-CN"/>
        </w:rPr>
      </w:pPr>
      <w:r>
        <w:rPr>
          <w:rFonts w:hint="eastAsia" w:ascii="宋体" w:hAnsi="宋体"/>
          <w:b/>
          <w:sz w:val="24"/>
          <w:highlight w:val="none"/>
        </w:rPr>
        <w:t>账户全称：</w:t>
      </w:r>
    </w:p>
    <w:p w14:paraId="44E59D5B">
      <w:pPr>
        <w:adjustRightInd w:val="0"/>
        <w:snapToGrid w:val="0"/>
        <w:spacing w:line="360" w:lineRule="auto"/>
        <w:ind w:firstLine="2409" w:firstLineChars="1000"/>
        <w:rPr>
          <w:rFonts w:ascii="宋体" w:hAnsi="宋体"/>
          <w:b/>
          <w:sz w:val="24"/>
          <w:highlight w:val="none"/>
        </w:rPr>
      </w:pPr>
      <w:r>
        <w:rPr>
          <w:rFonts w:hint="eastAsia" w:ascii="宋体" w:hAnsi="宋体"/>
          <w:b/>
          <w:sz w:val="24"/>
          <w:highlight w:val="none"/>
        </w:rPr>
        <w:t>账户账号：</w:t>
      </w:r>
    </w:p>
    <w:p w14:paraId="77FDD224">
      <w:pPr>
        <w:adjustRightInd w:val="0"/>
        <w:snapToGrid w:val="0"/>
        <w:spacing w:line="360" w:lineRule="auto"/>
        <w:ind w:firstLine="2409" w:firstLineChars="1000"/>
        <w:rPr>
          <w:rFonts w:ascii="宋体" w:hAnsi="宋体"/>
          <w:sz w:val="24"/>
          <w:highlight w:val="none"/>
        </w:rPr>
      </w:pPr>
      <w:r>
        <w:rPr>
          <w:rFonts w:hint="eastAsia" w:ascii="宋体" w:hAnsi="宋体"/>
          <w:b/>
          <w:sz w:val="24"/>
          <w:highlight w:val="none"/>
        </w:rPr>
        <w:t>开户银行：</w:t>
      </w:r>
    </w:p>
    <w:p w14:paraId="55EC34D2">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甲方向上述账号汇出款项即视为甲方已履行付款义务，在协议履行过程中，因乙方账户原因（包括但不限于账号被注销、被冻结等）导致乙方无法收取款项的，由乙方承担相应后果。</w:t>
      </w:r>
    </w:p>
    <w:p w14:paraId="335B70FE">
      <w:pPr>
        <w:pStyle w:val="7"/>
        <w:spacing w:line="360" w:lineRule="auto"/>
        <w:ind w:firstLine="480"/>
        <w:rPr>
          <w:rFonts w:ascii="宋体" w:hAnsi="宋体"/>
          <w:bCs/>
          <w:sz w:val="24"/>
          <w:highlight w:val="none"/>
        </w:rPr>
      </w:pPr>
      <w:r>
        <w:rPr>
          <w:rFonts w:hint="eastAsia" w:ascii="宋体" w:hAnsi="宋体"/>
          <w:sz w:val="24"/>
          <w:highlight w:val="none"/>
        </w:rPr>
        <w:t>甲方凭乙方开具的合法有效等额发票付款，否则，甲方有权拒付，乙方</w:t>
      </w:r>
      <w:r>
        <w:rPr>
          <w:rFonts w:hint="eastAsia" w:hAnsi="宋体"/>
          <w:sz w:val="24"/>
          <w:highlight w:val="none"/>
        </w:rPr>
        <w:t>不得因此延误设计工作和履行本合同约定的义务。</w:t>
      </w:r>
    </w:p>
    <w:p w14:paraId="65DFE021">
      <w:pPr>
        <w:pStyle w:val="32"/>
        <w:spacing w:before="120" w:beforeLines="50" w:line="360" w:lineRule="auto"/>
        <w:ind w:firstLine="198"/>
        <w:jc w:val="both"/>
        <w:outlineLvl w:val="9"/>
        <w:rPr>
          <w:szCs w:val="24"/>
          <w:highlight w:val="none"/>
        </w:rPr>
      </w:pPr>
      <w:r>
        <w:rPr>
          <w:rFonts w:hint="eastAsia"/>
          <w:szCs w:val="24"/>
          <w:highlight w:val="none"/>
        </w:rPr>
        <w:t>十、款项支付</w:t>
      </w:r>
    </w:p>
    <w:p w14:paraId="79FF8351">
      <w:pPr>
        <w:pStyle w:val="7"/>
        <w:spacing w:line="360" w:lineRule="auto"/>
        <w:ind w:firstLine="480"/>
        <w:rPr>
          <w:rFonts w:ascii="宋体" w:hAnsi="宋体"/>
          <w:sz w:val="24"/>
          <w:highlight w:val="none"/>
        </w:rPr>
      </w:pPr>
      <w:r>
        <w:rPr>
          <w:rFonts w:hint="eastAsia" w:ascii="宋体" w:hAnsi="宋体"/>
          <w:sz w:val="24"/>
          <w:highlight w:val="none"/>
        </w:rPr>
        <w:t>按本合同第二篇相关条款执行。</w:t>
      </w:r>
    </w:p>
    <w:p w14:paraId="3B59D35F">
      <w:pPr>
        <w:pStyle w:val="32"/>
        <w:spacing w:before="120" w:beforeLines="50" w:line="360" w:lineRule="auto"/>
        <w:ind w:firstLine="198"/>
        <w:jc w:val="both"/>
        <w:outlineLvl w:val="9"/>
        <w:rPr>
          <w:szCs w:val="24"/>
          <w:highlight w:val="none"/>
        </w:rPr>
      </w:pPr>
      <w:r>
        <w:rPr>
          <w:rFonts w:hint="eastAsia"/>
          <w:szCs w:val="24"/>
          <w:highlight w:val="none"/>
        </w:rPr>
        <w:t>十一、知识产权</w:t>
      </w:r>
    </w:p>
    <w:p w14:paraId="3B7AA0AE">
      <w:pPr>
        <w:adjustRightInd w:val="0"/>
        <w:snapToGrid w:val="0"/>
        <w:spacing w:line="360" w:lineRule="auto"/>
        <w:ind w:firstLine="480" w:firstLineChars="200"/>
        <w:rPr>
          <w:rFonts w:ascii="宋体" w:hAnsi="宋体"/>
          <w:sz w:val="24"/>
          <w:highlight w:val="none"/>
        </w:rPr>
      </w:pPr>
      <w:r>
        <w:rPr>
          <w:rFonts w:hint="eastAsia" w:hAnsi="宋体"/>
          <w:sz w:val="24"/>
          <w:highlight w:val="none"/>
        </w:rPr>
        <w:t>双方均应保护对方的知识产权，未经对方同意，任何一方均不得对对方的资料及文件擅自修改、复制或向第</w:t>
      </w:r>
      <w:r>
        <w:rPr>
          <w:rFonts w:hint="eastAsia" w:hAnsi="宋体"/>
          <w:sz w:val="24"/>
          <w:highlight w:val="none"/>
          <w:lang w:val="en-US" w:eastAsia="zh-CN"/>
        </w:rPr>
        <w:t>三</w:t>
      </w:r>
      <w:r>
        <w:rPr>
          <w:rFonts w:hint="eastAsia" w:hAnsi="宋体"/>
          <w:sz w:val="24"/>
          <w:highlight w:val="none"/>
        </w:rPr>
        <w:t>人转让或用于本合同项目外的项目。如发生以上的情况，泄密方承担一切由此引起的后果并承担赔偿责任。本条的约定不因本合同的无效而免除。</w:t>
      </w:r>
      <w:r>
        <w:rPr>
          <w:rFonts w:hint="eastAsia" w:ascii="宋体" w:hAnsi="宋体"/>
          <w:sz w:val="24"/>
          <w:highlight w:val="none"/>
        </w:rPr>
        <w:t>本合同项下的资料的知识产权、素材及成果等均归属甲方所有，署名权除外。乙方承诺，在为甲方提供服务时，不得使用任何属于他人的技术秘密和商业秘密，亦不得实施可能侵犯他人知识产权等权益的行为。若甲方因乙方的上述行为而提供的成果等进行了确认、同意、接收，乙方不得以此为由要求甲方承担任何责任，一切后果均由乙方承担。给甲方造成损失的，甲方有权向乙方追偿。</w:t>
      </w:r>
    </w:p>
    <w:p w14:paraId="16389B69">
      <w:pPr>
        <w:pStyle w:val="32"/>
        <w:spacing w:before="120" w:beforeLines="50" w:line="360" w:lineRule="auto"/>
        <w:ind w:firstLine="198"/>
        <w:jc w:val="both"/>
        <w:outlineLvl w:val="9"/>
        <w:rPr>
          <w:szCs w:val="24"/>
          <w:highlight w:val="none"/>
        </w:rPr>
      </w:pPr>
      <w:r>
        <w:rPr>
          <w:rFonts w:hint="eastAsia"/>
          <w:szCs w:val="24"/>
          <w:highlight w:val="none"/>
        </w:rPr>
        <w:t>十三、仲裁、起诉</w:t>
      </w:r>
    </w:p>
    <w:p w14:paraId="14F5B949">
      <w:pPr>
        <w:spacing w:line="360" w:lineRule="auto"/>
        <w:ind w:firstLine="480" w:firstLineChars="200"/>
        <w:rPr>
          <w:rFonts w:ascii="宋体" w:hAnsi="宋体"/>
          <w:sz w:val="24"/>
          <w:highlight w:val="none"/>
        </w:rPr>
      </w:pPr>
      <w:r>
        <w:rPr>
          <w:rFonts w:hint="eastAsia" w:ascii="宋体" w:hAnsi="宋体"/>
          <w:sz w:val="24"/>
          <w:highlight w:val="none"/>
        </w:rPr>
        <w:t>本合同在履行过程中发生的争议，双方当事人协商解决，协商不成的按下列第</w:t>
      </w:r>
      <w:r>
        <w:rPr>
          <w:rFonts w:hint="eastAsia" w:ascii="宋体" w:hAnsi="宋体"/>
          <w:sz w:val="24"/>
          <w:highlight w:val="none"/>
          <w:u w:val="single"/>
        </w:rPr>
        <w:t>（二）</w:t>
      </w:r>
      <w:r>
        <w:rPr>
          <w:rFonts w:hint="eastAsia" w:ascii="宋体" w:hAnsi="宋体"/>
          <w:sz w:val="24"/>
          <w:highlight w:val="none"/>
        </w:rPr>
        <w:t>种方式解决：</w:t>
      </w:r>
    </w:p>
    <w:p w14:paraId="5AE3E1E9">
      <w:pPr>
        <w:spacing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rPr>
        <w:t>（一）提交广州仲裁委员会仲裁；</w:t>
      </w:r>
    </w:p>
    <w:p w14:paraId="0D780D28">
      <w:pPr>
        <w:spacing w:line="360" w:lineRule="auto"/>
        <w:ind w:firstLine="480" w:firstLineChars="200"/>
        <w:rPr>
          <w:rFonts w:ascii="宋体" w:hAnsi="宋体"/>
          <w:sz w:val="24"/>
          <w:highlight w:val="none"/>
        </w:rPr>
      </w:pPr>
      <w:r>
        <w:rPr>
          <w:rFonts w:hint="eastAsia" w:ascii="宋体" w:hAnsi="宋体"/>
          <w:sz w:val="24"/>
          <w:highlight w:val="none"/>
        </w:rPr>
        <w:t>（二）依法向工程所在地的人民法院起诉。</w:t>
      </w:r>
    </w:p>
    <w:p w14:paraId="720AE369">
      <w:pPr>
        <w:pStyle w:val="32"/>
        <w:spacing w:before="120" w:beforeLines="50" w:line="360" w:lineRule="auto"/>
        <w:ind w:firstLine="198"/>
        <w:jc w:val="both"/>
        <w:outlineLvl w:val="9"/>
        <w:rPr>
          <w:szCs w:val="24"/>
          <w:highlight w:val="none"/>
        </w:rPr>
      </w:pPr>
      <w:r>
        <w:rPr>
          <w:rFonts w:hint="eastAsia"/>
          <w:szCs w:val="24"/>
          <w:highlight w:val="none"/>
        </w:rPr>
        <w:t>十四、合同正、副本及效力</w:t>
      </w:r>
    </w:p>
    <w:p w14:paraId="08A070BC">
      <w:pPr>
        <w:tabs>
          <w:tab w:val="left" w:pos="3640"/>
          <w:tab w:val="left" w:pos="6040"/>
          <w:tab w:val="left" w:pos="7960"/>
        </w:tabs>
        <w:autoSpaceDE w:val="0"/>
        <w:autoSpaceDN w:val="0"/>
        <w:adjustRightInd w:val="0"/>
        <w:spacing w:line="360" w:lineRule="auto"/>
        <w:ind w:firstLine="480" w:firstLineChars="200"/>
        <w:rPr>
          <w:rFonts w:ascii="宋体" w:cs="宋体"/>
          <w:b/>
          <w:kern w:val="0"/>
          <w:sz w:val="24"/>
          <w:highlight w:val="none"/>
        </w:rPr>
      </w:pPr>
      <w:r>
        <w:rPr>
          <w:rFonts w:hint="eastAsia" w:ascii="宋体" w:cs="宋体"/>
          <w:kern w:val="0"/>
          <w:sz w:val="24"/>
          <w:highlight w:val="none"/>
        </w:rPr>
        <w:t>1、合同的份数：共</w:t>
      </w:r>
      <w:r>
        <w:rPr>
          <w:rFonts w:hint="eastAsia" w:ascii="宋体" w:cs="宋体"/>
          <w:kern w:val="0"/>
          <w:sz w:val="24"/>
          <w:highlight w:val="none"/>
          <w:u w:val="single"/>
          <w:lang w:val="en-US" w:eastAsia="zh-CN"/>
        </w:rPr>
        <w:t>拾</w:t>
      </w:r>
      <w:r>
        <w:rPr>
          <w:rFonts w:hint="eastAsia" w:ascii="宋体" w:cs="宋体"/>
          <w:kern w:val="0"/>
          <w:sz w:val="24"/>
          <w:highlight w:val="none"/>
        </w:rPr>
        <w:t>份，</w:t>
      </w:r>
      <w:r>
        <w:rPr>
          <w:rFonts w:hint="eastAsia" w:ascii="宋体" w:cs="宋体"/>
          <w:b/>
          <w:kern w:val="0"/>
          <w:sz w:val="24"/>
          <w:highlight w:val="none"/>
        </w:rPr>
        <w:t>正本</w:t>
      </w:r>
      <w:r>
        <w:rPr>
          <w:rFonts w:hint="eastAsia" w:ascii="宋体" w:cs="宋体"/>
          <w:b/>
          <w:kern w:val="0"/>
          <w:sz w:val="24"/>
          <w:highlight w:val="none"/>
          <w:u w:val="single"/>
        </w:rPr>
        <w:t>肆</w:t>
      </w:r>
      <w:r>
        <w:rPr>
          <w:rFonts w:hint="eastAsia" w:ascii="宋体" w:cs="宋体"/>
          <w:b/>
          <w:kern w:val="0"/>
          <w:sz w:val="24"/>
          <w:highlight w:val="none"/>
        </w:rPr>
        <w:t>份，副本</w:t>
      </w:r>
      <w:r>
        <w:rPr>
          <w:rFonts w:hint="eastAsia" w:ascii="宋体" w:cs="宋体"/>
          <w:b/>
          <w:kern w:val="0"/>
          <w:sz w:val="24"/>
          <w:highlight w:val="none"/>
          <w:u w:val="single"/>
          <w:lang w:val="en-US" w:eastAsia="zh-CN"/>
        </w:rPr>
        <w:t xml:space="preserve">陆 </w:t>
      </w:r>
      <w:r>
        <w:rPr>
          <w:rFonts w:hint="eastAsia" w:ascii="宋体" w:cs="宋体"/>
          <w:b/>
          <w:kern w:val="0"/>
          <w:sz w:val="24"/>
          <w:highlight w:val="none"/>
        </w:rPr>
        <w:t>份。</w:t>
      </w:r>
    </w:p>
    <w:p w14:paraId="11185B84">
      <w:pPr>
        <w:tabs>
          <w:tab w:val="left" w:pos="3640"/>
          <w:tab w:val="left" w:pos="6040"/>
          <w:tab w:val="left" w:pos="7960"/>
        </w:tabs>
        <w:autoSpaceDE w:val="0"/>
        <w:autoSpaceDN w:val="0"/>
        <w:adjustRightInd w:val="0"/>
        <w:spacing w:line="360" w:lineRule="auto"/>
        <w:ind w:firstLine="693" w:firstLineChars="289"/>
        <w:rPr>
          <w:rFonts w:ascii="宋体" w:cs="宋体"/>
          <w:kern w:val="0"/>
          <w:sz w:val="24"/>
          <w:highlight w:val="none"/>
        </w:rPr>
      </w:pPr>
      <w:r>
        <w:rPr>
          <w:rFonts w:hint="eastAsia" w:ascii="宋体" w:cs="宋体"/>
          <w:kern w:val="0"/>
          <w:sz w:val="24"/>
          <w:highlight w:val="none"/>
        </w:rPr>
        <w:t>其中：甲方正本</w:t>
      </w:r>
      <w:r>
        <w:rPr>
          <w:rFonts w:hint="eastAsia" w:ascii="宋体" w:cs="宋体"/>
          <w:kern w:val="0"/>
          <w:sz w:val="24"/>
          <w:highlight w:val="none"/>
          <w:u w:val="single"/>
          <w:lang w:val="en-US" w:eastAsia="zh-CN"/>
        </w:rPr>
        <w:t xml:space="preserve">贰 </w:t>
      </w:r>
      <w:r>
        <w:rPr>
          <w:rFonts w:hint="eastAsia" w:ascii="宋体" w:cs="宋体"/>
          <w:kern w:val="0"/>
          <w:sz w:val="24"/>
          <w:highlight w:val="none"/>
        </w:rPr>
        <w:t>份，副本</w:t>
      </w:r>
      <w:r>
        <w:rPr>
          <w:rFonts w:hint="eastAsia" w:ascii="宋体" w:cs="宋体"/>
          <w:kern w:val="0"/>
          <w:sz w:val="24"/>
          <w:highlight w:val="none"/>
          <w:u w:val="single"/>
        </w:rPr>
        <w:t>叁</w:t>
      </w:r>
      <w:r>
        <w:rPr>
          <w:rFonts w:hint="eastAsia" w:ascii="宋体" w:cs="宋体"/>
          <w:kern w:val="0"/>
          <w:sz w:val="24"/>
          <w:highlight w:val="none"/>
        </w:rPr>
        <w:t>份；</w:t>
      </w:r>
    </w:p>
    <w:p w14:paraId="0A637440">
      <w:pPr>
        <w:pStyle w:val="7"/>
        <w:spacing w:line="360" w:lineRule="auto"/>
        <w:ind w:firstLine="200" w:firstLineChars="0"/>
        <w:rPr>
          <w:rFonts w:ascii="宋体" w:cs="宋体"/>
          <w:kern w:val="0"/>
          <w:sz w:val="24"/>
          <w:highlight w:val="none"/>
        </w:rPr>
      </w:pPr>
      <w:r>
        <w:rPr>
          <w:rFonts w:hint="eastAsia" w:ascii="宋体" w:cs="宋体"/>
          <w:kern w:val="0"/>
          <w:sz w:val="24"/>
          <w:highlight w:val="none"/>
        </w:rPr>
        <w:t>　　　　　乙方正本</w:t>
      </w:r>
      <w:r>
        <w:rPr>
          <w:rFonts w:hint="eastAsia" w:ascii="宋体" w:cs="宋体"/>
          <w:kern w:val="0"/>
          <w:sz w:val="24"/>
          <w:highlight w:val="none"/>
          <w:u w:val="single"/>
        </w:rPr>
        <w:t>贰</w:t>
      </w:r>
      <w:r>
        <w:rPr>
          <w:rFonts w:hint="eastAsia" w:ascii="宋体" w:cs="宋体"/>
          <w:kern w:val="0"/>
          <w:sz w:val="24"/>
          <w:highlight w:val="none"/>
        </w:rPr>
        <w:t>份，副本</w:t>
      </w:r>
      <w:r>
        <w:rPr>
          <w:rFonts w:hint="eastAsia" w:ascii="宋体" w:cs="宋体"/>
          <w:kern w:val="0"/>
          <w:sz w:val="24"/>
          <w:highlight w:val="none"/>
          <w:u w:val="single"/>
        </w:rPr>
        <w:t>叁</w:t>
      </w:r>
      <w:r>
        <w:rPr>
          <w:rFonts w:hint="eastAsia" w:ascii="宋体" w:cs="宋体"/>
          <w:kern w:val="0"/>
          <w:sz w:val="24"/>
          <w:highlight w:val="none"/>
        </w:rPr>
        <w:t>份。</w:t>
      </w:r>
    </w:p>
    <w:p w14:paraId="13C7D639">
      <w:pPr>
        <w:pStyle w:val="7"/>
        <w:spacing w:line="360" w:lineRule="auto"/>
        <w:ind w:firstLine="480"/>
        <w:rPr>
          <w:rFonts w:ascii="宋体" w:cs="宋体"/>
          <w:kern w:val="0"/>
          <w:sz w:val="24"/>
          <w:highlight w:val="none"/>
        </w:rPr>
      </w:pPr>
      <w:r>
        <w:rPr>
          <w:rFonts w:hint="eastAsia" w:ascii="宋体" w:cs="宋体"/>
          <w:kern w:val="0"/>
          <w:sz w:val="24"/>
          <w:highlight w:val="none"/>
        </w:rPr>
        <w:t>2、本合同正、副本具同等效力，当正、副本不一致时，以正本为准。</w:t>
      </w:r>
    </w:p>
    <w:p w14:paraId="0A1B1085">
      <w:pPr>
        <w:pStyle w:val="32"/>
        <w:spacing w:before="120" w:beforeLines="50" w:line="360" w:lineRule="auto"/>
        <w:ind w:firstLine="198"/>
        <w:jc w:val="both"/>
        <w:outlineLvl w:val="9"/>
        <w:rPr>
          <w:szCs w:val="24"/>
          <w:highlight w:val="none"/>
        </w:rPr>
      </w:pPr>
      <w:r>
        <w:rPr>
          <w:rFonts w:hint="eastAsia"/>
          <w:szCs w:val="24"/>
          <w:highlight w:val="none"/>
        </w:rPr>
        <w:t>十五、其他事项</w:t>
      </w:r>
    </w:p>
    <w:p w14:paraId="41F35D3E">
      <w:pPr>
        <w:pStyle w:val="7"/>
        <w:spacing w:line="360" w:lineRule="auto"/>
        <w:ind w:firstLine="480"/>
        <w:rPr>
          <w:rFonts w:ascii="宋体" w:hAnsi="宋体"/>
          <w:sz w:val="24"/>
          <w:highlight w:val="none"/>
        </w:rPr>
      </w:pPr>
      <w:r>
        <w:rPr>
          <w:rFonts w:hint="eastAsia" w:ascii="宋体" w:hAnsi="宋体"/>
          <w:sz w:val="24"/>
          <w:highlight w:val="none"/>
        </w:rPr>
        <w:t>1、双方在本合同履行过程中发出或者提供的所有通知、文件、文书、资料等，均以本合同所列明的双方地址送达。一方如果迁址或者变更电话，应当书面通知对方，未履行书面通知义务的，另一方按原地址邮寄相关材料即视为已履行送达义务。当面交付上述材料的，在交付之时视为送达；以邮寄方式交付的，寄出或者投邮后即视为送达。</w:t>
      </w:r>
    </w:p>
    <w:p w14:paraId="792A4AD9">
      <w:pPr>
        <w:spacing w:line="360" w:lineRule="auto"/>
        <w:ind w:firstLine="480" w:firstLineChars="200"/>
        <w:rPr>
          <w:rFonts w:ascii="宋体" w:hAnsi="宋体"/>
          <w:sz w:val="24"/>
          <w:highlight w:val="none"/>
        </w:rPr>
      </w:pPr>
      <w:r>
        <w:rPr>
          <w:rFonts w:hint="eastAsia"/>
          <w:sz w:val="24"/>
          <w:highlight w:val="none"/>
        </w:rPr>
        <w:t>2、乙方对在履行本合同过程中所接触的甲方工作秘密（包括但不限于甲方的商业秘密、任何技术性资料、以及甲方为完成本合同提供的任何其他信息资料并且在提供时未说明是公开信息的）承担保密义务。未经甲方书面许可，乙方（包括但不限于乙方雇员、代理人、顾问等）不得将从甲方获取的一切资料和信息、或其他成果用于本合同范围之外目的，否则全部收益归甲方所有，乙方支付合同总金额的5%作为违约金，并应另行赔偿甲方因此遭受的全部损失</w:t>
      </w:r>
      <w:r>
        <w:rPr>
          <w:rFonts w:hint="eastAsia"/>
          <w:sz w:val="24"/>
          <w:highlight w:val="none"/>
          <w:lang w:eastAsia="zh-CN"/>
        </w:rPr>
        <w:t>（</w:t>
      </w:r>
      <w:r>
        <w:rPr>
          <w:rFonts w:hint="eastAsia"/>
          <w:sz w:val="24"/>
          <w:highlight w:val="none"/>
          <w:lang w:val="en-US" w:eastAsia="zh-CN"/>
        </w:rPr>
        <w:t>包括但不限于公证费、保全费、鉴定费、律师费、担保费、交通费等</w:t>
      </w:r>
      <w:r>
        <w:rPr>
          <w:rFonts w:hint="eastAsia"/>
          <w:sz w:val="24"/>
          <w:highlight w:val="none"/>
          <w:lang w:eastAsia="zh-CN"/>
        </w:rPr>
        <w:t>）</w:t>
      </w:r>
      <w:r>
        <w:rPr>
          <w:rFonts w:hint="eastAsia"/>
          <w:sz w:val="24"/>
          <w:highlight w:val="none"/>
        </w:rPr>
        <w:t>。无论本合同是否切实得到履行或因任何原因变更、解除、终止、失效等，本条款均始终有效。</w:t>
      </w:r>
    </w:p>
    <w:p w14:paraId="28110010">
      <w:pPr>
        <w:pStyle w:val="7"/>
        <w:spacing w:line="360" w:lineRule="auto"/>
        <w:ind w:firstLine="480"/>
        <w:rPr>
          <w:rFonts w:ascii="宋体" w:hAnsi="宋体"/>
          <w:sz w:val="24"/>
          <w:highlight w:val="none"/>
        </w:rPr>
      </w:pPr>
      <w:r>
        <w:rPr>
          <w:rFonts w:hint="eastAsia" w:ascii="宋体" w:hAnsi="宋体"/>
          <w:sz w:val="24"/>
          <w:highlight w:val="none"/>
        </w:rPr>
        <w:t>3、</w:t>
      </w:r>
      <w:r>
        <w:rPr>
          <w:rFonts w:hint="eastAsia" w:ascii="宋体" w:hAnsi="宋体" w:cs="宋体"/>
          <w:sz w:val="24"/>
          <w:highlight w:val="none"/>
        </w:rPr>
        <w:t>为规范项目建设管理，乙方需遵守《服务供应商不规范行为管理办法》(另册)，对乙方行为实行“黑、白名单”管理。如乙方履行合同存在严重不履约行为，乙方收到发出的本项目监管函每次罚款5000元，收到本项目约谈法定代表人通知书每次罚款10000元。乙方连续收到3份约谈法定代表人通知书，自第3份约谈通知书发出之日起暂停乙方对后续项目的投标资格半年，并在白云区范围内通报。后续再每多发出一份约谈法定代表人通知书，自通知书发出之日起自动停标半年，停标时间如有重合，自动顺延。</w:t>
      </w:r>
    </w:p>
    <w:p w14:paraId="5CFA64D4">
      <w:pPr>
        <w:pStyle w:val="7"/>
        <w:spacing w:line="360" w:lineRule="auto"/>
        <w:ind w:firstLine="480"/>
        <w:rPr>
          <w:rFonts w:ascii="宋体" w:hAnsi="宋体"/>
          <w:sz w:val="24"/>
          <w:highlight w:val="none"/>
        </w:rPr>
      </w:pPr>
      <w:r>
        <w:rPr>
          <w:rFonts w:hint="eastAsia" w:ascii="宋体" w:hAnsi="宋体"/>
          <w:sz w:val="24"/>
          <w:highlight w:val="none"/>
        </w:rPr>
        <w:t>4、</w:t>
      </w:r>
      <w:r>
        <w:rPr>
          <w:rFonts w:ascii="宋体" w:hAnsi="宋体"/>
          <w:sz w:val="24"/>
          <w:highlight w:val="none"/>
        </w:rPr>
        <w:t>本合同未尽事宜，经</w:t>
      </w:r>
      <w:r>
        <w:rPr>
          <w:rFonts w:hint="eastAsia" w:ascii="宋体" w:hAnsi="宋体"/>
          <w:sz w:val="24"/>
          <w:highlight w:val="none"/>
        </w:rPr>
        <w:t>双方</w:t>
      </w:r>
      <w:r>
        <w:rPr>
          <w:rFonts w:ascii="宋体" w:hAnsi="宋体"/>
          <w:sz w:val="24"/>
          <w:highlight w:val="none"/>
        </w:rPr>
        <w:t>协商一致，</w:t>
      </w:r>
      <w:r>
        <w:rPr>
          <w:rFonts w:hint="eastAsia" w:ascii="宋体" w:hAnsi="宋体"/>
          <w:sz w:val="24"/>
          <w:highlight w:val="none"/>
        </w:rPr>
        <w:t>可</w:t>
      </w:r>
      <w:r>
        <w:rPr>
          <w:rFonts w:ascii="宋体" w:hAnsi="宋体"/>
          <w:sz w:val="24"/>
          <w:highlight w:val="none"/>
        </w:rPr>
        <w:t>签订补充协议，</w:t>
      </w:r>
      <w:r>
        <w:rPr>
          <w:rFonts w:hint="eastAsia" w:ascii="宋体" w:hAnsi="宋体"/>
          <w:sz w:val="24"/>
          <w:highlight w:val="none"/>
        </w:rPr>
        <w:t>并</w:t>
      </w:r>
      <w:r>
        <w:rPr>
          <w:rFonts w:ascii="宋体" w:hAnsi="宋体"/>
          <w:sz w:val="24"/>
          <w:highlight w:val="none"/>
        </w:rPr>
        <w:t>与本合同具有同等效力。</w:t>
      </w:r>
    </w:p>
    <w:p w14:paraId="25303A36">
      <w:pPr>
        <w:spacing w:line="360" w:lineRule="auto"/>
        <w:ind w:firstLine="480" w:firstLineChars="200"/>
        <w:rPr>
          <w:rFonts w:ascii="宋体" w:hAnsi="宋体"/>
          <w:sz w:val="24"/>
          <w:highlight w:val="none"/>
        </w:rPr>
      </w:pPr>
      <w:r>
        <w:rPr>
          <w:rFonts w:hint="eastAsia" w:ascii="宋体" w:hAnsi="宋体"/>
          <w:sz w:val="24"/>
          <w:highlight w:val="none"/>
        </w:rPr>
        <w:t>5、本合同生效后，合同当事人认为必要时，可到工商行政管理部门鉴证，鉴证费用由乙方负责。双方履行完合同规定的义务后，本合同即终止。</w:t>
      </w:r>
    </w:p>
    <w:p w14:paraId="2D828F2A">
      <w:pPr>
        <w:pStyle w:val="32"/>
        <w:spacing w:before="120" w:beforeLines="50" w:line="360" w:lineRule="auto"/>
        <w:ind w:firstLine="198"/>
        <w:jc w:val="both"/>
        <w:outlineLvl w:val="9"/>
        <w:rPr>
          <w:szCs w:val="24"/>
          <w:highlight w:val="none"/>
        </w:rPr>
      </w:pPr>
      <w:bookmarkStart w:id="11" w:name="_Toc287627923"/>
      <w:r>
        <w:rPr>
          <w:rFonts w:hint="eastAsia"/>
          <w:szCs w:val="24"/>
          <w:highlight w:val="none"/>
        </w:rPr>
        <w:t>十六、合同生效</w:t>
      </w:r>
      <w:bookmarkEnd w:id="11"/>
    </w:p>
    <w:p w14:paraId="52503A74">
      <w:pPr>
        <w:tabs>
          <w:tab w:val="left" w:pos="3740"/>
          <w:tab w:val="left" w:pos="5300"/>
          <w:tab w:val="left" w:pos="6860"/>
        </w:tabs>
        <w:autoSpaceDE w:val="0"/>
        <w:autoSpaceDN w:val="0"/>
        <w:adjustRightInd w:val="0"/>
        <w:spacing w:line="360" w:lineRule="auto"/>
        <w:ind w:firstLine="200"/>
        <w:rPr>
          <w:rFonts w:ascii="宋体" w:cs="宋体"/>
          <w:kern w:val="0"/>
          <w:sz w:val="24"/>
          <w:highlight w:val="none"/>
        </w:rPr>
      </w:pPr>
      <w:r>
        <w:rPr>
          <w:rFonts w:hint="eastAsia" w:ascii="宋体" w:cs="宋体"/>
          <w:kern w:val="0"/>
          <w:sz w:val="24"/>
          <w:highlight w:val="none"/>
        </w:rPr>
        <w:t>订立合同时间：</w:t>
      </w:r>
      <w:r>
        <w:rPr>
          <w:rFonts w:hint="eastAsia" w:ascii="宋体" w:cs="宋体"/>
          <w:kern w:val="0"/>
          <w:sz w:val="24"/>
          <w:highlight w:val="none"/>
          <w:u w:val="single"/>
        </w:rPr>
        <w:t xml:space="preserve">        </w:t>
      </w:r>
      <w:r>
        <w:rPr>
          <w:rFonts w:hint="eastAsia" w:ascii="宋体" w:cs="宋体"/>
          <w:kern w:val="0"/>
          <w:sz w:val="24"/>
          <w:highlight w:val="none"/>
        </w:rPr>
        <w:t>年</w:t>
      </w:r>
      <w:r>
        <w:rPr>
          <w:rFonts w:hint="eastAsia" w:ascii="宋体" w:cs="宋体"/>
          <w:kern w:val="0"/>
          <w:sz w:val="24"/>
          <w:highlight w:val="none"/>
          <w:u w:val="single"/>
        </w:rPr>
        <w:t xml:space="preserve">       </w:t>
      </w:r>
      <w:r>
        <w:rPr>
          <w:rFonts w:hint="eastAsia" w:ascii="宋体" w:cs="宋体"/>
          <w:kern w:val="0"/>
          <w:sz w:val="24"/>
          <w:highlight w:val="none"/>
        </w:rPr>
        <w:t>月</w:t>
      </w:r>
      <w:r>
        <w:rPr>
          <w:rFonts w:hint="eastAsia" w:ascii="宋体" w:cs="宋体"/>
          <w:kern w:val="0"/>
          <w:sz w:val="24"/>
          <w:highlight w:val="none"/>
          <w:u w:val="single"/>
        </w:rPr>
        <w:t xml:space="preserve">     </w:t>
      </w:r>
      <w:r>
        <w:rPr>
          <w:rFonts w:hint="eastAsia" w:ascii="宋体" w:cs="宋体"/>
          <w:kern w:val="0"/>
          <w:sz w:val="24"/>
          <w:highlight w:val="none"/>
        </w:rPr>
        <w:t>日</w:t>
      </w:r>
    </w:p>
    <w:p w14:paraId="7F665F65">
      <w:pPr>
        <w:autoSpaceDE w:val="0"/>
        <w:autoSpaceDN w:val="0"/>
        <w:adjustRightInd w:val="0"/>
        <w:spacing w:line="360" w:lineRule="auto"/>
        <w:ind w:firstLine="200"/>
        <w:rPr>
          <w:rFonts w:hint="eastAsia" w:ascii="宋体" w:eastAsia="宋体" w:cs="宋体"/>
          <w:kern w:val="0"/>
          <w:sz w:val="24"/>
          <w:highlight w:val="none"/>
          <w:lang w:eastAsia="zh-CN"/>
        </w:rPr>
      </w:pPr>
      <w:r>
        <w:rPr>
          <w:rFonts w:hint="eastAsia" w:ascii="宋体" w:cs="宋体"/>
          <w:kern w:val="0"/>
          <w:sz w:val="24"/>
          <w:highlight w:val="none"/>
        </w:rPr>
        <w:t xml:space="preserve">订立合同地点：                                                        </w:t>
      </w:r>
    </w:p>
    <w:p w14:paraId="26C11684">
      <w:pPr>
        <w:tabs>
          <w:tab w:val="left" w:pos="8900"/>
          <w:tab w:val="left" w:pos="9960"/>
        </w:tabs>
        <w:autoSpaceDE w:val="0"/>
        <w:autoSpaceDN w:val="0"/>
        <w:adjustRightInd w:val="0"/>
        <w:spacing w:line="360" w:lineRule="auto"/>
        <w:ind w:firstLine="200"/>
        <w:rPr>
          <w:rFonts w:ascii="宋体" w:cs="宋体"/>
          <w:kern w:val="0"/>
          <w:sz w:val="24"/>
          <w:highlight w:val="none"/>
        </w:rPr>
      </w:pPr>
      <w:r>
        <w:rPr>
          <w:rFonts w:hint="eastAsia" w:ascii="宋体" w:cs="宋体"/>
          <w:kern w:val="0"/>
          <w:sz w:val="24"/>
          <w:highlight w:val="none"/>
        </w:rPr>
        <w:t>合同双方当事人约定本合同自双方</w:t>
      </w:r>
      <w:r>
        <w:rPr>
          <w:rFonts w:hint="eastAsia" w:ascii="宋体" w:cs="宋体"/>
          <w:kern w:val="0"/>
          <w:sz w:val="24"/>
          <w:highlight w:val="none"/>
          <w:lang w:val="en-US" w:eastAsia="zh-CN"/>
        </w:rPr>
        <w:t>法定代表人</w:t>
      </w:r>
      <w:r>
        <w:rPr>
          <w:rFonts w:hint="eastAsia" w:ascii="宋体" w:cs="宋体"/>
          <w:kern w:val="0"/>
          <w:sz w:val="24"/>
          <w:highlight w:val="none"/>
        </w:rPr>
        <w:t>全部完成签字</w:t>
      </w:r>
      <w:r>
        <w:rPr>
          <w:rFonts w:hint="eastAsia" w:ascii="宋体" w:cs="宋体"/>
          <w:kern w:val="0"/>
          <w:sz w:val="24"/>
          <w:highlight w:val="none"/>
          <w:lang w:val="en-US" w:eastAsia="zh-CN"/>
        </w:rPr>
        <w:t>并加</w:t>
      </w:r>
      <w:r>
        <w:rPr>
          <w:rFonts w:hint="eastAsia" w:ascii="宋体" w:cs="宋体"/>
          <w:kern w:val="0"/>
          <w:sz w:val="24"/>
          <w:highlight w:val="none"/>
        </w:rPr>
        <w:t>盖</w:t>
      </w:r>
      <w:r>
        <w:rPr>
          <w:rFonts w:hint="eastAsia" w:ascii="宋体" w:cs="宋体"/>
          <w:kern w:val="0"/>
          <w:sz w:val="24"/>
          <w:highlight w:val="none"/>
          <w:lang w:val="en-US" w:eastAsia="zh-CN"/>
        </w:rPr>
        <w:t>公</w:t>
      </w:r>
      <w:r>
        <w:rPr>
          <w:rFonts w:hint="eastAsia" w:ascii="宋体" w:cs="宋体"/>
          <w:kern w:val="0"/>
          <w:sz w:val="24"/>
          <w:highlight w:val="none"/>
        </w:rPr>
        <w:t>章之日起生效。</w:t>
      </w:r>
    </w:p>
    <w:p w14:paraId="445585DA">
      <w:pPr>
        <w:pStyle w:val="7"/>
        <w:ind w:firstLine="480"/>
        <w:rPr>
          <w:rFonts w:ascii="宋体" w:hAnsi="宋体"/>
          <w:sz w:val="24"/>
          <w:highlight w:val="none"/>
        </w:rPr>
      </w:pPr>
      <w:r>
        <w:rPr>
          <w:rFonts w:hint="eastAsia"/>
          <w:highlight w:val="none"/>
        </w:rPr>
        <w:t>（本行以下无正文）</w:t>
      </w:r>
      <w:r>
        <w:rPr>
          <w:rFonts w:hint="eastAsia" w:ascii="宋体" w:hAnsi="宋体"/>
          <w:sz w:val="24"/>
          <w:highlight w:val="none"/>
        </w:rPr>
        <w:br w:type="page"/>
      </w:r>
    </w:p>
    <w:p w14:paraId="4E19474F">
      <w:pPr>
        <w:pStyle w:val="7"/>
        <w:spacing w:line="360" w:lineRule="auto"/>
        <w:ind w:firstLine="240" w:firstLineChars="100"/>
        <w:rPr>
          <w:rFonts w:ascii="宋体" w:hAnsi="宋体"/>
          <w:sz w:val="24"/>
          <w:highlight w:val="none"/>
        </w:rPr>
      </w:pPr>
      <w:r>
        <w:rPr>
          <w:rFonts w:hint="eastAsia" w:ascii="宋体" w:hAnsi="宋体"/>
          <w:sz w:val="24"/>
          <w:highlight w:val="none"/>
        </w:rPr>
        <w:t>(本页为签章页)</w:t>
      </w:r>
    </w:p>
    <w:p w14:paraId="55853255">
      <w:pPr>
        <w:pStyle w:val="7"/>
        <w:spacing w:line="360" w:lineRule="auto"/>
        <w:ind w:firstLine="240" w:firstLineChars="100"/>
        <w:rPr>
          <w:rFonts w:ascii="宋体" w:hAnsi="宋体"/>
          <w:sz w:val="24"/>
          <w:highlight w:val="none"/>
        </w:rPr>
      </w:pPr>
    </w:p>
    <w:p w14:paraId="0406E7AD">
      <w:pPr>
        <w:spacing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rPr>
        <w:t>甲方：（盖章）　</w:t>
      </w:r>
    </w:p>
    <w:p w14:paraId="3B59A6FF">
      <w:pPr>
        <w:spacing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rPr>
        <w:t>通讯地址：</w:t>
      </w:r>
    </w:p>
    <w:p w14:paraId="7A6A3E65">
      <w:pPr>
        <w:spacing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rPr>
        <w:t>法定代表人：</w:t>
      </w:r>
    </w:p>
    <w:p w14:paraId="366F7894">
      <w:pPr>
        <w:spacing w:line="360" w:lineRule="auto"/>
        <w:ind w:firstLine="480" w:firstLineChars="200"/>
        <w:rPr>
          <w:highlight w:val="none"/>
        </w:rPr>
      </w:pPr>
      <w:r>
        <w:rPr>
          <w:rFonts w:hint="eastAsia" w:ascii="宋体" w:hAnsi="宋体"/>
          <w:sz w:val="24"/>
          <w:highlight w:val="none"/>
        </w:rPr>
        <w:t>电话：</w:t>
      </w:r>
    </w:p>
    <w:p w14:paraId="5E311D14">
      <w:pPr>
        <w:pStyle w:val="7"/>
        <w:spacing w:line="360" w:lineRule="auto"/>
        <w:ind w:firstLine="0" w:firstLineChars="0"/>
        <w:rPr>
          <w:highlight w:val="none"/>
        </w:rPr>
      </w:pPr>
    </w:p>
    <w:p w14:paraId="2C621DB5">
      <w:pPr>
        <w:pStyle w:val="7"/>
        <w:spacing w:line="360" w:lineRule="auto"/>
        <w:ind w:firstLine="0" w:firstLineChars="0"/>
        <w:rPr>
          <w:highlight w:val="none"/>
        </w:rPr>
      </w:pPr>
    </w:p>
    <w:p w14:paraId="5A134B41">
      <w:pPr>
        <w:pStyle w:val="7"/>
        <w:spacing w:line="360" w:lineRule="auto"/>
        <w:ind w:firstLine="0" w:firstLineChars="0"/>
        <w:rPr>
          <w:highlight w:val="none"/>
        </w:rPr>
      </w:pPr>
    </w:p>
    <w:p w14:paraId="5858870C">
      <w:pPr>
        <w:spacing w:line="360" w:lineRule="auto"/>
        <w:ind w:firstLine="420" w:firstLineChars="200"/>
        <w:rPr>
          <w:rFonts w:hint="eastAsia" w:eastAsia="宋体"/>
          <w:highlight w:val="none"/>
          <w:lang w:eastAsia="zh-CN"/>
        </w:rPr>
      </w:pPr>
    </w:p>
    <w:p w14:paraId="529500AA">
      <w:pPr>
        <w:pStyle w:val="7"/>
        <w:spacing w:line="360" w:lineRule="auto"/>
        <w:ind w:firstLine="0" w:firstLineChars="0"/>
        <w:rPr>
          <w:highlight w:val="none"/>
        </w:rPr>
      </w:pPr>
    </w:p>
    <w:p w14:paraId="41DBEECC">
      <w:pPr>
        <w:pStyle w:val="7"/>
        <w:spacing w:line="360" w:lineRule="auto"/>
        <w:ind w:firstLine="0" w:firstLineChars="0"/>
        <w:rPr>
          <w:highlight w:val="none"/>
        </w:rPr>
      </w:pPr>
    </w:p>
    <w:p w14:paraId="7E17A049">
      <w:pPr>
        <w:pStyle w:val="7"/>
        <w:spacing w:line="360" w:lineRule="auto"/>
        <w:ind w:firstLine="0" w:firstLineChars="0"/>
        <w:rPr>
          <w:highlight w:val="none"/>
        </w:rPr>
      </w:pPr>
    </w:p>
    <w:p w14:paraId="4C05E6D6">
      <w:pPr>
        <w:spacing w:line="360" w:lineRule="auto"/>
        <w:ind w:left="7767" w:leftChars="171" w:hanging="7408" w:hangingChars="3087"/>
        <w:rPr>
          <w:highlight w:val="none"/>
        </w:rPr>
      </w:pPr>
      <w:r>
        <w:rPr>
          <w:rFonts w:hint="eastAsia" w:ascii="宋体" w:hAnsi="宋体"/>
          <w:sz w:val="24"/>
          <w:highlight w:val="none"/>
        </w:rPr>
        <w:t>乙方：（盖章）　</w:t>
      </w:r>
    </w:p>
    <w:p w14:paraId="3177D6E7">
      <w:pPr>
        <w:spacing w:line="360" w:lineRule="auto"/>
        <w:ind w:left="6599" w:leftChars="171" w:hanging="6240" w:hangingChars="2600"/>
        <w:rPr>
          <w:rFonts w:hint="eastAsia" w:ascii="宋体" w:hAnsi="宋体" w:eastAsia="宋体"/>
          <w:sz w:val="24"/>
          <w:highlight w:val="none"/>
          <w:lang w:eastAsia="zh-CN"/>
        </w:rPr>
      </w:pPr>
      <w:r>
        <w:rPr>
          <w:rFonts w:hint="eastAsia" w:ascii="宋体" w:hAnsi="宋体"/>
          <w:sz w:val="24"/>
          <w:highlight w:val="none"/>
        </w:rPr>
        <w:t>通讯地址：</w:t>
      </w:r>
    </w:p>
    <w:p w14:paraId="0D4996C7">
      <w:pPr>
        <w:spacing w:line="360" w:lineRule="auto"/>
        <w:ind w:firstLine="360" w:firstLineChars="150"/>
        <w:rPr>
          <w:rFonts w:hint="eastAsia" w:ascii="宋体" w:hAnsi="宋体" w:eastAsia="宋体"/>
          <w:sz w:val="24"/>
          <w:highlight w:val="none"/>
          <w:lang w:eastAsia="zh-CN"/>
        </w:rPr>
      </w:pPr>
      <w:r>
        <w:rPr>
          <w:rFonts w:hint="eastAsia" w:ascii="宋体" w:hAnsi="宋体"/>
          <w:sz w:val="24"/>
          <w:highlight w:val="none"/>
        </w:rPr>
        <w:t>法定代表人：</w:t>
      </w:r>
    </w:p>
    <w:p w14:paraId="01541303">
      <w:pPr>
        <w:spacing w:line="360" w:lineRule="auto"/>
        <w:ind w:firstLine="360" w:firstLineChars="150"/>
        <w:rPr>
          <w:rFonts w:ascii="宋体" w:hAnsi="宋体"/>
          <w:sz w:val="24"/>
          <w:highlight w:val="none"/>
        </w:rPr>
      </w:pPr>
      <w:r>
        <w:rPr>
          <w:rFonts w:hint="eastAsia" w:ascii="宋体" w:hAnsi="宋体"/>
          <w:sz w:val="24"/>
          <w:highlight w:val="none"/>
        </w:rPr>
        <w:t>电话：</w:t>
      </w:r>
    </w:p>
    <w:p w14:paraId="25D7533C">
      <w:pPr>
        <w:tabs>
          <w:tab w:val="left" w:pos="525"/>
          <w:tab w:val="left" w:pos="1155"/>
        </w:tabs>
        <w:spacing w:line="360" w:lineRule="auto"/>
        <w:ind w:firstLine="360" w:firstLineChars="150"/>
        <w:rPr>
          <w:rFonts w:hint="eastAsia" w:ascii="宋体" w:hAnsi="宋体" w:eastAsia="宋体"/>
          <w:sz w:val="24"/>
          <w:highlight w:val="none"/>
          <w:lang w:eastAsia="zh-CN"/>
        </w:rPr>
      </w:pPr>
      <w:r>
        <w:rPr>
          <w:rFonts w:hint="eastAsia" w:ascii="宋体" w:hAnsi="宋体"/>
          <w:sz w:val="24"/>
          <w:highlight w:val="none"/>
        </w:rPr>
        <w:t>开户银行：</w:t>
      </w:r>
    </w:p>
    <w:p w14:paraId="754DA23A">
      <w:pPr>
        <w:pStyle w:val="7"/>
        <w:ind w:firstLine="360" w:firstLineChars="150"/>
        <w:rPr>
          <w:rFonts w:ascii="宋体" w:hAnsi="宋体"/>
          <w:sz w:val="24"/>
          <w:highlight w:val="none"/>
        </w:rPr>
      </w:pPr>
      <w:r>
        <w:rPr>
          <w:rFonts w:hint="eastAsia" w:ascii="宋体" w:hAnsi="宋体"/>
          <w:sz w:val="24"/>
          <w:highlight w:val="none"/>
        </w:rPr>
        <w:t>账号：</w:t>
      </w:r>
    </w:p>
    <w:p w14:paraId="3EF2E971">
      <w:pPr>
        <w:rPr>
          <w:sz w:val="32"/>
          <w:szCs w:val="32"/>
          <w:highlight w:val="none"/>
        </w:rPr>
      </w:pPr>
      <w:r>
        <w:rPr>
          <w:rFonts w:hint="eastAsia"/>
          <w:sz w:val="32"/>
          <w:szCs w:val="32"/>
          <w:highlight w:val="none"/>
        </w:rPr>
        <w:br w:type="page"/>
      </w:r>
    </w:p>
    <w:p w14:paraId="1B2CC100">
      <w:pPr>
        <w:pStyle w:val="49"/>
        <w:rPr>
          <w:sz w:val="32"/>
          <w:szCs w:val="32"/>
          <w:highlight w:val="none"/>
        </w:rPr>
      </w:pPr>
      <w:r>
        <w:rPr>
          <w:rFonts w:hint="eastAsia"/>
          <w:sz w:val="32"/>
          <w:szCs w:val="32"/>
          <w:highlight w:val="none"/>
        </w:rPr>
        <w:t>第二篇</w:t>
      </w:r>
      <w:r>
        <w:rPr>
          <w:sz w:val="32"/>
          <w:szCs w:val="32"/>
          <w:highlight w:val="none"/>
        </w:rPr>
        <w:tab/>
      </w:r>
      <w:r>
        <w:rPr>
          <w:rFonts w:hint="eastAsia"/>
          <w:sz w:val="32"/>
          <w:szCs w:val="32"/>
          <w:highlight w:val="none"/>
        </w:rPr>
        <w:t>工程设计合同条款</w:t>
      </w:r>
    </w:p>
    <w:p w14:paraId="2625F562">
      <w:pPr>
        <w:spacing w:before="120" w:beforeLines="50" w:line="360" w:lineRule="auto"/>
        <w:ind w:firstLine="482" w:firstLineChars="200"/>
        <w:rPr>
          <w:rFonts w:ascii="宋体" w:hAnsi="宋体"/>
          <w:sz w:val="24"/>
          <w:highlight w:val="none"/>
        </w:rPr>
      </w:pPr>
      <w:r>
        <w:rPr>
          <w:rFonts w:hint="eastAsia" w:ascii="宋体" w:hAnsi="宋体"/>
          <w:b/>
          <w:sz w:val="24"/>
          <w:highlight w:val="none"/>
        </w:rPr>
        <w:t>第一条　签订依据</w:t>
      </w:r>
    </w:p>
    <w:p w14:paraId="234FF1AE">
      <w:pPr>
        <w:spacing w:line="360" w:lineRule="auto"/>
        <w:ind w:firstLine="480" w:firstLineChars="200"/>
        <w:rPr>
          <w:rFonts w:ascii="宋体" w:hAnsi="宋体"/>
          <w:sz w:val="24"/>
          <w:highlight w:val="none"/>
        </w:rPr>
      </w:pPr>
      <w:r>
        <w:rPr>
          <w:rFonts w:hint="eastAsia" w:ascii="宋体" w:hAnsi="宋体"/>
          <w:sz w:val="24"/>
          <w:highlight w:val="none"/>
        </w:rPr>
        <w:t>1.1《中华人民共和国民法典》、《中华人民共和国建筑法》、《建设工程勘察设计管理条例》、《建设工程质量管理条例》和《工程勘察设计收费标准（2002年修订本）》。</w:t>
      </w:r>
    </w:p>
    <w:p w14:paraId="07076FBE">
      <w:pPr>
        <w:spacing w:line="360" w:lineRule="auto"/>
        <w:ind w:firstLine="480" w:firstLineChars="200"/>
        <w:rPr>
          <w:rFonts w:ascii="宋体" w:hAnsi="宋体"/>
          <w:sz w:val="24"/>
          <w:highlight w:val="none"/>
        </w:rPr>
      </w:pPr>
      <w:r>
        <w:rPr>
          <w:rFonts w:hint="eastAsia" w:ascii="宋体" w:hAnsi="宋体"/>
          <w:sz w:val="24"/>
          <w:highlight w:val="none"/>
        </w:rPr>
        <w:t>1.2国家及地方有关建设工程设计管理法规和规章。</w:t>
      </w:r>
    </w:p>
    <w:p w14:paraId="471284C9">
      <w:pPr>
        <w:spacing w:line="360" w:lineRule="auto"/>
        <w:ind w:firstLine="480" w:firstLineChars="200"/>
        <w:rPr>
          <w:rFonts w:ascii="宋体" w:hAnsi="宋体"/>
          <w:sz w:val="24"/>
          <w:highlight w:val="none"/>
        </w:rPr>
      </w:pPr>
      <w:r>
        <w:rPr>
          <w:rFonts w:hint="eastAsia" w:ascii="宋体" w:hAnsi="宋体"/>
          <w:sz w:val="24"/>
          <w:highlight w:val="none"/>
        </w:rPr>
        <w:t>1.3建设工程批准文件。</w:t>
      </w:r>
    </w:p>
    <w:p w14:paraId="5ABA2052">
      <w:pPr>
        <w:spacing w:before="120" w:beforeLines="50" w:line="360" w:lineRule="auto"/>
        <w:ind w:firstLine="482" w:firstLineChars="200"/>
        <w:rPr>
          <w:rFonts w:hint="eastAsia" w:ascii="宋体" w:hAnsi="宋体" w:eastAsia="宋体"/>
          <w:sz w:val="24"/>
          <w:highlight w:val="none"/>
          <w:lang w:eastAsia="zh-CN"/>
        </w:rPr>
      </w:pPr>
      <w:r>
        <w:rPr>
          <w:rFonts w:hint="eastAsia" w:ascii="宋体" w:hAnsi="宋体"/>
          <w:b/>
          <w:sz w:val="24"/>
          <w:highlight w:val="none"/>
        </w:rPr>
        <w:t>第二条　设计依据</w:t>
      </w:r>
      <w:r>
        <w:rPr>
          <w:rFonts w:hint="eastAsia" w:ascii="宋体" w:hAnsi="宋体"/>
          <w:b/>
          <w:sz w:val="24"/>
          <w:highlight w:val="none"/>
          <w:lang w:eastAsia="zh-CN"/>
        </w:rPr>
        <w:tab/>
      </w:r>
    </w:p>
    <w:p w14:paraId="17303E60">
      <w:pPr>
        <w:snapToGrid w:val="0"/>
        <w:spacing w:line="360" w:lineRule="auto"/>
        <w:ind w:firstLine="480" w:firstLineChars="200"/>
        <w:rPr>
          <w:rFonts w:ascii="宋体" w:hAnsi="宋体"/>
          <w:sz w:val="24"/>
          <w:highlight w:val="none"/>
        </w:rPr>
      </w:pPr>
      <w:r>
        <w:rPr>
          <w:rFonts w:hint="eastAsia" w:ascii="宋体" w:hAnsi="宋体"/>
          <w:sz w:val="24"/>
          <w:highlight w:val="none"/>
        </w:rPr>
        <w:t>2.1设计任务书</w:t>
      </w:r>
    </w:p>
    <w:p w14:paraId="115BC7AF">
      <w:pPr>
        <w:snapToGrid w:val="0"/>
        <w:spacing w:line="360" w:lineRule="auto"/>
        <w:ind w:firstLine="480" w:firstLineChars="200"/>
        <w:rPr>
          <w:rFonts w:ascii="宋体" w:hAnsi="宋体"/>
          <w:sz w:val="24"/>
          <w:highlight w:val="none"/>
        </w:rPr>
      </w:pPr>
      <w:r>
        <w:rPr>
          <w:rFonts w:hint="eastAsia" w:ascii="宋体" w:hAnsi="宋体"/>
          <w:sz w:val="24"/>
          <w:highlight w:val="none"/>
        </w:rPr>
        <w:t>2.2建设单位提交的基础资料等</w:t>
      </w:r>
    </w:p>
    <w:p w14:paraId="4A4AECA6">
      <w:pPr>
        <w:snapToGrid w:val="0"/>
        <w:spacing w:line="360" w:lineRule="auto"/>
        <w:ind w:firstLine="480" w:firstLineChars="200"/>
        <w:rPr>
          <w:rFonts w:ascii="宋体" w:hAnsi="宋体"/>
          <w:sz w:val="24"/>
          <w:highlight w:val="none"/>
        </w:rPr>
      </w:pPr>
      <w:r>
        <w:rPr>
          <w:rFonts w:hint="eastAsia" w:ascii="宋体" w:hAnsi="宋体"/>
          <w:sz w:val="24"/>
          <w:highlight w:val="none"/>
        </w:rPr>
        <w:t>2.3现行的有关建筑工程、规划、消防、环保等方面的法律法规、规范标准等。</w:t>
      </w:r>
    </w:p>
    <w:p w14:paraId="1D65EF2B">
      <w:pPr>
        <w:widowControl/>
        <w:spacing w:line="360" w:lineRule="auto"/>
        <w:ind w:firstLine="480" w:firstLineChars="200"/>
        <w:jc w:val="left"/>
        <w:rPr>
          <w:rFonts w:ascii="宋体" w:hAnsi="宋体"/>
          <w:sz w:val="24"/>
          <w:highlight w:val="none"/>
        </w:rPr>
      </w:pPr>
      <w:r>
        <w:rPr>
          <w:rFonts w:hint="eastAsia" w:ascii="宋体" w:hAnsi="宋体"/>
          <w:sz w:val="24"/>
          <w:highlight w:val="none"/>
        </w:rPr>
        <w:t>《民用建筑设计统一标准》（</w:t>
      </w:r>
      <w:r>
        <w:rPr>
          <w:rFonts w:ascii="宋体" w:hAnsi="宋体"/>
          <w:sz w:val="24"/>
          <w:highlight w:val="none"/>
        </w:rPr>
        <w:t>GB50352-2019</w:t>
      </w:r>
      <w:r>
        <w:rPr>
          <w:rFonts w:hint="eastAsia" w:ascii="宋体" w:hAnsi="宋体"/>
          <w:sz w:val="24"/>
          <w:highlight w:val="none"/>
        </w:rPr>
        <w:t>）</w:t>
      </w:r>
    </w:p>
    <w:p w14:paraId="73282EF4">
      <w:pPr>
        <w:widowControl/>
        <w:spacing w:line="360" w:lineRule="auto"/>
        <w:ind w:firstLine="480" w:firstLineChars="200"/>
        <w:jc w:val="left"/>
        <w:rPr>
          <w:rFonts w:ascii="宋体" w:hAnsi="宋体"/>
          <w:sz w:val="24"/>
          <w:highlight w:val="none"/>
        </w:rPr>
      </w:pPr>
      <w:r>
        <w:rPr>
          <w:rFonts w:hint="eastAsia" w:ascii="宋体" w:hAnsi="宋体"/>
          <w:sz w:val="24"/>
          <w:highlight w:val="none"/>
        </w:rPr>
        <w:t>《建筑设计防火规范》（</w:t>
      </w:r>
      <w:r>
        <w:rPr>
          <w:rFonts w:ascii="宋体" w:hAnsi="宋体"/>
          <w:sz w:val="24"/>
          <w:highlight w:val="none"/>
        </w:rPr>
        <w:t>GB50016--2014</w:t>
      </w:r>
      <w:r>
        <w:rPr>
          <w:rFonts w:hint="eastAsia" w:ascii="宋体" w:hAnsi="宋体"/>
          <w:sz w:val="24"/>
          <w:highlight w:val="none"/>
        </w:rPr>
        <w:t>）</w:t>
      </w:r>
      <w:r>
        <w:rPr>
          <w:rFonts w:hint="eastAsia" w:ascii="宋体" w:hAnsi="宋体" w:cs="宋体"/>
          <w:kern w:val="0"/>
          <w:sz w:val="24"/>
          <w:highlight w:val="none"/>
        </w:rPr>
        <w:t>（2018年版）</w:t>
      </w:r>
    </w:p>
    <w:p w14:paraId="1949A0A7">
      <w:pPr>
        <w:widowControl/>
        <w:spacing w:line="360" w:lineRule="auto"/>
        <w:ind w:firstLine="480" w:firstLineChars="200"/>
        <w:jc w:val="left"/>
        <w:rPr>
          <w:rFonts w:ascii="宋体" w:hAnsi="宋体"/>
          <w:sz w:val="24"/>
          <w:highlight w:val="none"/>
        </w:rPr>
      </w:pPr>
      <w:r>
        <w:rPr>
          <w:rFonts w:hint="eastAsia" w:ascii="宋体" w:hAnsi="宋体"/>
          <w:sz w:val="24"/>
          <w:highlight w:val="none"/>
        </w:rPr>
        <w:t>《混凝土结构设计规范》（</w:t>
      </w:r>
      <w:r>
        <w:rPr>
          <w:rFonts w:ascii="宋体" w:hAnsi="宋体"/>
          <w:sz w:val="24"/>
          <w:highlight w:val="none"/>
        </w:rPr>
        <w:t>GB50</w:t>
      </w:r>
      <w:r>
        <w:rPr>
          <w:rFonts w:hint="eastAsia" w:ascii="宋体" w:hAnsi="宋体"/>
          <w:sz w:val="24"/>
          <w:highlight w:val="none"/>
        </w:rPr>
        <w:t>010</w:t>
      </w:r>
      <w:r>
        <w:rPr>
          <w:rFonts w:ascii="宋体" w:hAnsi="宋体"/>
          <w:sz w:val="24"/>
          <w:highlight w:val="none"/>
        </w:rPr>
        <w:t>-201</w:t>
      </w:r>
      <w:r>
        <w:rPr>
          <w:rFonts w:hint="eastAsia" w:ascii="宋体" w:hAnsi="宋体"/>
          <w:sz w:val="24"/>
          <w:highlight w:val="none"/>
        </w:rPr>
        <w:t>0）（2015年版）</w:t>
      </w:r>
    </w:p>
    <w:p w14:paraId="2E343E21">
      <w:pPr>
        <w:widowControl/>
        <w:spacing w:line="360" w:lineRule="auto"/>
        <w:ind w:firstLine="480" w:firstLineChars="200"/>
        <w:jc w:val="left"/>
        <w:rPr>
          <w:rFonts w:ascii="宋体" w:hAnsi="宋体"/>
          <w:sz w:val="24"/>
          <w:highlight w:val="none"/>
        </w:rPr>
      </w:pPr>
      <w:r>
        <w:rPr>
          <w:rFonts w:hint="eastAsia" w:ascii="宋体" w:hAnsi="宋体"/>
          <w:sz w:val="24"/>
          <w:highlight w:val="none"/>
        </w:rPr>
        <w:t>《公共建筑节能设计标准》（</w:t>
      </w:r>
      <w:r>
        <w:rPr>
          <w:rFonts w:ascii="宋体" w:hAnsi="宋体"/>
          <w:sz w:val="24"/>
          <w:highlight w:val="none"/>
        </w:rPr>
        <w:t>GB50189-2015</w:t>
      </w:r>
      <w:r>
        <w:rPr>
          <w:rFonts w:hint="eastAsia" w:ascii="宋体" w:hAnsi="宋体"/>
          <w:sz w:val="24"/>
          <w:highlight w:val="none"/>
        </w:rPr>
        <w:t>）</w:t>
      </w:r>
    </w:p>
    <w:p w14:paraId="769CAC19">
      <w:pPr>
        <w:widowControl/>
        <w:spacing w:line="360" w:lineRule="auto"/>
        <w:ind w:firstLine="480" w:firstLineChars="200"/>
        <w:jc w:val="left"/>
        <w:rPr>
          <w:rFonts w:ascii="宋体" w:hAnsi="宋体"/>
          <w:sz w:val="24"/>
          <w:highlight w:val="none"/>
        </w:rPr>
      </w:pPr>
      <w:r>
        <w:rPr>
          <w:rFonts w:hint="eastAsia" w:ascii="宋体" w:hAnsi="宋体"/>
          <w:sz w:val="24"/>
          <w:highlight w:val="none"/>
        </w:rPr>
        <w:t>《建筑照明设计标准》（</w:t>
      </w:r>
      <w:r>
        <w:rPr>
          <w:rFonts w:ascii="宋体" w:hAnsi="宋体"/>
          <w:sz w:val="24"/>
          <w:highlight w:val="none"/>
        </w:rPr>
        <w:t>GB</w:t>
      </w:r>
      <w:r>
        <w:rPr>
          <w:rFonts w:hint="eastAsia" w:ascii="宋体" w:hAnsi="宋体"/>
          <w:sz w:val="24"/>
          <w:highlight w:val="none"/>
        </w:rPr>
        <w:t>50034-2013）</w:t>
      </w:r>
    </w:p>
    <w:p w14:paraId="1A2D9CDB">
      <w:pPr>
        <w:widowControl/>
        <w:spacing w:line="360" w:lineRule="auto"/>
        <w:ind w:firstLine="480" w:firstLineChars="200"/>
        <w:jc w:val="left"/>
        <w:rPr>
          <w:rFonts w:ascii="宋体" w:hAnsi="宋体"/>
          <w:sz w:val="24"/>
          <w:highlight w:val="none"/>
        </w:rPr>
      </w:pPr>
      <w:r>
        <w:rPr>
          <w:rFonts w:hint="eastAsia" w:ascii="宋体" w:hAnsi="宋体"/>
          <w:sz w:val="24"/>
          <w:highlight w:val="none"/>
        </w:rPr>
        <w:t>《广州市城乡规划技术规定》（广州市人民政府第133号）</w:t>
      </w:r>
    </w:p>
    <w:p w14:paraId="3EC8D804">
      <w:pPr>
        <w:widowControl/>
        <w:spacing w:line="360" w:lineRule="auto"/>
        <w:ind w:firstLine="480" w:firstLineChars="200"/>
        <w:jc w:val="left"/>
        <w:rPr>
          <w:rFonts w:ascii="宋体" w:hAnsi="宋体"/>
          <w:sz w:val="24"/>
          <w:highlight w:val="none"/>
        </w:rPr>
      </w:pPr>
      <w:r>
        <w:rPr>
          <w:rFonts w:hint="eastAsia" w:ascii="宋体" w:hAnsi="宋体"/>
          <w:sz w:val="24"/>
          <w:highlight w:val="none"/>
        </w:rPr>
        <w:t>《建筑结构荷载规范》GB50009-2012</w:t>
      </w:r>
    </w:p>
    <w:p w14:paraId="14CB0FD5">
      <w:pPr>
        <w:widowControl/>
        <w:spacing w:line="360" w:lineRule="auto"/>
        <w:ind w:firstLine="480" w:firstLineChars="200"/>
        <w:jc w:val="left"/>
        <w:rPr>
          <w:rFonts w:ascii="宋体" w:hAnsi="宋体"/>
          <w:sz w:val="24"/>
          <w:highlight w:val="none"/>
        </w:rPr>
      </w:pPr>
      <w:r>
        <w:rPr>
          <w:rFonts w:hint="eastAsia" w:ascii="宋体" w:hAnsi="宋体"/>
          <w:sz w:val="24"/>
          <w:highlight w:val="none"/>
        </w:rPr>
        <w:t>《建筑工程设计文件编制深度规定》（</w:t>
      </w:r>
      <w:r>
        <w:rPr>
          <w:rFonts w:ascii="宋体" w:hAnsi="宋体"/>
          <w:sz w:val="24"/>
          <w:highlight w:val="none"/>
        </w:rPr>
        <w:t>20</w:t>
      </w:r>
      <w:r>
        <w:rPr>
          <w:rFonts w:hint="eastAsia" w:ascii="宋体" w:hAnsi="宋体"/>
          <w:sz w:val="24"/>
          <w:highlight w:val="none"/>
        </w:rPr>
        <w:t>16年版）</w:t>
      </w:r>
    </w:p>
    <w:p w14:paraId="366FB8F7">
      <w:pPr>
        <w:widowControl/>
        <w:spacing w:line="360" w:lineRule="auto"/>
        <w:ind w:firstLine="480" w:firstLineChars="200"/>
        <w:jc w:val="left"/>
        <w:rPr>
          <w:rFonts w:ascii="宋体" w:hAnsi="宋体"/>
          <w:sz w:val="24"/>
          <w:highlight w:val="none"/>
        </w:rPr>
      </w:pPr>
      <w:r>
        <w:rPr>
          <w:rFonts w:hint="eastAsia" w:ascii="宋体" w:hAnsi="宋体"/>
          <w:sz w:val="24"/>
          <w:highlight w:val="none"/>
        </w:rPr>
        <w:t>《工程建设标准强制性条文》（房屋建筑部分）2013年版</w:t>
      </w:r>
    </w:p>
    <w:p w14:paraId="0C3FC242">
      <w:pPr>
        <w:widowControl/>
        <w:spacing w:line="360" w:lineRule="auto"/>
        <w:ind w:firstLine="480" w:firstLineChars="200"/>
        <w:jc w:val="left"/>
        <w:rPr>
          <w:rFonts w:ascii="宋体" w:hAnsi="宋体"/>
          <w:sz w:val="24"/>
          <w:highlight w:val="none"/>
        </w:rPr>
      </w:pPr>
      <w:r>
        <w:rPr>
          <w:rFonts w:hint="eastAsia" w:ascii="宋体" w:hAnsi="宋体"/>
          <w:sz w:val="24"/>
          <w:highlight w:val="none"/>
        </w:rPr>
        <w:t>《无障碍设计规范》GB50763-2012</w:t>
      </w:r>
    </w:p>
    <w:p w14:paraId="0BF341EB">
      <w:pPr>
        <w:pStyle w:val="7"/>
        <w:spacing w:line="360" w:lineRule="auto"/>
        <w:ind w:firstLine="480"/>
        <w:rPr>
          <w:sz w:val="24"/>
          <w:highlight w:val="none"/>
        </w:rPr>
      </w:pPr>
      <w:r>
        <w:rPr>
          <w:rFonts w:hint="eastAsia"/>
          <w:sz w:val="24"/>
          <w:highlight w:val="none"/>
        </w:rPr>
        <w:t>《建筑防烟排烟系统技术标准》</w:t>
      </w:r>
      <w:r>
        <w:rPr>
          <w:sz w:val="24"/>
          <w:highlight w:val="none"/>
        </w:rPr>
        <w:t>GB51251-2017</w:t>
      </w:r>
    </w:p>
    <w:p w14:paraId="6E5AD6E6">
      <w:pPr>
        <w:widowControl/>
        <w:spacing w:line="360" w:lineRule="auto"/>
        <w:ind w:firstLine="480" w:firstLineChars="200"/>
        <w:jc w:val="left"/>
        <w:rPr>
          <w:rFonts w:ascii="宋体" w:hAnsi="宋体"/>
          <w:sz w:val="24"/>
          <w:highlight w:val="none"/>
        </w:rPr>
      </w:pPr>
      <w:r>
        <w:rPr>
          <w:rFonts w:hint="eastAsia" w:ascii="宋体" w:hAnsi="宋体"/>
          <w:sz w:val="24"/>
          <w:highlight w:val="none"/>
        </w:rPr>
        <w:t>广东省标准《电动汽车充电基础设施建设技术规程》（DBJT15-150-2018）</w:t>
      </w:r>
    </w:p>
    <w:p w14:paraId="51C2E875">
      <w:pPr>
        <w:widowControl/>
        <w:spacing w:line="360" w:lineRule="auto"/>
        <w:ind w:firstLine="480" w:firstLineChars="200"/>
        <w:jc w:val="left"/>
        <w:rPr>
          <w:rFonts w:ascii="宋体" w:hAnsi="宋体"/>
          <w:sz w:val="24"/>
          <w:highlight w:val="none"/>
        </w:rPr>
      </w:pPr>
      <w:r>
        <w:rPr>
          <w:rFonts w:hint="eastAsia" w:ascii="宋体" w:hAnsi="宋体"/>
          <w:sz w:val="24"/>
          <w:highlight w:val="none"/>
        </w:rPr>
        <w:t>及其它现行的国家及地方有关规范、标准、规程、规定。</w:t>
      </w:r>
    </w:p>
    <w:p w14:paraId="5E0E47B5">
      <w:pPr>
        <w:widowControl/>
        <w:spacing w:line="360" w:lineRule="auto"/>
        <w:ind w:firstLine="480" w:firstLineChars="200"/>
        <w:jc w:val="left"/>
        <w:rPr>
          <w:rFonts w:ascii="宋体" w:hAnsi="宋体"/>
          <w:sz w:val="24"/>
          <w:highlight w:val="none"/>
        </w:rPr>
      </w:pPr>
      <w:r>
        <w:rPr>
          <w:rFonts w:hint="eastAsia" w:ascii="宋体" w:hAnsi="宋体"/>
          <w:sz w:val="24"/>
          <w:highlight w:val="none"/>
        </w:rPr>
        <w:t>相关规范如有更新，请按照最新版规范设计。</w:t>
      </w:r>
    </w:p>
    <w:p w14:paraId="309FD639">
      <w:pPr>
        <w:spacing w:before="120" w:beforeLines="50" w:line="360" w:lineRule="auto"/>
        <w:ind w:firstLine="482" w:firstLineChars="200"/>
        <w:rPr>
          <w:rFonts w:ascii="宋体" w:hAnsi="宋体"/>
          <w:b/>
          <w:sz w:val="24"/>
          <w:highlight w:val="none"/>
        </w:rPr>
      </w:pPr>
      <w:r>
        <w:rPr>
          <w:rFonts w:hint="eastAsia" w:ascii="宋体" w:hAnsi="宋体"/>
          <w:b/>
          <w:sz w:val="24"/>
          <w:highlight w:val="none"/>
        </w:rPr>
        <w:t>第三条</w:t>
      </w:r>
      <w:r>
        <w:rPr>
          <w:rFonts w:hint="eastAsia" w:ascii="宋体" w:hAnsi="宋体"/>
          <w:sz w:val="24"/>
          <w:highlight w:val="none"/>
        </w:rPr>
        <w:t>　</w:t>
      </w:r>
      <w:r>
        <w:rPr>
          <w:rFonts w:hint="eastAsia" w:ascii="宋体" w:hAnsi="宋体"/>
          <w:b/>
          <w:sz w:val="24"/>
          <w:highlight w:val="none"/>
        </w:rPr>
        <w:t>项目概况</w:t>
      </w:r>
    </w:p>
    <w:p w14:paraId="6471CD7C">
      <w:pPr>
        <w:spacing w:line="360" w:lineRule="auto"/>
        <w:ind w:firstLine="480" w:firstLineChars="200"/>
        <w:rPr>
          <w:rFonts w:ascii="宋体" w:hAnsi="宋体"/>
          <w:sz w:val="24"/>
          <w:highlight w:val="none"/>
          <w:u w:val="single"/>
        </w:rPr>
      </w:pPr>
      <w:r>
        <w:rPr>
          <w:rFonts w:hint="eastAsia" w:ascii="宋体" w:hAnsi="宋体"/>
          <w:sz w:val="24"/>
          <w:highlight w:val="none"/>
        </w:rPr>
        <w:t>3.1项目名称：</w:t>
      </w:r>
      <w:r>
        <w:rPr>
          <w:rFonts w:hint="eastAsia" w:ascii="宋体" w:hAnsi="宋体"/>
          <w:sz w:val="24"/>
          <w:highlight w:val="none"/>
          <w:u w:val="single"/>
        </w:rPr>
        <w:t>广州市白云区云城街萧岗经济联合社省实留用地项目（AB2804070地块得润留用地）</w:t>
      </w:r>
      <w:r>
        <w:rPr>
          <w:rFonts w:hint="eastAsia" w:ascii="宋体" w:hAnsi="宋体"/>
          <w:sz w:val="24"/>
          <w:highlight w:val="none"/>
        </w:rPr>
        <w:t>。</w:t>
      </w:r>
    </w:p>
    <w:p w14:paraId="473DD987">
      <w:pPr>
        <w:spacing w:line="360" w:lineRule="auto"/>
        <w:ind w:firstLine="480" w:firstLineChars="200"/>
        <w:rPr>
          <w:rFonts w:ascii="宋体" w:cs="宋体"/>
          <w:spacing w:val="1"/>
          <w:kern w:val="0"/>
          <w:position w:val="-3"/>
          <w:sz w:val="24"/>
          <w:highlight w:val="none"/>
        </w:rPr>
      </w:pPr>
      <w:r>
        <w:rPr>
          <w:rFonts w:hint="eastAsia" w:ascii="宋体" w:hAnsi="宋体" w:cs="仿宋"/>
          <w:kern w:val="0"/>
          <w:sz w:val="24"/>
          <w:highlight w:val="none"/>
        </w:rPr>
        <w:t>3.2建设规模和主要建设内容：</w:t>
      </w:r>
      <w:r>
        <w:rPr>
          <w:rFonts w:hint="eastAsia" w:ascii="黑体" w:eastAsia="黑体"/>
          <w:bCs/>
          <w:sz w:val="28"/>
          <w:szCs w:val="28"/>
          <w:highlight w:val="none"/>
          <w:u w:val="single"/>
        </w:rPr>
        <w:t xml:space="preserve">                            </w:t>
      </w:r>
      <w:r>
        <w:rPr>
          <w:rFonts w:hint="eastAsia" w:ascii="宋体" w:cs="宋体"/>
          <w:spacing w:val="1"/>
          <w:kern w:val="0"/>
          <w:position w:val="-3"/>
          <w:sz w:val="24"/>
          <w:highlight w:val="none"/>
        </w:rPr>
        <w:t>。</w:t>
      </w:r>
    </w:p>
    <w:p w14:paraId="1C442C7B">
      <w:pPr>
        <w:spacing w:line="360" w:lineRule="auto"/>
        <w:ind w:firstLine="482" w:firstLineChars="200"/>
        <w:rPr>
          <w:rFonts w:ascii="宋体" w:hAnsi="宋体"/>
          <w:b/>
          <w:sz w:val="24"/>
          <w:highlight w:val="none"/>
        </w:rPr>
      </w:pPr>
      <w:r>
        <w:rPr>
          <w:rFonts w:hint="eastAsia" w:ascii="宋体" w:hAnsi="宋体"/>
          <w:b/>
          <w:sz w:val="24"/>
          <w:highlight w:val="none"/>
        </w:rPr>
        <w:t>第四条　工程设计范围和内容</w:t>
      </w:r>
    </w:p>
    <w:p w14:paraId="4E0CAF7D">
      <w:pPr>
        <w:pStyle w:val="7"/>
        <w:spacing w:line="360" w:lineRule="auto"/>
        <w:ind w:firstLine="480"/>
        <w:rPr>
          <w:rFonts w:ascii="宋体" w:hAnsi="宋体"/>
          <w:sz w:val="24"/>
          <w:highlight w:val="none"/>
        </w:rPr>
      </w:pPr>
      <w:r>
        <w:rPr>
          <w:rFonts w:hint="eastAsia" w:ascii="宋体" w:hAnsi="宋体"/>
          <w:sz w:val="24"/>
          <w:highlight w:val="none"/>
        </w:rPr>
        <w:t>工程设计范围和内容包括但不限于附件</w:t>
      </w:r>
      <w:r>
        <w:rPr>
          <w:rFonts w:hint="eastAsia" w:ascii="宋体" w:hAnsi="宋体"/>
          <w:sz w:val="24"/>
          <w:highlight w:val="none"/>
          <w:lang w:val="en-US" w:eastAsia="zh-CN"/>
        </w:rPr>
        <w:t>四</w:t>
      </w:r>
      <w:r>
        <w:rPr>
          <w:rFonts w:hint="eastAsia" w:ascii="宋体" w:hAnsi="宋体"/>
          <w:sz w:val="24"/>
          <w:highlight w:val="none"/>
        </w:rPr>
        <w:t>所列，本合同条款内容与附件</w:t>
      </w:r>
      <w:r>
        <w:rPr>
          <w:rFonts w:hint="eastAsia" w:ascii="宋体" w:hAnsi="宋体"/>
          <w:sz w:val="24"/>
          <w:highlight w:val="none"/>
          <w:lang w:val="en-US" w:eastAsia="zh-CN"/>
        </w:rPr>
        <w:t>四</w:t>
      </w:r>
      <w:r>
        <w:rPr>
          <w:rFonts w:hint="eastAsia" w:ascii="宋体" w:hAnsi="宋体"/>
          <w:sz w:val="24"/>
          <w:highlight w:val="none"/>
        </w:rPr>
        <w:t>不一致的，以附件</w:t>
      </w:r>
      <w:r>
        <w:rPr>
          <w:rFonts w:hint="eastAsia" w:ascii="宋体" w:hAnsi="宋体"/>
          <w:sz w:val="24"/>
          <w:highlight w:val="none"/>
          <w:lang w:val="en-US" w:eastAsia="zh-CN"/>
        </w:rPr>
        <w:t>四</w:t>
      </w:r>
      <w:r>
        <w:rPr>
          <w:rFonts w:hint="eastAsia" w:ascii="宋体" w:hAnsi="宋体"/>
          <w:sz w:val="24"/>
          <w:highlight w:val="none"/>
        </w:rPr>
        <w:t>为准。附件六未涉及的内容，以本合同条款为准。</w:t>
      </w:r>
    </w:p>
    <w:p w14:paraId="5417D2FD">
      <w:pPr>
        <w:pStyle w:val="7"/>
        <w:spacing w:line="360" w:lineRule="auto"/>
        <w:ind w:firstLine="480"/>
        <w:rPr>
          <w:rFonts w:ascii="宋体" w:hAnsi="宋体" w:cs="仿宋"/>
          <w:kern w:val="0"/>
          <w:sz w:val="24"/>
          <w:highlight w:val="none"/>
        </w:rPr>
      </w:pPr>
      <w:r>
        <w:rPr>
          <w:rFonts w:hint="eastAsia" w:ascii="宋体" w:hAnsi="宋体"/>
          <w:sz w:val="24"/>
          <w:highlight w:val="none"/>
        </w:rPr>
        <w:t>4.1设计范围：本项目实行设计总承包，设计范围</w:t>
      </w:r>
      <w:r>
        <w:rPr>
          <w:rFonts w:hint="eastAsia" w:ascii="宋体" w:cs="宋体"/>
          <w:kern w:val="0"/>
          <w:sz w:val="24"/>
          <w:highlight w:val="none"/>
        </w:rPr>
        <w:t>详见设计任务书的全部内容</w:t>
      </w:r>
      <w:r>
        <w:rPr>
          <w:rFonts w:hint="eastAsia" w:ascii="宋体" w:hAnsi="宋体" w:cs="仿宋"/>
          <w:kern w:val="0"/>
          <w:sz w:val="24"/>
          <w:highlight w:val="none"/>
        </w:rPr>
        <w:t>，完全满足甲方使用要求的功能和使用标准。</w:t>
      </w:r>
    </w:p>
    <w:p w14:paraId="19E776CD">
      <w:pPr>
        <w:spacing w:line="360" w:lineRule="auto"/>
        <w:ind w:firstLine="480" w:firstLineChars="200"/>
        <w:rPr>
          <w:rFonts w:ascii="宋体" w:hAnsi="宋体"/>
          <w:sz w:val="24"/>
          <w:highlight w:val="none"/>
        </w:rPr>
      </w:pPr>
      <w:r>
        <w:rPr>
          <w:rFonts w:hint="eastAsia" w:ascii="宋体" w:hAnsi="宋体"/>
          <w:sz w:val="24"/>
          <w:highlight w:val="none"/>
        </w:rPr>
        <w:t>4.2</w:t>
      </w:r>
      <w:r>
        <w:rPr>
          <w:rFonts w:hint="eastAsia"/>
          <w:sz w:val="24"/>
          <w:highlight w:val="none"/>
        </w:rPr>
        <w:t>工程设计内容包括但不限于：</w:t>
      </w:r>
    </w:p>
    <w:p w14:paraId="31BA6F17">
      <w:pPr>
        <w:spacing w:line="360" w:lineRule="auto"/>
        <w:ind w:firstLine="480" w:firstLineChars="200"/>
        <w:rPr>
          <w:rFonts w:ascii="宋体" w:hAnsi="宋体"/>
          <w:color w:val="auto"/>
          <w:sz w:val="24"/>
          <w:highlight w:val="none"/>
          <w:u w:val="none"/>
        </w:rPr>
      </w:pPr>
      <w:r>
        <w:rPr>
          <w:rFonts w:hint="eastAsia" w:ascii="宋体" w:hAnsi="宋体"/>
          <w:sz w:val="24"/>
          <w:highlight w:val="none"/>
        </w:rPr>
        <w:t>4.2.1编制修建性详细规划、管线综合规划、修详通、单体报建通（或同等设计深度的规划报</w:t>
      </w:r>
      <w:r>
        <w:rPr>
          <w:rFonts w:hint="eastAsia" w:ascii="宋体" w:hAnsi="宋体"/>
          <w:color w:val="auto"/>
          <w:sz w:val="24"/>
          <w:highlight w:val="none"/>
          <w:u w:val="none"/>
        </w:rPr>
        <w:t>批）。</w:t>
      </w:r>
    </w:p>
    <w:p w14:paraId="52651E70">
      <w:pPr>
        <w:spacing w:line="360" w:lineRule="auto"/>
        <w:ind w:firstLine="552"/>
        <w:rPr>
          <w:rFonts w:ascii="宋体" w:hAnsi="宋体"/>
          <w:color w:val="auto"/>
          <w:sz w:val="24"/>
          <w:highlight w:val="none"/>
          <w:u w:val="none"/>
        </w:rPr>
      </w:pPr>
      <w:r>
        <w:rPr>
          <w:rFonts w:hint="eastAsia" w:ascii="宋体" w:hAnsi="宋体"/>
          <w:color w:val="auto"/>
          <w:sz w:val="24"/>
          <w:highlight w:val="none"/>
          <w:u w:val="none"/>
        </w:rPr>
        <w:t>4.2.2</w:t>
      </w:r>
      <w:r>
        <w:rPr>
          <w:rFonts w:hint="eastAsia" w:ascii="宋体" w:hAnsi="宋体"/>
          <w:color w:val="auto"/>
          <w:sz w:val="24"/>
          <w:szCs w:val="24"/>
          <w:highlight w:val="none"/>
          <w:u w:val="none"/>
          <w:lang w:bidi="ar"/>
        </w:rPr>
        <w:t>建筑设计、结构设计、通风空调设计、给排水设计、电气专业设计、幕墙设计、园林景观设计、</w:t>
      </w:r>
      <w:r>
        <w:rPr>
          <w:rFonts w:hint="eastAsia" w:ascii="宋体" w:hAnsi="宋体"/>
          <w:color w:val="auto"/>
          <w:sz w:val="24"/>
          <w:szCs w:val="24"/>
          <w:highlight w:val="none"/>
          <w:u w:val="none"/>
          <w:lang w:val="en-US" w:eastAsia="zh-CN" w:bidi="ar"/>
        </w:rPr>
        <w:t>规划条件调整（如需）、</w:t>
      </w:r>
      <w:r>
        <w:rPr>
          <w:rFonts w:hint="eastAsia" w:ascii="宋体" w:hAnsi="宋体"/>
          <w:color w:val="auto"/>
          <w:sz w:val="24"/>
          <w:szCs w:val="24"/>
          <w:highlight w:val="none"/>
          <w:u w:val="none"/>
          <w:lang w:bidi="ar"/>
        </w:rPr>
        <w:t>公区室内设计、室外管线综合设计、基坑支护设计、智能化设计（含通信、电信）、</w:t>
      </w:r>
      <w:r>
        <w:rPr>
          <w:rFonts w:hint="eastAsia" w:ascii="宋体" w:hAnsi="宋体"/>
          <w:color w:val="auto"/>
          <w:sz w:val="24"/>
          <w:szCs w:val="24"/>
          <w:highlight w:val="none"/>
          <w:u w:val="none"/>
          <w:lang w:val="en-US" w:eastAsia="zh-CN" w:bidi="ar"/>
        </w:rPr>
        <w:t>永水永电设计、燃气设计、</w:t>
      </w:r>
      <w:r>
        <w:rPr>
          <w:rFonts w:hint="eastAsia" w:ascii="宋体" w:hAnsi="宋体"/>
          <w:color w:val="auto"/>
          <w:sz w:val="24"/>
          <w:szCs w:val="24"/>
          <w:highlight w:val="none"/>
          <w:u w:val="none"/>
          <w:lang w:bidi="ar"/>
        </w:rPr>
        <w:t>绿色建筑设</w:t>
      </w:r>
      <w:r>
        <w:rPr>
          <w:rFonts w:hint="eastAsia" w:ascii="宋体" w:hAnsi="宋体"/>
          <w:color w:val="auto"/>
          <w:sz w:val="24"/>
          <w:szCs w:val="24"/>
          <w:highlight w:val="none"/>
          <w:u w:val="none"/>
          <w:lang w:val="en-US" w:eastAsia="zh-CN" w:bidi="ar"/>
        </w:rPr>
        <w:t>计</w:t>
      </w:r>
      <w:r>
        <w:rPr>
          <w:rFonts w:hint="eastAsia" w:ascii="宋体" w:hAnsi="宋体"/>
          <w:color w:val="auto"/>
          <w:sz w:val="24"/>
          <w:szCs w:val="24"/>
          <w:highlight w:val="none"/>
          <w:u w:val="none"/>
          <w:lang w:eastAsia="zh-CN" w:bidi="ar"/>
        </w:rPr>
        <w:t>（</w:t>
      </w:r>
      <w:r>
        <w:rPr>
          <w:rFonts w:hint="eastAsia" w:ascii="宋体" w:hAnsi="宋体"/>
          <w:color w:val="auto"/>
          <w:sz w:val="24"/>
          <w:szCs w:val="24"/>
          <w:highlight w:val="none"/>
          <w:u w:val="none"/>
          <w:lang w:val="en-US" w:eastAsia="zh-CN" w:bidi="ar"/>
        </w:rPr>
        <w:t>绿建二星</w:t>
      </w:r>
      <w:r>
        <w:rPr>
          <w:rFonts w:hint="eastAsia" w:ascii="宋体" w:hAnsi="宋体"/>
          <w:color w:val="auto"/>
          <w:sz w:val="24"/>
          <w:szCs w:val="24"/>
          <w:highlight w:val="none"/>
          <w:u w:val="none"/>
          <w:lang w:eastAsia="zh-CN" w:bidi="ar"/>
        </w:rPr>
        <w:t>）</w:t>
      </w:r>
      <w:r>
        <w:rPr>
          <w:rFonts w:hint="eastAsia" w:ascii="宋体" w:hAnsi="宋体"/>
          <w:color w:val="auto"/>
          <w:sz w:val="24"/>
          <w:szCs w:val="24"/>
          <w:highlight w:val="none"/>
          <w:u w:val="none"/>
          <w:lang w:bidi="ar"/>
        </w:rPr>
        <w:t>、海绵城市设计、泛光照明设计、人防设计、二次机电设计</w:t>
      </w:r>
      <w:r>
        <w:rPr>
          <w:rFonts w:hint="eastAsia" w:ascii="宋体" w:hAnsi="宋体"/>
          <w:color w:val="auto"/>
          <w:sz w:val="24"/>
          <w:szCs w:val="24"/>
          <w:highlight w:val="none"/>
          <w:u w:val="none"/>
          <w:lang w:eastAsia="zh-CN" w:bidi="ar"/>
        </w:rPr>
        <w:t>、</w:t>
      </w:r>
      <w:r>
        <w:rPr>
          <w:rFonts w:hint="eastAsia" w:ascii="宋体" w:hAnsi="宋体"/>
          <w:color w:val="auto"/>
          <w:sz w:val="24"/>
          <w:szCs w:val="24"/>
          <w:highlight w:val="none"/>
          <w:u w:val="none"/>
          <w:lang w:bidi="ar"/>
        </w:rPr>
        <w:t>BIM设计、</w:t>
      </w:r>
      <w:r>
        <w:rPr>
          <w:rFonts w:hint="eastAsia" w:ascii="宋体" w:hAnsi="宋体"/>
          <w:color w:val="auto"/>
          <w:sz w:val="24"/>
          <w:szCs w:val="24"/>
          <w:highlight w:val="none"/>
          <w:u w:val="none"/>
          <w:lang w:val="en-US" w:eastAsia="zh-CN" w:bidi="ar"/>
        </w:rPr>
        <w:t>停车划线、</w:t>
      </w:r>
      <w:r>
        <w:rPr>
          <w:rFonts w:hint="eastAsia" w:ascii="宋体" w:hAnsi="宋体"/>
          <w:color w:val="auto"/>
          <w:sz w:val="24"/>
          <w:szCs w:val="24"/>
          <w:highlight w:val="none"/>
          <w:u w:val="none"/>
          <w:lang w:bidi="ar"/>
        </w:rPr>
        <w:t>装配式建筑设计等方案及深化、方案估算、方案审查及专家技术论证；初步设计、施工图设计、出具设计变更图并附变更清单</w:t>
      </w:r>
      <w:r>
        <w:rPr>
          <w:rFonts w:hint="eastAsia" w:ascii="宋体" w:hAnsi="宋体"/>
          <w:color w:val="auto"/>
          <w:sz w:val="24"/>
          <w:szCs w:val="24"/>
          <w:highlight w:val="none"/>
          <w:u w:val="none"/>
          <w:lang w:eastAsia="zh-CN" w:bidi="ar"/>
        </w:rPr>
        <w:t>、</w:t>
      </w:r>
      <w:r>
        <w:rPr>
          <w:rFonts w:hint="eastAsia" w:ascii="宋体" w:hAnsi="宋体"/>
          <w:color w:val="auto"/>
          <w:sz w:val="24"/>
          <w:highlight w:val="none"/>
          <w:u w:val="none"/>
        </w:rPr>
        <w:t>初步设计概算、施工图设计（包括建筑、结构、安装、消防、基坑支护、周边道路（红线范围内）、充电桩、排污、园建配套、绿化、弱电智能化、暖通、电气、绿建节能、防雷、抗震支架、土方平衡、室内设计（不含业主另行委托的专业装修）等相关专业设计以及建筑物与市政管网衔接的设计工作）。</w:t>
      </w:r>
    </w:p>
    <w:p w14:paraId="3452DEDD">
      <w:pPr>
        <w:pStyle w:val="7"/>
        <w:spacing w:line="360" w:lineRule="auto"/>
        <w:ind w:firstLine="480"/>
        <w:rPr>
          <w:rFonts w:ascii="宋体" w:hAnsi="宋体"/>
          <w:sz w:val="24"/>
          <w:highlight w:val="none"/>
        </w:rPr>
      </w:pPr>
      <w:r>
        <w:rPr>
          <w:rFonts w:hint="eastAsia" w:ascii="宋体" w:hAnsi="宋体"/>
          <w:color w:val="auto"/>
          <w:sz w:val="24"/>
          <w:highlight w:val="none"/>
          <w:u w:val="none"/>
        </w:rPr>
        <w:t>4.2.3</w:t>
      </w:r>
      <w:r>
        <w:rPr>
          <w:rFonts w:hint="eastAsia" w:ascii="宋体" w:hAnsi="宋体"/>
          <w:color w:val="auto"/>
          <w:sz w:val="24"/>
          <w:highlight w:val="none"/>
          <w:u w:val="none"/>
          <w:lang w:val="en-US" w:eastAsia="zh-CN"/>
        </w:rPr>
        <w:t>负责</w:t>
      </w:r>
      <w:r>
        <w:rPr>
          <w:rFonts w:hint="eastAsia" w:ascii="宋体" w:hAnsi="宋体"/>
          <w:color w:val="auto"/>
          <w:sz w:val="24"/>
          <w:highlight w:val="none"/>
          <w:u w:val="none"/>
        </w:rPr>
        <w:t>开展前期</w:t>
      </w:r>
      <w:r>
        <w:rPr>
          <w:rFonts w:hint="eastAsia" w:ascii="宋体" w:hAnsi="宋体"/>
          <w:color w:val="auto"/>
          <w:sz w:val="24"/>
          <w:highlight w:val="none"/>
          <w:u w:val="none"/>
          <w:lang w:val="en-US" w:eastAsia="zh-CN"/>
        </w:rPr>
        <w:t>规划调整（如需）、</w:t>
      </w:r>
      <w:r>
        <w:rPr>
          <w:rFonts w:hint="eastAsia" w:ascii="宋体" w:hAnsi="宋体"/>
          <w:color w:val="auto"/>
          <w:sz w:val="24"/>
          <w:highlight w:val="none"/>
          <w:u w:val="none"/>
        </w:rPr>
        <w:t>报建报批、方案审查、专业报建、设计图纸评审、概算评审、装配式建筑预评价、施工图审查及备案（含绿建节能）、地保办审查（如有），以及现场服务及专人驻场服务、</w:t>
      </w:r>
      <w:r>
        <w:rPr>
          <w:rFonts w:hint="eastAsia" w:ascii="宋体" w:hAnsi="宋体"/>
          <w:color w:val="auto"/>
          <w:sz w:val="24"/>
          <w:highlight w:val="none"/>
          <w:u w:val="none"/>
          <w:lang w:val="en-US" w:eastAsia="zh-CN"/>
        </w:rPr>
        <w:t>负责</w:t>
      </w:r>
      <w:r>
        <w:rPr>
          <w:rFonts w:hint="eastAsia" w:ascii="宋体" w:hAnsi="宋体"/>
          <w:color w:val="auto"/>
          <w:sz w:val="24"/>
          <w:highlight w:val="none"/>
          <w:u w:val="none"/>
        </w:rPr>
        <w:t>完成项</w:t>
      </w:r>
      <w:r>
        <w:rPr>
          <w:rFonts w:hint="eastAsia" w:ascii="宋体" w:hAnsi="宋体"/>
          <w:color w:val="auto"/>
          <w:sz w:val="24"/>
          <w:highlight w:val="none"/>
          <w:u w:val="none"/>
          <w:lang w:val="en-US" w:eastAsia="zh-CN"/>
        </w:rPr>
        <w:t>目</w:t>
      </w:r>
      <w:r>
        <w:rPr>
          <w:rFonts w:hint="eastAsia" w:ascii="宋体" w:hAnsi="宋体"/>
          <w:color w:val="auto"/>
          <w:sz w:val="24"/>
          <w:highlight w:val="none"/>
          <w:u w:val="none"/>
        </w:rPr>
        <w:t>工程验收和总体验收竣工图等，包括永久外水、永久外电、燃气管道等的设计报批和施工图、图纸变更（保证通过各项验</w:t>
      </w:r>
      <w:r>
        <w:rPr>
          <w:rFonts w:hint="eastAsia" w:ascii="宋体" w:hAnsi="宋体"/>
          <w:sz w:val="24"/>
          <w:highlight w:val="none"/>
        </w:rPr>
        <w:t>收和档案验收）</w:t>
      </w:r>
      <w:r>
        <w:rPr>
          <w:rFonts w:hint="eastAsia" w:ascii="宋体" w:hAnsi="宋体"/>
          <w:sz w:val="24"/>
          <w:highlight w:val="none"/>
          <w:lang w:eastAsia="zh-CN"/>
        </w:rPr>
        <w:t>，</w:t>
      </w:r>
      <w:r>
        <w:rPr>
          <w:rFonts w:hint="eastAsia" w:ascii="宋体" w:hAnsi="宋体" w:cs="Times New Roman"/>
          <w:sz w:val="24"/>
          <w:szCs w:val="24"/>
          <w:highlight w:val="none"/>
          <w:u w:val="single"/>
          <w:lang w:val="en-US" w:eastAsia="zh-CN" w:bidi="ar"/>
        </w:rPr>
        <w:t>牵头统筹并负责本项目从项目立项到竣工验收备案及办理项目不动产证的全过程报批报建工作</w:t>
      </w:r>
      <w:r>
        <w:rPr>
          <w:rFonts w:hint="eastAsia" w:ascii="宋体" w:hAnsi="宋体"/>
          <w:sz w:val="24"/>
          <w:highlight w:val="none"/>
        </w:rPr>
        <w:t>。</w:t>
      </w:r>
    </w:p>
    <w:p w14:paraId="32191EC3">
      <w:pPr>
        <w:pStyle w:val="7"/>
        <w:spacing w:line="360" w:lineRule="auto"/>
        <w:ind w:firstLine="480"/>
        <w:rPr>
          <w:rFonts w:ascii="宋体" w:hAnsi="宋体"/>
          <w:sz w:val="24"/>
          <w:highlight w:val="none"/>
        </w:rPr>
      </w:pPr>
      <w:r>
        <w:rPr>
          <w:rFonts w:hint="eastAsia" w:ascii="宋体" w:hAnsi="宋体"/>
          <w:sz w:val="24"/>
          <w:highlight w:val="none"/>
        </w:rPr>
        <w:t>4.2.4</w:t>
      </w:r>
      <w:r>
        <w:rPr>
          <w:rFonts w:hint="eastAsia" w:ascii="宋体" w:hAnsi="宋体"/>
          <w:strike w:val="0"/>
          <w:dstrike w:val="0"/>
          <w:sz w:val="24"/>
          <w:highlight w:val="none"/>
          <w:lang w:val="en-US" w:eastAsia="zh-CN"/>
        </w:rPr>
        <w:t>审核各专业</w:t>
      </w:r>
      <w:r>
        <w:rPr>
          <w:rFonts w:hint="eastAsia" w:ascii="宋体" w:hAnsi="宋体"/>
          <w:sz w:val="24"/>
          <w:highlight w:val="none"/>
        </w:rPr>
        <w:t>竣工图：</w:t>
      </w:r>
      <w:r>
        <w:rPr>
          <w:rFonts w:hint="eastAsia" w:ascii="宋体" w:hAnsi="宋体"/>
          <w:sz w:val="24"/>
          <w:highlight w:val="none"/>
          <w:lang w:val="en-US" w:eastAsia="zh-CN"/>
        </w:rPr>
        <w:t>负责审核</w:t>
      </w:r>
      <w:r>
        <w:rPr>
          <w:rFonts w:hint="eastAsia" w:ascii="宋体" w:hAnsi="宋体"/>
          <w:sz w:val="24"/>
          <w:highlight w:val="none"/>
        </w:rPr>
        <w:t>工程各项验收包括竣工验收；设计图修改、工程变更设计应办理的手续；确认需设计深化的内容。</w:t>
      </w:r>
    </w:p>
    <w:p w14:paraId="0F083931">
      <w:pPr>
        <w:pStyle w:val="7"/>
        <w:spacing w:line="360" w:lineRule="auto"/>
        <w:ind w:firstLine="480"/>
        <w:rPr>
          <w:rFonts w:ascii="宋体" w:hAnsi="宋体"/>
          <w:color w:val="auto"/>
          <w:sz w:val="24"/>
          <w:highlight w:val="none"/>
          <w:u w:val="none"/>
        </w:rPr>
      </w:pPr>
      <w:r>
        <w:rPr>
          <w:rFonts w:hint="eastAsia" w:ascii="宋体" w:hAnsi="宋体"/>
          <w:sz w:val="24"/>
          <w:highlight w:val="none"/>
        </w:rPr>
        <w:t>4.2.5负责施工期间设计配合工作。根据施工实际需要提供必要的现场服务及专人驻</w:t>
      </w:r>
      <w:r>
        <w:rPr>
          <w:rFonts w:hint="eastAsia" w:ascii="宋体" w:hAnsi="宋体"/>
          <w:color w:val="auto"/>
          <w:sz w:val="24"/>
          <w:highlight w:val="none"/>
          <w:u w:val="none"/>
        </w:rPr>
        <w:t>场服务等，现场工作的劳务、管理、住宿、临时办公、材料、保险、利润、税金、政策性文件规定及合同包含内的所有风险、责任等各项费用，不论在招标文件中是否提及均由乙方自行承担。</w:t>
      </w:r>
    </w:p>
    <w:p w14:paraId="3A8438B0">
      <w:pPr>
        <w:pStyle w:val="7"/>
        <w:spacing w:line="360" w:lineRule="auto"/>
        <w:ind w:firstLine="480"/>
        <w:rPr>
          <w:rFonts w:ascii="宋体" w:hAnsi="宋体"/>
          <w:color w:val="auto"/>
          <w:sz w:val="24"/>
          <w:highlight w:val="none"/>
          <w:u w:val="none"/>
        </w:rPr>
      </w:pPr>
      <w:r>
        <w:rPr>
          <w:rFonts w:hint="eastAsia" w:ascii="宋体" w:hAnsi="宋体"/>
          <w:color w:val="auto"/>
          <w:sz w:val="24"/>
          <w:highlight w:val="none"/>
          <w:u w:val="none"/>
        </w:rPr>
        <w:t>4.2.6设计至竣工验收期间乙方负责提供本工程的设计图纸</w:t>
      </w:r>
      <w:r>
        <w:rPr>
          <w:rFonts w:hint="eastAsia" w:ascii="宋体" w:hAnsi="宋体"/>
          <w:strike w:val="0"/>
          <w:dstrike w:val="0"/>
          <w:color w:val="auto"/>
          <w:sz w:val="24"/>
          <w:highlight w:val="none"/>
          <w:u w:val="none"/>
          <w:lang w:val="en-US" w:eastAsia="zh-CN"/>
        </w:rPr>
        <w:t>12</w:t>
      </w:r>
      <w:r>
        <w:rPr>
          <w:rFonts w:hint="eastAsia" w:ascii="宋体" w:hAnsi="宋体"/>
          <w:color w:val="auto"/>
          <w:sz w:val="24"/>
          <w:highlight w:val="none"/>
          <w:u w:val="none"/>
        </w:rPr>
        <w:t>份，额外份数打印加晒费用由甲方支付。</w:t>
      </w:r>
    </w:p>
    <w:p w14:paraId="6B780E86">
      <w:pPr>
        <w:pStyle w:val="7"/>
        <w:spacing w:line="360" w:lineRule="auto"/>
        <w:ind w:firstLine="480"/>
        <w:rPr>
          <w:rFonts w:ascii="宋体" w:hAnsi="宋体"/>
          <w:color w:val="auto"/>
          <w:sz w:val="24"/>
          <w:highlight w:val="none"/>
          <w:u w:val="none"/>
        </w:rPr>
      </w:pPr>
      <w:r>
        <w:rPr>
          <w:rFonts w:hint="eastAsia" w:ascii="宋体" w:hAnsi="宋体"/>
          <w:color w:val="auto"/>
          <w:sz w:val="24"/>
          <w:highlight w:val="none"/>
          <w:u w:val="none"/>
        </w:rPr>
        <w:t>4.2.7提供彩色总平面图、鸟瞰图、多维度效果图，室内外透视效果图、总平面彩图、各单体平面布置图、立面图、剖面图、主要空间效果图、建筑效果图以及其他相关图纸等，施工图设计阶段须提交BIM模型。本款内容发生全部费用包含于设计费中，甲方不再另行支付。</w:t>
      </w:r>
    </w:p>
    <w:p w14:paraId="044739CC">
      <w:pPr>
        <w:spacing w:line="360" w:lineRule="auto"/>
        <w:ind w:firstLine="480" w:firstLineChars="200"/>
        <w:rPr>
          <w:rFonts w:ascii="宋体" w:hAnsi="宋体"/>
          <w:b/>
          <w:color w:val="auto"/>
          <w:sz w:val="24"/>
          <w:highlight w:val="none"/>
          <w:u w:val="none"/>
        </w:rPr>
      </w:pPr>
      <w:r>
        <w:rPr>
          <w:rFonts w:hint="eastAsia" w:ascii="宋体" w:hAnsi="宋体"/>
          <w:color w:val="auto"/>
          <w:sz w:val="24"/>
          <w:highlight w:val="none"/>
          <w:u w:val="none"/>
        </w:rPr>
        <w:t>4.3工程设计</w:t>
      </w:r>
      <w:r>
        <w:rPr>
          <w:rFonts w:hint="eastAsia" w:ascii="宋体" w:hAnsi="宋体"/>
          <w:color w:val="auto"/>
          <w:sz w:val="24"/>
          <w:highlight w:val="none"/>
          <w:u w:val="none"/>
          <w:lang w:val="en-US" w:eastAsia="zh-CN"/>
        </w:rPr>
        <w:t>及报建报批</w:t>
      </w:r>
      <w:r>
        <w:rPr>
          <w:rFonts w:ascii="宋体" w:hAnsi="宋体"/>
          <w:color w:val="auto"/>
          <w:sz w:val="24"/>
          <w:highlight w:val="none"/>
          <w:u w:val="none"/>
        </w:rPr>
        <w:t>要求</w:t>
      </w:r>
    </w:p>
    <w:p w14:paraId="3D338555">
      <w:pPr>
        <w:pStyle w:val="7"/>
        <w:spacing w:line="360" w:lineRule="auto"/>
        <w:ind w:firstLine="480"/>
        <w:rPr>
          <w:rFonts w:ascii="宋体" w:hAnsi="宋体"/>
          <w:color w:val="auto"/>
          <w:sz w:val="24"/>
          <w:highlight w:val="none"/>
          <w:u w:val="none"/>
        </w:rPr>
      </w:pPr>
      <w:r>
        <w:rPr>
          <w:rFonts w:hint="eastAsia" w:ascii="宋体" w:hAnsi="宋体"/>
          <w:color w:val="auto"/>
          <w:sz w:val="24"/>
          <w:highlight w:val="none"/>
          <w:u w:val="none"/>
        </w:rPr>
        <w:t>4</w:t>
      </w:r>
      <w:r>
        <w:rPr>
          <w:rFonts w:ascii="宋体" w:hAnsi="宋体"/>
          <w:color w:val="auto"/>
          <w:sz w:val="24"/>
          <w:highlight w:val="none"/>
          <w:u w:val="none"/>
        </w:rPr>
        <w:t>.3.1</w:t>
      </w:r>
      <w:r>
        <w:rPr>
          <w:rFonts w:hint="eastAsia" w:ascii="宋体" w:hAnsi="宋体"/>
          <w:color w:val="auto"/>
          <w:sz w:val="24"/>
          <w:highlight w:val="none"/>
          <w:u w:val="none"/>
        </w:rPr>
        <w:t>总体要求</w:t>
      </w:r>
    </w:p>
    <w:p w14:paraId="73BF478B">
      <w:pPr>
        <w:spacing w:line="360" w:lineRule="auto"/>
        <w:ind w:firstLine="552"/>
        <w:rPr>
          <w:rFonts w:ascii="宋体" w:hAnsi="宋体"/>
          <w:color w:val="auto"/>
          <w:sz w:val="24"/>
          <w:highlight w:val="none"/>
          <w:u w:val="none"/>
        </w:rPr>
      </w:pPr>
      <w:r>
        <w:rPr>
          <w:rFonts w:hint="eastAsia" w:ascii="宋体" w:hAnsi="宋体"/>
          <w:color w:val="auto"/>
          <w:sz w:val="24"/>
          <w:highlight w:val="none"/>
          <w:u w:val="none"/>
        </w:rPr>
        <w:t>1、设计文件包括但不仅限于以下内容：</w:t>
      </w:r>
      <w:r>
        <w:rPr>
          <w:rFonts w:hint="eastAsia" w:ascii="宋体" w:hAnsi="宋体"/>
          <w:color w:val="auto"/>
          <w:sz w:val="24"/>
          <w:szCs w:val="24"/>
          <w:highlight w:val="none"/>
          <w:u w:val="none"/>
          <w:lang w:bidi="ar"/>
        </w:rPr>
        <w:t>建筑设计、结构设计、通风空调设计、给排水设计、电气专业设计、幕墙设计、园林景观设计、</w:t>
      </w:r>
      <w:r>
        <w:rPr>
          <w:rFonts w:hint="eastAsia" w:ascii="宋体" w:hAnsi="宋体"/>
          <w:color w:val="auto"/>
          <w:sz w:val="24"/>
          <w:szCs w:val="24"/>
          <w:highlight w:val="none"/>
          <w:u w:val="none"/>
          <w:lang w:val="en-US" w:eastAsia="zh-CN" w:bidi="ar"/>
        </w:rPr>
        <w:t>规划条件调整（如需）、</w:t>
      </w:r>
      <w:r>
        <w:rPr>
          <w:rFonts w:hint="eastAsia" w:ascii="宋体" w:hAnsi="宋体"/>
          <w:color w:val="auto"/>
          <w:sz w:val="24"/>
          <w:szCs w:val="24"/>
          <w:highlight w:val="none"/>
          <w:u w:val="none"/>
          <w:lang w:bidi="ar"/>
        </w:rPr>
        <w:t>公区室内设计、室外管线综合设计、基坑支护设计、智能化设计（含通信、电信）、</w:t>
      </w:r>
      <w:r>
        <w:rPr>
          <w:rFonts w:hint="eastAsia" w:ascii="宋体" w:hAnsi="宋体"/>
          <w:color w:val="auto"/>
          <w:sz w:val="24"/>
          <w:szCs w:val="24"/>
          <w:highlight w:val="none"/>
          <w:u w:val="none"/>
          <w:lang w:val="en-US" w:eastAsia="zh-CN" w:bidi="ar"/>
        </w:rPr>
        <w:t>永水永电设计、燃气设计、</w:t>
      </w:r>
      <w:r>
        <w:rPr>
          <w:rFonts w:hint="eastAsia" w:ascii="宋体" w:hAnsi="宋体"/>
          <w:color w:val="auto"/>
          <w:sz w:val="24"/>
          <w:szCs w:val="24"/>
          <w:highlight w:val="none"/>
          <w:u w:val="none"/>
          <w:lang w:bidi="ar"/>
        </w:rPr>
        <w:t>绿色建筑设</w:t>
      </w:r>
      <w:r>
        <w:rPr>
          <w:rFonts w:hint="eastAsia" w:ascii="宋体" w:hAnsi="宋体"/>
          <w:color w:val="auto"/>
          <w:sz w:val="24"/>
          <w:szCs w:val="24"/>
          <w:highlight w:val="none"/>
          <w:u w:val="none"/>
          <w:lang w:val="en-US" w:eastAsia="zh-CN" w:bidi="ar"/>
        </w:rPr>
        <w:t>计</w:t>
      </w:r>
      <w:r>
        <w:rPr>
          <w:rFonts w:hint="eastAsia" w:ascii="宋体" w:hAnsi="宋体"/>
          <w:color w:val="auto"/>
          <w:sz w:val="24"/>
          <w:szCs w:val="24"/>
          <w:highlight w:val="none"/>
          <w:u w:val="none"/>
          <w:lang w:eastAsia="zh-CN" w:bidi="ar"/>
        </w:rPr>
        <w:t>（</w:t>
      </w:r>
      <w:r>
        <w:rPr>
          <w:rFonts w:hint="eastAsia" w:ascii="宋体" w:hAnsi="宋体"/>
          <w:color w:val="auto"/>
          <w:sz w:val="24"/>
          <w:szCs w:val="24"/>
          <w:highlight w:val="none"/>
          <w:u w:val="none"/>
          <w:lang w:val="en-US" w:eastAsia="zh-CN" w:bidi="ar"/>
        </w:rPr>
        <w:t>绿建二星</w:t>
      </w:r>
      <w:r>
        <w:rPr>
          <w:rFonts w:hint="eastAsia" w:ascii="宋体" w:hAnsi="宋体"/>
          <w:color w:val="auto"/>
          <w:sz w:val="24"/>
          <w:szCs w:val="24"/>
          <w:highlight w:val="none"/>
          <w:u w:val="none"/>
          <w:lang w:eastAsia="zh-CN" w:bidi="ar"/>
        </w:rPr>
        <w:t>）</w:t>
      </w:r>
      <w:r>
        <w:rPr>
          <w:rFonts w:hint="eastAsia" w:ascii="宋体" w:hAnsi="宋体"/>
          <w:color w:val="auto"/>
          <w:sz w:val="24"/>
          <w:szCs w:val="24"/>
          <w:highlight w:val="none"/>
          <w:u w:val="none"/>
          <w:lang w:bidi="ar"/>
        </w:rPr>
        <w:t>、海绵城市设计、泛光照明设计、人防设计、二次机电设计</w:t>
      </w:r>
      <w:r>
        <w:rPr>
          <w:rFonts w:hint="eastAsia" w:ascii="宋体" w:hAnsi="宋体"/>
          <w:color w:val="auto"/>
          <w:sz w:val="24"/>
          <w:szCs w:val="24"/>
          <w:highlight w:val="none"/>
          <w:u w:val="none"/>
          <w:lang w:eastAsia="zh-CN" w:bidi="ar"/>
        </w:rPr>
        <w:t>（</w:t>
      </w:r>
      <w:r>
        <w:rPr>
          <w:rFonts w:hint="eastAsia" w:ascii="宋体" w:hAnsi="宋体"/>
          <w:color w:val="auto"/>
          <w:sz w:val="24"/>
          <w:szCs w:val="24"/>
          <w:highlight w:val="none"/>
          <w:u w:val="none"/>
          <w:lang w:val="en-US" w:eastAsia="zh-CN" w:bidi="ar"/>
        </w:rPr>
        <w:t>公区部分</w:t>
      </w:r>
      <w:r>
        <w:rPr>
          <w:rFonts w:hint="eastAsia" w:ascii="宋体" w:hAnsi="宋体"/>
          <w:color w:val="auto"/>
          <w:sz w:val="24"/>
          <w:szCs w:val="24"/>
          <w:highlight w:val="none"/>
          <w:u w:val="none"/>
          <w:lang w:eastAsia="zh-CN" w:bidi="ar"/>
        </w:rPr>
        <w:t>）、</w:t>
      </w:r>
      <w:r>
        <w:rPr>
          <w:rFonts w:hint="eastAsia" w:ascii="宋体" w:hAnsi="宋体"/>
          <w:color w:val="auto"/>
          <w:sz w:val="24"/>
          <w:szCs w:val="24"/>
          <w:highlight w:val="none"/>
          <w:u w:val="none"/>
          <w:lang w:bidi="ar"/>
        </w:rPr>
        <w:t>BIM设计、</w:t>
      </w:r>
      <w:r>
        <w:rPr>
          <w:rFonts w:hint="eastAsia" w:ascii="宋体" w:hAnsi="宋体"/>
          <w:color w:val="auto"/>
          <w:sz w:val="24"/>
          <w:szCs w:val="24"/>
          <w:highlight w:val="none"/>
          <w:u w:val="none"/>
          <w:lang w:val="en-US" w:eastAsia="zh-CN" w:bidi="ar"/>
        </w:rPr>
        <w:t>停车划线、</w:t>
      </w:r>
      <w:r>
        <w:rPr>
          <w:rFonts w:hint="eastAsia" w:ascii="宋体" w:hAnsi="宋体"/>
          <w:color w:val="auto"/>
          <w:sz w:val="24"/>
          <w:szCs w:val="24"/>
          <w:highlight w:val="none"/>
          <w:u w:val="none"/>
          <w:lang w:bidi="ar"/>
        </w:rPr>
        <w:t>装配式建筑设计等方案及深化、方案估算、方案审查及专家技术论证；初步设计、施工图设计、出具设计变更图并附变更清单</w:t>
      </w:r>
      <w:r>
        <w:rPr>
          <w:rFonts w:hint="eastAsia" w:ascii="宋体" w:hAnsi="宋体"/>
          <w:color w:val="auto"/>
          <w:sz w:val="24"/>
          <w:szCs w:val="24"/>
          <w:highlight w:val="none"/>
          <w:u w:val="none"/>
          <w:lang w:eastAsia="zh-CN" w:bidi="ar"/>
        </w:rPr>
        <w:t>、</w:t>
      </w:r>
      <w:r>
        <w:rPr>
          <w:rFonts w:hint="eastAsia" w:ascii="宋体" w:hAnsi="宋体"/>
          <w:color w:val="auto"/>
          <w:sz w:val="24"/>
          <w:highlight w:val="none"/>
          <w:u w:val="none"/>
        </w:rPr>
        <w:t>初步设计概算、施工图设计（包括建筑、结构、安装、消防、基坑支护、周边道路（红线范围内）、充电桩、排污、园建配套、绿化、弱电智能化、暖通、电气、绿建节能、防雷、抗震支架、土方平衡、室内设计（</w:t>
      </w:r>
      <w:r>
        <w:rPr>
          <w:rFonts w:hint="eastAsia" w:ascii="宋体" w:hAnsi="宋体"/>
          <w:color w:val="auto"/>
          <w:sz w:val="24"/>
          <w:highlight w:val="none"/>
          <w:u w:val="none"/>
          <w:lang w:val="en-US" w:eastAsia="zh-CN"/>
        </w:rPr>
        <w:t>公共区域部分</w:t>
      </w:r>
      <w:r>
        <w:rPr>
          <w:rFonts w:hint="eastAsia" w:ascii="宋体" w:hAnsi="宋体"/>
          <w:color w:val="auto"/>
          <w:sz w:val="24"/>
          <w:highlight w:val="none"/>
          <w:u w:val="none"/>
        </w:rPr>
        <w:t>）等相关专业设计以及建筑物与市政管网衔接的设计工作。</w:t>
      </w:r>
    </w:p>
    <w:p w14:paraId="1F56905E">
      <w:pPr>
        <w:pStyle w:val="7"/>
        <w:spacing w:line="360" w:lineRule="auto"/>
        <w:ind w:left="0" w:leftChars="0" w:firstLine="0" w:firstLineChars="0"/>
        <w:rPr>
          <w:rFonts w:ascii="宋体" w:hAnsi="宋体"/>
          <w:color w:val="auto"/>
          <w:sz w:val="24"/>
          <w:highlight w:val="none"/>
          <w:u w:val="none"/>
        </w:rPr>
      </w:pPr>
      <w:r>
        <w:rPr>
          <w:rFonts w:hint="eastAsia" w:ascii="宋体" w:hAnsi="宋体"/>
          <w:color w:val="auto"/>
          <w:sz w:val="24"/>
          <w:highlight w:val="none"/>
          <w:u w:val="none"/>
        </w:rPr>
        <w:t>设计成果应达到建设部颁发的《建筑工程设计文件编制深度规定》（2016年版）。</w:t>
      </w:r>
    </w:p>
    <w:p w14:paraId="335766EB">
      <w:pPr>
        <w:pStyle w:val="7"/>
        <w:spacing w:line="360" w:lineRule="auto"/>
        <w:ind w:firstLine="480"/>
        <w:rPr>
          <w:rFonts w:ascii="宋体" w:hAnsi="宋体"/>
          <w:color w:val="auto"/>
          <w:sz w:val="24"/>
          <w:highlight w:val="none"/>
          <w:u w:val="none"/>
        </w:rPr>
      </w:pPr>
      <w:r>
        <w:rPr>
          <w:rFonts w:hint="eastAsia" w:ascii="宋体" w:hAnsi="宋体"/>
          <w:color w:val="auto"/>
          <w:sz w:val="24"/>
          <w:highlight w:val="none"/>
          <w:u w:val="none"/>
        </w:rPr>
        <w:t>2、本项目规划指标应严格满足规划设计条件的要求，设计方案应遵从相关要求进行设计。</w:t>
      </w:r>
    </w:p>
    <w:p w14:paraId="06746860">
      <w:pPr>
        <w:pStyle w:val="7"/>
        <w:spacing w:line="360" w:lineRule="auto"/>
        <w:ind w:firstLine="480"/>
        <w:rPr>
          <w:rFonts w:ascii="宋体" w:hAnsi="宋体"/>
          <w:color w:val="auto"/>
          <w:sz w:val="24"/>
          <w:highlight w:val="none"/>
          <w:u w:val="none"/>
        </w:rPr>
      </w:pPr>
      <w:r>
        <w:rPr>
          <w:rFonts w:hint="eastAsia" w:ascii="宋体" w:hAnsi="宋体"/>
          <w:color w:val="auto"/>
          <w:sz w:val="24"/>
          <w:highlight w:val="none"/>
          <w:u w:val="none"/>
        </w:rPr>
        <w:t>3、设计单位应依据业主单位的投资开发、招商入驻企业要求确定建筑物设计方案，提交设计选型成果报告（含造价比较、运营费用比较）。同时应注意选用节能、环保、健康的材料，合理的施工技术和工期，严格控制成本造价，降低运营费用。</w:t>
      </w:r>
    </w:p>
    <w:p w14:paraId="13E41D91">
      <w:pPr>
        <w:pStyle w:val="7"/>
        <w:spacing w:line="360" w:lineRule="auto"/>
        <w:ind w:firstLine="480"/>
        <w:rPr>
          <w:rFonts w:ascii="宋体" w:hAnsi="宋体"/>
          <w:sz w:val="24"/>
          <w:highlight w:val="none"/>
        </w:rPr>
      </w:pPr>
      <w:r>
        <w:rPr>
          <w:rFonts w:hint="eastAsia" w:ascii="宋体" w:hAnsi="宋体"/>
          <w:sz w:val="24"/>
          <w:highlight w:val="none"/>
        </w:rPr>
        <w:t>5、在项目报建阶段满足建设单位报批各种手续的要求，分阶段提供所需的设计文件。</w:t>
      </w:r>
    </w:p>
    <w:p w14:paraId="678DC20F">
      <w:pPr>
        <w:pStyle w:val="7"/>
        <w:spacing w:line="360" w:lineRule="auto"/>
        <w:ind w:firstLine="480"/>
        <w:rPr>
          <w:rFonts w:ascii="宋体" w:hAnsi="宋体"/>
          <w:sz w:val="24"/>
          <w:highlight w:val="none"/>
        </w:rPr>
      </w:pPr>
      <w:r>
        <w:rPr>
          <w:rFonts w:hint="eastAsia" w:ascii="宋体" w:hAnsi="宋体"/>
          <w:sz w:val="24"/>
          <w:highlight w:val="none"/>
        </w:rPr>
        <w:t>6、各专业图纸必须符合国家现行的技术规范及标准要求，达到《建筑工程设计文件编制深度规定》（2016年版）深度要求。施工阶段需要对施工单位深化设计成果进行审核确认。</w:t>
      </w:r>
    </w:p>
    <w:p w14:paraId="03268125">
      <w:pPr>
        <w:pStyle w:val="7"/>
        <w:spacing w:line="360" w:lineRule="auto"/>
        <w:ind w:firstLine="480"/>
        <w:rPr>
          <w:rFonts w:ascii="宋体" w:hAnsi="宋体"/>
          <w:sz w:val="24"/>
          <w:highlight w:val="none"/>
        </w:rPr>
      </w:pPr>
      <w:r>
        <w:rPr>
          <w:rFonts w:hint="eastAsia" w:ascii="宋体" w:hAnsi="宋体"/>
          <w:sz w:val="24"/>
          <w:highlight w:val="none"/>
        </w:rPr>
        <w:t>7、本项目要求按绿色建筑设计按相关要求进行设计。</w:t>
      </w:r>
    </w:p>
    <w:p w14:paraId="298A58F3">
      <w:pPr>
        <w:pStyle w:val="7"/>
        <w:spacing w:line="360" w:lineRule="auto"/>
        <w:ind w:firstLine="480"/>
        <w:rPr>
          <w:rFonts w:ascii="宋体" w:hAnsi="宋体"/>
          <w:sz w:val="24"/>
          <w:highlight w:val="none"/>
        </w:rPr>
      </w:pPr>
      <w:r>
        <w:rPr>
          <w:rFonts w:hint="eastAsia" w:ascii="宋体" w:hAnsi="宋体"/>
          <w:sz w:val="24"/>
          <w:highlight w:val="none"/>
        </w:rPr>
        <w:t>8、海绵城市建设要求：建设项目应采取雨污分流系统，同时按照《广州市建设项目雨水径流控制办法》的有关规定采取雨水径流控制措施。满足规划设计条件要求。</w:t>
      </w:r>
    </w:p>
    <w:p w14:paraId="6017BF98">
      <w:pPr>
        <w:pStyle w:val="7"/>
        <w:spacing w:line="360" w:lineRule="auto"/>
        <w:ind w:firstLine="480"/>
        <w:rPr>
          <w:rFonts w:ascii="宋体" w:hAnsi="宋体"/>
          <w:sz w:val="24"/>
          <w:highlight w:val="none"/>
        </w:rPr>
      </w:pPr>
      <w:r>
        <w:rPr>
          <w:rFonts w:hint="eastAsia" w:ascii="宋体" w:hAnsi="宋体"/>
          <w:sz w:val="24"/>
          <w:highlight w:val="none"/>
        </w:rPr>
        <w:t>9、应配合及充分考虑物业管理和经营模式，以利于系统的设计能满足日后的使用管理要求。</w:t>
      </w:r>
    </w:p>
    <w:p w14:paraId="46BE0BAA">
      <w:pPr>
        <w:pStyle w:val="7"/>
        <w:spacing w:line="360" w:lineRule="auto"/>
        <w:ind w:firstLine="480"/>
        <w:rPr>
          <w:rFonts w:ascii="宋体" w:hAnsi="宋体"/>
          <w:sz w:val="24"/>
          <w:highlight w:val="none"/>
        </w:rPr>
      </w:pPr>
      <w:r>
        <w:rPr>
          <w:rFonts w:hint="eastAsia" w:ascii="宋体" w:hAnsi="宋体"/>
          <w:sz w:val="24"/>
          <w:highlight w:val="none"/>
        </w:rPr>
        <w:t>10、提供专业设计计算书、全过程中要求提供的指标及数据的统计；成果文件包括但不限于DWG、PPT、WORD、EXCEL等形式。</w:t>
      </w:r>
    </w:p>
    <w:p w14:paraId="77AFD376">
      <w:pPr>
        <w:pStyle w:val="7"/>
        <w:spacing w:line="360" w:lineRule="auto"/>
        <w:ind w:firstLine="480"/>
        <w:rPr>
          <w:rFonts w:ascii="宋体" w:hAnsi="宋体"/>
          <w:sz w:val="24"/>
          <w:highlight w:val="none"/>
        </w:rPr>
      </w:pPr>
      <w:r>
        <w:rPr>
          <w:rFonts w:hint="eastAsia" w:ascii="宋体" w:hAnsi="宋体"/>
          <w:sz w:val="24"/>
          <w:highlight w:val="none"/>
        </w:rPr>
        <w:t>4</w:t>
      </w:r>
      <w:r>
        <w:rPr>
          <w:rFonts w:ascii="宋体" w:hAnsi="宋体"/>
          <w:sz w:val="24"/>
          <w:highlight w:val="none"/>
        </w:rPr>
        <w:t>.3.2</w:t>
      </w:r>
      <w:r>
        <w:rPr>
          <w:rFonts w:hint="eastAsia" w:ascii="宋体" w:hAnsi="宋体"/>
          <w:sz w:val="24"/>
          <w:highlight w:val="none"/>
        </w:rPr>
        <w:t>建筑总图设计</w:t>
      </w:r>
    </w:p>
    <w:p w14:paraId="25B8F4B0">
      <w:pPr>
        <w:pStyle w:val="7"/>
        <w:spacing w:line="360" w:lineRule="auto"/>
        <w:ind w:firstLine="480"/>
        <w:rPr>
          <w:rFonts w:ascii="宋体" w:hAnsi="宋体"/>
          <w:sz w:val="24"/>
          <w:highlight w:val="none"/>
        </w:rPr>
      </w:pPr>
      <w:r>
        <w:rPr>
          <w:rFonts w:hint="eastAsia" w:ascii="宋体" w:hAnsi="宋体"/>
          <w:sz w:val="24"/>
          <w:highlight w:val="none"/>
        </w:rPr>
        <w:t>在修建性详细规划设计与建筑方案基础上，按业主相关要求，进行深化设计，主要完成总图专业各项内容的初步设计、技术设计和施工图设计，含总平面设计、竖向标高设计、交通道路广场设计、景观绿化设计、总平面管线综合设计、土方平衡计算与设计。</w:t>
      </w:r>
    </w:p>
    <w:p w14:paraId="7D9A64F9">
      <w:pPr>
        <w:pStyle w:val="7"/>
        <w:spacing w:line="360" w:lineRule="auto"/>
        <w:ind w:firstLine="480"/>
        <w:rPr>
          <w:rFonts w:ascii="宋体" w:hAnsi="宋体"/>
          <w:sz w:val="24"/>
          <w:highlight w:val="none"/>
        </w:rPr>
      </w:pPr>
      <w:r>
        <w:rPr>
          <w:rFonts w:hint="eastAsia" w:ascii="宋体" w:hAnsi="宋体"/>
          <w:sz w:val="24"/>
          <w:highlight w:val="none"/>
        </w:rPr>
        <w:t>1、重点组织好各种交通流线设计：各出入流线应独立设置，尽量避免相互干扰。人流、车流应区分有序，符合办公、公共配套的日常使用要求。</w:t>
      </w:r>
    </w:p>
    <w:p w14:paraId="0807AD97">
      <w:pPr>
        <w:pStyle w:val="7"/>
        <w:spacing w:line="360" w:lineRule="auto"/>
        <w:ind w:firstLine="480"/>
        <w:rPr>
          <w:rFonts w:ascii="宋体" w:hAnsi="宋体"/>
          <w:sz w:val="24"/>
          <w:highlight w:val="none"/>
        </w:rPr>
      </w:pPr>
      <w:r>
        <w:rPr>
          <w:rFonts w:hint="eastAsia" w:ascii="宋体" w:hAnsi="宋体"/>
          <w:sz w:val="24"/>
          <w:highlight w:val="none"/>
        </w:rPr>
        <w:t>2、除总平面图外，还要求绘制一层组合平面图，将道路关系、各出入口关系、±0.000标高、室内外高差关系等反映在图面上。</w:t>
      </w:r>
    </w:p>
    <w:p w14:paraId="1C308556">
      <w:pPr>
        <w:pStyle w:val="7"/>
        <w:spacing w:line="360" w:lineRule="auto"/>
        <w:ind w:firstLine="480"/>
        <w:rPr>
          <w:rFonts w:ascii="宋体" w:hAnsi="宋体"/>
          <w:sz w:val="24"/>
          <w:highlight w:val="none"/>
        </w:rPr>
      </w:pPr>
      <w:r>
        <w:rPr>
          <w:rFonts w:hint="eastAsia" w:ascii="宋体" w:hAnsi="宋体"/>
          <w:sz w:val="24"/>
          <w:highlight w:val="none"/>
        </w:rPr>
        <w:t>3、应结合朝向、周围环境合理地组织自然通风和景观，同时处理好区域内外的水、电、燃气、通信等市政设施的衔接。需解决好室外管线综合问题，使各种管线均满足设计要求。各建筑出入口处不得设置通风竖井、检查井等设施。需注明场外管线接入点的位置标高。</w:t>
      </w:r>
    </w:p>
    <w:p w14:paraId="5883E9E1">
      <w:pPr>
        <w:pStyle w:val="7"/>
        <w:spacing w:line="360" w:lineRule="auto"/>
        <w:ind w:firstLine="480"/>
        <w:rPr>
          <w:rFonts w:ascii="宋体" w:hAnsi="宋体"/>
          <w:sz w:val="24"/>
          <w:highlight w:val="none"/>
        </w:rPr>
      </w:pPr>
      <w:r>
        <w:rPr>
          <w:rFonts w:hint="eastAsia" w:ascii="宋体" w:hAnsi="宋体"/>
          <w:sz w:val="24"/>
          <w:highlight w:val="none"/>
        </w:rPr>
        <w:t>4、建筑布局应适应气候特点，满足通风、采光、遮阳、防水等功能使用要求。</w:t>
      </w:r>
    </w:p>
    <w:p w14:paraId="796510BF">
      <w:pPr>
        <w:pStyle w:val="7"/>
        <w:spacing w:line="360" w:lineRule="auto"/>
        <w:ind w:firstLine="480"/>
        <w:rPr>
          <w:rFonts w:ascii="宋体" w:hAnsi="宋体"/>
          <w:sz w:val="24"/>
          <w:highlight w:val="none"/>
        </w:rPr>
      </w:pPr>
      <w:r>
        <w:rPr>
          <w:rFonts w:hint="eastAsia" w:ascii="宋体" w:hAnsi="宋体"/>
          <w:sz w:val="24"/>
          <w:highlight w:val="none"/>
        </w:rPr>
        <w:t>5、总平面设计应符合无障碍设计要求，并应符合现行行业标准《无障碍设计规范》（GB50763-2012）的有关规定。</w:t>
      </w:r>
    </w:p>
    <w:p w14:paraId="6DD3DEE3">
      <w:pPr>
        <w:pStyle w:val="7"/>
        <w:spacing w:line="360" w:lineRule="auto"/>
        <w:ind w:firstLine="480"/>
        <w:rPr>
          <w:rFonts w:ascii="宋体" w:hAnsi="宋体"/>
          <w:sz w:val="24"/>
          <w:highlight w:val="none"/>
        </w:rPr>
      </w:pPr>
      <w:r>
        <w:rPr>
          <w:rFonts w:hint="eastAsia" w:ascii="宋体" w:hAnsi="宋体"/>
          <w:sz w:val="24"/>
          <w:highlight w:val="none"/>
        </w:rPr>
        <w:t>6、建筑退让间距，建筑间距，退界应按照《广州市城乡规划技术规定》及其他相关要求执行。</w:t>
      </w:r>
    </w:p>
    <w:p w14:paraId="42CBAA0F">
      <w:pPr>
        <w:pStyle w:val="7"/>
        <w:spacing w:line="360" w:lineRule="auto"/>
        <w:ind w:firstLine="480"/>
        <w:rPr>
          <w:rFonts w:ascii="宋体" w:hAnsi="宋体"/>
          <w:sz w:val="24"/>
          <w:highlight w:val="none"/>
        </w:rPr>
      </w:pPr>
      <w:r>
        <w:rPr>
          <w:rFonts w:hint="eastAsia" w:ascii="宋体" w:hAnsi="宋体"/>
          <w:sz w:val="24"/>
          <w:highlight w:val="none"/>
        </w:rPr>
        <w:t>4</w:t>
      </w:r>
      <w:r>
        <w:rPr>
          <w:rFonts w:ascii="宋体" w:hAnsi="宋体"/>
          <w:sz w:val="24"/>
          <w:highlight w:val="none"/>
        </w:rPr>
        <w:t>.3.3</w:t>
      </w:r>
      <w:r>
        <w:rPr>
          <w:rFonts w:hint="eastAsia" w:ascii="宋体" w:hAnsi="宋体"/>
          <w:sz w:val="24"/>
          <w:highlight w:val="none"/>
        </w:rPr>
        <w:t>建筑设计</w:t>
      </w:r>
    </w:p>
    <w:p w14:paraId="6A409E93">
      <w:pPr>
        <w:pStyle w:val="7"/>
        <w:spacing w:line="360" w:lineRule="auto"/>
        <w:ind w:firstLine="480"/>
        <w:rPr>
          <w:rFonts w:ascii="宋体" w:hAnsi="宋体"/>
          <w:sz w:val="24"/>
          <w:highlight w:val="none"/>
        </w:rPr>
      </w:pPr>
      <w:r>
        <w:rPr>
          <w:rFonts w:hint="eastAsia" w:ascii="宋体" w:hAnsi="宋体"/>
          <w:sz w:val="24"/>
          <w:highlight w:val="none"/>
        </w:rPr>
        <w:t>在修建性详细规划设计与建筑方案基础上，按业主相关要求，进行深化设计，完成建筑各单体的初步设计、技术设计和施工图设计，具体如下：</w:t>
      </w:r>
    </w:p>
    <w:p w14:paraId="43D8B28E">
      <w:pPr>
        <w:pStyle w:val="7"/>
        <w:spacing w:line="360" w:lineRule="auto"/>
        <w:ind w:firstLine="480"/>
        <w:rPr>
          <w:rFonts w:ascii="宋体" w:hAnsi="宋体"/>
          <w:sz w:val="24"/>
          <w:highlight w:val="none"/>
        </w:rPr>
      </w:pPr>
      <w:r>
        <w:rPr>
          <w:rFonts w:hint="eastAsia" w:ascii="宋体" w:hAnsi="宋体"/>
          <w:sz w:val="24"/>
          <w:highlight w:val="none"/>
        </w:rPr>
        <w:t>1、各阶段的设计说明应完整，施工图应有效指导现场施工，不得因图纸表达不清影响现场施工。</w:t>
      </w:r>
    </w:p>
    <w:p w14:paraId="23127FC3">
      <w:pPr>
        <w:pStyle w:val="7"/>
        <w:spacing w:line="360" w:lineRule="auto"/>
        <w:ind w:firstLine="480"/>
        <w:rPr>
          <w:rFonts w:ascii="宋体" w:hAnsi="宋体"/>
          <w:sz w:val="24"/>
          <w:highlight w:val="none"/>
        </w:rPr>
      </w:pPr>
      <w:r>
        <w:rPr>
          <w:rFonts w:hint="eastAsia" w:ascii="宋体" w:hAnsi="宋体"/>
          <w:sz w:val="24"/>
          <w:highlight w:val="none"/>
        </w:rPr>
        <w:t>2、建筑设计标准：设计使用年限50年，建筑耐火等级按照《建筑设计防火规范》（GB50016-2018）要求执行，建筑公共区域的设计满足无障碍建筑设计要求。</w:t>
      </w:r>
    </w:p>
    <w:p w14:paraId="25111621">
      <w:pPr>
        <w:pStyle w:val="7"/>
        <w:spacing w:line="360" w:lineRule="auto"/>
        <w:ind w:firstLine="480"/>
        <w:rPr>
          <w:rFonts w:ascii="宋体" w:hAnsi="宋体"/>
          <w:sz w:val="24"/>
          <w:highlight w:val="none"/>
        </w:rPr>
      </w:pPr>
      <w:r>
        <w:rPr>
          <w:rFonts w:hint="eastAsia" w:ascii="宋体" w:hAnsi="宋体"/>
          <w:sz w:val="24"/>
          <w:highlight w:val="none"/>
        </w:rPr>
        <w:t>3、根据中标方案完善建筑设计方案、建筑功能划分，细化流线设计及竖向设计。</w:t>
      </w:r>
    </w:p>
    <w:p w14:paraId="3533E311">
      <w:pPr>
        <w:pStyle w:val="7"/>
        <w:spacing w:line="360" w:lineRule="auto"/>
        <w:ind w:firstLine="480"/>
        <w:rPr>
          <w:rFonts w:ascii="宋体" w:hAnsi="宋体"/>
          <w:sz w:val="24"/>
          <w:highlight w:val="none"/>
        </w:rPr>
      </w:pPr>
      <w:r>
        <w:rPr>
          <w:rFonts w:hint="eastAsia" w:ascii="宋体" w:hAnsi="宋体"/>
          <w:sz w:val="24"/>
          <w:highlight w:val="none"/>
        </w:rPr>
        <w:t>4、建筑外立面：建筑立面应以现代、大气、融合的风格为主，避免繁复、夸张的建筑风格与大量装饰性构件，建筑立面设计凸显昭示性。</w:t>
      </w:r>
    </w:p>
    <w:p w14:paraId="02551BFC">
      <w:pPr>
        <w:pStyle w:val="7"/>
        <w:spacing w:line="360" w:lineRule="auto"/>
        <w:ind w:firstLine="480"/>
        <w:rPr>
          <w:rFonts w:ascii="宋体" w:hAnsi="宋体"/>
          <w:sz w:val="24"/>
          <w:highlight w:val="none"/>
        </w:rPr>
      </w:pPr>
      <w:r>
        <w:rPr>
          <w:rFonts w:hint="eastAsia" w:ascii="宋体" w:hAnsi="宋体"/>
          <w:sz w:val="24"/>
          <w:highlight w:val="none"/>
        </w:rPr>
        <w:t>5、停车配建：按照《广州市城乡规划技术规定》及《建设用地规划许可证》相关要求，满足现行规范停车指标。</w:t>
      </w:r>
    </w:p>
    <w:p w14:paraId="4A35ACC9">
      <w:pPr>
        <w:pStyle w:val="7"/>
        <w:spacing w:line="360" w:lineRule="auto"/>
        <w:ind w:firstLine="480"/>
        <w:rPr>
          <w:rFonts w:ascii="宋体" w:hAnsi="宋体"/>
          <w:sz w:val="24"/>
          <w:highlight w:val="none"/>
        </w:rPr>
      </w:pPr>
      <w:r>
        <w:rPr>
          <w:rFonts w:hint="eastAsia" w:ascii="宋体" w:hAnsi="宋体"/>
          <w:sz w:val="24"/>
          <w:highlight w:val="none"/>
        </w:rPr>
        <w:t>6、装配式建筑：按照《建设用地规划许可证》及国家、广东省及其它相关要求设计。</w:t>
      </w:r>
    </w:p>
    <w:p w14:paraId="5C1B58F3">
      <w:pPr>
        <w:pStyle w:val="7"/>
        <w:spacing w:line="360" w:lineRule="auto"/>
        <w:ind w:firstLine="480"/>
        <w:rPr>
          <w:rFonts w:ascii="宋体" w:hAnsi="宋体"/>
          <w:sz w:val="24"/>
          <w:highlight w:val="none"/>
        </w:rPr>
      </w:pPr>
      <w:r>
        <w:rPr>
          <w:rFonts w:hint="eastAsia" w:ascii="宋体" w:hAnsi="宋体"/>
          <w:sz w:val="24"/>
          <w:highlight w:val="none"/>
        </w:rPr>
        <w:t>4</w:t>
      </w:r>
      <w:r>
        <w:rPr>
          <w:rFonts w:ascii="宋体" w:hAnsi="宋体"/>
          <w:sz w:val="24"/>
          <w:highlight w:val="none"/>
        </w:rPr>
        <w:t>.3.4</w:t>
      </w:r>
      <w:r>
        <w:rPr>
          <w:rFonts w:hint="eastAsia" w:ascii="宋体" w:hAnsi="宋体"/>
          <w:sz w:val="24"/>
          <w:highlight w:val="none"/>
        </w:rPr>
        <w:t>结构设计</w:t>
      </w:r>
    </w:p>
    <w:p w14:paraId="7966AC9B">
      <w:pPr>
        <w:pStyle w:val="7"/>
        <w:spacing w:line="360" w:lineRule="auto"/>
        <w:ind w:firstLine="480"/>
        <w:rPr>
          <w:rFonts w:ascii="宋体" w:hAnsi="宋体"/>
          <w:sz w:val="24"/>
          <w:highlight w:val="none"/>
        </w:rPr>
      </w:pPr>
      <w:r>
        <w:rPr>
          <w:rFonts w:hint="eastAsia" w:ascii="宋体" w:hAnsi="宋体"/>
          <w:sz w:val="24"/>
          <w:highlight w:val="none"/>
        </w:rPr>
        <w:t>包括设计范围内建筑体的结构设计、幕墙等装修工程的结构设计；结构设计一般要求如下：</w:t>
      </w:r>
    </w:p>
    <w:p w14:paraId="730AE21F">
      <w:pPr>
        <w:pStyle w:val="7"/>
        <w:spacing w:line="360" w:lineRule="auto"/>
        <w:ind w:firstLine="480"/>
        <w:rPr>
          <w:rFonts w:ascii="宋体" w:hAnsi="宋体"/>
          <w:sz w:val="24"/>
          <w:highlight w:val="none"/>
        </w:rPr>
      </w:pPr>
      <w:r>
        <w:rPr>
          <w:rFonts w:hint="eastAsia" w:ascii="宋体" w:hAnsi="宋体"/>
          <w:sz w:val="24"/>
          <w:highlight w:val="none"/>
        </w:rPr>
        <w:t>1、结构设计基准期为50年，结构设计使用年限为50年。</w:t>
      </w:r>
    </w:p>
    <w:p w14:paraId="6B1E7B40">
      <w:pPr>
        <w:pStyle w:val="7"/>
        <w:spacing w:line="360" w:lineRule="auto"/>
        <w:ind w:firstLine="480"/>
        <w:rPr>
          <w:rFonts w:ascii="宋体" w:hAnsi="宋体"/>
          <w:sz w:val="24"/>
          <w:highlight w:val="none"/>
        </w:rPr>
      </w:pPr>
      <w:r>
        <w:rPr>
          <w:rFonts w:hint="eastAsia" w:ascii="宋体" w:hAnsi="宋体"/>
          <w:sz w:val="24"/>
          <w:highlight w:val="none"/>
        </w:rPr>
        <w:t>2、具体抗震等级应根据具体部位的设防类别、烈度、结构类型和建筑高度确定。</w:t>
      </w:r>
    </w:p>
    <w:p w14:paraId="6EBFF778">
      <w:pPr>
        <w:pStyle w:val="7"/>
        <w:spacing w:line="360" w:lineRule="auto"/>
        <w:ind w:firstLine="480"/>
        <w:rPr>
          <w:rFonts w:ascii="宋体" w:hAnsi="宋体"/>
          <w:sz w:val="24"/>
          <w:highlight w:val="none"/>
        </w:rPr>
      </w:pPr>
      <w:r>
        <w:rPr>
          <w:rFonts w:hint="eastAsia" w:ascii="宋体" w:hAnsi="宋体"/>
          <w:sz w:val="24"/>
          <w:highlight w:val="none"/>
        </w:rPr>
        <w:t>3、风荷载按50年一遇的基本风压取值。特殊结构的风荷载体型系数应通过风洞试验确定。</w:t>
      </w:r>
    </w:p>
    <w:p w14:paraId="67974243">
      <w:pPr>
        <w:pStyle w:val="7"/>
        <w:spacing w:line="360" w:lineRule="auto"/>
        <w:ind w:firstLine="480"/>
        <w:rPr>
          <w:rFonts w:ascii="宋体" w:hAnsi="宋体"/>
          <w:sz w:val="24"/>
          <w:highlight w:val="none"/>
        </w:rPr>
      </w:pPr>
      <w:r>
        <w:rPr>
          <w:rFonts w:hint="eastAsia" w:ascii="宋体" w:hAnsi="宋体"/>
          <w:sz w:val="24"/>
          <w:highlight w:val="none"/>
        </w:rPr>
        <w:t>4、抗震设防类别按现行《建筑工程抗震设防分类标准》GB50223取值；抗震设防烈度、地震加速度、设计地震分组按现行《建筑抗震设计规范》GB50011并综合考虑地安评报告（若有）确定；设计特征周期、建筑场地类别按地勘报告确定。</w:t>
      </w:r>
    </w:p>
    <w:p w14:paraId="7F77E783">
      <w:pPr>
        <w:pStyle w:val="7"/>
        <w:spacing w:line="360" w:lineRule="auto"/>
        <w:ind w:firstLine="480"/>
        <w:rPr>
          <w:rFonts w:ascii="宋体" w:hAnsi="宋体"/>
          <w:sz w:val="24"/>
          <w:highlight w:val="none"/>
        </w:rPr>
      </w:pPr>
      <w:r>
        <w:rPr>
          <w:rFonts w:hint="eastAsia" w:ascii="宋体" w:hAnsi="宋体"/>
          <w:sz w:val="24"/>
          <w:highlight w:val="none"/>
        </w:rPr>
        <w:t>5、结构设计应充分考虑广州地区建筑物抗震设防的特点，选择对抗震有利的结构体系，力求受力合理、安全可靠、舒适环保、节能、美观、经济耐用。建筑结构材料合理采用高性能混凝土、高强度钢。</w:t>
      </w:r>
    </w:p>
    <w:p w14:paraId="1C4D7999">
      <w:pPr>
        <w:pStyle w:val="7"/>
        <w:spacing w:line="360" w:lineRule="auto"/>
        <w:ind w:firstLine="480"/>
        <w:rPr>
          <w:rFonts w:ascii="宋体" w:hAnsi="宋体"/>
          <w:sz w:val="24"/>
          <w:highlight w:val="none"/>
        </w:rPr>
      </w:pPr>
      <w:r>
        <w:rPr>
          <w:rFonts w:hint="eastAsia" w:ascii="宋体" w:hAnsi="宋体"/>
          <w:sz w:val="24"/>
          <w:highlight w:val="none"/>
        </w:rPr>
        <w:t>6、防空地下室的设防等级与规模应符合民防主管部门的批复文件。</w:t>
      </w:r>
    </w:p>
    <w:p w14:paraId="1B180498">
      <w:pPr>
        <w:pStyle w:val="7"/>
        <w:spacing w:line="360" w:lineRule="auto"/>
        <w:ind w:firstLine="480"/>
        <w:rPr>
          <w:rFonts w:ascii="宋体" w:hAnsi="宋体"/>
          <w:sz w:val="24"/>
          <w:highlight w:val="none"/>
        </w:rPr>
      </w:pPr>
      <w:r>
        <w:rPr>
          <w:rFonts w:hint="eastAsia" w:ascii="宋体" w:hAnsi="宋体"/>
          <w:sz w:val="24"/>
          <w:highlight w:val="none"/>
        </w:rPr>
        <w:t>7、结构设计应阐述对特殊施工条件及验收标准的要求。</w:t>
      </w:r>
    </w:p>
    <w:p w14:paraId="485B5C3A">
      <w:pPr>
        <w:pStyle w:val="7"/>
        <w:spacing w:line="360" w:lineRule="auto"/>
        <w:ind w:firstLine="480"/>
        <w:rPr>
          <w:rFonts w:ascii="宋体" w:hAnsi="宋体"/>
          <w:sz w:val="24"/>
          <w:highlight w:val="none"/>
        </w:rPr>
      </w:pPr>
      <w:r>
        <w:rPr>
          <w:rFonts w:hint="eastAsia" w:ascii="宋体" w:hAnsi="宋体"/>
          <w:sz w:val="24"/>
          <w:highlight w:val="none"/>
        </w:rPr>
        <w:t>8、在确保工程质量与安全，对工期和工程造价影响不大的前提下，结构设计应积极采用和推广成熟的新结构、新技术、新材料和新工艺。</w:t>
      </w:r>
    </w:p>
    <w:p w14:paraId="7826EBE5">
      <w:pPr>
        <w:pStyle w:val="7"/>
        <w:spacing w:line="360" w:lineRule="auto"/>
        <w:ind w:firstLine="480"/>
        <w:rPr>
          <w:rFonts w:ascii="宋体" w:hAnsi="宋体"/>
          <w:sz w:val="24"/>
          <w:highlight w:val="none"/>
        </w:rPr>
      </w:pPr>
      <w:r>
        <w:rPr>
          <w:rFonts w:hint="eastAsia" w:ascii="宋体" w:hAnsi="宋体"/>
          <w:sz w:val="24"/>
          <w:highlight w:val="none"/>
        </w:rPr>
        <w:t>9、进行结构计算时，所使用的软件应通过有关部门的鉴定，计算软件的技术条件应符合现行工程建设标准的规定。当结构体系复杂时，结构分析采用不少于两个不同的力学模型的软件进行计算，并对其计算结果分析比较，确认合理有效后方可用于工程设计。</w:t>
      </w:r>
    </w:p>
    <w:p w14:paraId="7D32C77A">
      <w:pPr>
        <w:pStyle w:val="7"/>
        <w:spacing w:line="360" w:lineRule="auto"/>
        <w:ind w:firstLine="480"/>
        <w:rPr>
          <w:rFonts w:ascii="宋体" w:hAnsi="宋体"/>
          <w:sz w:val="24"/>
          <w:highlight w:val="none"/>
        </w:rPr>
      </w:pPr>
      <w:r>
        <w:rPr>
          <w:rFonts w:hint="eastAsia" w:ascii="宋体" w:hAnsi="宋体"/>
          <w:sz w:val="24"/>
          <w:highlight w:val="none"/>
        </w:rPr>
        <w:t>10、对于复杂结构，如转换层、大悬臂等应进行必要的有限元分析。</w:t>
      </w:r>
    </w:p>
    <w:p w14:paraId="17DF3BDC">
      <w:pPr>
        <w:pStyle w:val="7"/>
        <w:spacing w:line="360" w:lineRule="auto"/>
        <w:ind w:firstLine="480"/>
        <w:rPr>
          <w:rFonts w:ascii="宋体" w:hAnsi="宋体"/>
          <w:sz w:val="24"/>
          <w:highlight w:val="none"/>
        </w:rPr>
      </w:pPr>
      <w:r>
        <w:rPr>
          <w:rFonts w:hint="eastAsia" w:ascii="宋体" w:hAnsi="宋体"/>
          <w:sz w:val="24"/>
          <w:highlight w:val="none"/>
        </w:rPr>
        <w:t>11、结构上应考虑基础地基，基础设计等级为甲级。基础设计必须根据审查合格的工程地质详细勘察报告和物探报告进行。基础选型应根据工程地质和水文条件、建筑体型、荷载分布情况、施工条件，选择经济合理的基础形式。且需配合业主要求完成2～3个带成本测算的基础设计方案，并制作汇报PPT，经过论证后确定适合项目的基础方案及结构抗浮方案。</w:t>
      </w:r>
    </w:p>
    <w:p w14:paraId="3D6471A6">
      <w:pPr>
        <w:pStyle w:val="7"/>
        <w:spacing w:line="360" w:lineRule="auto"/>
        <w:ind w:firstLine="480"/>
        <w:rPr>
          <w:rFonts w:ascii="宋体" w:hAnsi="宋体"/>
          <w:sz w:val="24"/>
          <w:highlight w:val="none"/>
        </w:rPr>
      </w:pPr>
      <w:r>
        <w:rPr>
          <w:rFonts w:hint="eastAsia" w:ascii="宋体" w:hAnsi="宋体"/>
          <w:sz w:val="24"/>
          <w:highlight w:val="none"/>
        </w:rPr>
        <w:t>12、在设计选材时考虑材料的可循环使用性能。</w:t>
      </w:r>
    </w:p>
    <w:p w14:paraId="7F18EF5B">
      <w:pPr>
        <w:pStyle w:val="7"/>
        <w:spacing w:line="360" w:lineRule="auto"/>
        <w:ind w:firstLine="480"/>
        <w:rPr>
          <w:rFonts w:ascii="宋体" w:hAnsi="宋体"/>
          <w:sz w:val="24"/>
          <w:highlight w:val="none"/>
        </w:rPr>
      </w:pPr>
      <w:r>
        <w:rPr>
          <w:rFonts w:hint="eastAsia" w:ascii="宋体" w:hAnsi="宋体"/>
          <w:sz w:val="24"/>
          <w:highlight w:val="none"/>
        </w:rPr>
        <w:t>13、新型结构或材料应进行试验或振动台试验进行验证。</w:t>
      </w:r>
    </w:p>
    <w:p w14:paraId="47DA9657">
      <w:pPr>
        <w:pStyle w:val="7"/>
        <w:spacing w:line="360" w:lineRule="auto"/>
        <w:ind w:firstLine="480"/>
        <w:rPr>
          <w:rFonts w:ascii="宋体" w:hAnsi="宋体"/>
          <w:sz w:val="24"/>
          <w:highlight w:val="none"/>
        </w:rPr>
      </w:pPr>
      <w:r>
        <w:rPr>
          <w:rFonts w:hint="eastAsia" w:ascii="宋体" w:hAnsi="宋体"/>
          <w:sz w:val="24"/>
          <w:highlight w:val="none"/>
        </w:rPr>
        <w:t>14、如有需要，应配合进行超限建筑工程抗震设防专项审查。</w:t>
      </w:r>
    </w:p>
    <w:p w14:paraId="70F70F47">
      <w:pPr>
        <w:pStyle w:val="7"/>
        <w:spacing w:line="360" w:lineRule="auto"/>
        <w:ind w:firstLine="480"/>
        <w:rPr>
          <w:rFonts w:ascii="宋体" w:hAnsi="宋体"/>
          <w:sz w:val="24"/>
          <w:highlight w:val="none"/>
        </w:rPr>
      </w:pPr>
      <w:r>
        <w:rPr>
          <w:rFonts w:hint="eastAsia" w:ascii="宋体" w:hAnsi="宋体"/>
          <w:sz w:val="24"/>
          <w:highlight w:val="none"/>
        </w:rPr>
        <w:t>15、选型设计及施工时尽量减少对周围环境的影响。</w:t>
      </w:r>
    </w:p>
    <w:p w14:paraId="1479F6BB">
      <w:pPr>
        <w:pStyle w:val="7"/>
        <w:spacing w:line="360" w:lineRule="auto"/>
        <w:ind w:firstLine="480"/>
        <w:rPr>
          <w:rFonts w:ascii="宋体" w:hAnsi="宋体"/>
          <w:sz w:val="24"/>
          <w:highlight w:val="none"/>
        </w:rPr>
      </w:pPr>
      <w:r>
        <w:rPr>
          <w:rFonts w:hint="eastAsia" w:ascii="宋体" w:hAnsi="宋体"/>
          <w:sz w:val="24"/>
          <w:highlight w:val="none"/>
        </w:rPr>
        <w:t>4</w:t>
      </w:r>
      <w:r>
        <w:rPr>
          <w:rFonts w:ascii="宋体" w:hAnsi="宋体"/>
          <w:sz w:val="24"/>
          <w:highlight w:val="none"/>
        </w:rPr>
        <w:t>.3.5</w:t>
      </w:r>
      <w:r>
        <w:rPr>
          <w:rFonts w:hint="eastAsia" w:ascii="宋体" w:hAnsi="宋体"/>
          <w:sz w:val="24"/>
          <w:highlight w:val="none"/>
        </w:rPr>
        <w:t>电气设计</w:t>
      </w:r>
    </w:p>
    <w:p w14:paraId="396F0F60">
      <w:pPr>
        <w:pStyle w:val="7"/>
        <w:spacing w:line="360" w:lineRule="auto"/>
        <w:ind w:firstLine="480"/>
        <w:rPr>
          <w:rFonts w:ascii="宋体" w:hAnsi="宋体"/>
          <w:sz w:val="24"/>
          <w:highlight w:val="none"/>
        </w:rPr>
      </w:pPr>
      <w:r>
        <w:rPr>
          <w:rFonts w:hint="eastAsia" w:ascii="宋体" w:hAnsi="宋体"/>
          <w:sz w:val="24"/>
          <w:highlight w:val="none"/>
        </w:rPr>
        <w:t>包括但不限于高低压变配电系统、动力配电系统、照明配电系统、消防应急照明和疏散指示系统、火灾自动报警系统、电气火灾监控系统、防雷及接地系统、景观道路照明工程等。</w:t>
      </w:r>
    </w:p>
    <w:p w14:paraId="7E0A1B4C">
      <w:pPr>
        <w:pStyle w:val="7"/>
        <w:spacing w:line="360" w:lineRule="auto"/>
        <w:ind w:firstLine="480"/>
        <w:rPr>
          <w:rFonts w:ascii="宋体" w:hAnsi="宋体"/>
          <w:sz w:val="24"/>
          <w:highlight w:val="none"/>
        </w:rPr>
      </w:pPr>
      <w:r>
        <w:rPr>
          <w:rFonts w:hint="eastAsia" w:ascii="宋体" w:hAnsi="宋体"/>
          <w:sz w:val="24"/>
          <w:highlight w:val="none"/>
        </w:rPr>
        <w:t>1、设计说明和施工图应完整；设计说明中要列出各用电的负荷等级（供配电设计依据）。</w:t>
      </w:r>
    </w:p>
    <w:p w14:paraId="2F5E57FF">
      <w:pPr>
        <w:pStyle w:val="7"/>
        <w:spacing w:line="360" w:lineRule="auto"/>
        <w:ind w:firstLine="480"/>
        <w:rPr>
          <w:rFonts w:ascii="宋体" w:hAnsi="宋体"/>
          <w:sz w:val="24"/>
          <w:highlight w:val="none"/>
        </w:rPr>
      </w:pPr>
      <w:r>
        <w:rPr>
          <w:rFonts w:hint="eastAsia" w:ascii="宋体" w:hAnsi="宋体"/>
          <w:sz w:val="24"/>
          <w:highlight w:val="none"/>
        </w:rPr>
        <w:t>2、工程总负荷计算和分路负荷计算：供、配电系统的设计中，须标注出装机容量、平均功率因数、需用系数、计算容量、计算电流，供电负荷计算电流及其供电回路短路容量校验是断路器及电缆的设计依据。应在设计图纸交付审核时，提供负荷计算书及必要短路校验和电压降计算。（变电所出线的25mm2及以下电缆回路应进行短路校验）。</w:t>
      </w:r>
    </w:p>
    <w:p w14:paraId="3A45EC3E">
      <w:pPr>
        <w:pStyle w:val="7"/>
        <w:spacing w:line="360" w:lineRule="auto"/>
        <w:ind w:firstLine="480"/>
        <w:rPr>
          <w:rFonts w:ascii="宋体" w:hAnsi="宋体"/>
          <w:sz w:val="24"/>
          <w:highlight w:val="none"/>
        </w:rPr>
      </w:pPr>
      <w:r>
        <w:rPr>
          <w:rFonts w:hint="eastAsia" w:ascii="宋体" w:hAnsi="宋体"/>
          <w:sz w:val="24"/>
          <w:highlight w:val="none"/>
        </w:rPr>
        <w:t>3、电缆沟、电缆桥架内电缆应标注回路编号；主电缆沟、主干电缆桥架应有剖面图，表示线缆在电缆沟、电缆桥架内敷设情况。</w:t>
      </w:r>
    </w:p>
    <w:p w14:paraId="742710F0">
      <w:pPr>
        <w:pStyle w:val="7"/>
        <w:spacing w:line="360" w:lineRule="auto"/>
        <w:ind w:firstLine="480"/>
        <w:rPr>
          <w:rFonts w:ascii="宋体" w:hAnsi="宋体"/>
          <w:sz w:val="24"/>
          <w:highlight w:val="none"/>
        </w:rPr>
      </w:pPr>
      <w:r>
        <w:rPr>
          <w:rFonts w:hint="eastAsia" w:ascii="宋体" w:hAnsi="宋体"/>
          <w:sz w:val="24"/>
          <w:highlight w:val="none"/>
        </w:rPr>
        <w:t>4、末端配电系统应详细注明用途和容量；例如百货变配电室照明，地下车库排风机等。配电箱、盘（包括预留）符号或代号标注应有文字及图例说明。</w:t>
      </w:r>
    </w:p>
    <w:p w14:paraId="5E74B698">
      <w:pPr>
        <w:pStyle w:val="7"/>
        <w:spacing w:line="360" w:lineRule="auto"/>
        <w:ind w:firstLine="480"/>
        <w:rPr>
          <w:rFonts w:ascii="宋体" w:hAnsi="宋体"/>
          <w:sz w:val="24"/>
          <w:highlight w:val="none"/>
        </w:rPr>
      </w:pPr>
      <w:r>
        <w:rPr>
          <w:rFonts w:hint="eastAsia" w:ascii="宋体" w:hAnsi="宋体"/>
          <w:sz w:val="24"/>
          <w:highlight w:val="none"/>
        </w:rPr>
        <w:t>5、配电箱、盘应提供外形及安装参考尺寸（mm）。重要设备及主要安装场所如电气竖井应提供安装大样图。嵌墙安装的配电箱应提供安装高度及预留洞口尺寸。</w:t>
      </w:r>
    </w:p>
    <w:p w14:paraId="7C4C9A32">
      <w:pPr>
        <w:pStyle w:val="7"/>
        <w:spacing w:line="360" w:lineRule="auto"/>
        <w:ind w:firstLine="480"/>
        <w:rPr>
          <w:rFonts w:ascii="宋体" w:hAnsi="宋体"/>
          <w:sz w:val="24"/>
          <w:highlight w:val="none"/>
        </w:rPr>
      </w:pPr>
      <w:r>
        <w:rPr>
          <w:rFonts w:hint="eastAsia" w:ascii="宋体" w:hAnsi="宋体"/>
          <w:sz w:val="24"/>
          <w:highlight w:val="none"/>
        </w:rPr>
        <w:t>6、应按《建设工程质量管理条例》第二十二条注明设备规格、型号、性能等技术参数与数量，但不得指定制造商和供应商，不得使用淘汰产品，一般情况下，设计中对低压断路器不得标注具体型号。对0.4kV低压断路器的表示为：ACB—框架断路器MCCB—塑壳断路器、MCB—微型断路器、ATS—PC级双电源切换装置、RCB—带剩余电流保护的断路器。</w:t>
      </w:r>
    </w:p>
    <w:p w14:paraId="353E25E6">
      <w:pPr>
        <w:pStyle w:val="7"/>
        <w:spacing w:line="360" w:lineRule="auto"/>
        <w:ind w:firstLine="480"/>
        <w:rPr>
          <w:rFonts w:ascii="宋体" w:hAnsi="宋体"/>
          <w:sz w:val="24"/>
          <w:highlight w:val="none"/>
        </w:rPr>
      </w:pPr>
      <w:r>
        <w:rPr>
          <w:rFonts w:hint="eastAsia" w:ascii="宋体" w:hAnsi="宋体"/>
          <w:sz w:val="24"/>
          <w:highlight w:val="none"/>
        </w:rPr>
        <w:t>7、0.4kV配电系统中，凡电动操作的断路器，设计中需注明“电动操作”（或以带说明的符号来表示）；未加注明者均视为手动操作。</w:t>
      </w:r>
    </w:p>
    <w:p w14:paraId="66AD533A">
      <w:pPr>
        <w:pStyle w:val="7"/>
        <w:spacing w:line="360" w:lineRule="auto"/>
        <w:ind w:firstLine="480"/>
        <w:rPr>
          <w:rFonts w:ascii="宋体" w:hAnsi="宋体"/>
          <w:sz w:val="24"/>
          <w:highlight w:val="none"/>
        </w:rPr>
      </w:pPr>
      <w:r>
        <w:rPr>
          <w:rFonts w:hint="eastAsia" w:ascii="宋体" w:hAnsi="宋体"/>
          <w:sz w:val="24"/>
          <w:highlight w:val="none"/>
        </w:rPr>
        <w:t>8、设计中应详细给出断路器等配电柜、箱内主要元器件的主要技术参数及相关整定值，明确变压器、发电机组或其他应急电源设备主要技术参数；明确高、低压配电柜母排等主要技术参数。对在设计中有连锁等方面控制要求的设备，应提供设计要求。</w:t>
      </w:r>
    </w:p>
    <w:p w14:paraId="3E772A0A">
      <w:pPr>
        <w:pStyle w:val="7"/>
        <w:spacing w:line="360" w:lineRule="auto"/>
        <w:ind w:firstLine="480"/>
        <w:rPr>
          <w:rFonts w:ascii="宋体" w:hAnsi="宋体"/>
          <w:sz w:val="24"/>
          <w:highlight w:val="none"/>
        </w:rPr>
      </w:pPr>
      <w:r>
        <w:rPr>
          <w:rFonts w:hint="eastAsia" w:ascii="宋体" w:hAnsi="宋体"/>
          <w:sz w:val="24"/>
          <w:highlight w:val="none"/>
        </w:rPr>
        <w:t>9、对设计中阻燃及耐火电缆的标示：采用最新实施的规范中推荐的方式。</w:t>
      </w:r>
    </w:p>
    <w:p w14:paraId="6DA3E6F8">
      <w:pPr>
        <w:pStyle w:val="7"/>
        <w:spacing w:line="360" w:lineRule="auto"/>
        <w:ind w:firstLine="480"/>
        <w:rPr>
          <w:rFonts w:ascii="宋体" w:hAnsi="宋体"/>
          <w:sz w:val="24"/>
          <w:highlight w:val="none"/>
        </w:rPr>
      </w:pPr>
      <w:r>
        <w:rPr>
          <w:rFonts w:hint="eastAsia" w:ascii="宋体" w:hAnsi="宋体"/>
          <w:sz w:val="24"/>
          <w:highlight w:val="none"/>
        </w:rPr>
        <w:t>10、建筑物防雷接地设计应提供小比例总体引下线布置图。</w:t>
      </w:r>
    </w:p>
    <w:p w14:paraId="0DB21BDC">
      <w:pPr>
        <w:pStyle w:val="7"/>
        <w:spacing w:line="360" w:lineRule="auto"/>
        <w:ind w:firstLine="480"/>
        <w:rPr>
          <w:rFonts w:ascii="宋体" w:hAnsi="宋体"/>
          <w:sz w:val="24"/>
          <w:highlight w:val="none"/>
        </w:rPr>
      </w:pPr>
      <w:r>
        <w:rPr>
          <w:rFonts w:hint="eastAsia" w:ascii="宋体" w:hAnsi="宋体"/>
          <w:sz w:val="24"/>
          <w:highlight w:val="none"/>
        </w:rPr>
        <w:t>11、应采用适宜的照明设备，高效节能。</w:t>
      </w:r>
    </w:p>
    <w:p w14:paraId="07DC558D">
      <w:pPr>
        <w:pStyle w:val="7"/>
        <w:spacing w:line="360" w:lineRule="auto"/>
        <w:ind w:firstLine="480"/>
        <w:rPr>
          <w:rFonts w:ascii="宋体" w:hAnsi="宋体"/>
          <w:sz w:val="24"/>
          <w:highlight w:val="none"/>
        </w:rPr>
      </w:pPr>
      <w:r>
        <w:rPr>
          <w:rFonts w:hint="eastAsia" w:ascii="宋体" w:hAnsi="宋体"/>
          <w:sz w:val="24"/>
          <w:highlight w:val="none"/>
        </w:rPr>
        <w:t>4</w:t>
      </w:r>
      <w:r>
        <w:rPr>
          <w:rFonts w:ascii="宋体" w:hAnsi="宋体"/>
          <w:sz w:val="24"/>
          <w:highlight w:val="none"/>
        </w:rPr>
        <w:t>.3.6</w:t>
      </w:r>
      <w:r>
        <w:rPr>
          <w:rFonts w:hint="eastAsia" w:ascii="宋体" w:hAnsi="宋体"/>
          <w:sz w:val="24"/>
          <w:highlight w:val="none"/>
        </w:rPr>
        <w:t>建筑智能化设计</w:t>
      </w:r>
    </w:p>
    <w:p w14:paraId="2B24027C">
      <w:pPr>
        <w:pStyle w:val="7"/>
        <w:spacing w:line="360" w:lineRule="auto"/>
        <w:ind w:firstLine="480"/>
        <w:rPr>
          <w:rFonts w:ascii="宋体" w:hAnsi="宋体"/>
          <w:sz w:val="24"/>
          <w:highlight w:val="none"/>
        </w:rPr>
      </w:pPr>
      <w:r>
        <w:rPr>
          <w:rFonts w:hint="eastAsia" w:ascii="宋体" w:hAnsi="宋体"/>
          <w:sz w:val="24"/>
          <w:highlight w:val="none"/>
        </w:rPr>
        <w:t>建筑智能化各子系统的设计应保证为当时先进、成熟的技术。各子系统在设计时，应充分考虑其兼容性、扩展性和先进性。合理安排竖井及中央控制机构位置及结构。本项目所有智能化系统设计内容，包括但不限于以下系统：</w:t>
      </w:r>
    </w:p>
    <w:p w14:paraId="6ECEC88A">
      <w:pPr>
        <w:pStyle w:val="7"/>
        <w:spacing w:line="360" w:lineRule="auto"/>
        <w:ind w:firstLine="480"/>
        <w:rPr>
          <w:rFonts w:ascii="宋体" w:hAnsi="宋体"/>
          <w:sz w:val="24"/>
          <w:highlight w:val="none"/>
        </w:rPr>
      </w:pPr>
      <w:r>
        <w:rPr>
          <w:rFonts w:hint="eastAsia" w:ascii="宋体" w:hAnsi="宋体"/>
          <w:sz w:val="24"/>
          <w:highlight w:val="none"/>
        </w:rPr>
        <w:t>1、信息网络系统包括：计算机网络系统、语音（电话）网络系统、综合布线系统、有线电视及卫星电视接收系统、公共广播系统、信息发布（含大屏幕电子公告）及导引系统等。</w:t>
      </w:r>
    </w:p>
    <w:p w14:paraId="7B75D557">
      <w:pPr>
        <w:pStyle w:val="7"/>
        <w:spacing w:line="360" w:lineRule="auto"/>
        <w:ind w:firstLine="480"/>
        <w:rPr>
          <w:rFonts w:ascii="宋体" w:hAnsi="宋体"/>
          <w:sz w:val="24"/>
          <w:highlight w:val="none"/>
        </w:rPr>
      </w:pPr>
      <w:r>
        <w:rPr>
          <w:rFonts w:hint="eastAsia" w:ascii="宋体" w:hAnsi="宋体"/>
          <w:sz w:val="24"/>
          <w:highlight w:val="none"/>
        </w:rPr>
        <w:t>2、建筑设备监控系统：设置设备监控系统，对其内部的动力、电力、空调、照明（空调和照明采用物联网的技术，感知环境状态和人流状态，实现自动控制）、给排水、电梯、停车库等机电设备进行监视、控制、协调、运行管理。</w:t>
      </w:r>
    </w:p>
    <w:p w14:paraId="508A2618">
      <w:pPr>
        <w:pStyle w:val="7"/>
        <w:spacing w:line="360" w:lineRule="auto"/>
        <w:ind w:firstLine="480"/>
        <w:rPr>
          <w:rFonts w:ascii="宋体" w:hAnsi="宋体"/>
          <w:sz w:val="24"/>
          <w:highlight w:val="none"/>
        </w:rPr>
      </w:pPr>
      <w:r>
        <w:rPr>
          <w:rFonts w:hint="eastAsia" w:ascii="宋体" w:hAnsi="宋体"/>
          <w:sz w:val="24"/>
          <w:highlight w:val="none"/>
        </w:rPr>
        <w:t>3、安全防范系统包括：入侵报警系统、视频监控系统、出入口控制系统、电子巡更系统、停车场管理系统（含智能引导及反向寻车等智慧停车系统）、智能卡系统、访客管理系统、导向标识系统、安全防范系统集成（设计范围内的所有建筑、公众区域、停车场、出入口通道等区域的安保设计）。</w:t>
      </w:r>
    </w:p>
    <w:p w14:paraId="56899B95">
      <w:pPr>
        <w:pStyle w:val="7"/>
        <w:spacing w:line="360" w:lineRule="auto"/>
        <w:ind w:firstLine="480"/>
        <w:rPr>
          <w:rFonts w:ascii="宋体" w:hAnsi="宋体"/>
          <w:sz w:val="24"/>
          <w:highlight w:val="none"/>
        </w:rPr>
      </w:pPr>
      <w:r>
        <w:rPr>
          <w:rFonts w:hint="eastAsia" w:ascii="宋体" w:hAnsi="宋体"/>
          <w:sz w:val="24"/>
          <w:highlight w:val="none"/>
        </w:rPr>
        <w:t>4、火灾自动报警系统（包括：手动、自动报警系统、联动控制系统、紧急广播系统）</w:t>
      </w:r>
    </w:p>
    <w:p w14:paraId="4CD8710B">
      <w:pPr>
        <w:pStyle w:val="7"/>
        <w:spacing w:line="360" w:lineRule="auto"/>
        <w:ind w:firstLine="480"/>
        <w:rPr>
          <w:rFonts w:ascii="宋体" w:hAnsi="宋体"/>
          <w:sz w:val="24"/>
          <w:highlight w:val="none"/>
        </w:rPr>
      </w:pPr>
      <w:r>
        <w:rPr>
          <w:rFonts w:hint="eastAsia" w:ascii="宋体" w:hAnsi="宋体"/>
          <w:sz w:val="24"/>
          <w:highlight w:val="none"/>
        </w:rPr>
        <w:t>5、智能化系统集成</w:t>
      </w:r>
    </w:p>
    <w:p w14:paraId="2AD2A094">
      <w:pPr>
        <w:pStyle w:val="7"/>
        <w:spacing w:line="360" w:lineRule="auto"/>
        <w:ind w:firstLine="480"/>
        <w:rPr>
          <w:rFonts w:ascii="宋体" w:hAnsi="宋体"/>
          <w:sz w:val="24"/>
          <w:highlight w:val="none"/>
        </w:rPr>
      </w:pPr>
      <w:r>
        <w:rPr>
          <w:rFonts w:hint="eastAsia" w:ascii="宋体" w:hAnsi="宋体"/>
          <w:sz w:val="24"/>
          <w:highlight w:val="none"/>
        </w:rPr>
        <w:t>6、智能化系统防雷</w:t>
      </w:r>
    </w:p>
    <w:p w14:paraId="46A5D3C2">
      <w:pPr>
        <w:pStyle w:val="7"/>
        <w:spacing w:line="360" w:lineRule="auto"/>
        <w:ind w:firstLine="480"/>
        <w:rPr>
          <w:rFonts w:ascii="宋体" w:hAnsi="宋体"/>
          <w:sz w:val="24"/>
          <w:highlight w:val="none"/>
        </w:rPr>
      </w:pPr>
      <w:r>
        <w:rPr>
          <w:rFonts w:hint="eastAsia" w:ascii="宋体" w:hAnsi="宋体"/>
          <w:sz w:val="24"/>
          <w:highlight w:val="none"/>
        </w:rPr>
        <w:t>7、机房工程</w:t>
      </w:r>
    </w:p>
    <w:p w14:paraId="0673D5DE">
      <w:pPr>
        <w:pStyle w:val="7"/>
        <w:spacing w:line="360" w:lineRule="auto"/>
        <w:ind w:firstLine="480"/>
        <w:rPr>
          <w:rFonts w:ascii="宋体" w:hAnsi="宋体"/>
          <w:sz w:val="24"/>
          <w:highlight w:val="none"/>
        </w:rPr>
      </w:pPr>
      <w:r>
        <w:rPr>
          <w:rFonts w:hint="eastAsia" w:ascii="宋体" w:hAnsi="宋体"/>
          <w:sz w:val="24"/>
          <w:highlight w:val="none"/>
        </w:rPr>
        <w:t>8、能源分项计量及监控</w:t>
      </w:r>
    </w:p>
    <w:p w14:paraId="12489F00">
      <w:pPr>
        <w:pStyle w:val="7"/>
        <w:spacing w:line="360" w:lineRule="auto"/>
        <w:ind w:firstLine="480"/>
        <w:rPr>
          <w:rFonts w:ascii="宋体" w:hAnsi="宋体"/>
          <w:sz w:val="24"/>
          <w:highlight w:val="none"/>
        </w:rPr>
      </w:pPr>
      <w:r>
        <w:rPr>
          <w:rFonts w:hint="eastAsia" w:ascii="宋体" w:hAnsi="宋体"/>
          <w:sz w:val="24"/>
          <w:highlight w:val="none"/>
        </w:rPr>
        <w:t>9、监控中心</w:t>
      </w:r>
    </w:p>
    <w:p w14:paraId="6363E0A2">
      <w:pPr>
        <w:pStyle w:val="7"/>
        <w:spacing w:line="360" w:lineRule="auto"/>
        <w:ind w:firstLine="480"/>
        <w:rPr>
          <w:rFonts w:ascii="宋体" w:hAnsi="宋体"/>
          <w:sz w:val="24"/>
          <w:highlight w:val="none"/>
        </w:rPr>
      </w:pPr>
      <w:r>
        <w:rPr>
          <w:rFonts w:hint="eastAsia" w:ascii="宋体" w:hAnsi="宋体"/>
          <w:sz w:val="24"/>
          <w:highlight w:val="none"/>
        </w:rPr>
        <w:t>10、智能照明系统</w:t>
      </w:r>
    </w:p>
    <w:p w14:paraId="4A32AB1D">
      <w:pPr>
        <w:pStyle w:val="7"/>
        <w:spacing w:line="360" w:lineRule="auto"/>
        <w:ind w:firstLine="480"/>
        <w:rPr>
          <w:rFonts w:ascii="宋体" w:hAnsi="宋体"/>
          <w:sz w:val="24"/>
          <w:highlight w:val="none"/>
        </w:rPr>
      </w:pPr>
      <w:r>
        <w:rPr>
          <w:rFonts w:hint="eastAsia" w:ascii="宋体" w:hAnsi="宋体"/>
          <w:sz w:val="24"/>
          <w:highlight w:val="none"/>
        </w:rPr>
        <w:t>11、着重响应本项目的功能、交通配套设施的智能化设计</w:t>
      </w:r>
    </w:p>
    <w:p w14:paraId="1E84CE97">
      <w:pPr>
        <w:pStyle w:val="7"/>
        <w:spacing w:line="360" w:lineRule="auto"/>
        <w:ind w:firstLine="480"/>
        <w:rPr>
          <w:rFonts w:ascii="宋体" w:hAnsi="宋体"/>
          <w:sz w:val="24"/>
          <w:highlight w:val="none"/>
        </w:rPr>
      </w:pPr>
      <w:r>
        <w:rPr>
          <w:rFonts w:hint="eastAsia" w:ascii="宋体" w:hAnsi="宋体"/>
          <w:sz w:val="24"/>
          <w:highlight w:val="none"/>
        </w:rPr>
        <w:t>4</w:t>
      </w:r>
      <w:r>
        <w:rPr>
          <w:rFonts w:ascii="宋体" w:hAnsi="宋体"/>
          <w:sz w:val="24"/>
          <w:highlight w:val="none"/>
        </w:rPr>
        <w:t>.3.7</w:t>
      </w:r>
      <w:r>
        <w:rPr>
          <w:rFonts w:hint="eastAsia" w:ascii="宋体" w:hAnsi="宋体"/>
          <w:sz w:val="24"/>
          <w:highlight w:val="none"/>
        </w:rPr>
        <w:t>建筑给排水设计</w:t>
      </w:r>
    </w:p>
    <w:p w14:paraId="0F523E03">
      <w:pPr>
        <w:pStyle w:val="7"/>
        <w:spacing w:line="360" w:lineRule="auto"/>
        <w:ind w:firstLine="480"/>
        <w:rPr>
          <w:rFonts w:ascii="宋体" w:hAnsi="宋体"/>
          <w:sz w:val="24"/>
          <w:highlight w:val="none"/>
        </w:rPr>
      </w:pPr>
      <w:r>
        <w:rPr>
          <w:rFonts w:hint="eastAsia" w:ascii="宋体" w:hAnsi="宋体"/>
          <w:sz w:val="24"/>
          <w:highlight w:val="none"/>
        </w:rPr>
        <w:t>包括但不限于本项目用地范围内室内外给排水系统设计（建筑给水、中水、排水、热水系统等）、用地内与市政管道的接驳、路由等满足通水的所有设计、消防给水系统设计、气体消防设计等。</w:t>
      </w:r>
    </w:p>
    <w:p w14:paraId="53B5A917">
      <w:pPr>
        <w:pStyle w:val="7"/>
        <w:spacing w:line="360" w:lineRule="auto"/>
        <w:ind w:firstLine="480"/>
        <w:rPr>
          <w:rFonts w:ascii="宋体" w:hAnsi="宋体"/>
          <w:sz w:val="24"/>
          <w:highlight w:val="none"/>
        </w:rPr>
      </w:pPr>
      <w:r>
        <w:rPr>
          <w:rFonts w:hint="eastAsia" w:ascii="宋体" w:hAnsi="宋体"/>
          <w:sz w:val="24"/>
          <w:highlight w:val="none"/>
        </w:rPr>
        <w:t>1、建筑给水排水设计应设室内外给排水及消防给水系统，以满足生活、空调、冲洗道路和绿化、及消防用水的要求。</w:t>
      </w:r>
    </w:p>
    <w:p w14:paraId="69819AEE">
      <w:pPr>
        <w:pStyle w:val="7"/>
        <w:spacing w:line="360" w:lineRule="auto"/>
        <w:ind w:firstLine="480"/>
        <w:rPr>
          <w:rFonts w:ascii="宋体" w:hAnsi="宋体"/>
          <w:sz w:val="24"/>
          <w:highlight w:val="none"/>
        </w:rPr>
      </w:pPr>
      <w:r>
        <w:rPr>
          <w:rFonts w:hint="eastAsia" w:ascii="宋体" w:hAnsi="宋体"/>
          <w:sz w:val="24"/>
          <w:highlight w:val="none"/>
        </w:rPr>
        <w:t>2、在保障功能和经济性的条件下，尽可能使用可再生能源。</w:t>
      </w:r>
    </w:p>
    <w:p w14:paraId="08EA429F">
      <w:pPr>
        <w:pStyle w:val="7"/>
        <w:spacing w:line="360" w:lineRule="auto"/>
        <w:ind w:firstLine="480"/>
        <w:rPr>
          <w:rFonts w:hint="eastAsia" w:ascii="宋体" w:hAnsi="宋体" w:eastAsia="宋体"/>
          <w:sz w:val="24"/>
          <w:highlight w:val="none"/>
          <w:lang w:eastAsia="zh-CN"/>
        </w:rPr>
      </w:pPr>
      <w:r>
        <w:rPr>
          <w:rFonts w:hint="eastAsia" w:ascii="宋体" w:hAnsi="宋体"/>
          <w:sz w:val="24"/>
          <w:highlight w:val="none"/>
        </w:rPr>
        <w:t>3、根据城市排水体制，生活污水与雨水分系统排入市政污水管道与雨水管道，生活污水中的粪水经室外化粪池处理后排至市政污水管道，厨房餐饮污水经隔油处理达到《城市污水排放标准》后排至室外污水管道。</w:t>
      </w:r>
    </w:p>
    <w:p w14:paraId="780AE69F">
      <w:pPr>
        <w:pStyle w:val="7"/>
        <w:spacing w:line="360" w:lineRule="auto"/>
        <w:ind w:firstLine="480"/>
        <w:rPr>
          <w:rFonts w:ascii="宋体" w:hAnsi="宋体"/>
          <w:sz w:val="24"/>
          <w:highlight w:val="none"/>
        </w:rPr>
      </w:pPr>
      <w:r>
        <w:rPr>
          <w:rFonts w:hint="eastAsia" w:ascii="宋体" w:hAnsi="宋体"/>
          <w:sz w:val="24"/>
          <w:highlight w:val="none"/>
        </w:rPr>
        <w:t>4、采用节水型卫生器具。绿化灌溉宜采用滴灌、微灌、渗灌或管灌等节水浇灌方式，以满足绿色建筑设计要求。</w:t>
      </w:r>
    </w:p>
    <w:p w14:paraId="2A23A69F">
      <w:pPr>
        <w:pStyle w:val="7"/>
        <w:spacing w:line="360" w:lineRule="auto"/>
        <w:ind w:firstLine="480"/>
        <w:rPr>
          <w:rFonts w:ascii="宋体" w:hAnsi="宋体"/>
          <w:sz w:val="24"/>
          <w:highlight w:val="none"/>
        </w:rPr>
      </w:pPr>
      <w:r>
        <w:rPr>
          <w:rFonts w:hint="eastAsia" w:ascii="宋体" w:hAnsi="宋体"/>
          <w:sz w:val="24"/>
          <w:highlight w:val="none"/>
        </w:rPr>
        <w:t>5、建筑设备选型应考虑技术先进、维护方便、经济合理的原则；体现科技、环保、可持续发展的理念。</w:t>
      </w:r>
    </w:p>
    <w:p w14:paraId="714D3434">
      <w:pPr>
        <w:pStyle w:val="7"/>
        <w:spacing w:line="360" w:lineRule="auto"/>
        <w:ind w:firstLine="480"/>
        <w:rPr>
          <w:rFonts w:ascii="宋体" w:hAnsi="宋体"/>
          <w:sz w:val="24"/>
          <w:highlight w:val="none"/>
        </w:rPr>
      </w:pPr>
      <w:r>
        <w:rPr>
          <w:rFonts w:hint="eastAsia" w:ascii="宋体" w:hAnsi="宋体"/>
          <w:sz w:val="24"/>
          <w:highlight w:val="none"/>
        </w:rPr>
        <w:t>6、根据国家有关规范和广东省标准及所提供的资料对消防系统进行设计，包括但不限于室外消火栓系统、室内消火栓系统、自动喷水灭火系统、气体灭火系统和建筑灭火器配置等设计。</w:t>
      </w:r>
    </w:p>
    <w:p w14:paraId="32694E0E">
      <w:pPr>
        <w:pStyle w:val="7"/>
        <w:spacing w:line="360" w:lineRule="auto"/>
        <w:ind w:firstLine="480"/>
        <w:rPr>
          <w:rFonts w:ascii="宋体" w:hAnsi="宋体"/>
          <w:sz w:val="24"/>
          <w:highlight w:val="none"/>
        </w:rPr>
      </w:pPr>
      <w:r>
        <w:rPr>
          <w:rFonts w:hint="eastAsia" w:ascii="宋体" w:hAnsi="宋体"/>
          <w:sz w:val="24"/>
          <w:highlight w:val="none"/>
        </w:rPr>
        <w:t>4</w:t>
      </w:r>
      <w:r>
        <w:rPr>
          <w:rFonts w:ascii="宋体" w:hAnsi="宋体"/>
          <w:sz w:val="24"/>
          <w:highlight w:val="none"/>
        </w:rPr>
        <w:t>.3.8</w:t>
      </w:r>
      <w:r>
        <w:rPr>
          <w:rFonts w:hint="eastAsia" w:ascii="宋体" w:hAnsi="宋体"/>
          <w:sz w:val="24"/>
          <w:highlight w:val="none"/>
        </w:rPr>
        <w:t>暖通设计</w:t>
      </w:r>
    </w:p>
    <w:p w14:paraId="4B07AE4A">
      <w:pPr>
        <w:pStyle w:val="7"/>
        <w:spacing w:line="360" w:lineRule="auto"/>
        <w:ind w:firstLine="480"/>
        <w:rPr>
          <w:rFonts w:ascii="宋体" w:hAnsi="宋体"/>
          <w:sz w:val="24"/>
          <w:highlight w:val="none"/>
        </w:rPr>
      </w:pPr>
      <w:r>
        <w:rPr>
          <w:rFonts w:hint="eastAsia" w:ascii="宋体" w:hAnsi="宋体"/>
          <w:sz w:val="24"/>
          <w:highlight w:val="none"/>
        </w:rPr>
        <w:t>包括但不限于建筑物内部空气调节系统（含供冷供热、集中、半集中、分散等形式）、通风系统设计、防排烟系统、厨房排油烟及补风、燃气系统管道、热能动力（锅炉房、制冷站和换热站等动力站房）、减震降噪声学措施等。</w:t>
      </w:r>
    </w:p>
    <w:p w14:paraId="0C702154">
      <w:pPr>
        <w:pStyle w:val="7"/>
        <w:spacing w:line="360" w:lineRule="auto"/>
        <w:ind w:firstLine="480"/>
        <w:rPr>
          <w:rFonts w:ascii="宋体" w:hAnsi="宋体"/>
          <w:sz w:val="24"/>
          <w:highlight w:val="none"/>
        </w:rPr>
      </w:pPr>
      <w:r>
        <w:rPr>
          <w:rFonts w:hint="eastAsia" w:ascii="宋体" w:hAnsi="宋体"/>
          <w:sz w:val="24"/>
          <w:highlight w:val="none"/>
        </w:rPr>
        <w:t>1、采暖通风与空气调节设计应符合现行《民用建筑供暖通风与空气调节设计规范》（GB50736）的规定。</w:t>
      </w:r>
    </w:p>
    <w:p w14:paraId="0C4FB559">
      <w:pPr>
        <w:pStyle w:val="7"/>
        <w:spacing w:line="360" w:lineRule="auto"/>
        <w:ind w:firstLine="480"/>
        <w:rPr>
          <w:rFonts w:ascii="宋体" w:hAnsi="宋体"/>
          <w:sz w:val="24"/>
          <w:highlight w:val="none"/>
        </w:rPr>
      </w:pPr>
      <w:r>
        <w:rPr>
          <w:rFonts w:hint="eastAsia" w:ascii="宋体" w:hAnsi="宋体"/>
          <w:sz w:val="24"/>
          <w:highlight w:val="none"/>
        </w:rPr>
        <w:t>2、应结合不同区域的空间大小、使用特点进行设计，确保环保节能、使用灵活、计费方便。宜设置室内空气质量监控系统，保证健康舒适的室内环境。</w:t>
      </w:r>
    </w:p>
    <w:p w14:paraId="2168E3FA">
      <w:pPr>
        <w:pStyle w:val="7"/>
        <w:spacing w:line="360" w:lineRule="auto"/>
        <w:ind w:firstLine="480"/>
        <w:rPr>
          <w:rFonts w:ascii="宋体" w:hAnsi="宋体"/>
          <w:sz w:val="24"/>
          <w:highlight w:val="none"/>
        </w:rPr>
      </w:pPr>
      <w:r>
        <w:rPr>
          <w:rFonts w:hint="eastAsia" w:ascii="宋体" w:hAnsi="宋体"/>
          <w:sz w:val="24"/>
          <w:highlight w:val="none"/>
        </w:rPr>
        <w:t>3、根据《建筑工程设计文件编制深度》（2016年版）的规定，空调、制冷系统有自动监控时，绘制原理图，图中以图例绘出设备、传感器及执行器位置；说明控制要求和必要的控制参数。</w:t>
      </w:r>
    </w:p>
    <w:p w14:paraId="3D9B4962">
      <w:pPr>
        <w:pStyle w:val="7"/>
        <w:spacing w:line="360" w:lineRule="auto"/>
        <w:ind w:firstLine="480"/>
        <w:rPr>
          <w:rFonts w:ascii="宋体" w:hAnsi="宋体"/>
          <w:sz w:val="24"/>
          <w:highlight w:val="none"/>
        </w:rPr>
      </w:pPr>
      <w:r>
        <w:rPr>
          <w:rFonts w:hint="eastAsia" w:ascii="宋体" w:hAnsi="宋体"/>
          <w:sz w:val="24"/>
          <w:highlight w:val="none"/>
        </w:rPr>
        <w:t>4、根据《公共建筑节能设计标准》最新实施版的规定进行新风系统设计。</w:t>
      </w:r>
    </w:p>
    <w:p w14:paraId="24877DD9">
      <w:pPr>
        <w:pStyle w:val="7"/>
        <w:spacing w:line="360" w:lineRule="auto"/>
        <w:ind w:firstLine="480"/>
        <w:rPr>
          <w:rFonts w:ascii="宋体" w:hAnsi="宋体"/>
          <w:sz w:val="24"/>
          <w:highlight w:val="none"/>
        </w:rPr>
      </w:pPr>
      <w:r>
        <w:rPr>
          <w:rFonts w:hint="eastAsia" w:ascii="宋体" w:hAnsi="宋体"/>
          <w:sz w:val="24"/>
          <w:highlight w:val="none"/>
        </w:rPr>
        <w:t>5、根据《绿色建筑评价标准》（GB/T50378-2019）的规定进行分项计量设计。</w:t>
      </w:r>
    </w:p>
    <w:p w14:paraId="22E9294D">
      <w:pPr>
        <w:pStyle w:val="7"/>
        <w:spacing w:line="360" w:lineRule="auto"/>
        <w:ind w:firstLine="480"/>
        <w:rPr>
          <w:rFonts w:ascii="宋体" w:hAnsi="宋体"/>
          <w:sz w:val="24"/>
          <w:highlight w:val="none"/>
        </w:rPr>
      </w:pPr>
      <w:r>
        <w:rPr>
          <w:rFonts w:hint="eastAsia" w:ascii="宋体" w:hAnsi="宋体"/>
          <w:sz w:val="24"/>
          <w:highlight w:val="none"/>
        </w:rPr>
        <w:t>6、所有空调制冷设备、消防设备中的有关冷制剂不得采用对臭氧层破坏的物质，相关选材和型号应符合国家环保要求。</w:t>
      </w:r>
    </w:p>
    <w:p w14:paraId="5139B516">
      <w:pPr>
        <w:pStyle w:val="7"/>
        <w:spacing w:line="360" w:lineRule="auto"/>
        <w:ind w:firstLine="480"/>
        <w:rPr>
          <w:rFonts w:ascii="宋体" w:hAnsi="宋体"/>
          <w:sz w:val="24"/>
          <w:highlight w:val="none"/>
        </w:rPr>
      </w:pPr>
      <w:r>
        <w:rPr>
          <w:rFonts w:hint="eastAsia" w:ascii="宋体" w:hAnsi="宋体"/>
          <w:sz w:val="24"/>
          <w:highlight w:val="none"/>
        </w:rPr>
        <w:t>7、设备选型应考虑技术先进、维护方便、经济合理的原则；体现科技、环保、可持续发展的理念。</w:t>
      </w:r>
    </w:p>
    <w:p w14:paraId="7774CEEC">
      <w:pPr>
        <w:pStyle w:val="7"/>
        <w:spacing w:line="360" w:lineRule="auto"/>
        <w:ind w:firstLine="480"/>
        <w:rPr>
          <w:rFonts w:ascii="宋体" w:hAnsi="宋体"/>
          <w:sz w:val="24"/>
          <w:highlight w:val="none"/>
        </w:rPr>
      </w:pPr>
      <w:r>
        <w:rPr>
          <w:rFonts w:hint="eastAsia" w:ascii="宋体" w:hAnsi="宋体"/>
          <w:sz w:val="24"/>
          <w:highlight w:val="none"/>
        </w:rPr>
        <w:t>4</w:t>
      </w:r>
      <w:r>
        <w:rPr>
          <w:rFonts w:ascii="宋体" w:hAnsi="宋体"/>
          <w:sz w:val="24"/>
          <w:highlight w:val="none"/>
        </w:rPr>
        <w:t>.3.9</w:t>
      </w:r>
      <w:r>
        <w:rPr>
          <w:rFonts w:hint="eastAsia" w:ascii="宋体" w:hAnsi="宋体"/>
          <w:sz w:val="24"/>
          <w:highlight w:val="none"/>
        </w:rPr>
        <w:t>消防设计</w:t>
      </w:r>
    </w:p>
    <w:p w14:paraId="72F13389">
      <w:pPr>
        <w:pStyle w:val="7"/>
        <w:spacing w:line="360" w:lineRule="auto"/>
        <w:ind w:firstLine="480"/>
        <w:rPr>
          <w:rFonts w:ascii="宋体" w:hAnsi="宋体"/>
          <w:sz w:val="24"/>
          <w:highlight w:val="none"/>
        </w:rPr>
      </w:pPr>
      <w:r>
        <w:rPr>
          <w:rFonts w:hint="eastAsia" w:ascii="宋体" w:hAnsi="宋体"/>
          <w:sz w:val="24"/>
          <w:highlight w:val="none"/>
        </w:rPr>
        <w:t>1、建筑消防水池及消防泵房设在地下室，消防水泵房设甲级防火门并直通安全出口。</w:t>
      </w:r>
    </w:p>
    <w:p w14:paraId="7306D862">
      <w:pPr>
        <w:pStyle w:val="7"/>
        <w:spacing w:line="360" w:lineRule="auto"/>
        <w:ind w:firstLine="480"/>
        <w:rPr>
          <w:rFonts w:ascii="宋体" w:hAnsi="宋体"/>
          <w:sz w:val="24"/>
          <w:highlight w:val="none"/>
        </w:rPr>
      </w:pPr>
      <w:r>
        <w:rPr>
          <w:rFonts w:hint="eastAsia" w:ascii="宋体" w:hAnsi="宋体"/>
          <w:sz w:val="24"/>
          <w:highlight w:val="none"/>
        </w:rPr>
        <w:t>2、建筑物内走道、楼梯、安全出口宽度、安全出口数量及安全疏散距离均按消防有关规范设计。</w:t>
      </w:r>
    </w:p>
    <w:p w14:paraId="406D5347">
      <w:pPr>
        <w:pStyle w:val="7"/>
        <w:spacing w:line="360" w:lineRule="auto"/>
        <w:ind w:firstLine="480"/>
        <w:rPr>
          <w:rFonts w:ascii="宋体" w:hAnsi="宋体"/>
          <w:sz w:val="24"/>
          <w:highlight w:val="none"/>
        </w:rPr>
      </w:pPr>
      <w:r>
        <w:rPr>
          <w:rFonts w:hint="eastAsia" w:ascii="宋体" w:hAnsi="宋体"/>
          <w:sz w:val="24"/>
          <w:highlight w:val="none"/>
        </w:rPr>
        <w:t>3、各种构配件其燃烧性能及耐火极限均满足规范要求。防火卷帘、防火门窗等设备设施满足规范及消防部门要求即可，不得随意提高等级。</w:t>
      </w:r>
    </w:p>
    <w:p w14:paraId="75251682">
      <w:pPr>
        <w:pStyle w:val="7"/>
        <w:spacing w:line="360" w:lineRule="auto"/>
        <w:ind w:firstLine="480"/>
        <w:rPr>
          <w:rFonts w:ascii="宋体" w:hAnsi="宋体"/>
          <w:sz w:val="24"/>
          <w:highlight w:val="none"/>
        </w:rPr>
      </w:pPr>
      <w:r>
        <w:rPr>
          <w:rFonts w:hint="eastAsia" w:ascii="宋体" w:hAnsi="宋体"/>
          <w:sz w:val="24"/>
          <w:highlight w:val="none"/>
        </w:rPr>
        <w:t>4、消防设计应主动配合甲方与当地消防部门沟通，配合甲方进行性能化设计，并根据消防部门意见合理进行消防设计。</w:t>
      </w:r>
    </w:p>
    <w:p w14:paraId="3595B343">
      <w:pPr>
        <w:pStyle w:val="7"/>
        <w:spacing w:line="360" w:lineRule="auto"/>
        <w:ind w:firstLine="480"/>
        <w:rPr>
          <w:rFonts w:ascii="宋体" w:hAnsi="宋体"/>
          <w:sz w:val="24"/>
          <w:highlight w:val="none"/>
        </w:rPr>
      </w:pPr>
      <w:r>
        <w:rPr>
          <w:rFonts w:hint="eastAsia" w:ascii="宋体" w:hAnsi="宋体"/>
          <w:sz w:val="24"/>
          <w:highlight w:val="none"/>
        </w:rPr>
        <w:t>5、其余按照《建筑设计防火规范》GB50016-2014（2018版）及国家、地方等相关规范进行设计及施工配合。</w:t>
      </w:r>
    </w:p>
    <w:p w14:paraId="21145F86">
      <w:pPr>
        <w:pStyle w:val="7"/>
        <w:spacing w:line="360" w:lineRule="auto"/>
        <w:ind w:firstLine="480"/>
        <w:rPr>
          <w:rFonts w:ascii="宋体" w:hAnsi="宋体"/>
          <w:sz w:val="24"/>
          <w:highlight w:val="none"/>
        </w:rPr>
      </w:pPr>
      <w:r>
        <w:rPr>
          <w:rFonts w:hint="eastAsia" w:ascii="宋体" w:hAnsi="宋体"/>
          <w:sz w:val="24"/>
          <w:highlight w:val="none"/>
        </w:rPr>
        <w:t>4</w:t>
      </w:r>
      <w:r>
        <w:rPr>
          <w:rFonts w:ascii="宋体" w:hAnsi="宋体"/>
          <w:sz w:val="24"/>
          <w:highlight w:val="none"/>
        </w:rPr>
        <w:t>.3.10</w:t>
      </w:r>
      <w:r>
        <w:rPr>
          <w:rFonts w:hint="eastAsia" w:ascii="宋体" w:hAnsi="宋体"/>
          <w:sz w:val="24"/>
          <w:highlight w:val="none"/>
        </w:rPr>
        <w:t>景观环境空间设计</w:t>
      </w:r>
    </w:p>
    <w:p w14:paraId="36C336BE">
      <w:pPr>
        <w:pStyle w:val="7"/>
        <w:spacing w:line="360" w:lineRule="auto"/>
        <w:ind w:firstLine="480"/>
        <w:rPr>
          <w:rFonts w:ascii="宋体" w:hAnsi="宋体"/>
          <w:sz w:val="24"/>
          <w:highlight w:val="none"/>
        </w:rPr>
      </w:pPr>
      <w:r>
        <w:rPr>
          <w:rFonts w:hint="eastAsia" w:ascii="宋体" w:hAnsi="宋体"/>
          <w:sz w:val="24"/>
          <w:highlight w:val="none"/>
        </w:rPr>
        <w:t>景观环境设计应充分考虑周边现状不利因素，在地形地貌的基础上，结合项目的交通设计、场地设计，形成区域环境有特色。并根据绿色建筑建设的要求选择适宜当地气候和土壤条件的乡土植物，且采用包含乔木、灌木的复层绿化。便于后期管养。</w:t>
      </w:r>
    </w:p>
    <w:p w14:paraId="59C34605">
      <w:pPr>
        <w:pStyle w:val="7"/>
        <w:spacing w:line="360" w:lineRule="auto"/>
        <w:ind w:firstLine="480"/>
        <w:rPr>
          <w:rFonts w:ascii="宋体" w:hAnsi="宋体"/>
          <w:sz w:val="24"/>
          <w:highlight w:val="none"/>
        </w:rPr>
      </w:pPr>
      <w:r>
        <w:rPr>
          <w:rFonts w:hint="eastAsia" w:ascii="宋体" w:hAnsi="宋体"/>
          <w:sz w:val="24"/>
          <w:highlight w:val="none"/>
        </w:rPr>
        <w:t>4</w:t>
      </w:r>
      <w:r>
        <w:rPr>
          <w:rFonts w:ascii="宋体" w:hAnsi="宋体"/>
          <w:sz w:val="24"/>
          <w:highlight w:val="none"/>
        </w:rPr>
        <w:t>.3.11</w:t>
      </w:r>
      <w:r>
        <w:rPr>
          <w:rFonts w:hint="eastAsia" w:ascii="宋体" w:hAnsi="宋体"/>
          <w:sz w:val="24"/>
          <w:highlight w:val="none"/>
        </w:rPr>
        <w:t>泛光设计</w:t>
      </w:r>
    </w:p>
    <w:p w14:paraId="4D7AA4DD">
      <w:pPr>
        <w:pStyle w:val="7"/>
        <w:spacing w:line="360" w:lineRule="auto"/>
        <w:ind w:firstLine="480"/>
        <w:rPr>
          <w:rFonts w:ascii="宋体" w:hAnsi="宋体"/>
          <w:sz w:val="24"/>
          <w:highlight w:val="none"/>
        </w:rPr>
      </w:pPr>
      <w:r>
        <w:rPr>
          <w:rFonts w:hint="eastAsia" w:ascii="宋体" w:hAnsi="宋体"/>
          <w:sz w:val="24"/>
          <w:highlight w:val="none"/>
        </w:rPr>
        <w:t>设计应充分考虑地区城市风格定位，并符合广州市光控要求，充分考虑设计时所有的技术性问题，对土建施工图纸进行深化，并保证与幕墙的整体性能要求。泛光需凸显设计主题。</w:t>
      </w:r>
    </w:p>
    <w:p w14:paraId="3589BB7A">
      <w:pPr>
        <w:pStyle w:val="7"/>
        <w:spacing w:line="360" w:lineRule="auto"/>
        <w:ind w:firstLine="480"/>
        <w:rPr>
          <w:rFonts w:ascii="宋体" w:hAnsi="宋体"/>
          <w:sz w:val="24"/>
          <w:highlight w:val="none"/>
        </w:rPr>
      </w:pPr>
      <w:r>
        <w:rPr>
          <w:rFonts w:hint="eastAsia" w:ascii="宋体" w:hAnsi="宋体"/>
          <w:sz w:val="24"/>
          <w:highlight w:val="none"/>
        </w:rPr>
        <w:t>1、泛光照明的所有材料必须满足建筑设计图纸上的建筑设计和使用功能要求；</w:t>
      </w:r>
    </w:p>
    <w:p w14:paraId="08E1B0E0">
      <w:pPr>
        <w:pStyle w:val="7"/>
        <w:spacing w:line="360" w:lineRule="auto"/>
        <w:ind w:firstLine="480"/>
        <w:rPr>
          <w:rFonts w:ascii="宋体" w:hAnsi="宋体"/>
          <w:sz w:val="24"/>
          <w:highlight w:val="none"/>
        </w:rPr>
      </w:pPr>
      <w:r>
        <w:rPr>
          <w:rFonts w:hint="eastAsia" w:ascii="宋体" w:hAnsi="宋体"/>
          <w:sz w:val="24"/>
          <w:highlight w:val="none"/>
        </w:rPr>
        <w:t>2、有利于节约材料、减低成本；</w:t>
      </w:r>
    </w:p>
    <w:p w14:paraId="13E5786C">
      <w:pPr>
        <w:pStyle w:val="7"/>
        <w:spacing w:line="360" w:lineRule="auto"/>
        <w:ind w:firstLine="480"/>
        <w:rPr>
          <w:rFonts w:ascii="宋体" w:hAnsi="宋体"/>
          <w:sz w:val="24"/>
          <w:highlight w:val="none"/>
        </w:rPr>
      </w:pPr>
      <w:r>
        <w:rPr>
          <w:rFonts w:hint="eastAsia" w:ascii="宋体" w:hAnsi="宋体"/>
          <w:sz w:val="24"/>
          <w:highlight w:val="none"/>
        </w:rPr>
        <w:t>3、明装灯、灯带不得破坏幕墙的外视效果，以满足立面整体的美观要求；</w:t>
      </w:r>
    </w:p>
    <w:p w14:paraId="57430C87">
      <w:pPr>
        <w:pStyle w:val="7"/>
        <w:spacing w:line="360" w:lineRule="auto"/>
        <w:ind w:firstLine="480"/>
        <w:rPr>
          <w:rFonts w:ascii="宋体" w:hAnsi="宋体"/>
          <w:sz w:val="24"/>
          <w:highlight w:val="none"/>
        </w:rPr>
      </w:pPr>
      <w:r>
        <w:rPr>
          <w:rFonts w:hint="eastAsia" w:ascii="宋体" w:hAnsi="宋体"/>
          <w:sz w:val="24"/>
          <w:highlight w:val="none"/>
        </w:rPr>
        <w:t>4、突出照射建筑立面，使得它与周围环境形成明暗对比，充分发挥周围环境的陪衬作用；</w:t>
      </w:r>
    </w:p>
    <w:p w14:paraId="246713C0">
      <w:pPr>
        <w:pStyle w:val="7"/>
        <w:spacing w:line="360" w:lineRule="auto"/>
        <w:ind w:firstLine="480"/>
        <w:rPr>
          <w:rFonts w:ascii="宋体" w:hAnsi="宋体"/>
          <w:sz w:val="24"/>
          <w:highlight w:val="none"/>
        </w:rPr>
      </w:pPr>
      <w:r>
        <w:rPr>
          <w:rFonts w:hint="eastAsia" w:ascii="宋体" w:hAnsi="宋体"/>
          <w:sz w:val="24"/>
          <w:highlight w:val="none"/>
        </w:rPr>
        <w:t>5、从几个不同的角度照射，以便产生显著的立体感，特别是产生光色的层次效果。</w:t>
      </w:r>
    </w:p>
    <w:p w14:paraId="324212FF">
      <w:pPr>
        <w:pStyle w:val="7"/>
        <w:spacing w:line="360" w:lineRule="auto"/>
        <w:ind w:firstLine="480"/>
        <w:rPr>
          <w:rFonts w:ascii="宋体" w:hAnsi="宋体"/>
          <w:sz w:val="24"/>
          <w:highlight w:val="none"/>
        </w:rPr>
      </w:pPr>
      <w:r>
        <w:rPr>
          <w:rFonts w:hint="eastAsia" w:ascii="宋体" w:hAnsi="宋体"/>
          <w:sz w:val="24"/>
          <w:highlight w:val="none"/>
        </w:rPr>
        <w:t>6、应包括但不限于进行灯具选型、配电、控制系统等的设计。</w:t>
      </w:r>
    </w:p>
    <w:p w14:paraId="1AD52D75">
      <w:pPr>
        <w:pStyle w:val="7"/>
        <w:spacing w:line="360" w:lineRule="auto"/>
        <w:ind w:firstLine="480"/>
        <w:rPr>
          <w:rFonts w:ascii="宋体" w:hAnsi="宋体"/>
          <w:sz w:val="24"/>
          <w:highlight w:val="none"/>
        </w:rPr>
      </w:pPr>
      <w:r>
        <w:rPr>
          <w:rFonts w:hint="eastAsia" w:ascii="宋体" w:hAnsi="宋体"/>
          <w:sz w:val="24"/>
          <w:highlight w:val="none"/>
        </w:rPr>
        <w:t>4</w:t>
      </w:r>
      <w:r>
        <w:rPr>
          <w:rFonts w:ascii="宋体" w:hAnsi="宋体"/>
          <w:sz w:val="24"/>
          <w:highlight w:val="none"/>
        </w:rPr>
        <w:t>.3.12</w:t>
      </w:r>
      <w:r>
        <w:rPr>
          <w:rFonts w:hint="eastAsia" w:ascii="宋体" w:hAnsi="宋体"/>
          <w:sz w:val="24"/>
          <w:highlight w:val="none"/>
        </w:rPr>
        <w:t>幕墙工程设计</w:t>
      </w:r>
    </w:p>
    <w:p w14:paraId="7BB03975">
      <w:pPr>
        <w:pStyle w:val="7"/>
        <w:spacing w:line="360" w:lineRule="auto"/>
        <w:ind w:firstLine="480"/>
        <w:rPr>
          <w:rFonts w:ascii="宋体" w:hAnsi="宋体"/>
          <w:sz w:val="24"/>
          <w:highlight w:val="none"/>
        </w:rPr>
      </w:pPr>
      <w:r>
        <w:rPr>
          <w:rFonts w:hint="eastAsia" w:ascii="宋体" w:hAnsi="宋体"/>
          <w:sz w:val="24"/>
          <w:highlight w:val="none"/>
        </w:rPr>
        <w:t>幕墙设计应力求把握建筑外立面设计思想，满足建筑使用功能要求，符合国家、广州市有关幕墙设计规范与标准。</w:t>
      </w:r>
    </w:p>
    <w:p w14:paraId="436F7ADC">
      <w:pPr>
        <w:pStyle w:val="7"/>
        <w:spacing w:line="360" w:lineRule="auto"/>
        <w:ind w:firstLine="480"/>
        <w:rPr>
          <w:rFonts w:ascii="宋体" w:hAnsi="宋体"/>
          <w:sz w:val="24"/>
          <w:highlight w:val="none"/>
        </w:rPr>
      </w:pPr>
      <w:r>
        <w:rPr>
          <w:rFonts w:hint="eastAsia" w:ascii="宋体" w:hAnsi="宋体"/>
          <w:sz w:val="24"/>
          <w:highlight w:val="none"/>
        </w:rPr>
        <w:t>1、应灵活运用国内外幕墙设计已应用成熟的新理念、新工艺、新材料，充分发挥想象力，采用技术先进、成熟、经济、适用、耐久，并能在施工中顺利实现。</w:t>
      </w:r>
    </w:p>
    <w:p w14:paraId="4A726C58">
      <w:pPr>
        <w:pStyle w:val="7"/>
        <w:spacing w:line="360" w:lineRule="auto"/>
        <w:ind w:firstLine="480"/>
        <w:rPr>
          <w:rFonts w:ascii="宋体" w:hAnsi="宋体"/>
          <w:sz w:val="24"/>
          <w:highlight w:val="none"/>
        </w:rPr>
      </w:pPr>
      <w:r>
        <w:rPr>
          <w:rFonts w:hint="eastAsia" w:ascii="宋体" w:hAnsi="宋体"/>
          <w:sz w:val="24"/>
          <w:highlight w:val="none"/>
        </w:rPr>
        <w:t>2、必须充分考虑幕墙通风、与照明设置配套、防火、保温、防噪、安全及清洁等后续服务问题。</w:t>
      </w:r>
    </w:p>
    <w:p w14:paraId="61807D97">
      <w:pPr>
        <w:pStyle w:val="7"/>
        <w:spacing w:line="360" w:lineRule="auto"/>
        <w:ind w:firstLine="480"/>
        <w:rPr>
          <w:rFonts w:ascii="宋体" w:hAnsi="宋体"/>
          <w:sz w:val="24"/>
          <w:highlight w:val="none"/>
        </w:rPr>
      </w:pPr>
      <w:r>
        <w:rPr>
          <w:rFonts w:hint="eastAsia" w:ascii="宋体" w:hAnsi="宋体"/>
          <w:sz w:val="24"/>
          <w:highlight w:val="none"/>
        </w:rPr>
        <w:t>3、需考虑土建主体和幕墙本身因受到生产、安装、温度变化、风压、荷载、结构偏差、地震等因素导致的移动及整栋产生的破损应力对幕墙的破坏。</w:t>
      </w:r>
    </w:p>
    <w:p w14:paraId="09212CDF">
      <w:pPr>
        <w:pStyle w:val="7"/>
        <w:spacing w:line="360" w:lineRule="auto"/>
        <w:ind w:firstLine="480"/>
        <w:rPr>
          <w:rFonts w:ascii="宋体" w:hAnsi="宋体"/>
          <w:sz w:val="24"/>
          <w:highlight w:val="none"/>
        </w:rPr>
      </w:pPr>
      <w:r>
        <w:rPr>
          <w:rFonts w:hint="eastAsia" w:ascii="宋体" w:hAnsi="宋体"/>
          <w:sz w:val="24"/>
          <w:highlight w:val="none"/>
        </w:rPr>
        <w:t>4、采取适当的措施避免因热胀冷缩使幕墙金属</w:t>
      </w:r>
      <w:r>
        <w:rPr>
          <w:rFonts w:hint="eastAsia" w:ascii="宋体" w:hAnsi="宋体"/>
          <w:sz w:val="24"/>
          <w:highlight w:val="none"/>
          <w:lang w:val="en-US" w:eastAsia="zh-CN"/>
        </w:rPr>
        <w:t>元</w:t>
      </w:r>
      <w:r>
        <w:rPr>
          <w:rFonts w:hint="eastAsia" w:ascii="宋体" w:hAnsi="宋体"/>
          <w:sz w:val="24"/>
          <w:highlight w:val="none"/>
        </w:rPr>
        <w:t>件及构</w:t>
      </w:r>
      <w:r>
        <w:rPr>
          <w:rFonts w:hint="eastAsia" w:ascii="宋体" w:hAnsi="宋体"/>
          <w:sz w:val="24"/>
          <w:highlight w:val="none"/>
          <w:lang w:val="en-US" w:eastAsia="zh-CN"/>
        </w:rPr>
        <w:t>件</w:t>
      </w:r>
      <w:r>
        <w:rPr>
          <w:rFonts w:hint="eastAsia" w:ascii="宋体" w:hAnsi="宋体"/>
          <w:sz w:val="24"/>
          <w:highlight w:val="none"/>
        </w:rPr>
        <w:t>挠曲而产生爆裂。</w:t>
      </w:r>
    </w:p>
    <w:p w14:paraId="65A2CF49">
      <w:pPr>
        <w:pStyle w:val="7"/>
        <w:spacing w:line="360" w:lineRule="auto"/>
        <w:ind w:firstLine="480"/>
        <w:rPr>
          <w:rFonts w:ascii="宋体" w:hAnsi="宋体"/>
          <w:color w:val="auto"/>
          <w:sz w:val="24"/>
          <w:highlight w:val="none"/>
        </w:rPr>
      </w:pPr>
      <w:r>
        <w:rPr>
          <w:rFonts w:hint="eastAsia" w:ascii="宋体" w:hAnsi="宋体"/>
          <w:color w:val="auto"/>
          <w:sz w:val="24"/>
          <w:highlight w:val="none"/>
        </w:rPr>
        <w:t>5、工程设计、制作、安装应保证整片幕墙框架具有连续面有效电传导性，并进行导电性检测，提供检测报告。应提供幕墙所需的防雷保护措施设计。</w:t>
      </w:r>
    </w:p>
    <w:p w14:paraId="464F9776">
      <w:pPr>
        <w:pStyle w:val="7"/>
        <w:spacing w:line="360" w:lineRule="auto"/>
        <w:ind w:firstLine="480"/>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.3.13</w:t>
      </w:r>
      <w:r>
        <w:rPr>
          <w:rFonts w:hint="eastAsia" w:ascii="宋体" w:hAnsi="宋体"/>
          <w:color w:val="auto"/>
          <w:sz w:val="24"/>
          <w:highlight w:val="none"/>
        </w:rPr>
        <w:t>室内装修设计</w:t>
      </w:r>
    </w:p>
    <w:p w14:paraId="1C59FAA8">
      <w:pPr>
        <w:pStyle w:val="7"/>
        <w:spacing w:line="360" w:lineRule="auto"/>
        <w:ind w:firstLine="480"/>
        <w:rPr>
          <w:rFonts w:ascii="宋体" w:hAnsi="宋体"/>
          <w:color w:val="auto"/>
          <w:sz w:val="24"/>
          <w:highlight w:val="none"/>
        </w:rPr>
      </w:pPr>
      <w:r>
        <w:rPr>
          <w:rFonts w:hint="eastAsia" w:ascii="宋体" w:hAnsi="宋体"/>
          <w:color w:val="auto"/>
          <w:sz w:val="24"/>
          <w:highlight w:val="none"/>
        </w:rPr>
        <w:t>装修设计范围及面积采用预估值，具体工作内容包括但不限于以下工作内容：</w:t>
      </w:r>
    </w:p>
    <w:p w14:paraId="29356F69">
      <w:pPr>
        <w:pStyle w:val="7"/>
        <w:spacing w:line="360" w:lineRule="auto"/>
        <w:ind w:firstLine="480"/>
        <w:rPr>
          <w:rFonts w:ascii="宋体" w:hAnsi="宋体"/>
          <w:color w:val="auto"/>
          <w:sz w:val="24"/>
          <w:highlight w:val="none"/>
        </w:rPr>
      </w:pPr>
      <w:r>
        <w:rPr>
          <w:rFonts w:hint="eastAsia" w:ascii="宋体" w:hAnsi="宋体"/>
          <w:color w:val="auto"/>
          <w:sz w:val="24"/>
          <w:highlight w:val="none"/>
        </w:rPr>
        <w:t>1、室内设计说明，表达设计构想及设计意向：</w:t>
      </w:r>
    </w:p>
    <w:p w14:paraId="6D53FEA9">
      <w:pPr>
        <w:pStyle w:val="7"/>
        <w:spacing w:line="360" w:lineRule="auto"/>
        <w:ind w:firstLine="480"/>
        <w:rPr>
          <w:rFonts w:ascii="宋体" w:hAnsi="宋体"/>
          <w:color w:val="auto"/>
          <w:sz w:val="24"/>
          <w:highlight w:val="none"/>
        </w:rPr>
      </w:pPr>
      <w:r>
        <w:rPr>
          <w:rFonts w:hint="eastAsia" w:ascii="宋体" w:hAnsi="宋体"/>
          <w:color w:val="auto"/>
          <w:sz w:val="24"/>
          <w:highlight w:val="none"/>
        </w:rPr>
        <w:t>2、铺地平面图、天花平面图、重点位置立面图、剖面图以及室内空间效果图等</w:t>
      </w:r>
    </w:p>
    <w:p w14:paraId="06F162D7">
      <w:pPr>
        <w:pStyle w:val="7"/>
        <w:spacing w:line="360" w:lineRule="auto"/>
        <w:ind w:firstLine="480"/>
        <w:rPr>
          <w:rFonts w:ascii="宋体" w:hAnsi="宋体"/>
          <w:color w:val="auto"/>
          <w:sz w:val="24"/>
          <w:highlight w:val="none"/>
        </w:rPr>
      </w:pPr>
      <w:r>
        <w:rPr>
          <w:rFonts w:hint="eastAsia" w:ascii="宋体" w:hAnsi="宋体"/>
          <w:color w:val="auto"/>
          <w:sz w:val="24"/>
          <w:highlight w:val="none"/>
        </w:rPr>
        <w:t>3、提供材料样板以及工程预算概算表；</w:t>
      </w:r>
    </w:p>
    <w:p w14:paraId="0176C14C">
      <w:pPr>
        <w:pStyle w:val="7"/>
        <w:spacing w:line="360" w:lineRule="auto"/>
        <w:ind w:firstLine="480"/>
        <w:rPr>
          <w:rFonts w:ascii="宋体" w:hAnsi="宋体"/>
          <w:color w:val="auto"/>
          <w:sz w:val="24"/>
          <w:highlight w:val="none"/>
        </w:rPr>
      </w:pPr>
      <w:r>
        <w:rPr>
          <w:rFonts w:hint="eastAsia" w:ascii="宋体" w:hAnsi="宋体"/>
          <w:color w:val="auto"/>
          <w:sz w:val="24"/>
          <w:highlight w:val="none"/>
        </w:rPr>
        <w:t>4、灯具选型、五金洁具、水电平排表；</w:t>
      </w:r>
    </w:p>
    <w:p w14:paraId="12CDFF47">
      <w:pPr>
        <w:pStyle w:val="7"/>
        <w:spacing w:line="360" w:lineRule="auto"/>
        <w:ind w:firstLine="480"/>
        <w:rPr>
          <w:rFonts w:ascii="宋体" w:hAnsi="宋体"/>
          <w:color w:val="auto"/>
          <w:sz w:val="24"/>
          <w:highlight w:val="none"/>
        </w:rPr>
      </w:pPr>
      <w:r>
        <w:rPr>
          <w:rFonts w:hint="eastAsia" w:ascii="宋体" w:hAnsi="宋体"/>
          <w:color w:val="auto"/>
          <w:sz w:val="24"/>
          <w:highlight w:val="none"/>
        </w:rPr>
        <w:t>5、二次装饰设计应与初步设计、施工图深化设计同步推进，避免消防机电设计、包括喷淋、烟感、消防栓等与一次消防位置不一致的调整及拆改；</w:t>
      </w:r>
    </w:p>
    <w:p w14:paraId="363D6C3F">
      <w:pPr>
        <w:pStyle w:val="7"/>
        <w:spacing w:line="360" w:lineRule="auto"/>
        <w:ind w:firstLine="480"/>
        <w:rPr>
          <w:rFonts w:ascii="宋体" w:hAnsi="宋体"/>
          <w:color w:val="auto"/>
          <w:sz w:val="24"/>
          <w:highlight w:val="none"/>
        </w:rPr>
      </w:pPr>
      <w:r>
        <w:rPr>
          <w:rFonts w:hint="eastAsia" w:ascii="宋体" w:hAnsi="宋体"/>
          <w:color w:val="auto"/>
          <w:sz w:val="24"/>
          <w:highlight w:val="none"/>
        </w:rPr>
        <w:t>6、施工期间需对现场进行效果把控，施工前期每周两次到现场进行设计协调会议，施工后期即完工前一个月每周一次到现场进行设计协调会议，材料定板，对设计错漏碰缺补充变更图纸以及图纸更新管理；</w:t>
      </w:r>
    </w:p>
    <w:p w14:paraId="14AEF3D4">
      <w:pPr>
        <w:pStyle w:val="7"/>
        <w:spacing w:line="360" w:lineRule="auto"/>
        <w:ind w:firstLine="480"/>
        <w:rPr>
          <w:rFonts w:ascii="宋体" w:hAnsi="宋体"/>
          <w:color w:val="auto"/>
          <w:sz w:val="24"/>
          <w:highlight w:val="none"/>
        </w:rPr>
      </w:pPr>
      <w:r>
        <w:rPr>
          <w:rFonts w:hint="eastAsia" w:ascii="宋体" w:hAnsi="宋体"/>
          <w:color w:val="auto"/>
          <w:sz w:val="24"/>
          <w:highlight w:val="none"/>
        </w:rPr>
        <w:t>7、业主进行软装采购及摆置时，设计方需派相关专业人员随同采购、协助摆置工作；</w:t>
      </w:r>
    </w:p>
    <w:p w14:paraId="05AC392B">
      <w:pPr>
        <w:pStyle w:val="7"/>
        <w:spacing w:line="360" w:lineRule="auto"/>
        <w:ind w:firstLine="480"/>
        <w:rPr>
          <w:rFonts w:ascii="宋体" w:hAnsi="宋体"/>
          <w:color w:val="auto"/>
          <w:sz w:val="24"/>
          <w:highlight w:val="none"/>
        </w:rPr>
      </w:pPr>
      <w:r>
        <w:rPr>
          <w:rFonts w:hint="eastAsia" w:ascii="宋体" w:hAnsi="宋体"/>
          <w:color w:val="auto"/>
          <w:sz w:val="24"/>
          <w:highlight w:val="none"/>
        </w:rPr>
        <w:t>8、施工完成后，协助提供以下资料：最终版全套施工图（含材料清单、样板照片、洁具、五金、工程灯清单）电子版；全套报消防图纸及后期配合消防报建的手续；</w:t>
      </w:r>
    </w:p>
    <w:p w14:paraId="4492309F">
      <w:pPr>
        <w:pStyle w:val="7"/>
        <w:spacing w:line="360" w:lineRule="auto"/>
        <w:ind w:firstLine="480"/>
        <w:rPr>
          <w:rFonts w:ascii="宋体" w:hAnsi="宋体"/>
          <w:color w:val="auto"/>
          <w:sz w:val="24"/>
          <w:highlight w:val="none"/>
        </w:rPr>
      </w:pPr>
      <w:r>
        <w:rPr>
          <w:rFonts w:hint="eastAsia" w:ascii="宋体" w:hAnsi="宋体"/>
          <w:color w:val="auto"/>
          <w:sz w:val="24"/>
          <w:highlight w:val="none"/>
        </w:rPr>
        <w:t>9、应进行配套二次机电设计，包括但不限于电气、暖通、智能化、给排水等专业设计。</w:t>
      </w:r>
    </w:p>
    <w:p w14:paraId="31918343">
      <w:pPr>
        <w:pStyle w:val="7"/>
        <w:spacing w:line="360" w:lineRule="auto"/>
        <w:ind w:firstLine="480"/>
        <w:rPr>
          <w:rFonts w:ascii="宋体" w:hAnsi="宋体"/>
          <w:sz w:val="24"/>
          <w:highlight w:val="none"/>
        </w:rPr>
      </w:pPr>
      <w:r>
        <w:rPr>
          <w:rFonts w:hint="eastAsia" w:ascii="宋体" w:hAnsi="宋体"/>
          <w:sz w:val="24"/>
          <w:highlight w:val="none"/>
        </w:rPr>
        <w:t>4</w:t>
      </w:r>
      <w:r>
        <w:rPr>
          <w:rFonts w:ascii="宋体" w:hAnsi="宋体"/>
          <w:sz w:val="24"/>
          <w:highlight w:val="none"/>
        </w:rPr>
        <w:t>.3.14</w:t>
      </w:r>
      <w:r>
        <w:rPr>
          <w:rFonts w:hint="eastAsia" w:ascii="宋体" w:hAnsi="宋体"/>
          <w:sz w:val="24"/>
          <w:highlight w:val="none"/>
        </w:rPr>
        <w:t>人防工程设计</w:t>
      </w:r>
    </w:p>
    <w:p w14:paraId="37071610">
      <w:pPr>
        <w:pStyle w:val="7"/>
        <w:spacing w:line="360" w:lineRule="auto"/>
        <w:ind w:firstLine="480"/>
        <w:rPr>
          <w:rFonts w:ascii="宋体" w:hAnsi="宋体"/>
          <w:sz w:val="24"/>
          <w:highlight w:val="none"/>
        </w:rPr>
      </w:pPr>
      <w:r>
        <w:rPr>
          <w:rFonts w:hint="eastAsia" w:ascii="宋体" w:hAnsi="宋体"/>
          <w:sz w:val="24"/>
          <w:highlight w:val="none"/>
        </w:rPr>
        <w:t>配合通过人防设计审查，以及现场技术服务直至人防工程竣工验收。主要内容包括，人防建筑工程、结构设计；平时及战时通风、给排水、供电、消防等专业设计；平战功能转换设计，并编制相应的工程概算。</w:t>
      </w:r>
    </w:p>
    <w:p w14:paraId="467A414A">
      <w:pPr>
        <w:pStyle w:val="7"/>
        <w:spacing w:line="360" w:lineRule="auto"/>
        <w:ind w:firstLine="480"/>
        <w:rPr>
          <w:rFonts w:ascii="宋体" w:hAnsi="宋体"/>
          <w:sz w:val="24"/>
          <w:highlight w:val="none"/>
        </w:rPr>
      </w:pPr>
      <w:r>
        <w:rPr>
          <w:rFonts w:hint="eastAsia" w:ascii="宋体" w:hAnsi="宋体"/>
          <w:sz w:val="24"/>
          <w:highlight w:val="none"/>
        </w:rPr>
        <w:t>1、人防建筑设计应与结构、暖通、水、电专业设计协调统一，避免各专业图纸不一致的地方；</w:t>
      </w:r>
    </w:p>
    <w:p w14:paraId="192DA82E">
      <w:pPr>
        <w:pStyle w:val="7"/>
        <w:spacing w:line="360" w:lineRule="auto"/>
        <w:ind w:firstLine="480"/>
        <w:rPr>
          <w:rFonts w:ascii="宋体" w:hAnsi="宋体"/>
          <w:sz w:val="24"/>
          <w:highlight w:val="none"/>
        </w:rPr>
      </w:pPr>
      <w:r>
        <w:rPr>
          <w:rFonts w:hint="eastAsia" w:ascii="宋体" w:hAnsi="宋体"/>
          <w:sz w:val="24"/>
          <w:highlight w:val="none"/>
        </w:rPr>
        <w:t>2、各管线走向及相应预埋套管位置不能相互干涉、影响、应避开人防门开启范围和战时封堵框及封堵梁板区域等；</w:t>
      </w:r>
    </w:p>
    <w:p w14:paraId="74EC1495">
      <w:pPr>
        <w:pStyle w:val="7"/>
        <w:spacing w:line="360" w:lineRule="auto"/>
        <w:ind w:firstLine="480"/>
        <w:rPr>
          <w:rFonts w:ascii="宋体" w:hAnsi="宋体"/>
          <w:sz w:val="24"/>
          <w:highlight w:val="none"/>
        </w:rPr>
      </w:pPr>
      <w:r>
        <w:rPr>
          <w:rFonts w:hint="eastAsia" w:ascii="宋体" w:hAnsi="宋体"/>
          <w:sz w:val="24"/>
          <w:highlight w:val="none"/>
        </w:rPr>
        <w:t>3、人防工程各专业图纸需在设计说明及图纸中明确“平时施工内容”及“战时施工内容”以利于指导现场施工；</w:t>
      </w:r>
    </w:p>
    <w:p w14:paraId="55C2275D">
      <w:pPr>
        <w:pStyle w:val="7"/>
        <w:spacing w:line="360" w:lineRule="auto"/>
        <w:ind w:firstLine="480"/>
        <w:rPr>
          <w:rFonts w:ascii="宋体" w:hAnsi="宋体"/>
          <w:sz w:val="24"/>
          <w:highlight w:val="none"/>
        </w:rPr>
      </w:pPr>
      <w:r>
        <w:rPr>
          <w:rFonts w:hint="eastAsia" w:ascii="宋体" w:hAnsi="宋体"/>
          <w:sz w:val="24"/>
          <w:highlight w:val="none"/>
        </w:rPr>
        <w:t>4</w:t>
      </w:r>
      <w:r>
        <w:rPr>
          <w:rFonts w:ascii="宋体" w:hAnsi="宋体"/>
          <w:sz w:val="24"/>
          <w:highlight w:val="none"/>
        </w:rPr>
        <w:t>.3.15</w:t>
      </w:r>
      <w:r>
        <w:rPr>
          <w:rFonts w:hint="eastAsia" w:ascii="宋体" w:hAnsi="宋体"/>
          <w:sz w:val="24"/>
          <w:highlight w:val="none"/>
        </w:rPr>
        <w:t>其他专业设计及配合</w:t>
      </w:r>
    </w:p>
    <w:p w14:paraId="4527BD5F">
      <w:pPr>
        <w:pStyle w:val="7"/>
        <w:spacing w:line="360" w:lineRule="auto"/>
        <w:ind w:firstLine="480"/>
        <w:rPr>
          <w:rFonts w:ascii="宋体" w:hAnsi="宋体"/>
          <w:sz w:val="24"/>
          <w:highlight w:val="none"/>
        </w:rPr>
      </w:pPr>
      <w:r>
        <w:rPr>
          <w:rFonts w:hint="eastAsia" w:ascii="宋体" w:hAnsi="宋体"/>
          <w:sz w:val="24"/>
          <w:highlight w:val="none"/>
        </w:rPr>
        <w:t>1、按照相关规范要求执行。如配合铝合金门窗二次深化设计，范围包括铝合金门、铝合金门联窗、铝合金窗、铝合金百叶四个部分。设计内容包括：设计说明、立面图、大样图、节点图、型材截面图等、相应计算书。</w:t>
      </w:r>
    </w:p>
    <w:p w14:paraId="6FE43A27">
      <w:pPr>
        <w:pStyle w:val="7"/>
        <w:spacing w:line="360" w:lineRule="auto"/>
        <w:ind w:firstLine="480"/>
        <w:rPr>
          <w:rFonts w:ascii="宋体" w:hAnsi="宋体"/>
          <w:sz w:val="24"/>
          <w:highlight w:val="none"/>
        </w:rPr>
      </w:pPr>
      <w:r>
        <w:rPr>
          <w:rFonts w:hint="eastAsia" w:ascii="宋体" w:hAnsi="宋体"/>
          <w:sz w:val="24"/>
          <w:highlight w:val="none"/>
        </w:rPr>
        <w:t>2、应根据建筑等功能要求对电梯参数、规格及配置、土建尺寸、交通流量分析等配套设计。</w:t>
      </w:r>
    </w:p>
    <w:p w14:paraId="0CA373EA">
      <w:pPr>
        <w:pStyle w:val="7"/>
        <w:spacing w:line="360" w:lineRule="auto"/>
        <w:ind w:firstLine="480"/>
        <w:rPr>
          <w:rFonts w:ascii="宋体" w:hAnsi="宋体"/>
          <w:sz w:val="24"/>
          <w:highlight w:val="none"/>
        </w:rPr>
      </w:pPr>
      <w:r>
        <w:rPr>
          <w:rFonts w:hint="eastAsia" w:ascii="宋体" w:hAnsi="宋体"/>
          <w:sz w:val="24"/>
          <w:highlight w:val="none"/>
        </w:rPr>
        <w:t>3、根据各专业施工图纸完成BIM设计，BIM模型精度就不低于LOD300等级。用于施工的BIM由施工单位深化完成。同时也包括了各专业施工图设计的过程配合（根据过程BIM及早发现问题，及时调整各专业施工图纸）以及配合后期施工图修改等服务。</w:t>
      </w:r>
    </w:p>
    <w:p w14:paraId="6DE115E9">
      <w:pPr>
        <w:pStyle w:val="7"/>
        <w:spacing w:line="360" w:lineRule="auto"/>
        <w:ind w:firstLine="480"/>
        <w:rPr>
          <w:rFonts w:ascii="宋体" w:hAnsi="宋体"/>
          <w:sz w:val="24"/>
          <w:highlight w:val="none"/>
        </w:rPr>
      </w:pPr>
      <w:r>
        <w:rPr>
          <w:rFonts w:hint="eastAsia" w:ascii="宋体" w:hAnsi="宋体"/>
          <w:sz w:val="24"/>
          <w:highlight w:val="none"/>
        </w:rPr>
        <w:t>4、出具各专业技术规格书，包括但不限于暖通、给排水、电气、智能化等专业。</w:t>
      </w:r>
    </w:p>
    <w:p w14:paraId="19DED2E4">
      <w:pPr>
        <w:pStyle w:val="7"/>
        <w:spacing w:line="360" w:lineRule="auto"/>
        <w:ind w:firstLine="480" w:firstLineChars="0"/>
        <w:rPr>
          <w:rFonts w:ascii="宋体" w:hAnsi="宋体"/>
          <w:sz w:val="24"/>
          <w:highlight w:val="none"/>
        </w:rPr>
      </w:pPr>
      <w:r>
        <w:rPr>
          <w:rFonts w:hint="eastAsia" w:ascii="宋体" w:hAnsi="宋体"/>
          <w:sz w:val="24"/>
          <w:highlight w:val="none"/>
        </w:rPr>
        <w:t>5、审核各专业、管线综合施工深化图及设备材料；出具专业设计意见指导施工。</w:t>
      </w:r>
    </w:p>
    <w:p w14:paraId="2BF7C7D6">
      <w:pPr>
        <w:spacing w:line="360" w:lineRule="auto"/>
        <w:ind w:firstLine="480" w:firstLineChars="200"/>
        <w:rPr>
          <w:rFonts w:ascii="宋体" w:hAnsi="宋体"/>
          <w:sz w:val="24"/>
          <w:highlight w:val="none"/>
        </w:rPr>
      </w:pPr>
      <w:r>
        <w:rPr>
          <w:rFonts w:hint="eastAsia" w:ascii="宋体" w:hAnsi="宋体"/>
          <w:sz w:val="24"/>
          <w:highlight w:val="none"/>
        </w:rPr>
        <w:t>6、其他专业设计执行相关规范，其中永久水电、燃气设计、训练基地专业装修（如有）必须汇同符合广州市相关审批部门审查通过的资质设计单位合作完成施工图设计，并保证验收装表使用。设计应所有项目方案及专业设计技术专家评审等工作（包含相关费用支付）。</w:t>
      </w:r>
    </w:p>
    <w:p w14:paraId="46D82B2B">
      <w:pPr>
        <w:spacing w:line="360" w:lineRule="auto"/>
        <w:ind w:firstLine="480" w:firstLineChars="200"/>
        <w:rPr>
          <w:rFonts w:ascii="宋体" w:hAnsi="宋体"/>
          <w:sz w:val="24"/>
          <w:highlight w:val="none"/>
        </w:rPr>
      </w:pPr>
      <w:r>
        <w:rPr>
          <w:rFonts w:hint="eastAsia" w:ascii="宋体" w:hAnsi="宋体"/>
          <w:sz w:val="24"/>
          <w:highlight w:val="none"/>
        </w:rPr>
        <w:t>同时需完成抗震支架等深化设计。完成所有深化设计的审核并确认。</w:t>
      </w:r>
    </w:p>
    <w:p w14:paraId="06CF98E9">
      <w:pPr>
        <w:spacing w:line="360" w:lineRule="auto"/>
        <w:ind w:firstLine="480" w:firstLineChars="200"/>
        <w:rPr>
          <w:rFonts w:ascii="宋体" w:hAnsi="宋体"/>
          <w:sz w:val="24"/>
          <w:highlight w:val="none"/>
        </w:rPr>
      </w:pPr>
      <w:r>
        <w:rPr>
          <w:rFonts w:hint="eastAsia" w:ascii="宋体" w:hAnsi="宋体"/>
          <w:sz w:val="24"/>
          <w:highlight w:val="none"/>
        </w:rPr>
        <w:t>4.4其他专项规划要求</w:t>
      </w:r>
    </w:p>
    <w:p w14:paraId="4180B87D">
      <w:pPr>
        <w:snapToGrid w:val="0"/>
        <w:spacing w:line="360" w:lineRule="auto"/>
        <w:ind w:firstLine="480" w:firstLineChars="200"/>
        <w:rPr>
          <w:rFonts w:ascii="宋体" w:hAnsi="宋体"/>
          <w:sz w:val="24"/>
          <w:highlight w:val="none"/>
        </w:rPr>
      </w:pPr>
      <w:r>
        <w:rPr>
          <w:rFonts w:hint="eastAsia" w:ascii="宋体" w:hAnsi="宋体"/>
          <w:sz w:val="24"/>
          <w:highlight w:val="none"/>
        </w:rPr>
        <w:t>4.4.1规划方案及建筑方案涉及到公安消防、环保、卫生防疫、防雷、水利、文物保护、民航控高、电台控高、电力电信、人防工程、市政工程、地下管线、交通、地质灾害等问题应符合各专项规划要求。</w:t>
      </w:r>
    </w:p>
    <w:p w14:paraId="5DE2966C">
      <w:pPr>
        <w:snapToGrid w:val="0"/>
        <w:spacing w:line="360" w:lineRule="auto"/>
        <w:ind w:left="420" w:leftChars="200"/>
        <w:rPr>
          <w:rFonts w:ascii="宋体" w:hAnsi="宋体"/>
          <w:sz w:val="24"/>
          <w:highlight w:val="none"/>
        </w:rPr>
      </w:pPr>
      <w:r>
        <w:rPr>
          <w:rFonts w:hint="eastAsia" w:ascii="宋体" w:hAnsi="宋体"/>
          <w:sz w:val="24"/>
          <w:highlight w:val="none"/>
        </w:rPr>
        <w:t>4.4.2竖向工程规划要求：规划地块地面坡度、道路坡度应符合有关技术要求；竖向标高及排水坡向应满足现场实际要求。</w:t>
      </w:r>
    </w:p>
    <w:p w14:paraId="5017EE4B">
      <w:pPr>
        <w:snapToGrid w:val="0"/>
        <w:spacing w:line="360" w:lineRule="auto"/>
        <w:ind w:firstLine="480" w:firstLineChars="200"/>
        <w:rPr>
          <w:rFonts w:ascii="宋体" w:hAnsi="宋体"/>
          <w:sz w:val="24"/>
          <w:highlight w:val="none"/>
        </w:rPr>
      </w:pPr>
      <w:r>
        <w:rPr>
          <w:rFonts w:hint="eastAsia" w:ascii="宋体" w:hAnsi="宋体"/>
          <w:sz w:val="24"/>
          <w:highlight w:val="none"/>
        </w:rPr>
        <w:t>4.4.3室外地坪标高：满足防洪及管线设置要求，与周边道路协调。</w:t>
      </w:r>
    </w:p>
    <w:p w14:paraId="79AE2497">
      <w:pPr>
        <w:snapToGrid w:val="0"/>
        <w:spacing w:line="360" w:lineRule="auto"/>
        <w:ind w:firstLine="480" w:firstLineChars="200"/>
        <w:rPr>
          <w:rFonts w:ascii="宋体" w:hAnsi="宋体"/>
          <w:sz w:val="24"/>
          <w:highlight w:val="none"/>
        </w:rPr>
      </w:pPr>
      <w:r>
        <w:rPr>
          <w:rFonts w:hint="eastAsia" w:ascii="宋体" w:hAnsi="宋体"/>
          <w:sz w:val="24"/>
          <w:highlight w:val="none"/>
        </w:rPr>
        <w:t>4.4.4建设项目应采用雨污分流系统。</w:t>
      </w:r>
    </w:p>
    <w:p w14:paraId="640264A0">
      <w:pPr>
        <w:snapToGrid w:val="0"/>
        <w:spacing w:line="360" w:lineRule="auto"/>
        <w:ind w:firstLine="480" w:firstLineChars="200"/>
        <w:rPr>
          <w:rFonts w:hint="eastAsia" w:ascii="宋体" w:hAnsi="宋体"/>
          <w:color w:val="auto"/>
          <w:sz w:val="24"/>
          <w:highlight w:val="none"/>
        </w:rPr>
      </w:pPr>
      <w:r>
        <w:rPr>
          <w:rFonts w:hint="eastAsia" w:ascii="宋体" w:hAnsi="宋体"/>
          <w:sz w:val="24"/>
          <w:highlight w:val="none"/>
        </w:rPr>
        <w:t xml:space="preserve">4.4.5 </w:t>
      </w:r>
      <w:r>
        <w:rPr>
          <w:rFonts w:hint="eastAsia" w:ascii="宋体" w:hAnsi="宋体"/>
          <w:sz w:val="24"/>
          <w:highlight w:val="none"/>
          <w:u w:val="single"/>
        </w:rPr>
        <w:t>+</w:t>
      </w:r>
      <w:r>
        <w:rPr>
          <w:rFonts w:hint="eastAsia" w:ascii="宋体" w:hAnsi="宋体"/>
          <w:sz w:val="24"/>
          <w:highlight w:val="none"/>
        </w:rPr>
        <w:t>0.000的相对标高设置，必须满足周边规划道路标高的协调，避免暴雨期</w:t>
      </w:r>
      <w:r>
        <w:rPr>
          <w:rFonts w:hint="eastAsia" w:ascii="宋体" w:hAnsi="宋体"/>
          <w:color w:val="auto"/>
          <w:sz w:val="24"/>
          <w:highlight w:val="none"/>
        </w:rPr>
        <w:t>间的洪水倒灌地下室和室内地台。</w:t>
      </w:r>
    </w:p>
    <w:p w14:paraId="69650467">
      <w:pPr>
        <w:pStyle w:val="2"/>
        <w:ind w:firstLine="480"/>
        <w:rPr>
          <w:rFonts w:hint="eastAsia" w:ascii="宋体" w:hAnsi="宋体" w:eastAsia="宋体"/>
          <w:color w:val="auto"/>
          <w:sz w:val="24"/>
          <w:szCs w:val="24"/>
          <w:highlight w:val="none"/>
          <w:u w:val="none"/>
          <w:lang w:val="en-US" w:eastAsia="zh-CN" w:bidi="ar-SA"/>
        </w:rPr>
      </w:pPr>
      <w:r>
        <w:rPr>
          <w:rFonts w:hint="eastAsia" w:hAnsi="宋体" w:eastAsia="宋体"/>
          <w:color w:val="auto"/>
          <w:sz w:val="24"/>
          <w:szCs w:val="24"/>
          <w:highlight w:val="none"/>
          <w:lang w:val="en-US" w:eastAsia="zh-CN"/>
        </w:rPr>
        <w:t>4.4.6</w:t>
      </w:r>
      <w:r>
        <w:rPr>
          <w:rFonts w:hint="eastAsia" w:ascii="宋体" w:hAnsi="宋体" w:eastAsia="宋体"/>
          <w:color w:val="auto"/>
          <w:sz w:val="24"/>
          <w:szCs w:val="24"/>
          <w:highlight w:val="none"/>
          <w:u w:val="none"/>
          <w:lang w:val="en-US" w:eastAsia="zh-CN" w:bidi="ar-SA"/>
        </w:rPr>
        <w:t>永水永电</w:t>
      </w:r>
      <w:r>
        <w:rPr>
          <w:rFonts w:hint="eastAsia" w:hAnsi="宋体" w:eastAsia="宋体"/>
          <w:color w:val="auto"/>
          <w:sz w:val="24"/>
          <w:szCs w:val="24"/>
          <w:highlight w:val="none"/>
          <w:u w:val="none"/>
          <w:lang w:val="en-US" w:eastAsia="zh-CN" w:bidi="ar-SA"/>
        </w:rPr>
        <w:t>设计</w:t>
      </w:r>
    </w:p>
    <w:p w14:paraId="43518588">
      <w:pPr>
        <w:snapToGrid w:val="0"/>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永水设计规范：</w:t>
      </w:r>
    </w:p>
    <w:p w14:paraId="3329EEDC">
      <w:pPr>
        <w:snapToGrid w:val="0"/>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1.水源与供水系统：</w:t>
      </w:r>
    </w:p>
    <w:p w14:paraId="221A6AF5">
      <w:pPr>
        <w:snapToGrid w:val="0"/>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双水源：按GB50015-2019从市政管网引入两路独立水源，均满足最大用水需求。</w:t>
      </w:r>
    </w:p>
    <w:p w14:paraId="3CAA66AA">
      <w:pPr>
        <w:snapToGrid w:val="0"/>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分区供水：建筑超24米时按广州要求竖向分区，低区水压≤0.45MPa，高区用变频加压。</w:t>
      </w:r>
    </w:p>
    <w:p w14:paraId="16BA5B9A">
      <w:pPr>
        <w:snapToGrid w:val="0"/>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水质安全：生活水箱用食品级不锈钢，每季度清洗消毒1次并记录。</w:t>
      </w:r>
    </w:p>
    <w:p w14:paraId="4A253AE6">
      <w:pPr>
        <w:snapToGrid w:val="0"/>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2.排水系统：</w:t>
      </w:r>
    </w:p>
    <w:p w14:paraId="04084184">
      <w:pPr>
        <w:snapToGrid w:val="0"/>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雨污分流：按广州法规执行，污水经化粪池处理，餐饮废水经隔油池达标排放。</w:t>
      </w:r>
    </w:p>
    <w:p w14:paraId="0C393CBE">
      <w:pPr>
        <w:snapToGrid w:val="0"/>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管道设计：排水管坡度、管径符GB50015；地下室设集水井与自动启停排水泵（含备用）。</w:t>
      </w:r>
    </w:p>
    <w:p w14:paraId="024E5E31">
      <w:pPr>
        <w:snapToGrid w:val="0"/>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永电设计规范：</w:t>
      </w:r>
    </w:p>
    <w:p w14:paraId="36356DF6">
      <w:pPr>
        <w:snapToGrid w:val="0"/>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1.供配电系统：</w:t>
      </w:r>
    </w:p>
    <w:p w14:paraId="52739853">
      <w:pPr>
        <w:snapToGrid w:val="0"/>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双电源：按GB50052-2009引入两路10kV市政电源，保障一级负荷供电，高压设备需供电局验收。</w:t>
      </w:r>
    </w:p>
    <w:p w14:paraId="76296ADF">
      <w:pPr>
        <w:snapToGrid w:val="0"/>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变配电：用干式变压器置于专用室（符GB50053）；低压配电预留30%扩展容量。</w:t>
      </w:r>
    </w:p>
    <w:p w14:paraId="7522D49B">
      <w:pPr>
        <w:snapToGrid w:val="0"/>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2.备用电源与应急系统：</w:t>
      </w:r>
    </w:p>
    <w:p w14:paraId="4F1D3D8E">
      <w:pPr>
        <w:snapToGrid w:val="0"/>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柴油发电机：按GB51348-2019配置，市电中断15秒内启动，满足关键设备运行≥3小时。</w:t>
      </w:r>
    </w:p>
    <w:p w14:paraId="2C9F9380">
      <w:pPr>
        <w:snapToGrid w:val="0"/>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应急照明：疏散通道设消防应急照明及指示系统（符GB51309-2018），接入消防联动。</w:t>
      </w:r>
    </w:p>
    <w:p w14:paraId="2A4DC5DD">
      <w:pPr>
        <w:snapToGrid w:val="0"/>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3.电气安全：</w:t>
      </w:r>
    </w:p>
    <w:p w14:paraId="45A321A9">
      <w:pPr>
        <w:snapToGrid w:val="0"/>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防雷接地：设联合接地系统（电阻≤1Ω），符GB50057；高层装防雷装置并通过验收。</w:t>
      </w:r>
    </w:p>
    <w:p w14:paraId="1E2E4B75">
      <w:pPr>
        <w:snapToGrid w:val="0"/>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漏电保护：插座回路装RCD，符GB50169-2016。</w:t>
      </w:r>
    </w:p>
    <w:p w14:paraId="168E172E">
      <w:pPr>
        <w:snapToGrid w:val="0"/>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审批验收：方案需经广州住建局、供电局、水务局审批；竣工后联合验收，取得供水/供电合格证方可投用。</w:t>
      </w:r>
    </w:p>
    <w:p w14:paraId="73C54982">
      <w:pPr>
        <w:snapToGrid w:val="0"/>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4.4.7燃气设计：</w:t>
      </w:r>
    </w:p>
    <w:p w14:paraId="33CD2CFA">
      <w:pPr>
        <w:snapToGrid w:val="0"/>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1.气源与调压：</w:t>
      </w:r>
    </w:p>
    <w:p w14:paraId="761F5B8C">
      <w:pPr>
        <w:snapToGrid w:val="0"/>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按GB50028-2006从市政中压管接入（压力0.2-0.4MPa），接入点经燃气部门审批。</w:t>
      </w:r>
    </w:p>
    <w:p w14:paraId="3E46DBE4">
      <w:pPr>
        <w:snapToGrid w:val="0"/>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双气源方案需提前报备。</w:t>
      </w:r>
    </w:p>
    <w:p w14:paraId="77359683">
      <w:pPr>
        <w:snapToGrid w:val="0"/>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调压站（箱）选址符合安全间距（如距重要建筑≥25米），具超压切断功能，验收后启用。</w:t>
      </w:r>
    </w:p>
    <w:p w14:paraId="439A562A">
      <w:pPr>
        <w:snapToGrid w:val="0"/>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2.管道系统：</w:t>
      </w:r>
    </w:p>
    <w:p w14:paraId="571CA5CF">
      <w:pPr>
        <w:snapToGrid w:val="0"/>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管道禁穿防火墙、卧室等，禁敷设电缆沟/烟道（符GB50016、GB50028）；高层立管设承重支撑及伸缩装置。</w:t>
      </w:r>
    </w:p>
    <w:p w14:paraId="68BC81D8">
      <w:pPr>
        <w:snapToGrid w:val="0"/>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餐饮区装燃气泄漏报警+紧急切断阀，联动通风系统；穿墙/楼板处设防火套管。</w:t>
      </w:r>
    </w:p>
    <w:p w14:paraId="665299AE">
      <w:pPr>
        <w:snapToGrid w:val="0"/>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 xml:space="preserve">3. 设备与通风：  </w:t>
      </w:r>
    </w:p>
    <w:p w14:paraId="2B1803F8">
      <w:pPr>
        <w:snapToGrid w:val="0"/>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 xml:space="preserve"> 燃气设备选用备案产品，禁直排式热水器；餐饮灶具具熄火保护。  </w:t>
      </w:r>
    </w:p>
    <w:p w14:paraId="3CB0B6E8">
      <w:pPr>
        <w:snapToGrid w:val="0"/>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 xml:space="preserve"> 用气房间保通风，不足时设机械系统（厨房换气≥10次/小时），风机用防爆型。  </w:t>
      </w:r>
    </w:p>
    <w:p w14:paraId="27EDD16A">
      <w:pPr>
        <w:snapToGrid w:val="0"/>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 xml:space="preserve">4. 验收管理：  </w:t>
      </w:r>
    </w:p>
    <w:p w14:paraId="53EF8973">
      <w:pPr>
        <w:snapToGrid w:val="0"/>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 xml:space="preserve"> 竣工后由燃气部门、燃气公司等联合验收，未过验不得通气。  </w:t>
      </w:r>
    </w:p>
    <w:p w14:paraId="1DECD3B8">
      <w:pPr>
        <w:pStyle w:val="2"/>
        <w:ind w:firstLine="480"/>
        <w:rPr>
          <w:rFonts w:hint="eastAsia" w:ascii="宋体" w:hAnsi="宋体" w:eastAsia="宋体" w:cs="Times New Roman"/>
          <w:b w:val="0"/>
          <w:bCs w:val="0"/>
          <w:kern w:val="2"/>
          <w:position w:val="0"/>
          <w:sz w:val="24"/>
          <w:szCs w:val="24"/>
          <w:highlight w:val="none"/>
          <w:lang w:val="en-US" w:eastAsia="zh-CN" w:bidi="ar-SA"/>
        </w:rPr>
      </w:pPr>
      <w:r>
        <w:rPr>
          <w:rFonts w:hint="eastAsia" w:hAnsi="宋体" w:eastAsia="宋体"/>
          <w:sz w:val="24"/>
          <w:szCs w:val="24"/>
          <w:highlight w:val="none"/>
          <w:lang w:val="en-US" w:eastAsia="zh-CN"/>
        </w:rPr>
        <w:t>4.4.</w:t>
      </w:r>
      <w:r>
        <w:rPr>
          <w:rFonts w:hint="eastAsia" w:hAnsi="宋体" w:eastAsia="宋体"/>
          <w:sz w:val="24"/>
          <w:szCs w:val="24"/>
          <w:highlight w:val="none"/>
          <w:u w:val="single"/>
          <w:lang w:val="en-US" w:eastAsia="zh-CN"/>
        </w:rPr>
        <w:t>8</w:t>
      </w:r>
      <w:r>
        <w:rPr>
          <w:rFonts w:hint="eastAsia" w:ascii="宋体" w:hAnsi="宋体" w:eastAsia="宋体" w:cs="Times New Roman"/>
          <w:b w:val="0"/>
          <w:bCs w:val="0"/>
          <w:kern w:val="2"/>
          <w:position w:val="0"/>
          <w:sz w:val="24"/>
          <w:szCs w:val="24"/>
          <w:highlight w:val="none"/>
          <w:lang w:val="en-US" w:eastAsia="zh-CN" w:bidi="ar-SA"/>
        </w:rPr>
        <w:t>报批报建服务范围</w:t>
      </w:r>
    </w:p>
    <w:p w14:paraId="45B6EEA0">
      <w:pPr>
        <w:pStyle w:val="7"/>
        <w:snapToGrid w:val="0"/>
        <w:spacing w:line="360" w:lineRule="auto"/>
        <w:ind w:firstLine="480"/>
        <w:rPr>
          <w:rFonts w:hint="eastAsia" w:ascii="宋体" w:hAnsi="宋体" w:eastAsia="宋体" w:cs="Times New Roman"/>
          <w:color w:val="auto"/>
          <w:kern w:val="2"/>
          <w:sz w:val="24"/>
          <w:szCs w:val="24"/>
          <w:highlight w:val="none"/>
          <w:u w:val="none"/>
          <w:lang w:val="en-US" w:eastAsia="zh-CN" w:bidi="ar"/>
        </w:rPr>
      </w:pPr>
      <w:r>
        <w:rPr>
          <w:rFonts w:hint="eastAsia" w:ascii="宋体" w:hAnsi="宋体" w:eastAsia="宋体" w:cs="Times New Roman"/>
          <w:kern w:val="2"/>
          <w:sz w:val="24"/>
          <w:szCs w:val="24"/>
          <w:highlight w:val="none"/>
          <w:u w:val="none"/>
          <w:lang w:val="en-US" w:eastAsia="zh-CN" w:bidi="ar"/>
        </w:rPr>
        <w:t>牵头统筹并负责本项目从项目立项到竣工验收备案及办理项目不动产证的全过程报批报建工作，具体</w:t>
      </w:r>
      <w:r>
        <w:rPr>
          <w:rFonts w:hint="eastAsia" w:ascii="宋体" w:hAnsi="宋体" w:eastAsia="宋体" w:cs="Times New Roman"/>
          <w:color w:val="auto"/>
          <w:kern w:val="2"/>
          <w:sz w:val="24"/>
          <w:szCs w:val="24"/>
          <w:highlight w:val="none"/>
          <w:u w:val="none"/>
          <w:lang w:val="en-US" w:eastAsia="zh-CN" w:bidi="ar"/>
        </w:rPr>
        <w:t>包括但不限于以下内容：</w:t>
      </w:r>
    </w:p>
    <w:p w14:paraId="77886639">
      <w:pPr>
        <w:pStyle w:val="7"/>
        <w:snapToGrid w:val="0"/>
        <w:spacing w:line="360" w:lineRule="auto"/>
        <w:ind w:firstLine="480"/>
        <w:rPr>
          <w:rFonts w:hint="eastAsia" w:ascii="宋体" w:hAnsi="宋体" w:cs="Times New Roman"/>
          <w:color w:val="auto"/>
          <w:sz w:val="24"/>
          <w:szCs w:val="24"/>
          <w:highlight w:val="none"/>
          <w:u w:val="none"/>
          <w:lang w:val="en-US" w:eastAsia="zh-CN" w:bidi="ar"/>
        </w:rPr>
      </w:pPr>
      <w:r>
        <w:rPr>
          <w:rFonts w:hint="eastAsia" w:ascii="宋体" w:hAnsi="宋体" w:cs="Times New Roman"/>
          <w:color w:val="auto"/>
          <w:sz w:val="24"/>
          <w:szCs w:val="24"/>
          <w:highlight w:val="none"/>
          <w:u w:val="none"/>
          <w:lang w:val="en-US" w:eastAsia="zh-CN" w:bidi="ar"/>
        </w:rPr>
        <w:t>1、规划设计阶段：根据项目定位和规划要求，负责设计单位编制项目修建性详细规划、建筑设计方案等文件，并负责向规划部门报审，取得建设用地规划许可证、建设工程规划许可证等规划相关证照。</w:t>
      </w:r>
    </w:p>
    <w:p w14:paraId="690EA76A">
      <w:pPr>
        <w:pStyle w:val="7"/>
        <w:snapToGrid w:val="0"/>
        <w:spacing w:line="360" w:lineRule="auto"/>
        <w:ind w:firstLine="480"/>
        <w:rPr>
          <w:rFonts w:hint="eastAsia" w:ascii="宋体" w:hAnsi="宋体" w:cs="Times New Roman"/>
          <w:color w:val="auto"/>
          <w:sz w:val="24"/>
          <w:szCs w:val="24"/>
          <w:highlight w:val="none"/>
          <w:u w:val="none"/>
          <w:lang w:val="en-US" w:eastAsia="zh-CN" w:bidi="ar"/>
        </w:rPr>
      </w:pPr>
      <w:r>
        <w:rPr>
          <w:rFonts w:hint="eastAsia" w:ascii="宋体" w:hAnsi="宋体" w:cs="Times New Roman"/>
          <w:color w:val="auto"/>
          <w:sz w:val="24"/>
          <w:szCs w:val="24"/>
          <w:highlight w:val="none"/>
          <w:u w:val="none"/>
          <w:lang w:val="en-US" w:eastAsia="zh-CN" w:bidi="ar"/>
        </w:rPr>
        <w:t>2、施工许可阶段：负责整理施工许可证申请材料，包括施工图设计文件审查、施工合同备案、监理合同备案、质量安全监督手续办理等，向建设行政主管部门提交申请，取得建筑工程施工许可证。</w:t>
      </w:r>
    </w:p>
    <w:p w14:paraId="42DB622C">
      <w:pPr>
        <w:pStyle w:val="7"/>
        <w:snapToGrid w:val="0"/>
        <w:spacing w:line="360" w:lineRule="auto"/>
        <w:ind w:firstLine="480"/>
        <w:rPr>
          <w:rFonts w:hint="eastAsia" w:ascii="宋体" w:hAnsi="宋体" w:cs="Times New Roman"/>
          <w:sz w:val="24"/>
          <w:szCs w:val="24"/>
          <w:highlight w:val="none"/>
          <w:u w:val="none"/>
          <w:lang w:val="en-US" w:eastAsia="zh-CN" w:bidi="ar"/>
        </w:rPr>
      </w:pPr>
      <w:r>
        <w:rPr>
          <w:rFonts w:hint="eastAsia" w:ascii="宋体" w:hAnsi="宋体" w:cs="Times New Roman"/>
          <w:color w:val="auto"/>
          <w:sz w:val="24"/>
          <w:szCs w:val="24"/>
          <w:highlight w:val="none"/>
          <w:u w:val="none"/>
          <w:lang w:val="en-US" w:eastAsia="zh-CN" w:bidi="ar"/>
        </w:rPr>
        <w:t>3、建设施工阶段：负责跟进项目建设过程中的各项审批手续，确保项目按照审批通过的方案进行建设。负责甲方</w:t>
      </w:r>
      <w:r>
        <w:rPr>
          <w:rFonts w:hint="eastAsia" w:ascii="宋体" w:hAnsi="宋体" w:cs="Times New Roman"/>
          <w:sz w:val="24"/>
          <w:szCs w:val="24"/>
          <w:highlight w:val="none"/>
          <w:u w:val="none"/>
          <w:lang w:val="en-US" w:eastAsia="zh-CN" w:bidi="ar"/>
        </w:rPr>
        <w:t>处理因设计变更、施工调整等原因导致的报批报建手续变更事宜。</w:t>
      </w:r>
    </w:p>
    <w:p w14:paraId="63C0546C">
      <w:pPr>
        <w:pStyle w:val="7"/>
        <w:snapToGrid w:val="0"/>
        <w:spacing w:line="360" w:lineRule="auto"/>
        <w:ind w:firstLine="480"/>
        <w:rPr>
          <w:rFonts w:hint="eastAsia" w:ascii="宋体" w:hAnsi="宋体" w:cs="Times New Roman"/>
          <w:sz w:val="24"/>
          <w:szCs w:val="24"/>
          <w:highlight w:val="none"/>
          <w:u w:val="none"/>
          <w:lang w:val="en-US" w:eastAsia="zh-CN" w:bidi="ar"/>
        </w:rPr>
      </w:pPr>
      <w:r>
        <w:rPr>
          <w:rFonts w:hint="eastAsia" w:ascii="宋体" w:hAnsi="宋体" w:cs="Times New Roman"/>
          <w:sz w:val="24"/>
          <w:szCs w:val="24"/>
          <w:highlight w:val="none"/>
          <w:u w:val="none"/>
          <w:lang w:val="en-US" w:eastAsia="zh-CN" w:bidi="ar"/>
        </w:rPr>
        <w:t>4、竣工验收阶段：负责组织相关部门进行规划验收、消防验收、环保验收、人防验收等专项验收，取得各专项验收合格文件。完成竣工验收备案手续，取得竣工验收备案表。</w:t>
      </w:r>
    </w:p>
    <w:p w14:paraId="450F266C">
      <w:pPr>
        <w:pStyle w:val="7"/>
        <w:snapToGrid w:val="0"/>
        <w:ind w:firstLine="480"/>
        <w:rPr>
          <w:rFonts w:hint="eastAsia" w:ascii="Times New Roman" w:hAnsi="Times New Roman" w:eastAsia="黑体" w:cs="Times New Roman"/>
          <w:b w:val="0"/>
          <w:bCs/>
          <w:kern w:val="0"/>
          <w:position w:val="-1"/>
          <w:sz w:val="24"/>
          <w:szCs w:val="24"/>
          <w:highlight w:val="none"/>
          <w:lang w:val="en-US" w:eastAsia="zh-CN" w:bidi="ar-SA"/>
        </w:rPr>
      </w:pPr>
      <w:r>
        <w:rPr>
          <w:rFonts w:hint="eastAsia" w:ascii="宋体" w:hAnsi="宋体" w:cs="Times New Roman"/>
          <w:sz w:val="24"/>
          <w:szCs w:val="24"/>
          <w:highlight w:val="none"/>
          <w:u w:val="none"/>
          <w:lang w:val="en-US" w:eastAsia="zh-CN" w:bidi="ar"/>
        </w:rPr>
        <w:t>5、不动产证办理阶段：负责整理办理项目不动产证所需的全部资料，向不动产登记机构提交申请，取得项目不动产证。</w:t>
      </w:r>
    </w:p>
    <w:p w14:paraId="0907263C">
      <w:pPr>
        <w:pStyle w:val="2"/>
        <w:ind w:firstLine="480"/>
        <w:rPr>
          <w:rFonts w:hint="default" w:hAnsi="宋体" w:eastAsia="宋体"/>
          <w:sz w:val="24"/>
          <w:szCs w:val="24"/>
          <w:highlight w:val="none"/>
          <w:lang w:val="en-US" w:eastAsia="zh-CN"/>
        </w:rPr>
      </w:pPr>
    </w:p>
    <w:p w14:paraId="70BB31A7">
      <w:pPr>
        <w:spacing w:line="360" w:lineRule="auto"/>
        <w:ind w:firstLine="480" w:firstLineChars="200"/>
        <w:rPr>
          <w:rFonts w:ascii="宋体" w:hAnsi="宋体" w:cs="宋体"/>
          <w:sz w:val="24"/>
          <w:highlight w:val="none"/>
        </w:rPr>
      </w:pPr>
      <w:r>
        <w:rPr>
          <w:rFonts w:hint="eastAsia" w:ascii="宋体" w:hAnsi="宋体" w:cs="宋体"/>
          <w:sz w:val="24"/>
          <w:highlight w:val="none"/>
        </w:rPr>
        <w:t>4.5 设计阶段划分</w:t>
      </w:r>
    </w:p>
    <w:p w14:paraId="09AFF865">
      <w:pPr>
        <w:spacing w:line="360" w:lineRule="auto"/>
        <w:ind w:firstLine="480" w:firstLineChars="200"/>
        <w:rPr>
          <w:highlight w:val="none"/>
        </w:rPr>
      </w:pPr>
      <w:r>
        <w:rPr>
          <w:rFonts w:hint="eastAsia" w:ascii="宋体" w:hAnsi="宋体" w:cs="宋体"/>
          <w:sz w:val="24"/>
          <w:highlight w:val="none"/>
        </w:rPr>
        <w:t>本项目设计阶段划分如下：方案设计、方案深化设计、初步设计、施工图设计、施工现场服务、竣工图编制等。</w:t>
      </w:r>
    </w:p>
    <w:p w14:paraId="790A274D">
      <w:pPr>
        <w:spacing w:before="120" w:beforeLines="50" w:line="360" w:lineRule="auto"/>
        <w:ind w:firstLine="482" w:firstLineChars="200"/>
        <w:rPr>
          <w:rFonts w:ascii="宋体" w:hAnsi="宋体"/>
          <w:b/>
          <w:bCs/>
          <w:sz w:val="24"/>
          <w:highlight w:val="none"/>
        </w:rPr>
      </w:pPr>
      <w:r>
        <w:rPr>
          <w:rFonts w:hint="eastAsia" w:ascii="宋体" w:hAnsi="宋体"/>
          <w:b/>
          <w:bCs/>
          <w:sz w:val="24"/>
          <w:highlight w:val="none"/>
        </w:rPr>
        <w:t>第五条  甲</w:t>
      </w:r>
      <w:r>
        <w:rPr>
          <w:rFonts w:hint="eastAsia" w:ascii="宋体" w:hAnsi="宋体"/>
          <w:b/>
          <w:bCs/>
          <w:sz w:val="24"/>
          <w:highlight w:val="none"/>
          <w:lang w:val="en-US" w:eastAsia="zh-CN"/>
        </w:rPr>
        <w:t>方</w:t>
      </w:r>
      <w:r>
        <w:rPr>
          <w:rFonts w:hint="eastAsia" w:ascii="宋体" w:hAnsi="宋体"/>
          <w:b/>
          <w:bCs/>
          <w:sz w:val="24"/>
          <w:highlight w:val="none"/>
        </w:rPr>
        <w:t>应提交的有关资料</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4"/>
        <w:gridCol w:w="2796"/>
        <w:gridCol w:w="992"/>
        <w:gridCol w:w="1174"/>
        <w:gridCol w:w="2086"/>
      </w:tblGrid>
      <w:tr w14:paraId="5810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tblHeader/>
          <w:jc w:val="center"/>
        </w:trPr>
        <w:tc>
          <w:tcPr>
            <w:tcW w:w="844" w:type="dxa"/>
            <w:vAlign w:val="center"/>
          </w:tcPr>
          <w:p w14:paraId="438622EA">
            <w:pPr>
              <w:jc w:val="center"/>
              <w:rPr>
                <w:rFonts w:ascii="宋体" w:hAnsi="宋体"/>
                <w:b/>
                <w:sz w:val="24"/>
                <w:highlight w:val="none"/>
              </w:rPr>
            </w:pPr>
            <w:r>
              <w:rPr>
                <w:rFonts w:hint="eastAsia" w:ascii="宋体" w:hAnsi="宋体"/>
                <w:b/>
                <w:sz w:val="24"/>
                <w:highlight w:val="none"/>
              </w:rPr>
              <w:t>序号</w:t>
            </w:r>
          </w:p>
        </w:tc>
        <w:tc>
          <w:tcPr>
            <w:tcW w:w="2796" w:type="dxa"/>
            <w:vAlign w:val="center"/>
          </w:tcPr>
          <w:p w14:paraId="60C18B7F">
            <w:pPr>
              <w:jc w:val="center"/>
              <w:rPr>
                <w:rFonts w:ascii="宋体" w:hAnsi="宋体"/>
                <w:b/>
                <w:sz w:val="24"/>
                <w:highlight w:val="none"/>
              </w:rPr>
            </w:pPr>
            <w:r>
              <w:rPr>
                <w:rFonts w:hint="eastAsia" w:ascii="宋体" w:hAnsi="宋体"/>
                <w:b/>
                <w:sz w:val="24"/>
                <w:highlight w:val="none"/>
              </w:rPr>
              <w:t>资料及文件名称</w:t>
            </w:r>
          </w:p>
        </w:tc>
        <w:tc>
          <w:tcPr>
            <w:tcW w:w="992" w:type="dxa"/>
            <w:vAlign w:val="center"/>
          </w:tcPr>
          <w:p w14:paraId="6C4B214F">
            <w:pPr>
              <w:jc w:val="center"/>
              <w:rPr>
                <w:rFonts w:ascii="宋体" w:hAnsi="宋体"/>
                <w:b/>
                <w:sz w:val="24"/>
                <w:highlight w:val="none"/>
              </w:rPr>
            </w:pPr>
            <w:r>
              <w:rPr>
                <w:rFonts w:hint="eastAsia" w:ascii="宋体" w:hAnsi="宋体"/>
                <w:b/>
                <w:sz w:val="24"/>
                <w:highlight w:val="none"/>
              </w:rPr>
              <w:t>份数</w:t>
            </w:r>
          </w:p>
        </w:tc>
        <w:tc>
          <w:tcPr>
            <w:tcW w:w="1174" w:type="dxa"/>
            <w:vAlign w:val="center"/>
          </w:tcPr>
          <w:p w14:paraId="3058B61B">
            <w:pPr>
              <w:jc w:val="center"/>
              <w:rPr>
                <w:rFonts w:ascii="宋体" w:hAnsi="宋体"/>
                <w:b/>
                <w:sz w:val="24"/>
                <w:highlight w:val="none"/>
              </w:rPr>
            </w:pPr>
            <w:r>
              <w:rPr>
                <w:rFonts w:hint="eastAsia" w:ascii="宋体" w:hAnsi="宋体"/>
                <w:b/>
                <w:sz w:val="24"/>
                <w:highlight w:val="none"/>
              </w:rPr>
              <w:t>内容要求</w:t>
            </w:r>
          </w:p>
        </w:tc>
        <w:tc>
          <w:tcPr>
            <w:tcW w:w="2086" w:type="dxa"/>
            <w:vAlign w:val="center"/>
          </w:tcPr>
          <w:p w14:paraId="45FABA34">
            <w:pPr>
              <w:jc w:val="center"/>
              <w:rPr>
                <w:rFonts w:ascii="宋体" w:hAnsi="宋体"/>
                <w:b/>
                <w:sz w:val="24"/>
                <w:highlight w:val="none"/>
              </w:rPr>
            </w:pPr>
            <w:r>
              <w:rPr>
                <w:rFonts w:hint="eastAsia" w:ascii="宋体" w:hAnsi="宋体"/>
                <w:b/>
                <w:sz w:val="24"/>
                <w:highlight w:val="none"/>
              </w:rPr>
              <w:t>提交时间</w:t>
            </w:r>
          </w:p>
        </w:tc>
      </w:tr>
      <w:tr w14:paraId="3AF83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atLeast"/>
          <w:jc w:val="center"/>
        </w:trPr>
        <w:tc>
          <w:tcPr>
            <w:tcW w:w="844" w:type="dxa"/>
            <w:vAlign w:val="center"/>
          </w:tcPr>
          <w:p w14:paraId="11E3C164">
            <w:pPr>
              <w:jc w:val="center"/>
              <w:rPr>
                <w:rFonts w:ascii="宋体" w:hAnsi="宋体"/>
                <w:sz w:val="24"/>
                <w:highlight w:val="none"/>
              </w:rPr>
            </w:pPr>
            <w:r>
              <w:rPr>
                <w:rFonts w:hint="eastAsia" w:ascii="宋体" w:hAnsi="宋体"/>
                <w:sz w:val="24"/>
                <w:highlight w:val="none"/>
              </w:rPr>
              <w:t>1</w:t>
            </w:r>
          </w:p>
        </w:tc>
        <w:tc>
          <w:tcPr>
            <w:tcW w:w="2796" w:type="dxa"/>
            <w:vAlign w:val="center"/>
          </w:tcPr>
          <w:p w14:paraId="4096A604">
            <w:pPr>
              <w:jc w:val="center"/>
              <w:rPr>
                <w:rFonts w:ascii="宋体" w:hAnsi="宋体"/>
                <w:sz w:val="24"/>
                <w:highlight w:val="none"/>
              </w:rPr>
            </w:pPr>
            <w:r>
              <w:rPr>
                <w:rFonts w:hint="eastAsia" w:ascii="宋体" w:hAnsi="宋体"/>
                <w:sz w:val="24"/>
                <w:highlight w:val="none"/>
              </w:rPr>
              <w:t>中标通知书或委托书</w:t>
            </w:r>
          </w:p>
        </w:tc>
        <w:tc>
          <w:tcPr>
            <w:tcW w:w="992" w:type="dxa"/>
            <w:vAlign w:val="center"/>
          </w:tcPr>
          <w:p w14:paraId="23F3B04A">
            <w:pPr>
              <w:jc w:val="center"/>
              <w:rPr>
                <w:rFonts w:ascii="宋体" w:hAnsi="宋体"/>
                <w:sz w:val="24"/>
                <w:highlight w:val="none"/>
              </w:rPr>
            </w:pPr>
            <w:r>
              <w:rPr>
                <w:rFonts w:hint="eastAsia" w:ascii="宋体" w:hAnsi="宋体"/>
                <w:sz w:val="24"/>
                <w:highlight w:val="none"/>
              </w:rPr>
              <w:t>1</w:t>
            </w:r>
          </w:p>
        </w:tc>
        <w:tc>
          <w:tcPr>
            <w:tcW w:w="1174" w:type="dxa"/>
            <w:vAlign w:val="center"/>
          </w:tcPr>
          <w:p w14:paraId="69AB8795">
            <w:pPr>
              <w:jc w:val="center"/>
              <w:rPr>
                <w:rFonts w:ascii="宋体" w:hAnsi="宋体"/>
                <w:sz w:val="24"/>
                <w:highlight w:val="none"/>
              </w:rPr>
            </w:pPr>
            <w:r>
              <w:rPr>
                <w:rFonts w:hint="eastAsia" w:ascii="宋体" w:hAnsi="宋体"/>
                <w:sz w:val="24"/>
                <w:highlight w:val="none"/>
              </w:rPr>
              <w:t>原件</w:t>
            </w:r>
          </w:p>
        </w:tc>
        <w:tc>
          <w:tcPr>
            <w:tcW w:w="2086" w:type="dxa"/>
            <w:vAlign w:val="center"/>
          </w:tcPr>
          <w:p w14:paraId="1DE563D1">
            <w:pPr>
              <w:jc w:val="center"/>
              <w:rPr>
                <w:rFonts w:ascii="宋体" w:hAnsi="宋体"/>
                <w:sz w:val="24"/>
                <w:highlight w:val="none"/>
              </w:rPr>
            </w:pPr>
            <w:r>
              <w:rPr>
                <w:rFonts w:hint="eastAsia" w:ascii="宋体" w:hAnsi="宋体"/>
                <w:sz w:val="24"/>
                <w:highlight w:val="none"/>
              </w:rPr>
              <w:t>合同签订前</w:t>
            </w:r>
          </w:p>
        </w:tc>
      </w:tr>
      <w:tr w14:paraId="10309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jc w:val="center"/>
        </w:trPr>
        <w:tc>
          <w:tcPr>
            <w:tcW w:w="844" w:type="dxa"/>
            <w:vAlign w:val="center"/>
          </w:tcPr>
          <w:p w14:paraId="49EF8D80">
            <w:pPr>
              <w:jc w:val="center"/>
              <w:rPr>
                <w:rFonts w:ascii="宋体" w:hAnsi="宋体"/>
                <w:sz w:val="24"/>
                <w:highlight w:val="none"/>
              </w:rPr>
            </w:pPr>
            <w:r>
              <w:rPr>
                <w:rFonts w:hint="eastAsia" w:ascii="宋体" w:hAnsi="宋体"/>
                <w:sz w:val="24"/>
                <w:highlight w:val="none"/>
              </w:rPr>
              <w:t>2</w:t>
            </w:r>
          </w:p>
        </w:tc>
        <w:tc>
          <w:tcPr>
            <w:tcW w:w="2796" w:type="dxa"/>
            <w:vAlign w:val="center"/>
          </w:tcPr>
          <w:p w14:paraId="4DB8A3C0">
            <w:pPr>
              <w:jc w:val="center"/>
              <w:rPr>
                <w:rFonts w:ascii="宋体" w:hAnsi="宋体"/>
                <w:sz w:val="24"/>
                <w:highlight w:val="none"/>
              </w:rPr>
            </w:pPr>
            <w:r>
              <w:rPr>
                <w:rFonts w:hint="eastAsia" w:ascii="宋体" w:hAnsi="宋体"/>
                <w:bCs/>
                <w:sz w:val="24"/>
                <w:highlight w:val="none"/>
              </w:rPr>
              <w:t>各阶段有关建设主管部门审批文件</w:t>
            </w:r>
          </w:p>
        </w:tc>
        <w:tc>
          <w:tcPr>
            <w:tcW w:w="992" w:type="dxa"/>
            <w:vAlign w:val="center"/>
          </w:tcPr>
          <w:p w14:paraId="0BEAFD20">
            <w:pPr>
              <w:jc w:val="center"/>
              <w:rPr>
                <w:rFonts w:ascii="宋体" w:hAnsi="宋体"/>
                <w:sz w:val="24"/>
                <w:highlight w:val="none"/>
              </w:rPr>
            </w:pPr>
            <w:r>
              <w:rPr>
                <w:rFonts w:hint="eastAsia" w:ascii="宋体" w:hAnsi="宋体"/>
                <w:sz w:val="24"/>
                <w:highlight w:val="none"/>
              </w:rPr>
              <w:t>1</w:t>
            </w:r>
          </w:p>
        </w:tc>
        <w:tc>
          <w:tcPr>
            <w:tcW w:w="1174" w:type="dxa"/>
            <w:vAlign w:val="center"/>
          </w:tcPr>
          <w:p w14:paraId="6854B2E8">
            <w:pPr>
              <w:jc w:val="center"/>
              <w:rPr>
                <w:rFonts w:ascii="宋体" w:hAnsi="宋体"/>
                <w:sz w:val="24"/>
                <w:highlight w:val="none"/>
              </w:rPr>
            </w:pPr>
            <w:r>
              <w:rPr>
                <w:rFonts w:hint="eastAsia" w:ascii="宋体" w:hAnsi="宋体"/>
                <w:sz w:val="24"/>
                <w:highlight w:val="none"/>
              </w:rPr>
              <w:t>复印件</w:t>
            </w:r>
          </w:p>
        </w:tc>
        <w:tc>
          <w:tcPr>
            <w:tcW w:w="2086" w:type="dxa"/>
            <w:vAlign w:val="center"/>
          </w:tcPr>
          <w:p w14:paraId="56F2D99C">
            <w:pPr>
              <w:jc w:val="center"/>
              <w:rPr>
                <w:rFonts w:ascii="宋体" w:hAnsi="宋体"/>
                <w:sz w:val="24"/>
                <w:highlight w:val="none"/>
              </w:rPr>
            </w:pPr>
            <w:r>
              <w:rPr>
                <w:rFonts w:hint="eastAsia" w:ascii="宋体" w:hAnsi="宋体"/>
                <w:sz w:val="24"/>
                <w:highlight w:val="none"/>
              </w:rPr>
              <w:t>文件审批后根据设计需要及时提供</w:t>
            </w:r>
          </w:p>
        </w:tc>
      </w:tr>
      <w:tr w14:paraId="02B59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jc w:val="center"/>
        </w:trPr>
        <w:tc>
          <w:tcPr>
            <w:tcW w:w="844" w:type="dxa"/>
            <w:vAlign w:val="center"/>
          </w:tcPr>
          <w:p w14:paraId="5FA90395">
            <w:pPr>
              <w:jc w:val="center"/>
              <w:rPr>
                <w:rFonts w:ascii="宋体" w:hAnsi="宋体"/>
                <w:sz w:val="24"/>
                <w:highlight w:val="none"/>
              </w:rPr>
            </w:pPr>
            <w:r>
              <w:rPr>
                <w:rFonts w:hint="eastAsia" w:ascii="宋体" w:hAnsi="宋体"/>
                <w:sz w:val="24"/>
                <w:highlight w:val="none"/>
              </w:rPr>
              <w:t>3</w:t>
            </w:r>
          </w:p>
        </w:tc>
        <w:tc>
          <w:tcPr>
            <w:tcW w:w="2796" w:type="dxa"/>
            <w:vAlign w:val="center"/>
          </w:tcPr>
          <w:p w14:paraId="3746B56B">
            <w:pPr>
              <w:pStyle w:val="18"/>
              <w:jc w:val="center"/>
              <w:rPr>
                <w:rFonts w:ascii="宋体" w:hAnsi="宋体"/>
                <w:bCs/>
                <w:sz w:val="24"/>
                <w:highlight w:val="none"/>
              </w:rPr>
            </w:pPr>
            <w:r>
              <w:rPr>
                <w:rFonts w:hint="eastAsia" w:ascii="宋体" w:hAnsi="宋体"/>
                <w:bCs/>
                <w:sz w:val="24"/>
                <w:highlight w:val="none"/>
              </w:rPr>
              <w:t>甲</w:t>
            </w:r>
            <w:r>
              <w:rPr>
                <w:rFonts w:hint="eastAsia" w:ascii="宋体" w:hAnsi="宋体"/>
                <w:bCs/>
                <w:sz w:val="24"/>
                <w:highlight w:val="none"/>
                <w:lang w:val="en-US" w:eastAsia="zh-CN"/>
              </w:rPr>
              <w:t>方</w:t>
            </w:r>
            <w:r>
              <w:rPr>
                <w:rFonts w:hint="eastAsia" w:ascii="宋体" w:hAnsi="宋体"/>
                <w:bCs/>
                <w:sz w:val="24"/>
                <w:highlight w:val="none"/>
              </w:rPr>
              <w:t>的设计要求及进度要求</w:t>
            </w:r>
          </w:p>
        </w:tc>
        <w:tc>
          <w:tcPr>
            <w:tcW w:w="992" w:type="dxa"/>
            <w:vAlign w:val="center"/>
          </w:tcPr>
          <w:p w14:paraId="4A448879">
            <w:pPr>
              <w:pStyle w:val="18"/>
              <w:jc w:val="center"/>
              <w:rPr>
                <w:rFonts w:ascii="宋体" w:hAnsi="宋体"/>
                <w:bCs/>
                <w:sz w:val="24"/>
                <w:highlight w:val="none"/>
              </w:rPr>
            </w:pPr>
            <w:r>
              <w:rPr>
                <w:rFonts w:hint="eastAsia" w:ascii="宋体" w:hAnsi="宋体"/>
                <w:bCs/>
                <w:sz w:val="24"/>
                <w:highlight w:val="none"/>
              </w:rPr>
              <w:t>1</w:t>
            </w:r>
          </w:p>
        </w:tc>
        <w:tc>
          <w:tcPr>
            <w:tcW w:w="1174" w:type="dxa"/>
            <w:vAlign w:val="center"/>
          </w:tcPr>
          <w:p w14:paraId="47BAB9D3">
            <w:pPr>
              <w:pStyle w:val="18"/>
              <w:jc w:val="center"/>
              <w:rPr>
                <w:rFonts w:ascii="宋体" w:hAnsi="宋体"/>
                <w:bCs/>
                <w:sz w:val="24"/>
                <w:highlight w:val="none"/>
              </w:rPr>
            </w:pPr>
            <w:r>
              <w:rPr>
                <w:rFonts w:hint="eastAsia" w:ascii="宋体" w:hAnsi="宋体"/>
                <w:bCs/>
                <w:sz w:val="24"/>
                <w:highlight w:val="none"/>
              </w:rPr>
              <w:t>原件</w:t>
            </w:r>
          </w:p>
        </w:tc>
        <w:tc>
          <w:tcPr>
            <w:tcW w:w="2086" w:type="dxa"/>
            <w:vAlign w:val="center"/>
          </w:tcPr>
          <w:p w14:paraId="73E506AD">
            <w:pPr>
              <w:jc w:val="center"/>
              <w:rPr>
                <w:rFonts w:ascii="宋体" w:hAnsi="宋体"/>
                <w:sz w:val="24"/>
                <w:highlight w:val="none"/>
              </w:rPr>
            </w:pPr>
            <w:r>
              <w:rPr>
                <w:rFonts w:hint="eastAsia" w:ascii="宋体" w:hAnsi="宋体"/>
                <w:sz w:val="24"/>
                <w:highlight w:val="none"/>
              </w:rPr>
              <w:t>合同签订后</w:t>
            </w:r>
          </w:p>
        </w:tc>
      </w:tr>
    </w:tbl>
    <w:p w14:paraId="2118FF2B">
      <w:pPr>
        <w:spacing w:before="120" w:beforeLines="50" w:line="360" w:lineRule="auto"/>
        <w:ind w:firstLine="482" w:firstLineChars="200"/>
        <w:rPr>
          <w:rFonts w:ascii="宋体" w:hAnsi="宋体"/>
          <w:b/>
          <w:bCs/>
          <w:sz w:val="24"/>
          <w:highlight w:val="none"/>
        </w:rPr>
      </w:pPr>
    </w:p>
    <w:p w14:paraId="1F66329F">
      <w:pPr>
        <w:spacing w:before="120" w:beforeLines="50" w:line="360" w:lineRule="auto"/>
        <w:ind w:firstLine="482" w:firstLineChars="200"/>
        <w:rPr>
          <w:rFonts w:ascii="宋体" w:hAnsi="宋体"/>
          <w:b/>
          <w:bCs/>
          <w:sz w:val="24"/>
          <w:highlight w:val="none"/>
        </w:rPr>
      </w:pPr>
      <w:r>
        <w:rPr>
          <w:rFonts w:hint="eastAsia" w:ascii="宋体" w:hAnsi="宋体"/>
          <w:b/>
          <w:bCs/>
          <w:sz w:val="24"/>
          <w:highlight w:val="none"/>
        </w:rPr>
        <w:t>第六条  设计工期、设计文件提交</w:t>
      </w:r>
    </w:p>
    <w:p w14:paraId="7BA664C3">
      <w:pPr>
        <w:pStyle w:val="2"/>
        <w:spacing w:line="360" w:lineRule="auto"/>
        <w:ind w:firstLine="470" w:firstLineChars="196"/>
        <w:rPr>
          <w:rFonts w:hAnsi="宋体" w:eastAsia="宋体"/>
          <w:sz w:val="24"/>
          <w:highlight w:val="none"/>
        </w:rPr>
      </w:pPr>
      <w:r>
        <w:rPr>
          <w:rFonts w:hint="eastAsia" w:hAnsi="宋体" w:eastAsia="宋体"/>
          <w:sz w:val="24"/>
          <w:szCs w:val="24"/>
          <w:highlight w:val="none"/>
        </w:rPr>
        <w:t>6.1</w:t>
      </w:r>
      <w:r>
        <w:rPr>
          <w:rFonts w:hint="eastAsia" w:hAnsi="宋体" w:eastAsia="宋体"/>
          <w:sz w:val="24"/>
          <w:highlight w:val="none"/>
        </w:rPr>
        <w:t>设计工期：按第一篇合同服务工期。</w:t>
      </w:r>
    </w:p>
    <w:p w14:paraId="2173E17E">
      <w:pPr>
        <w:spacing w:line="360" w:lineRule="auto"/>
        <w:ind w:firstLine="480" w:firstLineChars="200"/>
        <w:rPr>
          <w:rFonts w:ascii="宋体" w:hAnsi="宋体"/>
          <w:sz w:val="24"/>
          <w:highlight w:val="none"/>
        </w:rPr>
      </w:pPr>
      <w:r>
        <w:rPr>
          <w:rFonts w:hint="eastAsia" w:ascii="宋体" w:hAnsi="宋体"/>
          <w:sz w:val="24"/>
          <w:highlight w:val="none"/>
        </w:rPr>
        <w:t>6.2设计成果文件要求</w:t>
      </w:r>
    </w:p>
    <w:p w14:paraId="3F866C94">
      <w:pPr>
        <w:spacing w:line="360" w:lineRule="auto"/>
        <w:ind w:firstLine="480" w:firstLineChars="200"/>
        <w:rPr>
          <w:rFonts w:ascii="宋体" w:hAnsi="宋体"/>
          <w:sz w:val="24"/>
          <w:highlight w:val="none"/>
        </w:rPr>
      </w:pPr>
      <w:r>
        <w:rPr>
          <w:rFonts w:hint="eastAsia" w:ascii="宋体" w:hAnsi="宋体"/>
          <w:sz w:val="24"/>
          <w:highlight w:val="none"/>
        </w:rPr>
        <w:t>6.2.1设计成果应达到建设部颁发的《建筑工程设计文件编制深度规定》（</w:t>
      </w:r>
      <w:r>
        <w:rPr>
          <w:rFonts w:ascii="宋体" w:hAnsi="宋体"/>
          <w:sz w:val="24"/>
          <w:highlight w:val="none"/>
        </w:rPr>
        <w:t>20</w:t>
      </w:r>
      <w:r>
        <w:rPr>
          <w:rFonts w:hint="eastAsia" w:ascii="宋体" w:hAnsi="宋体"/>
          <w:sz w:val="24"/>
          <w:highlight w:val="none"/>
        </w:rPr>
        <w:t>16版）。</w:t>
      </w:r>
    </w:p>
    <w:p w14:paraId="213123E6">
      <w:pPr>
        <w:spacing w:line="360" w:lineRule="auto"/>
        <w:ind w:firstLine="480" w:firstLineChars="200"/>
        <w:rPr>
          <w:rFonts w:ascii="宋体" w:hAnsi="宋体"/>
          <w:sz w:val="24"/>
          <w:highlight w:val="none"/>
        </w:rPr>
      </w:pPr>
      <w:r>
        <w:rPr>
          <w:rFonts w:hint="eastAsia" w:ascii="宋体" w:hAnsi="宋体"/>
          <w:sz w:val="24"/>
          <w:highlight w:val="none"/>
        </w:rPr>
        <w:t>6.2.2在项目报建阶段满足建设单位报批各种手续的要求，分阶段提供所需的设计文件。</w:t>
      </w:r>
    </w:p>
    <w:p w14:paraId="5D027D8B">
      <w:pPr>
        <w:spacing w:line="360" w:lineRule="auto"/>
        <w:ind w:firstLine="480" w:firstLineChars="200"/>
        <w:rPr>
          <w:rFonts w:ascii="宋体" w:hAnsi="宋体"/>
          <w:sz w:val="24"/>
          <w:highlight w:val="none"/>
        </w:rPr>
      </w:pPr>
      <w:r>
        <w:rPr>
          <w:rFonts w:hint="eastAsia" w:ascii="宋体" w:hAnsi="宋体"/>
          <w:sz w:val="24"/>
          <w:highlight w:val="none"/>
        </w:rPr>
        <w:t>6.2.3各专业图纸必须符合国家及项目所在地现行的技术规范及标准要求，达到有关审批和审查部门的报送要求，并满足相关专业的下一阶段的招标工作。</w:t>
      </w:r>
    </w:p>
    <w:p w14:paraId="252DD2C7">
      <w:pPr>
        <w:spacing w:line="360" w:lineRule="auto"/>
        <w:ind w:firstLine="480" w:firstLineChars="200"/>
        <w:rPr>
          <w:rFonts w:ascii="宋体" w:hAnsi="宋体"/>
          <w:sz w:val="24"/>
          <w:highlight w:val="none"/>
        </w:rPr>
      </w:pPr>
      <w:r>
        <w:rPr>
          <w:rFonts w:hint="eastAsia" w:ascii="宋体" w:hAnsi="宋体"/>
          <w:sz w:val="24"/>
          <w:highlight w:val="none"/>
        </w:rPr>
        <w:t>6.2.4本次设计招标应提供彩色总平面图、鸟瞰图、多维度效果图，室内外透视效果图、总平面彩图、各单体平面布置图、立面图、剖面图、主要空间效果图、建筑效果图以及其他相关图纸等，施工图设计阶段须提交项目BIM模型。</w:t>
      </w:r>
    </w:p>
    <w:p w14:paraId="6D22861B">
      <w:pPr>
        <w:pStyle w:val="2"/>
        <w:spacing w:line="360" w:lineRule="auto"/>
        <w:ind w:firstLine="470" w:firstLineChars="196"/>
        <w:rPr>
          <w:rFonts w:hAnsi="宋体" w:eastAsia="宋体"/>
          <w:sz w:val="24"/>
          <w:szCs w:val="24"/>
          <w:highlight w:val="none"/>
        </w:rPr>
      </w:pPr>
      <w:r>
        <w:rPr>
          <w:rFonts w:hint="eastAsia" w:hAnsi="宋体" w:eastAsia="宋体"/>
          <w:sz w:val="24"/>
          <w:szCs w:val="24"/>
          <w:highlight w:val="none"/>
        </w:rPr>
        <w:t>6.3 乙方应向</w:t>
      </w:r>
      <w:r>
        <w:rPr>
          <w:rFonts w:hint="eastAsia" w:hAnsi="宋体" w:eastAsia="宋体"/>
          <w:sz w:val="24"/>
          <w:szCs w:val="24"/>
          <w:highlight w:val="none"/>
          <w:lang w:val="en-US" w:eastAsia="zh-CN"/>
        </w:rPr>
        <w:t>甲方</w:t>
      </w:r>
      <w:r>
        <w:rPr>
          <w:rFonts w:hint="eastAsia" w:hAnsi="宋体" w:eastAsia="宋体"/>
          <w:sz w:val="24"/>
          <w:szCs w:val="24"/>
          <w:highlight w:val="none"/>
        </w:rPr>
        <w:t>交付的设计资料及文件：</w:t>
      </w:r>
    </w:p>
    <w:tbl>
      <w:tblPr>
        <w:tblStyle w:val="26"/>
        <w:tblW w:w="839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5"/>
        <w:gridCol w:w="2835"/>
        <w:gridCol w:w="993"/>
        <w:gridCol w:w="1275"/>
        <w:gridCol w:w="2694"/>
      </w:tblGrid>
      <w:tr w14:paraId="0B1B6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blHeader/>
        </w:trPr>
        <w:tc>
          <w:tcPr>
            <w:tcW w:w="595" w:type="dxa"/>
          </w:tcPr>
          <w:p w14:paraId="4A41ABD5">
            <w:pPr>
              <w:spacing w:line="360" w:lineRule="auto"/>
              <w:jc w:val="center"/>
              <w:rPr>
                <w:rFonts w:ascii="宋体" w:hAnsi="宋体"/>
                <w:b/>
                <w:sz w:val="24"/>
                <w:highlight w:val="none"/>
              </w:rPr>
            </w:pPr>
            <w:r>
              <w:rPr>
                <w:rFonts w:hint="eastAsia" w:ascii="宋体" w:hAnsi="宋体"/>
                <w:b/>
                <w:sz w:val="24"/>
                <w:highlight w:val="none"/>
              </w:rPr>
              <w:t>序号</w:t>
            </w:r>
          </w:p>
        </w:tc>
        <w:tc>
          <w:tcPr>
            <w:tcW w:w="2835" w:type="dxa"/>
            <w:vAlign w:val="center"/>
          </w:tcPr>
          <w:p w14:paraId="609A48A3">
            <w:pPr>
              <w:spacing w:line="360" w:lineRule="auto"/>
              <w:jc w:val="center"/>
              <w:rPr>
                <w:rFonts w:ascii="宋体" w:hAnsi="宋体"/>
                <w:b/>
                <w:sz w:val="24"/>
                <w:highlight w:val="none"/>
              </w:rPr>
            </w:pPr>
            <w:r>
              <w:rPr>
                <w:rFonts w:hint="eastAsia" w:ascii="宋体" w:hAnsi="宋体"/>
                <w:b/>
                <w:sz w:val="24"/>
                <w:highlight w:val="none"/>
              </w:rPr>
              <w:t>资料及文件名称</w:t>
            </w:r>
          </w:p>
        </w:tc>
        <w:tc>
          <w:tcPr>
            <w:tcW w:w="993" w:type="dxa"/>
          </w:tcPr>
          <w:p w14:paraId="03C2AE9D">
            <w:pPr>
              <w:spacing w:line="360" w:lineRule="auto"/>
              <w:jc w:val="center"/>
              <w:rPr>
                <w:rFonts w:ascii="宋体" w:hAnsi="宋体"/>
                <w:b/>
                <w:sz w:val="24"/>
                <w:highlight w:val="none"/>
              </w:rPr>
            </w:pPr>
            <w:r>
              <w:rPr>
                <w:rFonts w:hint="eastAsia" w:ascii="宋体" w:hAnsi="宋体"/>
                <w:b/>
                <w:sz w:val="24"/>
                <w:highlight w:val="none"/>
              </w:rPr>
              <w:t>份数</w:t>
            </w:r>
          </w:p>
        </w:tc>
        <w:tc>
          <w:tcPr>
            <w:tcW w:w="1275" w:type="dxa"/>
            <w:vAlign w:val="center"/>
          </w:tcPr>
          <w:p w14:paraId="2CBC1C0E">
            <w:pPr>
              <w:spacing w:line="360" w:lineRule="auto"/>
              <w:jc w:val="center"/>
              <w:rPr>
                <w:rFonts w:ascii="宋体" w:hAnsi="宋体"/>
                <w:b/>
                <w:sz w:val="24"/>
                <w:highlight w:val="none"/>
              </w:rPr>
            </w:pPr>
            <w:r>
              <w:rPr>
                <w:rFonts w:hint="eastAsia" w:ascii="宋体" w:hAnsi="宋体"/>
                <w:b/>
                <w:sz w:val="24"/>
                <w:highlight w:val="none"/>
              </w:rPr>
              <w:t>提交日期</w:t>
            </w:r>
          </w:p>
        </w:tc>
        <w:tc>
          <w:tcPr>
            <w:tcW w:w="2694" w:type="dxa"/>
            <w:vAlign w:val="center"/>
          </w:tcPr>
          <w:p w14:paraId="7327418F">
            <w:pPr>
              <w:spacing w:line="360" w:lineRule="auto"/>
              <w:jc w:val="center"/>
              <w:rPr>
                <w:rFonts w:ascii="宋体" w:hAnsi="宋体"/>
                <w:b/>
                <w:sz w:val="24"/>
                <w:highlight w:val="none"/>
              </w:rPr>
            </w:pPr>
            <w:r>
              <w:rPr>
                <w:rFonts w:hint="eastAsia" w:ascii="宋体" w:hAnsi="宋体"/>
                <w:b/>
                <w:sz w:val="24"/>
                <w:highlight w:val="none"/>
              </w:rPr>
              <w:t>有关事宜</w:t>
            </w:r>
          </w:p>
        </w:tc>
      </w:tr>
      <w:tr w14:paraId="2C748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59" w:hRule="atLeast"/>
        </w:trPr>
        <w:tc>
          <w:tcPr>
            <w:tcW w:w="595" w:type="dxa"/>
            <w:vAlign w:val="center"/>
          </w:tcPr>
          <w:p w14:paraId="10A2BCF1">
            <w:pPr>
              <w:jc w:val="center"/>
              <w:rPr>
                <w:rFonts w:ascii="宋体" w:hAnsi="宋体"/>
                <w:sz w:val="24"/>
                <w:highlight w:val="none"/>
              </w:rPr>
            </w:pPr>
            <w:r>
              <w:rPr>
                <w:rFonts w:ascii="宋体" w:hAnsi="宋体"/>
                <w:sz w:val="24"/>
                <w:highlight w:val="none"/>
              </w:rPr>
              <w:t>1</w:t>
            </w:r>
          </w:p>
        </w:tc>
        <w:tc>
          <w:tcPr>
            <w:tcW w:w="2835" w:type="dxa"/>
            <w:vAlign w:val="center"/>
          </w:tcPr>
          <w:p w14:paraId="2CB54D9B">
            <w:pPr>
              <w:jc w:val="center"/>
              <w:rPr>
                <w:rFonts w:ascii="宋体" w:hAnsi="宋体"/>
                <w:sz w:val="24"/>
                <w:highlight w:val="none"/>
              </w:rPr>
            </w:pPr>
            <w:r>
              <w:rPr>
                <w:rFonts w:hint="eastAsia" w:ascii="宋体" w:hAnsi="宋体"/>
                <w:sz w:val="24"/>
                <w:highlight w:val="none"/>
              </w:rPr>
              <w:t>符合</w:t>
            </w:r>
            <w:r>
              <w:rPr>
                <w:rFonts w:hint="eastAsia" w:ascii="宋体" w:hAnsi="宋体"/>
                <w:sz w:val="24"/>
                <w:highlight w:val="none"/>
                <w:lang w:val="en-US" w:eastAsia="zh-CN"/>
              </w:rPr>
              <w:t>报建</w:t>
            </w:r>
            <w:r>
              <w:rPr>
                <w:rFonts w:hint="eastAsia" w:ascii="宋体" w:hAnsi="宋体"/>
                <w:sz w:val="24"/>
                <w:highlight w:val="none"/>
              </w:rPr>
              <w:t>要求的报建</w:t>
            </w:r>
            <w:r>
              <w:rPr>
                <w:rFonts w:hint="eastAsia" w:ascii="宋体" w:hAnsi="宋体"/>
                <w:sz w:val="24"/>
                <w:highlight w:val="none"/>
                <w:lang w:val="en-US" w:eastAsia="zh-CN"/>
              </w:rPr>
              <w:t>文件</w:t>
            </w:r>
          </w:p>
        </w:tc>
        <w:tc>
          <w:tcPr>
            <w:tcW w:w="993" w:type="dxa"/>
            <w:vAlign w:val="center"/>
          </w:tcPr>
          <w:p w14:paraId="378DAE29">
            <w:pPr>
              <w:jc w:val="center"/>
              <w:rPr>
                <w:rFonts w:ascii="宋体" w:hAnsi="宋体"/>
                <w:sz w:val="24"/>
                <w:highlight w:val="none"/>
              </w:rPr>
            </w:pPr>
            <w:r>
              <w:rPr>
                <w:rFonts w:hint="eastAsia" w:ascii="宋体" w:hAnsi="宋体"/>
                <w:sz w:val="24"/>
                <w:highlight w:val="none"/>
              </w:rPr>
              <w:t>按审批部门要求提供</w:t>
            </w:r>
          </w:p>
        </w:tc>
        <w:tc>
          <w:tcPr>
            <w:tcW w:w="1275" w:type="dxa"/>
            <w:vAlign w:val="center"/>
          </w:tcPr>
          <w:p w14:paraId="6CF138EB">
            <w:pPr>
              <w:rPr>
                <w:rFonts w:ascii="宋体" w:hAnsi="宋体"/>
                <w:sz w:val="24"/>
                <w:highlight w:val="none"/>
              </w:rPr>
            </w:pPr>
            <w:r>
              <w:rPr>
                <w:rFonts w:hint="eastAsia" w:ascii="宋体" w:hAnsi="宋体"/>
                <w:sz w:val="24"/>
                <w:highlight w:val="none"/>
              </w:rPr>
              <w:t>配合报建进度要求提供</w:t>
            </w:r>
          </w:p>
        </w:tc>
        <w:tc>
          <w:tcPr>
            <w:tcW w:w="2694" w:type="dxa"/>
            <w:vMerge w:val="restart"/>
          </w:tcPr>
          <w:p w14:paraId="16861E3E">
            <w:pPr>
              <w:pStyle w:val="36"/>
              <w:numPr>
                <w:ilvl w:val="3"/>
                <w:numId w:val="3"/>
              </w:numPr>
              <w:tabs>
                <w:tab w:val="left" w:pos="398"/>
                <w:tab w:val="clear" w:pos="2241"/>
              </w:tabs>
              <w:ind w:left="256" w:hanging="142" w:firstLineChars="0"/>
              <w:rPr>
                <w:rFonts w:ascii="宋体" w:hAnsi="宋体"/>
                <w:sz w:val="24"/>
                <w:highlight w:val="none"/>
              </w:rPr>
            </w:pPr>
            <w:r>
              <w:rPr>
                <w:rFonts w:hint="eastAsia" w:ascii="宋体" w:hAnsi="宋体"/>
                <w:sz w:val="24"/>
                <w:highlight w:val="none"/>
              </w:rPr>
              <w:t xml:space="preserve"> 乙方提交的设计文件格式应满足有关审批报送要求，乙方应按相关部门的审核进度修改，直至满足回复为止。</w:t>
            </w:r>
          </w:p>
          <w:p w14:paraId="7EC34CA1">
            <w:pPr>
              <w:pStyle w:val="36"/>
              <w:numPr>
                <w:ilvl w:val="3"/>
                <w:numId w:val="3"/>
              </w:numPr>
              <w:tabs>
                <w:tab w:val="left" w:pos="398"/>
                <w:tab w:val="clear" w:pos="2241"/>
              </w:tabs>
              <w:ind w:left="256" w:hanging="142" w:firstLineChars="0"/>
              <w:rPr>
                <w:highlight w:val="none"/>
              </w:rPr>
            </w:pPr>
            <w:r>
              <w:rPr>
                <w:rFonts w:hint="eastAsia" w:ascii="宋体" w:hAnsi="宋体"/>
                <w:sz w:val="24"/>
                <w:highlight w:val="none"/>
              </w:rPr>
              <w:t>提供设计成果时一并提供检测合格的电子文件及检验证明资料。</w:t>
            </w:r>
          </w:p>
        </w:tc>
      </w:tr>
      <w:tr w14:paraId="335C5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55" w:hRule="atLeast"/>
        </w:trPr>
        <w:tc>
          <w:tcPr>
            <w:tcW w:w="595" w:type="dxa"/>
            <w:vAlign w:val="center"/>
          </w:tcPr>
          <w:p w14:paraId="17FADEEC">
            <w:pPr>
              <w:jc w:val="center"/>
              <w:rPr>
                <w:rFonts w:ascii="宋体" w:hAnsi="宋体"/>
                <w:sz w:val="24"/>
                <w:highlight w:val="none"/>
              </w:rPr>
            </w:pPr>
            <w:r>
              <w:rPr>
                <w:rFonts w:ascii="宋体" w:hAnsi="宋体"/>
                <w:sz w:val="24"/>
                <w:highlight w:val="none"/>
              </w:rPr>
              <w:t>2</w:t>
            </w:r>
          </w:p>
        </w:tc>
        <w:tc>
          <w:tcPr>
            <w:tcW w:w="2835" w:type="dxa"/>
            <w:vAlign w:val="center"/>
          </w:tcPr>
          <w:p w14:paraId="438CAAE8">
            <w:pPr>
              <w:jc w:val="center"/>
              <w:rPr>
                <w:rFonts w:ascii="宋体" w:hAnsi="宋体"/>
                <w:sz w:val="24"/>
                <w:highlight w:val="none"/>
              </w:rPr>
            </w:pPr>
            <w:r>
              <w:rPr>
                <w:rFonts w:hint="eastAsia" w:ascii="宋体" w:hAnsi="宋体"/>
                <w:sz w:val="24"/>
                <w:highlight w:val="none"/>
              </w:rPr>
              <w:t>初步设计文件</w:t>
            </w:r>
          </w:p>
        </w:tc>
        <w:tc>
          <w:tcPr>
            <w:tcW w:w="993" w:type="dxa"/>
            <w:vAlign w:val="center"/>
          </w:tcPr>
          <w:p w14:paraId="1F04EC73">
            <w:pPr>
              <w:jc w:val="center"/>
              <w:rPr>
                <w:rFonts w:ascii="宋体" w:hAnsi="宋体"/>
                <w:sz w:val="24"/>
                <w:highlight w:val="none"/>
              </w:rPr>
            </w:pPr>
            <w:r>
              <w:rPr>
                <w:rFonts w:ascii="宋体" w:hAnsi="宋体"/>
                <w:sz w:val="24"/>
                <w:highlight w:val="none"/>
              </w:rPr>
              <w:t>10</w:t>
            </w:r>
            <w:r>
              <w:rPr>
                <w:rFonts w:hint="eastAsia" w:ascii="宋体" w:hAnsi="宋体"/>
                <w:sz w:val="24"/>
                <w:highlight w:val="none"/>
              </w:rPr>
              <w:t>份</w:t>
            </w:r>
          </w:p>
        </w:tc>
        <w:tc>
          <w:tcPr>
            <w:tcW w:w="1275" w:type="dxa"/>
            <w:vAlign w:val="center"/>
          </w:tcPr>
          <w:p w14:paraId="7BCF93AD">
            <w:pPr>
              <w:rPr>
                <w:rFonts w:ascii="宋体" w:hAnsi="宋体"/>
                <w:sz w:val="24"/>
                <w:highlight w:val="none"/>
              </w:rPr>
            </w:pPr>
            <w:r>
              <w:rPr>
                <w:rFonts w:hint="eastAsia" w:ascii="宋体" w:hAnsi="宋体"/>
                <w:sz w:val="24"/>
                <w:highlight w:val="none"/>
                <w:lang w:val="en-US" w:eastAsia="zh-CN"/>
              </w:rPr>
              <w:t>设计</w:t>
            </w:r>
            <w:r>
              <w:rPr>
                <w:rFonts w:hint="eastAsia" w:ascii="宋体" w:hAnsi="宋体"/>
                <w:sz w:val="24"/>
                <w:highlight w:val="none"/>
              </w:rPr>
              <w:t>方案批准后</w:t>
            </w:r>
            <w:r>
              <w:rPr>
                <w:rFonts w:hint="eastAsia" w:ascii="宋体" w:hAnsi="宋体"/>
                <w:sz w:val="24"/>
                <w:highlight w:val="none"/>
                <w:lang w:val="en-US" w:eastAsia="zh-CN"/>
              </w:rPr>
              <w:t>30</w:t>
            </w:r>
            <w:r>
              <w:rPr>
                <w:rFonts w:hint="eastAsia" w:ascii="宋体" w:hAnsi="宋体"/>
                <w:sz w:val="24"/>
                <w:highlight w:val="none"/>
              </w:rPr>
              <w:t>个工作日内</w:t>
            </w:r>
          </w:p>
        </w:tc>
        <w:tc>
          <w:tcPr>
            <w:tcW w:w="2694" w:type="dxa"/>
            <w:vMerge w:val="continue"/>
          </w:tcPr>
          <w:p w14:paraId="2EDEFF5E">
            <w:pPr>
              <w:rPr>
                <w:rFonts w:ascii="宋体" w:hAnsi="宋体"/>
                <w:sz w:val="24"/>
                <w:highlight w:val="none"/>
              </w:rPr>
            </w:pPr>
          </w:p>
        </w:tc>
      </w:tr>
      <w:tr w14:paraId="32661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58" w:hRule="atLeast"/>
        </w:trPr>
        <w:tc>
          <w:tcPr>
            <w:tcW w:w="595" w:type="dxa"/>
            <w:vAlign w:val="center"/>
          </w:tcPr>
          <w:p w14:paraId="4EC05A85">
            <w:pPr>
              <w:jc w:val="center"/>
              <w:rPr>
                <w:rFonts w:ascii="宋体" w:hAnsi="宋体"/>
                <w:sz w:val="24"/>
                <w:highlight w:val="none"/>
              </w:rPr>
            </w:pPr>
            <w:r>
              <w:rPr>
                <w:rFonts w:ascii="宋体" w:hAnsi="宋体"/>
                <w:sz w:val="24"/>
                <w:highlight w:val="none"/>
              </w:rPr>
              <w:t>3</w:t>
            </w:r>
          </w:p>
        </w:tc>
        <w:tc>
          <w:tcPr>
            <w:tcW w:w="2835" w:type="dxa"/>
            <w:vAlign w:val="center"/>
          </w:tcPr>
          <w:p w14:paraId="1E39FB1D">
            <w:pPr>
              <w:jc w:val="center"/>
              <w:rPr>
                <w:rFonts w:ascii="宋体" w:hAnsi="宋体"/>
                <w:sz w:val="24"/>
                <w:highlight w:val="none"/>
              </w:rPr>
            </w:pPr>
            <w:r>
              <w:rPr>
                <w:rFonts w:hint="eastAsia" w:ascii="宋体" w:hAnsi="宋体"/>
                <w:sz w:val="24"/>
                <w:highlight w:val="none"/>
              </w:rPr>
              <w:t>施工图设计文件</w:t>
            </w:r>
          </w:p>
        </w:tc>
        <w:tc>
          <w:tcPr>
            <w:tcW w:w="993" w:type="dxa"/>
            <w:vAlign w:val="center"/>
          </w:tcPr>
          <w:p w14:paraId="49D6033A">
            <w:pPr>
              <w:jc w:val="center"/>
              <w:rPr>
                <w:rFonts w:ascii="宋体" w:hAnsi="宋体"/>
                <w:sz w:val="24"/>
                <w:highlight w:val="none"/>
              </w:rPr>
            </w:pPr>
            <w:r>
              <w:rPr>
                <w:rFonts w:hint="eastAsia" w:ascii="宋体" w:hAnsi="宋体"/>
                <w:color w:val="auto"/>
                <w:sz w:val="24"/>
                <w:highlight w:val="none"/>
                <w:lang w:val="en-US" w:eastAsia="zh-CN"/>
              </w:rPr>
              <w:t>12</w:t>
            </w:r>
            <w:r>
              <w:rPr>
                <w:rFonts w:hint="eastAsia" w:ascii="宋体" w:hAnsi="宋体"/>
                <w:sz w:val="24"/>
                <w:highlight w:val="none"/>
              </w:rPr>
              <w:t>份</w:t>
            </w:r>
          </w:p>
        </w:tc>
        <w:tc>
          <w:tcPr>
            <w:tcW w:w="1275" w:type="dxa"/>
            <w:vAlign w:val="center"/>
          </w:tcPr>
          <w:p w14:paraId="45230572">
            <w:pPr>
              <w:rPr>
                <w:rFonts w:ascii="宋体" w:hAnsi="宋体"/>
                <w:sz w:val="24"/>
                <w:highlight w:val="none"/>
              </w:rPr>
            </w:pPr>
            <w:r>
              <w:rPr>
                <w:rFonts w:hint="eastAsia" w:ascii="宋体" w:hAnsi="宋体"/>
                <w:sz w:val="24"/>
                <w:highlight w:val="none"/>
              </w:rPr>
              <w:t>初步设计批准后</w:t>
            </w:r>
            <w:r>
              <w:rPr>
                <w:rFonts w:hint="eastAsia" w:ascii="宋体" w:hAnsi="宋体"/>
                <w:sz w:val="24"/>
                <w:highlight w:val="none"/>
                <w:lang w:val="en-US" w:eastAsia="zh-CN"/>
              </w:rPr>
              <w:t>25</w:t>
            </w:r>
            <w:r>
              <w:rPr>
                <w:rFonts w:hint="eastAsia" w:ascii="宋体" w:hAnsi="宋体"/>
                <w:sz w:val="24"/>
                <w:highlight w:val="none"/>
              </w:rPr>
              <w:t>个工作日内</w:t>
            </w:r>
          </w:p>
        </w:tc>
        <w:tc>
          <w:tcPr>
            <w:tcW w:w="2694" w:type="dxa"/>
            <w:vMerge w:val="continue"/>
          </w:tcPr>
          <w:p w14:paraId="40E2C156">
            <w:pPr>
              <w:rPr>
                <w:rFonts w:ascii="宋体" w:hAnsi="宋体"/>
                <w:sz w:val="24"/>
                <w:highlight w:val="none"/>
              </w:rPr>
            </w:pPr>
          </w:p>
        </w:tc>
      </w:tr>
      <w:tr w14:paraId="336C5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098" w:hRule="atLeast"/>
        </w:trPr>
        <w:tc>
          <w:tcPr>
            <w:tcW w:w="595" w:type="dxa"/>
            <w:tcBorders>
              <w:bottom w:val="single" w:color="auto" w:sz="4" w:space="0"/>
            </w:tcBorders>
            <w:vAlign w:val="center"/>
          </w:tcPr>
          <w:p w14:paraId="70B1788D">
            <w:pPr>
              <w:jc w:val="center"/>
              <w:rPr>
                <w:rFonts w:ascii="宋体" w:hAnsi="宋体"/>
                <w:sz w:val="24"/>
                <w:highlight w:val="none"/>
              </w:rPr>
            </w:pPr>
            <w:r>
              <w:rPr>
                <w:rFonts w:ascii="宋体" w:hAnsi="宋体"/>
                <w:sz w:val="24"/>
                <w:highlight w:val="none"/>
              </w:rPr>
              <w:t>4</w:t>
            </w:r>
          </w:p>
        </w:tc>
        <w:tc>
          <w:tcPr>
            <w:tcW w:w="2835" w:type="dxa"/>
            <w:tcBorders>
              <w:bottom w:val="single" w:color="auto" w:sz="4" w:space="0"/>
            </w:tcBorders>
            <w:vAlign w:val="center"/>
          </w:tcPr>
          <w:p w14:paraId="481E1ACB">
            <w:pPr>
              <w:jc w:val="center"/>
              <w:rPr>
                <w:rFonts w:ascii="宋体" w:hAnsi="宋体"/>
                <w:sz w:val="24"/>
                <w:highlight w:val="none"/>
              </w:rPr>
            </w:pPr>
            <w:r>
              <w:rPr>
                <w:rFonts w:hint="eastAsia" w:ascii="宋体" w:hAnsi="宋体"/>
                <w:sz w:val="24"/>
                <w:highlight w:val="none"/>
              </w:rPr>
              <w:t>设计电子文件（非加密且可编辑AutoCAD的版本及不可编辑的PDF版本）</w:t>
            </w:r>
          </w:p>
        </w:tc>
        <w:tc>
          <w:tcPr>
            <w:tcW w:w="993" w:type="dxa"/>
            <w:tcBorders>
              <w:bottom w:val="single" w:color="auto" w:sz="4" w:space="0"/>
            </w:tcBorders>
            <w:vAlign w:val="center"/>
          </w:tcPr>
          <w:p w14:paraId="7AF9CA9D">
            <w:pPr>
              <w:jc w:val="center"/>
              <w:rPr>
                <w:rFonts w:ascii="宋体" w:hAnsi="宋体"/>
                <w:sz w:val="24"/>
                <w:highlight w:val="none"/>
              </w:rPr>
            </w:pPr>
            <w:r>
              <w:rPr>
                <w:rFonts w:ascii="宋体" w:hAnsi="宋体"/>
                <w:sz w:val="24"/>
                <w:highlight w:val="none"/>
              </w:rPr>
              <w:t>2</w:t>
            </w:r>
            <w:r>
              <w:rPr>
                <w:rFonts w:hint="eastAsia" w:ascii="宋体" w:hAnsi="宋体"/>
                <w:sz w:val="24"/>
                <w:highlight w:val="none"/>
              </w:rPr>
              <w:t>套（刻录光盘）</w:t>
            </w:r>
          </w:p>
        </w:tc>
        <w:tc>
          <w:tcPr>
            <w:tcW w:w="1275" w:type="dxa"/>
            <w:tcBorders>
              <w:bottom w:val="single" w:color="auto" w:sz="4" w:space="0"/>
            </w:tcBorders>
            <w:vAlign w:val="center"/>
          </w:tcPr>
          <w:p w14:paraId="24C1CF8C">
            <w:pPr>
              <w:rPr>
                <w:rFonts w:ascii="宋体" w:hAnsi="宋体"/>
                <w:sz w:val="24"/>
                <w:highlight w:val="none"/>
              </w:rPr>
            </w:pPr>
            <w:r>
              <w:rPr>
                <w:rFonts w:hint="eastAsia" w:ascii="宋体" w:hAnsi="宋体"/>
                <w:sz w:val="24"/>
                <w:highlight w:val="none"/>
              </w:rPr>
              <w:t>随设计文件一起提交</w:t>
            </w:r>
          </w:p>
        </w:tc>
        <w:tc>
          <w:tcPr>
            <w:tcW w:w="2694" w:type="dxa"/>
            <w:vMerge w:val="continue"/>
          </w:tcPr>
          <w:p w14:paraId="506FA654">
            <w:pPr>
              <w:rPr>
                <w:rFonts w:ascii="宋体" w:hAnsi="宋体"/>
                <w:sz w:val="24"/>
                <w:highlight w:val="none"/>
              </w:rPr>
            </w:pPr>
          </w:p>
        </w:tc>
      </w:tr>
      <w:tr w14:paraId="518F1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298" w:hRule="atLeast"/>
        </w:trPr>
        <w:tc>
          <w:tcPr>
            <w:tcW w:w="595" w:type="dxa"/>
            <w:tcBorders>
              <w:top w:val="single" w:color="auto" w:sz="4" w:space="0"/>
              <w:bottom w:val="single" w:color="auto" w:sz="4" w:space="0"/>
            </w:tcBorders>
            <w:vAlign w:val="center"/>
          </w:tcPr>
          <w:p w14:paraId="4827E2BE">
            <w:pPr>
              <w:jc w:val="center"/>
              <w:rPr>
                <w:rFonts w:hint="default" w:ascii="宋体" w:hAnsi="宋体" w:eastAsia="宋体"/>
                <w:sz w:val="24"/>
                <w:highlight w:val="none"/>
                <w:lang w:val="en-US" w:eastAsia="zh-CN"/>
              </w:rPr>
            </w:pPr>
            <w:r>
              <w:rPr>
                <w:rFonts w:hint="eastAsia" w:ascii="宋体" w:hAnsi="宋体"/>
                <w:sz w:val="24"/>
                <w:highlight w:val="none"/>
                <w:lang w:val="en-US" w:eastAsia="zh-CN"/>
              </w:rPr>
              <w:t>5</w:t>
            </w:r>
          </w:p>
        </w:tc>
        <w:tc>
          <w:tcPr>
            <w:tcW w:w="2835" w:type="dxa"/>
            <w:tcBorders>
              <w:top w:val="single" w:color="auto" w:sz="4" w:space="0"/>
              <w:bottom w:val="single" w:color="auto" w:sz="4" w:space="0"/>
            </w:tcBorders>
            <w:vAlign w:val="center"/>
          </w:tcPr>
          <w:p w14:paraId="6DA686BB">
            <w:pPr>
              <w:jc w:val="center"/>
              <w:rPr>
                <w:rFonts w:ascii="宋体" w:hAnsi="宋体"/>
                <w:sz w:val="24"/>
                <w:highlight w:val="none"/>
              </w:rPr>
            </w:pPr>
            <w:r>
              <w:rPr>
                <w:rFonts w:hint="eastAsia" w:ascii="宋体" w:hAnsi="宋体"/>
                <w:sz w:val="24"/>
                <w:highlight w:val="none"/>
              </w:rPr>
              <w:t>配合完成广州市房屋建筑和市政工程施工图联合审图系统网上审查编号备案流程</w:t>
            </w:r>
          </w:p>
        </w:tc>
        <w:tc>
          <w:tcPr>
            <w:tcW w:w="993" w:type="dxa"/>
            <w:tcBorders>
              <w:top w:val="single" w:color="auto" w:sz="4" w:space="0"/>
              <w:bottom w:val="single" w:color="auto" w:sz="4" w:space="0"/>
            </w:tcBorders>
            <w:vAlign w:val="center"/>
          </w:tcPr>
          <w:p w14:paraId="38788C8C">
            <w:pPr>
              <w:jc w:val="center"/>
              <w:rPr>
                <w:rFonts w:ascii="宋体" w:hAnsi="宋体"/>
                <w:sz w:val="24"/>
                <w:highlight w:val="none"/>
              </w:rPr>
            </w:pPr>
          </w:p>
        </w:tc>
        <w:tc>
          <w:tcPr>
            <w:tcW w:w="1275" w:type="dxa"/>
            <w:tcBorders>
              <w:top w:val="single" w:color="auto" w:sz="4" w:space="0"/>
              <w:bottom w:val="single" w:color="auto" w:sz="4" w:space="0"/>
            </w:tcBorders>
            <w:vAlign w:val="center"/>
          </w:tcPr>
          <w:p w14:paraId="154EF63F">
            <w:pPr>
              <w:rPr>
                <w:rFonts w:hint="default" w:ascii="宋体" w:hAnsi="宋体" w:eastAsia="宋体"/>
                <w:sz w:val="24"/>
                <w:highlight w:val="none"/>
                <w:lang w:val="en-US" w:eastAsia="zh-CN"/>
              </w:rPr>
            </w:pPr>
            <w:r>
              <w:rPr>
                <w:rFonts w:hint="eastAsia" w:ascii="宋体" w:hAnsi="宋体"/>
                <w:sz w:val="24"/>
                <w:highlight w:val="none"/>
                <w:lang w:val="en-US" w:eastAsia="zh-CN"/>
              </w:rPr>
              <w:t>按要求完成</w:t>
            </w:r>
          </w:p>
        </w:tc>
        <w:tc>
          <w:tcPr>
            <w:tcW w:w="2694" w:type="dxa"/>
            <w:vMerge w:val="continue"/>
          </w:tcPr>
          <w:p w14:paraId="28F4E9BC">
            <w:pPr>
              <w:rPr>
                <w:rFonts w:ascii="宋体" w:hAnsi="宋体"/>
                <w:sz w:val="24"/>
                <w:highlight w:val="none"/>
              </w:rPr>
            </w:pPr>
          </w:p>
        </w:tc>
      </w:tr>
      <w:tr w14:paraId="064D8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06" w:hRule="atLeast"/>
        </w:trPr>
        <w:tc>
          <w:tcPr>
            <w:tcW w:w="595" w:type="dxa"/>
            <w:tcBorders>
              <w:top w:val="single" w:color="auto" w:sz="4" w:space="0"/>
            </w:tcBorders>
          </w:tcPr>
          <w:p w14:paraId="58B6C146">
            <w:pPr>
              <w:spacing w:line="360" w:lineRule="auto"/>
              <w:jc w:val="center"/>
              <w:rPr>
                <w:rFonts w:ascii="宋体" w:hAnsi="宋体"/>
                <w:sz w:val="24"/>
                <w:highlight w:val="none"/>
              </w:rPr>
            </w:pPr>
            <w:r>
              <w:rPr>
                <w:rFonts w:hint="eastAsia" w:ascii="宋体" w:hAnsi="宋体"/>
                <w:sz w:val="24"/>
                <w:highlight w:val="none"/>
              </w:rPr>
              <w:t>备注</w:t>
            </w:r>
          </w:p>
        </w:tc>
        <w:tc>
          <w:tcPr>
            <w:tcW w:w="7797" w:type="dxa"/>
            <w:gridSpan w:val="4"/>
            <w:tcBorders>
              <w:top w:val="single" w:color="auto" w:sz="4" w:space="0"/>
            </w:tcBorders>
          </w:tcPr>
          <w:p w14:paraId="52A778A1">
            <w:pPr>
              <w:spacing w:line="360" w:lineRule="auto"/>
              <w:rPr>
                <w:rFonts w:ascii="宋体" w:hAnsi="宋体"/>
                <w:sz w:val="24"/>
                <w:highlight w:val="none"/>
              </w:rPr>
            </w:pPr>
            <w:r>
              <w:rPr>
                <w:rFonts w:hint="eastAsia" w:ascii="宋体" w:hAnsi="宋体"/>
                <w:sz w:val="24"/>
                <w:highlight w:val="none"/>
              </w:rPr>
              <w:t>评审过程中需要的图纸由乙方按需要提供</w:t>
            </w:r>
            <w:r>
              <w:rPr>
                <w:rFonts w:hint="eastAsia"/>
                <w:highlight w:val="none"/>
              </w:rPr>
              <w:t>。</w:t>
            </w:r>
          </w:p>
        </w:tc>
      </w:tr>
    </w:tbl>
    <w:p w14:paraId="52EC1137">
      <w:pPr>
        <w:spacing w:line="360" w:lineRule="auto"/>
        <w:rPr>
          <w:rFonts w:ascii="宋体" w:hAnsi="宋体"/>
          <w:sz w:val="24"/>
          <w:highlight w:val="none"/>
        </w:rPr>
      </w:pPr>
    </w:p>
    <w:p w14:paraId="6B92967F">
      <w:pPr>
        <w:spacing w:line="360" w:lineRule="auto"/>
        <w:ind w:firstLine="480" w:firstLineChars="200"/>
        <w:rPr>
          <w:rFonts w:ascii="宋体" w:hAnsi="宋体"/>
          <w:sz w:val="24"/>
          <w:highlight w:val="none"/>
        </w:rPr>
      </w:pPr>
      <w:r>
        <w:rPr>
          <w:rFonts w:hint="eastAsia" w:ascii="宋体" w:hAnsi="宋体"/>
          <w:sz w:val="24"/>
          <w:highlight w:val="none"/>
        </w:rPr>
        <w:t>6.4配合施工过程的现场服务和各专业的变更、备案验收。</w:t>
      </w:r>
    </w:p>
    <w:p w14:paraId="30403C04">
      <w:pPr>
        <w:spacing w:before="120" w:beforeLines="50" w:line="360" w:lineRule="auto"/>
        <w:ind w:firstLine="482" w:firstLineChars="200"/>
        <w:rPr>
          <w:rFonts w:ascii="宋体" w:hAnsi="宋体"/>
          <w:b/>
          <w:bCs/>
          <w:sz w:val="24"/>
          <w:highlight w:val="none"/>
        </w:rPr>
      </w:pPr>
      <w:r>
        <w:rPr>
          <w:rFonts w:hint="eastAsia" w:ascii="宋体" w:hAnsi="宋体"/>
          <w:b/>
          <w:bCs/>
          <w:sz w:val="24"/>
          <w:highlight w:val="none"/>
        </w:rPr>
        <w:t>第七条　设计服务</w:t>
      </w:r>
      <w:r>
        <w:rPr>
          <w:rFonts w:hint="eastAsia" w:ascii="宋体" w:hAnsi="宋体"/>
          <w:b/>
          <w:bCs/>
          <w:sz w:val="24"/>
          <w:highlight w:val="none"/>
          <w:lang w:val="en-US" w:eastAsia="zh-CN"/>
        </w:rPr>
        <w:t>及</w:t>
      </w:r>
      <w:r>
        <w:rPr>
          <w:rFonts w:hint="eastAsia"/>
          <w:color w:val="auto"/>
          <w:kern w:val="0"/>
          <w:sz w:val="24"/>
          <w:highlight w:val="none"/>
        </w:rPr>
        <w:t>报批报建服务</w:t>
      </w:r>
      <w:r>
        <w:rPr>
          <w:rFonts w:hint="eastAsia" w:ascii="宋体" w:hAnsi="宋体"/>
          <w:b/>
          <w:bCs/>
          <w:sz w:val="24"/>
          <w:highlight w:val="none"/>
        </w:rPr>
        <w:t>费用</w:t>
      </w:r>
    </w:p>
    <w:p w14:paraId="669EF807">
      <w:pPr>
        <w:spacing w:line="360" w:lineRule="auto"/>
        <w:ind w:firstLine="480" w:firstLineChars="200"/>
        <w:jc w:val="left"/>
        <w:rPr>
          <w:color w:val="auto"/>
          <w:highlight w:val="none"/>
        </w:rPr>
      </w:pPr>
      <w:r>
        <w:rPr>
          <w:rFonts w:hint="eastAsia"/>
          <w:color w:val="auto"/>
          <w:kern w:val="0"/>
          <w:sz w:val="24"/>
          <w:highlight w:val="none"/>
        </w:rPr>
        <w:t>7.1本项目设计费及报批报建服务费暂定</w:t>
      </w:r>
      <w:r>
        <w:rPr>
          <w:rFonts w:hint="eastAsia"/>
          <w:color w:val="auto"/>
          <w:kern w:val="0"/>
          <w:sz w:val="24"/>
          <w:highlight w:val="none"/>
          <w:lang w:val="en-US" w:eastAsia="zh-CN"/>
        </w:rPr>
        <w:t>含税</w:t>
      </w:r>
      <w:r>
        <w:rPr>
          <w:rFonts w:hint="eastAsia"/>
          <w:color w:val="auto"/>
          <w:kern w:val="0"/>
          <w:sz w:val="24"/>
          <w:highlight w:val="none"/>
        </w:rPr>
        <w:t>合同价为人民币大写</w:t>
      </w:r>
      <w:r>
        <w:rPr>
          <w:rFonts w:hint="eastAsia"/>
          <w:color w:val="auto"/>
          <w:kern w:val="0"/>
          <w:sz w:val="24"/>
          <w:highlight w:val="none"/>
          <w:u w:val="single"/>
        </w:rPr>
        <w:t xml:space="preserve"> </w:t>
      </w:r>
      <w:r>
        <w:rPr>
          <w:color w:val="auto"/>
          <w:kern w:val="0"/>
          <w:sz w:val="24"/>
          <w:highlight w:val="none"/>
          <w:u w:val="single"/>
        </w:rPr>
        <w:t xml:space="preserve">      </w:t>
      </w:r>
      <w:r>
        <w:rPr>
          <w:rFonts w:hint="eastAsia"/>
          <w:color w:val="auto"/>
          <w:kern w:val="0"/>
          <w:sz w:val="24"/>
          <w:highlight w:val="none"/>
          <w:u w:val="single"/>
        </w:rPr>
        <w:t>元整</w:t>
      </w:r>
      <w:r>
        <w:rPr>
          <w:rFonts w:hint="eastAsia"/>
          <w:color w:val="auto"/>
          <w:kern w:val="0"/>
          <w:sz w:val="24"/>
          <w:highlight w:val="none"/>
        </w:rPr>
        <w:t>（￥</w:t>
      </w:r>
      <w:r>
        <w:rPr>
          <w:rFonts w:hint="eastAsia"/>
          <w:color w:val="auto"/>
          <w:kern w:val="0"/>
          <w:sz w:val="24"/>
          <w:highlight w:val="none"/>
          <w:u w:val="single"/>
        </w:rPr>
        <w:t xml:space="preserve"> </w:t>
      </w:r>
      <w:r>
        <w:rPr>
          <w:color w:val="auto"/>
          <w:kern w:val="0"/>
          <w:sz w:val="24"/>
          <w:highlight w:val="none"/>
          <w:u w:val="single"/>
        </w:rPr>
        <w:t xml:space="preserve">     </w:t>
      </w:r>
      <w:r>
        <w:rPr>
          <w:rFonts w:hint="eastAsia"/>
          <w:color w:val="auto"/>
          <w:kern w:val="0"/>
          <w:sz w:val="24"/>
          <w:highlight w:val="none"/>
        </w:rPr>
        <w:t>元）（详见下表）</w:t>
      </w:r>
      <w:r>
        <w:rPr>
          <w:rFonts w:hint="eastAsia"/>
          <w:color w:val="auto"/>
          <w:kern w:val="0"/>
          <w:highlight w:val="none"/>
        </w:rPr>
        <w:t>。</w:t>
      </w:r>
    </w:p>
    <w:tbl>
      <w:tblPr>
        <w:tblStyle w:val="26"/>
        <w:tblW w:w="8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2263"/>
        <w:gridCol w:w="1463"/>
        <w:gridCol w:w="3396"/>
      </w:tblGrid>
      <w:tr w14:paraId="78033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80" w:type="dxa"/>
            <w:vAlign w:val="center"/>
          </w:tcPr>
          <w:p w14:paraId="7C055F18">
            <w:pPr>
              <w:jc w:val="center"/>
              <w:rPr>
                <w:rFonts w:ascii="宋体" w:hAnsi="宋体" w:cs="仿宋_GB2312"/>
                <w:b/>
                <w:color w:val="auto"/>
                <w:sz w:val="24"/>
                <w:highlight w:val="none"/>
              </w:rPr>
            </w:pPr>
            <w:r>
              <w:rPr>
                <w:rFonts w:hint="eastAsia" w:ascii="宋体" w:hAnsi="宋体" w:cs="仿宋_GB2312"/>
                <w:b/>
                <w:color w:val="auto"/>
                <w:sz w:val="24"/>
                <w:highlight w:val="none"/>
              </w:rPr>
              <w:t>序号</w:t>
            </w:r>
          </w:p>
        </w:tc>
        <w:tc>
          <w:tcPr>
            <w:tcW w:w="2263" w:type="dxa"/>
            <w:vAlign w:val="center"/>
          </w:tcPr>
          <w:p w14:paraId="74801B4E">
            <w:pPr>
              <w:jc w:val="center"/>
              <w:rPr>
                <w:rFonts w:ascii="宋体" w:hAnsi="宋体" w:cs="仿宋_GB2312"/>
                <w:b/>
                <w:color w:val="auto"/>
                <w:sz w:val="24"/>
                <w:highlight w:val="none"/>
              </w:rPr>
            </w:pPr>
            <w:r>
              <w:rPr>
                <w:rFonts w:hint="eastAsia" w:ascii="宋体" w:hAnsi="宋体" w:cs="仿宋_GB2312"/>
                <w:b/>
                <w:color w:val="auto"/>
                <w:sz w:val="24"/>
                <w:highlight w:val="none"/>
              </w:rPr>
              <w:t>项目</w:t>
            </w:r>
          </w:p>
        </w:tc>
        <w:tc>
          <w:tcPr>
            <w:tcW w:w="1463" w:type="dxa"/>
          </w:tcPr>
          <w:p w14:paraId="2EB0FD10">
            <w:pPr>
              <w:jc w:val="center"/>
              <w:rPr>
                <w:rFonts w:ascii="宋体" w:hAnsi="宋体" w:cs="仿宋_GB2312"/>
                <w:b/>
                <w:color w:val="auto"/>
                <w:szCs w:val="21"/>
                <w:highlight w:val="none"/>
              </w:rPr>
            </w:pPr>
            <w:r>
              <w:rPr>
                <w:rFonts w:hint="eastAsia" w:ascii="宋体" w:hAnsi="宋体" w:cs="仿宋_GB2312"/>
                <w:b/>
                <w:color w:val="auto"/>
                <w:szCs w:val="21"/>
                <w:highlight w:val="none"/>
              </w:rPr>
              <w:t>费用</w:t>
            </w:r>
          </w:p>
          <w:p w14:paraId="4926DE1B">
            <w:pPr>
              <w:jc w:val="center"/>
              <w:rPr>
                <w:rFonts w:ascii="宋体" w:hAnsi="宋体" w:cs="仿宋_GB2312"/>
                <w:b/>
                <w:color w:val="auto"/>
                <w:szCs w:val="21"/>
                <w:highlight w:val="none"/>
              </w:rPr>
            </w:pPr>
            <w:r>
              <w:rPr>
                <w:rFonts w:hint="eastAsia" w:ascii="宋体" w:hAnsi="宋体" w:cs="仿宋_GB2312"/>
                <w:b/>
                <w:color w:val="auto"/>
                <w:szCs w:val="21"/>
                <w:highlight w:val="none"/>
              </w:rPr>
              <w:t>（万元）</w:t>
            </w:r>
          </w:p>
        </w:tc>
        <w:tc>
          <w:tcPr>
            <w:tcW w:w="3396" w:type="dxa"/>
            <w:vAlign w:val="center"/>
          </w:tcPr>
          <w:p w14:paraId="471069B6">
            <w:pPr>
              <w:jc w:val="center"/>
              <w:rPr>
                <w:rFonts w:ascii="宋体" w:hAnsi="宋体" w:cs="仿宋_GB2312"/>
                <w:b/>
                <w:color w:val="auto"/>
                <w:szCs w:val="21"/>
                <w:highlight w:val="none"/>
              </w:rPr>
            </w:pPr>
            <w:r>
              <w:rPr>
                <w:rFonts w:hint="eastAsia" w:ascii="宋体" w:hAnsi="宋体" w:cs="仿宋_GB2312"/>
                <w:b/>
                <w:color w:val="auto"/>
                <w:szCs w:val="21"/>
                <w:highlight w:val="none"/>
              </w:rPr>
              <w:t>备注</w:t>
            </w:r>
          </w:p>
        </w:tc>
      </w:tr>
      <w:tr w14:paraId="3964E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80" w:type="dxa"/>
            <w:vAlign w:val="center"/>
          </w:tcPr>
          <w:p w14:paraId="17AC054D">
            <w:pPr>
              <w:jc w:val="center"/>
              <w:rPr>
                <w:rFonts w:ascii="宋体" w:hAnsi="宋体" w:cs="仿宋_GB2312"/>
                <w:color w:val="auto"/>
                <w:sz w:val="24"/>
                <w:highlight w:val="none"/>
              </w:rPr>
            </w:pPr>
            <w:r>
              <w:rPr>
                <w:rFonts w:hint="eastAsia" w:ascii="宋体" w:hAnsi="宋体" w:cs="宋体"/>
                <w:color w:val="auto"/>
                <w:kern w:val="0"/>
                <w:szCs w:val="21"/>
                <w:highlight w:val="none"/>
                <w:lang w:bidi="ar"/>
              </w:rPr>
              <w:t>1</w:t>
            </w:r>
          </w:p>
        </w:tc>
        <w:tc>
          <w:tcPr>
            <w:tcW w:w="2263" w:type="dxa"/>
            <w:vAlign w:val="center"/>
          </w:tcPr>
          <w:p w14:paraId="5346D0E8">
            <w:pPr>
              <w:pStyle w:val="7"/>
              <w:ind w:firstLine="0" w:firstLineChars="0"/>
              <w:rPr>
                <w:color w:val="auto"/>
                <w:highlight w:val="none"/>
              </w:rPr>
            </w:pPr>
            <w:r>
              <w:rPr>
                <w:rFonts w:hint="eastAsia"/>
                <w:color w:val="auto"/>
                <w:highlight w:val="none"/>
                <w:u w:val="single"/>
                <w:lang w:val="en-US" w:eastAsia="zh-CN"/>
              </w:rPr>
              <w:t>设计</w:t>
            </w:r>
            <w:r>
              <w:rPr>
                <w:rFonts w:hint="eastAsia"/>
                <w:color w:val="auto"/>
                <w:highlight w:val="none"/>
              </w:rPr>
              <w:t>总承包费</w:t>
            </w:r>
          </w:p>
        </w:tc>
        <w:tc>
          <w:tcPr>
            <w:tcW w:w="1463" w:type="dxa"/>
            <w:vAlign w:val="center"/>
          </w:tcPr>
          <w:p w14:paraId="61E5CC1F">
            <w:pPr>
              <w:jc w:val="left"/>
              <w:rPr>
                <w:rFonts w:ascii="宋体" w:hAnsi="宋体" w:cs="仿宋_GB2312"/>
                <w:color w:val="auto"/>
                <w:sz w:val="24"/>
                <w:highlight w:val="none"/>
              </w:rPr>
            </w:pPr>
          </w:p>
        </w:tc>
        <w:tc>
          <w:tcPr>
            <w:tcW w:w="3396" w:type="dxa"/>
            <w:vAlign w:val="center"/>
          </w:tcPr>
          <w:p w14:paraId="23AD01EB">
            <w:pPr>
              <w:jc w:val="left"/>
              <w:rPr>
                <w:rFonts w:ascii="宋体" w:hAnsi="宋体" w:cs="仿宋_GB2312"/>
                <w:color w:val="auto"/>
                <w:sz w:val="24"/>
                <w:highlight w:val="none"/>
              </w:rPr>
            </w:pPr>
          </w:p>
        </w:tc>
      </w:tr>
      <w:tr w14:paraId="509E1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80" w:type="dxa"/>
            <w:vAlign w:val="center"/>
          </w:tcPr>
          <w:p w14:paraId="7CF004A1">
            <w:pPr>
              <w:jc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w:t>
            </w:r>
          </w:p>
        </w:tc>
        <w:tc>
          <w:tcPr>
            <w:tcW w:w="2263" w:type="dxa"/>
            <w:vAlign w:val="center"/>
          </w:tcPr>
          <w:p w14:paraId="5C3C6BD3">
            <w:pPr>
              <w:pStyle w:val="7"/>
              <w:ind w:firstLine="0" w:firstLineChars="0"/>
              <w:rPr>
                <w:color w:val="auto"/>
                <w:highlight w:val="none"/>
              </w:rPr>
            </w:pPr>
            <w:r>
              <w:rPr>
                <w:rFonts w:hint="eastAsia"/>
                <w:color w:val="auto"/>
                <w:highlight w:val="none"/>
              </w:rPr>
              <w:t>报批报建</w:t>
            </w:r>
            <w:r>
              <w:rPr>
                <w:rFonts w:hint="eastAsia"/>
                <w:color w:val="auto"/>
                <w:highlight w:val="none"/>
                <w:u w:val="single"/>
                <w:lang w:val="en-US" w:eastAsia="zh-CN"/>
              </w:rPr>
              <w:t>全过程</w:t>
            </w:r>
            <w:r>
              <w:rPr>
                <w:rFonts w:hint="eastAsia"/>
                <w:color w:val="auto"/>
                <w:highlight w:val="none"/>
              </w:rPr>
              <w:t>服务费</w:t>
            </w:r>
          </w:p>
        </w:tc>
        <w:tc>
          <w:tcPr>
            <w:tcW w:w="1463" w:type="dxa"/>
            <w:vAlign w:val="center"/>
          </w:tcPr>
          <w:p w14:paraId="1E6CF930">
            <w:pPr>
              <w:jc w:val="left"/>
              <w:rPr>
                <w:rFonts w:ascii="宋体" w:hAnsi="宋体" w:cs="仿宋_GB2312"/>
                <w:color w:val="auto"/>
                <w:sz w:val="24"/>
                <w:highlight w:val="none"/>
              </w:rPr>
            </w:pPr>
          </w:p>
        </w:tc>
        <w:tc>
          <w:tcPr>
            <w:tcW w:w="3396" w:type="dxa"/>
            <w:vAlign w:val="center"/>
          </w:tcPr>
          <w:p w14:paraId="51281FEA">
            <w:pPr>
              <w:jc w:val="left"/>
              <w:rPr>
                <w:rFonts w:ascii="宋体" w:hAnsi="宋体" w:cs="仿宋_GB2312"/>
                <w:color w:val="auto"/>
                <w:sz w:val="24"/>
                <w:highlight w:val="none"/>
              </w:rPr>
            </w:pPr>
          </w:p>
        </w:tc>
      </w:tr>
      <w:tr w14:paraId="1D664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243" w:type="dxa"/>
            <w:gridSpan w:val="2"/>
            <w:vAlign w:val="center"/>
          </w:tcPr>
          <w:p w14:paraId="468050C4">
            <w:pPr>
              <w:jc w:val="center"/>
              <w:rPr>
                <w:rFonts w:ascii="宋体" w:hAnsi="宋体" w:cs="仿宋_GB2312"/>
                <w:b/>
                <w:color w:val="auto"/>
                <w:sz w:val="24"/>
                <w:highlight w:val="none"/>
              </w:rPr>
            </w:pPr>
            <w:r>
              <w:rPr>
                <w:rFonts w:hint="eastAsia" w:ascii="宋体" w:hAnsi="宋体" w:cs="仿宋_GB2312"/>
                <w:b/>
                <w:color w:val="auto"/>
                <w:sz w:val="24"/>
                <w:highlight w:val="none"/>
              </w:rPr>
              <w:t>合计</w:t>
            </w:r>
          </w:p>
        </w:tc>
        <w:tc>
          <w:tcPr>
            <w:tcW w:w="1463" w:type="dxa"/>
          </w:tcPr>
          <w:p w14:paraId="574CBAD0">
            <w:pPr>
              <w:jc w:val="left"/>
              <w:rPr>
                <w:rFonts w:ascii="宋体" w:hAnsi="宋体" w:cs="仿宋_GB2312"/>
                <w:color w:val="auto"/>
                <w:szCs w:val="21"/>
                <w:highlight w:val="none"/>
              </w:rPr>
            </w:pPr>
          </w:p>
        </w:tc>
        <w:tc>
          <w:tcPr>
            <w:tcW w:w="3396" w:type="dxa"/>
            <w:vAlign w:val="center"/>
          </w:tcPr>
          <w:p w14:paraId="59932005">
            <w:pPr>
              <w:jc w:val="left"/>
              <w:rPr>
                <w:rFonts w:ascii="宋体" w:hAnsi="宋体" w:cs="仿宋_GB2312"/>
                <w:color w:val="auto"/>
                <w:szCs w:val="21"/>
                <w:highlight w:val="none"/>
              </w:rPr>
            </w:pPr>
          </w:p>
        </w:tc>
      </w:tr>
    </w:tbl>
    <w:p w14:paraId="13947ABD">
      <w:pPr>
        <w:pStyle w:val="7"/>
        <w:ind w:firstLineChars="0"/>
        <w:rPr>
          <w:color w:val="auto"/>
          <w:highlight w:val="none"/>
        </w:rPr>
      </w:pPr>
    </w:p>
    <w:p w14:paraId="691B2F0C">
      <w:pPr>
        <w:spacing w:line="360" w:lineRule="auto"/>
        <w:ind w:firstLine="480" w:firstLineChars="200"/>
        <w:rPr>
          <w:rFonts w:hint="default"/>
          <w:color w:val="auto"/>
          <w:sz w:val="24"/>
          <w:highlight w:val="none"/>
        </w:rPr>
      </w:pPr>
      <w:r>
        <w:rPr>
          <w:rFonts w:hint="eastAsia"/>
          <w:color w:val="auto"/>
          <w:sz w:val="24"/>
          <w:highlight w:val="none"/>
        </w:rPr>
        <w:t>7.2设计费</w:t>
      </w:r>
      <w:r>
        <w:rPr>
          <w:rFonts w:hint="eastAsia"/>
          <w:color w:val="auto"/>
          <w:sz w:val="24"/>
          <w:highlight w:val="none"/>
          <w:lang w:val="en-US" w:eastAsia="zh-CN"/>
        </w:rPr>
        <w:t>及</w:t>
      </w:r>
      <w:r>
        <w:rPr>
          <w:rFonts w:hint="eastAsia"/>
          <w:color w:val="auto"/>
          <w:kern w:val="0"/>
          <w:sz w:val="24"/>
          <w:highlight w:val="none"/>
        </w:rPr>
        <w:t>报批报建服务费</w:t>
      </w:r>
      <w:r>
        <w:rPr>
          <w:rFonts w:hint="eastAsia"/>
          <w:color w:val="auto"/>
          <w:sz w:val="24"/>
          <w:highlight w:val="none"/>
        </w:rPr>
        <w:t>结算</w:t>
      </w:r>
      <w:r>
        <w:rPr>
          <w:rFonts w:hint="eastAsia"/>
          <w:color w:val="auto"/>
          <w:sz w:val="24"/>
          <w:highlight w:val="none"/>
          <w:lang w:eastAsia="zh-CN"/>
        </w:rPr>
        <w:t>：</w:t>
      </w:r>
      <w:r>
        <w:rPr>
          <w:rFonts w:hint="eastAsia"/>
          <w:color w:val="auto"/>
          <w:sz w:val="24"/>
          <w:highlight w:val="none"/>
          <w:lang w:val="en-US" w:eastAsia="zh-CN"/>
        </w:rPr>
        <w:t xml:space="preserve"> 按进度结算。 </w:t>
      </w:r>
    </w:p>
    <w:p w14:paraId="4AEE5246">
      <w:pPr>
        <w:spacing w:line="360" w:lineRule="auto"/>
        <w:ind w:firstLine="480" w:firstLineChars="200"/>
        <w:rPr>
          <w:rFonts w:ascii="宋体" w:hAnsi="宋体"/>
          <w:sz w:val="24"/>
          <w:highlight w:val="none"/>
        </w:rPr>
      </w:pPr>
      <w:r>
        <w:rPr>
          <w:rFonts w:hint="eastAsia" w:ascii="宋体" w:hAnsi="宋体"/>
          <w:sz w:val="24"/>
          <w:highlight w:val="none"/>
        </w:rPr>
        <w:t>7.3本项目实行限额设计。</w:t>
      </w:r>
    </w:p>
    <w:p w14:paraId="3CE555FE">
      <w:pPr>
        <w:spacing w:before="120" w:beforeLines="50" w:line="360" w:lineRule="auto"/>
        <w:ind w:firstLine="482" w:firstLineChars="200"/>
        <w:rPr>
          <w:rFonts w:hint="eastAsia" w:ascii="宋体" w:hAnsi="宋体"/>
          <w:b/>
          <w:bCs/>
          <w:sz w:val="24"/>
          <w:highlight w:val="none"/>
        </w:rPr>
      </w:pPr>
      <w:r>
        <w:rPr>
          <w:rFonts w:hint="eastAsia" w:ascii="宋体" w:hAnsi="宋体"/>
          <w:b/>
          <w:bCs/>
          <w:sz w:val="24"/>
          <w:highlight w:val="none"/>
        </w:rPr>
        <w:t>第八条　支付方式</w:t>
      </w:r>
    </w:p>
    <w:p w14:paraId="1C92E2EF">
      <w:pPr>
        <w:pStyle w:val="23"/>
        <w:spacing w:before="0" w:beforeAutospacing="0" w:after="0" w:afterAutospacing="0" w:line="360" w:lineRule="auto"/>
        <w:ind w:firstLine="480" w:firstLineChars="200"/>
        <w:rPr>
          <w:highlight w:val="none"/>
        </w:rPr>
      </w:pPr>
      <w:r>
        <w:rPr>
          <w:rFonts w:hint="eastAsia"/>
          <w:highlight w:val="none"/>
        </w:rPr>
        <w:t>8.1设计费支付进度详见下表。</w:t>
      </w:r>
    </w:p>
    <w:tbl>
      <w:tblPr>
        <w:tblStyle w:val="26"/>
        <w:tblW w:w="891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34"/>
        <w:gridCol w:w="1033"/>
        <w:gridCol w:w="1000"/>
        <w:gridCol w:w="3683"/>
        <w:gridCol w:w="2267"/>
      </w:tblGrid>
      <w:tr w14:paraId="628C0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34" w:hRule="atLeast"/>
          <w:tblHeader/>
        </w:trPr>
        <w:tc>
          <w:tcPr>
            <w:tcW w:w="934" w:type="dxa"/>
            <w:vAlign w:val="center"/>
          </w:tcPr>
          <w:p w14:paraId="3D61AC3F">
            <w:pPr>
              <w:jc w:val="center"/>
              <w:rPr>
                <w:rFonts w:ascii="宋体" w:hAnsi="宋体"/>
                <w:b/>
                <w:sz w:val="24"/>
                <w:highlight w:val="none"/>
              </w:rPr>
            </w:pPr>
            <w:r>
              <w:rPr>
                <w:rFonts w:hint="eastAsia" w:ascii="宋体" w:hAnsi="宋体"/>
                <w:b/>
                <w:sz w:val="24"/>
                <w:highlight w:val="none"/>
              </w:rPr>
              <w:t>付费</w:t>
            </w:r>
          </w:p>
          <w:p w14:paraId="3BB36F70">
            <w:pPr>
              <w:jc w:val="center"/>
              <w:rPr>
                <w:rFonts w:ascii="宋体" w:hAnsi="宋体"/>
                <w:b/>
                <w:sz w:val="24"/>
                <w:highlight w:val="none"/>
              </w:rPr>
            </w:pPr>
            <w:r>
              <w:rPr>
                <w:rFonts w:hint="eastAsia" w:ascii="宋体" w:hAnsi="宋体"/>
                <w:b/>
                <w:sz w:val="24"/>
                <w:highlight w:val="none"/>
              </w:rPr>
              <w:t>次序</w:t>
            </w:r>
          </w:p>
        </w:tc>
        <w:tc>
          <w:tcPr>
            <w:tcW w:w="1033" w:type="dxa"/>
            <w:vAlign w:val="center"/>
          </w:tcPr>
          <w:p w14:paraId="7756958D">
            <w:pPr>
              <w:jc w:val="center"/>
              <w:rPr>
                <w:rFonts w:ascii="宋体" w:hAnsi="宋体"/>
                <w:b/>
                <w:sz w:val="24"/>
                <w:highlight w:val="none"/>
              </w:rPr>
            </w:pPr>
            <w:r>
              <w:rPr>
                <w:rFonts w:hint="eastAsia" w:ascii="宋体" w:hAnsi="宋体"/>
                <w:b/>
                <w:sz w:val="24"/>
                <w:highlight w:val="none"/>
              </w:rPr>
              <w:t>占设计费及报批报建服务费％</w:t>
            </w:r>
          </w:p>
        </w:tc>
        <w:tc>
          <w:tcPr>
            <w:tcW w:w="1000" w:type="dxa"/>
            <w:vAlign w:val="center"/>
          </w:tcPr>
          <w:p w14:paraId="31CF451D">
            <w:pPr>
              <w:jc w:val="center"/>
              <w:rPr>
                <w:rFonts w:ascii="宋体" w:hAnsi="宋体"/>
                <w:b/>
                <w:sz w:val="24"/>
                <w:highlight w:val="none"/>
              </w:rPr>
            </w:pPr>
            <w:r>
              <w:rPr>
                <w:rFonts w:hint="eastAsia" w:ascii="宋体" w:hAnsi="宋体"/>
                <w:b/>
                <w:sz w:val="24"/>
                <w:highlight w:val="none"/>
              </w:rPr>
              <w:t>付费额(万元)</w:t>
            </w:r>
          </w:p>
        </w:tc>
        <w:tc>
          <w:tcPr>
            <w:tcW w:w="3683" w:type="dxa"/>
            <w:tcBorders>
              <w:right w:val="single" w:color="auto" w:sz="4" w:space="0"/>
            </w:tcBorders>
            <w:vAlign w:val="center"/>
          </w:tcPr>
          <w:p w14:paraId="211C193F">
            <w:pPr>
              <w:jc w:val="center"/>
              <w:rPr>
                <w:rFonts w:ascii="宋体" w:hAnsi="宋体"/>
                <w:b/>
                <w:sz w:val="24"/>
                <w:highlight w:val="none"/>
              </w:rPr>
            </w:pPr>
            <w:r>
              <w:rPr>
                <w:rFonts w:hint="eastAsia" w:ascii="宋体" w:hAnsi="宋体"/>
                <w:b/>
                <w:sz w:val="24"/>
                <w:highlight w:val="none"/>
              </w:rPr>
              <w:t>付费时间</w:t>
            </w:r>
          </w:p>
          <w:p w14:paraId="4060E77A">
            <w:pPr>
              <w:jc w:val="center"/>
              <w:rPr>
                <w:rFonts w:ascii="宋体" w:hAnsi="宋体"/>
                <w:b/>
                <w:sz w:val="24"/>
                <w:highlight w:val="none"/>
              </w:rPr>
            </w:pPr>
            <w:r>
              <w:rPr>
                <w:rFonts w:hint="eastAsia" w:ascii="宋体" w:hAnsi="宋体"/>
                <w:b/>
                <w:sz w:val="24"/>
                <w:highlight w:val="none"/>
              </w:rPr>
              <w:t>(由交付设计文件所定)</w:t>
            </w:r>
          </w:p>
        </w:tc>
        <w:tc>
          <w:tcPr>
            <w:tcW w:w="2267" w:type="dxa"/>
            <w:tcBorders>
              <w:left w:val="single" w:color="auto" w:sz="4" w:space="0"/>
            </w:tcBorders>
            <w:vAlign w:val="center"/>
          </w:tcPr>
          <w:p w14:paraId="168DC8DB">
            <w:pPr>
              <w:jc w:val="center"/>
              <w:rPr>
                <w:rFonts w:ascii="宋体" w:hAnsi="宋体"/>
                <w:b/>
                <w:sz w:val="24"/>
                <w:highlight w:val="none"/>
              </w:rPr>
            </w:pPr>
            <w:r>
              <w:rPr>
                <w:rFonts w:hint="eastAsia" w:ascii="宋体" w:hAnsi="宋体"/>
                <w:b/>
                <w:sz w:val="24"/>
                <w:highlight w:val="none"/>
              </w:rPr>
              <w:t>完成内容</w:t>
            </w:r>
          </w:p>
        </w:tc>
      </w:tr>
      <w:tr w14:paraId="451E1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26" w:hRule="atLeast"/>
        </w:trPr>
        <w:tc>
          <w:tcPr>
            <w:tcW w:w="934" w:type="dxa"/>
            <w:tcBorders>
              <w:top w:val="single" w:color="auto" w:sz="4" w:space="0"/>
              <w:bottom w:val="single" w:color="auto" w:sz="4" w:space="0"/>
            </w:tcBorders>
            <w:vAlign w:val="center"/>
          </w:tcPr>
          <w:p w14:paraId="2F4D0F5D">
            <w:pPr>
              <w:jc w:val="center"/>
              <w:rPr>
                <w:rFonts w:ascii="宋体" w:hAnsi="宋体"/>
                <w:sz w:val="22"/>
                <w:szCs w:val="22"/>
                <w:highlight w:val="none"/>
              </w:rPr>
            </w:pPr>
            <w:r>
              <w:rPr>
                <w:rFonts w:hint="eastAsia" w:ascii="宋体" w:hAnsi="宋体"/>
                <w:sz w:val="22"/>
                <w:szCs w:val="22"/>
                <w:highlight w:val="none"/>
              </w:rPr>
              <w:t>第一期</w:t>
            </w:r>
          </w:p>
        </w:tc>
        <w:tc>
          <w:tcPr>
            <w:tcW w:w="1033" w:type="dxa"/>
            <w:tcBorders>
              <w:bottom w:val="single" w:color="auto" w:sz="4" w:space="0"/>
            </w:tcBorders>
            <w:vAlign w:val="center"/>
          </w:tcPr>
          <w:p w14:paraId="74E94DF4">
            <w:pPr>
              <w:jc w:val="center"/>
              <w:rPr>
                <w:rFonts w:ascii="宋体" w:hAnsi="宋体"/>
                <w:sz w:val="22"/>
                <w:szCs w:val="22"/>
                <w:highlight w:val="none"/>
              </w:rPr>
            </w:pPr>
            <w:r>
              <w:rPr>
                <w:rFonts w:hint="eastAsia" w:ascii="宋体" w:hAnsi="宋体"/>
                <w:sz w:val="22"/>
                <w:szCs w:val="22"/>
                <w:highlight w:val="none"/>
                <w:lang w:val="en-US" w:eastAsia="zh-CN"/>
              </w:rPr>
              <w:t>15</w:t>
            </w:r>
            <w:r>
              <w:rPr>
                <w:rFonts w:ascii="宋体" w:hAnsi="宋体"/>
                <w:sz w:val="22"/>
                <w:szCs w:val="22"/>
                <w:highlight w:val="none"/>
              </w:rPr>
              <w:t>%</w:t>
            </w:r>
          </w:p>
        </w:tc>
        <w:tc>
          <w:tcPr>
            <w:tcW w:w="1000" w:type="dxa"/>
            <w:tcBorders>
              <w:top w:val="single" w:color="auto" w:sz="4" w:space="0"/>
              <w:bottom w:val="single" w:color="auto" w:sz="4" w:space="0"/>
            </w:tcBorders>
            <w:vAlign w:val="center"/>
          </w:tcPr>
          <w:p w14:paraId="10BC7351">
            <w:pPr>
              <w:jc w:val="center"/>
              <w:rPr>
                <w:rFonts w:ascii="宋体" w:hAnsi="宋体"/>
                <w:sz w:val="22"/>
                <w:szCs w:val="22"/>
                <w:highlight w:val="none"/>
              </w:rPr>
            </w:pPr>
          </w:p>
        </w:tc>
        <w:tc>
          <w:tcPr>
            <w:tcW w:w="3683" w:type="dxa"/>
            <w:tcBorders>
              <w:top w:val="single" w:color="auto" w:sz="4" w:space="0"/>
              <w:bottom w:val="single" w:color="auto" w:sz="4" w:space="0"/>
              <w:right w:val="single" w:color="auto" w:sz="4" w:space="0"/>
            </w:tcBorders>
            <w:vAlign w:val="center"/>
          </w:tcPr>
          <w:p w14:paraId="1C48CACD">
            <w:pPr>
              <w:jc w:val="left"/>
              <w:rPr>
                <w:rFonts w:hint="eastAsia" w:ascii="宋体" w:hAnsi="宋体"/>
                <w:sz w:val="22"/>
                <w:szCs w:val="22"/>
                <w:highlight w:val="none"/>
              </w:rPr>
            </w:pPr>
            <w:r>
              <w:rPr>
                <w:rFonts w:hint="eastAsia" w:ascii="宋体" w:hAnsi="宋体"/>
                <w:bCs/>
                <w:sz w:val="22"/>
                <w:szCs w:val="22"/>
                <w:highlight w:val="none"/>
                <w:lang w:val="en-US" w:eastAsia="zh-CN"/>
              </w:rPr>
              <w:t>本合同签订生效且乙方提交的项目概念设计方案文件经甲方审核通过、</w:t>
            </w:r>
            <w:r>
              <w:rPr>
                <w:rFonts w:hint="eastAsia" w:ascii="宋体" w:hAnsi="宋体"/>
                <w:sz w:val="22"/>
                <w:szCs w:val="22"/>
                <w:highlight w:val="none"/>
              </w:rPr>
              <w:t>请款手续经审批</w:t>
            </w:r>
            <w:r>
              <w:rPr>
                <w:rFonts w:hint="eastAsia" w:ascii="宋体" w:hAnsi="宋体"/>
                <w:sz w:val="22"/>
                <w:szCs w:val="22"/>
                <w:highlight w:val="none"/>
                <w:lang w:val="en-US" w:eastAsia="zh-CN"/>
              </w:rPr>
              <w:t>通过后</w:t>
            </w:r>
            <w:r>
              <w:rPr>
                <w:rFonts w:hint="eastAsia" w:ascii="宋体" w:hAnsi="宋体"/>
                <w:sz w:val="22"/>
                <w:szCs w:val="22"/>
                <w:highlight w:val="none"/>
                <w:u w:val="single"/>
              </w:rPr>
              <w:t>15</w:t>
            </w:r>
            <w:r>
              <w:rPr>
                <w:rFonts w:hint="eastAsia" w:ascii="宋体" w:hAnsi="宋体"/>
                <w:sz w:val="22"/>
                <w:szCs w:val="22"/>
                <w:highlight w:val="none"/>
              </w:rPr>
              <w:t>个工作日内。</w:t>
            </w:r>
          </w:p>
        </w:tc>
        <w:tc>
          <w:tcPr>
            <w:tcW w:w="2267" w:type="dxa"/>
            <w:tcBorders>
              <w:left w:val="single" w:color="auto" w:sz="4" w:space="0"/>
              <w:bottom w:val="single" w:color="auto" w:sz="4" w:space="0"/>
            </w:tcBorders>
            <w:vAlign w:val="center"/>
          </w:tcPr>
          <w:p w14:paraId="22C906F8">
            <w:pPr>
              <w:jc w:val="left"/>
              <w:rPr>
                <w:rFonts w:hint="eastAsia" w:ascii="宋体" w:hAnsi="宋体"/>
                <w:sz w:val="22"/>
                <w:szCs w:val="22"/>
                <w:highlight w:val="none"/>
              </w:rPr>
            </w:pPr>
          </w:p>
        </w:tc>
      </w:tr>
      <w:tr w14:paraId="616A5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07" w:hRule="atLeast"/>
        </w:trPr>
        <w:tc>
          <w:tcPr>
            <w:tcW w:w="934" w:type="dxa"/>
            <w:tcBorders>
              <w:top w:val="single" w:color="auto" w:sz="4" w:space="0"/>
              <w:bottom w:val="single" w:color="auto" w:sz="4" w:space="0"/>
            </w:tcBorders>
            <w:vAlign w:val="center"/>
          </w:tcPr>
          <w:p w14:paraId="69D46D1A">
            <w:pPr>
              <w:jc w:val="center"/>
              <w:rPr>
                <w:rFonts w:hint="default" w:ascii="宋体" w:hAnsi="宋体" w:eastAsia="宋体"/>
                <w:sz w:val="22"/>
                <w:szCs w:val="22"/>
                <w:highlight w:val="none"/>
                <w:lang w:val="en-US" w:eastAsia="zh-CN"/>
              </w:rPr>
            </w:pPr>
            <w:r>
              <w:rPr>
                <w:rFonts w:hint="eastAsia" w:ascii="宋体" w:hAnsi="宋体"/>
                <w:sz w:val="22"/>
                <w:szCs w:val="22"/>
                <w:highlight w:val="none"/>
                <w:lang w:val="en-US" w:eastAsia="zh-CN"/>
              </w:rPr>
              <w:t>第二期</w:t>
            </w:r>
          </w:p>
        </w:tc>
        <w:tc>
          <w:tcPr>
            <w:tcW w:w="1033" w:type="dxa"/>
            <w:tcBorders>
              <w:bottom w:val="single" w:color="auto" w:sz="4" w:space="0"/>
            </w:tcBorders>
            <w:vAlign w:val="center"/>
          </w:tcPr>
          <w:p w14:paraId="0389FA7D">
            <w:pPr>
              <w:jc w:val="center"/>
              <w:rPr>
                <w:rFonts w:hint="default" w:ascii="宋体" w:hAnsi="宋体"/>
                <w:sz w:val="22"/>
                <w:szCs w:val="22"/>
                <w:highlight w:val="none"/>
                <w:lang w:val="en-US" w:eastAsia="zh-CN"/>
              </w:rPr>
            </w:pPr>
            <w:r>
              <w:rPr>
                <w:rFonts w:hint="eastAsia" w:ascii="宋体" w:hAnsi="宋体"/>
                <w:sz w:val="22"/>
                <w:szCs w:val="22"/>
                <w:highlight w:val="none"/>
                <w:lang w:val="en-US" w:eastAsia="zh-CN"/>
              </w:rPr>
              <w:t>20%</w:t>
            </w:r>
          </w:p>
        </w:tc>
        <w:tc>
          <w:tcPr>
            <w:tcW w:w="1000" w:type="dxa"/>
            <w:tcBorders>
              <w:top w:val="single" w:color="auto" w:sz="4" w:space="0"/>
              <w:bottom w:val="single" w:color="auto" w:sz="4" w:space="0"/>
            </w:tcBorders>
            <w:vAlign w:val="center"/>
          </w:tcPr>
          <w:p w14:paraId="53BBA225">
            <w:pPr>
              <w:jc w:val="center"/>
              <w:rPr>
                <w:rFonts w:ascii="宋体" w:hAnsi="宋体"/>
                <w:sz w:val="22"/>
                <w:szCs w:val="22"/>
                <w:highlight w:val="none"/>
              </w:rPr>
            </w:pPr>
          </w:p>
        </w:tc>
        <w:tc>
          <w:tcPr>
            <w:tcW w:w="3683" w:type="dxa"/>
            <w:tcBorders>
              <w:top w:val="single" w:color="auto" w:sz="4" w:space="0"/>
              <w:bottom w:val="single" w:color="auto" w:sz="4" w:space="0"/>
              <w:right w:val="single" w:color="auto" w:sz="4" w:space="0"/>
            </w:tcBorders>
            <w:vAlign w:val="center"/>
          </w:tcPr>
          <w:p w14:paraId="2AEDA688">
            <w:pPr>
              <w:jc w:val="left"/>
              <w:rPr>
                <w:rFonts w:hint="eastAsia" w:ascii="宋体" w:hAnsi="宋体" w:eastAsia="宋体"/>
                <w:sz w:val="22"/>
                <w:szCs w:val="22"/>
                <w:highlight w:val="none"/>
                <w:lang w:val="en-US" w:eastAsia="zh-CN"/>
              </w:rPr>
            </w:pPr>
            <w:r>
              <w:rPr>
                <w:rFonts w:hint="eastAsia" w:ascii="宋体" w:hAnsi="宋体"/>
                <w:bCs/>
                <w:sz w:val="22"/>
                <w:szCs w:val="22"/>
                <w:highlight w:val="none"/>
                <w:lang w:val="en-US" w:eastAsia="zh-CN"/>
              </w:rPr>
              <w:t>乙方提交</w:t>
            </w:r>
            <w:r>
              <w:rPr>
                <w:rFonts w:hint="eastAsia" w:ascii="宋体" w:hAnsi="宋体"/>
                <w:bCs/>
                <w:color w:val="000000" w:themeColor="text1"/>
                <w:sz w:val="22"/>
                <w:szCs w:val="22"/>
                <w:highlight w:val="none"/>
                <w:lang w:val="en-US" w:eastAsia="zh-CN"/>
                <w14:textFill>
                  <w14:solidFill>
                    <w14:schemeClr w14:val="tx1"/>
                  </w14:solidFill>
                </w14:textFill>
              </w:rPr>
              <w:t>招标版施工图</w:t>
            </w:r>
            <w:r>
              <w:rPr>
                <w:rFonts w:hint="eastAsia" w:ascii="宋体" w:hAnsi="宋体"/>
                <w:bCs/>
                <w:sz w:val="22"/>
                <w:szCs w:val="22"/>
                <w:highlight w:val="none"/>
                <w:lang w:val="en-US" w:eastAsia="zh-CN"/>
              </w:rPr>
              <w:t>通过审核或经</w:t>
            </w:r>
            <w:r>
              <w:rPr>
                <w:rFonts w:hint="eastAsia" w:ascii="宋体" w:hAnsi="宋体"/>
                <w:sz w:val="22"/>
                <w:szCs w:val="22"/>
                <w:highlight w:val="none"/>
              </w:rPr>
              <w:t>甲方</w:t>
            </w:r>
            <w:r>
              <w:rPr>
                <w:rFonts w:hint="eastAsia" w:ascii="宋体" w:hAnsi="宋体"/>
                <w:sz w:val="22"/>
                <w:szCs w:val="22"/>
                <w:highlight w:val="none"/>
                <w:lang w:val="en-US" w:eastAsia="zh-CN"/>
              </w:rPr>
              <w:t>确认，</w:t>
            </w:r>
            <w:r>
              <w:rPr>
                <w:rFonts w:hint="eastAsia" w:ascii="宋体" w:hAnsi="宋体"/>
                <w:sz w:val="22"/>
                <w:szCs w:val="22"/>
                <w:highlight w:val="none"/>
              </w:rPr>
              <w:t>请款手续经审批</w:t>
            </w:r>
            <w:r>
              <w:rPr>
                <w:rFonts w:hint="eastAsia" w:ascii="宋体" w:hAnsi="宋体"/>
                <w:sz w:val="22"/>
                <w:szCs w:val="22"/>
                <w:highlight w:val="none"/>
                <w:lang w:val="en-US" w:eastAsia="zh-CN"/>
              </w:rPr>
              <w:t>后</w:t>
            </w:r>
            <w:r>
              <w:rPr>
                <w:rFonts w:hint="eastAsia" w:ascii="宋体" w:hAnsi="宋体"/>
                <w:sz w:val="22"/>
                <w:szCs w:val="22"/>
                <w:highlight w:val="none"/>
              </w:rPr>
              <w:t>的</w:t>
            </w:r>
            <w:r>
              <w:rPr>
                <w:rFonts w:hint="eastAsia" w:ascii="宋体" w:hAnsi="宋体"/>
                <w:sz w:val="22"/>
                <w:szCs w:val="22"/>
                <w:highlight w:val="none"/>
                <w:u w:val="single"/>
              </w:rPr>
              <w:t>15</w:t>
            </w:r>
            <w:r>
              <w:rPr>
                <w:rFonts w:hint="eastAsia" w:ascii="宋体" w:hAnsi="宋体"/>
                <w:sz w:val="22"/>
                <w:szCs w:val="22"/>
                <w:highlight w:val="none"/>
              </w:rPr>
              <w:t>个工作日内。</w:t>
            </w:r>
          </w:p>
        </w:tc>
        <w:tc>
          <w:tcPr>
            <w:tcW w:w="2267" w:type="dxa"/>
            <w:tcBorders>
              <w:left w:val="single" w:color="auto" w:sz="4" w:space="0"/>
              <w:bottom w:val="single" w:color="auto" w:sz="4" w:space="0"/>
            </w:tcBorders>
            <w:vAlign w:val="center"/>
          </w:tcPr>
          <w:p w14:paraId="1C4304B9">
            <w:pPr>
              <w:jc w:val="left"/>
              <w:rPr>
                <w:rFonts w:hint="eastAsia" w:ascii="宋体" w:hAnsi="宋体"/>
                <w:sz w:val="22"/>
                <w:szCs w:val="22"/>
                <w:highlight w:val="none"/>
              </w:rPr>
            </w:pPr>
          </w:p>
        </w:tc>
      </w:tr>
      <w:tr w14:paraId="060DA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6" w:hRule="atLeast"/>
        </w:trPr>
        <w:tc>
          <w:tcPr>
            <w:tcW w:w="934" w:type="dxa"/>
            <w:tcBorders>
              <w:top w:val="single" w:color="auto" w:sz="4" w:space="0"/>
              <w:bottom w:val="single" w:color="auto" w:sz="4" w:space="0"/>
            </w:tcBorders>
            <w:vAlign w:val="center"/>
          </w:tcPr>
          <w:p w14:paraId="5CECDE60">
            <w:pPr>
              <w:jc w:val="center"/>
              <w:rPr>
                <w:rFonts w:ascii="宋体" w:hAnsi="宋体"/>
                <w:sz w:val="22"/>
                <w:szCs w:val="22"/>
                <w:highlight w:val="none"/>
              </w:rPr>
            </w:pPr>
            <w:r>
              <w:rPr>
                <w:rFonts w:hint="eastAsia" w:ascii="宋体" w:hAnsi="宋体"/>
                <w:sz w:val="22"/>
                <w:szCs w:val="22"/>
                <w:highlight w:val="none"/>
              </w:rPr>
              <w:t>第</w:t>
            </w:r>
            <w:r>
              <w:rPr>
                <w:rFonts w:hint="eastAsia" w:ascii="宋体" w:hAnsi="宋体"/>
                <w:sz w:val="22"/>
                <w:szCs w:val="22"/>
                <w:highlight w:val="none"/>
                <w:lang w:val="en-US" w:eastAsia="zh-CN"/>
              </w:rPr>
              <w:t>三</w:t>
            </w:r>
            <w:r>
              <w:rPr>
                <w:rFonts w:hint="eastAsia" w:ascii="宋体" w:hAnsi="宋体"/>
                <w:sz w:val="22"/>
                <w:szCs w:val="22"/>
                <w:highlight w:val="none"/>
              </w:rPr>
              <w:t>期</w:t>
            </w:r>
          </w:p>
        </w:tc>
        <w:tc>
          <w:tcPr>
            <w:tcW w:w="1033" w:type="dxa"/>
            <w:tcBorders>
              <w:top w:val="single" w:color="auto" w:sz="4" w:space="0"/>
            </w:tcBorders>
            <w:vAlign w:val="center"/>
          </w:tcPr>
          <w:p w14:paraId="3A2567DB">
            <w:pPr>
              <w:jc w:val="center"/>
              <w:rPr>
                <w:rFonts w:ascii="宋体" w:hAnsi="宋体"/>
                <w:sz w:val="22"/>
                <w:szCs w:val="22"/>
                <w:highlight w:val="none"/>
              </w:rPr>
            </w:pPr>
            <w:r>
              <w:rPr>
                <w:rFonts w:hint="eastAsia" w:ascii="宋体" w:hAnsi="宋体"/>
                <w:sz w:val="22"/>
                <w:szCs w:val="22"/>
                <w:highlight w:val="none"/>
                <w:lang w:val="en-US" w:eastAsia="zh-CN"/>
              </w:rPr>
              <w:t>35</w:t>
            </w:r>
            <w:r>
              <w:rPr>
                <w:rFonts w:ascii="宋体" w:hAnsi="宋体"/>
                <w:sz w:val="22"/>
                <w:szCs w:val="22"/>
                <w:highlight w:val="none"/>
              </w:rPr>
              <w:t>%</w:t>
            </w:r>
          </w:p>
        </w:tc>
        <w:tc>
          <w:tcPr>
            <w:tcW w:w="1000" w:type="dxa"/>
            <w:tcBorders>
              <w:top w:val="single" w:color="auto" w:sz="4" w:space="0"/>
              <w:bottom w:val="single" w:color="auto" w:sz="4" w:space="0"/>
            </w:tcBorders>
            <w:vAlign w:val="center"/>
          </w:tcPr>
          <w:p w14:paraId="5B34CE70">
            <w:pPr>
              <w:jc w:val="center"/>
              <w:rPr>
                <w:rFonts w:ascii="宋体" w:hAnsi="宋体"/>
                <w:sz w:val="22"/>
                <w:szCs w:val="22"/>
                <w:highlight w:val="none"/>
              </w:rPr>
            </w:pPr>
          </w:p>
        </w:tc>
        <w:tc>
          <w:tcPr>
            <w:tcW w:w="3683" w:type="dxa"/>
            <w:tcBorders>
              <w:top w:val="single" w:color="auto" w:sz="4" w:space="0"/>
              <w:bottom w:val="single" w:color="auto" w:sz="4" w:space="0"/>
              <w:right w:val="single" w:color="auto" w:sz="4" w:space="0"/>
            </w:tcBorders>
            <w:vAlign w:val="center"/>
          </w:tcPr>
          <w:p w14:paraId="0636E1BD">
            <w:pPr>
              <w:jc w:val="both"/>
              <w:rPr>
                <w:rFonts w:hint="eastAsia" w:ascii="宋体" w:hAnsi="宋体" w:eastAsia="宋体"/>
                <w:color w:val="C00000"/>
                <w:sz w:val="22"/>
                <w:szCs w:val="22"/>
                <w:highlight w:val="none"/>
                <w:lang w:val="en-US" w:eastAsia="zh-CN"/>
              </w:rPr>
            </w:pPr>
            <w:r>
              <w:rPr>
                <w:rFonts w:hint="eastAsia" w:ascii="宋体" w:hAnsi="宋体"/>
                <w:sz w:val="22"/>
                <w:szCs w:val="22"/>
                <w:highlight w:val="none"/>
              </w:rPr>
              <w:t>于2025年11月15日前取得项目施工许可证</w:t>
            </w:r>
            <w:r>
              <w:rPr>
                <w:rFonts w:hint="eastAsia" w:ascii="宋体" w:hAnsi="宋体"/>
                <w:sz w:val="22"/>
                <w:szCs w:val="22"/>
                <w:highlight w:val="none"/>
                <w:lang w:eastAsia="zh-CN"/>
              </w:rPr>
              <w:t>（</w:t>
            </w:r>
            <w:r>
              <w:rPr>
                <w:rFonts w:hint="eastAsia" w:ascii="宋体" w:hAnsi="宋体"/>
                <w:sz w:val="22"/>
                <w:szCs w:val="22"/>
                <w:highlight w:val="none"/>
                <w:lang w:val="en-US" w:eastAsia="zh-CN"/>
              </w:rPr>
              <w:t>如需分基坑及主体部分分别办理，即基坑施工证需2025年11月15日前取得，占该期费用的30%；主体部分施工证需2026年3月10日前取得，占该期费用的占该期费用的70%</w:t>
            </w:r>
            <w:r>
              <w:rPr>
                <w:rFonts w:hint="eastAsia" w:ascii="宋体" w:hAnsi="宋体"/>
                <w:sz w:val="22"/>
                <w:szCs w:val="22"/>
                <w:highlight w:val="none"/>
                <w:lang w:eastAsia="zh-CN"/>
              </w:rPr>
              <w:t>）。</w:t>
            </w:r>
            <w:r>
              <w:rPr>
                <w:rFonts w:hint="eastAsia" w:ascii="宋体" w:hAnsi="宋体"/>
                <w:sz w:val="22"/>
                <w:szCs w:val="22"/>
                <w:highlight w:val="none"/>
              </w:rPr>
              <w:t>提交完整支付申请资</w:t>
            </w:r>
            <w:r>
              <w:rPr>
                <w:rFonts w:hint="eastAsia" w:ascii="宋体" w:hAnsi="宋体"/>
                <w:sz w:val="22"/>
                <w:szCs w:val="22"/>
                <w:highlight w:val="none"/>
                <w:lang w:val="en-US" w:eastAsia="zh-CN"/>
              </w:rPr>
              <w:t>料后</w:t>
            </w:r>
            <w:r>
              <w:rPr>
                <w:rFonts w:hint="eastAsia" w:ascii="宋体" w:hAnsi="宋体"/>
                <w:sz w:val="22"/>
                <w:szCs w:val="22"/>
                <w:highlight w:val="none"/>
                <w:u w:val="single"/>
              </w:rPr>
              <w:t>15</w:t>
            </w:r>
            <w:r>
              <w:rPr>
                <w:rFonts w:hint="eastAsia" w:ascii="宋体" w:hAnsi="宋体"/>
                <w:sz w:val="22"/>
                <w:szCs w:val="22"/>
                <w:highlight w:val="none"/>
              </w:rPr>
              <w:t>个工作</w:t>
            </w:r>
            <w:r>
              <w:rPr>
                <w:rFonts w:hint="eastAsia" w:ascii="宋体" w:hAnsi="宋体" w:eastAsia="宋体"/>
                <w:sz w:val="22"/>
                <w:szCs w:val="22"/>
                <w:highlight w:val="none"/>
                <w:lang w:val="en-US" w:eastAsia="zh-CN"/>
              </w:rPr>
              <w:t>日</w:t>
            </w:r>
          </w:p>
        </w:tc>
        <w:tc>
          <w:tcPr>
            <w:tcW w:w="2267" w:type="dxa"/>
            <w:tcBorders>
              <w:top w:val="single" w:color="auto" w:sz="4" w:space="0"/>
              <w:left w:val="single" w:color="auto" w:sz="4" w:space="0"/>
            </w:tcBorders>
            <w:shd w:val="clear" w:color="auto" w:fill="auto"/>
            <w:vAlign w:val="center"/>
          </w:tcPr>
          <w:p w14:paraId="0C1BD9E4">
            <w:pPr>
              <w:jc w:val="left"/>
              <w:rPr>
                <w:rFonts w:hint="eastAsia" w:ascii="宋体" w:hAnsi="宋体"/>
                <w:sz w:val="22"/>
                <w:szCs w:val="22"/>
                <w:highlight w:val="none"/>
                <w:lang w:val="en-US" w:eastAsia="zh-CN"/>
              </w:rPr>
            </w:pPr>
            <w:r>
              <w:rPr>
                <w:rFonts w:hint="eastAsia" w:ascii="宋体" w:hAnsi="宋体"/>
                <w:sz w:val="22"/>
                <w:szCs w:val="22"/>
                <w:highlight w:val="none"/>
              </w:rPr>
              <w:t>如不能按时完成，每推迟15天扣该期设计费用的</w:t>
            </w:r>
            <w:r>
              <w:rPr>
                <w:rFonts w:hint="eastAsia" w:ascii="宋体" w:hAnsi="宋体"/>
                <w:sz w:val="22"/>
                <w:szCs w:val="22"/>
                <w:highlight w:val="none"/>
                <w:lang w:val="en-US" w:eastAsia="zh-CN"/>
              </w:rPr>
              <w:t>15</w:t>
            </w:r>
            <w:r>
              <w:rPr>
                <w:rFonts w:hint="eastAsia" w:ascii="宋体" w:hAnsi="宋体"/>
                <w:sz w:val="22"/>
                <w:szCs w:val="22"/>
                <w:highlight w:val="none"/>
              </w:rPr>
              <w:t>%</w:t>
            </w:r>
          </w:p>
        </w:tc>
      </w:tr>
      <w:tr w14:paraId="3A0D5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131" w:hRule="atLeast"/>
        </w:trPr>
        <w:tc>
          <w:tcPr>
            <w:tcW w:w="934" w:type="dxa"/>
            <w:tcBorders>
              <w:bottom w:val="single" w:color="auto" w:sz="4" w:space="0"/>
            </w:tcBorders>
            <w:vAlign w:val="center"/>
          </w:tcPr>
          <w:p w14:paraId="16C3AD3E">
            <w:pPr>
              <w:jc w:val="center"/>
              <w:rPr>
                <w:rFonts w:ascii="宋体" w:hAnsi="宋体"/>
                <w:sz w:val="22"/>
                <w:szCs w:val="22"/>
                <w:highlight w:val="none"/>
              </w:rPr>
            </w:pPr>
            <w:r>
              <w:rPr>
                <w:rFonts w:hint="eastAsia" w:ascii="宋体" w:hAnsi="宋体"/>
                <w:sz w:val="22"/>
                <w:szCs w:val="22"/>
                <w:highlight w:val="none"/>
              </w:rPr>
              <w:t>第四期</w:t>
            </w:r>
          </w:p>
        </w:tc>
        <w:tc>
          <w:tcPr>
            <w:tcW w:w="1033" w:type="dxa"/>
            <w:tcBorders>
              <w:bottom w:val="single" w:color="auto" w:sz="4" w:space="0"/>
            </w:tcBorders>
            <w:vAlign w:val="center"/>
          </w:tcPr>
          <w:p w14:paraId="0A6E9CE3">
            <w:pPr>
              <w:jc w:val="center"/>
              <w:rPr>
                <w:rFonts w:ascii="宋体" w:hAnsi="宋体"/>
                <w:sz w:val="22"/>
                <w:szCs w:val="22"/>
                <w:highlight w:val="none"/>
              </w:rPr>
            </w:pPr>
            <w:r>
              <w:rPr>
                <w:rFonts w:hint="eastAsia" w:ascii="宋体" w:hAnsi="宋体"/>
                <w:sz w:val="22"/>
                <w:szCs w:val="22"/>
                <w:highlight w:val="none"/>
                <w:lang w:val="en-US" w:eastAsia="zh-CN"/>
              </w:rPr>
              <w:t>20</w:t>
            </w:r>
            <w:r>
              <w:rPr>
                <w:rFonts w:ascii="宋体" w:hAnsi="宋体"/>
                <w:sz w:val="22"/>
                <w:szCs w:val="22"/>
                <w:highlight w:val="none"/>
              </w:rPr>
              <w:t>%</w:t>
            </w:r>
          </w:p>
        </w:tc>
        <w:tc>
          <w:tcPr>
            <w:tcW w:w="1000" w:type="dxa"/>
            <w:tcBorders>
              <w:bottom w:val="single" w:color="auto" w:sz="4" w:space="0"/>
            </w:tcBorders>
            <w:vAlign w:val="center"/>
          </w:tcPr>
          <w:p w14:paraId="7AD9DEE5">
            <w:pPr>
              <w:jc w:val="center"/>
              <w:rPr>
                <w:sz w:val="22"/>
                <w:szCs w:val="22"/>
                <w:highlight w:val="none"/>
              </w:rPr>
            </w:pPr>
          </w:p>
        </w:tc>
        <w:tc>
          <w:tcPr>
            <w:tcW w:w="3683" w:type="dxa"/>
            <w:tcBorders>
              <w:bottom w:val="single" w:color="auto" w:sz="4" w:space="0"/>
              <w:right w:val="single" w:color="auto" w:sz="4" w:space="0"/>
            </w:tcBorders>
            <w:vAlign w:val="center"/>
          </w:tcPr>
          <w:p w14:paraId="0939349D">
            <w:pPr>
              <w:jc w:val="left"/>
              <w:rPr>
                <w:rFonts w:hint="eastAsia" w:ascii="宋体" w:hAnsi="宋体"/>
                <w:color w:val="C00000"/>
                <w:sz w:val="22"/>
                <w:szCs w:val="22"/>
                <w:highlight w:val="none"/>
              </w:rPr>
            </w:pPr>
            <w:r>
              <w:rPr>
                <w:rFonts w:hint="eastAsia" w:ascii="宋体" w:hAnsi="宋体"/>
                <w:sz w:val="22"/>
                <w:szCs w:val="22"/>
                <w:highlight w:val="none"/>
              </w:rPr>
              <w:t>于2027年11月30日全部工程竣工验收合格办理设计费结算手续后</w:t>
            </w:r>
            <w:r>
              <w:rPr>
                <w:rFonts w:hint="eastAsia" w:ascii="宋体" w:hAnsi="宋体"/>
                <w:sz w:val="22"/>
                <w:szCs w:val="22"/>
                <w:highlight w:val="none"/>
                <w:u w:val="single"/>
              </w:rPr>
              <w:t>15</w:t>
            </w:r>
            <w:r>
              <w:rPr>
                <w:rFonts w:hint="eastAsia" w:ascii="宋体" w:hAnsi="宋体"/>
                <w:sz w:val="22"/>
                <w:szCs w:val="22"/>
                <w:highlight w:val="none"/>
              </w:rPr>
              <w:t>个工作日内。</w:t>
            </w:r>
          </w:p>
        </w:tc>
        <w:tc>
          <w:tcPr>
            <w:tcW w:w="2267" w:type="dxa"/>
            <w:tcBorders>
              <w:left w:val="single" w:color="auto" w:sz="4" w:space="0"/>
              <w:bottom w:val="single" w:color="auto" w:sz="4" w:space="0"/>
            </w:tcBorders>
            <w:vAlign w:val="center"/>
          </w:tcPr>
          <w:p w14:paraId="22312AA4">
            <w:pPr>
              <w:jc w:val="left"/>
              <w:rPr>
                <w:rFonts w:hint="eastAsia" w:ascii="宋体" w:hAnsi="宋体"/>
                <w:sz w:val="22"/>
                <w:szCs w:val="22"/>
                <w:highlight w:val="none"/>
              </w:rPr>
            </w:pPr>
            <w:r>
              <w:rPr>
                <w:rFonts w:hint="eastAsia" w:ascii="宋体" w:hAnsi="宋体"/>
                <w:sz w:val="22"/>
                <w:szCs w:val="22"/>
                <w:highlight w:val="none"/>
              </w:rPr>
              <w:t>如不能按时完成，每推迟15天扣该期设计费用的</w:t>
            </w:r>
            <w:r>
              <w:rPr>
                <w:rFonts w:hint="eastAsia" w:ascii="宋体" w:hAnsi="宋体"/>
                <w:sz w:val="22"/>
                <w:szCs w:val="22"/>
                <w:highlight w:val="none"/>
                <w:lang w:val="en-US" w:eastAsia="zh-CN"/>
              </w:rPr>
              <w:t>15</w:t>
            </w:r>
            <w:r>
              <w:rPr>
                <w:rFonts w:hint="eastAsia" w:ascii="宋体" w:hAnsi="宋体"/>
                <w:sz w:val="22"/>
                <w:szCs w:val="22"/>
                <w:highlight w:val="none"/>
              </w:rPr>
              <w:t>%</w:t>
            </w:r>
          </w:p>
        </w:tc>
      </w:tr>
      <w:tr w14:paraId="71A9C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359" w:hRule="atLeast"/>
        </w:trPr>
        <w:tc>
          <w:tcPr>
            <w:tcW w:w="934" w:type="dxa"/>
            <w:tcBorders>
              <w:bottom w:val="single" w:color="auto" w:sz="4" w:space="0"/>
            </w:tcBorders>
            <w:shd w:val="clear" w:color="auto" w:fill="auto"/>
            <w:vAlign w:val="center"/>
          </w:tcPr>
          <w:p w14:paraId="52CE3CE6">
            <w:pPr>
              <w:jc w:val="center"/>
              <w:rPr>
                <w:rFonts w:hint="eastAsia" w:ascii="宋体" w:hAnsi="宋体" w:eastAsia="宋体" w:cs="Times New Roman"/>
                <w:kern w:val="2"/>
                <w:sz w:val="22"/>
                <w:szCs w:val="22"/>
                <w:highlight w:val="none"/>
                <w:lang w:val="en-US" w:eastAsia="zh-CN" w:bidi="ar-SA"/>
              </w:rPr>
            </w:pPr>
            <w:r>
              <w:rPr>
                <w:rFonts w:hint="eastAsia" w:ascii="宋体" w:hAnsi="宋体"/>
                <w:sz w:val="22"/>
                <w:szCs w:val="22"/>
                <w:highlight w:val="none"/>
              </w:rPr>
              <w:t>第五期</w:t>
            </w:r>
          </w:p>
        </w:tc>
        <w:tc>
          <w:tcPr>
            <w:tcW w:w="1033" w:type="dxa"/>
            <w:tcBorders>
              <w:bottom w:val="single" w:color="auto" w:sz="4" w:space="0"/>
            </w:tcBorders>
            <w:shd w:val="clear" w:color="auto" w:fill="auto"/>
            <w:vAlign w:val="center"/>
          </w:tcPr>
          <w:p w14:paraId="0576EFA4">
            <w:pPr>
              <w:jc w:val="center"/>
              <w:rPr>
                <w:rFonts w:hint="eastAsia" w:ascii="宋体" w:hAnsi="宋体" w:eastAsia="宋体" w:cs="Times New Roman"/>
                <w:kern w:val="2"/>
                <w:sz w:val="22"/>
                <w:szCs w:val="22"/>
                <w:highlight w:val="none"/>
                <w:lang w:val="en-US" w:eastAsia="zh-CN" w:bidi="ar-SA"/>
              </w:rPr>
            </w:pPr>
            <w:r>
              <w:rPr>
                <w:rFonts w:hint="eastAsia" w:ascii="宋体" w:hAnsi="宋体"/>
                <w:sz w:val="22"/>
                <w:szCs w:val="22"/>
                <w:highlight w:val="none"/>
                <w:lang w:val="en-US" w:eastAsia="zh-CN"/>
              </w:rPr>
              <w:t>10</w:t>
            </w:r>
            <w:r>
              <w:rPr>
                <w:rFonts w:ascii="宋体" w:hAnsi="宋体"/>
                <w:sz w:val="22"/>
                <w:szCs w:val="22"/>
                <w:highlight w:val="none"/>
              </w:rPr>
              <w:t>%</w:t>
            </w:r>
          </w:p>
        </w:tc>
        <w:tc>
          <w:tcPr>
            <w:tcW w:w="1000" w:type="dxa"/>
            <w:tcBorders>
              <w:bottom w:val="single" w:color="auto" w:sz="4" w:space="0"/>
            </w:tcBorders>
            <w:shd w:val="clear" w:color="auto" w:fill="auto"/>
            <w:vAlign w:val="center"/>
          </w:tcPr>
          <w:p w14:paraId="158CABA7">
            <w:pPr>
              <w:jc w:val="center"/>
              <w:rPr>
                <w:rFonts w:ascii="宋体" w:hAnsi="宋体" w:eastAsia="宋体" w:cs="Times New Roman"/>
                <w:kern w:val="2"/>
                <w:sz w:val="22"/>
                <w:szCs w:val="22"/>
                <w:highlight w:val="none"/>
                <w:lang w:val="en-US" w:eastAsia="zh-CN" w:bidi="ar-SA"/>
              </w:rPr>
            </w:pPr>
          </w:p>
        </w:tc>
        <w:tc>
          <w:tcPr>
            <w:tcW w:w="3683" w:type="dxa"/>
            <w:tcBorders>
              <w:bottom w:val="single" w:color="auto" w:sz="4" w:space="0"/>
              <w:right w:val="single" w:color="auto" w:sz="4" w:space="0"/>
            </w:tcBorders>
            <w:shd w:val="clear" w:color="auto" w:fill="auto"/>
            <w:vAlign w:val="center"/>
          </w:tcPr>
          <w:p w14:paraId="5F038D52">
            <w:pPr>
              <w:jc w:val="left"/>
              <w:rPr>
                <w:rFonts w:hint="eastAsia" w:ascii="宋体" w:hAnsi="宋体" w:eastAsia="宋体" w:cs="Times New Roman"/>
                <w:kern w:val="2"/>
                <w:sz w:val="22"/>
                <w:szCs w:val="22"/>
                <w:highlight w:val="none"/>
                <w:lang w:val="en-US" w:eastAsia="zh-CN" w:bidi="ar-SA"/>
              </w:rPr>
            </w:pPr>
            <w:r>
              <w:rPr>
                <w:rFonts w:hint="eastAsia" w:ascii="宋体" w:hAnsi="宋体"/>
                <w:sz w:val="22"/>
                <w:szCs w:val="22"/>
                <w:highlight w:val="none"/>
                <w:lang w:val="en-US" w:eastAsia="zh-CN"/>
              </w:rPr>
              <w:t>办理并取得项目不动产权证，</w:t>
            </w:r>
            <w:r>
              <w:rPr>
                <w:rFonts w:hint="eastAsia" w:ascii="宋体" w:hAnsi="宋体"/>
                <w:sz w:val="22"/>
                <w:szCs w:val="22"/>
                <w:highlight w:val="none"/>
              </w:rPr>
              <w:t>缺陷通知期为竣工后</w:t>
            </w:r>
            <w:r>
              <w:rPr>
                <w:rFonts w:hint="eastAsia" w:ascii="宋体" w:hAnsi="宋体"/>
                <w:sz w:val="22"/>
                <w:szCs w:val="22"/>
                <w:highlight w:val="none"/>
                <w:lang w:val="en-US" w:eastAsia="zh-CN"/>
              </w:rPr>
              <w:t>一</w:t>
            </w:r>
            <w:r>
              <w:rPr>
                <w:rFonts w:hint="eastAsia" w:ascii="宋体" w:hAnsi="宋体"/>
                <w:sz w:val="22"/>
                <w:szCs w:val="22"/>
                <w:highlight w:val="none"/>
              </w:rPr>
              <w:t>年，缺陷通知期限届满</w:t>
            </w:r>
            <w:r>
              <w:rPr>
                <w:rFonts w:hint="eastAsia" w:ascii="宋体" w:hAnsi="宋体"/>
                <w:sz w:val="22"/>
                <w:szCs w:val="22"/>
                <w:highlight w:val="none"/>
                <w:u w:val="single"/>
              </w:rPr>
              <w:t>15</w:t>
            </w:r>
            <w:r>
              <w:rPr>
                <w:rFonts w:hint="eastAsia" w:ascii="宋体" w:hAnsi="宋体"/>
                <w:sz w:val="22"/>
                <w:szCs w:val="22"/>
                <w:highlight w:val="none"/>
              </w:rPr>
              <w:t>个工作日内</w:t>
            </w:r>
            <w:r>
              <w:rPr>
                <w:rFonts w:hint="eastAsia" w:ascii="宋体" w:hAnsi="宋体"/>
                <w:sz w:val="22"/>
                <w:szCs w:val="22"/>
                <w:highlight w:val="none"/>
                <w:lang w:eastAsia="zh-CN"/>
              </w:rPr>
              <w:t>，</w:t>
            </w:r>
            <w:r>
              <w:rPr>
                <w:rFonts w:hint="eastAsia" w:ascii="宋体" w:hAnsi="宋体"/>
                <w:sz w:val="22"/>
                <w:szCs w:val="22"/>
                <w:highlight w:val="none"/>
              </w:rPr>
              <w:t>设计</w:t>
            </w:r>
            <w:r>
              <w:rPr>
                <w:rFonts w:hint="eastAsia" w:ascii="宋体" w:hAnsi="宋体" w:eastAsia="宋体"/>
                <w:sz w:val="22"/>
                <w:szCs w:val="22"/>
                <w:highlight w:val="none"/>
                <w:lang w:val="en-US" w:eastAsia="zh-CN"/>
              </w:rPr>
              <w:t>及报批报建费用</w:t>
            </w:r>
            <w:r>
              <w:rPr>
                <w:rFonts w:hint="eastAsia" w:ascii="宋体" w:hAnsi="宋体"/>
                <w:sz w:val="22"/>
                <w:szCs w:val="22"/>
                <w:highlight w:val="none"/>
              </w:rPr>
              <w:t>全部付清。</w:t>
            </w:r>
          </w:p>
        </w:tc>
        <w:tc>
          <w:tcPr>
            <w:tcW w:w="2267" w:type="dxa"/>
            <w:tcBorders>
              <w:left w:val="single" w:color="auto" w:sz="4" w:space="0"/>
              <w:bottom w:val="single" w:color="auto" w:sz="4" w:space="0"/>
            </w:tcBorders>
            <w:shd w:val="clear" w:color="auto" w:fill="auto"/>
            <w:vAlign w:val="center"/>
          </w:tcPr>
          <w:p w14:paraId="3A5F7056">
            <w:pPr>
              <w:jc w:val="left"/>
              <w:rPr>
                <w:rFonts w:hint="eastAsia" w:ascii="宋体" w:hAnsi="宋体" w:eastAsia="宋体" w:cs="Times New Roman"/>
                <w:kern w:val="2"/>
                <w:sz w:val="22"/>
                <w:szCs w:val="22"/>
                <w:highlight w:val="none"/>
                <w:lang w:val="en-US" w:eastAsia="zh-CN" w:bidi="ar-SA"/>
              </w:rPr>
            </w:pPr>
            <w:r>
              <w:rPr>
                <w:rFonts w:hint="eastAsia" w:ascii="宋体" w:hAnsi="宋体"/>
                <w:sz w:val="22"/>
                <w:szCs w:val="22"/>
                <w:highlight w:val="none"/>
              </w:rPr>
              <w:t>累计支付至:设计费终审结算价的100%</w:t>
            </w:r>
          </w:p>
        </w:tc>
      </w:tr>
    </w:tbl>
    <w:p w14:paraId="2085CA21">
      <w:pPr>
        <w:adjustRightInd w:val="0"/>
        <w:snapToGrid w:val="0"/>
        <w:spacing w:line="360" w:lineRule="auto"/>
        <w:ind w:firstLine="480" w:firstLineChars="200"/>
        <w:rPr>
          <w:rFonts w:hAnsi="宋体"/>
          <w:sz w:val="24"/>
          <w:highlight w:val="none"/>
        </w:rPr>
      </w:pPr>
      <w:r>
        <w:rPr>
          <w:rFonts w:hint="eastAsia" w:hAnsi="宋体"/>
          <w:sz w:val="24"/>
          <w:highlight w:val="none"/>
        </w:rPr>
        <w:t>说明：</w:t>
      </w:r>
      <w:r>
        <w:rPr>
          <w:rFonts w:hint="eastAsia" w:ascii="宋体" w:hAnsi="宋体"/>
          <w:sz w:val="24"/>
          <w:highlight w:val="none"/>
        </w:rPr>
        <w:t>实际付款时间以甲方提交费用审批流程为准。乙方应清楚明白本项目工程进度款的拨付程序，并理解因审核请款手续对时间等方面的影响与甲方无关，故不得以甲方未按时支付工程预付款和工程进度款为由，影响设计任务的进度、质量和拖欠工资，不得要求甲方计付拖欠进度款期间的利息。</w:t>
      </w:r>
    </w:p>
    <w:p w14:paraId="7E1D88FB">
      <w:pPr>
        <w:pStyle w:val="2"/>
        <w:spacing w:line="360" w:lineRule="auto"/>
        <w:ind w:firstLine="480" w:firstLineChars="200"/>
        <w:rPr>
          <w:rFonts w:hAnsi="宋体" w:eastAsia="宋体"/>
          <w:sz w:val="24"/>
          <w:szCs w:val="24"/>
          <w:highlight w:val="none"/>
        </w:rPr>
      </w:pPr>
      <w:r>
        <w:rPr>
          <w:rFonts w:hint="eastAsia" w:hAnsi="宋体" w:eastAsia="宋体"/>
          <w:sz w:val="24"/>
          <w:szCs w:val="24"/>
          <w:highlight w:val="none"/>
        </w:rPr>
        <w:t>8.2工程缓建或分期建设的，则按实际完成工作量占总工作量的比例计算对应比例的设计费进行分期支付。</w:t>
      </w:r>
    </w:p>
    <w:p w14:paraId="52CEA2CF">
      <w:pPr>
        <w:pStyle w:val="2"/>
        <w:spacing w:line="360" w:lineRule="auto"/>
        <w:ind w:firstLine="480" w:firstLineChars="200"/>
        <w:rPr>
          <w:rFonts w:eastAsia="宋体"/>
          <w:sz w:val="24"/>
          <w:szCs w:val="24"/>
          <w:highlight w:val="none"/>
        </w:rPr>
      </w:pPr>
      <w:r>
        <w:rPr>
          <w:rFonts w:hint="eastAsia" w:hAnsi="宋体" w:eastAsia="宋体"/>
          <w:sz w:val="24"/>
          <w:szCs w:val="24"/>
          <w:highlight w:val="none"/>
        </w:rPr>
        <w:t>8.3工程竣工、验收后，乙方向</w:t>
      </w:r>
      <w:r>
        <w:rPr>
          <w:rFonts w:hint="eastAsia" w:hAnsi="宋体" w:eastAsia="宋体"/>
          <w:sz w:val="24"/>
          <w:szCs w:val="24"/>
          <w:highlight w:val="none"/>
          <w:lang w:val="en-US" w:eastAsia="zh-CN"/>
        </w:rPr>
        <w:t>甲方</w:t>
      </w:r>
      <w:r>
        <w:rPr>
          <w:rFonts w:hint="eastAsia" w:hAnsi="宋体" w:eastAsia="宋体"/>
          <w:sz w:val="24"/>
          <w:szCs w:val="24"/>
          <w:highlight w:val="none"/>
        </w:rPr>
        <w:t>提交设计费结算书，由</w:t>
      </w:r>
      <w:r>
        <w:rPr>
          <w:rFonts w:hint="eastAsia" w:hAnsi="宋体" w:eastAsia="宋体"/>
          <w:sz w:val="24"/>
          <w:szCs w:val="24"/>
          <w:highlight w:val="none"/>
          <w:lang w:eastAsia="zh-CN"/>
        </w:rPr>
        <w:t>甲方</w:t>
      </w:r>
      <w:r>
        <w:rPr>
          <w:rFonts w:hint="eastAsia" w:hAnsi="宋体" w:eastAsia="宋体"/>
          <w:sz w:val="24"/>
          <w:szCs w:val="24"/>
          <w:highlight w:val="none"/>
        </w:rPr>
        <w:t>审核确认</w:t>
      </w:r>
      <w:r>
        <w:rPr>
          <w:rFonts w:hint="eastAsia" w:hAnsi="宋体" w:eastAsia="宋体"/>
          <w:sz w:val="24"/>
          <w:szCs w:val="24"/>
          <w:highlight w:val="none"/>
          <w:lang w:val="en-US" w:eastAsia="zh-CN"/>
        </w:rPr>
        <w:t>后</w:t>
      </w:r>
      <w:r>
        <w:rPr>
          <w:rFonts w:hint="eastAsia" w:hAnsi="宋体" w:eastAsia="宋体"/>
          <w:sz w:val="24"/>
          <w:szCs w:val="24"/>
          <w:highlight w:val="none"/>
        </w:rPr>
        <w:t>，</w:t>
      </w:r>
      <w:r>
        <w:rPr>
          <w:rFonts w:hint="eastAsia" w:eastAsia="宋体"/>
          <w:sz w:val="24"/>
          <w:szCs w:val="24"/>
          <w:highlight w:val="none"/>
        </w:rPr>
        <w:t>设计费最终结算价以终审部门审核为准</w:t>
      </w:r>
      <w:r>
        <w:rPr>
          <w:rFonts w:hint="eastAsia" w:eastAsia="宋体"/>
          <w:sz w:val="24"/>
          <w:szCs w:val="24"/>
          <w:highlight w:val="none"/>
          <w:lang w:eastAsia="zh-CN"/>
        </w:rPr>
        <w:t>，</w:t>
      </w:r>
      <w:r>
        <w:rPr>
          <w:rFonts w:hint="eastAsia" w:eastAsia="宋体"/>
          <w:sz w:val="24"/>
          <w:szCs w:val="24"/>
          <w:highlight w:val="none"/>
          <w:lang w:val="en-US" w:eastAsia="zh-CN"/>
        </w:rPr>
        <w:t>结算价不超过合同暂定价</w:t>
      </w:r>
      <w:r>
        <w:rPr>
          <w:rFonts w:hint="eastAsia" w:eastAsia="宋体"/>
          <w:sz w:val="24"/>
          <w:szCs w:val="24"/>
          <w:highlight w:val="none"/>
        </w:rPr>
        <w:t>。</w:t>
      </w:r>
    </w:p>
    <w:p w14:paraId="0C9F2795">
      <w:pPr>
        <w:spacing w:before="120" w:beforeLines="50" w:line="360" w:lineRule="auto"/>
        <w:ind w:firstLine="482" w:firstLineChars="200"/>
        <w:rPr>
          <w:rFonts w:ascii="宋体" w:hAnsi="宋体"/>
          <w:b/>
          <w:bCs/>
          <w:sz w:val="24"/>
          <w:highlight w:val="none"/>
        </w:rPr>
      </w:pPr>
      <w:r>
        <w:rPr>
          <w:rFonts w:hint="eastAsia" w:ascii="宋体" w:hAnsi="宋体"/>
          <w:b/>
          <w:bCs/>
          <w:sz w:val="24"/>
          <w:highlight w:val="none"/>
        </w:rPr>
        <w:t>第九条　双方责任</w:t>
      </w:r>
    </w:p>
    <w:p w14:paraId="7C09AC0E">
      <w:pPr>
        <w:spacing w:line="360" w:lineRule="auto"/>
        <w:ind w:firstLine="480" w:firstLineChars="200"/>
        <w:rPr>
          <w:rFonts w:ascii="宋体" w:hAnsi="宋体"/>
          <w:sz w:val="24"/>
          <w:highlight w:val="none"/>
        </w:rPr>
      </w:pPr>
      <w:r>
        <w:rPr>
          <w:rFonts w:hint="eastAsia" w:ascii="宋体" w:hAnsi="宋体"/>
          <w:sz w:val="24"/>
          <w:highlight w:val="none"/>
        </w:rPr>
        <w:t>9.1甲方责任：</w:t>
      </w:r>
    </w:p>
    <w:p w14:paraId="534E8C22">
      <w:pPr>
        <w:spacing w:line="360" w:lineRule="auto"/>
        <w:ind w:firstLine="480" w:firstLineChars="200"/>
        <w:rPr>
          <w:rFonts w:ascii="宋体" w:hAnsi="宋体"/>
          <w:sz w:val="24"/>
          <w:highlight w:val="none"/>
        </w:rPr>
      </w:pPr>
      <w:r>
        <w:rPr>
          <w:rFonts w:hint="eastAsia" w:ascii="宋体" w:hAnsi="宋体"/>
          <w:sz w:val="24"/>
          <w:highlight w:val="none"/>
        </w:rPr>
        <w:t>9.1.1按本合同约定向乙方提供设计工作需要的资料。</w:t>
      </w:r>
    </w:p>
    <w:p w14:paraId="6EC59B4D">
      <w:pPr>
        <w:spacing w:line="360" w:lineRule="auto"/>
        <w:ind w:firstLine="480" w:firstLineChars="200"/>
        <w:rPr>
          <w:rFonts w:ascii="宋体" w:hAnsi="宋体"/>
          <w:sz w:val="24"/>
          <w:highlight w:val="none"/>
        </w:rPr>
      </w:pPr>
      <w:r>
        <w:rPr>
          <w:rFonts w:hint="eastAsia" w:ascii="宋体" w:hAnsi="宋体"/>
          <w:sz w:val="24"/>
          <w:highlight w:val="none"/>
        </w:rPr>
        <w:t>9.1.2甲方按本合同相关条款向乙方支付设计费。</w:t>
      </w:r>
    </w:p>
    <w:p w14:paraId="5A0BCCB1">
      <w:pPr>
        <w:spacing w:line="360" w:lineRule="auto"/>
        <w:ind w:firstLine="480" w:firstLineChars="200"/>
        <w:rPr>
          <w:rFonts w:ascii="宋体" w:hAnsi="宋体"/>
          <w:sz w:val="24"/>
          <w:highlight w:val="none"/>
        </w:rPr>
      </w:pPr>
      <w:r>
        <w:rPr>
          <w:rFonts w:hint="eastAsia" w:ascii="宋体" w:hAnsi="宋体"/>
          <w:sz w:val="24"/>
          <w:highlight w:val="none"/>
        </w:rPr>
        <w:t>9.1.3甲方不应要求乙方违反国家有关标准进行设计。</w:t>
      </w:r>
    </w:p>
    <w:p w14:paraId="1B1C5444">
      <w:pPr>
        <w:spacing w:line="360" w:lineRule="auto"/>
        <w:ind w:firstLine="480" w:firstLineChars="200"/>
        <w:rPr>
          <w:rFonts w:ascii="宋体" w:hAnsi="宋体"/>
          <w:sz w:val="24"/>
          <w:highlight w:val="none"/>
        </w:rPr>
      </w:pPr>
      <w:r>
        <w:rPr>
          <w:rFonts w:hint="eastAsia" w:ascii="宋体" w:hAnsi="宋体"/>
          <w:sz w:val="24"/>
          <w:highlight w:val="none"/>
        </w:rPr>
        <w:t>9.1.4在未签订本合同前，已开展设计工作的，</w:t>
      </w:r>
      <w:r>
        <w:rPr>
          <w:rFonts w:hint="eastAsia" w:ascii="宋体" w:hAnsi="宋体"/>
          <w:sz w:val="24"/>
          <w:highlight w:val="none"/>
          <w:lang w:eastAsia="zh-CN"/>
        </w:rPr>
        <w:t>甲方</w:t>
      </w:r>
      <w:r>
        <w:rPr>
          <w:rFonts w:hint="eastAsia" w:ascii="宋体" w:hAnsi="宋体"/>
          <w:sz w:val="24"/>
          <w:highlight w:val="none"/>
        </w:rPr>
        <w:t>协调乙方支付相应设计费用，该费用包含于设计费合同价内。</w:t>
      </w:r>
    </w:p>
    <w:p w14:paraId="7C1F8A95">
      <w:pPr>
        <w:spacing w:line="360" w:lineRule="auto"/>
        <w:ind w:firstLine="480" w:firstLineChars="200"/>
        <w:rPr>
          <w:rFonts w:ascii="宋体" w:hAnsi="宋体"/>
          <w:sz w:val="24"/>
          <w:highlight w:val="none"/>
        </w:rPr>
      </w:pPr>
      <w:r>
        <w:rPr>
          <w:rFonts w:hint="eastAsia" w:ascii="宋体" w:hAnsi="宋体"/>
          <w:sz w:val="24"/>
          <w:highlight w:val="none"/>
        </w:rPr>
        <w:t>9.1.5非乙方原因，</w:t>
      </w:r>
      <w:r>
        <w:rPr>
          <w:rFonts w:hint="eastAsia"/>
          <w:sz w:val="24"/>
          <w:highlight w:val="none"/>
          <w:lang w:val="en-US" w:eastAsia="zh-CN"/>
        </w:rPr>
        <w:t>主体工规证出证后，若甲方</w:t>
      </w:r>
      <w:r>
        <w:rPr>
          <w:rFonts w:hint="eastAsia" w:ascii="宋体" w:hAnsi="宋体"/>
          <w:sz w:val="24"/>
          <w:highlight w:val="none"/>
        </w:rPr>
        <w:t>变更委托设计项目、规模、条件，或提交的资料错误，或对所提交资料作较大修改，</w:t>
      </w:r>
      <w:r>
        <w:rPr>
          <w:rFonts w:hint="eastAsia"/>
          <w:sz w:val="24"/>
          <w:highlight w:val="none"/>
          <w:lang w:val="en-US" w:eastAsia="zh-CN"/>
        </w:rPr>
        <w:t>双方另行协商变更事宜</w:t>
      </w:r>
      <w:r>
        <w:rPr>
          <w:rFonts w:hint="eastAsia" w:ascii="宋体" w:hAnsi="宋体"/>
          <w:sz w:val="24"/>
          <w:highlight w:val="none"/>
        </w:rPr>
        <w:t>。</w:t>
      </w:r>
    </w:p>
    <w:p w14:paraId="0AA3DE92">
      <w:pPr>
        <w:pStyle w:val="7"/>
        <w:spacing w:line="360" w:lineRule="auto"/>
        <w:ind w:firstLine="480"/>
        <w:rPr>
          <w:rFonts w:ascii="宋体" w:hAnsi="宋体"/>
          <w:sz w:val="24"/>
          <w:highlight w:val="none"/>
        </w:rPr>
      </w:pPr>
      <w:r>
        <w:rPr>
          <w:rFonts w:hint="eastAsia" w:ascii="宋体" w:hAnsi="宋体"/>
          <w:sz w:val="24"/>
          <w:highlight w:val="none"/>
        </w:rPr>
        <w:t>9.1.6在合同履行期间，甲方要求解除合同，已开始设计工作的，甲方应根据乙方已工作的实际量支付设计费。</w:t>
      </w:r>
    </w:p>
    <w:p w14:paraId="1C994291">
      <w:pPr>
        <w:pStyle w:val="7"/>
        <w:spacing w:line="360" w:lineRule="auto"/>
        <w:ind w:firstLine="480"/>
        <w:rPr>
          <w:highlight w:val="none"/>
        </w:rPr>
      </w:pPr>
      <w:r>
        <w:rPr>
          <w:rFonts w:hint="eastAsia" w:ascii="宋体" w:hAnsi="宋体"/>
          <w:sz w:val="24"/>
          <w:highlight w:val="none"/>
        </w:rPr>
        <w:t>9.1.7本合同项目停建或缓建的，双方应办理相关手续。甲方按乙方实际已完成工作量按比例支付对应的设计费。</w:t>
      </w:r>
    </w:p>
    <w:p w14:paraId="47C72F79">
      <w:pPr>
        <w:spacing w:line="360" w:lineRule="auto"/>
        <w:ind w:firstLine="480" w:firstLineChars="200"/>
        <w:rPr>
          <w:rFonts w:ascii="宋体" w:hAnsi="宋体"/>
          <w:sz w:val="24"/>
          <w:highlight w:val="none"/>
        </w:rPr>
      </w:pPr>
      <w:r>
        <w:rPr>
          <w:rFonts w:hint="eastAsia" w:ascii="宋体" w:hAnsi="宋体"/>
          <w:sz w:val="24"/>
          <w:highlight w:val="none"/>
        </w:rPr>
        <w:t>9.2责任：</w:t>
      </w:r>
    </w:p>
    <w:p w14:paraId="7836829F">
      <w:pPr>
        <w:spacing w:line="360" w:lineRule="auto"/>
        <w:ind w:firstLine="480" w:firstLineChars="200"/>
        <w:rPr>
          <w:rFonts w:ascii="宋体" w:hAnsi="宋体"/>
          <w:sz w:val="24"/>
          <w:highlight w:val="none"/>
        </w:rPr>
      </w:pPr>
      <w:r>
        <w:rPr>
          <w:rFonts w:hint="eastAsia" w:ascii="宋体" w:hAnsi="宋体"/>
          <w:sz w:val="24"/>
          <w:highlight w:val="none"/>
        </w:rPr>
        <w:t>9.2.1按本合同第五条规定的内容，在规定的</w:t>
      </w:r>
      <w:r>
        <w:rPr>
          <w:rFonts w:hint="eastAsia" w:ascii="宋体" w:hAnsi="宋体"/>
          <w:sz w:val="24"/>
          <w:highlight w:val="none"/>
          <w:lang w:eastAsia="zh-CN"/>
        </w:rPr>
        <w:t>时间</w:t>
      </w:r>
      <w:r>
        <w:rPr>
          <w:rFonts w:hint="eastAsia" w:ascii="宋体" w:hAnsi="宋体"/>
          <w:sz w:val="24"/>
          <w:highlight w:val="none"/>
        </w:rPr>
        <w:t>内向乙方提交基础资料及文件。</w:t>
      </w:r>
    </w:p>
    <w:p w14:paraId="3199671B">
      <w:pPr>
        <w:spacing w:line="360" w:lineRule="auto"/>
        <w:ind w:firstLine="480" w:firstLineChars="200"/>
        <w:rPr>
          <w:rFonts w:ascii="宋体" w:hAnsi="宋体"/>
          <w:sz w:val="24"/>
          <w:highlight w:val="none"/>
        </w:rPr>
      </w:pPr>
      <w:r>
        <w:rPr>
          <w:rFonts w:hint="eastAsia" w:ascii="宋体" w:hAnsi="宋体"/>
          <w:sz w:val="24"/>
          <w:highlight w:val="none"/>
        </w:rPr>
        <w:t>9.2.2不应要求乙方违反国家有关标准进行设计。</w:t>
      </w:r>
    </w:p>
    <w:p w14:paraId="589A04F5">
      <w:pPr>
        <w:spacing w:line="360" w:lineRule="auto"/>
        <w:ind w:firstLine="480" w:firstLineChars="200"/>
        <w:rPr>
          <w:rFonts w:ascii="宋体" w:hAnsi="宋体"/>
          <w:sz w:val="24"/>
          <w:highlight w:val="none"/>
        </w:rPr>
      </w:pPr>
      <w:r>
        <w:rPr>
          <w:rFonts w:hint="eastAsia" w:ascii="宋体" w:hAnsi="宋体"/>
          <w:sz w:val="24"/>
          <w:highlight w:val="none"/>
        </w:rPr>
        <w:t>9.2.3在合同履行期间，经甲方同意后要求解除合同，已开始设计工作的，甲方应根据乙方已工作的实际量支付设计费。</w:t>
      </w:r>
    </w:p>
    <w:p w14:paraId="7F214CD8">
      <w:pPr>
        <w:spacing w:line="360" w:lineRule="auto"/>
        <w:ind w:firstLine="480" w:firstLineChars="200"/>
        <w:rPr>
          <w:rFonts w:ascii="宋体" w:hAnsi="宋体"/>
          <w:sz w:val="24"/>
          <w:highlight w:val="none"/>
        </w:rPr>
      </w:pPr>
      <w:r>
        <w:rPr>
          <w:rFonts w:hint="eastAsia" w:ascii="宋体" w:hAnsi="宋体"/>
          <w:sz w:val="24"/>
          <w:highlight w:val="none"/>
        </w:rPr>
        <w:t>9.2.4要求乙方比合同规定时间提前交付设计资料及文件时，须征得乙方同意，不得严重背离合理设计周期。</w:t>
      </w:r>
    </w:p>
    <w:p w14:paraId="18249C00">
      <w:pPr>
        <w:spacing w:line="360" w:lineRule="auto"/>
        <w:ind w:firstLine="480" w:firstLineChars="200"/>
        <w:rPr>
          <w:rFonts w:ascii="宋体" w:hAnsi="宋体"/>
          <w:sz w:val="24"/>
          <w:highlight w:val="none"/>
        </w:rPr>
      </w:pPr>
      <w:r>
        <w:rPr>
          <w:rFonts w:hint="eastAsia" w:ascii="宋体" w:hAnsi="宋体"/>
          <w:sz w:val="24"/>
          <w:highlight w:val="none"/>
        </w:rPr>
        <w:t>9.2.5应根据设计进度和设计质量情况，不定期组织设计协调会。</w:t>
      </w:r>
    </w:p>
    <w:p w14:paraId="3A16C9B4">
      <w:pPr>
        <w:spacing w:line="360" w:lineRule="auto"/>
        <w:ind w:firstLine="480" w:firstLineChars="200"/>
        <w:rPr>
          <w:rFonts w:ascii="宋体" w:hAnsi="宋体"/>
          <w:sz w:val="24"/>
          <w:highlight w:val="none"/>
        </w:rPr>
      </w:pPr>
      <w:r>
        <w:rPr>
          <w:rFonts w:hint="eastAsia" w:ascii="宋体" w:hAnsi="宋体"/>
          <w:sz w:val="24"/>
          <w:highlight w:val="none"/>
        </w:rPr>
        <w:t>9.2.6对乙方出具的设计文件，应组织审查，根据审查意见，乙方应按合理意见修改设计文件。</w:t>
      </w:r>
    </w:p>
    <w:p w14:paraId="6034B298">
      <w:pPr>
        <w:pStyle w:val="7"/>
        <w:spacing w:line="360" w:lineRule="auto"/>
        <w:ind w:firstLine="480"/>
        <w:rPr>
          <w:rFonts w:ascii="宋体" w:hAnsi="宋体"/>
          <w:sz w:val="24"/>
          <w:highlight w:val="none"/>
        </w:rPr>
      </w:pPr>
      <w:r>
        <w:rPr>
          <w:rFonts w:hint="eastAsia" w:ascii="宋体" w:hAnsi="宋体"/>
          <w:sz w:val="24"/>
          <w:highlight w:val="none"/>
        </w:rPr>
        <w:t>9.2.7专业设计分包可提供必要的协助。应审查专业设计分包单位资质和承担分包任务的实力，不具备分包条件的设计分包单位不批准分包。</w:t>
      </w:r>
    </w:p>
    <w:p w14:paraId="39055EBB">
      <w:pPr>
        <w:spacing w:line="360" w:lineRule="auto"/>
        <w:ind w:firstLine="480" w:firstLineChars="200"/>
        <w:rPr>
          <w:rFonts w:ascii="宋体" w:hAnsi="宋体"/>
          <w:sz w:val="24"/>
          <w:highlight w:val="none"/>
        </w:rPr>
      </w:pPr>
      <w:r>
        <w:rPr>
          <w:rFonts w:hint="eastAsia" w:ascii="宋体" w:hAnsi="宋体"/>
          <w:sz w:val="24"/>
          <w:highlight w:val="none"/>
        </w:rPr>
        <w:t>9.2.8为派驻现场设计人员提供必要的协助，费用由乙方负责。</w:t>
      </w:r>
    </w:p>
    <w:p w14:paraId="70D4E759">
      <w:pPr>
        <w:spacing w:line="360" w:lineRule="auto"/>
        <w:ind w:firstLine="480" w:firstLineChars="200"/>
        <w:rPr>
          <w:rFonts w:ascii="宋体" w:hAnsi="宋体"/>
          <w:sz w:val="24"/>
          <w:highlight w:val="none"/>
        </w:rPr>
      </w:pPr>
      <w:r>
        <w:rPr>
          <w:rFonts w:hint="eastAsia" w:ascii="宋体" w:hAnsi="宋体"/>
          <w:sz w:val="24"/>
          <w:highlight w:val="none"/>
        </w:rPr>
        <w:t>9.3乙方责任：</w:t>
      </w:r>
    </w:p>
    <w:p w14:paraId="2230442F">
      <w:pPr>
        <w:spacing w:line="360" w:lineRule="auto"/>
        <w:ind w:firstLine="480" w:firstLineChars="200"/>
        <w:rPr>
          <w:rFonts w:ascii="宋体" w:hAnsi="宋体"/>
          <w:sz w:val="24"/>
          <w:highlight w:val="none"/>
        </w:rPr>
      </w:pPr>
      <w:bookmarkStart w:id="12" w:name="_Toc326428760"/>
      <w:bookmarkStart w:id="13" w:name="_Toc326428201"/>
      <w:r>
        <w:rPr>
          <w:rFonts w:hint="eastAsia" w:ascii="宋体" w:hAnsi="宋体"/>
          <w:sz w:val="24"/>
          <w:highlight w:val="none"/>
        </w:rPr>
        <w:t>9.3.1乙方应按国家技术规范、标准、设计要求及中标通知书和该项目审查审批部门的批准文件开展设计工作。</w:t>
      </w:r>
    </w:p>
    <w:p w14:paraId="097FC882">
      <w:pPr>
        <w:spacing w:line="360" w:lineRule="auto"/>
        <w:ind w:firstLine="480" w:firstLineChars="200"/>
        <w:rPr>
          <w:rFonts w:ascii="宋体" w:hAnsi="宋体"/>
          <w:sz w:val="24"/>
          <w:highlight w:val="none"/>
        </w:rPr>
      </w:pPr>
      <w:r>
        <w:rPr>
          <w:rFonts w:hint="eastAsia" w:ascii="宋体" w:hAnsi="宋体"/>
          <w:sz w:val="24"/>
          <w:highlight w:val="none"/>
        </w:rPr>
        <w:t>9.3.2按本合同第六条规定的内容、时间及份数向交付设计文件，并对其质量负责，保证能取得设计审批部门（包括但不限于规划、建设等行政部门的审批）的批准或审核许可。</w:t>
      </w:r>
    </w:p>
    <w:p w14:paraId="57058E26">
      <w:pPr>
        <w:spacing w:line="360" w:lineRule="auto"/>
        <w:ind w:firstLine="480" w:firstLineChars="200"/>
        <w:rPr>
          <w:rFonts w:ascii="宋体" w:hAnsi="宋体"/>
          <w:sz w:val="24"/>
          <w:highlight w:val="none"/>
        </w:rPr>
      </w:pPr>
      <w:r>
        <w:rPr>
          <w:rFonts w:hint="eastAsia" w:ascii="宋体" w:hAnsi="宋体"/>
          <w:sz w:val="24"/>
          <w:highlight w:val="none"/>
        </w:rPr>
        <w:t>9.3.3设计文件确保满足设计任务书提出的有关要求。否则，乙方应当返工重作，造成设计文件迟延交付的，按本条第9.3.7款处理</w:t>
      </w:r>
      <w:bookmarkEnd w:id="12"/>
      <w:bookmarkEnd w:id="13"/>
      <w:r>
        <w:rPr>
          <w:rFonts w:hint="eastAsia" w:ascii="宋体" w:hAnsi="宋体"/>
          <w:sz w:val="24"/>
          <w:highlight w:val="none"/>
        </w:rPr>
        <w:t>。</w:t>
      </w:r>
    </w:p>
    <w:p w14:paraId="30B5E58F">
      <w:pPr>
        <w:spacing w:line="360" w:lineRule="auto"/>
        <w:ind w:firstLine="480" w:firstLineChars="200"/>
        <w:rPr>
          <w:rFonts w:ascii="宋体" w:hAnsi="宋体"/>
          <w:sz w:val="24"/>
          <w:highlight w:val="none"/>
        </w:rPr>
      </w:pPr>
      <w:r>
        <w:rPr>
          <w:rFonts w:hint="eastAsia" w:ascii="宋体" w:hAnsi="宋体"/>
          <w:sz w:val="24"/>
          <w:highlight w:val="none"/>
        </w:rPr>
        <w:t>9.3.4设计文件中选用的国家标准图、部标准图及地方标准图由乙方按本合同第六条要求的份数随同交付。</w:t>
      </w:r>
    </w:p>
    <w:p w14:paraId="40B703BA">
      <w:pPr>
        <w:spacing w:line="360" w:lineRule="auto"/>
        <w:ind w:firstLine="480" w:firstLineChars="200"/>
        <w:rPr>
          <w:rFonts w:ascii="宋体" w:hAnsi="宋体"/>
          <w:sz w:val="24"/>
          <w:highlight w:val="none"/>
        </w:rPr>
      </w:pPr>
      <w:r>
        <w:rPr>
          <w:rFonts w:hint="eastAsia" w:ascii="宋体" w:hAnsi="宋体"/>
          <w:sz w:val="24"/>
          <w:highlight w:val="none"/>
        </w:rPr>
        <w:t>9.3.5设计合理使用年限按国家规定执行。</w:t>
      </w:r>
    </w:p>
    <w:p w14:paraId="0B8D73BA">
      <w:pPr>
        <w:spacing w:line="360" w:lineRule="auto"/>
        <w:ind w:firstLine="480" w:firstLineChars="200"/>
        <w:rPr>
          <w:rFonts w:ascii="宋体" w:hAnsi="宋体"/>
          <w:color w:val="auto"/>
          <w:sz w:val="24"/>
          <w:highlight w:val="none"/>
        </w:rPr>
      </w:pPr>
      <w:bookmarkStart w:id="14" w:name="_Toc326428203"/>
      <w:bookmarkStart w:id="15" w:name="_Toc326428762"/>
      <w:r>
        <w:rPr>
          <w:rFonts w:hint="eastAsia" w:ascii="宋体" w:hAnsi="宋体"/>
          <w:sz w:val="24"/>
          <w:highlight w:val="none"/>
        </w:rPr>
        <w:t>9.3.6乙方按要求，对设计文件进行调整并对遗漏或错误负责修改或补充。由于设计原因造成工程质量事故或工期延误，乙方应采取补救措施，免收该部分及采取补救</w:t>
      </w:r>
      <w:r>
        <w:rPr>
          <w:rFonts w:hint="eastAsia" w:ascii="宋体" w:hAnsi="宋体"/>
          <w:color w:val="auto"/>
          <w:sz w:val="24"/>
          <w:highlight w:val="none"/>
        </w:rPr>
        <w:t>措施的设计费，并向甲方支付受损部分设计费100％的违约金，造成第</w:t>
      </w:r>
      <w:r>
        <w:rPr>
          <w:rFonts w:hint="eastAsia" w:ascii="宋体" w:hAnsi="宋体"/>
          <w:color w:val="auto"/>
          <w:sz w:val="24"/>
          <w:highlight w:val="none"/>
          <w:lang w:val="en-US" w:eastAsia="zh-CN"/>
        </w:rPr>
        <w:t>三</w:t>
      </w:r>
      <w:r>
        <w:rPr>
          <w:rFonts w:hint="eastAsia" w:ascii="宋体" w:hAnsi="宋体"/>
          <w:color w:val="auto"/>
          <w:sz w:val="24"/>
          <w:highlight w:val="none"/>
        </w:rPr>
        <w:t>方损失的，</w:t>
      </w:r>
      <w:r>
        <w:rPr>
          <w:rFonts w:hint="eastAsia" w:ascii="宋体" w:hAnsi="宋体"/>
          <w:color w:val="auto"/>
          <w:sz w:val="24"/>
          <w:highlight w:val="none"/>
          <w:lang w:val="en-US" w:eastAsia="zh-CN"/>
        </w:rPr>
        <w:t>由乙方</w:t>
      </w:r>
      <w:r>
        <w:rPr>
          <w:rFonts w:hint="eastAsia" w:ascii="宋体" w:hAnsi="宋体"/>
          <w:color w:val="auto"/>
          <w:sz w:val="24"/>
          <w:highlight w:val="none"/>
        </w:rPr>
        <w:t>承担</w:t>
      </w:r>
      <w:r>
        <w:rPr>
          <w:rFonts w:hint="eastAsia" w:ascii="宋体" w:hAnsi="宋体"/>
          <w:color w:val="auto"/>
          <w:sz w:val="24"/>
          <w:highlight w:val="none"/>
          <w:lang w:val="en-US" w:eastAsia="zh-CN"/>
        </w:rPr>
        <w:t>全部赔偿</w:t>
      </w:r>
      <w:r>
        <w:rPr>
          <w:rFonts w:hint="eastAsia" w:ascii="宋体" w:hAnsi="宋体"/>
          <w:color w:val="auto"/>
          <w:sz w:val="24"/>
          <w:highlight w:val="none"/>
        </w:rPr>
        <w:t>责任。</w:t>
      </w:r>
      <w:bookmarkEnd w:id="14"/>
      <w:bookmarkEnd w:id="15"/>
    </w:p>
    <w:p w14:paraId="386CC28A">
      <w:pPr>
        <w:spacing w:line="360" w:lineRule="auto"/>
        <w:ind w:firstLine="480" w:firstLineChars="200"/>
        <w:rPr>
          <w:rFonts w:hint="default" w:ascii="宋体" w:hAnsi="宋体" w:eastAsia="宋体"/>
          <w:sz w:val="24"/>
          <w:highlight w:val="none"/>
          <w:lang w:val="en-US" w:eastAsia="zh-CN"/>
        </w:rPr>
      </w:pPr>
      <w:r>
        <w:rPr>
          <w:rFonts w:hint="eastAsia" w:ascii="宋体" w:hAnsi="宋体"/>
          <w:color w:val="auto"/>
          <w:sz w:val="24"/>
          <w:highlight w:val="none"/>
        </w:rPr>
        <w:t>9.3.7乙方应按照双方约定的时间交付设计文件（包括设计变更文件）。由于乙方原因延期交付设计文件，每延误一天的违约金为</w:t>
      </w:r>
      <w:r>
        <w:rPr>
          <w:rFonts w:hint="eastAsia" w:ascii="宋体" w:hAnsi="宋体"/>
          <w:color w:val="auto"/>
          <w:sz w:val="24"/>
          <w:highlight w:val="none"/>
          <w:lang w:val="en-US" w:eastAsia="zh-CN"/>
        </w:rPr>
        <w:t>该期</w:t>
      </w:r>
      <w:r>
        <w:rPr>
          <w:rFonts w:hint="eastAsia" w:ascii="宋体" w:hAnsi="宋体"/>
          <w:color w:val="auto"/>
          <w:sz w:val="24"/>
          <w:highlight w:val="none"/>
        </w:rPr>
        <w:t>设计费的</w:t>
      </w:r>
      <w:r>
        <w:rPr>
          <w:rFonts w:hint="eastAsia" w:ascii="宋体" w:hAnsi="宋体"/>
          <w:color w:val="auto"/>
          <w:sz w:val="24"/>
          <w:highlight w:val="none"/>
          <w:lang w:eastAsia="zh-CN"/>
        </w:rPr>
        <w:t>1</w:t>
      </w:r>
      <w:r>
        <w:rPr>
          <w:rFonts w:hint="eastAsia" w:ascii="宋体" w:hAnsi="宋体"/>
          <w:color w:val="auto"/>
          <w:sz w:val="24"/>
          <w:highlight w:val="none"/>
          <w:lang w:val="en-US" w:eastAsia="zh-CN"/>
        </w:rPr>
        <w:t>%</w:t>
      </w:r>
      <w:r>
        <w:rPr>
          <w:rFonts w:hint="eastAsia" w:ascii="宋体" w:hAnsi="宋体"/>
          <w:color w:val="auto"/>
          <w:sz w:val="24"/>
          <w:highlight w:val="none"/>
        </w:rPr>
        <w:t>，在设计费请款中直接扣除，不足部分由乙方另行支</w:t>
      </w:r>
      <w:r>
        <w:rPr>
          <w:rFonts w:hint="eastAsia" w:ascii="宋体" w:hAnsi="宋体"/>
          <w:sz w:val="24"/>
          <w:highlight w:val="none"/>
        </w:rPr>
        <w:t>付。</w:t>
      </w:r>
      <w:r>
        <w:rPr>
          <w:rFonts w:hint="eastAsia" w:ascii="宋体" w:hAnsi="宋体"/>
          <w:sz w:val="24"/>
          <w:highlight w:val="none"/>
          <w:lang w:val="en-US" w:eastAsia="zh-CN"/>
        </w:rPr>
        <w:t>逾期超过30日的，视为乙方根本违约，甲方有权解除合同。</w:t>
      </w:r>
    </w:p>
    <w:p w14:paraId="13A38254">
      <w:pPr>
        <w:spacing w:line="360" w:lineRule="auto"/>
        <w:ind w:firstLine="480" w:firstLineChars="200"/>
        <w:rPr>
          <w:rFonts w:ascii="宋体" w:hAnsi="宋体"/>
          <w:sz w:val="24"/>
          <w:highlight w:val="none"/>
        </w:rPr>
      </w:pPr>
      <w:r>
        <w:rPr>
          <w:rFonts w:hint="eastAsia" w:ascii="宋体" w:hAnsi="宋体"/>
          <w:sz w:val="24"/>
          <w:highlight w:val="none"/>
        </w:rPr>
        <w:t>9.3.8合同生效后，乙方要求终止或解除合同，乙方应双倍返还甲方已支付的款项，并赔偿</w:t>
      </w:r>
      <w:r>
        <w:rPr>
          <w:rFonts w:hint="eastAsia" w:ascii="宋体" w:hAnsi="宋体"/>
          <w:sz w:val="24"/>
          <w:highlight w:val="none"/>
          <w:lang w:val="en-US" w:eastAsia="zh-CN"/>
        </w:rPr>
        <w:t>甲方</w:t>
      </w:r>
      <w:r>
        <w:rPr>
          <w:rFonts w:hint="eastAsia" w:ascii="宋体" w:hAnsi="宋体"/>
          <w:sz w:val="24"/>
          <w:highlight w:val="none"/>
        </w:rPr>
        <w:t>所有损失</w:t>
      </w:r>
      <w:r>
        <w:rPr>
          <w:rFonts w:hint="eastAsia" w:ascii="宋体" w:hAnsi="宋体"/>
          <w:sz w:val="24"/>
          <w:highlight w:val="none"/>
          <w:lang w:eastAsia="zh-CN"/>
        </w:rPr>
        <w:t>（</w:t>
      </w:r>
      <w:r>
        <w:rPr>
          <w:rFonts w:hint="eastAsia" w:ascii="宋体" w:hAnsi="宋体"/>
          <w:sz w:val="24"/>
          <w:highlight w:val="none"/>
          <w:lang w:val="en-US" w:eastAsia="zh-CN"/>
        </w:rPr>
        <w:t>包括但不限于律师费、公证费、鉴定费、保全费、担保费等</w:t>
      </w:r>
      <w:r>
        <w:rPr>
          <w:rFonts w:hint="eastAsia" w:ascii="宋体" w:hAnsi="宋体"/>
          <w:sz w:val="24"/>
          <w:highlight w:val="none"/>
          <w:lang w:eastAsia="zh-CN"/>
        </w:rPr>
        <w:t>）</w:t>
      </w:r>
      <w:r>
        <w:rPr>
          <w:rFonts w:hint="eastAsia" w:ascii="宋体" w:hAnsi="宋体"/>
          <w:sz w:val="24"/>
          <w:highlight w:val="none"/>
        </w:rPr>
        <w:t>。</w:t>
      </w:r>
    </w:p>
    <w:p w14:paraId="42525044">
      <w:pPr>
        <w:spacing w:line="360" w:lineRule="auto"/>
        <w:ind w:firstLine="480" w:firstLineChars="200"/>
        <w:rPr>
          <w:rFonts w:ascii="宋体" w:hAnsi="宋体"/>
          <w:sz w:val="24"/>
          <w:highlight w:val="none"/>
        </w:rPr>
      </w:pPr>
      <w:r>
        <w:rPr>
          <w:rFonts w:hint="eastAsia" w:ascii="宋体" w:hAnsi="宋体"/>
          <w:sz w:val="24"/>
          <w:highlight w:val="none"/>
        </w:rPr>
        <w:t>9.3.9</w:t>
      </w:r>
      <w:r>
        <w:rPr>
          <w:rFonts w:hint="eastAsia" w:ascii="宋体" w:hAnsi="宋体"/>
          <w:kern w:val="0"/>
          <w:sz w:val="24"/>
          <w:highlight w:val="none"/>
        </w:rPr>
        <w:t>各阶段设计文件经评审或审查，应达到国家、省、市规定的工程设计标准和深度要求，并应是最优化的设计（按通过设计审查、咨询单位及政府行政主管部门或其授权单位组织的专家审核确认为标准）。否则，乙方应无条件进行修正，其费用甲方不再另行支付。</w:t>
      </w:r>
      <w:r>
        <w:rPr>
          <w:rFonts w:hint="eastAsia" w:ascii="宋体" w:hAnsi="宋体"/>
          <w:kern w:val="0"/>
          <w:sz w:val="24"/>
          <w:highlight w:val="none"/>
          <w:lang w:val="en-US" w:eastAsia="zh-CN"/>
        </w:rPr>
        <w:t>乙方修正设计文件不得影响设计文件的按时交付，如有逾期，则按</w:t>
      </w:r>
      <w:r>
        <w:rPr>
          <w:rFonts w:hint="eastAsia" w:ascii="宋体" w:hAnsi="宋体"/>
          <w:kern w:val="0"/>
          <w:sz w:val="24"/>
          <w:highlight w:val="none"/>
        </w:rPr>
        <w:t>第9.3.7条处理。</w:t>
      </w:r>
    </w:p>
    <w:p w14:paraId="1FDC41FC">
      <w:pPr>
        <w:pStyle w:val="2"/>
        <w:spacing w:line="360" w:lineRule="auto"/>
        <w:ind w:firstLine="480" w:firstLineChars="200"/>
        <w:rPr>
          <w:rFonts w:hAnsi="宋体" w:eastAsia="宋体"/>
          <w:sz w:val="24"/>
          <w:szCs w:val="24"/>
          <w:highlight w:val="none"/>
        </w:rPr>
      </w:pPr>
      <w:r>
        <w:rPr>
          <w:rFonts w:hint="eastAsia" w:hAnsi="宋体" w:eastAsia="宋体"/>
          <w:sz w:val="24"/>
          <w:szCs w:val="24"/>
          <w:highlight w:val="none"/>
        </w:rPr>
        <w:t>9.3.10乙方交付合格设计文件后应参加设计审查，并根据审查结论修改。乙方负责施工图设计交底、处理有关设计问题，在施工阶段按通知的时间完成须修改的设计文件，按要求参加工程的检查验收。</w:t>
      </w:r>
    </w:p>
    <w:p w14:paraId="2E5AF78C">
      <w:pPr>
        <w:pStyle w:val="2"/>
        <w:spacing w:line="360" w:lineRule="auto"/>
        <w:ind w:firstLine="480" w:firstLineChars="200"/>
        <w:rPr>
          <w:rFonts w:hAnsi="宋体" w:eastAsia="宋体"/>
          <w:sz w:val="24"/>
          <w:szCs w:val="24"/>
          <w:highlight w:val="none"/>
        </w:rPr>
      </w:pPr>
      <w:r>
        <w:rPr>
          <w:rFonts w:hint="eastAsia" w:hAnsi="宋体" w:eastAsia="宋体"/>
          <w:sz w:val="24"/>
          <w:szCs w:val="24"/>
          <w:highlight w:val="none"/>
        </w:rPr>
        <w:t>9.3.11乙方在本项目中应保证按规划及项目功能要求、配套设施要求等，完成项目的全部专业设计。专项设计限于资质原因的，经</w:t>
      </w:r>
      <w:r>
        <w:rPr>
          <w:rFonts w:hint="eastAsia" w:hAnsi="宋体" w:eastAsia="宋体"/>
          <w:sz w:val="24"/>
          <w:szCs w:val="24"/>
          <w:highlight w:val="none"/>
          <w:lang w:eastAsia="zh-CN"/>
        </w:rPr>
        <w:t>甲方</w:t>
      </w:r>
      <w:r>
        <w:rPr>
          <w:rFonts w:hint="eastAsia" w:hAnsi="宋体" w:eastAsia="宋体"/>
          <w:sz w:val="24"/>
          <w:szCs w:val="24"/>
          <w:highlight w:val="none"/>
        </w:rPr>
        <w:t>书面同意后</w:t>
      </w:r>
      <w:r>
        <w:rPr>
          <w:rFonts w:hint="eastAsia" w:hAnsi="宋体" w:eastAsia="宋体"/>
          <w:sz w:val="24"/>
          <w:szCs w:val="24"/>
          <w:highlight w:val="none"/>
          <w:lang w:val="en-US" w:eastAsia="zh-CN"/>
        </w:rPr>
        <w:t>乙方</w:t>
      </w:r>
      <w:r>
        <w:rPr>
          <w:rFonts w:hint="eastAsia" w:hAnsi="宋体" w:eastAsia="宋体"/>
          <w:sz w:val="24"/>
          <w:szCs w:val="24"/>
          <w:highlight w:val="none"/>
        </w:rPr>
        <w:t>应依法分包，分包设计费由乙方承担。专项分包设计文件及专业深化设计文件等，乙方应校核确认，加盖图纸审核专用章或公章。</w:t>
      </w:r>
    </w:p>
    <w:p w14:paraId="3BAF6EF6">
      <w:pPr>
        <w:pStyle w:val="2"/>
        <w:spacing w:line="360" w:lineRule="auto"/>
        <w:ind w:firstLine="480" w:firstLineChars="200"/>
        <w:rPr>
          <w:rFonts w:hAnsi="宋体" w:eastAsia="宋体"/>
          <w:sz w:val="24"/>
          <w:szCs w:val="24"/>
          <w:highlight w:val="none"/>
        </w:rPr>
      </w:pPr>
      <w:r>
        <w:rPr>
          <w:rFonts w:hint="eastAsia" w:hAnsi="宋体" w:eastAsia="宋体"/>
          <w:sz w:val="24"/>
          <w:szCs w:val="24"/>
          <w:highlight w:val="none"/>
        </w:rPr>
        <w:t>9.3.12乙方所承担的本合同项目下的专业性较强的工程设计（如人防、消防、外电、外水、燃气等），应按有关部门要求，在约定时间内完成相关评审和报建。经</w:t>
      </w:r>
      <w:r>
        <w:rPr>
          <w:rFonts w:hint="eastAsia" w:hAnsi="宋体" w:eastAsia="宋体"/>
          <w:sz w:val="24"/>
          <w:szCs w:val="24"/>
          <w:highlight w:val="none"/>
          <w:lang w:val="en-US" w:eastAsia="zh-CN"/>
        </w:rPr>
        <w:t>甲方</w:t>
      </w:r>
      <w:r>
        <w:rPr>
          <w:rFonts w:hint="eastAsia" w:hAnsi="宋体" w:eastAsia="宋体"/>
          <w:sz w:val="24"/>
          <w:szCs w:val="24"/>
          <w:highlight w:val="none"/>
        </w:rPr>
        <w:t>书面同意，乙方可将此部分工作内容分包给具有相应资质的设计单位，乙方承担连带责任，相关设计费用</w:t>
      </w:r>
      <w:r>
        <w:rPr>
          <w:rFonts w:hint="eastAsia" w:hAnsi="宋体" w:eastAsia="宋体"/>
          <w:sz w:val="24"/>
          <w:szCs w:val="24"/>
          <w:highlight w:val="none"/>
          <w:lang w:eastAsia="zh-CN"/>
        </w:rPr>
        <w:t>、</w:t>
      </w:r>
      <w:r>
        <w:rPr>
          <w:rFonts w:hint="eastAsia" w:hAnsi="宋体" w:eastAsia="宋体"/>
          <w:sz w:val="24"/>
          <w:szCs w:val="24"/>
          <w:highlight w:val="none"/>
          <w:lang w:val="en-US" w:eastAsia="zh-CN"/>
        </w:rPr>
        <w:t>报建费用</w:t>
      </w:r>
      <w:r>
        <w:rPr>
          <w:rFonts w:hint="eastAsia" w:hAnsi="宋体" w:eastAsia="宋体"/>
          <w:sz w:val="24"/>
          <w:szCs w:val="24"/>
          <w:highlight w:val="none"/>
        </w:rPr>
        <w:t>已包含在本合同价内（包括分包产生的税费）。因特殊专业指定的设计分包，乙方须全力配合。</w:t>
      </w:r>
    </w:p>
    <w:p w14:paraId="1E699AE6">
      <w:pPr>
        <w:pStyle w:val="2"/>
        <w:spacing w:line="360" w:lineRule="auto"/>
        <w:ind w:firstLine="480" w:firstLineChars="200"/>
        <w:rPr>
          <w:rFonts w:hAnsi="宋体" w:eastAsia="宋体"/>
          <w:sz w:val="24"/>
          <w:szCs w:val="24"/>
          <w:highlight w:val="none"/>
        </w:rPr>
      </w:pPr>
      <w:r>
        <w:rPr>
          <w:rFonts w:hint="eastAsia" w:hAnsi="宋体" w:eastAsia="宋体"/>
          <w:sz w:val="24"/>
          <w:szCs w:val="24"/>
          <w:highlight w:val="none"/>
        </w:rPr>
        <w:t>9.3.13乙方未经书面同意分包设计任务，视为</w:t>
      </w:r>
      <w:r>
        <w:rPr>
          <w:rFonts w:hint="eastAsia" w:hAnsi="宋体" w:eastAsia="宋体"/>
          <w:sz w:val="24"/>
          <w:szCs w:val="24"/>
          <w:highlight w:val="none"/>
          <w:lang w:val="en-US" w:eastAsia="zh-CN"/>
        </w:rPr>
        <w:t>乙方根本</w:t>
      </w:r>
      <w:r>
        <w:rPr>
          <w:rFonts w:hint="eastAsia" w:hAnsi="宋体" w:eastAsia="宋体"/>
          <w:sz w:val="24"/>
          <w:szCs w:val="24"/>
          <w:highlight w:val="none"/>
        </w:rPr>
        <w:t>违约，除扣该分包部分的全额设计费用，并承担由此造成的工期、技术及其它一切损失</w:t>
      </w:r>
      <w:r>
        <w:rPr>
          <w:rFonts w:hint="eastAsia" w:hAnsi="宋体" w:eastAsia="宋体"/>
          <w:sz w:val="24"/>
          <w:szCs w:val="24"/>
          <w:highlight w:val="none"/>
          <w:lang w:val="en-US" w:eastAsia="zh-CN"/>
        </w:rPr>
        <w:t>之外</w:t>
      </w:r>
      <w:r>
        <w:rPr>
          <w:rFonts w:hint="eastAsia" w:hAnsi="宋体" w:eastAsia="宋体"/>
          <w:sz w:val="24"/>
          <w:szCs w:val="24"/>
          <w:highlight w:val="none"/>
        </w:rPr>
        <w:t>，</w:t>
      </w:r>
      <w:r>
        <w:rPr>
          <w:rFonts w:hint="eastAsia" w:hAnsi="宋体" w:eastAsia="宋体"/>
          <w:sz w:val="24"/>
          <w:szCs w:val="24"/>
          <w:highlight w:val="none"/>
          <w:lang w:val="en-US" w:eastAsia="zh-CN"/>
        </w:rPr>
        <w:t>甲方</w:t>
      </w:r>
      <w:r>
        <w:rPr>
          <w:rFonts w:hint="eastAsia" w:hAnsi="宋体" w:eastAsia="宋体"/>
          <w:sz w:val="24"/>
          <w:szCs w:val="24"/>
          <w:highlight w:val="none"/>
        </w:rPr>
        <w:t>有权解除合同。</w:t>
      </w:r>
    </w:p>
    <w:p w14:paraId="5EA7C174">
      <w:pPr>
        <w:spacing w:line="360" w:lineRule="auto"/>
        <w:ind w:firstLine="480" w:firstLineChars="200"/>
        <w:rPr>
          <w:rFonts w:ascii="宋体" w:hAnsi="宋体"/>
          <w:sz w:val="24"/>
          <w:highlight w:val="none"/>
        </w:rPr>
      </w:pPr>
      <w:r>
        <w:rPr>
          <w:rFonts w:hint="eastAsia" w:ascii="宋体" w:hAnsi="宋体"/>
          <w:sz w:val="24"/>
          <w:highlight w:val="none"/>
        </w:rPr>
        <w:t>9.3.14乙方不得指定本项目建筑材料、设备的生产厂或供货商。乙方应配合的建筑材料、设备的加工订货和看样定版工作，所需配合费用由 乙方承担。</w:t>
      </w:r>
    </w:p>
    <w:p w14:paraId="55596BE7">
      <w:pPr>
        <w:pStyle w:val="2"/>
        <w:spacing w:line="360" w:lineRule="auto"/>
        <w:ind w:firstLine="480" w:firstLineChars="200"/>
        <w:rPr>
          <w:rFonts w:hAnsi="宋体" w:eastAsia="宋体"/>
          <w:kern w:val="0"/>
          <w:sz w:val="24"/>
          <w:szCs w:val="24"/>
          <w:highlight w:val="none"/>
        </w:rPr>
      </w:pPr>
      <w:r>
        <w:rPr>
          <w:rFonts w:hint="eastAsia" w:hAnsi="宋体" w:eastAsia="宋体"/>
          <w:kern w:val="0"/>
          <w:sz w:val="24"/>
          <w:szCs w:val="24"/>
          <w:highlight w:val="none"/>
        </w:rPr>
        <w:t>9.3.15乙方为完成本合同项下的设计内容，发生的咨询、对外洽谈、国内外技术考察及各类科研课题研究等，费用已包含在本项目设计费中，</w:t>
      </w:r>
      <w:r>
        <w:rPr>
          <w:rFonts w:hint="eastAsia" w:hAnsi="宋体" w:eastAsia="宋体" w:cs="宋体"/>
          <w:sz w:val="24"/>
          <w:highlight w:val="none"/>
        </w:rPr>
        <w:t>甲</w:t>
      </w:r>
      <w:r>
        <w:rPr>
          <w:rFonts w:hint="eastAsia" w:hAnsi="宋体" w:eastAsia="宋体"/>
          <w:kern w:val="0"/>
          <w:sz w:val="24"/>
          <w:szCs w:val="24"/>
          <w:highlight w:val="none"/>
        </w:rPr>
        <w:t>方不再支付，由乙方承担。</w:t>
      </w:r>
    </w:p>
    <w:p w14:paraId="65B6CED7">
      <w:pPr>
        <w:pStyle w:val="2"/>
        <w:spacing w:line="360" w:lineRule="auto"/>
        <w:ind w:firstLine="480" w:firstLineChars="200"/>
        <w:rPr>
          <w:rFonts w:hAnsi="宋体" w:eastAsia="宋体"/>
          <w:kern w:val="0"/>
          <w:sz w:val="24"/>
          <w:szCs w:val="24"/>
          <w:highlight w:val="none"/>
        </w:rPr>
      </w:pPr>
      <w:r>
        <w:rPr>
          <w:rFonts w:hint="eastAsia" w:hAnsi="宋体" w:eastAsia="宋体"/>
          <w:kern w:val="0"/>
          <w:sz w:val="24"/>
          <w:szCs w:val="24"/>
          <w:highlight w:val="none"/>
        </w:rPr>
        <w:t>9.3.16如乙方未履行本合同所要求的工作，</w:t>
      </w:r>
      <w:r>
        <w:rPr>
          <w:rFonts w:hint="eastAsia" w:hAnsi="宋体" w:eastAsia="宋体" w:cs="宋体"/>
          <w:sz w:val="24"/>
          <w:highlight w:val="none"/>
        </w:rPr>
        <w:t>甲</w:t>
      </w:r>
      <w:r>
        <w:rPr>
          <w:rFonts w:hint="eastAsia" w:hAnsi="宋体" w:eastAsia="宋体"/>
          <w:kern w:val="0"/>
          <w:sz w:val="24"/>
          <w:szCs w:val="24"/>
          <w:highlight w:val="none"/>
        </w:rPr>
        <w:t>方可根据实际情况推迟拨付或拒付设计费，按乙方违约处理，并扣除违约金5万元/次。</w:t>
      </w:r>
    </w:p>
    <w:p w14:paraId="4A7D1AF8">
      <w:pPr>
        <w:pStyle w:val="2"/>
        <w:spacing w:line="360" w:lineRule="auto"/>
        <w:ind w:firstLine="480" w:firstLineChars="200"/>
        <w:rPr>
          <w:rFonts w:hAnsi="宋体" w:eastAsia="宋体"/>
          <w:kern w:val="0"/>
          <w:sz w:val="24"/>
          <w:szCs w:val="24"/>
          <w:highlight w:val="none"/>
        </w:rPr>
      </w:pPr>
      <w:r>
        <w:rPr>
          <w:rFonts w:hint="eastAsia" w:hAnsi="宋体" w:eastAsia="宋体"/>
          <w:kern w:val="0"/>
          <w:sz w:val="24"/>
          <w:szCs w:val="24"/>
          <w:highlight w:val="none"/>
        </w:rPr>
        <w:t>9.3.17乙方的设计必须以保证质量、节约投资为原则开展工作，设计文件经</w:t>
      </w:r>
      <w:r>
        <w:rPr>
          <w:rFonts w:hint="eastAsia" w:hAnsi="宋体" w:eastAsia="宋体" w:cs="宋体"/>
          <w:sz w:val="24"/>
          <w:highlight w:val="none"/>
        </w:rPr>
        <w:t>甲</w:t>
      </w:r>
      <w:r>
        <w:rPr>
          <w:rFonts w:hint="eastAsia" w:hAnsi="宋体" w:eastAsia="宋体"/>
          <w:kern w:val="0"/>
          <w:sz w:val="24"/>
          <w:szCs w:val="24"/>
          <w:highlight w:val="none"/>
        </w:rPr>
        <w:t>方审查后，乙方不得单方更改。如乙方擅自</w:t>
      </w:r>
      <w:r>
        <w:rPr>
          <w:rFonts w:hint="eastAsia" w:hAnsi="宋体" w:eastAsia="宋体"/>
          <w:kern w:val="0"/>
          <w:sz w:val="24"/>
          <w:szCs w:val="24"/>
          <w:highlight w:val="none"/>
          <w:lang w:val="en-US" w:eastAsia="zh-CN"/>
        </w:rPr>
        <w:t>变更</w:t>
      </w:r>
      <w:r>
        <w:rPr>
          <w:rFonts w:hint="eastAsia" w:hAnsi="宋体" w:eastAsia="宋体"/>
          <w:kern w:val="0"/>
          <w:sz w:val="24"/>
          <w:szCs w:val="24"/>
          <w:highlight w:val="none"/>
        </w:rPr>
        <w:t>设计标准，</w:t>
      </w:r>
      <w:r>
        <w:rPr>
          <w:rFonts w:hint="eastAsia" w:hAnsi="宋体" w:eastAsia="宋体" w:cs="宋体"/>
          <w:sz w:val="24"/>
          <w:highlight w:val="none"/>
        </w:rPr>
        <w:t>甲</w:t>
      </w:r>
      <w:r>
        <w:rPr>
          <w:rFonts w:hint="eastAsia" w:hAnsi="宋体" w:eastAsia="宋体"/>
          <w:kern w:val="0"/>
          <w:sz w:val="24"/>
          <w:szCs w:val="24"/>
          <w:highlight w:val="none"/>
        </w:rPr>
        <w:t>方可扣除本合同</w:t>
      </w:r>
      <w:r>
        <w:rPr>
          <w:rFonts w:hint="eastAsia" w:hAnsi="宋体" w:eastAsia="宋体"/>
          <w:kern w:val="0"/>
          <w:sz w:val="24"/>
          <w:highlight w:val="none"/>
        </w:rPr>
        <w:t>设计费暂定合同价</w:t>
      </w:r>
      <w:r>
        <w:rPr>
          <w:rFonts w:hint="eastAsia" w:hAnsi="宋体" w:eastAsia="宋体"/>
          <w:kern w:val="0"/>
          <w:sz w:val="24"/>
          <w:szCs w:val="24"/>
          <w:highlight w:val="none"/>
        </w:rPr>
        <w:t>20%的违约金。</w:t>
      </w:r>
    </w:p>
    <w:p w14:paraId="1AD86394">
      <w:pPr>
        <w:pStyle w:val="2"/>
        <w:spacing w:line="360" w:lineRule="auto"/>
        <w:ind w:firstLine="480" w:firstLineChars="200"/>
        <w:rPr>
          <w:rFonts w:hAnsi="宋体" w:eastAsia="宋体"/>
          <w:kern w:val="0"/>
          <w:sz w:val="24"/>
          <w:szCs w:val="24"/>
          <w:highlight w:val="none"/>
        </w:rPr>
      </w:pPr>
      <w:r>
        <w:rPr>
          <w:rFonts w:hint="eastAsia" w:hAnsi="宋体" w:eastAsia="宋体"/>
          <w:sz w:val="24"/>
          <w:szCs w:val="24"/>
          <w:highlight w:val="none"/>
        </w:rPr>
        <w:t>9.3.18因设计文件出现设计漏项延误了设计文件交付时间，按本条第9.3.7款约定处理。</w:t>
      </w:r>
    </w:p>
    <w:p w14:paraId="79840F4D">
      <w:pPr>
        <w:pStyle w:val="2"/>
        <w:spacing w:line="360" w:lineRule="auto"/>
        <w:ind w:firstLine="480" w:firstLineChars="200"/>
        <w:rPr>
          <w:rFonts w:hint="default" w:hAnsi="宋体" w:eastAsia="宋体"/>
          <w:kern w:val="0"/>
          <w:sz w:val="24"/>
          <w:szCs w:val="24"/>
          <w:highlight w:val="none"/>
          <w:lang w:val="en-US" w:eastAsia="zh-CN"/>
        </w:rPr>
      </w:pPr>
      <w:r>
        <w:rPr>
          <w:rFonts w:hint="eastAsia" w:hAnsi="宋体" w:eastAsia="宋体"/>
          <w:sz w:val="24"/>
          <w:szCs w:val="24"/>
          <w:highlight w:val="none"/>
        </w:rPr>
        <w:t>9.3.19乙方设计文件漏项或错误的</w:t>
      </w:r>
      <w:r>
        <w:rPr>
          <w:rFonts w:hint="eastAsia" w:hAnsi="宋体" w:eastAsia="宋体"/>
          <w:sz w:val="24"/>
          <w:szCs w:val="24"/>
          <w:highlight w:val="none"/>
          <w:lang w:eastAsia="zh-CN"/>
        </w:rPr>
        <w:t>，</w:t>
      </w:r>
      <w:r>
        <w:rPr>
          <w:rFonts w:hint="eastAsia" w:hAnsi="宋体" w:eastAsia="宋体"/>
          <w:sz w:val="24"/>
          <w:szCs w:val="24"/>
          <w:highlight w:val="none"/>
        </w:rPr>
        <w:t>罚金如下，在设计费请款</w:t>
      </w:r>
      <w:r>
        <w:rPr>
          <w:rFonts w:hint="eastAsia" w:hAnsi="宋体" w:eastAsia="宋体"/>
          <w:sz w:val="24"/>
          <w:szCs w:val="24"/>
          <w:highlight w:val="none"/>
          <w:lang w:val="en-US" w:eastAsia="zh-CN"/>
        </w:rPr>
        <w:t>中</w:t>
      </w:r>
      <w:r>
        <w:rPr>
          <w:rFonts w:hint="eastAsia" w:hAnsi="宋体" w:eastAsia="宋体"/>
          <w:sz w:val="24"/>
          <w:szCs w:val="24"/>
          <w:highlight w:val="none"/>
        </w:rPr>
        <w:t>扣除。</w:t>
      </w:r>
      <w:r>
        <w:rPr>
          <w:rFonts w:hint="eastAsia" w:hAnsi="宋体" w:eastAsia="宋体"/>
          <w:sz w:val="24"/>
          <w:szCs w:val="24"/>
          <w:highlight w:val="none"/>
          <w:lang w:val="en-US" w:eastAsia="zh-CN"/>
        </w:rPr>
        <w:t>造成</w:t>
      </w:r>
      <w:r>
        <w:rPr>
          <w:rFonts w:hint="eastAsia" w:hAnsi="宋体" w:eastAsia="宋体"/>
          <w:sz w:val="24"/>
          <w:szCs w:val="24"/>
          <w:highlight w:val="none"/>
        </w:rPr>
        <w:t>单项工程费用</w:t>
      </w:r>
      <w:r>
        <w:rPr>
          <w:rFonts w:hint="eastAsia" w:hAnsi="宋体" w:eastAsia="宋体"/>
          <w:sz w:val="24"/>
          <w:szCs w:val="24"/>
          <w:highlight w:val="none"/>
          <w:lang w:val="en-US" w:eastAsia="zh-CN"/>
        </w:rPr>
        <w:t>增加</w:t>
      </w:r>
      <w:r>
        <w:rPr>
          <w:rFonts w:hint="eastAsia" w:hAnsi="宋体" w:eastAsia="宋体"/>
          <w:sz w:val="24"/>
          <w:szCs w:val="24"/>
          <w:highlight w:val="none"/>
        </w:rPr>
        <w:t>5～10万元（以监理审核为准），扣减设计费5000元/项；单项工程费用</w:t>
      </w:r>
      <w:r>
        <w:rPr>
          <w:rFonts w:hint="eastAsia" w:hAnsi="宋体" w:eastAsia="宋体"/>
          <w:sz w:val="24"/>
          <w:szCs w:val="24"/>
          <w:highlight w:val="none"/>
          <w:lang w:val="en-US" w:eastAsia="zh-CN"/>
        </w:rPr>
        <w:t>增加</w:t>
      </w:r>
      <w:r>
        <w:rPr>
          <w:rFonts w:hint="eastAsia" w:hAnsi="宋体" w:eastAsia="宋体"/>
          <w:sz w:val="24"/>
          <w:szCs w:val="24"/>
          <w:highlight w:val="none"/>
        </w:rPr>
        <w:t>10～20万元，扣减设计费10000元/项；单项工程费用</w:t>
      </w:r>
      <w:r>
        <w:rPr>
          <w:rFonts w:hint="eastAsia" w:hAnsi="宋体" w:eastAsia="宋体"/>
          <w:sz w:val="24"/>
          <w:szCs w:val="24"/>
          <w:highlight w:val="none"/>
          <w:lang w:val="en-US" w:eastAsia="zh-CN"/>
        </w:rPr>
        <w:t>增加</w:t>
      </w:r>
      <w:r>
        <w:rPr>
          <w:rFonts w:hint="eastAsia" w:hAnsi="宋体" w:eastAsia="宋体"/>
          <w:sz w:val="24"/>
          <w:szCs w:val="24"/>
          <w:highlight w:val="none"/>
        </w:rPr>
        <w:t>20万元以上，按工程造价的4.5%扣除设计费。</w:t>
      </w:r>
      <w:r>
        <w:rPr>
          <w:rFonts w:hint="eastAsia" w:hAnsi="宋体" w:eastAsia="宋体"/>
          <w:sz w:val="24"/>
          <w:szCs w:val="24"/>
          <w:highlight w:val="none"/>
          <w:lang w:val="en-US" w:eastAsia="zh-CN"/>
        </w:rPr>
        <w:t>同时，乙方应依法赔偿甲方全部损失。</w:t>
      </w:r>
    </w:p>
    <w:p w14:paraId="068BFEC7">
      <w:pPr>
        <w:pStyle w:val="2"/>
        <w:spacing w:line="360" w:lineRule="auto"/>
        <w:ind w:firstLine="480" w:firstLineChars="200"/>
        <w:rPr>
          <w:rFonts w:hAnsi="宋体" w:eastAsia="宋体"/>
          <w:kern w:val="0"/>
          <w:sz w:val="24"/>
          <w:szCs w:val="24"/>
          <w:highlight w:val="none"/>
        </w:rPr>
      </w:pPr>
      <w:r>
        <w:rPr>
          <w:rFonts w:hint="eastAsia" w:hAnsi="宋体" w:eastAsia="宋体"/>
          <w:sz w:val="24"/>
          <w:szCs w:val="24"/>
          <w:highlight w:val="none"/>
        </w:rPr>
        <w:t>9.3.20对于深基坑开挖和支护设计，乙方需配合完成设计审查。对于建筑物保护，乙方应提供完整的保护实施方案。</w:t>
      </w:r>
    </w:p>
    <w:p w14:paraId="0C86423D">
      <w:pPr>
        <w:pStyle w:val="2"/>
        <w:spacing w:line="360" w:lineRule="auto"/>
        <w:ind w:firstLine="480" w:firstLineChars="200"/>
        <w:rPr>
          <w:rFonts w:hAnsi="宋体" w:eastAsia="宋体"/>
          <w:sz w:val="24"/>
          <w:szCs w:val="24"/>
          <w:highlight w:val="none"/>
        </w:rPr>
      </w:pPr>
      <w:r>
        <w:rPr>
          <w:rFonts w:hint="eastAsia" w:hAnsi="宋体" w:eastAsia="宋体"/>
          <w:sz w:val="24"/>
          <w:szCs w:val="24"/>
          <w:highlight w:val="none"/>
        </w:rPr>
        <w:t>9.3.21乙方需配合招标工作，按要求提供招标需要的所有设计图纸的电子文件（含可编辑的CAD和不可编辑的PDF电子文件、编制技术文件、主要材料设备表等word电子文件）</w:t>
      </w:r>
      <w:r>
        <w:rPr>
          <w:rFonts w:hint="eastAsia" w:hAnsi="宋体" w:eastAsia="宋体"/>
          <w:kern w:val="0"/>
          <w:sz w:val="24"/>
          <w:szCs w:val="24"/>
          <w:highlight w:val="none"/>
        </w:rPr>
        <w:t>。</w:t>
      </w:r>
    </w:p>
    <w:p w14:paraId="3B6B9873">
      <w:pPr>
        <w:pStyle w:val="2"/>
        <w:spacing w:line="360" w:lineRule="auto"/>
        <w:ind w:firstLine="480" w:firstLineChars="200"/>
        <w:rPr>
          <w:rFonts w:hAnsi="宋体" w:eastAsia="宋体"/>
          <w:sz w:val="24"/>
          <w:szCs w:val="24"/>
          <w:highlight w:val="none"/>
        </w:rPr>
      </w:pPr>
      <w:r>
        <w:rPr>
          <w:rFonts w:hint="eastAsia" w:hAnsi="宋体" w:eastAsia="宋体"/>
          <w:sz w:val="24"/>
          <w:szCs w:val="24"/>
          <w:highlight w:val="none"/>
        </w:rPr>
        <w:t>9.3.22乙方注册地址在外地的，应在广州市内设立项目部，项目负责人及有关人员须</w:t>
      </w:r>
      <w:r>
        <w:rPr>
          <w:rFonts w:hint="eastAsia" w:hAnsi="宋体" w:eastAsia="宋体"/>
          <w:sz w:val="24"/>
          <w:szCs w:val="24"/>
          <w:highlight w:val="none"/>
          <w:lang w:eastAsia="zh-CN"/>
        </w:rPr>
        <w:t>常驻</w:t>
      </w:r>
      <w:r>
        <w:rPr>
          <w:rFonts w:hint="eastAsia" w:hAnsi="宋体" w:eastAsia="宋体"/>
          <w:sz w:val="24"/>
          <w:szCs w:val="24"/>
          <w:highlight w:val="none"/>
        </w:rPr>
        <w:t>本项目部。不论乙方总部是否在广州市辖区域，需要用章的相关文件乙方应按要求的期限内完成用章手续，未按要求办理的，罚款3000元/次，在设计费请款中扣除。</w:t>
      </w:r>
    </w:p>
    <w:p w14:paraId="1600562B">
      <w:pPr>
        <w:pStyle w:val="2"/>
        <w:spacing w:line="360" w:lineRule="auto"/>
        <w:ind w:firstLine="480" w:firstLineChars="200"/>
        <w:rPr>
          <w:rFonts w:hAnsi="宋体" w:eastAsia="宋体"/>
          <w:sz w:val="24"/>
          <w:szCs w:val="24"/>
          <w:highlight w:val="none"/>
        </w:rPr>
      </w:pPr>
      <w:r>
        <w:rPr>
          <w:rFonts w:hint="eastAsia" w:hAnsi="宋体" w:eastAsia="宋体"/>
          <w:sz w:val="24"/>
          <w:szCs w:val="24"/>
          <w:highlight w:val="none"/>
        </w:rPr>
        <w:t>9.3.23乙方应当准时参加项目建设相关协调会议。</w:t>
      </w:r>
    </w:p>
    <w:p w14:paraId="2D41D935">
      <w:pPr>
        <w:pStyle w:val="2"/>
        <w:spacing w:line="360" w:lineRule="auto"/>
        <w:ind w:firstLine="480" w:firstLineChars="200"/>
        <w:rPr>
          <w:rFonts w:hAnsi="宋体" w:eastAsia="宋体"/>
          <w:kern w:val="0"/>
          <w:sz w:val="24"/>
          <w:szCs w:val="24"/>
          <w:highlight w:val="none"/>
        </w:rPr>
      </w:pPr>
      <w:r>
        <w:rPr>
          <w:rFonts w:hint="eastAsia" w:hAnsi="宋体" w:eastAsia="宋体"/>
          <w:kern w:val="0"/>
          <w:sz w:val="24"/>
          <w:szCs w:val="24"/>
          <w:highlight w:val="none"/>
        </w:rPr>
        <w:t>9.3.24工程完工后，不能达到原设计功能要求的，乙方需配合核实原因，提出书面整改意见。属于乙方责任的</w:t>
      </w:r>
      <w:r>
        <w:rPr>
          <w:rFonts w:hint="eastAsia" w:hAnsi="宋体" w:eastAsia="宋体"/>
          <w:kern w:val="0"/>
          <w:sz w:val="24"/>
          <w:szCs w:val="24"/>
          <w:highlight w:val="none"/>
          <w:lang w:eastAsia="zh-CN"/>
        </w:rPr>
        <w:t>（</w:t>
      </w:r>
      <w:r>
        <w:rPr>
          <w:rFonts w:hint="eastAsia" w:hAnsi="宋体" w:eastAsia="宋体"/>
          <w:kern w:val="0"/>
          <w:sz w:val="24"/>
          <w:szCs w:val="24"/>
          <w:highlight w:val="none"/>
          <w:lang w:val="en-US" w:eastAsia="zh-CN"/>
        </w:rPr>
        <w:t>包括设计图纸不合理、不清晰、不明确等</w:t>
      </w:r>
      <w:r>
        <w:rPr>
          <w:rFonts w:hint="eastAsia" w:hAnsi="宋体" w:eastAsia="宋体"/>
          <w:kern w:val="0"/>
          <w:sz w:val="24"/>
          <w:szCs w:val="24"/>
          <w:highlight w:val="none"/>
          <w:lang w:eastAsia="zh-CN"/>
        </w:rPr>
        <w:t>）</w:t>
      </w:r>
      <w:r>
        <w:rPr>
          <w:rFonts w:hint="eastAsia" w:hAnsi="宋体" w:eastAsia="宋体"/>
          <w:kern w:val="0"/>
          <w:sz w:val="24"/>
          <w:szCs w:val="24"/>
          <w:highlight w:val="none"/>
        </w:rPr>
        <w:t>，</w:t>
      </w:r>
      <w:r>
        <w:rPr>
          <w:rFonts w:hint="eastAsia" w:hAnsi="宋体" w:eastAsia="宋体"/>
          <w:kern w:val="0"/>
          <w:sz w:val="24"/>
          <w:szCs w:val="24"/>
          <w:highlight w:val="none"/>
          <w:lang w:val="en-US" w:eastAsia="zh-CN"/>
        </w:rPr>
        <w:t>甲方有权视情况扣除乙方30%至100%的设计费</w:t>
      </w:r>
      <w:r>
        <w:rPr>
          <w:rFonts w:hint="eastAsia" w:hAnsi="宋体" w:eastAsia="宋体"/>
          <w:kern w:val="0"/>
          <w:sz w:val="24"/>
          <w:szCs w:val="24"/>
          <w:highlight w:val="none"/>
          <w:lang w:eastAsia="zh-CN"/>
        </w:rPr>
        <w:t>，</w:t>
      </w:r>
      <w:r>
        <w:rPr>
          <w:rFonts w:hint="eastAsia" w:hAnsi="宋体" w:eastAsia="宋体"/>
          <w:kern w:val="0"/>
          <w:sz w:val="24"/>
          <w:szCs w:val="24"/>
          <w:highlight w:val="none"/>
          <w:lang w:val="en-US" w:eastAsia="zh-CN"/>
        </w:rPr>
        <w:t>并赔偿甲方全部损失</w:t>
      </w:r>
      <w:r>
        <w:rPr>
          <w:rFonts w:hint="eastAsia" w:hAnsi="宋体" w:eastAsia="宋体"/>
          <w:kern w:val="0"/>
          <w:sz w:val="24"/>
          <w:szCs w:val="24"/>
          <w:highlight w:val="none"/>
        </w:rPr>
        <w:t>。</w:t>
      </w:r>
    </w:p>
    <w:p w14:paraId="6B7C86E2">
      <w:pPr>
        <w:pStyle w:val="2"/>
        <w:spacing w:line="360" w:lineRule="auto"/>
        <w:ind w:firstLine="480" w:firstLineChars="200"/>
        <w:rPr>
          <w:rFonts w:hAnsi="宋体" w:eastAsia="宋体"/>
          <w:sz w:val="24"/>
          <w:szCs w:val="24"/>
          <w:highlight w:val="none"/>
        </w:rPr>
      </w:pPr>
      <w:r>
        <w:rPr>
          <w:rFonts w:hint="eastAsia" w:hAnsi="宋体" w:eastAsia="宋体"/>
          <w:kern w:val="0"/>
          <w:sz w:val="24"/>
          <w:szCs w:val="24"/>
          <w:highlight w:val="none"/>
        </w:rPr>
        <w:t>9.3.2</w:t>
      </w:r>
      <w:r>
        <w:rPr>
          <w:rFonts w:hint="eastAsia" w:hAnsi="宋体" w:eastAsia="宋体"/>
          <w:sz w:val="24"/>
          <w:szCs w:val="24"/>
          <w:highlight w:val="none"/>
        </w:rPr>
        <w:t>5因乙方原因，经行业主管部门批复的概算造价超过可研投资额，影响工程建设计划的，应修改设计文件，并扣除全部设计费的10%。</w:t>
      </w:r>
    </w:p>
    <w:p w14:paraId="5E125D80">
      <w:pPr>
        <w:pStyle w:val="2"/>
        <w:spacing w:line="360" w:lineRule="auto"/>
        <w:ind w:firstLine="480" w:firstLineChars="200"/>
        <w:rPr>
          <w:rFonts w:hAnsi="宋体" w:eastAsia="宋体"/>
          <w:sz w:val="24"/>
          <w:szCs w:val="24"/>
          <w:highlight w:val="none"/>
        </w:rPr>
      </w:pPr>
      <w:r>
        <w:rPr>
          <w:rFonts w:hint="eastAsia" w:hAnsi="宋体" w:eastAsia="宋体"/>
          <w:sz w:val="24"/>
          <w:szCs w:val="24"/>
          <w:highlight w:val="none"/>
        </w:rPr>
        <w:t>9.3.26根据项目实际工作需要</w:t>
      </w:r>
      <w:r>
        <w:rPr>
          <w:rFonts w:hint="eastAsia" w:hAnsi="宋体" w:eastAsia="宋体"/>
          <w:sz w:val="24"/>
          <w:szCs w:val="24"/>
          <w:highlight w:val="none"/>
          <w:lang w:val="en-US" w:eastAsia="zh-CN"/>
        </w:rPr>
        <w:t>及甲方要求</w:t>
      </w:r>
      <w:r>
        <w:rPr>
          <w:rFonts w:hint="eastAsia" w:hAnsi="宋体" w:eastAsia="宋体"/>
          <w:sz w:val="24"/>
          <w:szCs w:val="24"/>
          <w:highlight w:val="none"/>
        </w:rPr>
        <w:t>，乙方</w:t>
      </w:r>
      <w:r>
        <w:rPr>
          <w:rFonts w:hint="eastAsia" w:hAnsi="宋体" w:eastAsia="宋体"/>
          <w:sz w:val="24"/>
          <w:szCs w:val="24"/>
          <w:highlight w:val="none"/>
          <w:lang w:val="en-US" w:eastAsia="zh-CN"/>
        </w:rPr>
        <w:t>应</w:t>
      </w:r>
      <w:r>
        <w:rPr>
          <w:rFonts w:hint="eastAsia" w:hAnsi="宋体" w:eastAsia="宋体"/>
          <w:sz w:val="24"/>
          <w:szCs w:val="24"/>
          <w:highlight w:val="none"/>
        </w:rPr>
        <w:t>安排</w:t>
      </w:r>
      <w:r>
        <w:rPr>
          <w:rFonts w:hint="eastAsia" w:hAnsi="宋体" w:eastAsia="宋体"/>
          <w:sz w:val="24"/>
          <w:szCs w:val="24"/>
          <w:highlight w:val="none"/>
          <w:lang w:val="en-US" w:eastAsia="zh-CN"/>
        </w:rPr>
        <w:t>至少</w:t>
      </w:r>
      <w:r>
        <w:rPr>
          <w:rFonts w:hint="eastAsia" w:hAnsi="宋体" w:eastAsia="宋体"/>
          <w:sz w:val="24"/>
          <w:szCs w:val="24"/>
          <w:highlight w:val="none"/>
        </w:rPr>
        <w:t>1名设计师在</w:t>
      </w:r>
      <w:r>
        <w:rPr>
          <w:rFonts w:hint="eastAsia" w:hAnsi="宋体" w:eastAsia="宋体"/>
          <w:sz w:val="24"/>
          <w:szCs w:val="24"/>
          <w:highlight w:val="none"/>
          <w:lang w:val="en-US" w:eastAsia="zh-CN"/>
        </w:rPr>
        <w:t>项目部</w:t>
      </w:r>
      <w:r>
        <w:rPr>
          <w:rFonts w:hint="eastAsia" w:hAnsi="宋体" w:eastAsia="宋体"/>
          <w:sz w:val="24"/>
          <w:szCs w:val="24"/>
          <w:highlight w:val="none"/>
        </w:rPr>
        <w:t>对接工程设计事务。该设计师要求具备工程师职称，能全面协调处理相关设计问题。在项目开工后，该设计师在项目部办公，提供必要的现场设计服务。乙方安排设计师不符合要求的，按每天罚款1000元计算。设计师未</w:t>
      </w:r>
      <w:r>
        <w:rPr>
          <w:rFonts w:hint="eastAsia" w:hAnsi="宋体" w:eastAsia="宋体"/>
          <w:sz w:val="24"/>
          <w:szCs w:val="24"/>
          <w:highlight w:val="none"/>
          <w:lang w:val="en-US" w:eastAsia="zh-CN"/>
        </w:rPr>
        <w:t>按甲方要求时间在项目部对接工程设计事务，或驻项目部期间</w:t>
      </w:r>
      <w:r>
        <w:rPr>
          <w:rFonts w:hint="eastAsia" w:hAnsi="宋体" w:eastAsia="宋体"/>
          <w:sz w:val="24"/>
          <w:szCs w:val="24"/>
          <w:highlight w:val="none"/>
        </w:rPr>
        <w:t>因事外出，未经</w:t>
      </w:r>
      <w:r>
        <w:rPr>
          <w:rFonts w:hint="eastAsia" w:hAnsi="宋体" w:eastAsia="宋体"/>
          <w:sz w:val="24"/>
          <w:szCs w:val="24"/>
          <w:highlight w:val="none"/>
          <w:lang w:val="en-US" w:eastAsia="zh-CN"/>
        </w:rPr>
        <w:t>甲方</w:t>
      </w:r>
      <w:r>
        <w:rPr>
          <w:rFonts w:hint="eastAsia" w:hAnsi="宋体" w:eastAsia="宋体"/>
          <w:sz w:val="24"/>
          <w:szCs w:val="24"/>
          <w:highlight w:val="none"/>
        </w:rPr>
        <w:t>批准</w:t>
      </w:r>
      <w:r>
        <w:rPr>
          <w:rFonts w:hint="eastAsia" w:hAnsi="宋体" w:eastAsia="宋体"/>
          <w:sz w:val="24"/>
          <w:szCs w:val="24"/>
          <w:highlight w:val="none"/>
          <w:lang w:val="en-US" w:eastAsia="zh-CN"/>
        </w:rPr>
        <w:t>的</w:t>
      </w:r>
      <w:r>
        <w:rPr>
          <w:rFonts w:hint="eastAsia" w:hAnsi="宋体" w:eastAsia="宋体"/>
          <w:sz w:val="24"/>
          <w:szCs w:val="24"/>
          <w:highlight w:val="none"/>
        </w:rPr>
        <w:t>，按每次罚款</w:t>
      </w:r>
      <w:r>
        <w:rPr>
          <w:rFonts w:hint="eastAsia" w:hAnsi="宋体" w:eastAsia="宋体"/>
          <w:sz w:val="24"/>
          <w:szCs w:val="24"/>
          <w:highlight w:val="none"/>
          <w:lang w:val="en-US" w:eastAsia="zh-CN"/>
        </w:rPr>
        <w:t>1000</w:t>
      </w:r>
      <w:r>
        <w:rPr>
          <w:rFonts w:hint="eastAsia" w:hAnsi="宋体" w:eastAsia="宋体"/>
          <w:sz w:val="24"/>
          <w:szCs w:val="24"/>
          <w:highlight w:val="none"/>
        </w:rPr>
        <w:t>元计算。各项罚款在设计费请款中扣除。</w:t>
      </w:r>
    </w:p>
    <w:p w14:paraId="53FA4259">
      <w:pPr>
        <w:pStyle w:val="2"/>
        <w:spacing w:line="360" w:lineRule="auto"/>
        <w:ind w:firstLine="480" w:firstLineChars="200"/>
        <w:rPr>
          <w:rFonts w:hAnsi="宋体" w:eastAsia="宋体"/>
          <w:sz w:val="24"/>
          <w:szCs w:val="24"/>
          <w:highlight w:val="none"/>
        </w:rPr>
      </w:pPr>
      <w:r>
        <w:rPr>
          <w:rFonts w:hint="eastAsia" w:hAnsi="宋体" w:eastAsia="宋体"/>
          <w:sz w:val="24"/>
          <w:szCs w:val="24"/>
          <w:highlight w:val="none"/>
        </w:rPr>
        <w:t>9.3.27乙方设计人员必须与本合同附件</w:t>
      </w:r>
      <w:r>
        <w:rPr>
          <w:rFonts w:hint="eastAsia" w:hAnsi="宋体" w:eastAsia="宋体"/>
          <w:sz w:val="24"/>
          <w:szCs w:val="24"/>
          <w:highlight w:val="none"/>
          <w:lang w:val="en-US" w:eastAsia="zh-CN"/>
        </w:rPr>
        <w:t>2.2</w:t>
      </w:r>
      <w:r>
        <w:rPr>
          <w:rFonts w:hint="eastAsia" w:hAnsi="宋体" w:eastAsia="宋体"/>
          <w:sz w:val="24"/>
          <w:szCs w:val="24"/>
          <w:highlight w:val="none"/>
        </w:rPr>
        <w:t>乙方设计人员架构表一致，更换人员或人员不到位，未经批准的，按每人2万元由甲方收取违约金，在请款中直接扣除。</w:t>
      </w:r>
      <w:r>
        <w:rPr>
          <w:rFonts w:hint="eastAsia" w:hAnsi="宋体" w:eastAsia="宋体"/>
          <w:sz w:val="24"/>
          <w:szCs w:val="24"/>
          <w:highlight w:val="none"/>
          <w:lang w:val="en-US" w:eastAsia="zh-CN"/>
        </w:rPr>
        <w:t>甲方</w:t>
      </w:r>
      <w:r>
        <w:rPr>
          <w:rFonts w:hint="eastAsia" w:hAnsi="宋体" w:eastAsia="宋体"/>
          <w:sz w:val="24"/>
          <w:szCs w:val="24"/>
          <w:highlight w:val="none"/>
        </w:rPr>
        <w:t>认为乙方不称职的人员，</w:t>
      </w:r>
      <w:r>
        <w:rPr>
          <w:rFonts w:hint="eastAsia" w:hAnsi="宋体" w:eastAsia="宋体"/>
          <w:sz w:val="24"/>
          <w:szCs w:val="24"/>
          <w:highlight w:val="none"/>
          <w:lang w:val="en-US" w:eastAsia="zh-CN"/>
        </w:rPr>
        <w:t>乙方应</w:t>
      </w:r>
      <w:r>
        <w:rPr>
          <w:rFonts w:hint="eastAsia" w:hAnsi="宋体" w:eastAsia="宋体"/>
          <w:sz w:val="24"/>
          <w:szCs w:val="24"/>
          <w:highlight w:val="none"/>
        </w:rPr>
        <w:t>在</w:t>
      </w:r>
      <w:r>
        <w:rPr>
          <w:rFonts w:hint="eastAsia" w:hAnsi="宋体" w:eastAsia="宋体"/>
          <w:sz w:val="24"/>
          <w:szCs w:val="24"/>
          <w:highlight w:val="none"/>
          <w:lang w:val="en-US" w:eastAsia="zh-CN"/>
        </w:rPr>
        <w:t>甲方</w:t>
      </w:r>
      <w:r>
        <w:rPr>
          <w:rFonts w:hint="eastAsia" w:hAnsi="宋体" w:eastAsia="宋体"/>
          <w:sz w:val="24"/>
          <w:szCs w:val="24"/>
          <w:highlight w:val="none"/>
        </w:rPr>
        <w:t>通知的次日无条件更换。</w:t>
      </w:r>
    </w:p>
    <w:p w14:paraId="7CFF1536">
      <w:pPr>
        <w:pStyle w:val="2"/>
        <w:spacing w:line="360" w:lineRule="auto"/>
        <w:ind w:firstLine="480" w:firstLineChars="200"/>
        <w:rPr>
          <w:rFonts w:hAnsi="宋体" w:eastAsia="宋体"/>
          <w:sz w:val="24"/>
          <w:szCs w:val="24"/>
          <w:highlight w:val="none"/>
        </w:rPr>
      </w:pPr>
      <w:r>
        <w:rPr>
          <w:rFonts w:hint="eastAsia" w:hAnsi="宋体" w:eastAsia="宋体"/>
          <w:sz w:val="24"/>
          <w:szCs w:val="24"/>
          <w:highlight w:val="none"/>
        </w:rPr>
        <w:t>9.3.28永久供水、永久供电等的专业工程设计</w:t>
      </w:r>
      <w:r>
        <w:rPr>
          <w:rFonts w:hint="eastAsia" w:hAnsi="宋体" w:eastAsia="宋体"/>
          <w:sz w:val="24"/>
          <w:szCs w:val="24"/>
          <w:highlight w:val="none"/>
          <w:lang w:val="en-US" w:eastAsia="zh-CN"/>
        </w:rPr>
        <w:t>如需分包，</w:t>
      </w:r>
      <w:r>
        <w:rPr>
          <w:rFonts w:hint="eastAsia" w:hAnsi="宋体" w:eastAsia="宋体"/>
          <w:sz w:val="24"/>
          <w:szCs w:val="24"/>
          <w:highlight w:val="none"/>
        </w:rPr>
        <w:t>乙方</w:t>
      </w:r>
      <w:r>
        <w:rPr>
          <w:rFonts w:hint="eastAsia" w:hAnsi="宋体" w:eastAsia="宋体"/>
          <w:sz w:val="24"/>
          <w:szCs w:val="24"/>
          <w:highlight w:val="none"/>
          <w:lang w:val="en-US" w:eastAsia="zh-CN"/>
        </w:rPr>
        <w:t>应</w:t>
      </w:r>
      <w:r>
        <w:rPr>
          <w:rFonts w:hint="eastAsia" w:hAnsi="宋体" w:eastAsia="宋体"/>
          <w:sz w:val="24"/>
          <w:szCs w:val="24"/>
          <w:highlight w:val="none"/>
        </w:rPr>
        <w:t>自本合同签订生效之日起30日内</w:t>
      </w:r>
      <w:r>
        <w:rPr>
          <w:rFonts w:hint="eastAsia" w:hAnsi="宋体" w:eastAsia="宋体"/>
          <w:sz w:val="24"/>
          <w:szCs w:val="24"/>
          <w:highlight w:val="none"/>
          <w:lang w:val="en-US" w:eastAsia="zh-CN"/>
        </w:rPr>
        <w:t>向甲方提供专业分包单位取得甲方书面同意并</w:t>
      </w:r>
      <w:r>
        <w:rPr>
          <w:rFonts w:hint="eastAsia" w:hAnsi="宋体" w:eastAsia="宋体"/>
          <w:sz w:val="24"/>
          <w:szCs w:val="24"/>
          <w:highlight w:val="none"/>
        </w:rPr>
        <w:t>分别与专业设计分包单位签订设计分包合同。未在约定日期内签订分包合同的，按每一个专业工程每延期一天罚款5000元累加计算，在设计费请款和结算直接扣除。</w:t>
      </w:r>
    </w:p>
    <w:p w14:paraId="2E9B701E">
      <w:pPr>
        <w:pStyle w:val="2"/>
        <w:spacing w:line="360" w:lineRule="auto"/>
        <w:ind w:firstLine="480" w:firstLineChars="200"/>
        <w:rPr>
          <w:rFonts w:hAnsi="宋体" w:eastAsia="宋体"/>
          <w:sz w:val="24"/>
          <w:szCs w:val="24"/>
          <w:highlight w:val="none"/>
        </w:rPr>
      </w:pPr>
      <w:r>
        <w:rPr>
          <w:rFonts w:hint="eastAsia" w:hAnsi="宋体" w:eastAsia="宋体"/>
          <w:sz w:val="24"/>
          <w:szCs w:val="24"/>
          <w:highlight w:val="none"/>
        </w:rPr>
        <w:t>9.3.29本合同有关条款约定乙方应承担的责任。</w:t>
      </w:r>
    </w:p>
    <w:p w14:paraId="153A3717">
      <w:pPr>
        <w:spacing w:line="360" w:lineRule="auto"/>
        <w:ind w:firstLine="480" w:firstLineChars="200"/>
        <w:rPr>
          <w:rFonts w:hint="eastAsia" w:hAnsi="宋体"/>
          <w:sz w:val="24"/>
          <w:highlight w:val="none"/>
        </w:rPr>
      </w:pPr>
      <w:r>
        <w:rPr>
          <w:rFonts w:hint="eastAsia" w:ascii="宋体" w:hAnsi="宋体"/>
          <w:sz w:val="24"/>
          <w:highlight w:val="none"/>
        </w:rPr>
        <w:t>9.3.30</w:t>
      </w:r>
      <w:r>
        <w:rPr>
          <w:rFonts w:hint="eastAsia" w:hAnsi="宋体"/>
          <w:sz w:val="24"/>
          <w:highlight w:val="none"/>
        </w:rPr>
        <w:t>乙方违反上述</w:t>
      </w:r>
      <w:r>
        <w:rPr>
          <w:rFonts w:hint="eastAsia" w:ascii="宋体" w:hAnsi="宋体"/>
          <w:sz w:val="24"/>
          <w:highlight w:val="none"/>
        </w:rPr>
        <w:t>9.3.6-9.3.29</w:t>
      </w:r>
      <w:r>
        <w:rPr>
          <w:rFonts w:hint="eastAsia" w:hAnsi="宋体"/>
          <w:sz w:val="24"/>
          <w:highlight w:val="none"/>
        </w:rPr>
        <w:t>一款或多款，该款内没有约定违约责任的，甲方有权按对应条款扣减设计费</w:t>
      </w:r>
      <w:r>
        <w:rPr>
          <w:rFonts w:hint="eastAsia" w:hAnsi="宋体"/>
          <w:sz w:val="24"/>
          <w:highlight w:val="none"/>
          <w:lang w:val="en-US" w:eastAsia="zh-CN"/>
        </w:rPr>
        <w:t>当期</w:t>
      </w:r>
      <w:r>
        <w:rPr>
          <w:rFonts w:hint="eastAsia" w:hAnsi="宋体"/>
          <w:sz w:val="24"/>
          <w:highlight w:val="none"/>
        </w:rPr>
        <w:t>的5‰作为违约金</w:t>
      </w:r>
      <w:r>
        <w:rPr>
          <w:rFonts w:hint="eastAsia"/>
          <w:sz w:val="24"/>
          <w:highlight w:val="none"/>
        </w:rPr>
        <w:t>。当期的累计违约金在当期设计费请款中扣除，设计费结算款中全部扣除。</w:t>
      </w:r>
      <w:r>
        <w:rPr>
          <w:rFonts w:hint="eastAsia" w:hAnsi="宋体"/>
          <w:sz w:val="24"/>
          <w:highlight w:val="none"/>
        </w:rPr>
        <w:t>多次违反的（超过三次的），甲方有权视情况发出警告直至解除本合同，乙方全额返还已支付的设计费，并赔偿损失。</w:t>
      </w:r>
    </w:p>
    <w:p w14:paraId="22C37ED3">
      <w:pPr>
        <w:spacing w:line="360" w:lineRule="auto"/>
        <w:ind w:firstLine="480" w:firstLineChars="200"/>
        <w:rPr>
          <w:rFonts w:hint="default" w:hAnsi="宋体"/>
          <w:sz w:val="24"/>
          <w:highlight w:val="none"/>
          <w:lang w:val="en-US" w:eastAsia="zh-CN"/>
        </w:rPr>
      </w:pPr>
      <w:r>
        <w:rPr>
          <w:rFonts w:hint="eastAsia" w:hAnsi="宋体"/>
          <w:sz w:val="24"/>
          <w:highlight w:val="none"/>
          <w:lang w:val="en-US" w:eastAsia="zh-CN"/>
        </w:rPr>
        <w:t>9.3.31 除本合同另有约定外，乙方履行其他义务（包括但不限于办理报建手续、主导办理产权登记等）不符合约定的，甲方有权视情况扣除乙方当期1%至50%的服务费，乙方逾期不能改正或拒不改正的，甲方有权解除合同，要求乙方退还全部已付款项，赔偿全部损失。</w:t>
      </w:r>
    </w:p>
    <w:p w14:paraId="0BC86EC9">
      <w:pPr>
        <w:spacing w:line="360" w:lineRule="auto"/>
        <w:ind w:firstLine="480" w:firstLineChars="200"/>
        <w:rPr>
          <w:rFonts w:hint="default" w:hAnsi="宋体"/>
          <w:sz w:val="24"/>
          <w:highlight w:val="none"/>
          <w:lang w:val="en-US" w:eastAsia="zh-CN"/>
        </w:rPr>
      </w:pPr>
      <w:r>
        <w:rPr>
          <w:rFonts w:hint="eastAsia" w:hAnsi="宋体"/>
          <w:sz w:val="24"/>
          <w:highlight w:val="none"/>
          <w:lang w:val="en-US" w:eastAsia="zh-CN"/>
        </w:rPr>
        <w:t>9.3.32乙方就本项目向相关部门提交的报建、办证等文件材料，应同时向甲方提交原件备份。</w:t>
      </w:r>
    </w:p>
    <w:p w14:paraId="73A01D12">
      <w:pPr>
        <w:spacing w:line="360" w:lineRule="auto"/>
        <w:ind w:firstLine="480" w:firstLineChars="200"/>
        <w:rPr>
          <w:rFonts w:hint="default" w:hAnsi="宋体"/>
          <w:sz w:val="24"/>
          <w:highlight w:val="none"/>
          <w:lang w:val="en-US" w:eastAsia="zh-CN"/>
        </w:rPr>
      </w:pPr>
      <w:r>
        <w:rPr>
          <w:rFonts w:hint="eastAsia" w:hAnsi="宋体"/>
          <w:sz w:val="24"/>
          <w:highlight w:val="none"/>
          <w:lang w:val="en-US" w:eastAsia="zh-CN"/>
        </w:rPr>
        <w:t>9.3.33乙方违约造成甲方损失（包括但不限于鉴定费、公证费、保全费、担保费、律师费、诉讼费等）的，乙方应全额赔偿。</w:t>
      </w:r>
    </w:p>
    <w:p w14:paraId="0E97819F">
      <w:pPr>
        <w:spacing w:before="120" w:beforeLines="50" w:line="360" w:lineRule="auto"/>
        <w:ind w:firstLine="482" w:firstLineChars="200"/>
        <w:rPr>
          <w:rFonts w:ascii="宋体" w:hAnsi="宋体"/>
          <w:b/>
          <w:bCs/>
          <w:sz w:val="24"/>
          <w:highlight w:val="none"/>
        </w:rPr>
      </w:pPr>
      <w:r>
        <w:rPr>
          <w:rFonts w:hint="eastAsia" w:ascii="宋体" w:hAnsi="宋体"/>
          <w:b/>
          <w:bCs/>
          <w:sz w:val="24"/>
          <w:highlight w:val="none"/>
        </w:rPr>
        <w:t>第十条　其它约定事项</w:t>
      </w:r>
    </w:p>
    <w:p w14:paraId="154D2E1A">
      <w:pPr>
        <w:spacing w:line="360" w:lineRule="auto"/>
        <w:ind w:firstLine="480" w:firstLineChars="200"/>
        <w:rPr>
          <w:rFonts w:ascii="宋体" w:hAnsi="宋体"/>
          <w:sz w:val="24"/>
          <w:highlight w:val="none"/>
        </w:rPr>
      </w:pPr>
      <w:r>
        <w:rPr>
          <w:rFonts w:hint="eastAsia" w:ascii="宋体" w:hAnsi="宋体"/>
          <w:sz w:val="24"/>
          <w:highlight w:val="none"/>
        </w:rPr>
        <w:t>10.1乙方为本合同项目服务至</w:t>
      </w:r>
      <w:r>
        <w:rPr>
          <w:rFonts w:hint="eastAsia" w:ascii="宋体" w:hAnsi="宋体"/>
          <w:sz w:val="24"/>
          <w:highlight w:val="none"/>
          <w:lang w:val="en-US" w:eastAsia="zh-CN"/>
        </w:rPr>
        <w:t>乙方履行完毕本合同全部义务</w:t>
      </w:r>
      <w:r>
        <w:rPr>
          <w:rFonts w:hint="eastAsia" w:ascii="宋体" w:hAnsi="宋体"/>
          <w:sz w:val="24"/>
          <w:highlight w:val="none"/>
        </w:rPr>
        <w:t>为止。</w:t>
      </w:r>
    </w:p>
    <w:p w14:paraId="3E479004">
      <w:pPr>
        <w:spacing w:line="360" w:lineRule="auto"/>
        <w:ind w:firstLine="480" w:firstLineChars="200"/>
        <w:rPr>
          <w:rFonts w:ascii="宋体" w:hAnsi="宋体"/>
          <w:sz w:val="24"/>
          <w:highlight w:val="none"/>
        </w:rPr>
      </w:pPr>
      <w:r>
        <w:rPr>
          <w:rFonts w:hint="eastAsia" w:ascii="宋体" w:hAnsi="宋体"/>
          <w:sz w:val="24"/>
          <w:highlight w:val="none"/>
        </w:rPr>
        <w:t>10.2</w:t>
      </w:r>
      <w:r>
        <w:rPr>
          <w:rFonts w:hint="eastAsia" w:ascii="宋体" w:hAnsi="宋体" w:cs="宋体"/>
          <w:sz w:val="24"/>
          <w:highlight w:val="none"/>
        </w:rPr>
        <w:t>甲</w:t>
      </w:r>
      <w:r>
        <w:rPr>
          <w:rFonts w:hint="eastAsia" w:ascii="宋体" w:hAnsi="宋体"/>
          <w:sz w:val="24"/>
          <w:highlight w:val="none"/>
        </w:rPr>
        <w:t>方委托乙方承担本合同内容以外的工作服务，可签订补充协议。</w:t>
      </w:r>
    </w:p>
    <w:p w14:paraId="79174B90">
      <w:pPr>
        <w:spacing w:line="360" w:lineRule="auto"/>
        <w:ind w:firstLine="480" w:firstLineChars="200"/>
        <w:rPr>
          <w:rFonts w:ascii="宋体" w:hAnsi="宋体"/>
          <w:sz w:val="24"/>
          <w:highlight w:val="none"/>
        </w:rPr>
      </w:pPr>
      <w:r>
        <w:rPr>
          <w:rFonts w:hint="eastAsia" w:ascii="宋体" w:hAnsi="宋体"/>
          <w:sz w:val="24"/>
          <w:highlight w:val="none"/>
        </w:rPr>
        <w:t>10.3因不可抗力事件致使本合同无法履行时，双方应及时协商解决。</w:t>
      </w:r>
    </w:p>
    <w:p w14:paraId="55F4996F">
      <w:pPr>
        <w:spacing w:line="360" w:lineRule="auto"/>
        <w:ind w:left="479" w:leftChars="228"/>
        <w:rPr>
          <w:rFonts w:ascii="宋体" w:hAnsi="宋体"/>
          <w:sz w:val="24"/>
          <w:highlight w:val="none"/>
        </w:rPr>
      </w:pPr>
      <w:r>
        <w:rPr>
          <w:rFonts w:hint="eastAsia" w:ascii="宋体" w:hAnsi="宋体"/>
          <w:sz w:val="24"/>
          <w:highlight w:val="none"/>
        </w:rPr>
        <w:t>10.4本合同价已包含一般性设计变更、修改、补充的设计费用。</w:t>
      </w:r>
    </w:p>
    <w:p w14:paraId="32D81062">
      <w:pPr>
        <w:spacing w:line="360" w:lineRule="auto"/>
        <w:ind w:firstLine="480" w:firstLineChars="200"/>
        <w:rPr>
          <w:rFonts w:ascii="宋体" w:hAnsi="宋体"/>
          <w:sz w:val="24"/>
          <w:highlight w:val="none"/>
        </w:rPr>
      </w:pPr>
      <w:r>
        <w:rPr>
          <w:rFonts w:hint="eastAsia" w:ascii="宋体" w:hAnsi="宋体"/>
          <w:sz w:val="24"/>
          <w:highlight w:val="none"/>
        </w:rPr>
        <w:t>10.5工程施工阶段，因乙方原因导致工期延误，每延误一日按设计费暂定合同价计收2‰的违约金</w:t>
      </w:r>
      <w:r>
        <w:rPr>
          <w:rFonts w:hint="eastAsia" w:ascii="宋体" w:hAnsi="宋体"/>
          <w:sz w:val="24"/>
          <w:highlight w:val="none"/>
          <w:lang w:eastAsia="zh-CN"/>
        </w:rPr>
        <w:t>，</w:t>
      </w:r>
      <w:r>
        <w:rPr>
          <w:rFonts w:hint="eastAsia" w:ascii="宋体" w:hAnsi="宋体"/>
          <w:sz w:val="24"/>
          <w:highlight w:val="none"/>
          <w:lang w:val="en-US" w:eastAsia="zh-CN"/>
        </w:rPr>
        <w:t>甲方有权在后续应付服务费中扣除，不足部分由乙方补足</w:t>
      </w:r>
      <w:r>
        <w:rPr>
          <w:rFonts w:hint="eastAsia" w:ascii="宋体" w:hAnsi="宋体"/>
          <w:sz w:val="24"/>
          <w:highlight w:val="none"/>
        </w:rPr>
        <w:t>。</w:t>
      </w:r>
    </w:p>
    <w:p w14:paraId="60415C7E">
      <w:pPr>
        <w:spacing w:line="360" w:lineRule="auto"/>
        <w:ind w:firstLine="480" w:firstLineChars="200"/>
        <w:rPr>
          <w:rFonts w:ascii="宋体" w:hAnsi="宋体"/>
          <w:sz w:val="24"/>
          <w:highlight w:val="none"/>
        </w:rPr>
      </w:pPr>
      <w:r>
        <w:rPr>
          <w:rFonts w:hint="eastAsia" w:ascii="宋体" w:hAnsi="宋体"/>
          <w:sz w:val="24"/>
          <w:highlight w:val="none"/>
        </w:rPr>
        <w:t>10.6本合同设计成果的发表权、展览权、使用权归甲方所有。</w:t>
      </w:r>
    </w:p>
    <w:p w14:paraId="5510E52A">
      <w:pPr>
        <w:spacing w:line="360" w:lineRule="auto"/>
        <w:ind w:firstLine="480" w:firstLineChars="200"/>
        <w:rPr>
          <w:rFonts w:ascii="宋体" w:hAnsi="宋体"/>
          <w:sz w:val="24"/>
          <w:highlight w:val="none"/>
        </w:rPr>
      </w:pPr>
      <w:r>
        <w:rPr>
          <w:rFonts w:hint="eastAsia" w:ascii="宋体" w:hAnsi="宋体"/>
          <w:sz w:val="24"/>
          <w:highlight w:val="none"/>
        </w:rPr>
        <w:t>10.7双方认可的来往传真、会议纪要等，均视为本合同组成部分。</w:t>
      </w:r>
    </w:p>
    <w:p w14:paraId="60B8F8DE">
      <w:pPr>
        <w:spacing w:line="360" w:lineRule="auto"/>
        <w:ind w:firstLine="480" w:firstLineChars="200"/>
        <w:rPr>
          <w:rFonts w:ascii="宋体" w:hAnsi="宋体"/>
          <w:sz w:val="24"/>
          <w:highlight w:val="none"/>
        </w:rPr>
      </w:pPr>
      <w:r>
        <w:rPr>
          <w:rFonts w:hint="eastAsia" w:ascii="宋体" w:hAnsi="宋体"/>
          <w:sz w:val="24"/>
          <w:highlight w:val="none"/>
        </w:rPr>
        <w:t>10.8</w:t>
      </w:r>
      <w:r>
        <w:rPr>
          <w:rFonts w:hint="eastAsia" w:ascii="宋体" w:hAnsi="宋体"/>
          <w:kern w:val="0"/>
          <w:sz w:val="24"/>
          <w:highlight w:val="none"/>
        </w:rPr>
        <w:t>乙方设计参与人员必须具备设计资质，乙方不得无故更换投标文件内约定的设计参与人员</w:t>
      </w:r>
      <w:r>
        <w:rPr>
          <w:rFonts w:hint="eastAsia" w:ascii="宋体" w:hAnsi="宋体"/>
          <w:sz w:val="24"/>
          <w:highlight w:val="none"/>
        </w:rPr>
        <w:t>。</w:t>
      </w:r>
    </w:p>
    <w:p w14:paraId="291DFA68">
      <w:pPr>
        <w:spacing w:line="360" w:lineRule="auto"/>
        <w:ind w:firstLine="480" w:firstLineChars="200"/>
        <w:rPr>
          <w:rFonts w:ascii="宋体" w:hAnsi="宋体"/>
          <w:sz w:val="24"/>
          <w:highlight w:val="none"/>
        </w:rPr>
      </w:pPr>
      <w:r>
        <w:rPr>
          <w:rFonts w:hint="eastAsia" w:ascii="宋体" w:hAnsi="宋体"/>
          <w:sz w:val="24"/>
          <w:highlight w:val="none"/>
        </w:rPr>
        <w:t>10.9乙方设计工作应遵守《设计管理办法》（见附件</w:t>
      </w:r>
      <w:r>
        <w:rPr>
          <w:rFonts w:hint="eastAsia" w:ascii="宋体" w:hAnsi="宋体"/>
          <w:sz w:val="24"/>
          <w:highlight w:val="none"/>
          <w:lang w:val="en-US" w:eastAsia="zh-CN"/>
        </w:rPr>
        <w:t>二</w:t>
      </w:r>
      <w:r>
        <w:rPr>
          <w:rFonts w:hint="eastAsia" w:ascii="宋体" w:hAnsi="宋体"/>
          <w:sz w:val="24"/>
          <w:highlight w:val="none"/>
        </w:rPr>
        <w:t>，另册）的规定。</w:t>
      </w:r>
    </w:p>
    <w:p w14:paraId="366D1139">
      <w:pPr>
        <w:pStyle w:val="7"/>
        <w:ind w:firstLine="0" w:firstLineChars="0"/>
        <w:rPr>
          <w:highlight w:val="none"/>
        </w:rPr>
      </w:pPr>
    </w:p>
    <w:p w14:paraId="40FD3FEC">
      <w:pPr>
        <w:pStyle w:val="7"/>
        <w:ind w:firstLine="0" w:firstLineChars="0"/>
        <w:rPr>
          <w:highlight w:val="none"/>
        </w:rPr>
      </w:pPr>
    </w:p>
    <w:p w14:paraId="7343AF1C">
      <w:pPr>
        <w:pStyle w:val="7"/>
        <w:ind w:firstLine="0" w:firstLineChars="0"/>
        <w:rPr>
          <w:highlight w:val="none"/>
        </w:rPr>
      </w:pPr>
    </w:p>
    <w:p w14:paraId="6B7AB96B">
      <w:pPr>
        <w:pStyle w:val="49"/>
        <w:rPr>
          <w:sz w:val="32"/>
          <w:szCs w:val="32"/>
          <w:highlight w:val="none"/>
        </w:rPr>
      </w:pPr>
      <w:bookmarkStart w:id="16" w:name="_Toc287628088"/>
      <w:r>
        <w:rPr>
          <w:sz w:val="32"/>
          <w:szCs w:val="32"/>
          <w:highlight w:val="none"/>
        </w:rPr>
        <w:br w:type="page"/>
      </w:r>
      <w:r>
        <w:rPr>
          <w:rFonts w:hint="eastAsia"/>
          <w:sz w:val="32"/>
          <w:szCs w:val="32"/>
          <w:highlight w:val="none"/>
        </w:rPr>
        <w:t>第三篇　组成合同附件</w:t>
      </w:r>
      <w:bookmarkEnd w:id="16"/>
    </w:p>
    <w:p w14:paraId="673A0DBF">
      <w:pPr>
        <w:spacing w:line="300" w:lineRule="auto"/>
        <w:rPr>
          <w:sz w:val="24"/>
          <w:highlight w:val="none"/>
        </w:rPr>
      </w:pPr>
      <w:r>
        <w:rPr>
          <w:rFonts w:hint="eastAsia"/>
          <w:sz w:val="24"/>
          <w:highlight w:val="none"/>
        </w:rPr>
        <w:t>附件一：</w:t>
      </w:r>
    </w:p>
    <w:p w14:paraId="37AFD20D">
      <w:pPr>
        <w:spacing w:line="300" w:lineRule="auto"/>
        <w:jc w:val="center"/>
        <w:rPr>
          <w:rFonts w:ascii="宋体" w:hAnsi="宋体"/>
          <w:b/>
          <w:bCs/>
          <w:sz w:val="24"/>
          <w:highlight w:val="none"/>
        </w:rPr>
      </w:pPr>
      <w:r>
        <w:rPr>
          <w:rFonts w:hint="eastAsia" w:ascii="宋体" w:hAnsi="宋体"/>
          <w:b/>
          <w:bCs/>
          <w:sz w:val="24"/>
          <w:highlight w:val="none"/>
        </w:rPr>
        <w:t>廉政合同</w:t>
      </w:r>
    </w:p>
    <w:p w14:paraId="1EA35E00">
      <w:pPr>
        <w:spacing w:line="300" w:lineRule="auto"/>
        <w:jc w:val="center"/>
        <w:rPr>
          <w:rFonts w:ascii="宋体" w:hAnsi="宋体"/>
          <w:b/>
          <w:bCs/>
          <w:sz w:val="24"/>
          <w:highlight w:val="none"/>
        </w:rPr>
      </w:pPr>
    </w:p>
    <w:p w14:paraId="1DD928AC">
      <w:pPr>
        <w:spacing w:line="360" w:lineRule="auto"/>
        <w:ind w:firstLine="482" w:firstLineChars="200"/>
        <w:rPr>
          <w:rFonts w:hint="eastAsia" w:ascii="宋体" w:hAnsi="宋体" w:eastAsia="宋体"/>
          <w:b/>
          <w:bCs/>
          <w:sz w:val="24"/>
          <w:highlight w:val="none"/>
          <w:lang w:eastAsia="zh-CN"/>
        </w:rPr>
      </w:pPr>
      <w:r>
        <w:rPr>
          <w:rFonts w:hint="eastAsia" w:ascii="宋体" w:hAnsi="宋体"/>
          <w:b/>
          <w:bCs/>
          <w:sz w:val="24"/>
          <w:highlight w:val="none"/>
        </w:rPr>
        <w:t>甲方：（全称）</w:t>
      </w:r>
    </w:p>
    <w:p w14:paraId="5FB03E9F">
      <w:pPr>
        <w:spacing w:line="360" w:lineRule="auto"/>
        <w:ind w:firstLine="482" w:firstLineChars="200"/>
        <w:rPr>
          <w:rFonts w:hint="eastAsia" w:ascii="宋体" w:hAnsi="宋体" w:eastAsia="宋体"/>
          <w:b/>
          <w:bCs/>
          <w:sz w:val="24"/>
          <w:highlight w:val="none"/>
          <w:u w:val="single"/>
          <w:lang w:eastAsia="zh-CN"/>
        </w:rPr>
      </w:pPr>
      <w:r>
        <w:rPr>
          <w:rFonts w:hint="eastAsia" w:ascii="宋体" w:hAnsi="宋体"/>
          <w:b/>
          <w:bCs/>
          <w:sz w:val="24"/>
          <w:highlight w:val="none"/>
        </w:rPr>
        <w:t>乙方：（全称）</w:t>
      </w:r>
    </w:p>
    <w:p w14:paraId="006A3E0E">
      <w:pPr>
        <w:spacing w:line="360" w:lineRule="auto"/>
        <w:ind w:firstLine="480" w:firstLineChars="200"/>
        <w:rPr>
          <w:rFonts w:ascii="宋体" w:hAnsi="宋体"/>
          <w:bCs/>
          <w:sz w:val="24"/>
          <w:highlight w:val="none"/>
        </w:rPr>
      </w:pPr>
      <w:r>
        <w:rPr>
          <w:rFonts w:hint="eastAsia" w:ascii="宋体" w:hAnsi="宋体"/>
          <w:bCs/>
          <w:sz w:val="24"/>
          <w:highlight w:val="none"/>
        </w:rPr>
        <w:t>根据国家、省工程建设和廉政建设的有关规定，为做好合同工程的廉政建设，保证工程质量与施工安全，提高建设资金的有效使用和投资效益，甲方、和乙方就加强合同工程的廉政建设，订立本合同。</w:t>
      </w:r>
    </w:p>
    <w:p w14:paraId="2459E333">
      <w:pPr>
        <w:spacing w:line="360" w:lineRule="auto"/>
        <w:ind w:firstLine="482" w:firstLineChars="200"/>
        <w:rPr>
          <w:rFonts w:ascii="宋体" w:hAnsi="宋体"/>
          <w:b/>
          <w:bCs/>
          <w:sz w:val="24"/>
          <w:highlight w:val="none"/>
        </w:rPr>
      </w:pPr>
      <w:r>
        <w:rPr>
          <w:rFonts w:hint="eastAsia" w:ascii="宋体" w:hAnsi="宋体"/>
          <w:b/>
          <w:bCs/>
          <w:sz w:val="24"/>
          <w:highlight w:val="none"/>
        </w:rPr>
        <w:t>1双方权利和义务</w:t>
      </w:r>
    </w:p>
    <w:p w14:paraId="0E9DBE48">
      <w:pPr>
        <w:spacing w:line="360" w:lineRule="auto"/>
        <w:ind w:firstLine="480" w:firstLineChars="200"/>
        <w:rPr>
          <w:rFonts w:ascii="宋体" w:hAnsi="宋体"/>
          <w:bCs/>
          <w:sz w:val="24"/>
          <w:highlight w:val="none"/>
        </w:rPr>
      </w:pPr>
      <w:r>
        <w:rPr>
          <w:rFonts w:hint="eastAsia" w:ascii="宋体" w:hAnsi="宋体"/>
          <w:bCs/>
          <w:sz w:val="24"/>
          <w:highlight w:val="none"/>
        </w:rPr>
        <w:t>1.1严格遵守国家有关法律法规的规定。</w:t>
      </w:r>
    </w:p>
    <w:p w14:paraId="48ADEF0B">
      <w:pPr>
        <w:spacing w:line="360" w:lineRule="auto"/>
        <w:ind w:firstLine="480" w:firstLineChars="200"/>
        <w:rPr>
          <w:rFonts w:ascii="宋体" w:hAnsi="宋体"/>
          <w:bCs/>
          <w:sz w:val="24"/>
          <w:highlight w:val="none"/>
        </w:rPr>
      </w:pPr>
      <w:r>
        <w:rPr>
          <w:rFonts w:hint="eastAsia" w:ascii="宋体" w:hAnsi="宋体"/>
          <w:bCs/>
          <w:sz w:val="24"/>
          <w:highlight w:val="none"/>
        </w:rPr>
        <w:t>1.2严格执行一切合同文件，自觉按合同办事。</w:t>
      </w:r>
    </w:p>
    <w:p w14:paraId="54AD4D47">
      <w:pPr>
        <w:spacing w:line="360" w:lineRule="auto"/>
        <w:ind w:firstLine="480" w:firstLineChars="200"/>
        <w:rPr>
          <w:rFonts w:ascii="宋体" w:hAnsi="宋体"/>
          <w:bCs/>
          <w:sz w:val="24"/>
          <w:highlight w:val="none"/>
        </w:rPr>
      </w:pPr>
      <w:r>
        <w:rPr>
          <w:rFonts w:hint="eastAsia" w:ascii="宋体" w:hAnsi="宋体"/>
          <w:bCs/>
          <w:sz w:val="24"/>
          <w:highlight w:val="none"/>
        </w:rPr>
        <w:t>1.3双方的业务活动坚持公平、公开、公正和诚信的原则（法律认定的商业秘密和合同文件另有规定除外），不得损害国家和集体利益，不得违反工程建设管理规章制度。</w:t>
      </w:r>
    </w:p>
    <w:p w14:paraId="6986F59F">
      <w:pPr>
        <w:spacing w:line="360" w:lineRule="auto"/>
        <w:ind w:firstLine="480" w:firstLineChars="200"/>
        <w:rPr>
          <w:rFonts w:ascii="宋体" w:hAnsi="宋体"/>
          <w:bCs/>
          <w:sz w:val="24"/>
          <w:highlight w:val="none"/>
        </w:rPr>
      </w:pPr>
      <w:r>
        <w:rPr>
          <w:rFonts w:hint="eastAsia" w:ascii="宋体" w:hAnsi="宋体"/>
          <w:bCs/>
          <w:sz w:val="24"/>
          <w:highlight w:val="none"/>
        </w:rPr>
        <w:t>1.4建立健全廉政制度，开展廉政教育，设立廉政告示牌，公布举报电话，监督并认真查处违法违纪行为。</w:t>
      </w:r>
    </w:p>
    <w:p w14:paraId="29E1ED35">
      <w:pPr>
        <w:spacing w:line="360" w:lineRule="auto"/>
        <w:ind w:firstLine="480" w:firstLineChars="200"/>
        <w:rPr>
          <w:rFonts w:ascii="宋体" w:hAnsi="宋体"/>
          <w:bCs/>
          <w:sz w:val="24"/>
          <w:highlight w:val="none"/>
        </w:rPr>
      </w:pPr>
      <w:r>
        <w:rPr>
          <w:rFonts w:hint="eastAsia" w:ascii="宋体" w:hAnsi="宋体"/>
          <w:bCs/>
          <w:sz w:val="24"/>
          <w:highlight w:val="none"/>
        </w:rPr>
        <w:t>1.5发现对方在业务活动中有违反廉政建设规定的行为，应及时给予提醒和纠正。</w:t>
      </w:r>
    </w:p>
    <w:p w14:paraId="11DCA6A9">
      <w:pPr>
        <w:spacing w:line="360" w:lineRule="auto"/>
        <w:ind w:firstLine="480" w:firstLineChars="200"/>
        <w:rPr>
          <w:rFonts w:ascii="宋体" w:hAnsi="宋体"/>
          <w:bCs/>
          <w:sz w:val="24"/>
          <w:highlight w:val="none"/>
        </w:rPr>
      </w:pPr>
      <w:r>
        <w:rPr>
          <w:rFonts w:hint="eastAsia" w:ascii="宋体" w:hAnsi="宋体"/>
          <w:bCs/>
          <w:sz w:val="24"/>
          <w:highlight w:val="none"/>
        </w:rPr>
        <w:t>1.6发现对方严重违反合同的行为，有向其上级部门举报、建议给予处理并要求告知处理结果的权利。</w:t>
      </w:r>
    </w:p>
    <w:p w14:paraId="5CF81005">
      <w:pPr>
        <w:spacing w:line="360" w:lineRule="auto"/>
        <w:ind w:firstLine="482" w:firstLineChars="200"/>
        <w:rPr>
          <w:rFonts w:ascii="宋体" w:hAnsi="宋体"/>
          <w:b/>
          <w:bCs/>
          <w:sz w:val="24"/>
          <w:highlight w:val="none"/>
        </w:rPr>
      </w:pPr>
      <w:r>
        <w:rPr>
          <w:rFonts w:hint="eastAsia" w:ascii="宋体" w:hAnsi="宋体"/>
          <w:b/>
          <w:bCs/>
          <w:sz w:val="24"/>
          <w:highlight w:val="none"/>
        </w:rPr>
        <w:t>2甲</w:t>
      </w:r>
      <w:r>
        <w:rPr>
          <w:rFonts w:hint="eastAsia" w:ascii="宋体" w:hAnsi="宋体"/>
          <w:b/>
          <w:bCs/>
          <w:sz w:val="24"/>
          <w:highlight w:val="none"/>
          <w:lang w:val="en-US" w:eastAsia="zh-CN"/>
        </w:rPr>
        <w:t>方</w:t>
      </w:r>
      <w:r>
        <w:rPr>
          <w:rFonts w:hint="eastAsia" w:ascii="宋体" w:hAnsi="宋体"/>
          <w:b/>
          <w:bCs/>
          <w:sz w:val="24"/>
          <w:highlight w:val="none"/>
        </w:rPr>
        <w:t>义务</w:t>
      </w:r>
    </w:p>
    <w:p w14:paraId="7712F3CE">
      <w:pPr>
        <w:spacing w:line="360" w:lineRule="auto"/>
        <w:ind w:firstLine="480" w:firstLineChars="200"/>
        <w:rPr>
          <w:rFonts w:ascii="宋体" w:hAnsi="宋体"/>
          <w:bCs/>
          <w:sz w:val="24"/>
          <w:highlight w:val="none"/>
        </w:rPr>
      </w:pPr>
      <w:r>
        <w:rPr>
          <w:rFonts w:hint="eastAsia" w:ascii="宋体" w:hAnsi="宋体"/>
          <w:bCs/>
          <w:sz w:val="24"/>
          <w:highlight w:val="none"/>
        </w:rPr>
        <w:t>2.1甲</w:t>
      </w:r>
      <w:r>
        <w:rPr>
          <w:rFonts w:hint="eastAsia" w:ascii="宋体" w:hAnsi="宋体"/>
          <w:bCs/>
          <w:sz w:val="24"/>
          <w:highlight w:val="none"/>
          <w:lang w:val="en-US" w:eastAsia="zh-CN"/>
        </w:rPr>
        <w:t>方</w:t>
      </w:r>
      <w:r>
        <w:rPr>
          <w:rFonts w:hint="eastAsia" w:ascii="宋体" w:hAnsi="宋体"/>
          <w:bCs/>
          <w:sz w:val="24"/>
          <w:highlight w:val="none"/>
        </w:rPr>
        <w:t>及其工作人员不得索要或接受乙方的礼金、有价证券和贵重物品，不得在乙方报销任何应由</w:t>
      </w:r>
      <w:r>
        <w:rPr>
          <w:rFonts w:hint="eastAsia" w:ascii="宋体" w:hAnsi="宋体"/>
          <w:bCs/>
          <w:sz w:val="24"/>
          <w:highlight w:val="none"/>
          <w:lang w:eastAsia="zh-CN"/>
        </w:rPr>
        <w:t>甲方</w:t>
      </w:r>
      <w:r>
        <w:rPr>
          <w:rFonts w:hint="eastAsia" w:ascii="宋体" w:hAnsi="宋体"/>
          <w:bCs/>
          <w:sz w:val="24"/>
          <w:highlight w:val="none"/>
        </w:rPr>
        <w:t>或工作人员个人支付的费用等。</w:t>
      </w:r>
    </w:p>
    <w:p w14:paraId="34836DA1">
      <w:pPr>
        <w:spacing w:line="360" w:lineRule="auto"/>
        <w:ind w:firstLine="480" w:firstLineChars="200"/>
        <w:rPr>
          <w:rFonts w:ascii="宋体" w:hAnsi="宋体"/>
          <w:bCs/>
          <w:sz w:val="24"/>
          <w:highlight w:val="none"/>
        </w:rPr>
      </w:pPr>
      <w:r>
        <w:rPr>
          <w:rFonts w:hint="eastAsia" w:ascii="宋体" w:hAnsi="宋体"/>
          <w:bCs/>
          <w:sz w:val="24"/>
          <w:highlight w:val="none"/>
        </w:rPr>
        <w:t>2.2甲</w:t>
      </w:r>
      <w:r>
        <w:rPr>
          <w:rFonts w:hint="eastAsia" w:ascii="宋体" w:hAnsi="宋体"/>
          <w:bCs/>
          <w:sz w:val="24"/>
          <w:highlight w:val="none"/>
          <w:lang w:val="en-US" w:eastAsia="zh-CN"/>
        </w:rPr>
        <w:t>方</w:t>
      </w:r>
      <w:r>
        <w:rPr>
          <w:rFonts w:hint="eastAsia" w:ascii="宋体" w:hAnsi="宋体"/>
          <w:bCs/>
          <w:sz w:val="24"/>
          <w:highlight w:val="none"/>
        </w:rPr>
        <w:t>及其工作人员不得参加乙方安排的宴请（工作餐除外）和娱乐活动；不得接受乙方提供的通讯工具、交通工具和高档办公用品等。</w:t>
      </w:r>
    </w:p>
    <w:p w14:paraId="2DDB3E3E">
      <w:pPr>
        <w:spacing w:line="360" w:lineRule="auto"/>
        <w:ind w:firstLine="480" w:firstLineChars="200"/>
        <w:rPr>
          <w:rFonts w:ascii="宋体" w:hAnsi="宋体"/>
          <w:bCs/>
          <w:sz w:val="24"/>
          <w:highlight w:val="none"/>
        </w:rPr>
      </w:pPr>
      <w:r>
        <w:rPr>
          <w:rFonts w:hint="eastAsia" w:ascii="宋体" w:hAnsi="宋体"/>
          <w:bCs/>
          <w:sz w:val="24"/>
          <w:highlight w:val="none"/>
        </w:rPr>
        <w:t>2.3</w:t>
      </w:r>
      <w:r>
        <w:rPr>
          <w:rFonts w:hint="eastAsia" w:ascii="宋体" w:hAnsi="宋体"/>
          <w:bCs/>
          <w:sz w:val="24"/>
          <w:highlight w:val="none"/>
          <w:lang w:eastAsia="zh-CN"/>
        </w:rPr>
        <w:t>甲方</w:t>
      </w:r>
      <w:r>
        <w:rPr>
          <w:rFonts w:hint="eastAsia" w:ascii="宋体" w:hAnsi="宋体"/>
          <w:bCs/>
          <w:sz w:val="24"/>
          <w:highlight w:val="none"/>
        </w:rPr>
        <w:t>及其工作人员不得要求或者接受乙方为其住房装修、婚丧嫁娶活动、配偶子女的工作安排以及出国出境、旅游等提供方便等。</w:t>
      </w:r>
    </w:p>
    <w:p w14:paraId="4F3F246C">
      <w:pPr>
        <w:spacing w:line="360" w:lineRule="auto"/>
        <w:ind w:firstLine="480" w:firstLineChars="200"/>
        <w:rPr>
          <w:rFonts w:ascii="宋体" w:hAnsi="宋体"/>
          <w:bCs/>
          <w:sz w:val="24"/>
          <w:highlight w:val="none"/>
        </w:rPr>
      </w:pPr>
      <w:r>
        <w:rPr>
          <w:rFonts w:hint="eastAsia" w:ascii="宋体" w:hAnsi="宋体"/>
          <w:bCs/>
          <w:sz w:val="24"/>
          <w:highlight w:val="none"/>
        </w:rPr>
        <w:t>2.4</w:t>
      </w:r>
      <w:r>
        <w:rPr>
          <w:rFonts w:hint="eastAsia" w:ascii="宋体" w:hAnsi="宋体"/>
          <w:bCs/>
          <w:sz w:val="24"/>
          <w:highlight w:val="none"/>
          <w:lang w:eastAsia="zh-CN"/>
        </w:rPr>
        <w:t>甲方</w:t>
      </w:r>
      <w:r>
        <w:rPr>
          <w:rFonts w:hint="eastAsia" w:ascii="宋体" w:hAnsi="宋体"/>
          <w:bCs/>
          <w:sz w:val="24"/>
          <w:highlight w:val="none"/>
        </w:rPr>
        <w:t>及其工作人员及其配偶、子女不得从事与乙方有关的工程材料设备供应、工程分包、劳务等经济活动。</w:t>
      </w:r>
    </w:p>
    <w:p w14:paraId="701849FA">
      <w:pPr>
        <w:spacing w:line="360" w:lineRule="auto"/>
        <w:ind w:firstLine="480" w:firstLineChars="200"/>
        <w:rPr>
          <w:rFonts w:ascii="宋体" w:hAnsi="宋体"/>
          <w:bCs/>
          <w:sz w:val="24"/>
          <w:highlight w:val="none"/>
        </w:rPr>
      </w:pPr>
      <w:r>
        <w:rPr>
          <w:rFonts w:hint="eastAsia" w:ascii="宋体" w:hAnsi="宋体"/>
          <w:bCs/>
          <w:sz w:val="24"/>
          <w:highlight w:val="none"/>
        </w:rPr>
        <w:t>2.5</w:t>
      </w:r>
      <w:r>
        <w:rPr>
          <w:rFonts w:hint="eastAsia" w:ascii="宋体" w:hAnsi="宋体"/>
          <w:bCs/>
          <w:sz w:val="24"/>
          <w:highlight w:val="none"/>
          <w:lang w:eastAsia="zh-CN"/>
        </w:rPr>
        <w:t>甲方</w:t>
      </w:r>
      <w:r>
        <w:rPr>
          <w:rFonts w:hint="eastAsia" w:ascii="宋体" w:hAnsi="宋体"/>
          <w:bCs/>
          <w:sz w:val="24"/>
          <w:highlight w:val="none"/>
        </w:rPr>
        <w:t>及其工作人员不得以任何理由向乙方推荐分包单位或推销材料，不得要求乙方购买合同约定外的材料和设备。</w:t>
      </w:r>
    </w:p>
    <w:p w14:paraId="4AADC4BE">
      <w:pPr>
        <w:spacing w:line="360" w:lineRule="auto"/>
        <w:ind w:firstLine="480" w:firstLineChars="200"/>
        <w:rPr>
          <w:rFonts w:ascii="宋体" w:hAnsi="宋体"/>
          <w:bCs/>
          <w:sz w:val="24"/>
          <w:highlight w:val="none"/>
        </w:rPr>
      </w:pPr>
      <w:r>
        <w:rPr>
          <w:rFonts w:hint="eastAsia" w:ascii="宋体" w:hAnsi="宋体"/>
          <w:bCs/>
          <w:sz w:val="24"/>
          <w:highlight w:val="none"/>
        </w:rPr>
        <w:t>2.6</w:t>
      </w:r>
      <w:r>
        <w:rPr>
          <w:rFonts w:hint="eastAsia" w:ascii="宋体" w:hAnsi="宋体"/>
          <w:bCs/>
          <w:sz w:val="24"/>
          <w:highlight w:val="none"/>
          <w:lang w:eastAsia="zh-CN"/>
        </w:rPr>
        <w:t>甲方</w:t>
      </w:r>
      <w:r>
        <w:rPr>
          <w:rFonts w:hint="eastAsia" w:ascii="宋体" w:hAnsi="宋体"/>
          <w:bCs/>
          <w:sz w:val="24"/>
          <w:highlight w:val="none"/>
        </w:rPr>
        <w:t>及其工作人员要秉公办事，不准营私舞弊，不准利用职权从事各种个人有偿中介活动和安排个人施工队伍。</w:t>
      </w:r>
    </w:p>
    <w:p w14:paraId="3B191F3E">
      <w:pPr>
        <w:spacing w:line="360" w:lineRule="auto"/>
        <w:ind w:firstLine="482" w:firstLineChars="200"/>
        <w:rPr>
          <w:rFonts w:ascii="宋体" w:hAnsi="宋体"/>
          <w:b/>
          <w:bCs/>
          <w:sz w:val="24"/>
          <w:highlight w:val="none"/>
        </w:rPr>
      </w:pPr>
      <w:r>
        <w:rPr>
          <w:rFonts w:hint="eastAsia" w:ascii="宋体" w:hAnsi="宋体"/>
          <w:b/>
          <w:bCs/>
          <w:sz w:val="24"/>
          <w:highlight w:val="none"/>
        </w:rPr>
        <w:t>3乙方义务</w:t>
      </w:r>
    </w:p>
    <w:p w14:paraId="02F790AE">
      <w:pPr>
        <w:spacing w:line="360" w:lineRule="auto"/>
        <w:ind w:firstLine="480" w:firstLineChars="200"/>
        <w:rPr>
          <w:rFonts w:ascii="宋体" w:hAnsi="宋体"/>
          <w:bCs/>
          <w:sz w:val="24"/>
          <w:highlight w:val="none"/>
        </w:rPr>
      </w:pPr>
      <w:r>
        <w:rPr>
          <w:rFonts w:hint="eastAsia" w:ascii="宋体" w:hAnsi="宋体"/>
          <w:bCs/>
          <w:sz w:val="24"/>
          <w:highlight w:val="none"/>
        </w:rPr>
        <w:t>3.1乙方不得以任何理由向</w:t>
      </w:r>
      <w:r>
        <w:rPr>
          <w:rFonts w:hint="eastAsia" w:ascii="宋体" w:hAnsi="宋体"/>
          <w:bCs/>
          <w:sz w:val="24"/>
          <w:highlight w:val="none"/>
          <w:lang w:eastAsia="zh-CN"/>
        </w:rPr>
        <w:t>甲方</w:t>
      </w:r>
      <w:r>
        <w:rPr>
          <w:rFonts w:hint="eastAsia" w:ascii="宋体" w:hAnsi="宋体"/>
          <w:bCs/>
          <w:sz w:val="24"/>
          <w:highlight w:val="none"/>
        </w:rPr>
        <w:t>及其工作人员行贿或馈赠礼金、有价证券、贵重礼品。</w:t>
      </w:r>
    </w:p>
    <w:p w14:paraId="48D5223D">
      <w:pPr>
        <w:spacing w:line="360" w:lineRule="auto"/>
        <w:ind w:firstLine="480" w:firstLineChars="200"/>
        <w:rPr>
          <w:rFonts w:ascii="宋体" w:hAnsi="宋体"/>
          <w:bCs/>
          <w:sz w:val="24"/>
          <w:highlight w:val="none"/>
        </w:rPr>
      </w:pPr>
      <w:r>
        <w:rPr>
          <w:rFonts w:hint="eastAsia" w:ascii="宋体" w:hAnsi="宋体"/>
          <w:bCs/>
          <w:sz w:val="24"/>
          <w:highlight w:val="none"/>
        </w:rPr>
        <w:t>3.2乙方不得以任何名义为</w:t>
      </w:r>
      <w:r>
        <w:rPr>
          <w:rFonts w:hint="eastAsia" w:ascii="宋体" w:hAnsi="宋体"/>
          <w:bCs/>
          <w:sz w:val="24"/>
          <w:highlight w:val="none"/>
          <w:lang w:eastAsia="zh-CN"/>
        </w:rPr>
        <w:t>甲方</w:t>
      </w:r>
      <w:r>
        <w:rPr>
          <w:rFonts w:hint="eastAsia" w:ascii="宋体" w:hAnsi="宋体"/>
          <w:bCs/>
          <w:sz w:val="24"/>
          <w:highlight w:val="none"/>
        </w:rPr>
        <w:t>及其工作人员报销应由</w:t>
      </w:r>
      <w:r>
        <w:rPr>
          <w:rFonts w:hint="eastAsia" w:ascii="宋体" w:hAnsi="宋体"/>
          <w:bCs/>
          <w:sz w:val="24"/>
          <w:highlight w:val="none"/>
          <w:lang w:eastAsia="zh-CN"/>
        </w:rPr>
        <w:t>甲方</w:t>
      </w:r>
      <w:r>
        <w:rPr>
          <w:rFonts w:hint="eastAsia" w:ascii="宋体" w:hAnsi="宋体"/>
          <w:bCs/>
          <w:sz w:val="24"/>
          <w:highlight w:val="none"/>
        </w:rPr>
        <w:t>或工作人员个人支付的任何费用。</w:t>
      </w:r>
    </w:p>
    <w:p w14:paraId="2CE234F4">
      <w:pPr>
        <w:spacing w:line="360" w:lineRule="auto"/>
        <w:ind w:firstLine="480" w:firstLineChars="200"/>
        <w:rPr>
          <w:rFonts w:ascii="宋体" w:hAnsi="宋体"/>
          <w:bCs/>
          <w:sz w:val="24"/>
          <w:highlight w:val="none"/>
        </w:rPr>
      </w:pPr>
      <w:r>
        <w:rPr>
          <w:rFonts w:hint="eastAsia" w:ascii="宋体" w:hAnsi="宋体"/>
          <w:bCs/>
          <w:sz w:val="24"/>
          <w:highlight w:val="none"/>
        </w:rPr>
        <w:t>3.3乙方不得以任何理由安排</w:t>
      </w:r>
      <w:r>
        <w:rPr>
          <w:rFonts w:hint="eastAsia" w:ascii="宋体" w:hAnsi="宋体"/>
          <w:bCs/>
          <w:sz w:val="24"/>
          <w:highlight w:val="none"/>
          <w:lang w:eastAsia="zh-CN"/>
        </w:rPr>
        <w:t>甲方</w:t>
      </w:r>
      <w:r>
        <w:rPr>
          <w:rFonts w:hint="eastAsia" w:ascii="宋体" w:hAnsi="宋体"/>
          <w:bCs/>
          <w:sz w:val="24"/>
          <w:highlight w:val="none"/>
        </w:rPr>
        <w:t>及其工作人员参加宴请（工作餐除外）及娱乐活动。</w:t>
      </w:r>
    </w:p>
    <w:p w14:paraId="3E467CA4">
      <w:pPr>
        <w:spacing w:line="360" w:lineRule="auto"/>
        <w:ind w:firstLine="480" w:firstLineChars="200"/>
        <w:rPr>
          <w:rFonts w:ascii="宋体" w:hAnsi="宋体"/>
          <w:bCs/>
          <w:sz w:val="24"/>
          <w:highlight w:val="none"/>
        </w:rPr>
      </w:pPr>
      <w:r>
        <w:rPr>
          <w:rFonts w:hint="eastAsia" w:ascii="宋体" w:hAnsi="宋体"/>
          <w:bCs/>
          <w:sz w:val="24"/>
          <w:highlight w:val="none"/>
        </w:rPr>
        <w:t>3.4乙方不得为</w:t>
      </w:r>
      <w:r>
        <w:rPr>
          <w:rFonts w:hint="eastAsia" w:ascii="宋体" w:hAnsi="宋体"/>
          <w:bCs/>
          <w:sz w:val="24"/>
          <w:highlight w:val="none"/>
          <w:lang w:eastAsia="zh-CN"/>
        </w:rPr>
        <w:t>甲方</w:t>
      </w:r>
      <w:r>
        <w:rPr>
          <w:rFonts w:hint="eastAsia" w:ascii="宋体" w:hAnsi="宋体"/>
          <w:bCs/>
          <w:sz w:val="24"/>
          <w:highlight w:val="none"/>
        </w:rPr>
        <w:t>购置或提供高档通讯工具和高档办公用品等。</w:t>
      </w:r>
    </w:p>
    <w:p w14:paraId="24E6CEDC">
      <w:pPr>
        <w:spacing w:line="360" w:lineRule="auto"/>
        <w:ind w:firstLine="480" w:firstLineChars="200"/>
        <w:rPr>
          <w:rFonts w:ascii="宋体" w:hAnsi="宋体"/>
          <w:bCs/>
          <w:sz w:val="24"/>
          <w:highlight w:val="none"/>
        </w:rPr>
      </w:pPr>
      <w:r>
        <w:rPr>
          <w:rFonts w:hint="eastAsia" w:ascii="宋体" w:hAnsi="宋体"/>
          <w:bCs/>
          <w:sz w:val="24"/>
          <w:highlight w:val="none"/>
        </w:rPr>
        <w:t>3.5乙方依双方约定对外分包的，应当要求分包商遵循本合同。</w:t>
      </w:r>
    </w:p>
    <w:p w14:paraId="7C4BFBA5">
      <w:pPr>
        <w:spacing w:line="360" w:lineRule="auto"/>
        <w:ind w:firstLine="482" w:firstLineChars="200"/>
        <w:rPr>
          <w:rFonts w:ascii="宋体" w:hAnsi="宋体"/>
          <w:b/>
          <w:bCs/>
          <w:sz w:val="24"/>
          <w:highlight w:val="none"/>
        </w:rPr>
      </w:pPr>
      <w:r>
        <w:rPr>
          <w:rFonts w:hint="eastAsia" w:ascii="宋体" w:hAnsi="宋体"/>
          <w:b/>
          <w:bCs/>
          <w:sz w:val="24"/>
          <w:highlight w:val="none"/>
        </w:rPr>
        <w:t>4违约责任</w:t>
      </w:r>
    </w:p>
    <w:p w14:paraId="0FD4EF5B">
      <w:pPr>
        <w:spacing w:line="360" w:lineRule="auto"/>
        <w:ind w:firstLine="480" w:firstLineChars="200"/>
        <w:rPr>
          <w:rFonts w:ascii="宋体" w:hAnsi="宋体"/>
          <w:bCs/>
          <w:sz w:val="24"/>
          <w:highlight w:val="none"/>
        </w:rPr>
      </w:pPr>
      <w:r>
        <w:rPr>
          <w:rFonts w:hint="eastAsia" w:ascii="宋体" w:hAnsi="宋体"/>
          <w:bCs/>
          <w:sz w:val="24"/>
          <w:highlight w:val="none"/>
        </w:rPr>
        <w:t>4.1</w:t>
      </w:r>
      <w:r>
        <w:rPr>
          <w:rFonts w:hint="eastAsia" w:ascii="宋体" w:hAnsi="宋体"/>
          <w:bCs/>
          <w:sz w:val="24"/>
          <w:highlight w:val="none"/>
          <w:lang w:eastAsia="zh-CN"/>
        </w:rPr>
        <w:t>甲方</w:t>
      </w:r>
      <w:r>
        <w:rPr>
          <w:rFonts w:hint="eastAsia" w:ascii="宋体" w:hAnsi="宋体"/>
          <w:bCs/>
          <w:sz w:val="24"/>
          <w:highlight w:val="none"/>
        </w:rPr>
        <w:t>及其工作人员违反本合同第1条和第2条规定，应依据有关规定给予廉政建设规定的处分；涉嫌犯罪的，移交司法机关追究刑事责任；给乙方造成经济损失的，应予赔偿。</w:t>
      </w:r>
    </w:p>
    <w:p w14:paraId="2811FD6E">
      <w:pPr>
        <w:spacing w:line="360" w:lineRule="auto"/>
        <w:ind w:firstLine="480" w:firstLineChars="200"/>
        <w:rPr>
          <w:rFonts w:ascii="宋体" w:hAnsi="宋体"/>
          <w:bCs/>
          <w:sz w:val="24"/>
          <w:highlight w:val="none"/>
        </w:rPr>
      </w:pPr>
      <w:r>
        <w:rPr>
          <w:rFonts w:hint="eastAsia" w:ascii="宋体" w:hAnsi="宋体"/>
          <w:bCs/>
          <w:sz w:val="24"/>
          <w:highlight w:val="none"/>
        </w:rPr>
        <w:t>4.2乙方及其工作人员违反本合同第1条和第3条规定，应依据有关规定给予廉政建设规定的处分；给</w:t>
      </w:r>
      <w:r>
        <w:rPr>
          <w:rFonts w:hint="eastAsia" w:ascii="宋体" w:hAnsi="宋体"/>
          <w:bCs/>
          <w:sz w:val="24"/>
          <w:highlight w:val="none"/>
          <w:lang w:eastAsia="zh-CN"/>
        </w:rPr>
        <w:t>甲方</w:t>
      </w:r>
      <w:r>
        <w:rPr>
          <w:rFonts w:hint="eastAsia" w:ascii="宋体" w:hAnsi="宋体"/>
          <w:bCs/>
          <w:sz w:val="24"/>
          <w:highlight w:val="none"/>
        </w:rPr>
        <w:t>造成经济损失的，应予赔偿；情节严重的，由建设主管部门给予乙方一至三年内不得进入工程建设市场的处罚。</w:t>
      </w:r>
    </w:p>
    <w:p w14:paraId="6BA169FF">
      <w:pPr>
        <w:spacing w:line="360" w:lineRule="auto"/>
        <w:ind w:firstLine="482" w:firstLineChars="200"/>
        <w:rPr>
          <w:rFonts w:ascii="宋体" w:hAnsi="宋体"/>
          <w:b/>
          <w:bCs/>
          <w:sz w:val="24"/>
          <w:highlight w:val="none"/>
        </w:rPr>
      </w:pPr>
      <w:r>
        <w:rPr>
          <w:rFonts w:hint="eastAsia" w:ascii="宋体" w:hAnsi="宋体"/>
          <w:b/>
          <w:bCs/>
          <w:sz w:val="24"/>
          <w:highlight w:val="none"/>
        </w:rPr>
        <w:t>5双方约定</w:t>
      </w:r>
    </w:p>
    <w:p w14:paraId="24B27774">
      <w:pPr>
        <w:spacing w:line="360" w:lineRule="auto"/>
        <w:ind w:firstLine="480" w:firstLineChars="200"/>
        <w:rPr>
          <w:rFonts w:ascii="宋体" w:hAnsi="宋体"/>
          <w:bCs/>
          <w:sz w:val="24"/>
          <w:highlight w:val="none"/>
        </w:rPr>
      </w:pPr>
      <w:r>
        <w:rPr>
          <w:rFonts w:hint="eastAsia" w:ascii="宋体" w:hAnsi="宋体"/>
          <w:bCs/>
          <w:sz w:val="24"/>
          <w:highlight w:val="none"/>
        </w:rPr>
        <w:t>本合同由双方或其上级部门负责监督执行，并由双方或其上级部门相互约请对本合同执行情况进行检查。</w:t>
      </w:r>
    </w:p>
    <w:p w14:paraId="6807EC84">
      <w:pPr>
        <w:spacing w:line="360" w:lineRule="auto"/>
        <w:ind w:firstLine="482" w:firstLineChars="200"/>
        <w:rPr>
          <w:rFonts w:ascii="宋体" w:hAnsi="宋体"/>
          <w:b/>
          <w:bCs/>
          <w:sz w:val="24"/>
          <w:highlight w:val="none"/>
        </w:rPr>
      </w:pPr>
      <w:r>
        <w:rPr>
          <w:rFonts w:hint="eastAsia" w:ascii="宋体" w:hAnsi="宋体"/>
          <w:b/>
          <w:bCs/>
          <w:sz w:val="24"/>
          <w:highlight w:val="none"/>
        </w:rPr>
        <w:t>6合同生效</w:t>
      </w:r>
    </w:p>
    <w:p w14:paraId="49E56A92">
      <w:pPr>
        <w:spacing w:line="360" w:lineRule="auto"/>
        <w:ind w:firstLine="480" w:firstLineChars="200"/>
        <w:rPr>
          <w:rFonts w:ascii="宋体" w:hAnsi="宋体"/>
          <w:bCs/>
          <w:sz w:val="24"/>
          <w:highlight w:val="none"/>
        </w:rPr>
      </w:pPr>
      <w:r>
        <w:rPr>
          <w:rFonts w:hint="eastAsia" w:ascii="宋体" w:hAnsi="宋体"/>
          <w:bCs/>
          <w:sz w:val="24"/>
          <w:highlight w:val="none"/>
        </w:rPr>
        <w:t>本合同自双方签署之日起生效。</w:t>
      </w:r>
    </w:p>
    <w:p w14:paraId="4FA6B7CE">
      <w:pPr>
        <w:spacing w:line="360" w:lineRule="auto"/>
        <w:ind w:firstLine="482" w:firstLineChars="200"/>
        <w:rPr>
          <w:rFonts w:ascii="宋体" w:hAnsi="宋体"/>
          <w:b/>
          <w:bCs/>
          <w:sz w:val="24"/>
          <w:highlight w:val="none"/>
        </w:rPr>
      </w:pPr>
      <w:r>
        <w:rPr>
          <w:rFonts w:hint="eastAsia" w:ascii="宋体" w:hAnsi="宋体"/>
          <w:b/>
          <w:bCs/>
          <w:sz w:val="24"/>
          <w:highlight w:val="none"/>
        </w:rPr>
        <w:t>7合同法律效力</w:t>
      </w:r>
    </w:p>
    <w:p w14:paraId="76240B71">
      <w:pPr>
        <w:spacing w:line="360" w:lineRule="auto"/>
        <w:ind w:firstLine="480" w:firstLineChars="200"/>
        <w:rPr>
          <w:rFonts w:ascii="宋体" w:hAnsi="宋体"/>
          <w:bCs/>
          <w:sz w:val="24"/>
          <w:highlight w:val="none"/>
        </w:rPr>
      </w:pPr>
      <w:r>
        <w:rPr>
          <w:rFonts w:hint="eastAsia" w:ascii="宋体" w:hAnsi="宋体"/>
          <w:bCs/>
          <w:sz w:val="24"/>
          <w:highlight w:val="none"/>
        </w:rPr>
        <w:t>本合同作为</w:t>
      </w:r>
      <w:r>
        <w:rPr>
          <w:rFonts w:hint="eastAsia" w:ascii="宋体" w:hAnsi="宋体"/>
          <w:bCs/>
          <w:sz w:val="24"/>
          <w:highlight w:val="none"/>
          <w:u w:val="single"/>
        </w:rPr>
        <w:t>广州市白云区云城街萧岗经济联合社省实留用地项目（AB2804070地块得润留用地）</w:t>
      </w:r>
      <w:r>
        <w:rPr>
          <w:rFonts w:hint="eastAsia" w:ascii="宋体" w:hAnsi="宋体"/>
          <w:bCs/>
          <w:sz w:val="24"/>
          <w:highlight w:val="none"/>
        </w:rPr>
        <w:t>设计合同的附件，与该合同具有同等的法律效力，经双方签署后生效。（以下无正文）</w:t>
      </w:r>
    </w:p>
    <w:p w14:paraId="229B2D37">
      <w:pPr>
        <w:spacing w:line="360" w:lineRule="auto"/>
        <w:ind w:firstLine="440" w:firstLineChars="200"/>
        <w:rPr>
          <w:rFonts w:ascii="宋体" w:hAnsi="宋体"/>
          <w:bCs/>
          <w:spacing w:val="-10"/>
          <w:sz w:val="24"/>
          <w:highlight w:val="none"/>
        </w:rPr>
      </w:pPr>
      <w:r>
        <w:rPr>
          <w:rFonts w:hint="eastAsia" w:ascii="宋体" w:hAnsi="宋体"/>
          <w:bCs/>
          <w:spacing w:val="-10"/>
          <w:sz w:val="24"/>
          <w:highlight w:val="none"/>
        </w:rPr>
        <w:t>（本页为签章页）</w:t>
      </w:r>
    </w:p>
    <w:p w14:paraId="2796644F">
      <w:pPr>
        <w:spacing w:line="360" w:lineRule="auto"/>
        <w:ind w:firstLine="440" w:firstLineChars="200"/>
        <w:rPr>
          <w:rFonts w:ascii="宋体" w:hAnsi="宋体"/>
          <w:bCs/>
          <w:spacing w:val="-10"/>
          <w:sz w:val="24"/>
          <w:highlight w:val="none"/>
        </w:rPr>
      </w:pPr>
    </w:p>
    <w:p w14:paraId="4C9AA9C4">
      <w:pPr>
        <w:spacing w:line="360" w:lineRule="auto"/>
        <w:rPr>
          <w:rFonts w:hint="eastAsia" w:ascii="宋体" w:hAnsi="宋体" w:eastAsia="宋体"/>
          <w:bCs/>
          <w:sz w:val="24"/>
          <w:highlight w:val="none"/>
          <w:lang w:eastAsia="zh-CN"/>
        </w:rPr>
      </w:pPr>
      <w:r>
        <w:rPr>
          <w:rFonts w:hint="eastAsia" w:ascii="宋体" w:hAnsi="宋体"/>
          <w:bCs/>
          <w:spacing w:val="-10"/>
          <w:sz w:val="24"/>
          <w:highlight w:val="none"/>
        </w:rPr>
        <w:t>甲方：（盖章）</w:t>
      </w:r>
    </w:p>
    <w:p w14:paraId="70D8851A">
      <w:pPr>
        <w:spacing w:line="360" w:lineRule="auto"/>
        <w:rPr>
          <w:rFonts w:hint="eastAsia" w:ascii="宋体" w:hAnsi="宋体" w:eastAsia="宋体"/>
          <w:bCs/>
          <w:sz w:val="24"/>
          <w:highlight w:val="none"/>
          <w:lang w:eastAsia="zh-CN"/>
        </w:rPr>
      </w:pPr>
      <w:r>
        <w:rPr>
          <w:rFonts w:hint="eastAsia" w:ascii="宋体" w:hAnsi="宋体"/>
          <w:bCs/>
          <w:sz w:val="24"/>
          <w:highlight w:val="none"/>
        </w:rPr>
        <w:t>法定代表人：</w:t>
      </w:r>
    </w:p>
    <w:p w14:paraId="3A079D11">
      <w:pPr>
        <w:spacing w:line="360" w:lineRule="auto"/>
        <w:rPr>
          <w:rFonts w:hint="eastAsia" w:ascii="宋体" w:hAnsi="宋体" w:eastAsia="宋体"/>
          <w:bCs/>
          <w:sz w:val="24"/>
          <w:highlight w:val="none"/>
          <w:lang w:eastAsia="zh-CN"/>
        </w:rPr>
      </w:pPr>
      <w:r>
        <w:rPr>
          <w:rFonts w:hint="eastAsia" w:ascii="宋体" w:hAnsi="宋体"/>
          <w:bCs/>
          <w:sz w:val="24"/>
          <w:highlight w:val="none"/>
        </w:rPr>
        <w:t>签约代表：</w:t>
      </w:r>
    </w:p>
    <w:p w14:paraId="26478109">
      <w:pPr>
        <w:spacing w:line="360" w:lineRule="auto"/>
        <w:rPr>
          <w:rFonts w:hint="eastAsia" w:ascii="宋体" w:hAnsi="宋体" w:eastAsia="宋体"/>
          <w:bCs/>
          <w:sz w:val="24"/>
          <w:highlight w:val="none"/>
          <w:lang w:eastAsia="zh-CN"/>
        </w:rPr>
      </w:pPr>
    </w:p>
    <w:p w14:paraId="78DFCB1A">
      <w:pPr>
        <w:pStyle w:val="7"/>
        <w:spacing w:line="360" w:lineRule="auto"/>
        <w:rPr>
          <w:highlight w:val="none"/>
        </w:rPr>
      </w:pPr>
    </w:p>
    <w:p w14:paraId="7E7F12BD">
      <w:pPr>
        <w:pStyle w:val="7"/>
        <w:spacing w:line="360" w:lineRule="auto"/>
        <w:rPr>
          <w:highlight w:val="none"/>
        </w:rPr>
      </w:pPr>
    </w:p>
    <w:p w14:paraId="5603105B">
      <w:pPr>
        <w:spacing w:line="360" w:lineRule="auto"/>
        <w:rPr>
          <w:rFonts w:ascii="宋体" w:hAnsi="宋体"/>
          <w:sz w:val="24"/>
          <w:highlight w:val="none"/>
        </w:rPr>
      </w:pPr>
    </w:p>
    <w:p w14:paraId="66AC5394">
      <w:pPr>
        <w:pStyle w:val="7"/>
        <w:rPr>
          <w:highlight w:val="none"/>
        </w:rPr>
      </w:pPr>
    </w:p>
    <w:p w14:paraId="3C87AD47">
      <w:pPr>
        <w:spacing w:line="360" w:lineRule="auto"/>
        <w:rPr>
          <w:rFonts w:ascii="宋体" w:hAnsi="宋体"/>
          <w:sz w:val="24"/>
          <w:highlight w:val="none"/>
        </w:rPr>
      </w:pPr>
      <w:r>
        <w:rPr>
          <w:rFonts w:hint="eastAsia" w:ascii="宋体" w:hAnsi="宋体"/>
          <w:sz w:val="24"/>
          <w:highlight w:val="none"/>
        </w:rPr>
        <w:t>乙方：（盖章）</w:t>
      </w:r>
    </w:p>
    <w:p w14:paraId="08917DD4">
      <w:pPr>
        <w:spacing w:line="360" w:lineRule="auto"/>
        <w:rPr>
          <w:rFonts w:ascii="宋体" w:hAnsi="宋体"/>
          <w:sz w:val="24"/>
          <w:highlight w:val="none"/>
        </w:rPr>
      </w:pPr>
      <w:r>
        <w:rPr>
          <w:rFonts w:hint="eastAsia" w:ascii="宋体" w:hAnsi="宋体"/>
          <w:sz w:val="24"/>
          <w:highlight w:val="none"/>
        </w:rPr>
        <w:t>法定代表人：</w:t>
      </w:r>
    </w:p>
    <w:p w14:paraId="45BBB61B">
      <w:pPr>
        <w:spacing w:line="360" w:lineRule="auto"/>
        <w:rPr>
          <w:rFonts w:ascii="宋体" w:hAnsi="宋体"/>
          <w:sz w:val="24"/>
          <w:highlight w:val="none"/>
        </w:rPr>
      </w:pPr>
      <w:r>
        <w:rPr>
          <w:rFonts w:hint="eastAsia" w:ascii="宋体" w:hAnsi="宋体"/>
          <w:sz w:val="24"/>
          <w:highlight w:val="none"/>
        </w:rPr>
        <w:t>签约代表：</w:t>
      </w:r>
    </w:p>
    <w:p w14:paraId="05561287">
      <w:pPr>
        <w:spacing w:line="360" w:lineRule="auto"/>
        <w:rPr>
          <w:rFonts w:ascii="宋体" w:hAnsi="宋体"/>
          <w:sz w:val="24"/>
          <w:highlight w:val="none"/>
        </w:rPr>
      </w:pPr>
    </w:p>
    <w:p w14:paraId="30ECB6EC">
      <w:pPr>
        <w:spacing w:line="360" w:lineRule="auto"/>
        <w:rPr>
          <w:rFonts w:ascii="宋体" w:hAnsi="宋体"/>
          <w:sz w:val="24"/>
          <w:highlight w:val="none"/>
        </w:rPr>
      </w:pPr>
    </w:p>
    <w:p w14:paraId="0B00BDB0">
      <w:pPr>
        <w:spacing w:line="360" w:lineRule="auto"/>
        <w:rPr>
          <w:rFonts w:hint="eastAsia" w:ascii="宋体" w:hAnsi="宋体" w:eastAsia="宋体"/>
          <w:bCs/>
          <w:spacing w:val="-10"/>
          <w:sz w:val="24"/>
          <w:highlight w:val="none"/>
          <w:lang w:eastAsia="zh-CN"/>
        </w:rPr>
      </w:pPr>
    </w:p>
    <w:p w14:paraId="5D987263">
      <w:pPr>
        <w:pStyle w:val="7"/>
        <w:rPr>
          <w:highlight w:val="none"/>
        </w:rPr>
      </w:pPr>
    </w:p>
    <w:p w14:paraId="1345215A">
      <w:pPr>
        <w:spacing w:line="360" w:lineRule="auto"/>
        <w:rPr>
          <w:rFonts w:ascii="宋体" w:hAnsi="宋体"/>
          <w:sz w:val="24"/>
          <w:highlight w:val="none"/>
        </w:rPr>
      </w:pPr>
    </w:p>
    <w:p w14:paraId="03B265AA">
      <w:pPr>
        <w:pStyle w:val="7"/>
        <w:rPr>
          <w:highlight w:val="none"/>
        </w:rPr>
      </w:pPr>
    </w:p>
    <w:p w14:paraId="3AB1EE04">
      <w:pPr>
        <w:spacing w:line="360" w:lineRule="auto"/>
        <w:rPr>
          <w:rFonts w:ascii="宋体" w:hAnsi="宋体"/>
          <w:bCs/>
          <w:spacing w:val="-10"/>
          <w:sz w:val="24"/>
          <w:highlight w:val="none"/>
        </w:rPr>
      </w:pPr>
    </w:p>
    <w:p w14:paraId="32936806">
      <w:pPr>
        <w:spacing w:line="360" w:lineRule="auto"/>
        <w:rPr>
          <w:rFonts w:ascii="宋体" w:hAnsi="宋体"/>
          <w:sz w:val="24"/>
          <w:highlight w:val="none"/>
        </w:rPr>
      </w:pPr>
      <w:r>
        <w:rPr>
          <w:rFonts w:ascii="宋体" w:hAnsi="宋体"/>
          <w:b/>
          <w:sz w:val="24"/>
          <w:highlight w:val="none"/>
        </w:rPr>
        <w:br w:type="page"/>
      </w:r>
    </w:p>
    <w:p w14:paraId="3DE890CE">
      <w:pPr>
        <w:spacing w:line="360" w:lineRule="auto"/>
        <w:rPr>
          <w:rFonts w:ascii="宋体" w:hAnsi="宋体"/>
          <w:sz w:val="24"/>
          <w:highlight w:val="none"/>
        </w:rPr>
        <w:sectPr>
          <w:headerReference r:id="rId3" w:type="default"/>
          <w:footerReference r:id="rId4" w:type="default"/>
          <w:footerReference r:id="rId5" w:type="even"/>
          <w:pgSz w:w="11906" w:h="16838"/>
          <w:pgMar w:top="1440" w:right="1797" w:bottom="1440" w:left="1800" w:header="851" w:footer="992" w:gutter="0"/>
          <w:pgNumType w:start="0"/>
          <w:cols w:space="720" w:num="1"/>
          <w:titlePg/>
          <w:docGrid w:linePitch="312" w:charSpace="0"/>
        </w:sectPr>
      </w:pPr>
    </w:p>
    <w:p w14:paraId="013B63F6">
      <w:pPr>
        <w:rPr>
          <w:rFonts w:ascii="宋体" w:hAnsi="宋体" w:cs="宋体"/>
          <w:b/>
          <w:sz w:val="24"/>
          <w:highlight w:val="none"/>
        </w:rPr>
      </w:pPr>
      <w:r>
        <w:rPr>
          <w:rFonts w:hint="eastAsia" w:ascii="宋体" w:hAnsi="宋体" w:cs="宋体"/>
          <w:b/>
          <w:sz w:val="24"/>
          <w:highlight w:val="none"/>
        </w:rPr>
        <w:t>附件二：工程设计附件</w:t>
      </w:r>
    </w:p>
    <w:p w14:paraId="0F7DF75B">
      <w:pPr>
        <w:rPr>
          <w:rFonts w:ascii="宋体" w:hAnsi="宋体" w:eastAsia="楷体_GB2312"/>
          <w:b/>
          <w:sz w:val="24"/>
          <w:highlight w:val="none"/>
        </w:rPr>
      </w:pPr>
    </w:p>
    <w:p w14:paraId="7AE1BA11">
      <w:pPr>
        <w:rPr>
          <w:highlight w:val="none"/>
        </w:rPr>
      </w:pPr>
      <w:r>
        <w:rPr>
          <w:rFonts w:hint="eastAsia"/>
          <w:highlight w:val="none"/>
        </w:rPr>
        <w:t>附件2.1：</w:t>
      </w:r>
    </w:p>
    <w:p w14:paraId="34B722F0">
      <w:pPr>
        <w:pStyle w:val="2"/>
        <w:adjustRightInd w:val="0"/>
        <w:snapToGrid w:val="0"/>
        <w:spacing w:line="360" w:lineRule="auto"/>
        <w:jc w:val="center"/>
        <w:rPr>
          <w:rFonts w:hAnsi="宋体"/>
          <w:b/>
          <w:sz w:val="24"/>
          <w:szCs w:val="24"/>
          <w:highlight w:val="none"/>
        </w:rPr>
      </w:pPr>
      <w:r>
        <w:rPr>
          <w:rFonts w:hint="eastAsia" w:hAnsi="宋体"/>
          <w:b/>
          <w:sz w:val="24"/>
          <w:szCs w:val="24"/>
          <w:highlight w:val="none"/>
        </w:rPr>
        <w:t>设计管理办法</w:t>
      </w:r>
    </w:p>
    <w:p w14:paraId="62FE286D">
      <w:pPr>
        <w:pStyle w:val="2"/>
        <w:adjustRightInd w:val="0"/>
        <w:snapToGrid w:val="0"/>
        <w:spacing w:line="360" w:lineRule="auto"/>
        <w:jc w:val="center"/>
        <w:rPr>
          <w:rFonts w:hAnsi="宋体"/>
          <w:b/>
          <w:sz w:val="24"/>
          <w:szCs w:val="24"/>
          <w:highlight w:val="none"/>
        </w:rPr>
      </w:pPr>
      <w:r>
        <w:rPr>
          <w:rFonts w:hint="eastAsia" w:hAnsi="宋体"/>
          <w:b/>
          <w:sz w:val="24"/>
          <w:szCs w:val="24"/>
          <w:highlight w:val="none"/>
        </w:rPr>
        <w:t>（另册）</w:t>
      </w:r>
    </w:p>
    <w:p w14:paraId="63DAB994">
      <w:pPr>
        <w:adjustRightInd w:val="0"/>
        <w:snapToGrid w:val="0"/>
        <w:spacing w:line="360" w:lineRule="auto"/>
        <w:outlineLvl w:val="0"/>
        <w:rPr>
          <w:rFonts w:ascii="宋体" w:hAnsi="宋体"/>
          <w:sz w:val="24"/>
          <w:highlight w:val="none"/>
        </w:rPr>
        <w:sectPr>
          <w:pgSz w:w="11906" w:h="16838"/>
          <w:pgMar w:top="1440" w:right="1797" w:bottom="1440" w:left="1797" w:header="851" w:footer="992" w:gutter="0"/>
          <w:cols w:space="720" w:num="1"/>
          <w:docGrid w:linePitch="312" w:charSpace="0"/>
        </w:sectPr>
      </w:pPr>
    </w:p>
    <w:p w14:paraId="13614E51">
      <w:pPr>
        <w:rPr>
          <w:highlight w:val="none"/>
        </w:rPr>
      </w:pPr>
      <w:r>
        <w:rPr>
          <w:rFonts w:hint="eastAsia"/>
          <w:highlight w:val="none"/>
        </w:rPr>
        <w:t>附件2.2</w:t>
      </w:r>
    </w:p>
    <w:tbl>
      <w:tblPr>
        <w:tblStyle w:val="26"/>
        <w:tblW w:w="9253" w:type="dxa"/>
        <w:jc w:val="center"/>
        <w:tblLayout w:type="fixed"/>
        <w:tblCellMar>
          <w:top w:w="0" w:type="dxa"/>
          <w:left w:w="108" w:type="dxa"/>
          <w:bottom w:w="0" w:type="dxa"/>
          <w:right w:w="108" w:type="dxa"/>
        </w:tblCellMar>
      </w:tblPr>
      <w:tblGrid>
        <w:gridCol w:w="2320"/>
        <w:gridCol w:w="1134"/>
        <w:gridCol w:w="4111"/>
        <w:gridCol w:w="1688"/>
      </w:tblGrid>
      <w:tr w14:paraId="4DE68430">
        <w:tblPrEx>
          <w:tblCellMar>
            <w:top w:w="0" w:type="dxa"/>
            <w:left w:w="108" w:type="dxa"/>
            <w:bottom w:w="0" w:type="dxa"/>
            <w:right w:w="108" w:type="dxa"/>
          </w:tblCellMar>
        </w:tblPrEx>
        <w:trPr>
          <w:trHeight w:val="567" w:hRule="atLeast"/>
          <w:jc w:val="center"/>
        </w:trPr>
        <w:tc>
          <w:tcPr>
            <w:tcW w:w="9253" w:type="dxa"/>
            <w:gridSpan w:val="4"/>
            <w:tcBorders>
              <w:top w:val="nil"/>
              <w:left w:val="nil"/>
              <w:bottom w:val="single" w:color="auto" w:sz="4" w:space="0"/>
              <w:right w:val="nil"/>
            </w:tcBorders>
            <w:vAlign w:val="center"/>
          </w:tcPr>
          <w:p w14:paraId="0A37CE5B">
            <w:pPr>
              <w:widowControl/>
              <w:jc w:val="center"/>
              <w:rPr>
                <w:rFonts w:ascii="宋体" w:hAnsi="宋体" w:cs="宋体"/>
                <w:kern w:val="0"/>
                <w:sz w:val="24"/>
                <w:highlight w:val="none"/>
              </w:rPr>
            </w:pPr>
            <w:r>
              <w:rPr>
                <w:rFonts w:hint="eastAsia" w:ascii="宋体" w:cs="宋体"/>
                <w:kern w:val="0"/>
                <w:sz w:val="24"/>
                <w:highlight w:val="none"/>
              </w:rPr>
              <w:t>乙方</w:t>
            </w:r>
            <w:r>
              <w:rPr>
                <w:rFonts w:hint="eastAsia" w:ascii="宋体" w:hAnsi="宋体" w:cs="宋体"/>
                <w:kern w:val="0"/>
                <w:sz w:val="24"/>
                <w:highlight w:val="none"/>
              </w:rPr>
              <w:t>设计人员架构表</w:t>
            </w:r>
          </w:p>
        </w:tc>
      </w:tr>
      <w:tr w14:paraId="25058B19">
        <w:tblPrEx>
          <w:tblCellMar>
            <w:top w:w="0" w:type="dxa"/>
            <w:left w:w="108" w:type="dxa"/>
            <w:bottom w:w="0" w:type="dxa"/>
            <w:right w:w="108" w:type="dxa"/>
          </w:tblCellMar>
        </w:tblPrEx>
        <w:trPr>
          <w:trHeight w:val="567" w:hRule="atLeast"/>
          <w:jc w:val="center"/>
        </w:trPr>
        <w:tc>
          <w:tcPr>
            <w:tcW w:w="2320" w:type="dxa"/>
            <w:tcBorders>
              <w:top w:val="single" w:color="auto" w:sz="4" w:space="0"/>
              <w:left w:val="single" w:color="auto" w:sz="4" w:space="0"/>
              <w:bottom w:val="single" w:color="auto" w:sz="4" w:space="0"/>
              <w:right w:val="single" w:color="auto" w:sz="4" w:space="0"/>
            </w:tcBorders>
            <w:vAlign w:val="center"/>
          </w:tcPr>
          <w:p w14:paraId="2B1885A5">
            <w:pPr>
              <w:widowControl/>
              <w:jc w:val="center"/>
              <w:rPr>
                <w:rFonts w:ascii="宋体" w:hAnsi="宋体" w:cs="宋体"/>
                <w:b/>
                <w:kern w:val="0"/>
                <w:sz w:val="24"/>
                <w:highlight w:val="none"/>
              </w:rPr>
            </w:pPr>
            <w:r>
              <w:rPr>
                <w:rFonts w:hint="eastAsia" w:ascii="宋体" w:hAnsi="宋体" w:cs="宋体"/>
                <w:b/>
                <w:kern w:val="0"/>
                <w:sz w:val="24"/>
                <w:highlight w:val="none"/>
              </w:rPr>
              <w:t>项目职责</w:t>
            </w:r>
          </w:p>
        </w:tc>
        <w:tc>
          <w:tcPr>
            <w:tcW w:w="1134" w:type="dxa"/>
            <w:tcBorders>
              <w:top w:val="single" w:color="auto" w:sz="4" w:space="0"/>
              <w:left w:val="single" w:color="auto" w:sz="4" w:space="0"/>
              <w:bottom w:val="single" w:color="auto" w:sz="4" w:space="0"/>
              <w:right w:val="single" w:color="auto" w:sz="4" w:space="0"/>
            </w:tcBorders>
            <w:vAlign w:val="center"/>
          </w:tcPr>
          <w:p w14:paraId="0122BACE">
            <w:pPr>
              <w:widowControl/>
              <w:jc w:val="center"/>
              <w:rPr>
                <w:rFonts w:ascii="宋体" w:hAnsi="宋体" w:cs="宋体"/>
                <w:b/>
                <w:kern w:val="0"/>
                <w:sz w:val="24"/>
                <w:highlight w:val="none"/>
              </w:rPr>
            </w:pPr>
            <w:r>
              <w:rPr>
                <w:rFonts w:hint="eastAsia" w:ascii="宋体" w:hAnsi="宋体" w:cs="宋体"/>
                <w:b/>
                <w:kern w:val="0"/>
                <w:sz w:val="24"/>
                <w:highlight w:val="none"/>
              </w:rPr>
              <w:t>姓名</w:t>
            </w:r>
          </w:p>
        </w:tc>
        <w:tc>
          <w:tcPr>
            <w:tcW w:w="4111" w:type="dxa"/>
            <w:tcBorders>
              <w:top w:val="single" w:color="auto" w:sz="4" w:space="0"/>
              <w:left w:val="single" w:color="auto" w:sz="4" w:space="0"/>
              <w:bottom w:val="single" w:color="auto" w:sz="4" w:space="0"/>
              <w:right w:val="single" w:color="auto" w:sz="4" w:space="0"/>
            </w:tcBorders>
            <w:vAlign w:val="center"/>
          </w:tcPr>
          <w:p w14:paraId="6FB34ADF">
            <w:pPr>
              <w:widowControl/>
              <w:jc w:val="center"/>
              <w:rPr>
                <w:rFonts w:ascii="宋体" w:hAnsi="宋体" w:cs="宋体"/>
                <w:b/>
                <w:kern w:val="0"/>
                <w:sz w:val="24"/>
                <w:highlight w:val="none"/>
              </w:rPr>
            </w:pPr>
            <w:r>
              <w:rPr>
                <w:rFonts w:hint="eastAsia" w:ascii="宋体" w:hAnsi="宋体" w:cs="宋体"/>
                <w:b/>
                <w:kern w:val="0"/>
                <w:sz w:val="24"/>
                <w:highlight w:val="none"/>
              </w:rPr>
              <w:t>职务、职称及执业资格</w:t>
            </w:r>
          </w:p>
        </w:tc>
        <w:tc>
          <w:tcPr>
            <w:tcW w:w="1688" w:type="dxa"/>
            <w:tcBorders>
              <w:top w:val="single" w:color="auto" w:sz="4" w:space="0"/>
              <w:left w:val="single" w:color="auto" w:sz="4" w:space="0"/>
              <w:bottom w:val="single" w:color="auto" w:sz="4" w:space="0"/>
              <w:right w:val="single" w:color="auto" w:sz="4" w:space="0"/>
            </w:tcBorders>
            <w:vAlign w:val="center"/>
          </w:tcPr>
          <w:p w14:paraId="440F08F5">
            <w:pPr>
              <w:widowControl/>
              <w:jc w:val="center"/>
              <w:rPr>
                <w:rFonts w:ascii="宋体" w:hAnsi="宋体" w:cs="宋体"/>
                <w:b/>
                <w:kern w:val="0"/>
                <w:sz w:val="24"/>
                <w:highlight w:val="none"/>
              </w:rPr>
            </w:pPr>
            <w:r>
              <w:rPr>
                <w:rFonts w:hint="eastAsia" w:ascii="宋体" w:hAnsi="宋体" w:cs="宋体"/>
                <w:b/>
                <w:kern w:val="0"/>
                <w:sz w:val="24"/>
                <w:highlight w:val="none"/>
              </w:rPr>
              <w:t>注册证号</w:t>
            </w:r>
          </w:p>
        </w:tc>
      </w:tr>
      <w:tr w14:paraId="00519FC9">
        <w:tblPrEx>
          <w:tblCellMar>
            <w:top w:w="0" w:type="dxa"/>
            <w:left w:w="108" w:type="dxa"/>
            <w:bottom w:w="0" w:type="dxa"/>
            <w:right w:w="108" w:type="dxa"/>
          </w:tblCellMar>
        </w:tblPrEx>
        <w:trPr>
          <w:trHeight w:val="567" w:hRule="atLeast"/>
          <w:jc w:val="center"/>
        </w:trPr>
        <w:tc>
          <w:tcPr>
            <w:tcW w:w="2320" w:type="dxa"/>
            <w:tcBorders>
              <w:top w:val="single" w:color="auto" w:sz="4" w:space="0"/>
              <w:left w:val="single" w:color="auto" w:sz="4" w:space="0"/>
              <w:bottom w:val="single" w:color="auto" w:sz="4" w:space="0"/>
              <w:right w:val="single" w:color="auto" w:sz="4" w:space="0"/>
            </w:tcBorders>
            <w:vAlign w:val="center"/>
          </w:tcPr>
          <w:p w14:paraId="5EE48522">
            <w:pPr>
              <w:widowControl/>
              <w:jc w:val="center"/>
              <w:rPr>
                <w:rFonts w:ascii="宋体" w:hAnsi="宋体" w:cs="宋体"/>
                <w:kern w:val="0"/>
                <w:sz w:val="24"/>
                <w:highlight w:val="none"/>
              </w:rPr>
            </w:pPr>
            <w:r>
              <w:rPr>
                <w:rFonts w:hint="eastAsia" w:ascii="宋体" w:hAnsi="宋体" w:cs="宋体"/>
                <w:kern w:val="0"/>
                <w:sz w:val="24"/>
                <w:highlight w:val="none"/>
              </w:rPr>
              <w:t>项目负责人</w:t>
            </w:r>
          </w:p>
        </w:tc>
        <w:tc>
          <w:tcPr>
            <w:tcW w:w="1134" w:type="dxa"/>
            <w:tcBorders>
              <w:top w:val="single" w:color="auto" w:sz="4" w:space="0"/>
              <w:left w:val="single" w:color="auto" w:sz="4" w:space="0"/>
              <w:bottom w:val="single" w:color="auto" w:sz="4" w:space="0"/>
              <w:right w:val="single" w:color="auto" w:sz="4" w:space="0"/>
            </w:tcBorders>
            <w:vAlign w:val="center"/>
          </w:tcPr>
          <w:p w14:paraId="32058619">
            <w:pPr>
              <w:widowControl/>
              <w:jc w:val="center"/>
              <w:rPr>
                <w:rFonts w:ascii="宋体" w:hAnsi="宋体" w:cs="宋体"/>
                <w:kern w:val="0"/>
                <w:sz w:val="24"/>
                <w:highlight w:val="none"/>
              </w:rPr>
            </w:pPr>
          </w:p>
        </w:tc>
        <w:tc>
          <w:tcPr>
            <w:tcW w:w="4111" w:type="dxa"/>
            <w:tcBorders>
              <w:top w:val="single" w:color="auto" w:sz="4" w:space="0"/>
              <w:left w:val="single" w:color="auto" w:sz="4" w:space="0"/>
              <w:bottom w:val="single" w:color="auto" w:sz="4" w:space="0"/>
              <w:right w:val="single" w:color="auto" w:sz="4" w:space="0"/>
            </w:tcBorders>
            <w:vAlign w:val="center"/>
          </w:tcPr>
          <w:p w14:paraId="1222D30D">
            <w:pPr>
              <w:jc w:val="center"/>
              <w:rPr>
                <w:sz w:val="24"/>
                <w:highlight w:val="none"/>
              </w:rPr>
            </w:pPr>
          </w:p>
        </w:tc>
        <w:tc>
          <w:tcPr>
            <w:tcW w:w="1688" w:type="dxa"/>
            <w:tcBorders>
              <w:top w:val="single" w:color="auto" w:sz="4" w:space="0"/>
              <w:left w:val="single" w:color="auto" w:sz="4" w:space="0"/>
              <w:bottom w:val="single" w:color="auto" w:sz="4" w:space="0"/>
              <w:right w:val="single" w:color="auto" w:sz="4" w:space="0"/>
            </w:tcBorders>
            <w:vAlign w:val="center"/>
          </w:tcPr>
          <w:p w14:paraId="346C7195">
            <w:pPr>
              <w:widowControl/>
              <w:jc w:val="center"/>
              <w:rPr>
                <w:rFonts w:ascii="宋体" w:hAnsi="宋体" w:cs="宋体"/>
                <w:kern w:val="0"/>
                <w:sz w:val="24"/>
                <w:highlight w:val="none"/>
              </w:rPr>
            </w:pPr>
          </w:p>
        </w:tc>
      </w:tr>
      <w:tr w14:paraId="72F8D771">
        <w:tblPrEx>
          <w:tblCellMar>
            <w:top w:w="0" w:type="dxa"/>
            <w:left w:w="108" w:type="dxa"/>
            <w:bottom w:w="0" w:type="dxa"/>
            <w:right w:w="108" w:type="dxa"/>
          </w:tblCellMar>
        </w:tblPrEx>
        <w:trPr>
          <w:trHeight w:val="567" w:hRule="atLeast"/>
          <w:jc w:val="center"/>
        </w:trPr>
        <w:tc>
          <w:tcPr>
            <w:tcW w:w="2320" w:type="dxa"/>
            <w:tcBorders>
              <w:top w:val="single" w:color="auto" w:sz="4" w:space="0"/>
              <w:left w:val="single" w:color="auto" w:sz="4" w:space="0"/>
              <w:bottom w:val="single" w:color="auto" w:sz="4" w:space="0"/>
              <w:right w:val="single" w:color="auto" w:sz="4" w:space="0"/>
            </w:tcBorders>
            <w:vAlign w:val="center"/>
          </w:tcPr>
          <w:p w14:paraId="406F1E97">
            <w:pPr>
              <w:widowControl/>
              <w:jc w:val="center"/>
              <w:rPr>
                <w:rFonts w:ascii="宋体" w:hAnsi="宋体" w:cs="宋体"/>
                <w:kern w:val="0"/>
                <w:sz w:val="24"/>
                <w:highlight w:val="none"/>
              </w:rPr>
            </w:pPr>
            <w:r>
              <w:rPr>
                <w:rFonts w:hint="eastAsia" w:ascii="宋体" w:hAnsi="宋体" w:cs="宋体"/>
                <w:kern w:val="0"/>
                <w:sz w:val="24"/>
                <w:highlight w:val="none"/>
              </w:rPr>
              <w:t>建筑专业负责人</w:t>
            </w:r>
          </w:p>
        </w:tc>
        <w:tc>
          <w:tcPr>
            <w:tcW w:w="1134" w:type="dxa"/>
            <w:tcBorders>
              <w:top w:val="single" w:color="auto" w:sz="4" w:space="0"/>
              <w:left w:val="nil"/>
              <w:bottom w:val="single" w:color="auto" w:sz="4" w:space="0"/>
              <w:right w:val="single" w:color="auto" w:sz="4" w:space="0"/>
            </w:tcBorders>
            <w:vAlign w:val="center"/>
          </w:tcPr>
          <w:p w14:paraId="46923FD6">
            <w:pPr>
              <w:widowControl/>
              <w:jc w:val="center"/>
              <w:rPr>
                <w:rFonts w:ascii="宋体" w:hAnsi="宋体" w:cs="宋体"/>
                <w:kern w:val="0"/>
                <w:sz w:val="24"/>
                <w:highlight w:val="none"/>
              </w:rPr>
            </w:pPr>
          </w:p>
        </w:tc>
        <w:tc>
          <w:tcPr>
            <w:tcW w:w="4111" w:type="dxa"/>
            <w:tcBorders>
              <w:top w:val="single" w:color="auto" w:sz="4" w:space="0"/>
              <w:left w:val="nil"/>
              <w:bottom w:val="single" w:color="auto" w:sz="4" w:space="0"/>
              <w:right w:val="single" w:color="auto" w:sz="4" w:space="0"/>
            </w:tcBorders>
            <w:vAlign w:val="center"/>
          </w:tcPr>
          <w:p w14:paraId="49A6000E">
            <w:pPr>
              <w:jc w:val="center"/>
              <w:rPr>
                <w:sz w:val="24"/>
                <w:highlight w:val="none"/>
              </w:rPr>
            </w:pPr>
          </w:p>
        </w:tc>
        <w:tc>
          <w:tcPr>
            <w:tcW w:w="1688" w:type="dxa"/>
            <w:tcBorders>
              <w:top w:val="single" w:color="auto" w:sz="4" w:space="0"/>
              <w:left w:val="nil"/>
              <w:bottom w:val="single" w:color="auto" w:sz="4" w:space="0"/>
              <w:right w:val="single" w:color="auto" w:sz="4" w:space="0"/>
            </w:tcBorders>
            <w:vAlign w:val="center"/>
          </w:tcPr>
          <w:p w14:paraId="231C1B82">
            <w:pPr>
              <w:widowControl/>
              <w:jc w:val="center"/>
              <w:rPr>
                <w:rFonts w:ascii="宋体" w:hAnsi="宋体" w:cs="宋体"/>
                <w:kern w:val="0"/>
                <w:sz w:val="24"/>
                <w:highlight w:val="none"/>
              </w:rPr>
            </w:pPr>
          </w:p>
        </w:tc>
      </w:tr>
      <w:tr w14:paraId="6055CE59">
        <w:tblPrEx>
          <w:tblCellMar>
            <w:top w:w="0" w:type="dxa"/>
            <w:left w:w="108" w:type="dxa"/>
            <w:bottom w:w="0" w:type="dxa"/>
            <w:right w:w="108" w:type="dxa"/>
          </w:tblCellMar>
        </w:tblPrEx>
        <w:trPr>
          <w:trHeight w:val="567" w:hRule="atLeast"/>
          <w:jc w:val="center"/>
        </w:trPr>
        <w:tc>
          <w:tcPr>
            <w:tcW w:w="2320" w:type="dxa"/>
            <w:tcBorders>
              <w:top w:val="single" w:color="auto" w:sz="4" w:space="0"/>
              <w:left w:val="single" w:color="auto" w:sz="4" w:space="0"/>
              <w:bottom w:val="single" w:color="auto" w:sz="4" w:space="0"/>
              <w:right w:val="single" w:color="auto" w:sz="4" w:space="0"/>
            </w:tcBorders>
            <w:vAlign w:val="center"/>
          </w:tcPr>
          <w:p w14:paraId="787AEEDE">
            <w:pPr>
              <w:widowControl/>
              <w:jc w:val="center"/>
              <w:rPr>
                <w:rFonts w:ascii="宋体" w:hAnsi="宋体"/>
                <w:sz w:val="24"/>
                <w:highlight w:val="none"/>
              </w:rPr>
            </w:pPr>
            <w:r>
              <w:rPr>
                <w:rFonts w:hint="eastAsia" w:ascii="宋体" w:hAnsi="宋体"/>
                <w:sz w:val="24"/>
                <w:highlight w:val="none"/>
              </w:rPr>
              <w:t>结构专业负责人、审定人</w:t>
            </w:r>
          </w:p>
        </w:tc>
        <w:tc>
          <w:tcPr>
            <w:tcW w:w="1134" w:type="dxa"/>
            <w:tcBorders>
              <w:top w:val="single" w:color="auto" w:sz="4" w:space="0"/>
              <w:left w:val="nil"/>
              <w:bottom w:val="single" w:color="auto" w:sz="4" w:space="0"/>
              <w:right w:val="single" w:color="auto" w:sz="4" w:space="0"/>
            </w:tcBorders>
            <w:vAlign w:val="center"/>
          </w:tcPr>
          <w:p w14:paraId="1EDD44C8">
            <w:pPr>
              <w:widowControl/>
              <w:jc w:val="center"/>
              <w:rPr>
                <w:rFonts w:ascii="宋体" w:hAnsi="宋体" w:cs="宋体"/>
                <w:kern w:val="0"/>
                <w:sz w:val="24"/>
                <w:highlight w:val="none"/>
              </w:rPr>
            </w:pPr>
          </w:p>
        </w:tc>
        <w:tc>
          <w:tcPr>
            <w:tcW w:w="4111" w:type="dxa"/>
            <w:tcBorders>
              <w:top w:val="single" w:color="auto" w:sz="4" w:space="0"/>
              <w:left w:val="nil"/>
              <w:bottom w:val="single" w:color="auto" w:sz="4" w:space="0"/>
              <w:right w:val="single" w:color="auto" w:sz="4" w:space="0"/>
            </w:tcBorders>
            <w:vAlign w:val="center"/>
          </w:tcPr>
          <w:p w14:paraId="7EB109A5">
            <w:pPr>
              <w:jc w:val="center"/>
              <w:rPr>
                <w:sz w:val="24"/>
                <w:highlight w:val="none"/>
              </w:rPr>
            </w:pPr>
          </w:p>
        </w:tc>
        <w:tc>
          <w:tcPr>
            <w:tcW w:w="1688" w:type="dxa"/>
            <w:tcBorders>
              <w:top w:val="single" w:color="auto" w:sz="4" w:space="0"/>
              <w:left w:val="nil"/>
              <w:bottom w:val="single" w:color="auto" w:sz="4" w:space="0"/>
              <w:right w:val="single" w:color="auto" w:sz="4" w:space="0"/>
            </w:tcBorders>
            <w:vAlign w:val="center"/>
          </w:tcPr>
          <w:p w14:paraId="62D94C07">
            <w:pPr>
              <w:widowControl/>
              <w:jc w:val="center"/>
              <w:rPr>
                <w:rFonts w:ascii="宋体" w:hAnsi="宋体" w:cs="宋体"/>
                <w:kern w:val="0"/>
                <w:sz w:val="24"/>
                <w:highlight w:val="none"/>
              </w:rPr>
            </w:pPr>
          </w:p>
        </w:tc>
      </w:tr>
      <w:tr w14:paraId="3C226ECE">
        <w:tblPrEx>
          <w:tblCellMar>
            <w:top w:w="0" w:type="dxa"/>
            <w:left w:w="108" w:type="dxa"/>
            <w:bottom w:w="0" w:type="dxa"/>
            <w:right w:w="108" w:type="dxa"/>
          </w:tblCellMar>
        </w:tblPrEx>
        <w:trPr>
          <w:trHeight w:val="567" w:hRule="atLeast"/>
          <w:jc w:val="center"/>
        </w:trPr>
        <w:tc>
          <w:tcPr>
            <w:tcW w:w="2320" w:type="dxa"/>
            <w:tcBorders>
              <w:top w:val="single" w:color="auto" w:sz="4" w:space="0"/>
              <w:left w:val="single" w:color="auto" w:sz="4" w:space="0"/>
              <w:bottom w:val="single" w:color="auto" w:sz="4" w:space="0"/>
              <w:right w:val="single" w:color="auto" w:sz="4" w:space="0"/>
            </w:tcBorders>
            <w:vAlign w:val="center"/>
          </w:tcPr>
          <w:p w14:paraId="13F66F8E">
            <w:pPr>
              <w:widowControl/>
              <w:jc w:val="center"/>
              <w:rPr>
                <w:rFonts w:ascii="宋体" w:hAnsi="宋体"/>
                <w:sz w:val="24"/>
                <w:highlight w:val="none"/>
              </w:rPr>
            </w:pPr>
            <w:r>
              <w:rPr>
                <w:rFonts w:hint="eastAsia" w:ascii="宋体" w:hAnsi="宋体"/>
                <w:sz w:val="24"/>
                <w:highlight w:val="none"/>
              </w:rPr>
              <w:t>专业负责人</w:t>
            </w:r>
          </w:p>
        </w:tc>
        <w:tc>
          <w:tcPr>
            <w:tcW w:w="1134" w:type="dxa"/>
            <w:tcBorders>
              <w:top w:val="single" w:color="auto" w:sz="4" w:space="0"/>
              <w:left w:val="nil"/>
              <w:bottom w:val="single" w:color="auto" w:sz="4" w:space="0"/>
              <w:right w:val="single" w:color="auto" w:sz="4" w:space="0"/>
            </w:tcBorders>
            <w:vAlign w:val="center"/>
          </w:tcPr>
          <w:p w14:paraId="332339D3">
            <w:pPr>
              <w:widowControl/>
              <w:jc w:val="center"/>
              <w:rPr>
                <w:rFonts w:ascii="宋体" w:hAnsi="宋体" w:cs="宋体"/>
                <w:kern w:val="0"/>
                <w:sz w:val="24"/>
                <w:highlight w:val="none"/>
              </w:rPr>
            </w:pPr>
          </w:p>
        </w:tc>
        <w:tc>
          <w:tcPr>
            <w:tcW w:w="4111" w:type="dxa"/>
            <w:tcBorders>
              <w:top w:val="single" w:color="auto" w:sz="4" w:space="0"/>
              <w:left w:val="nil"/>
              <w:bottom w:val="single" w:color="auto" w:sz="4" w:space="0"/>
              <w:right w:val="single" w:color="auto" w:sz="4" w:space="0"/>
            </w:tcBorders>
            <w:vAlign w:val="center"/>
          </w:tcPr>
          <w:p w14:paraId="7EB6207A">
            <w:pPr>
              <w:jc w:val="center"/>
              <w:rPr>
                <w:sz w:val="24"/>
                <w:highlight w:val="none"/>
              </w:rPr>
            </w:pPr>
          </w:p>
        </w:tc>
        <w:tc>
          <w:tcPr>
            <w:tcW w:w="1688" w:type="dxa"/>
            <w:tcBorders>
              <w:top w:val="single" w:color="auto" w:sz="4" w:space="0"/>
              <w:left w:val="nil"/>
              <w:bottom w:val="single" w:color="auto" w:sz="4" w:space="0"/>
              <w:right w:val="single" w:color="auto" w:sz="4" w:space="0"/>
            </w:tcBorders>
            <w:vAlign w:val="center"/>
          </w:tcPr>
          <w:p w14:paraId="4FBFA77D">
            <w:pPr>
              <w:widowControl/>
              <w:jc w:val="center"/>
              <w:rPr>
                <w:rFonts w:ascii="宋体" w:hAnsi="宋体" w:cs="宋体"/>
                <w:kern w:val="0"/>
                <w:sz w:val="24"/>
                <w:highlight w:val="none"/>
              </w:rPr>
            </w:pPr>
          </w:p>
        </w:tc>
      </w:tr>
      <w:tr w14:paraId="57AC1A86">
        <w:tblPrEx>
          <w:tblCellMar>
            <w:top w:w="0" w:type="dxa"/>
            <w:left w:w="108" w:type="dxa"/>
            <w:bottom w:w="0" w:type="dxa"/>
            <w:right w:w="108" w:type="dxa"/>
          </w:tblCellMar>
        </w:tblPrEx>
        <w:trPr>
          <w:trHeight w:val="567" w:hRule="atLeast"/>
          <w:jc w:val="center"/>
        </w:trPr>
        <w:tc>
          <w:tcPr>
            <w:tcW w:w="2320" w:type="dxa"/>
            <w:tcBorders>
              <w:top w:val="single" w:color="auto" w:sz="4" w:space="0"/>
              <w:left w:val="single" w:color="auto" w:sz="4" w:space="0"/>
              <w:bottom w:val="single" w:color="auto" w:sz="4" w:space="0"/>
              <w:right w:val="single" w:color="auto" w:sz="4" w:space="0"/>
            </w:tcBorders>
            <w:vAlign w:val="center"/>
          </w:tcPr>
          <w:p w14:paraId="48D2A347">
            <w:pPr>
              <w:jc w:val="center"/>
              <w:rPr>
                <w:rFonts w:ascii="宋体" w:hAnsi="宋体"/>
                <w:sz w:val="24"/>
                <w:highlight w:val="none"/>
              </w:rPr>
            </w:pPr>
            <w:r>
              <w:rPr>
                <w:rFonts w:hint="eastAsia" w:ascii="宋体" w:hAnsi="宋体"/>
                <w:sz w:val="24"/>
                <w:highlight w:val="none"/>
              </w:rPr>
              <w:t>给排水专业负责人</w:t>
            </w:r>
          </w:p>
        </w:tc>
        <w:tc>
          <w:tcPr>
            <w:tcW w:w="1134" w:type="dxa"/>
            <w:tcBorders>
              <w:top w:val="single" w:color="auto" w:sz="4" w:space="0"/>
              <w:left w:val="nil"/>
              <w:bottom w:val="single" w:color="auto" w:sz="4" w:space="0"/>
              <w:right w:val="single" w:color="auto" w:sz="4" w:space="0"/>
            </w:tcBorders>
            <w:vAlign w:val="center"/>
          </w:tcPr>
          <w:p w14:paraId="5FB8644B">
            <w:pPr>
              <w:widowControl/>
              <w:jc w:val="center"/>
              <w:rPr>
                <w:rFonts w:ascii="宋体" w:hAnsi="宋体" w:cs="宋体"/>
                <w:kern w:val="0"/>
                <w:sz w:val="24"/>
                <w:highlight w:val="none"/>
              </w:rPr>
            </w:pPr>
          </w:p>
        </w:tc>
        <w:tc>
          <w:tcPr>
            <w:tcW w:w="4111" w:type="dxa"/>
            <w:tcBorders>
              <w:top w:val="single" w:color="auto" w:sz="4" w:space="0"/>
              <w:left w:val="nil"/>
              <w:bottom w:val="single" w:color="auto" w:sz="4" w:space="0"/>
              <w:right w:val="single" w:color="auto" w:sz="4" w:space="0"/>
            </w:tcBorders>
            <w:vAlign w:val="center"/>
          </w:tcPr>
          <w:p w14:paraId="025C29FE">
            <w:pPr>
              <w:jc w:val="center"/>
              <w:rPr>
                <w:sz w:val="24"/>
                <w:highlight w:val="none"/>
              </w:rPr>
            </w:pPr>
          </w:p>
        </w:tc>
        <w:tc>
          <w:tcPr>
            <w:tcW w:w="1688" w:type="dxa"/>
            <w:tcBorders>
              <w:top w:val="single" w:color="auto" w:sz="4" w:space="0"/>
              <w:left w:val="nil"/>
              <w:bottom w:val="single" w:color="auto" w:sz="4" w:space="0"/>
              <w:right w:val="single" w:color="auto" w:sz="4" w:space="0"/>
            </w:tcBorders>
            <w:vAlign w:val="center"/>
          </w:tcPr>
          <w:p w14:paraId="6BDF1526">
            <w:pPr>
              <w:widowControl/>
              <w:jc w:val="center"/>
              <w:rPr>
                <w:rFonts w:ascii="宋体" w:hAnsi="宋体" w:cs="宋体"/>
                <w:kern w:val="0"/>
                <w:sz w:val="24"/>
                <w:highlight w:val="none"/>
              </w:rPr>
            </w:pPr>
          </w:p>
        </w:tc>
      </w:tr>
      <w:tr w14:paraId="3D0ABFE3">
        <w:tblPrEx>
          <w:tblCellMar>
            <w:top w:w="0" w:type="dxa"/>
            <w:left w:w="108" w:type="dxa"/>
            <w:bottom w:w="0" w:type="dxa"/>
            <w:right w:w="108" w:type="dxa"/>
          </w:tblCellMar>
        </w:tblPrEx>
        <w:trPr>
          <w:trHeight w:val="567" w:hRule="atLeast"/>
          <w:jc w:val="center"/>
        </w:trPr>
        <w:tc>
          <w:tcPr>
            <w:tcW w:w="2320" w:type="dxa"/>
            <w:tcBorders>
              <w:top w:val="single" w:color="auto" w:sz="4" w:space="0"/>
              <w:left w:val="single" w:color="auto" w:sz="4" w:space="0"/>
              <w:bottom w:val="single" w:color="auto" w:sz="4" w:space="0"/>
              <w:right w:val="single" w:color="auto" w:sz="4" w:space="0"/>
            </w:tcBorders>
            <w:vAlign w:val="center"/>
          </w:tcPr>
          <w:p w14:paraId="65514513">
            <w:pPr>
              <w:jc w:val="center"/>
              <w:rPr>
                <w:rFonts w:ascii="宋体" w:hAnsi="宋体"/>
                <w:sz w:val="24"/>
                <w:highlight w:val="none"/>
              </w:rPr>
            </w:pPr>
            <w:r>
              <w:rPr>
                <w:rFonts w:hint="eastAsia" w:ascii="宋体" w:hAnsi="宋体"/>
                <w:sz w:val="24"/>
                <w:highlight w:val="none"/>
              </w:rPr>
              <w:t>电气专业负责人</w:t>
            </w:r>
          </w:p>
        </w:tc>
        <w:tc>
          <w:tcPr>
            <w:tcW w:w="1134" w:type="dxa"/>
            <w:tcBorders>
              <w:top w:val="single" w:color="auto" w:sz="4" w:space="0"/>
              <w:left w:val="nil"/>
              <w:bottom w:val="single" w:color="auto" w:sz="4" w:space="0"/>
              <w:right w:val="single" w:color="auto" w:sz="4" w:space="0"/>
            </w:tcBorders>
            <w:vAlign w:val="center"/>
          </w:tcPr>
          <w:p w14:paraId="3E0BC29F">
            <w:pPr>
              <w:widowControl/>
              <w:jc w:val="center"/>
              <w:rPr>
                <w:rFonts w:ascii="宋体" w:hAnsi="宋体" w:cs="宋体"/>
                <w:kern w:val="0"/>
                <w:sz w:val="24"/>
                <w:highlight w:val="none"/>
              </w:rPr>
            </w:pPr>
          </w:p>
        </w:tc>
        <w:tc>
          <w:tcPr>
            <w:tcW w:w="4111" w:type="dxa"/>
            <w:tcBorders>
              <w:top w:val="single" w:color="auto" w:sz="4" w:space="0"/>
              <w:left w:val="nil"/>
              <w:bottom w:val="single" w:color="auto" w:sz="4" w:space="0"/>
              <w:right w:val="single" w:color="auto" w:sz="4" w:space="0"/>
            </w:tcBorders>
            <w:vAlign w:val="center"/>
          </w:tcPr>
          <w:p w14:paraId="6DBF475F">
            <w:pPr>
              <w:jc w:val="center"/>
              <w:rPr>
                <w:sz w:val="24"/>
                <w:highlight w:val="none"/>
              </w:rPr>
            </w:pPr>
          </w:p>
        </w:tc>
        <w:tc>
          <w:tcPr>
            <w:tcW w:w="1688" w:type="dxa"/>
            <w:tcBorders>
              <w:top w:val="single" w:color="auto" w:sz="4" w:space="0"/>
              <w:left w:val="nil"/>
              <w:bottom w:val="single" w:color="auto" w:sz="4" w:space="0"/>
              <w:right w:val="single" w:color="auto" w:sz="4" w:space="0"/>
            </w:tcBorders>
            <w:vAlign w:val="center"/>
          </w:tcPr>
          <w:p w14:paraId="4B933F41">
            <w:pPr>
              <w:widowControl/>
              <w:jc w:val="center"/>
              <w:rPr>
                <w:rFonts w:ascii="宋体" w:hAnsi="宋体" w:cs="宋体"/>
                <w:kern w:val="0"/>
                <w:sz w:val="24"/>
                <w:highlight w:val="none"/>
              </w:rPr>
            </w:pPr>
          </w:p>
        </w:tc>
      </w:tr>
      <w:tr w14:paraId="0E7D5F67">
        <w:tblPrEx>
          <w:tblCellMar>
            <w:top w:w="0" w:type="dxa"/>
            <w:left w:w="108" w:type="dxa"/>
            <w:bottom w:w="0" w:type="dxa"/>
            <w:right w:w="108" w:type="dxa"/>
          </w:tblCellMar>
        </w:tblPrEx>
        <w:trPr>
          <w:trHeight w:val="567" w:hRule="atLeast"/>
          <w:jc w:val="center"/>
        </w:trPr>
        <w:tc>
          <w:tcPr>
            <w:tcW w:w="2320" w:type="dxa"/>
            <w:tcBorders>
              <w:top w:val="single" w:color="auto" w:sz="4" w:space="0"/>
              <w:left w:val="single" w:color="auto" w:sz="4" w:space="0"/>
              <w:bottom w:val="single" w:color="auto" w:sz="4" w:space="0"/>
              <w:right w:val="single" w:color="auto" w:sz="4" w:space="0"/>
            </w:tcBorders>
            <w:vAlign w:val="center"/>
          </w:tcPr>
          <w:p w14:paraId="758CD4D3">
            <w:pPr>
              <w:jc w:val="center"/>
              <w:rPr>
                <w:rFonts w:ascii="宋体" w:hAnsi="宋体"/>
                <w:sz w:val="24"/>
                <w:highlight w:val="none"/>
              </w:rPr>
            </w:pPr>
            <w:r>
              <w:rPr>
                <w:rFonts w:hint="eastAsia" w:ascii="宋体" w:hAnsi="宋体"/>
                <w:sz w:val="24"/>
                <w:highlight w:val="none"/>
              </w:rPr>
              <w:t>暖通专业负责人</w:t>
            </w:r>
          </w:p>
        </w:tc>
        <w:tc>
          <w:tcPr>
            <w:tcW w:w="1134" w:type="dxa"/>
            <w:tcBorders>
              <w:top w:val="single" w:color="auto" w:sz="4" w:space="0"/>
              <w:left w:val="nil"/>
              <w:bottom w:val="single" w:color="auto" w:sz="4" w:space="0"/>
              <w:right w:val="single" w:color="auto" w:sz="4" w:space="0"/>
            </w:tcBorders>
            <w:vAlign w:val="center"/>
          </w:tcPr>
          <w:p w14:paraId="7F19D788">
            <w:pPr>
              <w:widowControl/>
              <w:jc w:val="center"/>
              <w:rPr>
                <w:rFonts w:ascii="宋体" w:hAnsi="宋体" w:cs="宋体"/>
                <w:kern w:val="0"/>
                <w:sz w:val="24"/>
                <w:highlight w:val="none"/>
              </w:rPr>
            </w:pPr>
          </w:p>
        </w:tc>
        <w:tc>
          <w:tcPr>
            <w:tcW w:w="4111" w:type="dxa"/>
            <w:tcBorders>
              <w:top w:val="single" w:color="auto" w:sz="4" w:space="0"/>
              <w:left w:val="nil"/>
              <w:bottom w:val="single" w:color="auto" w:sz="4" w:space="0"/>
              <w:right w:val="single" w:color="auto" w:sz="4" w:space="0"/>
            </w:tcBorders>
            <w:vAlign w:val="center"/>
          </w:tcPr>
          <w:p w14:paraId="361337FF">
            <w:pPr>
              <w:jc w:val="center"/>
              <w:rPr>
                <w:sz w:val="24"/>
                <w:highlight w:val="none"/>
              </w:rPr>
            </w:pPr>
          </w:p>
        </w:tc>
        <w:tc>
          <w:tcPr>
            <w:tcW w:w="1688" w:type="dxa"/>
            <w:tcBorders>
              <w:top w:val="single" w:color="auto" w:sz="4" w:space="0"/>
              <w:left w:val="nil"/>
              <w:bottom w:val="single" w:color="auto" w:sz="4" w:space="0"/>
              <w:right w:val="single" w:color="auto" w:sz="4" w:space="0"/>
            </w:tcBorders>
            <w:vAlign w:val="center"/>
          </w:tcPr>
          <w:p w14:paraId="3426F8D1">
            <w:pPr>
              <w:widowControl/>
              <w:jc w:val="center"/>
              <w:rPr>
                <w:rFonts w:ascii="宋体" w:hAnsi="宋体" w:cs="宋体"/>
                <w:kern w:val="0"/>
                <w:sz w:val="24"/>
                <w:highlight w:val="none"/>
              </w:rPr>
            </w:pPr>
          </w:p>
        </w:tc>
      </w:tr>
      <w:tr w14:paraId="50E1DA07">
        <w:tblPrEx>
          <w:tblCellMar>
            <w:top w:w="0" w:type="dxa"/>
            <w:left w:w="108" w:type="dxa"/>
            <w:bottom w:w="0" w:type="dxa"/>
            <w:right w:w="108" w:type="dxa"/>
          </w:tblCellMar>
        </w:tblPrEx>
        <w:trPr>
          <w:trHeight w:val="567" w:hRule="atLeast"/>
          <w:jc w:val="center"/>
        </w:trPr>
        <w:tc>
          <w:tcPr>
            <w:tcW w:w="2320" w:type="dxa"/>
            <w:tcBorders>
              <w:top w:val="single" w:color="auto" w:sz="4" w:space="0"/>
              <w:left w:val="single" w:color="auto" w:sz="4" w:space="0"/>
              <w:bottom w:val="single" w:color="auto" w:sz="4" w:space="0"/>
              <w:right w:val="single" w:color="auto" w:sz="4" w:space="0"/>
            </w:tcBorders>
            <w:vAlign w:val="center"/>
          </w:tcPr>
          <w:p w14:paraId="52A82697">
            <w:pPr>
              <w:jc w:val="center"/>
              <w:rPr>
                <w:rFonts w:ascii="宋体" w:hAnsi="宋体"/>
                <w:sz w:val="24"/>
                <w:highlight w:val="none"/>
              </w:rPr>
            </w:pPr>
            <w:r>
              <w:rPr>
                <w:rFonts w:hint="eastAsia" w:ascii="宋体" w:hAnsi="宋体"/>
                <w:sz w:val="24"/>
                <w:highlight w:val="none"/>
              </w:rPr>
              <w:t>概预算专业负责人</w:t>
            </w:r>
          </w:p>
        </w:tc>
        <w:tc>
          <w:tcPr>
            <w:tcW w:w="1134" w:type="dxa"/>
            <w:tcBorders>
              <w:top w:val="single" w:color="auto" w:sz="4" w:space="0"/>
              <w:left w:val="nil"/>
              <w:bottom w:val="single" w:color="auto" w:sz="4" w:space="0"/>
              <w:right w:val="single" w:color="auto" w:sz="4" w:space="0"/>
            </w:tcBorders>
            <w:vAlign w:val="center"/>
          </w:tcPr>
          <w:p w14:paraId="39DF85EE">
            <w:pPr>
              <w:widowControl/>
              <w:jc w:val="center"/>
              <w:rPr>
                <w:rFonts w:ascii="宋体" w:hAnsi="宋体" w:cs="宋体"/>
                <w:kern w:val="0"/>
                <w:sz w:val="24"/>
                <w:highlight w:val="none"/>
              </w:rPr>
            </w:pPr>
          </w:p>
        </w:tc>
        <w:tc>
          <w:tcPr>
            <w:tcW w:w="4111" w:type="dxa"/>
            <w:tcBorders>
              <w:top w:val="single" w:color="auto" w:sz="4" w:space="0"/>
              <w:left w:val="nil"/>
              <w:bottom w:val="single" w:color="auto" w:sz="4" w:space="0"/>
              <w:right w:val="single" w:color="auto" w:sz="4" w:space="0"/>
            </w:tcBorders>
            <w:vAlign w:val="center"/>
          </w:tcPr>
          <w:p w14:paraId="7F5983B7">
            <w:pPr>
              <w:jc w:val="center"/>
              <w:rPr>
                <w:sz w:val="24"/>
                <w:highlight w:val="none"/>
              </w:rPr>
            </w:pPr>
          </w:p>
          <w:p w14:paraId="428D06D7">
            <w:pPr>
              <w:rPr>
                <w:highlight w:val="none"/>
              </w:rPr>
            </w:pPr>
          </w:p>
        </w:tc>
        <w:tc>
          <w:tcPr>
            <w:tcW w:w="1688" w:type="dxa"/>
            <w:tcBorders>
              <w:top w:val="single" w:color="auto" w:sz="4" w:space="0"/>
              <w:left w:val="nil"/>
              <w:bottom w:val="single" w:color="auto" w:sz="4" w:space="0"/>
              <w:right w:val="single" w:color="auto" w:sz="4" w:space="0"/>
            </w:tcBorders>
            <w:vAlign w:val="center"/>
          </w:tcPr>
          <w:p w14:paraId="08DBD9BD">
            <w:pPr>
              <w:widowControl/>
              <w:jc w:val="left"/>
              <w:rPr>
                <w:rFonts w:ascii="宋体" w:hAnsi="宋体" w:cs="宋体"/>
                <w:kern w:val="0"/>
                <w:sz w:val="24"/>
                <w:highlight w:val="none"/>
              </w:rPr>
            </w:pPr>
          </w:p>
        </w:tc>
      </w:tr>
    </w:tbl>
    <w:p w14:paraId="0D488E31">
      <w:pPr>
        <w:rPr>
          <w:rFonts w:ascii="宋体" w:hAnsi="宋体"/>
          <w:sz w:val="24"/>
          <w:highlight w:val="none"/>
        </w:rPr>
      </w:pPr>
    </w:p>
    <w:p w14:paraId="59FB115E">
      <w:pPr>
        <w:pStyle w:val="7"/>
        <w:rPr>
          <w:highlight w:val="none"/>
        </w:rPr>
        <w:sectPr>
          <w:pgSz w:w="11906" w:h="16838"/>
          <w:pgMar w:top="1440" w:right="1797" w:bottom="1440" w:left="1797" w:header="851" w:footer="992" w:gutter="0"/>
          <w:cols w:space="720" w:num="1"/>
          <w:docGrid w:linePitch="312" w:charSpace="0"/>
        </w:sectPr>
      </w:pPr>
    </w:p>
    <w:p w14:paraId="38D9B07B">
      <w:pPr>
        <w:pStyle w:val="7"/>
        <w:ind w:firstLine="482"/>
        <w:rPr>
          <w:rFonts w:hint="eastAsia" w:ascii="宋体" w:eastAsia="宋体" w:cs="宋体"/>
          <w:b/>
          <w:kern w:val="0"/>
          <w:sz w:val="24"/>
          <w:highlight w:val="none"/>
          <w:lang w:eastAsia="zh-CN"/>
        </w:rPr>
      </w:pPr>
      <w:r>
        <w:rPr>
          <w:rFonts w:hint="eastAsia" w:ascii="宋体" w:cs="宋体"/>
          <w:b/>
          <w:kern w:val="0"/>
          <w:sz w:val="24"/>
          <w:highlight w:val="none"/>
        </w:rPr>
        <w:t>附件三：</w:t>
      </w:r>
    </w:p>
    <w:p w14:paraId="55F49F68">
      <w:pPr>
        <w:pStyle w:val="7"/>
        <w:rPr>
          <w:highlight w:val="none"/>
        </w:rPr>
      </w:pPr>
    </w:p>
    <w:p w14:paraId="084B63A9">
      <w:pPr>
        <w:spacing w:line="440" w:lineRule="exact"/>
        <w:rPr>
          <w:rFonts w:ascii="宋体" w:hAnsi="宋体"/>
          <w:b/>
          <w:bCs/>
          <w:highlight w:val="none"/>
          <w:u w:val="single"/>
        </w:rPr>
      </w:pPr>
    </w:p>
    <w:p w14:paraId="78B8E2E0">
      <w:pPr>
        <w:spacing w:line="440" w:lineRule="exact"/>
        <w:rPr>
          <w:rFonts w:ascii="宋体" w:hAnsi="宋体"/>
          <w:b/>
          <w:bCs/>
          <w:highlight w:val="none"/>
          <w:u w:val="single"/>
        </w:rPr>
      </w:pPr>
    </w:p>
    <w:p w14:paraId="784A5850">
      <w:pPr>
        <w:pStyle w:val="7"/>
        <w:rPr>
          <w:highlight w:val="none"/>
        </w:rPr>
      </w:pPr>
    </w:p>
    <w:p w14:paraId="699736AA">
      <w:pPr>
        <w:pStyle w:val="7"/>
        <w:rPr>
          <w:highlight w:val="none"/>
        </w:rPr>
      </w:pPr>
    </w:p>
    <w:p w14:paraId="516BDDA2">
      <w:pPr>
        <w:pStyle w:val="7"/>
        <w:rPr>
          <w:highlight w:val="none"/>
        </w:rPr>
      </w:pPr>
    </w:p>
    <w:p w14:paraId="41FE4058">
      <w:pPr>
        <w:pStyle w:val="7"/>
        <w:rPr>
          <w:highlight w:val="none"/>
        </w:rPr>
      </w:pPr>
    </w:p>
    <w:p w14:paraId="4D0DEE23">
      <w:pPr>
        <w:pStyle w:val="7"/>
        <w:rPr>
          <w:highlight w:val="none"/>
        </w:rPr>
      </w:pPr>
    </w:p>
    <w:p w14:paraId="2FDAF527">
      <w:pPr>
        <w:pStyle w:val="7"/>
        <w:rPr>
          <w:highlight w:val="none"/>
        </w:rPr>
      </w:pPr>
    </w:p>
    <w:p w14:paraId="4DC61F74">
      <w:pPr>
        <w:pStyle w:val="7"/>
        <w:rPr>
          <w:highlight w:val="none"/>
        </w:rPr>
      </w:pPr>
    </w:p>
    <w:p w14:paraId="3D0959E9">
      <w:pPr>
        <w:pStyle w:val="7"/>
        <w:rPr>
          <w:highlight w:val="none"/>
        </w:rPr>
      </w:pPr>
    </w:p>
    <w:p w14:paraId="1FFB2ADC">
      <w:pPr>
        <w:pStyle w:val="7"/>
        <w:rPr>
          <w:highlight w:val="none"/>
        </w:rPr>
      </w:pPr>
    </w:p>
    <w:p w14:paraId="16B949DA">
      <w:pPr>
        <w:pStyle w:val="7"/>
        <w:rPr>
          <w:highlight w:val="none"/>
        </w:rPr>
      </w:pPr>
    </w:p>
    <w:p w14:paraId="4BFA70D3">
      <w:pPr>
        <w:pStyle w:val="7"/>
        <w:rPr>
          <w:highlight w:val="none"/>
        </w:rPr>
      </w:pPr>
    </w:p>
    <w:p w14:paraId="38556B02">
      <w:pPr>
        <w:pStyle w:val="7"/>
        <w:rPr>
          <w:highlight w:val="none"/>
        </w:rPr>
      </w:pPr>
    </w:p>
    <w:p w14:paraId="0197BBB9">
      <w:pPr>
        <w:pStyle w:val="7"/>
        <w:rPr>
          <w:highlight w:val="none"/>
        </w:rPr>
      </w:pPr>
    </w:p>
    <w:p w14:paraId="6A6DEF3B">
      <w:pPr>
        <w:pStyle w:val="7"/>
        <w:rPr>
          <w:highlight w:val="none"/>
        </w:rPr>
      </w:pPr>
    </w:p>
    <w:p w14:paraId="1AC484EE">
      <w:pPr>
        <w:pStyle w:val="7"/>
        <w:rPr>
          <w:highlight w:val="none"/>
        </w:rPr>
      </w:pPr>
    </w:p>
    <w:p w14:paraId="7E17DD09">
      <w:pPr>
        <w:pStyle w:val="7"/>
        <w:rPr>
          <w:highlight w:val="none"/>
        </w:rPr>
      </w:pPr>
    </w:p>
    <w:p w14:paraId="72C207A6">
      <w:pPr>
        <w:pStyle w:val="7"/>
        <w:rPr>
          <w:highlight w:val="none"/>
        </w:rPr>
      </w:pPr>
    </w:p>
    <w:p w14:paraId="2EE055F2">
      <w:pPr>
        <w:pStyle w:val="7"/>
        <w:rPr>
          <w:highlight w:val="none"/>
        </w:rPr>
      </w:pPr>
    </w:p>
    <w:p w14:paraId="2ADA2D3F">
      <w:pPr>
        <w:pStyle w:val="7"/>
        <w:rPr>
          <w:highlight w:val="none"/>
        </w:rPr>
      </w:pPr>
    </w:p>
    <w:p w14:paraId="7C42DBA4">
      <w:pPr>
        <w:pStyle w:val="7"/>
        <w:rPr>
          <w:highlight w:val="none"/>
        </w:rPr>
      </w:pPr>
    </w:p>
    <w:p w14:paraId="624B8379">
      <w:pPr>
        <w:pStyle w:val="7"/>
        <w:rPr>
          <w:highlight w:val="none"/>
        </w:rPr>
      </w:pPr>
    </w:p>
    <w:p w14:paraId="2EADC005">
      <w:pPr>
        <w:pStyle w:val="7"/>
        <w:rPr>
          <w:highlight w:val="none"/>
        </w:rPr>
      </w:pPr>
    </w:p>
    <w:p w14:paraId="497B035C">
      <w:pPr>
        <w:pStyle w:val="7"/>
        <w:rPr>
          <w:highlight w:val="none"/>
        </w:rPr>
      </w:pPr>
    </w:p>
    <w:p w14:paraId="59AA32C0">
      <w:pPr>
        <w:pStyle w:val="7"/>
        <w:rPr>
          <w:highlight w:val="none"/>
        </w:rPr>
      </w:pPr>
    </w:p>
    <w:p w14:paraId="6E9C48F2">
      <w:pPr>
        <w:pStyle w:val="7"/>
        <w:rPr>
          <w:highlight w:val="none"/>
        </w:rPr>
      </w:pPr>
    </w:p>
    <w:p w14:paraId="43A7BF2C">
      <w:pPr>
        <w:pStyle w:val="7"/>
        <w:rPr>
          <w:highlight w:val="none"/>
        </w:rPr>
      </w:pPr>
    </w:p>
    <w:p w14:paraId="601D6266">
      <w:pPr>
        <w:pStyle w:val="7"/>
        <w:rPr>
          <w:highlight w:val="none"/>
        </w:rPr>
      </w:pPr>
    </w:p>
    <w:p w14:paraId="5254C039">
      <w:pPr>
        <w:pStyle w:val="7"/>
        <w:rPr>
          <w:highlight w:val="none"/>
        </w:rPr>
      </w:pPr>
    </w:p>
    <w:p w14:paraId="1704E344">
      <w:pPr>
        <w:pStyle w:val="7"/>
        <w:rPr>
          <w:highlight w:val="none"/>
        </w:rPr>
      </w:pPr>
    </w:p>
    <w:p w14:paraId="71D8071C">
      <w:pPr>
        <w:pStyle w:val="7"/>
        <w:rPr>
          <w:highlight w:val="none"/>
        </w:rPr>
      </w:pPr>
    </w:p>
    <w:p w14:paraId="57F751D8">
      <w:pPr>
        <w:pStyle w:val="7"/>
        <w:rPr>
          <w:highlight w:val="none"/>
        </w:rPr>
      </w:pPr>
    </w:p>
    <w:p w14:paraId="2E239001">
      <w:pPr>
        <w:pStyle w:val="7"/>
        <w:rPr>
          <w:highlight w:val="none"/>
        </w:rPr>
      </w:pPr>
    </w:p>
    <w:p w14:paraId="1F3C7091">
      <w:pPr>
        <w:pStyle w:val="7"/>
        <w:rPr>
          <w:highlight w:val="none"/>
        </w:rPr>
      </w:pPr>
    </w:p>
    <w:p w14:paraId="5188F100">
      <w:pPr>
        <w:pStyle w:val="7"/>
        <w:rPr>
          <w:highlight w:val="none"/>
        </w:rPr>
      </w:pPr>
    </w:p>
    <w:p w14:paraId="5537C182">
      <w:pPr>
        <w:pStyle w:val="7"/>
        <w:rPr>
          <w:highlight w:val="none"/>
        </w:rPr>
      </w:pPr>
    </w:p>
    <w:p w14:paraId="64E0D567">
      <w:pPr>
        <w:pStyle w:val="7"/>
        <w:rPr>
          <w:highlight w:val="none"/>
        </w:rPr>
      </w:pPr>
    </w:p>
    <w:p w14:paraId="2CDF48BD">
      <w:pPr>
        <w:pStyle w:val="7"/>
        <w:rPr>
          <w:highlight w:val="none"/>
        </w:rPr>
      </w:pPr>
    </w:p>
    <w:p w14:paraId="1C44C79F">
      <w:pPr>
        <w:pStyle w:val="7"/>
        <w:rPr>
          <w:highlight w:val="none"/>
        </w:rPr>
      </w:pPr>
    </w:p>
    <w:p w14:paraId="220BD27D">
      <w:pPr>
        <w:pStyle w:val="7"/>
        <w:rPr>
          <w:highlight w:val="none"/>
        </w:rPr>
      </w:pPr>
    </w:p>
    <w:p w14:paraId="5826905A">
      <w:pPr>
        <w:pStyle w:val="7"/>
        <w:rPr>
          <w:highlight w:val="none"/>
        </w:rPr>
      </w:pPr>
    </w:p>
    <w:p w14:paraId="13675F19">
      <w:pPr>
        <w:pStyle w:val="7"/>
        <w:rPr>
          <w:highlight w:val="none"/>
        </w:rPr>
      </w:pPr>
    </w:p>
    <w:p w14:paraId="58598DE8">
      <w:pPr>
        <w:pStyle w:val="7"/>
        <w:rPr>
          <w:highlight w:val="none"/>
        </w:rPr>
      </w:pPr>
    </w:p>
    <w:p w14:paraId="6E1FDD4F">
      <w:pPr>
        <w:pStyle w:val="7"/>
        <w:rPr>
          <w:highlight w:val="none"/>
        </w:rPr>
      </w:pPr>
    </w:p>
    <w:p w14:paraId="65DCA591">
      <w:pPr>
        <w:pStyle w:val="7"/>
        <w:rPr>
          <w:highlight w:val="none"/>
        </w:rPr>
      </w:pPr>
    </w:p>
    <w:p w14:paraId="50628C63">
      <w:pPr>
        <w:pStyle w:val="7"/>
        <w:rPr>
          <w:highlight w:val="none"/>
        </w:rPr>
      </w:pPr>
    </w:p>
    <w:p w14:paraId="59CB6D34">
      <w:pPr>
        <w:pStyle w:val="7"/>
        <w:rPr>
          <w:highlight w:val="none"/>
        </w:rPr>
      </w:pPr>
    </w:p>
    <w:p w14:paraId="6E51EF30">
      <w:pPr>
        <w:pStyle w:val="7"/>
        <w:rPr>
          <w:highlight w:val="none"/>
        </w:rPr>
      </w:pPr>
    </w:p>
    <w:p w14:paraId="71B8A7C2">
      <w:pPr>
        <w:pStyle w:val="7"/>
        <w:rPr>
          <w:highlight w:val="none"/>
        </w:rPr>
      </w:pPr>
    </w:p>
    <w:p w14:paraId="0E8E09EA">
      <w:pPr>
        <w:pStyle w:val="7"/>
        <w:rPr>
          <w:highlight w:val="none"/>
        </w:rPr>
      </w:pPr>
    </w:p>
    <w:p w14:paraId="13B22A45">
      <w:pPr>
        <w:pStyle w:val="7"/>
        <w:rPr>
          <w:highlight w:val="none"/>
        </w:rPr>
      </w:pPr>
    </w:p>
    <w:p w14:paraId="38193EE7">
      <w:pPr>
        <w:pStyle w:val="7"/>
        <w:rPr>
          <w:highlight w:val="none"/>
        </w:rPr>
      </w:pPr>
    </w:p>
    <w:p w14:paraId="7BC5EAEE">
      <w:pPr>
        <w:pStyle w:val="7"/>
        <w:rPr>
          <w:highlight w:val="none"/>
        </w:rPr>
      </w:pPr>
    </w:p>
    <w:p w14:paraId="3EB9A51D">
      <w:pPr>
        <w:pStyle w:val="7"/>
        <w:ind w:firstLine="482"/>
        <w:rPr>
          <w:rFonts w:hint="eastAsia" w:eastAsia="宋体"/>
          <w:b/>
          <w:highlight w:val="none"/>
          <w:lang w:eastAsia="zh-CN"/>
        </w:rPr>
      </w:pPr>
      <w:r>
        <w:rPr>
          <w:rFonts w:hint="eastAsia" w:ascii="宋体" w:cs="宋体"/>
          <w:b/>
          <w:kern w:val="0"/>
          <w:sz w:val="24"/>
          <w:highlight w:val="none"/>
        </w:rPr>
        <w:t>附件四</w:t>
      </w:r>
    </w:p>
    <w:p w14:paraId="0B20014C">
      <w:pPr>
        <w:jc w:val="center"/>
        <w:rPr>
          <w:rFonts w:ascii="宋体" w:hAnsi="宋体"/>
          <w:b/>
          <w:sz w:val="32"/>
          <w:szCs w:val="32"/>
          <w:highlight w:val="none"/>
        </w:rPr>
      </w:pPr>
      <w:r>
        <w:rPr>
          <w:rFonts w:hint="eastAsia" w:ascii="宋体" w:hAnsi="宋体"/>
          <w:b/>
          <w:sz w:val="32"/>
          <w:szCs w:val="32"/>
          <w:highlight w:val="none"/>
        </w:rPr>
        <w:t>基础资料和设计任务书</w:t>
      </w:r>
    </w:p>
    <w:p w14:paraId="648AB62D">
      <w:pPr>
        <w:spacing w:line="360" w:lineRule="auto"/>
        <w:ind w:firstLine="480" w:firstLineChars="200"/>
        <w:rPr>
          <w:rFonts w:ascii="宋体" w:hAnsi="宋体"/>
          <w:sz w:val="24"/>
          <w:highlight w:val="none"/>
        </w:rPr>
      </w:pPr>
    </w:p>
    <w:p w14:paraId="7F709240">
      <w:pPr>
        <w:rPr>
          <w:highlight w:val="none"/>
        </w:rPr>
      </w:pPr>
    </w:p>
    <w:p w14:paraId="266EEA56">
      <w:pPr>
        <w:jc w:val="center"/>
        <w:rPr>
          <w:b/>
          <w:highlight w:val="none"/>
        </w:rPr>
      </w:pPr>
      <w:r>
        <w:rPr>
          <w:rFonts w:hint="eastAsia"/>
          <w:b/>
          <w:highlight w:val="none"/>
        </w:rPr>
        <w:t>另册</w:t>
      </w:r>
    </w:p>
    <w:bookmarkEnd w:id="17"/>
    <w:sectPr>
      <w:pgSz w:w="11920" w:h="16840"/>
      <w:pgMar w:top="1560" w:right="880" w:bottom="280" w:left="8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A8DBF">
    <w:pPr>
      <w:pStyle w:val="18"/>
      <w:jc w:val="center"/>
    </w:pPr>
    <w:r>
      <w:fldChar w:fldCharType="begin"/>
    </w:r>
    <w:r>
      <w:instrText xml:space="preserve"> PAGE   \* MERGEFORMAT </w:instrText>
    </w:r>
    <w:r>
      <w:fldChar w:fldCharType="separate"/>
    </w:r>
    <w:r>
      <w:rPr>
        <w:lang w:val="zh-CN"/>
      </w:rPr>
      <w:t>10</w:t>
    </w:r>
    <w:r>
      <w:fldChar w:fldCharType="end"/>
    </w:r>
  </w:p>
  <w:p w14:paraId="6F42107A">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44D7B">
    <w:pPr>
      <w:pStyle w:val="18"/>
      <w:framePr w:wrap="around" w:vAnchor="text" w:hAnchor="margin" w:xAlign="center" w:y="1"/>
      <w:rPr>
        <w:rStyle w:val="28"/>
      </w:rPr>
    </w:pPr>
    <w:r>
      <w:fldChar w:fldCharType="begin"/>
    </w:r>
    <w:r>
      <w:rPr>
        <w:rStyle w:val="28"/>
      </w:rPr>
      <w:instrText xml:space="preserve">PAGE  </w:instrText>
    </w:r>
    <w:r>
      <w:fldChar w:fldCharType="separate"/>
    </w:r>
    <w:r>
      <w:rPr>
        <w:rStyle w:val="28"/>
      </w:rPr>
      <w:t>1</w:t>
    </w:r>
    <w:r>
      <w:fldChar w:fldCharType="end"/>
    </w:r>
  </w:p>
  <w:p w14:paraId="6125FA53">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52581">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25"/>
      <w:numFmt w:val="decimal"/>
      <w:pStyle w:val="38"/>
      <w:lvlText w:val="%1"/>
      <w:lvlJc w:val="left"/>
      <w:pPr>
        <w:tabs>
          <w:tab w:val="left" w:pos="360"/>
        </w:tabs>
        <w:ind w:left="360" w:hanging="360"/>
      </w:pPr>
      <w:rPr>
        <w:rFonts w:hint="default" w:ascii="Times New Roman" w:cs="Times New Roman"/>
        <w:sz w:val="24"/>
      </w:rPr>
    </w:lvl>
    <w:lvl w:ilvl="1" w:tentative="0">
      <w:start w:val="2"/>
      <w:numFmt w:val="decimal"/>
      <w:lvlText w:val="%1.%2"/>
      <w:lvlJc w:val="left"/>
      <w:pPr>
        <w:tabs>
          <w:tab w:val="left" w:pos="448"/>
        </w:tabs>
        <w:ind w:left="448" w:hanging="360"/>
      </w:pPr>
      <w:rPr>
        <w:rFonts w:hint="default" w:ascii="Times New Roman" w:cs="Times New Roman"/>
        <w:sz w:val="24"/>
      </w:rPr>
    </w:lvl>
    <w:lvl w:ilvl="2" w:tentative="0">
      <w:start w:val="1"/>
      <w:numFmt w:val="decimal"/>
      <w:lvlText w:val="%1.%2.%3"/>
      <w:lvlJc w:val="left"/>
      <w:pPr>
        <w:tabs>
          <w:tab w:val="left" w:pos="896"/>
        </w:tabs>
        <w:ind w:left="896" w:hanging="720"/>
      </w:pPr>
      <w:rPr>
        <w:rFonts w:hint="default" w:ascii="Times New Roman" w:cs="Times New Roman"/>
        <w:sz w:val="24"/>
      </w:rPr>
    </w:lvl>
    <w:lvl w:ilvl="3" w:tentative="0">
      <w:start w:val="1"/>
      <w:numFmt w:val="decimal"/>
      <w:lvlText w:val="%1.%2.%3.%4"/>
      <w:lvlJc w:val="left"/>
      <w:pPr>
        <w:tabs>
          <w:tab w:val="left" w:pos="1344"/>
        </w:tabs>
        <w:ind w:left="1344" w:hanging="1080"/>
      </w:pPr>
      <w:rPr>
        <w:rFonts w:hint="default" w:ascii="Times New Roman" w:cs="Times New Roman"/>
        <w:sz w:val="24"/>
      </w:rPr>
    </w:lvl>
    <w:lvl w:ilvl="4" w:tentative="0">
      <w:start w:val="1"/>
      <w:numFmt w:val="decimal"/>
      <w:lvlText w:val="%1.%2.%3.%4.%5"/>
      <w:lvlJc w:val="left"/>
      <w:pPr>
        <w:tabs>
          <w:tab w:val="left" w:pos="1432"/>
        </w:tabs>
        <w:ind w:left="1432" w:hanging="1080"/>
      </w:pPr>
      <w:rPr>
        <w:rFonts w:hint="default" w:ascii="Times New Roman" w:cs="Times New Roman"/>
        <w:sz w:val="24"/>
      </w:rPr>
    </w:lvl>
    <w:lvl w:ilvl="5" w:tentative="0">
      <w:start w:val="1"/>
      <w:numFmt w:val="decimal"/>
      <w:lvlText w:val="%1.%2.%3.%4.%5.%6"/>
      <w:lvlJc w:val="left"/>
      <w:pPr>
        <w:tabs>
          <w:tab w:val="left" w:pos="1880"/>
        </w:tabs>
        <w:ind w:left="1880" w:hanging="1440"/>
      </w:pPr>
      <w:rPr>
        <w:rFonts w:hint="default" w:ascii="Times New Roman" w:cs="Times New Roman"/>
        <w:sz w:val="24"/>
      </w:rPr>
    </w:lvl>
    <w:lvl w:ilvl="6" w:tentative="0">
      <w:start w:val="1"/>
      <w:numFmt w:val="decimal"/>
      <w:lvlText w:val="%1.%2.%3.%4.%5.%6.%7"/>
      <w:lvlJc w:val="left"/>
      <w:pPr>
        <w:tabs>
          <w:tab w:val="left" w:pos="2328"/>
        </w:tabs>
        <w:ind w:left="2328" w:hanging="1800"/>
      </w:pPr>
      <w:rPr>
        <w:rFonts w:hint="default" w:ascii="Times New Roman" w:cs="Times New Roman"/>
        <w:sz w:val="24"/>
      </w:rPr>
    </w:lvl>
    <w:lvl w:ilvl="7" w:tentative="0">
      <w:start w:val="1"/>
      <w:numFmt w:val="decimal"/>
      <w:lvlText w:val="%1.%2.%3.%4.%5.%6.%7.%8"/>
      <w:lvlJc w:val="left"/>
      <w:pPr>
        <w:tabs>
          <w:tab w:val="left" w:pos="2416"/>
        </w:tabs>
        <w:ind w:left="2416" w:hanging="1800"/>
      </w:pPr>
      <w:rPr>
        <w:rFonts w:hint="default" w:ascii="Times New Roman" w:cs="Times New Roman"/>
        <w:sz w:val="24"/>
      </w:rPr>
    </w:lvl>
    <w:lvl w:ilvl="8" w:tentative="0">
      <w:start w:val="1"/>
      <w:numFmt w:val="decimal"/>
      <w:lvlText w:val="%1.%2.%3.%4.%5.%6.%7.%8.%9"/>
      <w:lvlJc w:val="left"/>
      <w:pPr>
        <w:tabs>
          <w:tab w:val="left" w:pos="2864"/>
        </w:tabs>
        <w:ind w:left="2864" w:hanging="2160"/>
      </w:pPr>
      <w:rPr>
        <w:rFonts w:hint="default" w:ascii="Times New Roman" w:cs="Times New Roman"/>
        <w:sz w:val="24"/>
      </w:rPr>
    </w:lvl>
  </w:abstractNum>
  <w:abstractNum w:abstractNumId="1">
    <w:nsid w:val="00000010"/>
    <w:multiLevelType w:val="multilevel"/>
    <w:tmpl w:val="00000010"/>
    <w:lvl w:ilvl="0" w:tentative="0">
      <w:start w:val="1"/>
      <w:numFmt w:val="chineseCountingThousand"/>
      <w:suff w:val="space"/>
      <w:lvlText w:val="第%1章"/>
      <w:lvlJc w:val="left"/>
      <w:pPr>
        <w:ind w:left="567" w:hanging="279"/>
      </w:pPr>
      <w:rPr>
        <w:rFonts w:hint="eastAsia" w:ascii="宋体" w:eastAsia="宋体"/>
        <w:b/>
        <w:i w:val="0"/>
        <w:spacing w:val="0"/>
        <w:position w:val="0"/>
        <w:sz w:val="44"/>
      </w:rPr>
    </w:lvl>
    <w:lvl w:ilvl="1" w:tentative="0">
      <w:start w:val="1"/>
      <w:numFmt w:val="decimal"/>
      <w:suff w:val="space"/>
      <w:lvlText w:val="%2."/>
      <w:lvlJc w:val="left"/>
      <w:pPr>
        <w:ind w:left="454" w:hanging="454"/>
      </w:pPr>
      <w:rPr>
        <w:rFonts w:hint="eastAsia" w:ascii="宋体" w:eastAsia="宋体"/>
        <w:b/>
        <w:i w:val="0"/>
        <w:sz w:val="32"/>
      </w:rPr>
    </w:lvl>
    <w:lvl w:ilvl="2" w:tentative="0">
      <w:start w:val="1"/>
      <w:numFmt w:val="decimal"/>
      <w:suff w:val="space"/>
      <w:lvlText w:val="%2.%3"/>
      <w:lvlJc w:val="left"/>
      <w:pPr>
        <w:ind w:left="454" w:hanging="454"/>
      </w:pPr>
      <w:rPr>
        <w:rFonts w:hint="eastAsia" w:ascii="宋体" w:eastAsia="宋体"/>
        <w:b/>
        <w:i w:val="0"/>
        <w:sz w:val="28"/>
      </w:rPr>
    </w:lvl>
    <w:lvl w:ilvl="3" w:tentative="0">
      <w:start w:val="1"/>
      <w:numFmt w:val="decimal"/>
      <w:pStyle w:val="6"/>
      <w:suff w:val="space"/>
      <w:lvlText w:val="%2.%3.%4_x0001__x0003_"/>
      <w:lvlJc w:val="left"/>
      <w:pPr>
        <w:ind w:left="284" w:hanging="284"/>
      </w:pPr>
      <w:rPr>
        <w:rFonts w:hint="eastAsia" w:ascii="宋体" w:eastAsia="宋体"/>
        <w:b/>
        <w:i w:val="0"/>
        <w:sz w:val="28"/>
      </w:rPr>
    </w:lvl>
    <w:lvl w:ilvl="4" w:tentative="0">
      <w:start w:val="1"/>
      <w:numFmt w:val="decimal"/>
      <w:pStyle w:val="8"/>
      <w:isLgl/>
      <w:suff w:val="space"/>
      <w:lvlText w:val="%2.%3.%4.%5"/>
      <w:lvlJc w:val="left"/>
      <w:pPr>
        <w:ind w:left="284" w:hanging="284"/>
      </w:pPr>
      <w:rPr>
        <w:rFonts w:hint="eastAsia" w:ascii="宋体" w:eastAsia="宋体"/>
        <w:b/>
        <w:i w:val="0"/>
        <w:strike w:val="0"/>
        <w:dstrike w:val="0"/>
        <w:sz w:val="28"/>
      </w:rPr>
    </w:lvl>
    <w:lvl w:ilvl="5" w:tentative="0">
      <w:start w:val="1"/>
      <w:numFmt w:val="decimal"/>
      <w:lvlRestart w:val="0"/>
      <w:suff w:val="space"/>
      <w:lvlText w:val="1.1.1.1.1.%6%5"/>
      <w:lvlJc w:val="left"/>
      <w:pPr>
        <w:ind w:left="0" w:firstLine="0"/>
      </w:pPr>
      <w:rPr>
        <w:rFonts w:hint="eastAsia" w:ascii="宋体" w:eastAsia="宋体"/>
        <w:b/>
        <w:i w:val="0"/>
        <w:sz w:val="28"/>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2">
    <w:nsid w:val="70386962"/>
    <w:multiLevelType w:val="multilevel"/>
    <w:tmpl w:val="70386962"/>
    <w:lvl w:ilvl="0" w:tentative="0">
      <w:start w:val="4"/>
      <w:numFmt w:val="japaneseCounting"/>
      <w:lvlText w:val="第%1篇"/>
      <w:lvlJc w:val="left"/>
      <w:pPr>
        <w:tabs>
          <w:tab w:val="left" w:pos="1686"/>
        </w:tabs>
        <w:ind w:left="1686" w:hanging="1125"/>
      </w:pPr>
      <w:rPr>
        <w:rFonts w:hint="default"/>
      </w:rPr>
    </w:lvl>
    <w:lvl w:ilvl="1" w:tentative="0">
      <w:start w:val="1"/>
      <w:numFmt w:val="lowerLetter"/>
      <w:lvlText w:val="%2)"/>
      <w:lvlJc w:val="left"/>
      <w:pPr>
        <w:tabs>
          <w:tab w:val="left" w:pos="1401"/>
        </w:tabs>
        <w:ind w:left="1401" w:hanging="420"/>
      </w:pPr>
    </w:lvl>
    <w:lvl w:ilvl="2" w:tentative="0">
      <w:start w:val="1"/>
      <w:numFmt w:val="lowerRoman"/>
      <w:lvlText w:val="%3."/>
      <w:lvlJc w:val="right"/>
      <w:pPr>
        <w:tabs>
          <w:tab w:val="left" w:pos="1821"/>
        </w:tabs>
        <w:ind w:left="1821" w:hanging="420"/>
      </w:pPr>
    </w:lvl>
    <w:lvl w:ilvl="3" w:tentative="0">
      <w:start w:val="1"/>
      <w:numFmt w:val="decimal"/>
      <w:lvlText w:val="%4."/>
      <w:lvlJc w:val="left"/>
      <w:pPr>
        <w:tabs>
          <w:tab w:val="left" w:pos="2241"/>
        </w:tabs>
        <w:ind w:left="2241" w:hanging="420"/>
      </w:pPr>
    </w:lvl>
    <w:lvl w:ilvl="4" w:tentative="0">
      <w:start w:val="1"/>
      <w:numFmt w:val="lowerLetter"/>
      <w:lvlText w:val="%5)"/>
      <w:lvlJc w:val="left"/>
      <w:pPr>
        <w:tabs>
          <w:tab w:val="left" w:pos="2661"/>
        </w:tabs>
        <w:ind w:left="2661" w:hanging="420"/>
      </w:pPr>
    </w:lvl>
    <w:lvl w:ilvl="5" w:tentative="0">
      <w:start w:val="1"/>
      <w:numFmt w:val="lowerRoman"/>
      <w:lvlText w:val="%6."/>
      <w:lvlJc w:val="right"/>
      <w:pPr>
        <w:tabs>
          <w:tab w:val="left" w:pos="3081"/>
        </w:tabs>
        <w:ind w:left="3081" w:hanging="420"/>
      </w:pPr>
    </w:lvl>
    <w:lvl w:ilvl="6" w:tentative="0">
      <w:start w:val="1"/>
      <w:numFmt w:val="decimal"/>
      <w:lvlText w:val="%7."/>
      <w:lvlJc w:val="left"/>
      <w:pPr>
        <w:tabs>
          <w:tab w:val="left" w:pos="3501"/>
        </w:tabs>
        <w:ind w:left="3501" w:hanging="420"/>
      </w:pPr>
    </w:lvl>
    <w:lvl w:ilvl="7" w:tentative="0">
      <w:start w:val="1"/>
      <w:numFmt w:val="lowerLetter"/>
      <w:lvlText w:val="%8)"/>
      <w:lvlJc w:val="left"/>
      <w:pPr>
        <w:tabs>
          <w:tab w:val="left" w:pos="3921"/>
        </w:tabs>
        <w:ind w:left="3921" w:hanging="420"/>
      </w:pPr>
    </w:lvl>
    <w:lvl w:ilvl="8" w:tentative="0">
      <w:start w:val="1"/>
      <w:numFmt w:val="lowerRoman"/>
      <w:lvlText w:val="%9."/>
      <w:lvlJc w:val="right"/>
      <w:pPr>
        <w:tabs>
          <w:tab w:val="left" w:pos="4341"/>
        </w:tabs>
        <w:ind w:left="4341"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05"/>
  <w:drawingGridVerticalSpacing w:val="2"/>
  <w:displayHorizontalDrawingGridEvery w:val="0"/>
  <w:displayVerticalDrawingGridEvery w:val="2"/>
  <w:doNotShadeFormData w:val="1"/>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61F"/>
    <w:rsid w:val="000018AD"/>
    <w:rsid w:val="0000477C"/>
    <w:rsid w:val="00006640"/>
    <w:rsid w:val="00012D9E"/>
    <w:rsid w:val="000168F5"/>
    <w:rsid w:val="00024F58"/>
    <w:rsid w:val="000256CE"/>
    <w:rsid w:val="0003252C"/>
    <w:rsid w:val="00032D1B"/>
    <w:rsid w:val="00033196"/>
    <w:rsid w:val="000357A7"/>
    <w:rsid w:val="00037E92"/>
    <w:rsid w:val="0004344E"/>
    <w:rsid w:val="00045CFF"/>
    <w:rsid w:val="0004715C"/>
    <w:rsid w:val="00050705"/>
    <w:rsid w:val="00055082"/>
    <w:rsid w:val="000564F4"/>
    <w:rsid w:val="000601A6"/>
    <w:rsid w:val="00060F83"/>
    <w:rsid w:val="000620D0"/>
    <w:rsid w:val="00062598"/>
    <w:rsid w:val="0006674B"/>
    <w:rsid w:val="0006682A"/>
    <w:rsid w:val="0007006E"/>
    <w:rsid w:val="00071E9D"/>
    <w:rsid w:val="00076944"/>
    <w:rsid w:val="000803E0"/>
    <w:rsid w:val="000806DE"/>
    <w:rsid w:val="00080DC5"/>
    <w:rsid w:val="00083515"/>
    <w:rsid w:val="0008574F"/>
    <w:rsid w:val="000865E9"/>
    <w:rsid w:val="00086E00"/>
    <w:rsid w:val="000917BA"/>
    <w:rsid w:val="0009315C"/>
    <w:rsid w:val="00095CC4"/>
    <w:rsid w:val="000A010C"/>
    <w:rsid w:val="000A7096"/>
    <w:rsid w:val="000A7A57"/>
    <w:rsid w:val="000B377B"/>
    <w:rsid w:val="000B5A67"/>
    <w:rsid w:val="000B5C11"/>
    <w:rsid w:val="000B6BA7"/>
    <w:rsid w:val="000C04D7"/>
    <w:rsid w:val="000C0972"/>
    <w:rsid w:val="000C5135"/>
    <w:rsid w:val="000D18B8"/>
    <w:rsid w:val="000D6E57"/>
    <w:rsid w:val="000F1BD8"/>
    <w:rsid w:val="000F5B9D"/>
    <w:rsid w:val="001001F6"/>
    <w:rsid w:val="00100C6E"/>
    <w:rsid w:val="001052A2"/>
    <w:rsid w:val="00111B36"/>
    <w:rsid w:val="0011376C"/>
    <w:rsid w:val="0011383C"/>
    <w:rsid w:val="00126590"/>
    <w:rsid w:val="0012785E"/>
    <w:rsid w:val="00127CF9"/>
    <w:rsid w:val="00130AEC"/>
    <w:rsid w:val="001329B1"/>
    <w:rsid w:val="00134D5E"/>
    <w:rsid w:val="001370F0"/>
    <w:rsid w:val="00141F8B"/>
    <w:rsid w:val="00142642"/>
    <w:rsid w:val="00142E93"/>
    <w:rsid w:val="00145782"/>
    <w:rsid w:val="00145AF5"/>
    <w:rsid w:val="00152617"/>
    <w:rsid w:val="00152EC5"/>
    <w:rsid w:val="001600ED"/>
    <w:rsid w:val="00162025"/>
    <w:rsid w:val="00162FB0"/>
    <w:rsid w:val="00172433"/>
    <w:rsid w:val="00172A27"/>
    <w:rsid w:val="00172F4A"/>
    <w:rsid w:val="00173FFA"/>
    <w:rsid w:val="001813F9"/>
    <w:rsid w:val="00181A1A"/>
    <w:rsid w:val="00190672"/>
    <w:rsid w:val="00193173"/>
    <w:rsid w:val="0019359F"/>
    <w:rsid w:val="00193DBA"/>
    <w:rsid w:val="00196A31"/>
    <w:rsid w:val="00196C0D"/>
    <w:rsid w:val="001A1C55"/>
    <w:rsid w:val="001A1CDA"/>
    <w:rsid w:val="001A30F4"/>
    <w:rsid w:val="001A610A"/>
    <w:rsid w:val="001A6E34"/>
    <w:rsid w:val="001B0096"/>
    <w:rsid w:val="001B22EE"/>
    <w:rsid w:val="001B2CD3"/>
    <w:rsid w:val="001B41D7"/>
    <w:rsid w:val="001B4B87"/>
    <w:rsid w:val="001B6EAB"/>
    <w:rsid w:val="001C53DC"/>
    <w:rsid w:val="001C72F3"/>
    <w:rsid w:val="001D7A01"/>
    <w:rsid w:val="001E635E"/>
    <w:rsid w:val="001E7CD0"/>
    <w:rsid w:val="001F0676"/>
    <w:rsid w:val="001F4C7F"/>
    <w:rsid w:val="0020099C"/>
    <w:rsid w:val="00201425"/>
    <w:rsid w:val="00205EDF"/>
    <w:rsid w:val="0021312B"/>
    <w:rsid w:val="00215AF4"/>
    <w:rsid w:val="0021686B"/>
    <w:rsid w:val="00217C49"/>
    <w:rsid w:val="00222D8D"/>
    <w:rsid w:val="00223AD4"/>
    <w:rsid w:val="002242DF"/>
    <w:rsid w:val="00225E70"/>
    <w:rsid w:val="00231664"/>
    <w:rsid w:val="00233B90"/>
    <w:rsid w:val="0023775C"/>
    <w:rsid w:val="00241255"/>
    <w:rsid w:val="0024591C"/>
    <w:rsid w:val="00251F19"/>
    <w:rsid w:val="00264DB5"/>
    <w:rsid w:val="00266417"/>
    <w:rsid w:val="00266BAA"/>
    <w:rsid w:val="00270608"/>
    <w:rsid w:val="00271449"/>
    <w:rsid w:val="002717C8"/>
    <w:rsid w:val="00274DC3"/>
    <w:rsid w:val="002753FB"/>
    <w:rsid w:val="00276937"/>
    <w:rsid w:val="0028212D"/>
    <w:rsid w:val="00282525"/>
    <w:rsid w:val="00284918"/>
    <w:rsid w:val="0028528F"/>
    <w:rsid w:val="002867B2"/>
    <w:rsid w:val="0028785E"/>
    <w:rsid w:val="00295657"/>
    <w:rsid w:val="002963AE"/>
    <w:rsid w:val="00297E59"/>
    <w:rsid w:val="002A103D"/>
    <w:rsid w:val="002A1A54"/>
    <w:rsid w:val="002A3B5D"/>
    <w:rsid w:val="002B4A75"/>
    <w:rsid w:val="002C481D"/>
    <w:rsid w:val="002C6262"/>
    <w:rsid w:val="002C6958"/>
    <w:rsid w:val="002C6BE3"/>
    <w:rsid w:val="002D2120"/>
    <w:rsid w:val="002D418C"/>
    <w:rsid w:val="002D785C"/>
    <w:rsid w:val="002D7C3E"/>
    <w:rsid w:val="002E31A9"/>
    <w:rsid w:val="002E41FE"/>
    <w:rsid w:val="002E4440"/>
    <w:rsid w:val="002E4741"/>
    <w:rsid w:val="002E5F7A"/>
    <w:rsid w:val="002F5842"/>
    <w:rsid w:val="0030019F"/>
    <w:rsid w:val="00302A4C"/>
    <w:rsid w:val="003048D1"/>
    <w:rsid w:val="00305FE1"/>
    <w:rsid w:val="0030637B"/>
    <w:rsid w:val="00334C75"/>
    <w:rsid w:val="00334CDD"/>
    <w:rsid w:val="0033649A"/>
    <w:rsid w:val="00336748"/>
    <w:rsid w:val="00342A34"/>
    <w:rsid w:val="003454CE"/>
    <w:rsid w:val="0035524E"/>
    <w:rsid w:val="0035791E"/>
    <w:rsid w:val="00361D14"/>
    <w:rsid w:val="00362204"/>
    <w:rsid w:val="003631ED"/>
    <w:rsid w:val="00364C29"/>
    <w:rsid w:val="003651BE"/>
    <w:rsid w:val="003702A8"/>
    <w:rsid w:val="00370D27"/>
    <w:rsid w:val="00372249"/>
    <w:rsid w:val="00382DCC"/>
    <w:rsid w:val="00383FAF"/>
    <w:rsid w:val="00384337"/>
    <w:rsid w:val="0038452F"/>
    <w:rsid w:val="00384894"/>
    <w:rsid w:val="00386180"/>
    <w:rsid w:val="003864C5"/>
    <w:rsid w:val="00386EC6"/>
    <w:rsid w:val="00393158"/>
    <w:rsid w:val="0039640E"/>
    <w:rsid w:val="00397ABB"/>
    <w:rsid w:val="003A59DB"/>
    <w:rsid w:val="003A6E2F"/>
    <w:rsid w:val="003A7F68"/>
    <w:rsid w:val="003C1140"/>
    <w:rsid w:val="003C172A"/>
    <w:rsid w:val="003D37B6"/>
    <w:rsid w:val="003D4901"/>
    <w:rsid w:val="003D57EE"/>
    <w:rsid w:val="003D7D4D"/>
    <w:rsid w:val="003E22CC"/>
    <w:rsid w:val="003E4A31"/>
    <w:rsid w:val="003E4A5C"/>
    <w:rsid w:val="003E4B88"/>
    <w:rsid w:val="003E6A2F"/>
    <w:rsid w:val="003F000F"/>
    <w:rsid w:val="003F11AE"/>
    <w:rsid w:val="003F23F3"/>
    <w:rsid w:val="003F2D6B"/>
    <w:rsid w:val="003F5702"/>
    <w:rsid w:val="003F6669"/>
    <w:rsid w:val="004012E8"/>
    <w:rsid w:val="00404528"/>
    <w:rsid w:val="0040596B"/>
    <w:rsid w:val="00414064"/>
    <w:rsid w:val="0041583B"/>
    <w:rsid w:val="00420BA1"/>
    <w:rsid w:val="00420F76"/>
    <w:rsid w:val="004210E6"/>
    <w:rsid w:val="00421CAE"/>
    <w:rsid w:val="0042200B"/>
    <w:rsid w:val="00432205"/>
    <w:rsid w:val="00432517"/>
    <w:rsid w:val="00434D5A"/>
    <w:rsid w:val="004378C8"/>
    <w:rsid w:val="004452B4"/>
    <w:rsid w:val="00446951"/>
    <w:rsid w:val="004507A7"/>
    <w:rsid w:val="0045138F"/>
    <w:rsid w:val="004519F4"/>
    <w:rsid w:val="004539F3"/>
    <w:rsid w:val="00455DB6"/>
    <w:rsid w:val="004628BF"/>
    <w:rsid w:val="00471AED"/>
    <w:rsid w:val="00472A19"/>
    <w:rsid w:val="00473666"/>
    <w:rsid w:val="00475124"/>
    <w:rsid w:val="00476573"/>
    <w:rsid w:val="00477161"/>
    <w:rsid w:val="00477F4C"/>
    <w:rsid w:val="00484286"/>
    <w:rsid w:val="004851FF"/>
    <w:rsid w:val="00486377"/>
    <w:rsid w:val="004866AF"/>
    <w:rsid w:val="00487F3E"/>
    <w:rsid w:val="00496934"/>
    <w:rsid w:val="00496D2E"/>
    <w:rsid w:val="00497117"/>
    <w:rsid w:val="004A01C5"/>
    <w:rsid w:val="004A059C"/>
    <w:rsid w:val="004B22DA"/>
    <w:rsid w:val="004B7191"/>
    <w:rsid w:val="004B7996"/>
    <w:rsid w:val="004C24BD"/>
    <w:rsid w:val="004C2C16"/>
    <w:rsid w:val="004C376F"/>
    <w:rsid w:val="004C3889"/>
    <w:rsid w:val="004C406B"/>
    <w:rsid w:val="004D146A"/>
    <w:rsid w:val="004D205C"/>
    <w:rsid w:val="004D4024"/>
    <w:rsid w:val="004D79F7"/>
    <w:rsid w:val="004E1134"/>
    <w:rsid w:val="004E2F7D"/>
    <w:rsid w:val="004E3240"/>
    <w:rsid w:val="004E5B00"/>
    <w:rsid w:val="004E71CB"/>
    <w:rsid w:val="004F3F5A"/>
    <w:rsid w:val="004F5CF8"/>
    <w:rsid w:val="00505050"/>
    <w:rsid w:val="0050725C"/>
    <w:rsid w:val="00507580"/>
    <w:rsid w:val="00507AC6"/>
    <w:rsid w:val="00513045"/>
    <w:rsid w:val="00515A62"/>
    <w:rsid w:val="00516508"/>
    <w:rsid w:val="00517EFD"/>
    <w:rsid w:val="00524C6F"/>
    <w:rsid w:val="00524E2F"/>
    <w:rsid w:val="00531EC5"/>
    <w:rsid w:val="005335EB"/>
    <w:rsid w:val="0053732D"/>
    <w:rsid w:val="00542789"/>
    <w:rsid w:val="00544557"/>
    <w:rsid w:val="00552BD8"/>
    <w:rsid w:val="005543EA"/>
    <w:rsid w:val="0055625D"/>
    <w:rsid w:val="005640BB"/>
    <w:rsid w:val="00567B94"/>
    <w:rsid w:val="00577316"/>
    <w:rsid w:val="0058062B"/>
    <w:rsid w:val="00581C05"/>
    <w:rsid w:val="005826F1"/>
    <w:rsid w:val="00584C4A"/>
    <w:rsid w:val="0058726F"/>
    <w:rsid w:val="005A19B8"/>
    <w:rsid w:val="005A63DA"/>
    <w:rsid w:val="005B08FA"/>
    <w:rsid w:val="005B7278"/>
    <w:rsid w:val="005B769E"/>
    <w:rsid w:val="005C29D6"/>
    <w:rsid w:val="005C4CC7"/>
    <w:rsid w:val="005C6038"/>
    <w:rsid w:val="005C7994"/>
    <w:rsid w:val="005D0446"/>
    <w:rsid w:val="005D0B13"/>
    <w:rsid w:val="005D0FA4"/>
    <w:rsid w:val="005D2ACC"/>
    <w:rsid w:val="005E7037"/>
    <w:rsid w:val="005F502E"/>
    <w:rsid w:val="0060048E"/>
    <w:rsid w:val="00602B13"/>
    <w:rsid w:val="00604468"/>
    <w:rsid w:val="00605E43"/>
    <w:rsid w:val="006077FE"/>
    <w:rsid w:val="00610628"/>
    <w:rsid w:val="00612C3E"/>
    <w:rsid w:val="00614C52"/>
    <w:rsid w:val="006165A2"/>
    <w:rsid w:val="00624AEE"/>
    <w:rsid w:val="006256B8"/>
    <w:rsid w:val="006367F9"/>
    <w:rsid w:val="00636D72"/>
    <w:rsid w:val="00637057"/>
    <w:rsid w:val="006430F5"/>
    <w:rsid w:val="00644D81"/>
    <w:rsid w:val="00646D89"/>
    <w:rsid w:val="006510CC"/>
    <w:rsid w:val="006511FF"/>
    <w:rsid w:val="0066085E"/>
    <w:rsid w:val="00662FCD"/>
    <w:rsid w:val="006814CA"/>
    <w:rsid w:val="006835BA"/>
    <w:rsid w:val="00686415"/>
    <w:rsid w:val="00695D49"/>
    <w:rsid w:val="006A0774"/>
    <w:rsid w:val="006B285F"/>
    <w:rsid w:val="006B5FBB"/>
    <w:rsid w:val="006C3F01"/>
    <w:rsid w:val="006C41B4"/>
    <w:rsid w:val="006C6678"/>
    <w:rsid w:val="006C691F"/>
    <w:rsid w:val="006D0698"/>
    <w:rsid w:val="006D254B"/>
    <w:rsid w:val="006D49CD"/>
    <w:rsid w:val="006D643C"/>
    <w:rsid w:val="006E1471"/>
    <w:rsid w:val="006E159D"/>
    <w:rsid w:val="006E2E8B"/>
    <w:rsid w:val="006E59DC"/>
    <w:rsid w:val="006E729C"/>
    <w:rsid w:val="006F2C79"/>
    <w:rsid w:val="006F386B"/>
    <w:rsid w:val="006F4228"/>
    <w:rsid w:val="00700133"/>
    <w:rsid w:val="00701769"/>
    <w:rsid w:val="007029F9"/>
    <w:rsid w:val="00710642"/>
    <w:rsid w:val="00710FEB"/>
    <w:rsid w:val="007116CD"/>
    <w:rsid w:val="00722DC5"/>
    <w:rsid w:val="00723EEF"/>
    <w:rsid w:val="00725422"/>
    <w:rsid w:val="00730537"/>
    <w:rsid w:val="00731B85"/>
    <w:rsid w:val="00734E56"/>
    <w:rsid w:val="007368EB"/>
    <w:rsid w:val="00740631"/>
    <w:rsid w:val="00740825"/>
    <w:rsid w:val="00761EEC"/>
    <w:rsid w:val="007627A8"/>
    <w:rsid w:val="00762905"/>
    <w:rsid w:val="00765073"/>
    <w:rsid w:val="0076792C"/>
    <w:rsid w:val="00773804"/>
    <w:rsid w:val="00775309"/>
    <w:rsid w:val="00776281"/>
    <w:rsid w:val="007775F2"/>
    <w:rsid w:val="00783BA6"/>
    <w:rsid w:val="007855DD"/>
    <w:rsid w:val="0079197E"/>
    <w:rsid w:val="007A231B"/>
    <w:rsid w:val="007A750A"/>
    <w:rsid w:val="007B09A8"/>
    <w:rsid w:val="007B162F"/>
    <w:rsid w:val="007B21BB"/>
    <w:rsid w:val="007B47D1"/>
    <w:rsid w:val="007C01DF"/>
    <w:rsid w:val="007C23CC"/>
    <w:rsid w:val="007D1608"/>
    <w:rsid w:val="007D1894"/>
    <w:rsid w:val="007D1B4F"/>
    <w:rsid w:val="007D2B45"/>
    <w:rsid w:val="007D466D"/>
    <w:rsid w:val="007D67CE"/>
    <w:rsid w:val="007D74EE"/>
    <w:rsid w:val="007E038A"/>
    <w:rsid w:val="007E1CE4"/>
    <w:rsid w:val="007F1AD0"/>
    <w:rsid w:val="007F601F"/>
    <w:rsid w:val="007F6832"/>
    <w:rsid w:val="00800161"/>
    <w:rsid w:val="00800ACB"/>
    <w:rsid w:val="00802319"/>
    <w:rsid w:val="0080679C"/>
    <w:rsid w:val="00811713"/>
    <w:rsid w:val="00813339"/>
    <w:rsid w:val="00814ECD"/>
    <w:rsid w:val="008169C4"/>
    <w:rsid w:val="00825169"/>
    <w:rsid w:val="0082581A"/>
    <w:rsid w:val="008276F8"/>
    <w:rsid w:val="008303AA"/>
    <w:rsid w:val="00836DF2"/>
    <w:rsid w:val="008419E4"/>
    <w:rsid w:val="00851798"/>
    <w:rsid w:val="00855EB2"/>
    <w:rsid w:val="008643FC"/>
    <w:rsid w:val="00871A6A"/>
    <w:rsid w:val="008728CE"/>
    <w:rsid w:val="008750D9"/>
    <w:rsid w:val="0087524F"/>
    <w:rsid w:val="00875256"/>
    <w:rsid w:val="00875711"/>
    <w:rsid w:val="008805EF"/>
    <w:rsid w:val="00881F6D"/>
    <w:rsid w:val="00883420"/>
    <w:rsid w:val="00883945"/>
    <w:rsid w:val="0088699B"/>
    <w:rsid w:val="00886C93"/>
    <w:rsid w:val="0089150E"/>
    <w:rsid w:val="008964C6"/>
    <w:rsid w:val="008A1745"/>
    <w:rsid w:val="008B4D18"/>
    <w:rsid w:val="008B5A77"/>
    <w:rsid w:val="008B5D3C"/>
    <w:rsid w:val="008B6F83"/>
    <w:rsid w:val="008C3FB5"/>
    <w:rsid w:val="008C6CD1"/>
    <w:rsid w:val="008C7938"/>
    <w:rsid w:val="008C79CF"/>
    <w:rsid w:val="008D72C9"/>
    <w:rsid w:val="008E289E"/>
    <w:rsid w:val="008E3258"/>
    <w:rsid w:val="008E5539"/>
    <w:rsid w:val="008F09F9"/>
    <w:rsid w:val="008F28E8"/>
    <w:rsid w:val="008F529D"/>
    <w:rsid w:val="008F55F5"/>
    <w:rsid w:val="008F6B44"/>
    <w:rsid w:val="00900F78"/>
    <w:rsid w:val="00901035"/>
    <w:rsid w:val="00903D81"/>
    <w:rsid w:val="009054B6"/>
    <w:rsid w:val="009061D7"/>
    <w:rsid w:val="00910478"/>
    <w:rsid w:val="009116EC"/>
    <w:rsid w:val="0091651A"/>
    <w:rsid w:val="00917915"/>
    <w:rsid w:val="00925315"/>
    <w:rsid w:val="00927732"/>
    <w:rsid w:val="00931C27"/>
    <w:rsid w:val="00933408"/>
    <w:rsid w:val="00940E48"/>
    <w:rsid w:val="0094381B"/>
    <w:rsid w:val="00943845"/>
    <w:rsid w:val="0094443F"/>
    <w:rsid w:val="00952CB4"/>
    <w:rsid w:val="00961F25"/>
    <w:rsid w:val="00962713"/>
    <w:rsid w:val="00962880"/>
    <w:rsid w:val="009658C3"/>
    <w:rsid w:val="00966136"/>
    <w:rsid w:val="00966705"/>
    <w:rsid w:val="00976715"/>
    <w:rsid w:val="00980350"/>
    <w:rsid w:val="00981FBE"/>
    <w:rsid w:val="00985B2F"/>
    <w:rsid w:val="0098668B"/>
    <w:rsid w:val="00987058"/>
    <w:rsid w:val="009872FB"/>
    <w:rsid w:val="00987533"/>
    <w:rsid w:val="0099494F"/>
    <w:rsid w:val="00995ECD"/>
    <w:rsid w:val="00996F08"/>
    <w:rsid w:val="009A5BEA"/>
    <w:rsid w:val="009A6712"/>
    <w:rsid w:val="009B095D"/>
    <w:rsid w:val="009B34F3"/>
    <w:rsid w:val="009B46B8"/>
    <w:rsid w:val="009C57C9"/>
    <w:rsid w:val="009C6B42"/>
    <w:rsid w:val="009D6D31"/>
    <w:rsid w:val="009E126C"/>
    <w:rsid w:val="009E4420"/>
    <w:rsid w:val="009E5E4C"/>
    <w:rsid w:val="009E6854"/>
    <w:rsid w:val="009E7A44"/>
    <w:rsid w:val="009F4144"/>
    <w:rsid w:val="009F5956"/>
    <w:rsid w:val="00A02D59"/>
    <w:rsid w:val="00A04285"/>
    <w:rsid w:val="00A06047"/>
    <w:rsid w:val="00A06DDE"/>
    <w:rsid w:val="00A12112"/>
    <w:rsid w:val="00A138C7"/>
    <w:rsid w:val="00A25D32"/>
    <w:rsid w:val="00A273DF"/>
    <w:rsid w:val="00A3130D"/>
    <w:rsid w:val="00A322CF"/>
    <w:rsid w:val="00A32340"/>
    <w:rsid w:val="00A42F78"/>
    <w:rsid w:val="00A4565F"/>
    <w:rsid w:val="00A464D8"/>
    <w:rsid w:val="00A47A49"/>
    <w:rsid w:val="00A5169C"/>
    <w:rsid w:val="00A5244A"/>
    <w:rsid w:val="00A52B37"/>
    <w:rsid w:val="00A57CB6"/>
    <w:rsid w:val="00A601CE"/>
    <w:rsid w:val="00A63FC3"/>
    <w:rsid w:val="00A70A2A"/>
    <w:rsid w:val="00A7261B"/>
    <w:rsid w:val="00A727C4"/>
    <w:rsid w:val="00A74B3E"/>
    <w:rsid w:val="00A75B22"/>
    <w:rsid w:val="00A7615D"/>
    <w:rsid w:val="00A76864"/>
    <w:rsid w:val="00A77B5A"/>
    <w:rsid w:val="00A8330F"/>
    <w:rsid w:val="00A8460F"/>
    <w:rsid w:val="00A932E0"/>
    <w:rsid w:val="00A935B4"/>
    <w:rsid w:val="00A9372C"/>
    <w:rsid w:val="00AA007A"/>
    <w:rsid w:val="00AA554A"/>
    <w:rsid w:val="00AA7C4A"/>
    <w:rsid w:val="00AA7C86"/>
    <w:rsid w:val="00AB50BC"/>
    <w:rsid w:val="00AC7CCC"/>
    <w:rsid w:val="00AC7EF7"/>
    <w:rsid w:val="00AC7F0D"/>
    <w:rsid w:val="00AD0C78"/>
    <w:rsid w:val="00AD0F7D"/>
    <w:rsid w:val="00AD3778"/>
    <w:rsid w:val="00AD7667"/>
    <w:rsid w:val="00AE0E17"/>
    <w:rsid w:val="00AF1609"/>
    <w:rsid w:val="00AF2D17"/>
    <w:rsid w:val="00AF2FE9"/>
    <w:rsid w:val="00B0147E"/>
    <w:rsid w:val="00B01BD8"/>
    <w:rsid w:val="00B041DE"/>
    <w:rsid w:val="00B0616D"/>
    <w:rsid w:val="00B0736D"/>
    <w:rsid w:val="00B24BB5"/>
    <w:rsid w:val="00B30210"/>
    <w:rsid w:val="00B30289"/>
    <w:rsid w:val="00B31C90"/>
    <w:rsid w:val="00B33468"/>
    <w:rsid w:val="00B33DF2"/>
    <w:rsid w:val="00B34B42"/>
    <w:rsid w:val="00B361A9"/>
    <w:rsid w:val="00B41071"/>
    <w:rsid w:val="00B41260"/>
    <w:rsid w:val="00B47751"/>
    <w:rsid w:val="00B50B43"/>
    <w:rsid w:val="00B515EB"/>
    <w:rsid w:val="00B54020"/>
    <w:rsid w:val="00B55D94"/>
    <w:rsid w:val="00B61EDD"/>
    <w:rsid w:val="00B62A46"/>
    <w:rsid w:val="00B65917"/>
    <w:rsid w:val="00B66C3C"/>
    <w:rsid w:val="00B704EB"/>
    <w:rsid w:val="00B8177B"/>
    <w:rsid w:val="00B8441A"/>
    <w:rsid w:val="00B87D6A"/>
    <w:rsid w:val="00B908E6"/>
    <w:rsid w:val="00B90BAD"/>
    <w:rsid w:val="00B9240C"/>
    <w:rsid w:val="00B9353C"/>
    <w:rsid w:val="00BA1C24"/>
    <w:rsid w:val="00BA227D"/>
    <w:rsid w:val="00BA4E0D"/>
    <w:rsid w:val="00BB40AF"/>
    <w:rsid w:val="00BB57E3"/>
    <w:rsid w:val="00BC214B"/>
    <w:rsid w:val="00BC3C98"/>
    <w:rsid w:val="00BC5055"/>
    <w:rsid w:val="00BC521A"/>
    <w:rsid w:val="00BC7FE3"/>
    <w:rsid w:val="00BD0E84"/>
    <w:rsid w:val="00BD168B"/>
    <w:rsid w:val="00BD7ECF"/>
    <w:rsid w:val="00BE20FA"/>
    <w:rsid w:val="00BE545D"/>
    <w:rsid w:val="00BE6340"/>
    <w:rsid w:val="00BE7784"/>
    <w:rsid w:val="00BF0F47"/>
    <w:rsid w:val="00BF2877"/>
    <w:rsid w:val="00BF55E1"/>
    <w:rsid w:val="00C0028F"/>
    <w:rsid w:val="00C003E7"/>
    <w:rsid w:val="00C06003"/>
    <w:rsid w:val="00C062CB"/>
    <w:rsid w:val="00C10FF5"/>
    <w:rsid w:val="00C1475C"/>
    <w:rsid w:val="00C1770E"/>
    <w:rsid w:val="00C21A7C"/>
    <w:rsid w:val="00C247AB"/>
    <w:rsid w:val="00C2623C"/>
    <w:rsid w:val="00C2698E"/>
    <w:rsid w:val="00C27227"/>
    <w:rsid w:val="00C3477C"/>
    <w:rsid w:val="00C34B97"/>
    <w:rsid w:val="00C40A08"/>
    <w:rsid w:val="00C42A28"/>
    <w:rsid w:val="00C458B6"/>
    <w:rsid w:val="00C46A0A"/>
    <w:rsid w:val="00C5241C"/>
    <w:rsid w:val="00C5532E"/>
    <w:rsid w:val="00C55AED"/>
    <w:rsid w:val="00C55DBA"/>
    <w:rsid w:val="00C605A6"/>
    <w:rsid w:val="00C617CC"/>
    <w:rsid w:val="00C629FB"/>
    <w:rsid w:val="00C642E1"/>
    <w:rsid w:val="00C7343D"/>
    <w:rsid w:val="00C81602"/>
    <w:rsid w:val="00C82D76"/>
    <w:rsid w:val="00C833DB"/>
    <w:rsid w:val="00C90934"/>
    <w:rsid w:val="00C946E2"/>
    <w:rsid w:val="00CA166D"/>
    <w:rsid w:val="00CA16D0"/>
    <w:rsid w:val="00CA34B9"/>
    <w:rsid w:val="00CA549A"/>
    <w:rsid w:val="00CB4033"/>
    <w:rsid w:val="00CB41C2"/>
    <w:rsid w:val="00CB48A5"/>
    <w:rsid w:val="00CB5397"/>
    <w:rsid w:val="00CB68ED"/>
    <w:rsid w:val="00CC0160"/>
    <w:rsid w:val="00CC2AEF"/>
    <w:rsid w:val="00CC3C16"/>
    <w:rsid w:val="00CC4698"/>
    <w:rsid w:val="00CC6F70"/>
    <w:rsid w:val="00CD11C7"/>
    <w:rsid w:val="00CD2E79"/>
    <w:rsid w:val="00CD4B48"/>
    <w:rsid w:val="00CD6676"/>
    <w:rsid w:val="00CD6AFD"/>
    <w:rsid w:val="00CE5408"/>
    <w:rsid w:val="00CE5B41"/>
    <w:rsid w:val="00CE5EE3"/>
    <w:rsid w:val="00CE77EC"/>
    <w:rsid w:val="00CE7BC0"/>
    <w:rsid w:val="00CF2033"/>
    <w:rsid w:val="00CF2F57"/>
    <w:rsid w:val="00CF37D8"/>
    <w:rsid w:val="00CF3F73"/>
    <w:rsid w:val="00CF4DBC"/>
    <w:rsid w:val="00CF62EF"/>
    <w:rsid w:val="00CF6B7A"/>
    <w:rsid w:val="00CF71F1"/>
    <w:rsid w:val="00D02F75"/>
    <w:rsid w:val="00D0720A"/>
    <w:rsid w:val="00D11DF3"/>
    <w:rsid w:val="00D16C6D"/>
    <w:rsid w:val="00D247AE"/>
    <w:rsid w:val="00D30BEB"/>
    <w:rsid w:val="00D34998"/>
    <w:rsid w:val="00D43B4E"/>
    <w:rsid w:val="00D454D9"/>
    <w:rsid w:val="00D464B6"/>
    <w:rsid w:val="00D502E2"/>
    <w:rsid w:val="00D6097C"/>
    <w:rsid w:val="00D60C7A"/>
    <w:rsid w:val="00D64460"/>
    <w:rsid w:val="00D6465D"/>
    <w:rsid w:val="00D66CA7"/>
    <w:rsid w:val="00D6713A"/>
    <w:rsid w:val="00D704B9"/>
    <w:rsid w:val="00D7483E"/>
    <w:rsid w:val="00D76400"/>
    <w:rsid w:val="00D77F47"/>
    <w:rsid w:val="00D802A2"/>
    <w:rsid w:val="00D83E88"/>
    <w:rsid w:val="00D8438B"/>
    <w:rsid w:val="00D84C01"/>
    <w:rsid w:val="00D86E40"/>
    <w:rsid w:val="00DA058D"/>
    <w:rsid w:val="00DA5428"/>
    <w:rsid w:val="00DB0387"/>
    <w:rsid w:val="00DB3A78"/>
    <w:rsid w:val="00DB4DEC"/>
    <w:rsid w:val="00DB5B96"/>
    <w:rsid w:val="00DB60DB"/>
    <w:rsid w:val="00DB6BA7"/>
    <w:rsid w:val="00DB6CDB"/>
    <w:rsid w:val="00DC14B5"/>
    <w:rsid w:val="00DC2AB2"/>
    <w:rsid w:val="00DC3FEC"/>
    <w:rsid w:val="00DD15CF"/>
    <w:rsid w:val="00DD26C9"/>
    <w:rsid w:val="00DD2FB1"/>
    <w:rsid w:val="00DD3B5B"/>
    <w:rsid w:val="00DD3D96"/>
    <w:rsid w:val="00DD7D80"/>
    <w:rsid w:val="00DE02EB"/>
    <w:rsid w:val="00DE15EC"/>
    <w:rsid w:val="00DE5734"/>
    <w:rsid w:val="00DF53FE"/>
    <w:rsid w:val="00DF5FD4"/>
    <w:rsid w:val="00E00603"/>
    <w:rsid w:val="00E07F9C"/>
    <w:rsid w:val="00E103AE"/>
    <w:rsid w:val="00E13778"/>
    <w:rsid w:val="00E20C08"/>
    <w:rsid w:val="00E229B8"/>
    <w:rsid w:val="00E25770"/>
    <w:rsid w:val="00E2644F"/>
    <w:rsid w:val="00E308A1"/>
    <w:rsid w:val="00E36559"/>
    <w:rsid w:val="00E3780C"/>
    <w:rsid w:val="00E46C0F"/>
    <w:rsid w:val="00E47B57"/>
    <w:rsid w:val="00E509C1"/>
    <w:rsid w:val="00E55DAC"/>
    <w:rsid w:val="00E61E14"/>
    <w:rsid w:val="00E62FD5"/>
    <w:rsid w:val="00E707F9"/>
    <w:rsid w:val="00E71133"/>
    <w:rsid w:val="00E72F51"/>
    <w:rsid w:val="00E74B8D"/>
    <w:rsid w:val="00E8237E"/>
    <w:rsid w:val="00E82659"/>
    <w:rsid w:val="00E8341B"/>
    <w:rsid w:val="00E97831"/>
    <w:rsid w:val="00EA14CE"/>
    <w:rsid w:val="00EA1953"/>
    <w:rsid w:val="00EA1B01"/>
    <w:rsid w:val="00EA3E42"/>
    <w:rsid w:val="00EA5827"/>
    <w:rsid w:val="00EB1183"/>
    <w:rsid w:val="00EB21F7"/>
    <w:rsid w:val="00EB550E"/>
    <w:rsid w:val="00EC022B"/>
    <w:rsid w:val="00EC0434"/>
    <w:rsid w:val="00EC3112"/>
    <w:rsid w:val="00EC3D68"/>
    <w:rsid w:val="00EC5561"/>
    <w:rsid w:val="00EC7FBE"/>
    <w:rsid w:val="00ED0CE8"/>
    <w:rsid w:val="00ED0D18"/>
    <w:rsid w:val="00ED17D1"/>
    <w:rsid w:val="00ED317C"/>
    <w:rsid w:val="00ED411C"/>
    <w:rsid w:val="00ED4345"/>
    <w:rsid w:val="00EE10BB"/>
    <w:rsid w:val="00EE391D"/>
    <w:rsid w:val="00EE3C2A"/>
    <w:rsid w:val="00EE4F06"/>
    <w:rsid w:val="00EE5652"/>
    <w:rsid w:val="00EE6AD2"/>
    <w:rsid w:val="00EF4054"/>
    <w:rsid w:val="00EF4CA5"/>
    <w:rsid w:val="00EF5AD0"/>
    <w:rsid w:val="00EF6462"/>
    <w:rsid w:val="00EF6FC3"/>
    <w:rsid w:val="00F04694"/>
    <w:rsid w:val="00F119F1"/>
    <w:rsid w:val="00F14348"/>
    <w:rsid w:val="00F15A2A"/>
    <w:rsid w:val="00F15C57"/>
    <w:rsid w:val="00F2019C"/>
    <w:rsid w:val="00F2031E"/>
    <w:rsid w:val="00F20785"/>
    <w:rsid w:val="00F2200F"/>
    <w:rsid w:val="00F22534"/>
    <w:rsid w:val="00F24071"/>
    <w:rsid w:val="00F24F07"/>
    <w:rsid w:val="00F25910"/>
    <w:rsid w:val="00F259A8"/>
    <w:rsid w:val="00F25EE8"/>
    <w:rsid w:val="00F26DBD"/>
    <w:rsid w:val="00F33631"/>
    <w:rsid w:val="00F40141"/>
    <w:rsid w:val="00F464A8"/>
    <w:rsid w:val="00F46522"/>
    <w:rsid w:val="00F53DF1"/>
    <w:rsid w:val="00F5789A"/>
    <w:rsid w:val="00F602AD"/>
    <w:rsid w:val="00F643F8"/>
    <w:rsid w:val="00F66177"/>
    <w:rsid w:val="00F7561B"/>
    <w:rsid w:val="00F8071A"/>
    <w:rsid w:val="00F81C9A"/>
    <w:rsid w:val="00F83E0F"/>
    <w:rsid w:val="00F85AAC"/>
    <w:rsid w:val="00F969BB"/>
    <w:rsid w:val="00F96AC2"/>
    <w:rsid w:val="00FA10AE"/>
    <w:rsid w:val="00FA162A"/>
    <w:rsid w:val="00FA4645"/>
    <w:rsid w:val="00FB620A"/>
    <w:rsid w:val="00FB7768"/>
    <w:rsid w:val="00FC4BD9"/>
    <w:rsid w:val="00FD23D2"/>
    <w:rsid w:val="00FD3CDA"/>
    <w:rsid w:val="00FE10C0"/>
    <w:rsid w:val="00FE17CF"/>
    <w:rsid w:val="00FE20A6"/>
    <w:rsid w:val="00FE45AB"/>
    <w:rsid w:val="00FE501D"/>
    <w:rsid w:val="00FE5FE9"/>
    <w:rsid w:val="00FE6203"/>
    <w:rsid w:val="00FE73F5"/>
    <w:rsid w:val="00FF050C"/>
    <w:rsid w:val="00FF6BC1"/>
    <w:rsid w:val="00FF7239"/>
    <w:rsid w:val="00FF79E0"/>
    <w:rsid w:val="04B83119"/>
    <w:rsid w:val="055761F1"/>
    <w:rsid w:val="066A3B1B"/>
    <w:rsid w:val="07C81AB0"/>
    <w:rsid w:val="07E94ABF"/>
    <w:rsid w:val="0B2A56FA"/>
    <w:rsid w:val="0D106D4A"/>
    <w:rsid w:val="0E8D45A0"/>
    <w:rsid w:val="0FB81B0E"/>
    <w:rsid w:val="108F6731"/>
    <w:rsid w:val="11960C12"/>
    <w:rsid w:val="12040C45"/>
    <w:rsid w:val="128C76F1"/>
    <w:rsid w:val="13E63927"/>
    <w:rsid w:val="14D519D8"/>
    <w:rsid w:val="15001330"/>
    <w:rsid w:val="19720CC7"/>
    <w:rsid w:val="1BDF63BE"/>
    <w:rsid w:val="1D0A6DBB"/>
    <w:rsid w:val="1D4961E3"/>
    <w:rsid w:val="1FA010F4"/>
    <w:rsid w:val="1FAE3C9C"/>
    <w:rsid w:val="1FBE26E6"/>
    <w:rsid w:val="237139A2"/>
    <w:rsid w:val="23A31CB8"/>
    <w:rsid w:val="244279C3"/>
    <w:rsid w:val="24BB7BCD"/>
    <w:rsid w:val="25CE4A8D"/>
    <w:rsid w:val="268A173F"/>
    <w:rsid w:val="27EE7CFB"/>
    <w:rsid w:val="28355CE1"/>
    <w:rsid w:val="2B0C298E"/>
    <w:rsid w:val="2F4F0A2B"/>
    <w:rsid w:val="2FC67770"/>
    <w:rsid w:val="307D7A66"/>
    <w:rsid w:val="31647D4D"/>
    <w:rsid w:val="32222106"/>
    <w:rsid w:val="32D52F62"/>
    <w:rsid w:val="32EC5C30"/>
    <w:rsid w:val="37586073"/>
    <w:rsid w:val="388A0973"/>
    <w:rsid w:val="38FA4B48"/>
    <w:rsid w:val="3A7573B0"/>
    <w:rsid w:val="43803E5D"/>
    <w:rsid w:val="46F4281B"/>
    <w:rsid w:val="47DA297F"/>
    <w:rsid w:val="483B655E"/>
    <w:rsid w:val="48746A4C"/>
    <w:rsid w:val="4A920FB1"/>
    <w:rsid w:val="4B38393E"/>
    <w:rsid w:val="4BC11292"/>
    <w:rsid w:val="4BD268AB"/>
    <w:rsid w:val="4DAB168B"/>
    <w:rsid w:val="4E8906DD"/>
    <w:rsid w:val="4FEB2910"/>
    <w:rsid w:val="500073C7"/>
    <w:rsid w:val="5035066A"/>
    <w:rsid w:val="54530040"/>
    <w:rsid w:val="55FF05A7"/>
    <w:rsid w:val="56212123"/>
    <w:rsid w:val="56673AAC"/>
    <w:rsid w:val="570F21C1"/>
    <w:rsid w:val="58B07B73"/>
    <w:rsid w:val="58EC74F5"/>
    <w:rsid w:val="59066C85"/>
    <w:rsid w:val="59150EB1"/>
    <w:rsid w:val="59234496"/>
    <w:rsid w:val="5927319E"/>
    <w:rsid w:val="5EB70510"/>
    <w:rsid w:val="5F884F5C"/>
    <w:rsid w:val="62BF60D7"/>
    <w:rsid w:val="62EB24DE"/>
    <w:rsid w:val="69E61C71"/>
    <w:rsid w:val="6ADF7BCE"/>
    <w:rsid w:val="6D7B106D"/>
    <w:rsid w:val="6DCD1231"/>
    <w:rsid w:val="6DF73DDD"/>
    <w:rsid w:val="745028F8"/>
    <w:rsid w:val="75D91ABC"/>
    <w:rsid w:val="7B39106A"/>
    <w:rsid w:val="7C0E3FAE"/>
    <w:rsid w:val="7EC61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5"/>
    <w:next w:val="7"/>
    <w:qFormat/>
    <w:uiPriority w:val="0"/>
    <w:pPr>
      <w:keepNext w:val="0"/>
      <w:keepLines w:val="0"/>
      <w:numPr>
        <w:ilvl w:val="3"/>
        <w:numId w:val="1"/>
      </w:numPr>
      <w:tabs>
        <w:tab w:val="left" w:pos="900"/>
        <w:tab w:val="left" w:pos="1080"/>
      </w:tabs>
      <w:spacing w:before="156" w:beforeLines="50" w:after="156" w:afterLines="50" w:line="360" w:lineRule="auto"/>
      <w:ind w:firstLine="200" w:firstLineChars="200"/>
      <w:jc w:val="center"/>
      <w:outlineLvl w:val="3"/>
    </w:pPr>
    <w:rPr>
      <w:rFonts w:ascii="Arial" w:hAnsi="Arial" w:eastAsia="黑体"/>
      <w:sz w:val="24"/>
      <w:szCs w:val="24"/>
    </w:rPr>
  </w:style>
  <w:style w:type="paragraph" w:styleId="8">
    <w:name w:val="heading 5"/>
    <w:basedOn w:val="6"/>
    <w:next w:val="7"/>
    <w:qFormat/>
    <w:uiPriority w:val="0"/>
    <w:pPr>
      <w:numPr>
        <w:ilvl w:val="4"/>
      </w:numPr>
      <w:spacing w:line="240" w:lineRule="exact"/>
      <w:outlineLvl w:val="4"/>
    </w:pPr>
  </w:style>
  <w:style w:type="paragraph" w:styleId="9">
    <w:name w:val="heading 7"/>
    <w:basedOn w:val="1"/>
    <w:next w:val="7"/>
    <w:qFormat/>
    <w:uiPriority w:val="0"/>
    <w:pPr>
      <w:keepNext/>
      <w:keepLines/>
      <w:numPr>
        <w:ilvl w:val="6"/>
        <w:numId w:val="1"/>
      </w:numPr>
      <w:spacing w:before="240" w:after="64" w:line="320" w:lineRule="auto"/>
      <w:outlineLvl w:val="6"/>
    </w:pPr>
    <w:rPr>
      <w:b/>
      <w:sz w:val="24"/>
      <w:szCs w:val="20"/>
    </w:rPr>
  </w:style>
  <w:style w:type="paragraph" w:styleId="10">
    <w:name w:val="heading 8"/>
    <w:basedOn w:val="1"/>
    <w:next w:val="7"/>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1">
    <w:name w:val="heading 9"/>
    <w:basedOn w:val="1"/>
    <w:next w:val="7"/>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53"/>
    <w:qFormat/>
    <w:uiPriority w:val="0"/>
    <w:rPr>
      <w:rFonts w:ascii="宋体" w:hAnsi="Courier New" w:eastAsia="楷体_GB2312"/>
      <w:szCs w:val="20"/>
    </w:rPr>
  </w:style>
  <w:style w:type="paragraph" w:styleId="7">
    <w:name w:val="Normal Indent"/>
    <w:basedOn w:val="1"/>
    <w:qFormat/>
    <w:uiPriority w:val="99"/>
    <w:pPr>
      <w:ind w:firstLine="420" w:firstLineChars="200"/>
    </w:pPr>
  </w:style>
  <w:style w:type="paragraph" w:styleId="12">
    <w:name w:val="Document Map"/>
    <w:basedOn w:val="1"/>
    <w:qFormat/>
    <w:uiPriority w:val="0"/>
    <w:pPr>
      <w:shd w:val="clear" w:color="auto" w:fill="000080"/>
    </w:pPr>
  </w:style>
  <w:style w:type="paragraph" w:styleId="13">
    <w:name w:val="annotation text"/>
    <w:basedOn w:val="1"/>
    <w:link w:val="56"/>
    <w:unhideWhenUsed/>
    <w:qFormat/>
    <w:uiPriority w:val="99"/>
    <w:pPr>
      <w:jc w:val="left"/>
    </w:pPr>
  </w:style>
  <w:style w:type="paragraph" w:styleId="14">
    <w:name w:val="Body Text Indent"/>
    <w:basedOn w:val="1"/>
    <w:link w:val="60"/>
    <w:qFormat/>
    <w:uiPriority w:val="0"/>
    <w:pPr>
      <w:ind w:firstLine="630"/>
    </w:pPr>
    <w:rPr>
      <w:rFonts w:ascii="宋体"/>
      <w:kern w:val="0"/>
      <w:sz w:val="32"/>
      <w:szCs w:val="20"/>
    </w:rPr>
  </w:style>
  <w:style w:type="paragraph" w:styleId="15">
    <w:name w:val="toc 3"/>
    <w:basedOn w:val="1"/>
    <w:next w:val="1"/>
    <w:qFormat/>
    <w:uiPriority w:val="0"/>
    <w:pPr>
      <w:ind w:left="840" w:leftChars="400"/>
    </w:pPr>
  </w:style>
  <w:style w:type="paragraph" w:styleId="16">
    <w:name w:val="Date"/>
    <w:basedOn w:val="1"/>
    <w:next w:val="1"/>
    <w:link w:val="55"/>
    <w:unhideWhenUsed/>
    <w:qFormat/>
    <w:uiPriority w:val="99"/>
    <w:pPr>
      <w:ind w:left="100" w:leftChars="2500"/>
    </w:pPr>
  </w:style>
  <w:style w:type="paragraph" w:styleId="17">
    <w:name w:val="Balloon Text"/>
    <w:basedOn w:val="1"/>
    <w:semiHidden/>
    <w:qFormat/>
    <w:uiPriority w:val="0"/>
    <w:rPr>
      <w:sz w:val="18"/>
      <w:szCs w:val="18"/>
    </w:rPr>
  </w:style>
  <w:style w:type="paragraph" w:styleId="18">
    <w:name w:val="footer"/>
    <w:basedOn w:val="1"/>
    <w:link w:val="51"/>
    <w:qFormat/>
    <w:uiPriority w:val="99"/>
    <w:pPr>
      <w:tabs>
        <w:tab w:val="center" w:pos="4153"/>
        <w:tab w:val="right" w:pos="8306"/>
      </w:tabs>
      <w:snapToGrid w:val="0"/>
      <w:jc w:val="left"/>
    </w:pPr>
    <w:rPr>
      <w:sz w:val="18"/>
      <w:szCs w:val="18"/>
    </w:rPr>
  </w:style>
  <w:style w:type="paragraph" w:styleId="19">
    <w:name w:val="header"/>
    <w:basedOn w:val="1"/>
    <w:link w:val="57"/>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style>
  <w:style w:type="paragraph" w:styleId="21">
    <w:name w:val="table of figures"/>
    <w:basedOn w:val="1"/>
    <w:next w:val="1"/>
    <w:qFormat/>
    <w:uiPriority w:val="0"/>
    <w:pPr>
      <w:ind w:left="840" w:leftChars="200" w:hanging="420" w:hangingChars="200"/>
    </w:pPr>
  </w:style>
  <w:style w:type="paragraph" w:styleId="22">
    <w:name w:val="toc 2"/>
    <w:basedOn w:val="1"/>
    <w:next w:val="1"/>
    <w:qFormat/>
    <w:uiPriority w:val="0"/>
    <w:pPr>
      <w:ind w:left="420" w:leftChars="200"/>
    </w:pPr>
  </w:style>
  <w:style w:type="paragraph" w:styleId="23">
    <w:name w:val="Normal (Web)"/>
    <w:basedOn w:val="1"/>
    <w:qFormat/>
    <w:uiPriority w:val="0"/>
    <w:pPr>
      <w:widowControl/>
      <w:spacing w:before="100" w:beforeAutospacing="1" w:after="100" w:afterAutospacing="1"/>
      <w:jc w:val="left"/>
    </w:pPr>
    <w:rPr>
      <w:rFonts w:ascii="宋体" w:hAnsi="宋体"/>
      <w:kern w:val="0"/>
      <w:sz w:val="24"/>
    </w:rPr>
  </w:style>
  <w:style w:type="paragraph" w:styleId="24">
    <w:name w:val="Title"/>
    <w:basedOn w:val="1"/>
    <w:qFormat/>
    <w:uiPriority w:val="0"/>
    <w:pPr>
      <w:spacing w:before="240" w:after="60"/>
      <w:jc w:val="center"/>
      <w:outlineLvl w:val="0"/>
    </w:pPr>
    <w:rPr>
      <w:rFonts w:ascii="Arial" w:hAnsi="Arial" w:cs="Arial"/>
      <w:b/>
      <w:bCs/>
      <w:sz w:val="32"/>
      <w:szCs w:val="32"/>
    </w:rPr>
  </w:style>
  <w:style w:type="paragraph" w:styleId="25">
    <w:name w:val="annotation subject"/>
    <w:basedOn w:val="13"/>
    <w:next w:val="13"/>
    <w:link w:val="59"/>
    <w:unhideWhenUsed/>
    <w:qFormat/>
    <w:uiPriority w:val="99"/>
    <w:rPr>
      <w:b/>
      <w:bCs/>
    </w:rPr>
  </w:style>
  <w:style w:type="character" w:styleId="28">
    <w:name w:val="page number"/>
    <w:basedOn w:val="27"/>
    <w:qFormat/>
    <w:uiPriority w:val="0"/>
  </w:style>
  <w:style w:type="character" w:styleId="29">
    <w:name w:val="Hyperlink"/>
    <w:qFormat/>
    <w:uiPriority w:val="0"/>
    <w:rPr>
      <w:color w:val="0000FF"/>
      <w:u w:val="single"/>
    </w:rPr>
  </w:style>
  <w:style w:type="character" w:styleId="30">
    <w:name w:val="annotation reference"/>
    <w:unhideWhenUsed/>
    <w:qFormat/>
    <w:uiPriority w:val="99"/>
    <w:rPr>
      <w:sz w:val="21"/>
      <w:szCs w:val="21"/>
    </w:rPr>
  </w:style>
  <w:style w:type="paragraph" w:customStyle="1" w:styleId="31">
    <w:name w:val="默认段落字体 Para Char"/>
    <w:basedOn w:val="1"/>
    <w:qFormat/>
    <w:uiPriority w:val="0"/>
  </w:style>
  <w:style w:type="paragraph" w:customStyle="1" w:styleId="32">
    <w:name w:val="合同三级标题"/>
    <w:basedOn w:val="5"/>
    <w:qFormat/>
    <w:uiPriority w:val="0"/>
    <w:pPr>
      <w:tabs>
        <w:tab w:val="left" w:pos="284"/>
      </w:tabs>
      <w:autoSpaceDE w:val="0"/>
      <w:autoSpaceDN w:val="0"/>
      <w:adjustRightInd w:val="0"/>
      <w:spacing w:before="0" w:after="0" w:line="240" w:lineRule="auto"/>
      <w:jc w:val="left"/>
    </w:pPr>
    <w:rPr>
      <w:rFonts w:eastAsia="黑体"/>
      <w:b w:val="0"/>
      <w:kern w:val="0"/>
      <w:position w:val="-1"/>
      <w:sz w:val="24"/>
      <w:szCs w:val="30"/>
    </w:rPr>
  </w:style>
  <w:style w:type="paragraph" w:customStyle="1" w:styleId="33">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p15"/>
    <w:basedOn w:val="1"/>
    <w:qFormat/>
    <w:uiPriority w:val="0"/>
    <w:pPr>
      <w:widowControl/>
    </w:pPr>
    <w:rPr>
      <w:rFonts w:ascii="宋体" w:hAnsi="宋体" w:cs="宋体"/>
      <w:kern w:val="0"/>
      <w:szCs w:val="21"/>
    </w:rPr>
  </w:style>
  <w:style w:type="paragraph" w:customStyle="1" w:styleId="35">
    <w:name w:val="章节三"/>
    <w:basedOn w:val="1"/>
    <w:next w:val="1"/>
    <w:qFormat/>
    <w:uiPriority w:val="0"/>
    <w:pPr>
      <w:topLinePunct/>
      <w:adjustRightInd w:val="0"/>
      <w:snapToGrid w:val="0"/>
      <w:spacing w:beforeLines="50" w:afterLines="50"/>
      <w:jc w:val="left"/>
      <w:outlineLvl w:val="2"/>
    </w:pPr>
    <w:rPr>
      <w:rFonts w:ascii="黑体" w:hAnsi="宋体" w:eastAsia="黑体" w:cs="黑体"/>
      <w:b/>
      <w:bCs/>
      <w:spacing w:val="4"/>
      <w:kern w:val="0"/>
      <w:sz w:val="24"/>
    </w:rPr>
  </w:style>
  <w:style w:type="paragraph" w:styleId="36">
    <w:name w:val="List Paragraph"/>
    <w:basedOn w:val="1"/>
    <w:unhideWhenUsed/>
    <w:qFormat/>
    <w:uiPriority w:val="99"/>
    <w:pPr>
      <w:ind w:firstLine="420" w:firstLineChars="200"/>
    </w:pPr>
  </w:style>
  <w:style w:type="paragraph" w:customStyle="1" w:styleId="37">
    <w:name w:val="列出段落1"/>
    <w:basedOn w:val="1"/>
    <w:qFormat/>
    <w:uiPriority w:val="0"/>
    <w:pPr>
      <w:ind w:firstLine="420" w:firstLineChars="200"/>
    </w:pPr>
    <w:rPr>
      <w:rFonts w:ascii="Calibri" w:hAnsi="Calibri"/>
      <w:szCs w:val="22"/>
    </w:rPr>
  </w:style>
  <w:style w:type="paragraph" w:customStyle="1" w:styleId="38">
    <w:name w:val="Char"/>
    <w:basedOn w:val="1"/>
    <w:qFormat/>
    <w:uiPriority w:val="0"/>
    <w:pPr>
      <w:numPr>
        <w:ilvl w:val="0"/>
        <w:numId w:val="2"/>
      </w:numPr>
    </w:pPr>
    <w:rPr>
      <w:sz w:val="24"/>
    </w:rPr>
  </w:style>
  <w:style w:type="paragraph" w:customStyle="1" w:styleId="39">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40">
    <w:name w:val="_Style 39"/>
    <w:semiHidden/>
    <w:qFormat/>
    <w:uiPriority w:val="99"/>
    <w:rPr>
      <w:rFonts w:ascii="Times New Roman" w:hAnsi="Times New Roman" w:eastAsia="宋体" w:cs="Times New Roman"/>
      <w:kern w:val="2"/>
      <w:sz w:val="21"/>
      <w:szCs w:val="24"/>
      <w:lang w:val="en-US" w:eastAsia="zh-CN" w:bidi="ar-SA"/>
    </w:rPr>
  </w:style>
  <w:style w:type="paragraph" w:customStyle="1" w:styleId="41">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43">
    <w:name w:val="Normal_0"/>
    <w:qFormat/>
    <w:uiPriority w:val="0"/>
    <w:rPr>
      <w:rFonts w:ascii="Times New Roman" w:hAnsi="Times New Roman" w:eastAsia="宋体" w:cs="Times New Roman"/>
      <w:sz w:val="24"/>
      <w:szCs w:val="24"/>
      <w:lang w:val="en-US" w:eastAsia="en-US" w:bidi="ar-SA"/>
    </w:rPr>
  </w:style>
  <w:style w:type="paragraph" w:customStyle="1" w:styleId="44">
    <w:name w:val="正文_1"/>
    <w:qFormat/>
    <w:uiPriority w:val="0"/>
    <w:pPr>
      <w:widowControl w:val="0"/>
      <w:jc w:val="both"/>
    </w:pPr>
    <w:rPr>
      <w:rFonts w:ascii="Calibri" w:hAnsi="Calibri" w:eastAsia="楷体_GB2312" w:cs="Times New Roman"/>
      <w:kern w:val="2"/>
      <w:sz w:val="21"/>
      <w:szCs w:val="22"/>
      <w:lang w:val="en-US" w:eastAsia="zh-CN" w:bidi="ar-SA"/>
    </w:rPr>
  </w:style>
  <w:style w:type="paragraph" w:customStyle="1" w:styleId="45">
    <w:name w:val="Char1"/>
    <w:basedOn w:val="1"/>
    <w:qFormat/>
    <w:uiPriority w:val="0"/>
    <w:pPr>
      <w:widowControl/>
      <w:spacing w:after="160" w:line="240" w:lineRule="exact"/>
      <w:ind w:left="-109" w:leftChars="-52"/>
      <w:jc w:val="left"/>
    </w:pPr>
  </w:style>
  <w:style w:type="paragraph" w:customStyle="1" w:styleId="46">
    <w:name w:val="正文1"/>
    <w:qFormat/>
    <w:uiPriority w:val="0"/>
    <w:rPr>
      <w:rFonts w:ascii="Calibri" w:hAnsi="Calibri" w:eastAsia="宋体" w:cs="Times New Roman"/>
      <w:sz w:val="24"/>
      <w:szCs w:val="24"/>
      <w:lang w:val="en-US" w:eastAsia="en-US" w:bidi="ar-SA"/>
    </w:rPr>
  </w:style>
  <w:style w:type="paragraph" w:customStyle="1" w:styleId="47">
    <w:name w:val="合同二级标题"/>
    <w:basedOn w:val="4"/>
    <w:qFormat/>
    <w:uiPriority w:val="0"/>
    <w:pPr>
      <w:autoSpaceDE w:val="0"/>
      <w:autoSpaceDN w:val="0"/>
      <w:adjustRightInd w:val="0"/>
      <w:spacing w:before="100" w:beforeAutospacing="1" w:after="100" w:afterAutospacing="1" w:line="240" w:lineRule="auto"/>
      <w:jc w:val="center"/>
    </w:pPr>
    <w:rPr>
      <w:rFonts w:ascii="宋体" w:cs="宋体"/>
      <w:b w:val="0"/>
      <w:kern w:val="0"/>
    </w:rPr>
  </w:style>
  <w:style w:type="paragraph" w:customStyle="1" w:styleId="48">
    <w:name w:val="标题3-个人"/>
    <w:basedOn w:val="5"/>
    <w:qFormat/>
    <w:uiPriority w:val="0"/>
    <w:pPr>
      <w:spacing w:before="0" w:after="0" w:line="360" w:lineRule="auto"/>
      <w:ind w:right="238"/>
    </w:pPr>
  </w:style>
  <w:style w:type="paragraph" w:customStyle="1" w:styleId="49">
    <w:name w:val="合同一级标题"/>
    <w:basedOn w:val="3"/>
    <w:next w:val="3"/>
    <w:qFormat/>
    <w:uiPriority w:val="0"/>
    <w:pPr>
      <w:spacing w:before="0" w:after="0" w:line="240" w:lineRule="auto"/>
      <w:jc w:val="center"/>
    </w:pPr>
    <w:rPr>
      <w:rFonts w:ascii="黑体" w:hAnsi="黑体" w:eastAsia="黑体"/>
      <w:b w:val="0"/>
      <w:kern w:val="0"/>
      <w:sz w:val="36"/>
    </w:rPr>
  </w:style>
  <w:style w:type="character" w:customStyle="1" w:styleId="50">
    <w:name w:val="纯文本 Char"/>
    <w:qFormat/>
    <w:uiPriority w:val="0"/>
    <w:rPr>
      <w:rFonts w:ascii="宋体" w:hAnsi="Courier New" w:eastAsia="宋体" w:cs="Times New Roman"/>
      <w:szCs w:val="20"/>
    </w:rPr>
  </w:style>
  <w:style w:type="character" w:customStyle="1" w:styleId="51">
    <w:name w:val="页脚 字符"/>
    <w:link w:val="18"/>
    <w:qFormat/>
    <w:uiPriority w:val="99"/>
    <w:rPr>
      <w:kern w:val="2"/>
      <w:sz w:val="18"/>
      <w:szCs w:val="18"/>
    </w:rPr>
  </w:style>
  <w:style w:type="character" w:customStyle="1" w:styleId="52">
    <w:name w:val="font21"/>
    <w:qFormat/>
    <w:uiPriority w:val="0"/>
    <w:rPr>
      <w:rFonts w:hint="eastAsia" w:ascii="宋体" w:hAnsi="宋体" w:eastAsia="宋体" w:cs="宋体"/>
      <w:color w:val="000000"/>
      <w:sz w:val="24"/>
      <w:szCs w:val="24"/>
      <w:u w:val="none"/>
    </w:rPr>
  </w:style>
  <w:style w:type="character" w:customStyle="1" w:styleId="53">
    <w:name w:val="纯文本 字符"/>
    <w:link w:val="2"/>
    <w:qFormat/>
    <w:uiPriority w:val="0"/>
    <w:rPr>
      <w:rFonts w:ascii="宋体" w:hAnsi="Courier New" w:eastAsia="楷体_GB2312"/>
      <w:kern w:val="2"/>
      <w:sz w:val="21"/>
      <w:lang w:val="en-US" w:eastAsia="zh-CN" w:bidi="ar-SA"/>
    </w:rPr>
  </w:style>
  <w:style w:type="character" w:customStyle="1" w:styleId="54">
    <w:name w:val="font41"/>
    <w:qFormat/>
    <w:uiPriority w:val="0"/>
    <w:rPr>
      <w:rFonts w:hint="eastAsia" w:ascii="宋体" w:hAnsi="宋体" w:eastAsia="宋体" w:cs="宋体"/>
      <w:color w:val="000000"/>
      <w:sz w:val="21"/>
      <w:szCs w:val="21"/>
      <w:u w:val="none"/>
    </w:rPr>
  </w:style>
  <w:style w:type="character" w:customStyle="1" w:styleId="55">
    <w:name w:val="日期 字符"/>
    <w:link w:val="16"/>
    <w:semiHidden/>
    <w:qFormat/>
    <w:uiPriority w:val="99"/>
    <w:rPr>
      <w:kern w:val="2"/>
      <w:sz w:val="21"/>
      <w:szCs w:val="24"/>
    </w:rPr>
  </w:style>
  <w:style w:type="character" w:customStyle="1" w:styleId="56">
    <w:name w:val="批注文字 字符"/>
    <w:link w:val="13"/>
    <w:semiHidden/>
    <w:qFormat/>
    <w:uiPriority w:val="99"/>
    <w:rPr>
      <w:kern w:val="2"/>
      <w:sz w:val="21"/>
      <w:szCs w:val="24"/>
    </w:rPr>
  </w:style>
  <w:style w:type="character" w:customStyle="1" w:styleId="57">
    <w:name w:val="页眉 字符"/>
    <w:link w:val="19"/>
    <w:qFormat/>
    <w:uiPriority w:val="99"/>
    <w:rPr>
      <w:kern w:val="2"/>
      <w:sz w:val="18"/>
      <w:szCs w:val="18"/>
    </w:rPr>
  </w:style>
  <w:style w:type="character" w:customStyle="1" w:styleId="58">
    <w:name w:val="font01"/>
    <w:qFormat/>
    <w:uiPriority w:val="0"/>
    <w:rPr>
      <w:rFonts w:hint="eastAsia" w:ascii="宋体" w:hAnsi="宋体" w:eastAsia="宋体" w:cs="宋体"/>
      <w:b/>
      <w:color w:val="000000"/>
      <w:sz w:val="24"/>
      <w:szCs w:val="24"/>
      <w:u w:val="none"/>
    </w:rPr>
  </w:style>
  <w:style w:type="character" w:customStyle="1" w:styleId="59">
    <w:name w:val="批注主题 字符"/>
    <w:link w:val="25"/>
    <w:semiHidden/>
    <w:qFormat/>
    <w:uiPriority w:val="99"/>
    <w:rPr>
      <w:b/>
      <w:bCs/>
      <w:kern w:val="2"/>
      <w:sz w:val="21"/>
      <w:szCs w:val="24"/>
    </w:rPr>
  </w:style>
  <w:style w:type="character" w:customStyle="1" w:styleId="60">
    <w:name w:val="正文文本缩进 字符"/>
    <w:link w:val="14"/>
    <w:qFormat/>
    <w:uiPriority w:val="0"/>
    <w:rPr>
      <w:rFonts w:ascii="宋体" w:eastAsia="宋体"/>
      <w:sz w:val="32"/>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广州市白云区建设工程管理中心</Company>
  <Pages>39</Pages>
  <Words>15310</Words>
  <Characters>16000</Characters>
  <Lines>177</Lines>
  <Paragraphs>49</Paragraphs>
  <TotalTime>42</TotalTime>
  <ScaleCrop>false</ScaleCrop>
  <LinksUpToDate>false</LinksUpToDate>
  <CharactersWithSpaces>16837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2019-01-25T02:10:00Z</dcterms:created>
  <dc:creator>周刚</dc:creator>
  <cp:lastModifiedBy>An</cp:lastModifiedBy>
  <cp:lastPrinted>2019-02-26T08:27:00Z</cp:lastPrinted>
  <dcterms:modified xsi:type="dcterms:W3CDTF">2025-07-02T09:43:17Z</dcterms:modified>
  <dc:title>广东省建设工程标准施工合同2009版</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eyJoZGlkIjoiMDEwYzI2ZTI4MDA0ODg3MjA0ZTYxNTVhYzAzYTY5OTkiLCJ1c2VySWQiOiIzNjQxMjMwNTgifQ==</vt:lpwstr>
  </property>
  <property fmtid="{D5CDD505-2E9C-101B-9397-08002B2CF9AE}" pid="4" name="ICV">
    <vt:lpwstr>C7C4A22561E44ABF8ECADA1A42C0E7B6_13</vt:lpwstr>
  </property>
</Properties>
</file>