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D60303">
      <w:pPr>
        <w:spacing w:line="360" w:lineRule="auto"/>
        <w:ind w:left="359" w:leftChars="171"/>
        <w:jc w:val="center"/>
        <w:rPr>
          <w:rFonts w:hint="eastAsia"/>
          <w:color w:val="auto"/>
          <w:sz w:val="36"/>
          <w:highlight w:val="none"/>
          <w:lang w:eastAsia="zh-CN"/>
        </w:rPr>
      </w:pPr>
      <w:r>
        <w:rPr>
          <w:rFonts w:hint="eastAsia" w:ascii="宋体" w:hAnsi="宋体" w:cs="宋体"/>
          <w:b/>
          <w:bCs/>
          <w:color w:val="auto"/>
          <w:spacing w:val="26"/>
          <w:sz w:val="52"/>
          <w:szCs w:val="52"/>
          <w:highlight w:val="none"/>
          <w:lang w:eastAsia="zh-CN"/>
        </w:rPr>
        <w:t>沙太路改造（北环-金盘岭隧道）工程（第三标段）施工总承包</w:t>
      </w:r>
    </w:p>
    <w:p w14:paraId="338FDCAD">
      <w:pPr>
        <w:spacing w:line="360" w:lineRule="auto"/>
        <w:ind w:left="359" w:leftChars="171"/>
        <w:jc w:val="center"/>
        <w:rPr>
          <w:rFonts w:hint="eastAsia"/>
          <w:color w:val="auto"/>
          <w:sz w:val="36"/>
          <w:highlight w:val="none"/>
          <w:lang w:eastAsia="zh-CN"/>
        </w:rPr>
      </w:pPr>
    </w:p>
    <w:p w14:paraId="70F7F456">
      <w:pPr>
        <w:spacing w:line="360" w:lineRule="auto"/>
        <w:ind w:left="359" w:leftChars="171"/>
        <w:jc w:val="center"/>
        <w:rPr>
          <w:rFonts w:hint="eastAsia"/>
          <w:color w:val="auto"/>
          <w:sz w:val="36"/>
          <w:highlight w:val="none"/>
          <w:lang w:eastAsia="zh-CN"/>
        </w:rPr>
      </w:pPr>
    </w:p>
    <w:p w14:paraId="0F08760C">
      <w:pPr>
        <w:spacing w:line="360" w:lineRule="auto"/>
        <w:ind w:left="359" w:leftChars="171"/>
        <w:jc w:val="center"/>
        <w:rPr>
          <w:rFonts w:hint="eastAsia"/>
          <w:color w:val="auto"/>
          <w:sz w:val="36"/>
          <w:highlight w:val="none"/>
        </w:rPr>
      </w:pPr>
    </w:p>
    <w:p w14:paraId="67E40271">
      <w:pPr>
        <w:spacing w:line="360" w:lineRule="auto"/>
        <w:jc w:val="center"/>
        <w:rPr>
          <w:color w:val="auto"/>
          <w:sz w:val="36"/>
          <w:highlight w:val="none"/>
          <w:u w:val="single"/>
        </w:rPr>
      </w:pPr>
    </w:p>
    <w:p w14:paraId="26EBA393">
      <w:pPr>
        <w:spacing w:line="360" w:lineRule="auto"/>
        <w:jc w:val="center"/>
        <w:rPr>
          <w:rFonts w:hint="eastAsia" w:ascii="宋体" w:hAnsi="宋体" w:eastAsia="宋体" w:cs="宋体"/>
          <w:b/>
          <w:bCs/>
          <w:color w:val="auto"/>
          <w:spacing w:val="26"/>
          <w:sz w:val="110"/>
          <w:szCs w:val="110"/>
          <w:highlight w:val="none"/>
          <w:lang w:val="en-US" w:eastAsia="zh-CN"/>
        </w:rPr>
      </w:pPr>
      <w:r>
        <w:rPr>
          <w:rFonts w:hint="eastAsia" w:ascii="宋体" w:hAnsi="宋体" w:eastAsia="宋体" w:cs="宋体"/>
          <w:b/>
          <w:bCs/>
          <w:color w:val="auto"/>
          <w:spacing w:val="26"/>
          <w:sz w:val="110"/>
          <w:szCs w:val="110"/>
          <w:highlight w:val="none"/>
        </w:rPr>
        <w:t>招标</w:t>
      </w:r>
      <w:r>
        <w:rPr>
          <w:rFonts w:hint="eastAsia" w:ascii="宋体" w:hAnsi="宋体" w:eastAsia="宋体" w:cs="宋体"/>
          <w:b/>
          <w:bCs/>
          <w:color w:val="auto"/>
          <w:spacing w:val="26"/>
          <w:sz w:val="110"/>
          <w:szCs w:val="110"/>
          <w:highlight w:val="none"/>
          <w:lang w:eastAsia="zh-CN"/>
        </w:rPr>
        <w:t>公告</w:t>
      </w:r>
    </w:p>
    <w:p w14:paraId="4790C8E6">
      <w:pPr>
        <w:spacing w:line="360" w:lineRule="auto"/>
        <w:ind w:firstLine="2560" w:firstLineChars="800"/>
        <w:rPr>
          <w:color w:val="auto"/>
          <w:sz w:val="32"/>
          <w:highlight w:val="none"/>
        </w:rPr>
      </w:pPr>
    </w:p>
    <w:p w14:paraId="5EA168C0">
      <w:pPr>
        <w:spacing w:line="360" w:lineRule="auto"/>
        <w:rPr>
          <w:color w:val="auto"/>
          <w:sz w:val="52"/>
          <w:highlight w:val="none"/>
        </w:rPr>
      </w:pPr>
    </w:p>
    <w:p w14:paraId="21425D17">
      <w:pPr>
        <w:spacing w:line="360" w:lineRule="auto"/>
        <w:rPr>
          <w:color w:val="auto"/>
          <w:sz w:val="52"/>
          <w:highlight w:val="none"/>
        </w:rPr>
      </w:pPr>
    </w:p>
    <w:p w14:paraId="4EC07E6C">
      <w:pPr>
        <w:keepNext w:val="0"/>
        <w:keepLines w:val="0"/>
        <w:pageBreakBefore w:val="0"/>
        <w:widowControl w:val="0"/>
        <w:kinsoku/>
        <w:wordWrap/>
        <w:overflowPunct/>
        <w:topLinePunct w:val="0"/>
        <w:autoSpaceDE/>
        <w:autoSpaceDN/>
        <w:bidi w:val="0"/>
        <w:adjustRightInd/>
        <w:snapToGrid/>
        <w:spacing w:line="360" w:lineRule="auto"/>
        <w:ind w:left="0" w:leftChars="0" w:firstLine="1257" w:firstLineChars="419"/>
        <w:textAlignment w:val="auto"/>
        <w:rPr>
          <w:rFonts w:hint="eastAsia" w:ascii="宋体" w:hAnsi="宋体"/>
          <w:color w:val="auto"/>
          <w:sz w:val="30"/>
          <w:szCs w:val="30"/>
          <w:highlight w:val="none"/>
        </w:rPr>
      </w:pPr>
    </w:p>
    <w:p w14:paraId="5C84BF5A">
      <w:pPr>
        <w:keepNext w:val="0"/>
        <w:keepLines w:val="0"/>
        <w:pageBreakBefore w:val="0"/>
        <w:widowControl w:val="0"/>
        <w:kinsoku/>
        <w:wordWrap/>
        <w:overflowPunct/>
        <w:topLinePunct w:val="0"/>
        <w:autoSpaceDE/>
        <w:autoSpaceDN/>
        <w:bidi w:val="0"/>
        <w:adjustRightInd/>
        <w:snapToGrid/>
        <w:spacing w:line="360" w:lineRule="auto"/>
        <w:ind w:left="0" w:leftChars="0" w:firstLine="1257" w:firstLineChars="419"/>
        <w:textAlignment w:val="auto"/>
        <w:rPr>
          <w:rFonts w:hint="eastAsia" w:ascii="宋体" w:hAnsi="宋体"/>
          <w:color w:val="auto"/>
          <w:sz w:val="30"/>
          <w:szCs w:val="30"/>
          <w:highlight w:val="none"/>
        </w:rPr>
      </w:pPr>
    </w:p>
    <w:p w14:paraId="209EA886">
      <w:pPr>
        <w:keepNext w:val="0"/>
        <w:keepLines w:val="0"/>
        <w:pageBreakBefore w:val="0"/>
        <w:widowControl w:val="0"/>
        <w:kinsoku/>
        <w:wordWrap/>
        <w:overflowPunct/>
        <w:topLinePunct w:val="0"/>
        <w:autoSpaceDE/>
        <w:autoSpaceDN/>
        <w:bidi w:val="0"/>
        <w:adjustRightInd/>
        <w:snapToGrid/>
        <w:spacing w:line="360" w:lineRule="auto"/>
        <w:ind w:firstLine="1800" w:firstLineChars="600"/>
        <w:jc w:val="left"/>
        <w:textAlignment w:val="auto"/>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招  标 单 位：</w:t>
      </w:r>
      <w:r>
        <w:rPr>
          <w:rFonts w:hint="eastAsia" w:ascii="宋体" w:hAnsi="宋体" w:cs="宋体"/>
          <w:color w:val="auto"/>
          <w:sz w:val="30"/>
          <w:szCs w:val="30"/>
          <w:highlight w:val="none"/>
          <w:u w:val="single"/>
          <w:lang w:eastAsia="zh-CN"/>
        </w:rPr>
        <w:t>广州市广园市政建设有限公司</w:t>
      </w:r>
    </w:p>
    <w:p w14:paraId="39ED1181">
      <w:pPr>
        <w:keepNext w:val="0"/>
        <w:keepLines w:val="0"/>
        <w:pageBreakBefore w:val="0"/>
        <w:widowControl w:val="0"/>
        <w:kinsoku/>
        <w:wordWrap/>
        <w:overflowPunct/>
        <w:topLinePunct w:val="0"/>
        <w:autoSpaceDE/>
        <w:autoSpaceDN/>
        <w:bidi w:val="0"/>
        <w:adjustRightInd/>
        <w:snapToGrid/>
        <w:spacing w:line="360" w:lineRule="auto"/>
        <w:ind w:firstLine="1800" w:firstLineChars="600"/>
        <w:jc w:val="left"/>
        <w:textAlignment w:val="auto"/>
        <w:rPr>
          <w:rFonts w:hint="eastAsia" w:ascii="宋体" w:hAnsi="宋体" w:eastAsia="宋体" w:cs="宋体"/>
          <w:color w:val="auto"/>
          <w:sz w:val="30"/>
          <w:szCs w:val="30"/>
          <w:highlight w:val="none"/>
          <w:u w:val="single"/>
          <w:lang w:eastAsia="zh-CN"/>
        </w:rPr>
      </w:pPr>
      <w:r>
        <w:rPr>
          <w:rFonts w:hint="eastAsia" w:ascii="宋体" w:hAnsi="宋体" w:eastAsia="宋体" w:cs="宋体"/>
          <w:color w:val="auto"/>
          <w:sz w:val="30"/>
          <w:szCs w:val="30"/>
          <w:highlight w:val="none"/>
        </w:rPr>
        <w:t>招标代理单位：</w:t>
      </w:r>
      <w:r>
        <w:rPr>
          <w:rFonts w:hint="eastAsia" w:ascii="宋体" w:hAnsi="宋体" w:cs="宋体"/>
          <w:color w:val="auto"/>
          <w:sz w:val="30"/>
          <w:szCs w:val="30"/>
          <w:highlight w:val="none"/>
          <w:u w:val="single"/>
          <w:lang w:eastAsia="zh-CN"/>
        </w:rPr>
        <w:t>广州市广园工程技术咨询有限公司</w:t>
      </w:r>
    </w:p>
    <w:p w14:paraId="0C99540D">
      <w:pPr>
        <w:keepNext w:val="0"/>
        <w:keepLines w:val="0"/>
        <w:pageBreakBefore w:val="0"/>
        <w:widowControl w:val="0"/>
        <w:kinsoku/>
        <w:wordWrap/>
        <w:overflowPunct/>
        <w:topLinePunct w:val="0"/>
        <w:autoSpaceDE/>
        <w:autoSpaceDN/>
        <w:bidi w:val="0"/>
        <w:adjustRightInd/>
        <w:snapToGrid/>
        <w:spacing w:line="360" w:lineRule="auto"/>
        <w:ind w:firstLine="1800" w:firstLineChars="600"/>
        <w:jc w:val="left"/>
        <w:textAlignment w:val="auto"/>
        <w:rPr>
          <w:rFonts w:hint="eastAsia" w:ascii="宋体" w:hAnsi="宋体" w:eastAsia="宋体" w:cs="宋体"/>
          <w:color w:val="auto"/>
          <w:sz w:val="30"/>
          <w:szCs w:val="30"/>
          <w:highlight w:val="none"/>
        </w:rPr>
        <w:sectPr>
          <w:endnotePr>
            <w:numFmt w:val="decimal"/>
          </w:endnotePr>
          <w:pgSz w:w="11906" w:h="16838"/>
          <w:pgMar w:top="1440" w:right="1134" w:bottom="1440" w:left="1134" w:header="851" w:footer="992" w:gutter="0"/>
          <w:pgNumType w:fmt="decimal" w:start="1"/>
          <w:cols w:space="425" w:num="1"/>
          <w:docGrid w:type="lines" w:linePitch="312" w:charSpace="0"/>
        </w:sectPr>
      </w:pPr>
      <w:r>
        <w:rPr>
          <w:rFonts w:hint="eastAsia" w:ascii="宋体" w:hAnsi="宋体" w:eastAsia="宋体" w:cs="宋体"/>
          <w:color w:val="auto"/>
          <w:sz w:val="30"/>
          <w:szCs w:val="30"/>
          <w:highlight w:val="none"/>
        </w:rPr>
        <w:t>日</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期：</w:t>
      </w:r>
      <w:r>
        <w:rPr>
          <w:rFonts w:hint="eastAsia" w:ascii="宋体" w:hAnsi="宋体" w:eastAsia="宋体" w:cs="宋体"/>
          <w:color w:val="auto"/>
          <w:sz w:val="30"/>
          <w:szCs w:val="30"/>
          <w:highlight w:val="none"/>
          <w:u w:val="single"/>
          <w:lang w:val="en-US" w:eastAsia="zh-CN"/>
        </w:rPr>
        <w:t>2025</w:t>
      </w:r>
      <w:r>
        <w:rPr>
          <w:rFonts w:hint="eastAsia" w:ascii="宋体" w:hAnsi="宋体" w:eastAsia="宋体" w:cs="宋体"/>
          <w:color w:val="auto"/>
          <w:sz w:val="30"/>
          <w:szCs w:val="30"/>
          <w:highlight w:val="none"/>
        </w:rPr>
        <w:t>年</w:t>
      </w:r>
      <w:bookmarkStart w:id="0" w:name="_GoBack"/>
      <w:bookmarkEnd w:id="0"/>
      <w:r>
        <w:rPr>
          <w:rFonts w:hint="eastAsia" w:ascii="宋体" w:hAnsi="宋体" w:cs="宋体"/>
          <w:color w:val="auto"/>
          <w:sz w:val="30"/>
          <w:szCs w:val="30"/>
          <w:highlight w:val="none"/>
          <w:u w:val="single"/>
          <w:lang w:val="en-US" w:eastAsia="zh-CN"/>
        </w:rPr>
        <w:t>7</w:t>
      </w:r>
      <w:r>
        <w:rPr>
          <w:rFonts w:hint="eastAsia" w:ascii="宋体" w:hAnsi="宋体" w:eastAsia="宋体" w:cs="宋体"/>
          <w:color w:val="auto"/>
          <w:sz w:val="30"/>
          <w:szCs w:val="30"/>
          <w:highlight w:val="none"/>
        </w:rPr>
        <w:t>月</w:t>
      </w:r>
      <w:r>
        <w:rPr>
          <w:rFonts w:hint="eastAsia" w:ascii="宋体" w:hAnsi="宋体" w:cs="宋体"/>
          <w:color w:val="auto"/>
          <w:sz w:val="30"/>
          <w:szCs w:val="30"/>
          <w:highlight w:val="none"/>
          <w:u w:val="single"/>
          <w:lang w:val="en-US" w:eastAsia="zh-CN"/>
        </w:rPr>
        <w:t>3</w:t>
      </w:r>
      <w:r>
        <w:rPr>
          <w:rFonts w:hint="eastAsia" w:ascii="宋体" w:hAnsi="宋体" w:eastAsia="宋体" w:cs="宋体"/>
          <w:color w:val="auto"/>
          <w:sz w:val="30"/>
          <w:szCs w:val="30"/>
          <w:highlight w:val="none"/>
        </w:rPr>
        <w:t>日</w:t>
      </w:r>
    </w:p>
    <w:p w14:paraId="0AF40171">
      <w:pPr>
        <w:pStyle w:val="31"/>
        <w:keepNext w:val="0"/>
        <w:keepLines w:val="0"/>
        <w:pageBreakBefore w:val="0"/>
        <w:kinsoku/>
        <w:wordWrap/>
        <w:overflowPunct/>
        <w:topLinePunct w:val="0"/>
        <w:autoSpaceDE/>
        <w:autoSpaceDN/>
        <w:bidi w:val="0"/>
        <w:adjustRightInd/>
        <w:spacing w:line="360" w:lineRule="auto"/>
        <w:jc w:val="center"/>
        <w:textAlignment w:val="auto"/>
        <w:rPr>
          <w:rFonts w:hint="eastAsia" w:ascii="Calibri" w:hAnsi="Calibri" w:eastAsia="黑体" w:cs="Times New Roman"/>
          <w:b/>
          <w:bCs/>
          <w:color w:val="auto"/>
          <w:kern w:val="2"/>
          <w:sz w:val="28"/>
          <w:szCs w:val="28"/>
          <w:highlight w:val="none"/>
          <w:u w:val="none"/>
          <w:lang w:val="en-US" w:eastAsia="zh-CN" w:bidi="ar-SA"/>
        </w:rPr>
      </w:pPr>
      <w:r>
        <w:rPr>
          <w:rFonts w:hint="eastAsia" w:ascii="Calibri" w:hAnsi="Calibri" w:eastAsia="黑体" w:cs="Times New Roman"/>
          <w:b/>
          <w:bCs/>
          <w:color w:val="auto"/>
          <w:kern w:val="2"/>
          <w:sz w:val="28"/>
          <w:szCs w:val="28"/>
          <w:highlight w:val="none"/>
          <w:u w:val="none"/>
          <w:lang w:val="en-US" w:eastAsia="zh-CN" w:bidi="ar-SA"/>
        </w:rPr>
        <w:t>沙太路改造（北环-金盘岭隧道）工程（第三标段）</w:t>
      </w:r>
    </w:p>
    <w:p w14:paraId="0643D32F">
      <w:pPr>
        <w:pStyle w:val="31"/>
        <w:keepNext w:val="0"/>
        <w:keepLines w:val="0"/>
        <w:pageBreakBefore w:val="0"/>
        <w:kinsoku/>
        <w:wordWrap/>
        <w:overflowPunct/>
        <w:topLinePunct w:val="0"/>
        <w:autoSpaceDE/>
        <w:autoSpaceDN/>
        <w:bidi w:val="0"/>
        <w:adjustRightInd/>
        <w:spacing w:line="360" w:lineRule="auto"/>
        <w:jc w:val="center"/>
        <w:textAlignment w:val="auto"/>
        <w:rPr>
          <w:b/>
          <w:bCs/>
          <w:color w:val="auto"/>
          <w:sz w:val="24"/>
          <w:highlight w:val="none"/>
          <w:u w:val="none"/>
        </w:rPr>
      </w:pPr>
      <w:r>
        <w:rPr>
          <w:rFonts w:hint="eastAsia" w:ascii="Calibri" w:hAnsi="Calibri" w:eastAsia="黑体" w:cs="Times New Roman"/>
          <w:b/>
          <w:bCs/>
          <w:color w:val="auto"/>
          <w:kern w:val="2"/>
          <w:sz w:val="28"/>
          <w:szCs w:val="28"/>
          <w:highlight w:val="none"/>
          <w:u w:val="none"/>
          <w:lang w:val="en-US" w:eastAsia="zh-CN" w:bidi="ar-SA"/>
        </w:rPr>
        <w:t>施工总承包招标公告</w:t>
      </w:r>
    </w:p>
    <w:p w14:paraId="1FA4B10D">
      <w:pPr>
        <w:keepNext w:val="0"/>
        <w:keepLines w:val="0"/>
        <w:pageBreakBefore w:val="0"/>
        <w:kinsoku/>
        <w:wordWrap/>
        <w:overflowPunct/>
        <w:topLinePunct w:val="0"/>
        <w:autoSpaceDE/>
        <w:autoSpaceDN/>
        <w:bidi w:val="0"/>
        <w:adjustRightInd/>
        <w:spacing w:line="360" w:lineRule="auto"/>
        <w:ind w:firstLine="537" w:firstLineChars="224"/>
        <w:jc w:val="center"/>
        <w:textAlignment w:val="auto"/>
        <w:rPr>
          <w:color w:val="auto"/>
          <w:sz w:val="24"/>
          <w:highlight w:val="none"/>
        </w:rPr>
      </w:pPr>
    </w:p>
    <w:p w14:paraId="17463B5A">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根据</w:t>
      </w:r>
      <w:r>
        <w:rPr>
          <w:rFonts w:ascii="宋体" w:hAnsi="宋体"/>
          <w:color w:val="auto"/>
          <w:sz w:val="24"/>
          <w:highlight w:val="none"/>
          <w:u w:val="single"/>
        </w:rPr>
        <w:t xml:space="preserve"> </w:t>
      </w:r>
      <w:r>
        <w:rPr>
          <w:rFonts w:hint="eastAsia" w:ascii="宋体" w:hAnsi="宋体"/>
          <w:color w:val="auto"/>
          <w:sz w:val="24"/>
          <w:szCs w:val="24"/>
          <w:highlight w:val="none"/>
          <w:u w:val="single"/>
        </w:rPr>
        <w:t>穗发改</w:t>
      </w:r>
      <w:r>
        <w:rPr>
          <w:rFonts w:hint="eastAsia" w:ascii="仿宋_GB2312" w:hAnsi="仿宋_GB2312" w:eastAsia="仿宋_GB2312" w:cs="仿宋_GB2312"/>
          <w:color w:val="auto"/>
          <w:sz w:val="24"/>
          <w:szCs w:val="24"/>
          <w:highlight w:val="none"/>
          <w:u w:val="single"/>
        </w:rPr>
        <w:t>〔</w:t>
      </w:r>
      <w:r>
        <w:rPr>
          <w:rFonts w:hint="eastAsia" w:ascii="宋体" w:hAnsi="宋体"/>
          <w:color w:val="auto"/>
          <w:sz w:val="24"/>
          <w:szCs w:val="24"/>
          <w:highlight w:val="none"/>
          <w:u w:val="single"/>
        </w:rPr>
        <w:t>2018</w:t>
      </w:r>
      <w:r>
        <w:rPr>
          <w:rFonts w:hint="eastAsia" w:ascii="仿宋_GB2312" w:hAnsi="仿宋_GB2312" w:eastAsia="仿宋_GB2312" w:cs="仿宋_GB2312"/>
          <w:color w:val="auto"/>
          <w:sz w:val="24"/>
          <w:szCs w:val="24"/>
          <w:highlight w:val="none"/>
          <w:u w:val="single"/>
        </w:rPr>
        <w:t>〕</w:t>
      </w:r>
      <w:r>
        <w:rPr>
          <w:rFonts w:hint="eastAsia" w:ascii="宋体" w:hAnsi="宋体"/>
          <w:color w:val="auto"/>
          <w:sz w:val="24"/>
          <w:szCs w:val="24"/>
          <w:highlight w:val="none"/>
          <w:u w:val="single"/>
        </w:rPr>
        <w:t>380号</w:t>
      </w:r>
      <w:r>
        <w:rPr>
          <w:rFonts w:ascii="宋体" w:hAnsi="宋体"/>
          <w:color w:val="auto"/>
          <w:sz w:val="24"/>
          <w:highlight w:val="none"/>
          <w:u w:val="single"/>
        </w:rPr>
        <w:t xml:space="preserve"> </w:t>
      </w:r>
      <w:r>
        <w:rPr>
          <w:rFonts w:hint="eastAsia" w:ascii="宋体" w:hAnsi="宋体"/>
          <w:color w:val="auto"/>
          <w:sz w:val="24"/>
          <w:highlight w:val="none"/>
        </w:rPr>
        <w:t>批准，并且图纸和技术资料满足施工需要，</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广州市广园市政建设有限公司</w:t>
      </w:r>
      <w:r>
        <w:rPr>
          <w:rFonts w:ascii="宋体" w:hAnsi="宋体"/>
          <w:color w:val="auto"/>
          <w:sz w:val="24"/>
          <w:highlight w:val="none"/>
          <w:u w:val="single"/>
        </w:rPr>
        <w:t xml:space="preserve"> </w:t>
      </w:r>
      <w:r>
        <w:rPr>
          <w:rFonts w:hint="eastAsia" w:ascii="宋体" w:hAnsi="宋体"/>
          <w:color w:val="auto"/>
          <w:sz w:val="24"/>
          <w:highlight w:val="none"/>
        </w:rPr>
        <w:t>现对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沙太路改造（北环-金盘岭隧道）工程（第三标段）</w:t>
      </w:r>
      <w:r>
        <w:rPr>
          <w:rFonts w:hint="eastAsia" w:ascii="宋体" w:hAnsi="宋体"/>
          <w:color w:val="auto"/>
          <w:sz w:val="24"/>
          <w:highlight w:val="none"/>
        </w:rPr>
        <w:t>进行施工公开招标，选定承包人。</w:t>
      </w:r>
    </w:p>
    <w:p w14:paraId="4A9883E3">
      <w:pPr>
        <w:keepNext w:val="0"/>
        <w:keepLines w:val="0"/>
        <w:pageBreakBefore w:val="0"/>
        <w:tabs>
          <w:tab w:val="center" w:pos="4415"/>
        </w:tabs>
        <w:kinsoku/>
        <w:wordWrap/>
        <w:overflowPunct/>
        <w:topLinePunct w:val="0"/>
        <w:autoSpaceDE/>
        <w:autoSpaceDN/>
        <w:bidi w:val="0"/>
        <w:adjustRightInd/>
        <w:spacing w:line="360" w:lineRule="auto"/>
        <w:ind w:firstLine="482" w:firstLineChars="200"/>
        <w:textAlignment w:val="auto"/>
        <w:rPr>
          <w:rStyle w:val="61"/>
          <w:rFonts w:hint="eastAsia" w:eastAsia="宋体" w:cs="Times New Roman"/>
          <w:color w:val="auto"/>
          <w:highlight w:val="none"/>
          <w:lang w:eastAsia="zh-CN"/>
        </w:rPr>
      </w:pPr>
      <w:r>
        <w:rPr>
          <w:rStyle w:val="61"/>
          <w:rFonts w:hint="eastAsia" w:eastAsia="宋体" w:cs="Times New Roman"/>
          <w:color w:val="auto"/>
          <w:highlight w:val="none"/>
          <w:lang w:val="en-US" w:eastAsia="zh-CN"/>
        </w:rPr>
        <w:t>一、</w:t>
      </w:r>
      <w:r>
        <w:rPr>
          <w:rStyle w:val="61"/>
          <w:rFonts w:hint="eastAsia" w:eastAsia="宋体" w:cs="Times New Roman"/>
          <w:color w:val="auto"/>
          <w:highlight w:val="none"/>
          <w:lang w:eastAsia="zh-CN"/>
        </w:rPr>
        <w:t>招标项目</w:t>
      </w:r>
      <w:r>
        <w:rPr>
          <w:rStyle w:val="61"/>
          <w:rFonts w:hint="eastAsia" w:eastAsia="宋体" w:cs="Times New Roman"/>
          <w:color w:val="auto"/>
          <w:highlight w:val="none"/>
        </w:rPr>
        <w:t>名称：</w:t>
      </w:r>
      <w:r>
        <w:rPr>
          <w:rStyle w:val="61"/>
          <w:rFonts w:hint="eastAsia" w:eastAsia="宋体" w:cs="Times New Roman"/>
          <w:color w:val="auto"/>
          <w:highlight w:val="none"/>
          <w:lang w:eastAsia="zh-CN"/>
        </w:rPr>
        <w:t>沙太路改造（北环-金盘岭隧道）工程（第三标段）施工总承包</w:t>
      </w:r>
    </w:p>
    <w:p w14:paraId="14AD50F9">
      <w:pPr>
        <w:keepNext w:val="0"/>
        <w:keepLines w:val="0"/>
        <w:pageBreakBefore w:val="0"/>
        <w:numPr>
          <w:ilvl w:val="0"/>
          <w:numId w:val="0"/>
        </w:numPr>
        <w:tabs>
          <w:tab w:val="center" w:pos="4415"/>
        </w:tabs>
        <w:kinsoku/>
        <w:wordWrap/>
        <w:overflowPunct/>
        <w:topLinePunct w:val="0"/>
        <w:autoSpaceDE/>
        <w:autoSpaceDN/>
        <w:bidi w:val="0"/>
        <w:adjustRightInd/>
        <w:spacing w:line="360" w:lineRule="auto"/>
        <w:ind w:firstLine="960" w:firstLineChars="400"/>
        <w:textAlignment w:val="auto"/>
        <w:rPr>
          <w:rFonts w:ascii="宋体" w:hAnsi="宋体"/>
          <w:color w:val="auto"/>
          <w:sz w:val="24"/>
          <w:highlight w:val="none"/>
          <w:u w:val="single"/>
        </w:rPr>
      </w:pPr>
      <w:r>
        <w:rPr>
          <w:rStyle w:val="61"/>
          <w:rFonts w:hint="eastAsia"/>
          <w:b w:val="0"/>
          <w:bCs/>
          <w:color w:val="auto"/>
          <w:highlight w:val="none"/>
          <w:lang w:eastAsia="zh-CN"/>
        </w:rPr>
        <w:t>招标项目对应工程项目</w:t>
      </w:r>
      <w:r>
        <w:rPr>
          <w:rStyle w:val="61"/>
          <w:rFonts w:hint="eastAsia"/>
          <w:b w:val="0"/>
          <w:bCs/>
          <w:color w:val="auto"/>
          <w:highlight w:val="none"/>
        </w:rPr>
        <w:t>名称：沙太路改造（北环-金盘岭隧道）工程</w:t>
      </w:r>
    </w:p>
    <w:p w14:paraId="50CE5F59">
      <w:pPr>
        <w:keepNext w:val="0"/>
        <w:keepLines w:val="0"/>
        <w:pageBreakBefore w:val="0"/>
        <w:tabs>
          <w:tab w:val="center" w:pos="4415"/>
        </w:tabs>
        <w:kinsoku/>
        <w:wordWrap/>
        <w:overflowPunct/>
        <w:topLinePunct w:val="0"/>
        <w:autoSpaceDE/>
        <w:autoSpaceDN/>
        <w:bidi w:val="0"/>
        <w:adjustRightInd/>
        <w:spacing w:line="360" w:lineRule="auto"/>
        <w:ind w:firstLine="1017" w:firstLineChars="424"/>
        <w:textAlignment w:val="auto"/>
        <w:rPr>
          <w:rFonts w:ascii="宋体" w:hAnsi="宋体"/>
          <w:color w:val="auto"/>
          <w:sz w:val="24"/>
          <w:highlight w:val="none"/>
          <w:u w:val="single"/>
        </w:rPr>
      </w:pPr>
      <w:r>
        <w:rPr>
          <w:rFonts w:hint="eastAsia" w:ascii="宋体"/>
          <w:color w:val="auto"/>
          <w:sz w:val="24"/>
          <w:highlight w:val="none"/>
          <w:lang w:eastAsia="zh-CN"/>
        </w:rPr>
        <w:t>招标项目固定资产投资项目</w:t>
      </w:r>
      <w:r>
        <w:rPr>
          <w:rFonts w:hint="eastAsia" w:ascii="宋体"/>
          <w:color w:val="auto"/>
          <w:sz w:val="24"/>
          <w:highlight w:val="none"/>
        </w:rPr>
        <w:t>代码：2017-440111-78-01-000040</w:t>
      </w:r>
    </w:p>
    <w:p w14:paraId="03157ED0">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eastAsia="宋体"/>
          <w:color w:val="auto"/>
          <w:sz w:val="24"/>
          <w:highlight w:val="none"/>
          <w:u w:val="single"/>
          <w:lang w:eastAsia="zh-CN"/>
        </w:rPr>
      </w:pPr>
      <w:r>
        <w:rPr>
          <w:rStyle w:val="61"/>
          <w:rFonts w:hint="eastAsia"/>
          <w:color w:val="auto"/>
          <w:highlight w:val="none"/>
        </w:rPr>
        <w:t>二、招标单位：</w:t>
      </w:r>
      <w:r>
        <w:rPr>
          <w:rFonts w:hint="eastAsia" w:ascii="宋体" w:hAnsi="宋体"/>
          <w:color w:val="auto"/>
          <w:sz w:val="24"/>
          <w:highlight w:val="none"/>
          <w:u w:val="single"/>
          <w:lang w:eastAsia="zh-CN"/>
        </w:rPr>
        <w:t>广州市广园市政建设有限公司</w:t>
      </w:r>
    </w:p>
    <w:p w14:paraId="1D221420">
      <w:pPr>
        <w:keepNext w:val="0"/>
        <w:keepLines w:val="0"/>
        <w:pageBreakBefore w:val="0"/>
        <w:kinsoku/>
        <w:wordWrap/>
        <w:overflowPunct/>
        <w:topLinePunct w:val="0"/>
        <w:autoSpaceDE/>
        <w:autoSpaceDN/>
        <w:bidi w:val="0"/>
        <w:adjustRightInd/>
        <w:spacing w:line="360" w:lineRule="auto"/>
        <w:ind w:firstLine="537" w:firstLineChars="224"/>
        <w:textAlignment w:val="auto"/>
        <w:rPr>
          <w:rFonts w:ascii="宋体" w:hAnsi="宋体"/>
          <w:color w:val="auto"/>
          <w:sz w:val="24"/>
          <w:highlight w:val="none"/>
          <w:u w:val="single"/>
        </w:rPr>
      </w:pPr>
      <w:r>
        <w:rPr>
          <w:rFonts w:ascii="宋体" w:hAnsi="宋体"/>
          <w:color w:val="auto"/>
          <w:sz w:val="24"/>
          <w:highlight w:val="none"/>
        </w:rPr>
        <w:t xml:space="preserve">    </w:t>
      </w:r>
      <w:r>
        <w:rPr>
          <w:rFonts w:hint="eastAsia" w:ascii="宋体" w:hAnsi="宋体"/>
          <w:color w:val="auto"/>
          <w:sz w:val="24"/>
          <w:highlight w:val="none"/>
        </w:rPr>
        <w:t>联系人：</w:t>
      </w:r>
      <w:r>
        <w:rPr>
          <w:rFonts w:hint="eastAsia" w:ascii="宋体" w:hAnsi="宋体"/>
          <w:color w:val="auto"/>
          <w:sz w:val="24"/>
          <w:highlight w:val="none"/>
          <w:u w:val="single"/>
          <w:lang w:val="en-US" w:eastAsia="zh-CN"/>
        </w:rPr>
        <w:t>舒</w:t>
      </w:r>
      <w:r>
        <w:rPr>
          <w:rFonts w:hint="eastAsia" w:ascii="宋体" w:hAnsi="宋体"/>
          <w:color w:val="auto"/>
          <w:sz w:val="24"/>
          <w:highlight w:val="none"/>
          <w:u w:val="single"/>
        </w:rPr>
        <w:t>工</w:t>
      </w:r>
      <w:r>
        <w:rPr>
          <w:rFonts w:ascii="宋体" w:hAnsi="宋体"/>
          <w:color w:val="auto"/>
          <w:sz w:val="24"/>
          <w:highlight w:val="none"/>
        </w:rPr>
        <w:t xml:space="preserve">      </w:t>
      </w:r>
      <w:r>
        <w:rPr>
          <w:rFonts w:hint="eastAsia" w:ascii="宋体" w:hAnsi="宋体"/>
          <w:color w:val="auto"/>
          <w:sz w:val="24"/>
          <w:highlight w:val="none"/>
        </w:rPr>
        <w:t>联系电话：</w:t>
      </w:r>
      <w:r>
        <w:rPr>
          <w:rFonts w:hint="eastAsia" w:ascii="宋体" w:hAnsi="宋体" w:cs="宋体"/>
          <w:color w:val="auto"/>
          <w:sz w:val="24"/>
          <w:szCs w:val="24"/>
          <w:highlight w:val="none"/>
          <w:u w:val="single"/>
          <w:lang w:eastAsia="zh-CN"/>
        </w:rPr>
        <w:t>020-62655579</w:t>
      </w:r>
    </w:p>
    <w:p w14:paraId="6A3820D7">
      <w:pPr>
        <w:keepNext w:val="0"/>
        <w:keepLines w:val="0"/>
        <w:pageBreakBefore w:val="0"/>
        <w:kinsoku/>
        <w:wordWrap/>
        <w:overflowPunct/>
        <w:topLinePunct w:val="0"/>
        <w:autoSpaceDE/>
        <w:autoSpaceDN/>
        <w:bidi w:val="0"/>
        <w:adjustRightInd/>
        <w:spacing w:line="360" w:lineRule="auto"/>
        <w:ind w:firstLine="1015" w:firstLineChars="423"/>
        <w:textAlignment w:val="auto"/>
        <w:rPr>
          <w:rFonts w:hint="eastAsia" w:ascii="宋体" w:hAnsi="宋体" w:cs="宋体"/>
          <w:color w:val="auto"/>
          <w:sz w:val="24"/>
          <w:szCs w:val="24"/>
          <w:highlight w:val="none"/>
          <w:u w:val="single"/>
          <w:lang w:eastAsia="zh-CN"/>
        </w:rPr>
      </w:pPr>
      <w:r>
        <w:rPr>
          <w:rFonts w:hint="eastAsia" w:ascii="宋体" w:hAnsi="宋体"/>
          <w:color w:val="auto"/>
          <w:sz w:val="24"/>
          <w:highlight w:val="none"/>
        </w:rPr>
        <w:t>联系地址：</w:t>
      </w:r>
      <w:r>
        <w:rPr>
          <w:rFonts w:hint="eastAsia" w:ascii="宋体" w:hAnsi="宋体" w:cs="宋体"/>
          <w:color w:val="auto"/>
          <w:sz w:val="24"/>
          <w:szCs w:val="24"/>
          <w:highlight w:val="none"/>
          <w:u w:val="single"/>
          <w:lang w:eastAsia="zh-CN"/>
        </w:rPr>
        <w:t>广州市越秀区站南路15号之一</w:t>
      </w:r>
      <w:r>
        <w:rPr>
          <w:rFonts w:hint="eastAsia" w:ascii="宋体" w:hAnsi="宋体" w:cs="宋体"/>
          <w:color w:val="auto"/>
          <w:sz w:val="24"/>
          <w:szCs w:val="24"/>
          <w:highlight w:val="none"/>
          <w:u w:val="single"/>
          <w:lang w:val="en-US" w:eastAsia="zh-CN"/>
        </w:rPr>
        <w:t>7</w:t>
      </w:r>
      <w:r>
        <w:rPr>
          <w:rFonts w:hint="eastAsia" w:ascii="宋体" w:hAnsi="宋体" w:cs="宋体"/>
          <w:color w:val="auto"/>
          <w:sz w:val="24"/>
          <w:szCs w:val="24"/>
          <w:highlight w:val="none"/>
          <w:u w:val="single"/>
          <w:lang w:eastAsia="zh-CN"/>
        </w:rPr>
        <w:t>楼</w:t>
      </w:r>
    </w:p>
    <w:p w14:paraId="70175E2D">
      <w:pPr>
        <w:keepNext w:val="0"/>
        <w:keepLines w:val="0"/>
        <w:pageBreakBefore w:val="0"/>
        <w:kinsoku/>
        <w:wordWrap/>
        <w:overflowPunct/>
        <w:topLinePunct w:val="0"/>
        <w:autoSpaceDE/>
        <w:autoSpaceDN/>
        <w:bidi w:val="0"/>
        <w:adjustRightInd/>
        <w:spacing w:line="360" w:lineRule="auto"/>
        <w:ind w:left="0" w:leftChars="0" w:firstLine="1015" w:firstLineChars="423"/>
        <w:textAlignment w:val="auto"/>
        <w:rPr>
          <w:rFonts w:hint="eastAsia" w:ascii="宋体" w:hAnsi="宋体"/>
          <w:color w:val="auto"/>
          <w:sz w:val="24"/>
          <w:highlight w:val="none"/>
          <w:u w:val="single"/>
        </w:rPr>
      </w:pPr>
      <w:r>
        <w:rPr>
          <w:rFonts w:hint="eastAsia" w:ascii="宋体" w:hAnsi="宋体"/>
          <w:color w:val="auto"/>
          <w:sz w:val="24"/>
          <w:highlight w:val="none"/>
        </w:rPr>
        <w:t>项目建设管理单位：</w:t>
      </w:r>
      <w:r>
        <w:rPr>
          <w:rFonts w:hint="eastAsia" w:ascii="宋体" w:hAnsi="宋体"/>
          <w:color w:val="auto"/>
          <w:sz w:val="24"/>
          <w:highlight w:val="none"/>
          <w:u w:val="single"/>
        </w:rPr>
        <w:t>/</w:t>
      </w:r>
    </w:p>
    <w:p w14:paraId="25FBE733">
      <w:pPr>
        <w:keepNext w:val="0"/>
        <w:keepLines w:val="0"/>
        <w:pageBreakBefore w:val="0"/>
        <w:kinsoku/>
        <w:wordWrap/>
        <w:overflowPunct/>
        <w:topLinePunct w:val="0"/>
        <w:autoSpaceDE/>
        <w:autoSpaceDN/>
        <w:bidi w:val="0"/>
        <w:adjustRightInd/>
        <w:spacing w:line="360" w:lineRule="auto"/>
        <w:ind w:firstLine="1015" w:firstLineChars="423"/>
        <w:textAlignment w:val="auto"/>
        <w:rPr>
          <w:rFonts w:ascii="宋体" w:hAnsi="宋体"/>
          <w:color w:val="auto"/>
          <w:sz w:val="24"/>
          <w:highlight w:val="none"/>
          <w:u w:val="single"/>
        </w:rPr>
      </w:pPr>
      <w:r>
        <w:rPr>
          <w:rFonts w:hint="eastAsia" w:ascii="宋体" w:hAnsi="宋体"/>
          <w:color w:val="auto"/>
          <w:sz w:val="24"/>
          <w:highlight w:val="none"/>
        </w:rPr>
        <w:t>联系人：</w:t>
      </w:r>
      <w:r>
        <w:rPr>
          <w:rFonts w:hint="eastAsia" w:ascii="宋体" w:hAnsi="宋体"/>
          <w:color w:val="auto"/>
          <w:sz w:val="24"/>
          <w:highlight w:val="none"/>
          <w:u w:val="single"/>
        </w:rPr>
        <w:t>/</w:t>
      </w:r>
      <w:r>
        <w:rPr>
          <w:rFonts w:ascii="宋体" w:hAnsi="宋体"/>
          <w:color w:val="auto"/>
          <w:sz w:val="24"/>
          <w:highlight w:val="none"/>
        </w:rPr>
        <w:t xml:space="preserve">      </w:t>
      </w:r>
      <w:r>
        <w:rPr>
          <w:rFonts w:hint="eastAsia" w:ascii="宋体" w:hAnsi="宋体"/>
          <w:color w:val="auto"/>
          <w:sz w:val="24"/>
          <w:highlight w:val="none"/>
        </w:rPr>
        <w:t>联系电话：</w:t>
      </w:r>
      <w:r>
        <w:rPr>
          <w:rFonts w:hint="eastAsia" w:ascii="宋体" w:hAnsi="宋体"/>
          <w:color w:val="auto"/>
          <w:sz w:val="24"/>
          <w:highlight w:val="none"/>
          <w:u w:val="single"/>
        </w:rPr>
        <w:t>/</w:t>
      </w:r>
    </w:p>
    <w:p w14:paraId="0C44A67B">
      <w:pPr>
        <w:keepNext w:val="0"/>
        <w:keepLines w:val="0"/>
        <w:pageBreakBefore w:val="0"/>
        <w:kinsoku/>
        <w:wordWrap/>
        <w:overflowPunct/>
        <w:topLinePunct w:val="0"/>
        <w:autoSpaceDE/>
        <w:autoSpaceDN/>
        <w:bidi w:val="0"/>
        <w:adjustRightInd/>
        <w:spacing w:line="360" w:lineRule="auto"/>
        <w:ind w:firstLine="1015" w:firstLineChars="423"/>
        <w:textAlignment w:val="auto"/>
        <w:rPr>
          <w:rFonts w:hint="eastAsia" w:ascii="宋体" w:hAnsi="宋体"/>
          <w:color w:val="auto"/>
          <w:sz w:val="24"/>
          <w:highlight w:val="none"/>
          <w:u w:val="single"/>
        </w:rPr>
      </w:pPr>
      <w:r>
        <w:rPr>
          <w:rFonts w:hint="eastAsia" w:ascii="宋体" w:hAnsi="宋体"/>
          <w:color w:val="auto"/>
          <w:sz w:val="24"/>
          <w:highlight w:val="none"/>
        </w:rPr>
        <w:t>联系地址：</w:t>
      </w:r>
      <w:r>
        <w:rPr>
          <w:rFonts w:hint="eastAsia" w:ascii="宋体" w:hAnsi="宋体"/>
          <w:color w:val="auto"/>
          <w:sz w:val="24"/>
          <w:highlight w:val="none"/>
          <w:u w:val="single"/>
        </w:rPr>
        <w:t>/</w:t>
      </w:r>
    </w:p>
    <w:p w14:paraId="1673F3BE">
      <w:pPr>
        <w:keepNext w:val="0"/>
        <w:keepLines w:val="0"/>
        <w:pageBreakBefore w:val="0"/>
        <w:kinsoku/>
        <w:wordWrap/>
        <w:overflowPunct/>
        <w:topLinePunct w:val="0"/>
        <w:autoSpaceDE/>
        <w:autoSpaceDN/>
        <w:bidi w:val="0"/>
        <w:adjustRightInd/>
        <w:spacing w:line="360" w:lineRule="auto"/>
        <w:ind w:left="0" w:leftChars="0" w:firstLine="1015" w:firstLineChars="423"/>
        <w:textAlignment w:val="auto"/>
        <w:rPr>
          <w:rFonts w:hint="eastAsia" w:ascii="宋体" w:eastAsia="宋体"/>
          <w:color w:val="auto"/>
          <w:sz w:val="24"/>
          <w:highlight w:val="none"/>
          <w:u w:val="single"/>
          <w:lang w:eastAsia="zh-CN"/>
        </w:rPr>
      </w:pPr>
      <w:r>
        <w:rPr>
          <w:rFonts w:hint="eastAsia" w:ascii="宋体" w:hAnsi="宋体"/>
          <w:color w:val="auto"/>
          <w:sz w:val="24"/>
          <w:highlight w:val="none"/>
        </w:rPr>
        <w:t>招标代理机构：</w:t>
      </w:r>
      <w:r>
        <w:rPr>
          <w:rFonts w:hint="eastAsia" w:ascii="宋体" w:hAnsi="宋体"/>
          <w:color w:val="auto"/>
          <w:sz w:val="24"/>
          <w:highlight w:val="none"/>
          <w:u w:val="single"/>
          <w:lang w:eastAsia="zh-CN"/>
        </w:rPr>
        <w:t>广州市广园工程技术咨询有限公司</w:t>
      </w:r>
    </w:p>
    <w:p w14:paraId="7D52F01D">
      <w:pPr>
        <w:keepNext w:val="0"/>
        <w:keepLines w:val="0"/>
        <w:pageBreakBefore w:val="0"/>
        <w:kinsoku/>
        <w:wordWrap/>
        <w:overflowPunct/>
        <w:topLinePunct w:val="0"/>
        <w:autoSpaceDE/>
        <w:autoSpaceDN/>
        <w:bidi w:val="0"/>
        <w:adjustRightInd/>
        <w:spacing w:line="360" w:lineRule="auto"/>
        <w:ind w:firstLine="537" w:firstLineChars="224"/>
        <w:textAlignment w:val="auto"/>
        <w:rPr>
          <w:rFonts w:ascii="宋体" w:hAnsi="宋体"/>
          <w:color w:val="auto"/>
          <w:sz w:val="24"/>
          <w:highlight w:val="none"/>
          <w:u w:val="single"/>
        </w:rPr>
      </w:pPr>
      <w:r>
        <w:rPr>
          <w:rFonts w:ascii="宋体" w:hAnsi="宋体"/>
          <w:color w:val="auto"/>
          <w:sz w:val="24"/>
          <w:highlight w:val="none"/>
        </w:rPr>
        <w:t xml:space="preserve">    </w:t>
      </w:r>
      <w:r>
        <w:rPr>
          <w:rFonts w:hint="eastAsia" w:ascii="宋体" w:hAnsi="宋体"/>
          <w:color w:val="auto"/>
          <w:sz w:val="24"/>
          <w:highlight w:val="none"/>
        </w:rPr>
        <w:t>联系人：</w:t>
      </w:r>
      <w:r>
        <w:rPr>
          <w:rFonts w:hint="eastAsia" w:ascii="宋体" w:hAnsi="宋体"/>
          <w:color w:val="auto"/>
          <w:sz w:val="24"/>
          <w:highlight w:val="none"/>
          <w:u w:val="single"/>
          <w:lang w:val="en-US" w:eastAsia="zh-CN"/>
        </w:rPr>
        <w:t>黄工、潘工</w:t>
      </w:r>
      <w:r>
        <w:rPr>
          <w:rFonts w:ascii="宋体" w:hAnsi="宋体"/>
          <w:color w:val="auto"/>
          <w:sz w:val="24"/>
          <w:highlight w:val="none"/>
        </w:rPr>
        <w:t xml:space="preserve">      </w:t>
      </w:r>
      <w:r>
        <w:rPr>
          <w:rFonts w:hint="eastAsia" w:ascii="宋体" w:hAnsi="宋体"/>
          <w:color w:val="auto"/>
          <w:sz w:val="24"/>
          <w:highlight w:val="none"/>
        </w:rPr>
        <w:t>联系电话：</w:t>
      </w:r>
      <w:r>
        <w:rPr>
          <w:rFonts w:hint="eastAsia" w:ascii="宋体" w:hAnsi="宋体"/>
          <w:color w:val="auto"/>
          <w:kern w:val="0"/>
          <w:sz w:val="24"/>
          <w:highlight w:val="none"/>
          <w:u w:val="single"/>
        </w:rPr>
        <w:t>020-62655580</w:t>
      </w:r>
    </w:p>
    <w:p w14:paraId="20C99DFF">
      <w:pPr>
        <w:keepNext w:val="0"/>
        <w:keepLines w:val="0"/>
        <w:pageBreakBefore w:val="0"/>
        <w:kinsoku/>
        <w:wordWrap/>
        <w:overflowPunct/>
        <w:topLinePunct w:val="0"/>
        <w:autoSpaceDE/>
        <w:autoSpaceDN/>
        <w:bidi w:val="0"/>
        <w:adjustRightInd/>
        <w:spacing w:line="360" w:lineRule="auto"/>
        <w:ind w:firstLine="1015" w:firstLineChars="423"/>
        <w:textAlignment w:val="auto"/>
        <w:rPr>
          <w:rFonts w:hint="default"/>
          <w:color w:val="auto"/>
          <w:highlight w:val="none"/>
          <w:lang w:val="en-US"/>
        </w:rPr>
      </w:pPr>
      <w:r>
        <w:rPr>
          <w:rFonts w:hint="eastAsia" w:ascii="宋体" w:hAnsi="宋体"/>
          <w:color w:val="auto"/>
          <w:sz w:val="24"/>
          <w:highlight w:val="none"/>
        </w:rPr>
        <w:t>联系地址：</w:t>
      </w:r>
      <w:r>
        <w:rPr>
          <w:rFonts w:hint="eastAsia" w:ascii="宋体" w:hAnsi="宋体" w:cs="宋体"/>
          <w:color w:val="auto"/>
          <w:sz w:val="24"/>
          <w:szCs w:val="24"/>
          <w:highlight w:val="none"/>
          <w:u w:val="single"/>
          <w:lang w:eastAsia="zh-CN"/>
        </w:rPr>
        <w:t>广州市越秀区站南路15号之一</w:t>
      </w:r>
      <w:r>
        <w:rPr>
          <w:rFonts w:hint="eastAsia" w:ascii="宋体" w:hAnsi="宋体" w:cs="宋体"/>
          <w:color w:val="auto"/>
          <w:sz w:val="24"/>
          <w:szCs w:val="24"/>
          <w:highlight w:val="none"/>
          <w:u w:val="single"/>
          <w:lang w:val="en-US" w:eastAsia="zh-CN"/>
        </w:rPr>
        <w:t>512</w:t>
      </w:r>
    </w:p>
    <w:p w14:paraId="637B4F48">
      <w:pPr>
        <w:keepNext w:val="0"/>
        <w:keepLines w:val="0"/>
        <w:pageBreakBefore w:val="0"/>
        <w:kinsoku/>
        <w:wordWrap/>
        <w:overflowPunct/>
        <w:topLinePunct w:val="0"/>
        <w:autoSpaceDE/>
        <w:autoSpaceDN/>
        <w:bidi w:val="0"/>
        <w:adjustRightInd/>
        <w:spacing w:line="360" w:lineRule="auto"/>
        <w:ind w:firstLine="537" w:firstLineChars="224"/>
        <w:textAlignment w:val="auto"/>
        <w:rPr>
          <w:rFonts w:asci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招标监督机构：</w:t>
      </w:r>
      <w:r>
        <w:rPr>
          <w:rFonts w:hint="eastAsia" w:ascii="宋体" w:hAnsi="宋体"/>
          <w:color w:val="auto"/>
          <w:sz w:val="24"/>
          <w:highlight w:val="none"/>
          <w:u w:val="single"/>
        </w:rPr>
        <w:t>广州市白云区建设工程研究和招投标管理中心</w:t>
      </w:r>
    </w:p>
    <w:p w14:paraId="7DC14EC6">
      <w:pPr>
        <w:keepNext w:val="0"/>
        <w:keepLines w:val="0"/>
        <w:pageBreakBefore w:val="0"/>
        <w:kinsoku/>
        <w:wordWrap/>
        <w:overflowPunct/>
        <w:topLinePunct w:val="0"/>
        <w:autoSpaceDE/>
        <w:autoSpaceDN/>
        <w:bidi w:val="0"/>
        <w:adjustRightInd/>
        <w:spacing w:line="360" w:lineRule="auto"/>
        <w:ind w:firstLine="537" w:firstLineChars="224"/>
        <w:textAlignment w:val="auto"/>
        <w:rPr>
          <w:rFonts w:ascii="宋体" w:hAnsi="宋体"/>
          <w:color w:val="auto"/>
          <w:sz w:val="24"/>
          <w:highlight w:val="none"/>
          <w:u w:val="single"/>
        </w:rPr>
      </w:pPr>
      <w:r>
        <w:rPr>
          <w:rFonts w:ascii="宋体" w:hAnsi="宋体"/>
          <w:color w:val="auto"/>
          <w:sz w:val="24"/>
          <w:highlight w:val="none"/>
        </w:rPr>
        <w:t xml:space="preserve">    </w:t>
      </w:r>
      <w:r>
        <w:rPr>
          <w:rFonts w:hint="eastAsia" w:ascii="宋体" w:hAnsi="宋体"/>
          <w:color w:val="auto"/>
          <w:sz w:val="24"/>
          <w:highlight w:val="none"/>
        </w:rPr>
        <w:t>监督电话：</w:t>
      </w:r>
      <w:r>
        <w:rPr>
          <w:rFonts w:hint="eastAsia" w:ascii="宋体" w:hAnsi="宋体" w:cs="宋体"/>
          <w:color w:val="auto"/>
          <w:sz w:val="24"/>
          <w:szCs w:val="24"/>
          <w:highlight w:val="none"/>
          <w:u w:val="single"/>
        </w:rPr>
        <w:t>020-86210407、86212546</w:t>
      </w:r>
    </w:p>
    <w:p w14:paraId="6244779E">
      <w:pPr>
        <w:keepNext w:val="0"/>
        <w:keepLines w:val="0"/>
        <w:pageBreakBefore w:val="0"/>
        <w:kinsoku/>
        <w:wordWrap/>
        <w:overflowPunct/>
        <w:topLinePunct w:val="0"/>
        <w:autoSpaceDE/>
        <w:autoSpaceDN/>
        <w:bidi w:val="0"/>
        <w:adjustRightInd/>
        <w:spacing w:line="360" w:lineRule="auto"/>
        <w:ind w:firstLine="1015" w:firstLineChars="423"/>
        <w:textAlignment w:val="auto"/>
        <w:rPr>
          <w:color w:val="auto"/>
          <w:highlight w:val="none"/>
        </w:rPr>
      </w:pPr>
      <w:r>
        <w:rPr>
          <w:rFonts w:hint="eastAsia" w:ascii="宋体" w:hAnsi="宋体"/>
          <w:color w:val="auto"/>
          <w:sz w:val="24"/>
          <w:highlight w:val="none"/>
        </w:rPr>
        <w:t>联系地址：</w:t>
      </w:r>
      <w:r>
        <w:rPr>
          <w:rFonts w:hint="eastAsia" w:ascii="宋体" w:hAnsi="宋体" w:cs="宋体"/>
          <w:color w:val="auto"/>
          <w:sz w:val="24"/>
          <w:szCs w:val="24"/>
          <w:highlight w:val="none"/>
          <w:u w:val="single"/>
        </w:rPr>
        <w:t>广州市白云区大金钟路23号广州市白云区住房建设和交通局二楼</w:t>
      </w:r>
    </w:p>
    <w:p w14:paraId="2BC62184">
      <w:pPr>
        <w:keepNext w:val="0"/>
        <w:keepLines w:val="0"/>
        <w:pageBreakBefore w:val="0"/>
        <w:kinsoku/>
        <w:wordWrap/>
        <w:overflowPunct/>
        <w:topLinePunct w:val="0"/>
        <w:autoSpaceDE/>
        <w:autoSpaceDN/>
        <w:bidi w:val="0"/>
        <w:adjustRightInd/>
        <w:spacing w:line="360" w:lineRule="auto"/>
        <w:ind w:firstLine="482" w:firstLineChars="200"/>
        <w:textAlignment w:val="auto"/>
        <w:rPr>
          <w:rFonts w:ascii="宋体"/>
          <w:color w:val="auto"/>
          <w:sz w:val="24"/>
          <w:highlight w:val="none"/>
          <w:u w:val="single"/>
        </w:rPr>
      </w:pPr>
      <w:r>
        <w:rPr>
          <w:rStyle w:val="61"/>
          <w:rFonts w:hint="eastAsia"/>
          <w:color w:val="auto"/>
          <w:highlight w:val="none"/>
        </w:rPr>
        <w:t>三、建设地点：</w:t>
      </w:r>
      <w:r>
        <w:rPr>
          <w:rFonts w:hint="eastAsia" w:ascii="宋体" w:hAnsi="宋体" w:eastAsia="宋体" w:cs="宋体"/>
          <w:color w:val="auto"/>
          <w:sz w:val="24"/>
          <w:szCs w:val="24"/>
          <w:highlight w:val="none"/>
          <w:u w:val="single"/>
          <w:lang w:eastAsia="zh-CN" w:bidi="ar"/>
        </w:rPr>
        <w:t>广州市</w:t>
      </w:r>
      <w:r>
        <w:rPr>
          <w:rFonts w:hint="eastAsia" w:ascii="宋体" w:hAnsi="宋体" w:eastAsia="宋体" w:cs="宋体"/>
          <w:color w:val="auto"/>
          <w:sz w:val="24"/>
          <w:szCs w:val="24"/>
          <w:highlight w:val="none"/>
          <w:u w:val="single"/>
          <w:lang w:val="en-US" w:eastAsia="zh-CN" w:bidi="ar"/>
        </w:rPr>
        <w:t>白云区</w:t>
      </w:r>
      <w:r>
        <w:rPr>
          <w:rFonts w:hint="eastAsia" w:ascii="宋体" w:hAnsi="宋体"/>
          <w:color w:val="auto"/>
          <w:sz w:val="24"/>
          <w:highlight w:val="none"/>
          <w:u w:val="single"/>
        </w:rPr>
        <w:t>。</w:t>
      </w:r>
    </w:p>
    <w:p w14:paraId="7B8A7E21">
      <w:pPr>
        <w:keepNext w:val="0"/>
        <w:keepLines w:val="0"/>
        <w:pageBreakBefore w:val="0"/>
        <w:kinsoku/>
        <w:wordWrap/>
        <w:overflowPunct/>
        <w:topLinePunct w:val="0"/>
        <w:autoSpaceDE/>
        <w:autoSpaceDN/>
        <w:bidi w:val="0"/>
        <w:adjustRightInd/>
        <w:spacing w:line="360" w:lineRule="auto"/>
        <w:ind w:firstLine="482" w:firstLineChars="200"/>
        <w:textAlignment w:val="auto"/>
        <w:rPr>
          <w:rStyle w:val="61"/>
          <w:rFonts w:hint="eastAsia"/>
          <w:b w:val="0"/>
          <w:bCs/>
          <w:color w:val="auto"/>
          <w:highlight w:val="none"/>
          <w:u w:val="single"/>
        </w:rPr>
      </w:pPr>
      <w:r>
        <w:rPr>
          <w:rStyle w:val="61"/>
          <w:rFonts w:hint="eastAsia"/>
          <w:color w:val="auto"/>
          <w:highlight w:val="none"/>
        </w:rPr>
        <w:t>四、项目概况：</w:t>
      </w:r>
      <w:r>
        <w:rPr>
          <w:rStyle w:val="61"/>
          <w:rFonts w:hint="eastAsia"/>
          <w:b w:val="0"/>
          <w:bCs/>
          <w:color w:val="auto"/>
          <w:highlight w:val="none"/>
          <w:u w:val="single"/>
        </w:rPr>
        <w:t>沙太路改造（北环-金盘岭隧道）工程南起沙太路北环高速出入口，北至金盘岭隧道南端入口，全长约6公里，道路等级为城市主干路。</w:t>
      </w:r>
    </w:p>
    <w:p w14:paraId="2B7877D3">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61"/>
          <w:rFonts w:hint="eastAsia"/>
          <w:b w:val="0"/>
          <w:bCs/>
          <w:color w:val="auto"/>
          <w:highlight w:val="none"/>
          <w:u w:val="single"/>
        </w:rPr>
      </w:pPr>
      <w:r>
        <w:rPr>
          <w:rStyle w:val="61"/>
          <w:rFonts w:hint="eastAsia"/>
          <w:b w:val="0"/>
          <w:bCs/>
          <w:color w:val="auto"/>
          <w:highlight w:val="none"/>
          <w:u w:val="single"/>
          <w:lang w:val="en-US" w:eastAsia="zh-CN"/>
        </w:rPr>
        <w:t>本次招标范围：1.</w:t>
      </w:r>
      <w:r>
        <w:rPr>
          <w:rStyle w:val="61"/>
          <w:rFonts w:hint="eastAsia"/>
          <w:b w:val="0"/>
          <w:bCs/>
          <w:color w:val="auto"/>
          <w:highlight w:val="none"/>
          <w:u w:val="single"/>
        </w:rPr>
        <w:t>第三标段工程范围为同宝路-金盘岭隧道段，全长约1.2km，道路规划为城市主干路，现状设计速度40Km/h，现状标准断面为双向</w:t>
      </w:r>
      <w:r>
        <w:rPr>
          <w:rStyle w:val="61"/>
          <w:rFonts w:hint="eastAsia"/>
          <w:b w:val="0"/>
          <w:bCs/>
          <w:color w:val="auto"/>
          <w:highlight w:val="none"/>
          <w:u w:val="single"/>
          <w:lang w:eastAsia="zh-CN"/>
        </w:rPr>
        <w:t>三车道</w:t>
      </w:r>
      <w:r>
        <w:rPr>
          <w:rStyle w:val="61"/>
          <w:rFonts w:hint="eastAsia"/>
          <w:b w:val="0"/>
          <w:bCs/>
          <w:color w:val="auto"/>
          <w:highlight w:val="none"/>
          <w:u w:val="single"/>
        </w:rPr>
        <w:t xml:space="preserve">，本次维持原道路标准不变，基于现状道路实际情况进行升级改造，主要改造内容包括旧沥青路面刨铺、完善排水系统、完善慢行系统、完善道路照明设施以及完善其他道路交通基础设施等。 </w:t>
      </w:r>
    </w:p>
    <w:p w14:paraId="60F88CBF">
      <w:pPr>
        <w:keepNext w:val="0"/>
        <w:keepLines w:val="0"/>
        <w:pageBreakBefore w:val="0"/>
        <w:kinsoku/>
        <w:wordWrap/>
        <w:overflowPunct/>
        <w:topLinePunct w:val="0"/>
        <w:autoSpaceDE/>
        <w:autoSpaceDN/>
        <w:bidi w:val="0"/>
        <w:adjustRightInd/>
        <w:spacing w:line="360" w:lineRule="auto"/>
        <w:ind w:firstLine="480" w:firstLineChars="200"/>
        <w:textAlignment w:val="auto"/>
        <w:rPr>
          <w:rStyle w:val="61"/>
          <w:rFonts w:hint="eastAsia"/>
          <w:b w:val="0"/>
          <w:bCs/>
          <w:color w:val="auto"/>
          <w:highlight w:val="none"/>
          <w:u w:val="single"/>
        </w:rPr>
      </w:pPr>
      <w:r>
        <w:rPr>
          <w:rStyle w:val="61"/>
          <w:rFonts w:hint="eastAsia"/>
          <w:b w:val="0"/>
          <w:bCs/>
          <w:color w:val="auto"/>
          <w:highlight w:val="none"/>
          <w:u w:val="single"/>
          <w:lang w:val="en-US" w:eastAsia="zh-CN"/>
        </w:rPr>
        <w:t>2.</w:t>
      </w:r>
      <w:r>
        <w:rPr>
          <w:rStyle w:val="61"/>
          <w:rFonts w:hint="eastAsia"/>
          <w:b w:val="0"/>
          <w:bCs/>
          <w:color w:val="auto"/>
          <w:highlight w:val="none"/>
          <w:u w:val="single"/>
        </w:rPr>
        <w:t>第二标段</w:t>
      </w:r>
      <w:r>
        <w:rPr>
          <w:rStyle w:val="61"/>
          <w:rFonts w:hint="eastAsia"/>
          <w:b w:val="0"/>
          <w:bCs/>
          <w:color w:val="auto"/>
          <w:highlight w:val="none"/>
          <w:u w:val="single"/>
          <w:lang w:val="en-US" w:eastAsia="zh-CN"/>
        </w:rPr>
        <w:t>供水管迁改</w:t>
      </w:r>
      <w:r>
        <w:rPr>
          <w:rStyle w:val="61"/>
          <w:rFonts w:hint="eastAsia"/>
          <w:b w:val="0"/>
          <w:bCs/>
          <w:color w:val="auto"/>
          <w:highlight w:val="none"/>
          <w:u w:val="single"/>
        </w:rPr>
        <w:t>工程</w:t>
      </w:r>
      <w:r>
        <w:rPr>
          <w:rStyle w:val="61"/>
          <w:rFonts w:hint="eastAsia"/>
          <w:b w:val="0"/>
          <w:bCs/>
          <w:color w:val="auto"/>
          <w:highlight w:val="none"/>
          <w:u w:val="single"/>
          <w:lang w:eastAsia="zh-CN"/>
        </w:rPr>
        <w:t>（含新增泵站）</w:t>
      </w:r>
      <w:r>
        <w:rPr>
          <w:rStyle w:val="61"/>
          <w:rFonts w:hint="eastAsia"/>
          <w:b w:val="0"/>
          <w:bCs/>
          <w:color w:val="auto"/>
          <w:highlight w:val="none"/>
          <w:u w:val="single"/>
        </w:rPr>
        <w:t>范围为同河路-同宝路段，现状</w:t>
      </w:r>
      <w:r>
        <w:rPr>
          <w:rStyle w:val="61"/>
          <w:rFonts w:hint="eastAsia"/>
          <w:b w:val="0"/>
          <w:bCs/>
          <w:color w:val="auto"/>
          <w:highlight w:val="none"/>
          <w:u w:val="single"/>
          <w:lang w:val="en-US" w:eastAsia="zh-CN"/>
        </w:rPr>
        <w:t>供水管</w:t>
      </w:r>
      <w:r>
        <w:rPr>
          <w:rStyle w:val="61"/>
          <w:rFonts w:hint="eastAsia"/>
          <w:b w:val="0"/>
          <w:bCs/>
          <w:color w:val="auto"/>
          <w:highlight w:val="none"/>
          <w:u w:val="single"/>
        </w:rPr>
        <w:t>主管为DN400-DN800砼管道，改造后为同管径的球墨铸铁管道。</w:t>
      </w:r>
    </w:p>
    <w:p w14:paraId="3A6C6B96">
      <w:pPr>
        <w:pStyle w:val="7"/>
        <w:pageBreakBefore w:val="0"/>
        <w:kinsoku/>
        <w:wordWrap/>
        <w:overflowPunct/>
        <w:topLinePunct w:val="0"/>
        <w:autoSpaceDE/>
        <w:autoSpaceDN/>
        <w:bidi w:val="0"/>
        <w:spacing w:line="360" w:lineRule="auto"/>
        <w:ind w:left="0" w:leftChars="0" w:firstLine="482" w:firstLineChars="200"/>
        <w:jc w:val="both"/>
        <w:textAlignment w:val="auto"/>
        <w:rPr>
          <w:color w:val="auto"/>
          <w:highlight w:val="none"/>
        </w:rPr>
      </w:pPr>
      <w:r>
        <w:rPr>
          <w:rFonts w:hint="eastAsia"/>
          <w:color w:val="auto"/>
          <w:highlight w:val="none"/>
        </w:rPr>
        <w:t>五、标段划分及各标段招标内容、规模和最高投标限价：</w:t>
      </w:r>
    </w:p>
    <w:p w14:paraId="13561ED7">
      <w:pPr>
        <w:keepNext w:val="0"/>
        <w:keepLines w:val="0"/>
        <w:pageBreakBefore w:val="0"/>
        <w:kinsoku/>
        <w:wordWrap/>
        <w:overflowPunct/>
        <w:topLinePunct w:val="0"/>
        <w:autoSpaceDE/>
        <w:autoSpaceDN/>
        <w:bidi w:val="0"/>
        <w:adjustRightInd/>
        <w:spacing w:line="360" w:lineRule="auto"/>
        <w:ind w:firstLine="537" w:firstLineChars="224"/>
        <w:textAlignment w:val="auto"/>
        <w:rPr>
          <w:rFonts w:ascii="宋体" w:hAnsi="宋体" w:eastAsia="宋体"/>
          <w:i w:val="0"/>
          <w:color w:val="auto"/>
          <w:sz w:val="24"/>
          <w:highlight w:val="none"/>
        </w:rPr>
      </w:pPr>
      <w:r>
        <w:rPr>
          <w:rFonts w:ascii="宋体" w:hAnsi="宋体" w:eastAsia="宋体"/>
          <w:color w:val="auto"/>
          <w:sz w:val="24"/>
          <w:highlight w:val="none"/>
        </w:rPr>
        <w:t>1</w:t>
      </w:r>
      <w:r>
        <w:rPr>
          <w:rFonts w:hint="eastAsia" w:ascii="宋体" w:hAnsi="宋体"/>
          <w:color w:val="auto"/>
          <w:sz w:val="24"/>
          <w:highlight w:val="none"/>
          <w:lang w:val="en-US" w:eastAsia="zh-CN"/>
        </w:rPr>
        <w:t>.</w:t>
      </w:r>
      <w:r>
        <w:rPr>
          <w:rFonts w:ascii="宋体" w:hAnsi="宋体" w:eastAsia="宋体"/>
          <w:color w:val="auto"/>
          <w:sz w:val="24"/>
          <w:highlight w:val="none"/>
        </w:rPr>
        <w:t>本招标项目分为</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1</w:t>
      </w:r>
      <w:r>
        <w:rPr>
          <w:rFonts w:ascii="宋体" w:hAnsi="宋体"/>
          <w:color w:val="auto"/>
          <w:sz w:val="24"/>
          <w:highlight w:val="none"/>
          <w:u w:val="single"/>
        </w:rPr>
        <w:t xml:space="preserve"> </w:t>
      </w:r>
      <w:r>
        <w:rPr>
          <w:rFonts w:hint="eastAsia" w:ascii="宋体" w:hAnsi="宋体" w:eastAsia="宋体"/>
          <w:color w:val="auto"/>
          <w:sz w:val="24"/>
          <w:highlight w:val="none"/>
        </w:rPr>
        <w:t>个标段。</w:t>
      </w:r>
    </w:p>
    <w:p w14:paraId="4537B45F">
      <w:pPr>
        <w:keepNext w:val="0"/>
        <w:keepLines w:val="0"/>
        <w:pageBreakBefore w:val="0"/>
        <w:kinsoku/>
        <w:wordWrap/>
        <w:overflowPunct/>
        <w:topLinePunct w:val="0"/>
        <w:autoSpaceDE/>
        <w:autoSpaceDN/>
        <w:bidi w:val="0"/>
        <w:adjustRightInd/>
        <w:spacing w:line="360" w:lineRule="auto"/>
        <w:ind w:firstLine="537" w:firstLineChars="224"/>
        <w:textAlignment w:val="auto"/>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color w:val="auto"/>
          <w:sz w:val="24"/>
          <w:highlight w:val="none"/>
          <w:lang w:val="en-US" w:eastAsia="zh-CN"/>
        </w:rPr>
        <w:t>.</w:t>
      </w:r>
      <w:r>
        <w:rPr>
          <w:rFonts w:hint="eastAsia" w:ascii="宋体" w:hAnsi="宋体" w:eastAsia="宋体" w:cs="Times New Roman"/>
          <w:color w:val="auto"/>
          <w:sz w:val="24"/>
          <w:szCs w:val="22"/>
          <w:highlight w:val="none"/>
        </w:rPr>
        <w:t>招标</w:t>
      </w:r>
      <w:r>
        <w:rPr>
          <w:rFonts w:hint="eastAsia" w:ascii="宋体" w:hAnsi="宋体" w:eastAsia="宋体"/>
          <w:color w:val="auto"/>
          <w:sz w:val="24"/>
          <w:highlight w:val="none"/>
        </w:rPr>
        <w:t>内容</w:t>
      </w:r>
      <w:r>
        <w:rPr>
          <w:rFonts w:hint="eastAsia" w:ascii="宋体" w:hAnsi="宋体"/>
          <w:color w:val="auto"/>
          <w:sz w:val="24"/>
          <w:highlight w:val="none"/>
          <w:u w:val="single"/>
          <w:lang w:eastAsia="zh-CN"/>
        </w:rPr>
        <w:t>（</w:t>
      </w:r>
      <w:r>
        <w:rPr>
          <w:rFonts w:hint="eastAsia" w:ascii="宋体" w:hAnsi="宋体"/>
          <w:color w:val="auto"/>
          <w:sz w:val="24"/>
          <w:highlight w:val="none"/>
          <w:u w:val="single"/>
        </w:rPr>
        <w:t>包括但不限于</w:t>
      </w:r>
      <w:r>
        <w:rPr>
          <w:rFonts w:hint="eastAsia" w:ascii="宋体" w:hAnsi="宋体"/>
          <w:color w:val="auto"/>
          <w:sz w:val="24"/>
          <w:highlight w:val="none"/>
          <w:u w:val="single"/>
          <w:lang w:eastAsia="zh-CN"/>
        </w:rPr>
        <w:t>）</w:t>
      </w:r>
      <w:r>
        <w:rPr>
          <w:rFonts w:hint="eastAsia" w:ascii="宋体" w:hAnsi="宋体"/>
          <w:color w:val="auto"/>
          <w:sz w:val="24"/>
          <w:highlight w:val="none"/>
          <w:lang w:val="en-US" w:eastAsia="zh-CN"/>
        </w:rPr>
        <w:t>：①</w:t>
      </w:r>
      <w:r>
        <w:rPr>
          <w:rFonts w:hint="eastAsia" w:ascii="宋体" w:hAnsi="宋体"/>
          <w:color w:val="auto"/>
          <w:sz w:val="24"/>
          <w:highlight w:val="none"/>
          <w:u w:val="single"/>
          <w:lang w:val="en-US" w:eastAsia="zh-CN"/>
        </w:rPr>
        <w:t>雨水管道、车行道沥青砼摊铺、人行道改造等；②DN400-DN800自来水球墨铸铁主管。</w:t>
      </w:r>
      <w:r>
        <w:rPr>
          <w:rFonts w:hint="eastAsia" w:ascii="宋体" w:hAnsi="宋体"/>
          <w:color w:val="auto"/>
          <w:sz w:val="24"/>
          <w:highlight w:val="none"/>
          <w:u w:val="single"/>
          <w:lang w:eastAsia="zh-CN"/>
        </w:rPr>
        <w:t>（具体内容以</w:t>
      </w:r>
      <w:r>
        <w:rPr>
          <w:rFonts w:hint="eastAsia" w:ascii="宋体" w:hAnsi="宋体"/>
          <w:color w:val="auto"/>
          <w:sz w:val="24"/>
          <w:highlight w:val="none"/>
          <w:u w:val="single"/>
          <w:lang w:val="en-US" w:eastAsia="zh-CN"/>
        </w:rPr>
        <w:t>合同、</w:t>
      </w:r>
      <w:r>
        <w:rPr>
          <w:rFonts w:hint="eastAsia" w:ascii="宋体" w:hAnsi="宋体"/>
          <w:color w:val="auto"/>
          <w:sz w:val="24"/>
          <w:highlight w:val="none"/>
          <w:u w:val="single"/>
          <w:lang w:eastAsia="zh-CN"/>
        </w:rPr>
        <w:t>招标图纸、工程量清单及有关资料为准）</w:t>
      </w:r>
    </w:p>
    <w:p w14:paraId="340773D0">
      <w:pPr>
        <w:keepNext w:val="0"/>
        <w:keepLines w:val="0"/>
        <w:pageBreakBefore w:val="0"/>
        <w:kinsoku/>
        <w:wordWrap/>
        <w:overflowPunct/>
        <w:topLinePunct w:val="0"/>
        <w:autoSpaceDE/>
        <w:autoSpaceDN/>
        <w:bidi w:val="0"/>
        <w:adjustRightInd/>
        <w:spacing w:line="360" w:lineRule="auto"/>
        <w:ind w:firstLine="537" w:firstLineChars="224"/>
        <w:textAlignment w:val="auto"/>
        <w:rPr>
          <w:rFonts w:ascii="宋体" w:hAnsi="宋体" w:eastAsia="宋体"/>
          <w:color w:val="auto"/>
          <w:sz w:val="24"/>
          <w:highlight w:val="none"/>
        </w:rPr>
      </w:pPr>
      <w:r>
        <w:rPr>
          <w:rFonts w:hint="eastAsia" w:ascii="宋体" w:hAnsi="宋体"/>
          <w:color w:val="auto"/>
          <w:sz w:val="24"/>
          <w:highlight w:val="none"/>
          <w:lang w:val="en-US" w:eastAsia="zh-CN"/>
        </w:rPr>
        <w:t>3.</w:t>
      </w:r>
      <w:r>
        <w:rPr>
          <w:rFonts w:ascii="宋体" w:hAnsi="宋体" w:eastAsia="宋体"/>
          <w:color w:val="auto"/>
          <w:sz w:val="24"/>
          <w:highlight w:val="none"/>
        </w:rPr>
        <w:t>最高投标限价：</w:t>
      </w:r>
      <w:r>
        <w:rPr>
          <w:rFonts w:hint="eastAsia" w:ascii="宋体" w:hAnsi="宋体"/>
          <w:color w:val="auto"/>
          <w:sz w:val="24"/>
          <w:highlight w:val="none"/>
          <w:u w:val="single"/>
          <w:lang w:eastAsia="zh-CN"/>
        </w:rPr>
        <w:t>28990535.85</w:t>
      </w:r>
      <w:r>
        <w:rPr>
          <w:rFonts w:hint="eastAsia" w:ascii="宋体" w:hAnsi="宋体" w:cs="宋体"/>
          <w:color w:val="auto"/>
          <w:sz w:val="24"/>
          <w:szCs w:val="24"/>
          <w:highlight w:val="none"/>
        </w:rPr>
        <w:t>元</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其中，建安工程最高投标限价</w:t>
      </w:r>
      <w:r>
        <w:rPr>
          <w:rFonts w:hint="eastAsia" w:ascii="宋体" w:hAnsi="宋体" w:cs="宋体"/>
          <w:color w:val="auto"/>
          <w:sz w:val="24"/>
          <w:szCs w:val="24"/>
          <w:highlight w:val="none"/>
          <w:lang w:eastAsia="zh-CN"/>
        </w:rPr>
        <w:t>：</w:t>
      </w:r>
      <w:r>
        <w:rPr>
          <w:rFonts w:hint="eastAsia" w:ascii="宋体" w:hAnsi="宋体" w:cs="Times New Roman"/>
          <w:color w:val="auto"/>
          <w:kern w:val="2"/>
          <w:sz w:val="24"/>
          <w:szCs w:val="22"/>
          <w:highlight w:val="none"/>
          <w:u w:val="single"/>
          <w:lang w:val="en-US" w:eastAsia="zh-CN" w:bidi="ar"/>
        </w:rPr>
        <w:t>19173262.40</w:t>
      </w:r>
      <w:r>
        <w:rPr>
          <w:rFonts w:hint="eastAsia" w:ascii="宋体" w:hAnsi="宋体" w:cs="宋体"/>
          <w:color w:val="auto"/>
          <w:kern w:val="2"/>
          <w:sz w:val="24"/>
          <w:szCs w:val="24"/>
          <w:highlight w:val="none"/>
          <w:u w:val="none"/>
          <w:lang w:val="en-US" w:eastAsia="zh-CN" w:bidi="ar"/>
        </w:rPr>
        <w:t>元，管线迁改最高投标限价：</w:t>
      </w:r>
      <w:r>
        <w:rPr>
          <w:rFonts w:hint="eastAsia" w:ascii="宋体" w:hAnsi="宋体" w:cs="Times New Roman"/>
          <w:color w:val="auto"/>
          <w:kern w:val="2"/>
          <w:sz w:val="24"/>
          <w:szCs w:val="22"/>
          <w:highlight w:val="none"/>
          <w:u w:val="single"/>
          <w:lang w:val="en-US" w:eastAsia="zh-CN" w:bidi="ar"/>
        </w:rPr>
        <w:t>9817273.45</w:t>
      </w:r>
      <w:r>
        <w:rPr>
          <w:rFonts w:hint="eastAsia" w:ascii="宋体" w:hAnsi="宋体" w:cs="宋体"/>
          <w:color w:val="auto"/>
          <w:kern w:val="2"/>
          <w:sz w:val="24"/>
          <w:szCs w:val="24"/>
          <w:highlight w:val="none"/>
          <w:u w:val="none"/>
          <w:lang w:val="en-US" w:eastAsia="zh-CN" w:bidi="ar"/>
        </w:rPr>
        <w:t>元；</w:t>
      </w:r>
      <w:r>
        <w:rPr>
          <w:rFonts w:hint="eastAsia" w:ascii="宋体" w:hAnsi="宋体" w:cs="宋体"/>
          <w:color w:val="auto"/>
          <w:sz w:val="24"/>
          <w:szCs w:val="24"/>
          <w:highlight w:val="none"/>
        </w:rPr>
        <w:t>绿色施工安全防护措施费为</w:t>
      </w:r>
      <w:r>
        <w:rPr>
          <w:rFonts w:hint="eastAsia" w:ascii="宋体" w:hAnsi="宋体" w:cs="宋体"/>
          <w:color w:val="auto"/>
          <w:sz w:val="24"/>
          <w:szCs w:val="24"/>
          <w:highlight w:val="none"/>
          <w:u w:val="single"/>
          <w:lang w:val="en-US" w:eastAsia="zh-CN"/>
        </w:rPr>
        <w:t>1625905.54</w:t>
      </w:r>
      <w:r>
        <w:rPr>
          <w:rFonts w:hint="eastAsia" w:ascii="宋体" w:hAnsi="宋体" w:cs="宋体"/>
          <w:color w:val="auto"/>
          <w:sz w:val="24"/>
          <w:szCs w:val="24"/>
          <w:highlight w:val="none"/>
        </w:rPr>
        <w:t>元，暂列金额为</w:t>
      </w:r>
      <w:r>
        <w:rPr>
          <w:rFonts w:hint="eastAsia" w:ascii="宋体" w:hAnsi="宋体" w:cs="宋体"/>
          <w:color w:val="auto"/>
          <w:sz w:val="24"/>
          <w:szCs w:val="24"/>
          <w:highlight w:val="none"/>
          <w:u w:val="single"/>
          <w:lang w:val="en-US" w:eastAsia="zh-CN"/>
        </w:rPr>
        <w:t>2023248.14</w:t>
      </w:r>
      <w:r>
        <w:rPr>
          <w:rFonts w:hint="eastAsia" w:ascii="宋体" w:hAnsi="宋体" w:cs="宋体"/>
          <w:color w:val="auto"/>
          <w:sz w:val="24"/>
          <w:szCs w:val="24"/>
          <w:highlight w:val="none"/>
        </w:rPr>
        <w:t>元，暂估价为</w:t>
      </w:r>
      <w:r>
        <w:rPr>
          <w:rFonts w:hint="eastAsia" w:ascii="宋体" w:hAnsi="宋体" w:cs="宋体"/>
          <w:color w:val="auto"/>
          <w:sz w:val="24"/>
          <w:szCs w:val="24"/>
          <w:highlight w:val="none"/>
          <w:u w:val="single"/>
          <w:lang w:val="en-US" w:eastAsia="zh-CN"/>
        </w:rPr>
        <w:t>1110000.00</w:t>
      </w:r>
      <w:r>
        <w:rPr>
          <w:rFonts w:hint="eastAsia" w:ascii="宋体" w:hAnsi="宋体" w:cs="宋体"/>
          <w:color w:val="auto"/>
          <w:sz w:val="24"/>
          <w:szCs w:val="24"/>
          <w:highlight w:val="none"/>
        </w:rPr>
        <w:t>元。</w:t>
      </w:r>
      <w:r>
        <w:rPr>
          <w:rFonts w:ascii="宋体" w:hAnsi="宋体" w:eastAsia="宋体"/>
          <w:color w:val="auto"/>
          <w:sz w:val="24"/>
          <w:highlight w:val="none"/>
          <w:u w:val="none"/>
        </w:rPr>
        <w:t xml:space="preserve"> </w:t>
      </w:r>
    </w:p>
    <w:p w14:paraId="676BF6FB">
      <w:pPr>
        <w:keepNext w:val="0"/>
        <w:keepLines w:val="0"/>
        <w:pageBreakBefore w:val="0"/>
        <w:kinsoku/>
        <w:wordWrap/>
        <w:overflowPunct/>
        <w:topLinePunct w:val="0"/>
        <w:autoSpaceDE/>
        <w:autoSpaceDN/>
        <w:bidi w:val="0"/>
        <w:adjustRightInd/>
        <w:spacing w:line="360" w:lineRule="auto"/>
        <w:ind w:left="120" w:leftChars="57" w:firstLine="419" w:firstLineChars="174"/>
        <w:textAlignment w:val="auto"/>
        <w:rPr>
          <w:rFonts w:ascii="宋体" w:hAnsi="宋体"/>
          <w:color w:val="auto"/>
          <w:sz w:val="24"/>
          <w:highlight w:val="none"/>
          <w:u w:val="single"/>
        </w:rPr>
      </w:pPr>
      <w:r>
        <w:rPr>
          <w:rStyle w:val="61"/>
          <w:rFonts w:hint="eastAsia"/>
          <w:color w:val="auto"/>
          <w:highlight w:val="none"/>
        </w:rPr>
        <w:t>六、资金来源：</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区财政</w:t>
      </w:r>
      <w:r>
        <w:rPr>
          <w:rFonts w:hint="eastAsia" w:ascii="宋体" w:hAnsi="宋体"/>
          <w:color w:val="auto"/>
          <w:sz w:val="24"/>
          <w:highlight w:val="none"/>
          <w:u w:val="single"/>
        </w:rPr>
        <w:t>资金</w:t>
      </w:r>
      <w:r>
        <w:rPr>
          <w:rFonts w:ascii="宋体" w:hAnsi="宋体"/>
          <w:color w:val="auto"/>
          <w:sz w:val="24"/>
          <w:highlight w:val="none"/>
          <w:u w:val="single"/>
        </w:rPr>
        <w:t xml:space="preserve"> </w:t>
      </w:r>
    </w:p>
    <w:p w14:paraId="414BF4E5">
      <w:pPr>
        <w:keepNext w:val="0"/>
        <w:keepLines w:val="0"/>
        <w:pageBreakBefore w:val="0"/>
        <w:kinsoku/>
        <w:wordWrap/>
        <w:overflowPunct/>
        <w:topLinePunct w:val="0"/>
        <w:autoSpaceDE/>
        <w:autoSpaceDN/>
        <w:bidi w:val="0"/>
        <w:adjustRightInd/>
        <w:spacing w:line="360" w:lineRule="auto"/>
        <w:ind w:left="120" w:leftChars="57" w:firstLine="417" w:firstLineChars="174"/>
        <w:textAlignment w:val="auto"/>
        <w:rPr>
          <w:rFonts w:ascii="宋体"/>
          <w:color w:val="auto"/>
          <w:sz w:val="24"/>
          <w:highlight w:val="none"/>
        </w:rPr>
      </w:pPr>
      <w:r>
        <w:rPr>
          <w:rFonts w:hint="eastAsia" w:ascii="楷体" w:hAnsi="楷体" w:eastAsia="楷体" w:cs="楷体"/>
          <w:color w:val="auto"/>
          <w:sz w:val="24"/>
          <w:highlight w:val="none"/>
        </w:rPr>
        <w:t>注：政府投资项目一律不得以建筑业企业带资承包的方式进行建设。</w:t>
      </w:r>
    </w:p>
    <w:p w14:paraId="17F3D190">
      <w:pPr>
        <w:keepNext w:val="0"/>
        <w:keepLines w:val="0"/>
        <w:pageBreakBefore w:val="0"/>
        <w:widowControl w:val="0"/>
        <w:kinsoku/>
        <w:wordWrap/>
        <w:overflowPunct/>
        <w:topLinePunct w:val="0"/>
        <w:autoSpaceDE/>
        <w:autoSpaceDN/>
        <w:bidi w:val="0"/>
        <w:adjustRightInd/>
        <w:snapToGrid w:val="0"/>
        <w:spacing w:line="360" w:lineRule="auto"/>
        <w:ind w:left="0" w:firstLine="482" w:firstLineChars="200"/>
        <w:textAlignment w:val="auto"/>
        <w:rPr>
          <w:rFonts w:ascii="宋体" w:hAnsi="宋体" w:cs="宋体"/>
          <w:color w:val="auto"/>
          <w:sz w:val="24"/>
          <w:szCs w:val="24"/>
          <w:highlight w:val="none"/>
        </w:rPr>
      </w:pPr>
      <w:r>
        <w:rPr>
          <w:rStyle w:val="61"/>
          <w:rFonts w:hint="eastAsia"/>
          <w:color w:val="auto"/>
          <w:highlight w:val="none"/>
        </w:rPr>
        <w:t>七、公告发布日期、递交投标文件时间与开标时间</w:t>
      </w:r>
      <w:r>
        <w:rPr>
          <w:rFonts w:hint="eastAsia" w:ascii="宋体" w:hAnsi="宋体" w:cs="宋体"/>
          <w:color w:val="auto"/>
          <w:sz w:val="24"/>
          <w:szCs w:val="24"/>
          <w:highlight w:val="none"/>
        </w:rPr>
        <w:t>：</w:t>
      </w:r>
    </w:p>
    <w:p w14:paraId="7ACE5B5E">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textAlignment w:val="auto"/>
        <w:rPr>
          <w:rFonts w:ascii="宋体" w:hAnsi="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color w:val="auto"/>
          <w:sz w:val="24"/>
          <w:highlight w:val="none"/>
        </w:rPr>
        <w:t>公告发布日期（含本日）：</w:t>
      </w:r>
      <w:r>
        <w:rPr>
          <w:rFonts w:hint="eastAsia" w:ascii="宋体" w:hAnsi="宋体"/>
          <w:color w:val="auto"/>
          <w:sz w:val="24"/>
          <w:highlight w:val="none"/>
          <w:u w:val="single"/>
          <w:lang w:val="en-US" w:eastAsia="zh-CN"/>
        </w:rPr>
        <w:t>2025</w:t>
      </w:r>
      <w:r>
        <w:rPr>
          <w:rFonts w:hint="eastAsia" w:ascii="宋体" w:hAnsi="宋体"/>
          <w:color w:val="auto"/>
          <w:sz w:val="24"/>
          <w:highlight w:val="none"/>
        </w:rPr>
        <w:t>年</w:t>
      </w:r>
      <w:r>
        <w:rPr>
          <w:rFonts w:hint="default" w:ascii="宋体" w:hAnsi="宋体"/>
          <w:color w:val="auto"/>
          <w:sz w:val="24"/>
          <w:highlight w:val="none"/>
          <w:u w:val="single"/>
          <w:lang w:val="en-US"/>
        </w:rPr>
        <w:t xml:space="preserve">    </w:t>
      </w:r>
      <w:r>
        <w:rPr>
          <w:rFonts w:hint="eastAsia" w:ascii="宋体" w:hAnsi="宋体"/>
          <w:color w:val="auto"/>
          <w:sz w:val="24"/>
          <w:highlight w:val="none"/>
        </w:rPr>
        <w:t>月</w:t>
      </w:r>
      <w:r>
        <w:rPr>
          <w:rFonts w:hint="default" w:ascii="宋体" w:hAnsi="宋体"/>
          <w:color w:val="auto"/>
          <w:sz w:val="24"/>
          <w:highlight w:val="none"/>
          <w:u w:val="single"/>
          <w:lang w:val="en-US"/>
        </w:rPr>
        <w:t xml:space="preserve">    </w:t>
      </w:r>
      <w:r>
        <w:rPr>
          <w:rFonts w:hint="eastAsia" w:ascii="宋体" w:hAnsi="宋体"/>
          <w:color w:val="auto"/>
          <w:sz w:val="24"/>
          <w:highlight w:val="none"/>
        </w:rPr>
        <w:t>日</w:t>
      </w:r>
      <w:r>
        <w:rPr>
          <w:rFonts w:ascii="宋体" w:hAnsi="宋体"/>
          <w:color w:val="auto"/>
          <w:sz w:val="24"/>
          <w:highlight w:val="none"/>
        </w:rPr>
        <w:t xml:space="preserve">  </w:t>
      </w:r>
      <w:r>
        <w:rPr>
          <w:rFonts w:hint="eastAsia" w:ascii="宋体" w:hAnsi="宋体"/>
          <w:color w:val="auto"/>
          <w:sz w:val="24"/>
          <w:highlight w:val="none"/>
        </w:rPr>
        <w:t>至</w:t>
      </w:r>
      <w:r>
        <w:rPr>
          <w:rFonts w:hint="eastAsia" w:ascii="宋体" w:hAnsi="宋体"/>
          <w:color w:val="auto"/>
          <w:sz w:val="24"/>
          <w:highlight w:val="none"/>
          <w:u w:val="single"/>
          <w:lang w:val="en-US" w:eastAsia="zh-CN"/>
        </w:rPr>
        <w:t>2025</w:t>
      </w:r>
      <w:r>
        <w:rPr>
          <w:rFonts w:hint="eastAsia" w:ascii="宋体" w:hAnsi="宋体"/>
          <w:color w:val="auto"/>
          <w:sz w:val="24"/>
          <w:highlight w:val="none"/>
        </w:rPr>
        <w:t>年</w:t>
      </w:r>
      <w:r>
        <w:rPr>
          <w:rFonts w:hint="default" w:ascii="宋体" w:hAnsi="宋体"/>
          <w:color w:val="auto"/>
          <w:sz w:val="24"/>
          <w:highlight w:val="none"/>
          <w:u w:val="single"/>
          <w:lang w:val="en-US"/>
        </w:rPr>
        <w:t xml:space="preserve">    </w:t>
      </w:r>
      <w:r>
        <w:rPr>
          <w:rFonts w:hint="eastAsia" w:ascii="宋体" w:hAnsi="宋体"/>
          <w:color w:val="auto"/>
          <w:sz w:val="24"/>
          <w:highlight w:val="none"/>
        </w:rPr>
        <w:t>月</w:t>
      </w:r>
      <w:r>
        <w:rPr>
          <w:rFonts w:hint="default" w:ascii="宋体" w:hAnsi="宋体"/>
          <w:color w:val="auto"/>
          <w:sz w:val="24"/>
          <w:highlight w:val="none"/>
          <w:u w:val="single"/>
          <w:lang w:val="en-US"/>
        </w:rPr>
        <w:t xml:space="preserve">    </w:t>
      </w:r>
      <w:r>
        <w:rPr>
          <w:rFonts w:hint="eastAsia" w:ascii="宋体" w:hAnsi="宋体"/>
          <w:color w:val="auto"/>
          <w:sz w:val="24"/>
          <w:highlight w:val="none"/>
        </w:rPr>
        <w:t>日</w:t>
      </w:r>
    </w:p>
    <w:p w14:paraId="6B59B5F9">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凡有意参加投标者，请登录</w:t>
      </w:r>
      <w:r>
        <w:rPr>
          <w:rFonts w:hint="eastAsia" w:ascii="宋体" w:hAnsi="宋体" w:cs="宋体"/>
          <w:color w:val="auto"/>
          <w:sz w:val="24"/>
          <w:szCs w:val="24"/>
          <w:highlight w:val="none"/>
          <w:u w:val="single"/>
        </w:rPr>
        <w:t>广州交易集团有限公司（广州公共资源交易中心）交易平台网站</w:t>
      </w:r>
      <w:r>
        <w:rPr>
          <w:rFonts w:hint="eastAsia" w:ascii="宋体" w:hAnsi="宋体" w:cs="宋体"/>
          <w:color w:val="auto"/>
          <w:sz w:val="24"/>
          <w:szCs w:val="24"/>
          <w:highlight w:val="none"/>
          <w:u w:val="single"/>
          <w:lang w:val="en-US" w:eastAsia="zh-CN"/>
        </w:rPr>
        <w:t>或广东省招标投标监管网</w:t>
      </w:r>
      <w:r>
        <w:rPr>
          <w:rFonts w:hint="eastAsia" w:ascii="宋体" w:hAnsi="宋体" w:cs="宋体"/>
          <w:color w:val="auto"/>
          <w:sz w:val="24"/>
          <w:szCs w:val="24"/>
          <w:highlight w:val="none"/>
        </w:rPr>
        <w:t>下载电子招标文件。</w:t>
      </w:r>
    </w:p>
    <w:p w14:paraId="0A868B4C">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注：发布招标公告的时间为招标公告发出之日起至投标截止时间止</w:t>
      </w:r>
      <w:r>
        <w:rPr>
          <w:rFonts w:hint="eastAsia" w:ascii="宋体" w:hAnsi="宋体" w:cs="宋体"/>
          <w:color w:val="auto"/>
          <w:sz w:val="24"/>
          <w:szCs w:val="24"/>
          <w:highlight w:val="none"/>
          <w:lang w:eastAsia="zh-CN"/>
        </w:rPr>
        <w:t>。</w:t>
      </w:r>
    </w:p>
    <w:p w14:paraId="637C7805">
      <w:pPr>
        <w:pStyle w:val="20"/>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hAnsi="宋体" w:cs="宋体"/>
          <w:color w:val="auto"/>
          <w:kern w:val="0"/>
          <w:sz w:val="24"/>
          <w:szCs w:val="24"/>
          <w:highlight w:val="none"/>
          <w:lang w:eastAsia="zh-CN"/>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递交投标文件起始时间：</w:t>
      </w:r>
      <w:r>
        <w:rPr>
          <w:rFonts w:hint="eastAsia" w:hAnsi="宋体"/>
          <w:color w:val="auto"/>
          <w:sz w:val="24"/>
          <w:szCs w:val="24"/>
          <w:highlight w:val="none"/>
          <w:u w:val="single"/>
          <w:lang w:val="en-US" w:eastAsia="zh-CN"/>
        </w:rPr>
        <w:t>2025</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w:t>
      </w:r>
      <w:r>
        <w:rPr>
          <w:rFonts w:hint="eastAsia" w:hAnsi="宋体"/>
          <w:color w:val="auto"/>
          <w:sz w:val="24"/>
          <w:szCs w:val="24"/>
          <w:highlight w:val="none"/>
          <w:lang w:eastAsia="zh-CN"/>
        </w:rPr>
        <w:t>；</w:t>
      </w:r>
    </w:p>
    <w:p w14:paraId="356DE3BB">
      <w:pPr>
        <w:pStyle w:val="20"/>
        <w:keepNext w:val="0"/>
        <w:keepLines w:val="0"/>
        <w:pageBreakBefore w:val="0"/>
        <w:widowControl w:val="0"/>
        <w:kinsoku/>
        <w:wordWrap/>
        <w:overflowPunct/>
        <w:topLinePunct w:val="0"/>
        <w:autoSpaceDE/>
        <w:autoSpaceDN/>
        <w:bidi w:val="0"/>
        <w:adjustRightInd/>
        <w:spacing w:line="360" w:lineRule="auto"/>
        <w:ind w:firstLine="2160" w:firstLineChars="900"/>
        <w:textAlignment w:val="auto"/>
        <w:rPr>
          <w:rFonts w:hint="eastAsia" w:hAnsi="宋体"/>
          <w:color w:val="auto"/>
          <w:sz w:val="24"/>
          <w:szCs w:val="24"/>
          <w:highlight w:val="none"/>
          <w:lang w:eastAsia="zh-CN"/>
        </w:rPr>
      </w:pPr>
      <w:r>
        <w:rPr>
          <w:rFonts w:hint="eastAsia" w:ascii="宋体" w:hAnsi="宋体" w:cs="宋体"/>
          <w:color w:val="auto"/>
          <w:sz w:val="24"/>
          <w:szCs w:val="24"/>
          <w:highlight w:val="none"/>
        </w:rPr>
        <w:t>截止时间：</w:t>
      </w:r>
      <w:r>
        <w:rPr>
          <w:rFonts w:hint="eastAsia" w:hAnsi="宋体"/>
          <w:color w:val="auto"/>
          <w:sz w:val="24"/>
          <w:szCs w:val="24"/>
          <w:highlight w:val="none"/>
          <w:u w:val="single"/>
          <w:lang w:val="en-US" w:eastAsia="zh-CN"/>
        </w:rPr>
        <w:t>2025</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w:t>
      </w:r>
      <w:r>
        <w:rPr>
          <w:rFonts w:hint="eastAsia" w:hAnsi="宋体"/>
          <w:color w:val="auto"/>
          <w:sz w:val="24"/>
          <w:szCs w:val="24"/>
          <w:highlight w:val="none"/>
          <w:lang w:eastAsia="zh-CN"/>
        </w:rPr>
        <w:t>。</w:t>
      </w:r>
    </w:p>
    <w:p w14:paraId="78BBC9A6">
      <w:pPr>
        <w:pStyle w:val="20"/>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hAnsi="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开标开始时间：</w:t>
      </w:r>
      <w:r>
        <w:rPr>
          <w:rFonts w:hint="eastAsia" w:hAnsi="宋体"/>
          <w:color w:val="auto"/>
          <w:sz w:val="24"/>
          <w:szCs w:val="24"/>
          <w:highlight w:val="none"/>
          <w:u w:val="single"/>
          <w:lang w:val="en-US" w:eastAsia="zh-CN"/>
        </w:rPr>
        <w:t>2025</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时</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分</w:t>
      </w:r>
      <w:r>
        <w:rPr>
          <w:rFonts w:hint="eastAsia" w:hAnsi="宋体"/>
          <w:color w:val="auto"/>
          <w:sz w:val="24"/>
          <w:szCs w:val="24"/>
          <w:highlight w:val="none"/>
          <w:lang w:eastAsia="zh-CN"/>
        </w:rPr>
        <w:t>。</w:t>
      </w:r>
    </w:p>
    <w:p w14:paraId="36F6157D">
      <w:pPr>
        <w:pStyle w:val="20"/>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递交投标文件备用光盘时间</w:t>
      </w:r>
      <w:r>
        <w:rPr>
          <w:rFonts w:hint="eastAsia"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2025</w:t>
      </w:r>
      <w:r>
        <w:rPr>
          <w:rFonts w:hint="eastAsia" w:ascii="宋体" w:hAnsi="宋体" w:cs="宋体"/>
          <w:color w:val="auto"/>
          <w:sz w:val="24"/>
          <w:szCs w:val="24"/>
          <w:highlight w:val="none"/>
          <w:u w:val="single"/>
        </w:rPr>
        <w:t>年  月  日  时  分至</w:t>
      </w:r>
      <w:r>
        <w:rPr>
          <w:rFonts w:hint="eastAsia" w:ascii="宋体" w:hAnsi="宋体" w:cs="宋体"/>
          <w:color w:val="auto"/>
          <w:sz w:val="24"/>
          <w:szCs w:val="24"/>
          <w:highlight w:val="none"/>
          <w:u w:val="single"/>
          <w:lang w:val="en-US" w:eastAsia="zh-CN"/>
        </w:rPr>
        <w:t>2025</w:t>
      </w:r>
      <w:r>
        <w:rPr>
          <w:rFonts w:hint="eastAsia" w:ascii="宋体" w:hAnsi="宋体" w:cs="宋体"/>
          <w:color w:val="auto"/>
          <w:sz w:val="24"/>
          <w:szCs w:val="24"/>
          <w:highlight w:val="none"/>
          <w:u w:val="single"/>
        </w:rPr>
        <w:t>年  月  日  时  分</w:t>
      </w:r>
      <w:r>
        <w:rPr>
          <w:rFonts w:hint="eastAsia" w:ascii="宋体" w:hAnsi="宋体" w:cs="宋体"/>
          <w:color w:val="auto"/>
          <w:sz w:val="24"/>
          <w:szCs w:val="24"/>
          <w:highlight w:val="none"/>
        </w:rPr>
        <w:t>；递交投标文件备用光盘地点：</w:t>
      </w:r>
      <w:r>
        <w:rPr>
          <w:rFonts w:hint="eastAsia" w:ascii="宋体" w:hAnsi="宋体" w:eastAsia="宋体" w:cs="宋体"/>
          <w:color w:val="auto"/>
          <w:sz w:val="24"/>
          <w:szCs w:val="24"/>
          <w:highlight w:val="none"/>
          <w:u w:val="single"/>
        </w:rPr>
        <w:t>广州交易集团有限公司（广州公共资源交易中心</w:t>
      </w:r>
      <w:r>
        <w:rPr>
          <w:rFonts w:hint="eastAsia" w:hAnsi="宋体" w:cs="宋体"/>
          <w:color w:val="auto"/>
          <w:sz w:val="24"/>
          <w:szCs w:val="24"/>
          <w:highlight w:val="none"/>
          <w:u w:val="single"/>
          <w:lang w:eastAsia="zh-CN"/>
        </w:rPr>
        <w:t>）</w:t>
      </w:r>
      <w:r>
        <w:rPr>
          <w:rFonts w:hint="eastAsia" w:hAnsi="宋体" w:cs="宋体"/>
          <w:color w:val="auto"/>
          <w:sz w:val="24"/>
          <w:szCs w:val="24"/>
          <w:highlight w:val="none"/>
          <w:lang w:eastAsia="zh-CN"/>
        </w:rPr>
        <w:t>（</w:t>
      </w:r>
      <w:r>
        <w:rPr>
          <w:rFonts w:hint="eastAsia" w:ascii="宋体" w:hAnsi="宋体" w:cs="宋体"/>
          <w:color w:val="auto"/>
          <w:sz w:val="24"/>
          <w:szCs w:val="24"/>
          <w:highlight w:val="none"/>
        </w:rPr>
        <w:t>天润路333号</w:t>
      </w:r>
      <w:r>
        <w:rPr>
          <w:rFonts w:hint="eastAsia" w:hAnsi="宋体" w:cs="宋体"/>
          <w:color w:val="auto"/>
          <w:sz w:val="24"/>
          <w:szCs w:val="24"/>
          <w:highlight w:val="none"/>
          <w:lang w:eastAsia="zh-CN"/>
        </w:rPr>
        <w:t>）</w:t>
      </w:r>
      <w:r>
        <w:rPr>
          <w:rFonts w:hint="eastAsia" w:ascii="宋体" w:hAnsi="宋体" w:cs="宋体"/>
          <w:color w:val="auto"/>
          <w:sz w:val="24"/>
          <w:szCs w:val="24"/>
          <w:highlight w:val="none"/>
        </w:rPr>
        <w:t>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开标室。</w:t>
      </w:r>
    </w:p>
    <w:p w14:paraId="39691E02">
      <w:pPr>
        <w:pStyle w:val="20"/>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hAnsi="宋体" w:eastAsia="宋体"/>
          <w:color w:val="auto"/>
          <w:sz w:val="24"/>
          <w:szCs w:val="24"/>
          <w:highlight w:val="none"/>
          <w:lang w:eastAsia="zh-CN"/>
        </w:rPr>
      </w:pPr>
      <w:r>
        <w:rPr>
          <w:rFonts w:hint="eastAsia" w:hAnsi="宋体" w:cs="宋体"/>
          <w:color w:val="auto"/>
          <w:sz w:val="24"/>
          <w:szCs w:val="24"/>
          <w:highlight w:val="none"/>
          <w:lang w:val="en-US" w:eastAsia="zh-CN"/>
        </w:rPr>
        <w:t>5.</w:t>
      </w:r>
      <w:r>
        <w:rPr>
          <w:rFonts w:hint="eastAsia" w:ascii="宋体" w:hAnsi="宋体" w:cs="宋体"/>
          <w:color w:val="auto"/>
          <w:sz w:val="24"/>
          <w:szCs w:val="24"/>
          <w:highlight w:val="none"/>
        </w:rPr>
        <w:t>递交投标文件截止时间与开标时间是否有变化，请密切留意</w:t>
      </w:r>
      <w:r>
        <w:rPr>
          <w:rFonts w:hint="eastAsia" w:ascii="宋体" w:hAnsi="宋体" w:cs="宋体"/>
          <w:color w:val="auto"/>
          <w:sz w:val="24"/>
          <w:szCs w:val="24"/>
          <w:highlight w:val="none"/>
          <w:u w:val="single"/>
        </w:rPr>
        <w:t>招标答疑</w:t>
      </w:r>
      <w:r>
        <w:rPr>
          <w:rFonts w:hint="eastAsia" w:ascii="宋体" w:hAnsi="宋体" w:cs="宋体"/>
          <w:color w:val="auto"/>
          <w:sz w:val="24"/>
          <w:szCs w:val="24"/>
          <w:highlight w:val="none"/>
        </w:rPr>
        <w:t>中的相关信息。递交投标文件截止时间后，开标时间因故推迟的，相关评标信息仍以原递交投标文件截止时间的信息为准</w:t>
      </w:r>
      <w:r>
        <w:rPr>
          <w:rFonts w:hint="eastAsia" w:hAnsi="宋体" w:cs="宋体"/>
          <w:color w:val="auto"/>
          <w:sz w:val="24"/>
          <w:szCs w:val="24"/>
          <w:highlight w:val="none"/>
          <w:lang w:eastAsia="zh-CN"/>
        </w:rPr>
        <w:t>。</w:t>
      </w:r>
    </w:p>
    <w:p w14:paraId="3C68E22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仿宋_GB2312"/>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bCs/>
          <w:color w:val="auto"/>
          <w:sz w:val="24"/>
          <w:highlight w:val="none"/>
        </w:rPr>
        <w:t>投标人通过</w:t>
      </w:r>
      <w:r>
        <w:rPr>
          <w:rFonts w:hint="eastAsia"/>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递交电子投标文件。</w:t>
      </w:r>
      <w:r>
        <w:rPr>
          <w:rFonts w:hint="eastAsia" w:ascii="宋体" w:hAnsi="宋体" w:cs="仿宋_GB2312"/>
          <w:color w:val="auto"/>
          <w:sz w:val="24"/>
          <w:szCs w:val="24"/>
          <w:highlight w:val="none"/>
        </w:rPr>
        <w:t>投标人应在递交投标文件截止时间前，登录</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s="仿宋_GB2312"/>
          <w:color w:val="auto"/>
          <w:sz w:val="24"/>
          <w:szCs w:val="24"/>
          <w:highlight w:val="none"/>
        </w:rPr>
        <w:t>网站办理网上投标登记手续。按照交易平台关于全流程电子化项目的相关指南进行操作。详见：</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u w:val="single"/>
        </w:rPr>
        <w:t>网站发布的最新版操作指引</w:t>
      </w:r>
      <w:r>
        <w:rPr>
          <w:rFonts w:hint="eastAsia" w:ascii="宋体" w:hAnsi="宋体" w:cs="仿宋_GB2312"/>
          <w:color w:val="auto"/>
          <w:sz w:val="24"/>
          <w:szCs w:val="24"/>
          <w:highlight w:val="none"/>
        </w:rPr>
        <w:t xml:space="preserve">。 </w:t>
      </w:r>
    </w:p>
    <w:p w14:paraId="201829F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仿宋_GB2312"/>
          <w:color w:val="auto"/>
          <w:sz w:val="24"/>
          <w:szCs w:val="24"/>
          <w:highlight w:val="none"/>
          <w:lang w:val="en-US" w:eastAsia="zh-CN"/>
        </w:rPr>
      </w:pPr>
      <w:r>
        <w:rPr>
          <w:rFonts w:hint="eastAsia" w:ascii="宋体" w:hAnsi="宋体" w:cs="仿宋_GB2312"/>
          <w:color w:val="auto"/>
          <w:sz w:val="24"/>
          <w:szCs w:val="24"/>
          <w:highlight w:val="none"/>
          <w:lang w:val="en-US" w:eastAsia="zh-CN"/>
        </w:rPr>
        <w:t>7.</w:t>
      </w:r>
      <w:r>
        <w:rPr>
          <w:rFonts w:hint="eastAsia" w:ascii="宋体" w:hAnsi="宋体" w:cs="仿宋_GB2312"/>
          <w:color w:val="auto"/>
          <w:sz w:val="24"/>
          <w:szCs w:val="24"/>
          <w:highlight w:val="none"/>
          <w:u w:val="single"/>
          <w:lang w:val="en-US" w:eastAsia="zh-CN"/>
        </w:rPr>
        <w:t>在投标登记时，投标人应按要求在广州交易集团有限公司（广州公共资源交易中心）交易系统中填写《施工项目管理团队人员信息表》（详见本公告附件三），表中的项目管理团队人员信息作为投标文件的一部分，将由交易系统提取后供各相关单位在中标人履约时进行比对、查核。</w:t>
      </w:r>
    </w:p>
    <w:p w14:paraId="44D03A9B">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仿宋_GB2312"/>
          <w:color w:val="auto"/>
          <w:sz w:val="24"/>
          <w:szCs w:val="24"/>
          <w:highlight w:val="none"/>
          <w:lang w:eastAsia="zh-CN"/>
        </w:rPr>
      </w:pPr>
      <w:r>
        <w:rPr>
          <w:rStyle w:val="61"/>
          <w:rFonts w:hint="eastAsia"/>
          <w:color w:val="auto"/>
          <w:highlight w:val="none"/>
        </w:rPr>
        <w:t>八、招标文件获取方式</w:t>
      </w:r>
      <w:r>
        <w:rPr>
          <w:rStyle w:val="61"/>
          <w:rFonts w:hint="eastAsia"/>
          <w:color w:val="auto"/>
          <w:highlight w:val="none"/>
          <w:lang w:eastAsia="zh-CN"/>
        </w:rPr>
        <w:t>：</w:t>
      </w:r>
    </w:p>
    <w:p w14:paraId="6B1D1222">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olor w:val="auto"/>
          <w:sz w:val="24"/>
          <w:szCs w:val="24"/>
          <w:highlight w:val="none"/>
          <w:u w:val="single"/>
          <w:lang w:eastAsia="zh-CN"/>
        </w:rPr>
      </w:pPr>
      <w:r>
        <w:rPr>
          <w:rFonts w:hint="eastAsia" w:ascii="宋体" w:hAnsi="宋体" w:cs="宋体"/>
          <w:color w:val="auto"/>
          <w:kern w:val="0"/>
          <w:sz w:val="24"/>
          <w:szCs w:val="24"/>
          <w:highlight w:val="none"/>
        </w:rPr>
        <w:t>本项目招标文件随招标公告一并在</w:t>
      </w:r>
      <w:r>
        <w:rPr>
          <w:rFonts w:hint="eastAsia"/>
          <w:color w:val="auto"/>
          <w:sz w:val="24"/>
          <w:szCs w:val="24"/>
          <w:highlight w:val="none"/>
          <w:u w:val="single"/>
        </w:rPr>
        <w:t>广州交易集团有限公司（广州公共资源交易中心）</w:t>
      </w:r>
      <w:r>
        <w:rPr>
          <w:rFonts w:hint="eastAsia" w:ascii="宋体" w:hAnsi="宋体"/>
          <w:color w:val="auto"/>
          <w:sz w:val="24"/>
          <w:szCs w:val="24"/>
          <w:highlight w:val="none"/>
          <w:u w:val="single"/>
        </w:rPr>
        <w:t>交易平台</w:t>
      </w:r>
      <w:r>
        <w:rPr>
          <w:rFonts w:hint="eastAsia" w:ascii="宋体" w:hAnsi="宋体"/>
          <w:color w:val="auto"/>
          <w:sz w:val="24"/>
          <w:highlight w:val="none"/>
          <w:u w:val="single"/>
        </w:rPr>
        <w:t>网站</w:t>
      </w:r>
      <w:r>
        <w:rPr>
          <w:rFonts w:hint="eastAsia" w:ascii="宋体" w:hAnsi="宋体"/>
          <w:color w:val="auto"/>
          <w:sz w:val="24"/>
          <w:highlight w:val="none"/>
          <w:u w:val="single"/>
          <w:lang w:eastAsia="zh-CN"/>
        </w:rPr>
        <w:t>、</w:t>
      </w:r>
      <w:r>
        <w:rPr>
          <w:rFonts w:hint="eastAsia" w:ascii="宋体" w:hAnsi="宋体"/>
          <w:color w:val="auto"/>
          <w:sz w:val="24"/>
          <w:highlight w:val="none"/>
          <w:u w:val="single"/>
          <w:lang w:val="en-US" w:eastAsia="zh-CN"/>
        </w:rPr>
        <w:t>广东省招标投标监管网</w:t>
      </w:r>
      <w:r>
        <w:rPr>
          <w:rFonts w:hint="eastAsia" w:ascii="宋体" w:hAnsi="宋体"/>
          <w:color w:val="auto"/>
          <w:sz w:val="24"/>
          <w:highlight w:val="none"/>
        </w:rPr>
        <w:t>发布。招标文件</w:t>
      </w:r>
      <w:r>
        <w:rPr>
          <w:rFonts w:hint="eastAsia" w:ascii="宋体" w:hAnsi="宋体" w:cs="宋体"/>
          <w:color w:val="auto"/>
          <w:kern w:val="0"/>
          <w:sz w:val="24"/>
          <w:szCs w:val="24"/>
          <w:highlight w:val="none"/>
        </w:rPr>
        <w:t>一经在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color w:val="auto"/>
          <w:sz w:val="24"/>
          <w:szCs w:val="24"/>
          <w:highlight w:val="none"/>
          <w:u w:val="single"/>
        </w:rPr>
        <w:t>交易平台</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lang w:val="en-US" w:eastAsia="zh-CN"/>
        </w:rPr>
        <w:t>广东省招标投标监管网</w:t>
      </w:r>
      <w:r>
        <w:rPr>
          <w:rFonts w:hint="eastAsia" w:ascii="宋体" w:hAnsi="宋体" w:cs="宋体"/>
          <w:color w:val="auto"/>
          <w:kern w:val="0"/>
          <w:sz w:val="24"/>
          <w:szCs w:val="24"/>
          <w:highlight w:val="none"/>
        </w:rPr>
        <w:t>发布，视为发售给投标人，招标文件由投标人自行在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color w:val="auto"/>
          <w:sz w:val="24"/>
          <w:szCs w:val="24"/>
          <w:highlight w:val="none"/>
          <w:u w:val="single"/>
        </w:rPr>
        <w:t>交易平台</w:t>
      </w:r>
      <w:r>
        <w:rPr>
          <w:rFonts w:hint="eastAsia" w:ascii="宋体" w:hAnsi="宋体" w:cs="宋体"/>
          <w:color w:val="auto"/>
          <w:kern w:val="0"/>
          <w:sz w:val="24"/>
          <w:szCs w:val="24"/>
          <w:highlight w:val="none"/>
          <w:u w:val="single"/>
        </w:rPr>
        <w:t>网站</w:t>
      </w:r>
      <w:r>
        <w:rPr>
          <w:rFonts w:hint="eastAsia" w:ascii="宋体" w:hAnsi="宋体" w:cs="宋体"/>
          <w:color w:val="auto"/>
          <w:kern w:val="0"/>
          <w:sz w:val="24"/>
          <w:szCs w:val="24"/>
          <w:highlight w:val="none"/>
          <w:u w:val="single"/>
          <w:lang w:val="en-US" w:eastAsia="zh-CN"/>
        </w:rPr>
        <w:t>或广东省招标投标监管网</w:t>
      </w:r>
      <w:r>
        <w:rPr>
          <w:rFonts w:hint="eastAsia" w:ascii="宋体" w:hAnsi="宋体" w:cs="宋体"/>
          <w:color w:val="auto"/>
          <w:kern w:val="0"/>
          <w:sz w:val="24"/>
          <w:szCs w:val="24"/>
          <w:highlight w:val="none"/>
        </w:rPr>
        <w:t>下载</w:t>
      </w:r>
      <w:r>
        <w:rPr>
          <w:rFonts w:hint="eastAsia" w:ascii="宋体" w:hAnsi="宋体" w:cs="宋体"/>
          <w:color w:val="auto"/>
          <w:kern w:val="0"/>
          <w:sz w:val="24"/>
          <w:szCs w:val="24"/>
          <w:highlight w:val="none"/>
          <w:lang w:eastAsia="zh-CN"/>
        </w:rPr>
        <w:t>。</w:t>
      </w:r>
    </w:p>
    <w:p w14:paraId="21385128">
      <w:pPr>
        <w:keepNext w:val="0"/>
        <w:keepLines w:val="0"/>
        <w:pageBreakBefore w:val="0"/>
        <w:kinsoku/>
        <w:wordWrap/>
        <w:overflowPunct/>
        <w:topLinePunct w:val="0"/>
        <w:autoSpaceDE/>
        <w:autoSpaceDN/>
        <w:bidi w:val="0"/>
        <w:adjustRightInd/>
        <w:spacing w:line="360" w:lineRule="auto"/>
        <w:ind w:firstLine="540" w:firstLineChars="224"/>
        <w:textAlignment w:val="auto"/>
        <w:rPr>
          <w:rFonts w:ascii="宋体"/>
          <w:color w:val="auto"/>
          <w:sz w:val="24"/>
          <w:highlight w:val="none"/>
        </w:rPr>
      </w:pPr>
      <w:r>
        <w:rPr>
          <w:rStyle w:val="61"/>
          <w:rFonts w:hint="eastAsia"/>
          <w:color w:val="auto"/>
          <w:highlight w:val="none"/>
        </w:rPr>
        <w:t>九、投标人</w:t>
      </w:r>
      <w:r>
        <w:rPr>
          <w:rStyle w:val="61"/>
          <w:rFonts w:hint="eastAsia"/>
          <w:color w:val="auto"/>
          <w:highlight w:val="none"/>
          <w:lang w:eastAsia="zh-CN"/>
        </w:rPr>
        <w:t>资格要求</w:t>
      </w:r>
      <w:r>
        <w:rPr>
          <w:rFonts w:hint="eastAsia" w:ascii="宋体" w:hAnsi="宋体"/>
          <w:color w:val="auto"/>
          <w:sz w:val="24"/>
          <w:highlight w:val="none"/>
        </w:rPr>
        <w:t>：</w:t>
      </w:r>
    </w:p>
    <w:p w14:paraId="138987DC">
      <w:pPr>
        <w:keepNext w:val="0"/>
        <w:keepLines w:val="0"/>
        <w:pageBreakBefore w:val="0"/>
        <w:kinsoku/>
        <w:wordWrap/>
        <w:overflowPunct/>
        <w:topLinePunct w:val="0"/>
        <w:autoSpaceDE/>
        <w:autoSpaceDN/>
        <w:bidi w:val="0"/>
        <w:adjustRightInd/>
        <w:spacing w:line="360" w:lineRule="auto"/>
        <w:ind w:firstLine="537" w:firstLineChars="224"/>
        <w:textAlignment w:val="auto"/>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投标人</w:t>
      </w:r>
      <w:r>
        <w:rPr>
          <w:rFonts w:hint="eastAsia" w:ascii="宋体" w:hAnsi="宋体"/>
          <w:color w:val="auto"/>
          <w:sz w:val="24"/>
          <w:highlight w:val="none"/>
          <w:u w:val="single"/>
        </w:rPr>
        <w:t>参加投标的意思表达清楚，投标人代表被授权有效</w:t>
      </w:r>
      <w:r>
        <w:rPr>
          <w:rFonts w:hint="eastAsia" w:ascii="宋体" w:hAnsi="宋体"/>
          <w:color w:val="auto"/>
          <w:sz w:val="24"/>
          <w:highlight w:val="none"/>
        </w:rPr>
        <w:t>。</w:t>
      </w:r>
    </w:p>
    <w:p w14:paraId="30617F76">
      <w:pPr>
        <w:keepNext w:val="0"/>
        <w:keepLines w:val="0"/>
        <w:pageBreakBefore w:val="0"/>
        <w:kinsoku/>
        <w:wordWrap/>
        <w:overflowPunct/>
        <w:topLinePunct w:val="0"/>
        <w:autoSpaceDE/>
        <w:autoSpaceDN/>
        <w:bidi w:val="0"/>
        <w:adjustRightInd/>
        <w:spacing w:line="360" w:lineRule="auto"/>
        <w:ind w:firstLine="537" w:firstLineChars="224"/>
        <w:textAlignment w:val="auto"/>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w:t>
      </w:r>
      <w:r>
        <w:rPr>
          <w:rFonts w:hint="eastAsia" w:ascii="宋体" w:hAnsi="宋体"/>
          <w:color w:val="auto"/>
          <w:sz w:val="24"/>
          <w:highlight w:val="none"/>
        </w:rPr>
        <w:t>投标人</w:t>
      </w:r>
      <w:r>
        <w:rPr>
          <w:rFonts w:hint="eastAsia" w:ascii="宋体" w:hAnsi="宋体" w:eastAsia="宋体" w:cs="Times New Roman"/>
          <w:color w:val="auto"/>
          <w:sz w:val="24"/>
          <w:szCs w:val="22"/>
          <w:highlight w:val="none"/>
          <w:u w:val="single"/>
        </w:rPr>
        <w:t>是法人或其他组织</w:t>
      </w:r>
      <w:r>
        <w:rPr>
          <w:rFonts w:hint="eastAsia" w:ascii="宋体" w:hAnsi="宋体"/>
          <w:color w:val="auto"/>
          <w:sz w:val="24"/>
          <w:highlight w:val="none"/>
          <w:u w:val="single"/>
        </w:rPr>
        <w:t>，按国家法律经营</w:t>
      </w:r>
      <w:r>
        <w:rPr>
          <w:rFonts w:hint="eastAsia" w:ascii="宋体" w:hAnsi="宋体"/>
          <w:color w:val="auto"/>
          <w:sz w:val="24"/>
          <w:highlight w:val="none"/>
        </w:rPr>
        <w:t>。</w:t>
      </w:r>
    </w:p>
    <w:p w14:paraId="5153CA1E">
      <w:pPr>
        <w:keepNext w:val="0"/>
        <w:keepLines w:val="0"/>
        <w:pageBreakBefore w:val="0"/>
        <w:kinsoku/>
        <w:wordWrap/>
        <w:overflowPunct/>
        <w:topLinePunct w:val="0"/>
        <w:autoSpaceDE/>
        <w:autoSpaceDN/>
        <w:bidi w:val="0"/>
        <w:adjustRightInd/>
        <w:spacing w:line="360" w:lineRule="auto"/>
        <w:ind w:firstLine="537" w:firstLineChars="224"/>
        <w:textAlignment w:val="auto"/>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lang w:val="en-US" w:eastAsia="zh-CN"/>
        </w:rPr>
        <w:t>.</w:t>
      </w:r>
      <w:r>
        <w:rPr>
          <w:rFonts w:hint="eastAsia" w:ascii="宋体" w:hAnsi="宋体"/>
          <w:color w:val="auto"/>
          <w:sz w:val="24"/>
          <w:highlight w:val="none"/>
        </w:rPr>
        <w:t>投标人均持有</w:t>
      </w:r>
      <w:r>
        <w:rPr>
          <w:rFonts w:hint="eastAsia" w:ascii="宋体" w:hAnsi="宋体"/>
          <w:color w:val="auto"/>
          <w:sz w:val="24"/>
          <w:highlight w:val="none"/>
          <w:u w:val="single"/>
        </w:rPr>
        <w:t>建设行政主管部门颁发的有效期内的企业资质证书及安全生产许可证</w:t>
      </w:r>
      <w:r>
        <w:rPr>
          <w:rFonts w:hint="eastAsia" w:ascii="宋体" w:hAnsi="宋体"/>
          <w:color w:val="auto"/>
          <w:sz w:val="24"/>
          <w:highlight w:val="none"/>
        </w:rPr>
        <w:t>；</w:t>
      </w:r>
    </w:p>
    <w:p w14:paraId="00CA5836">
      <w:pPr>
        <w:pStyle w:val="97"/>
        <w:keepNext w:val="0"/>
        <w:keepLines w:val="0"/>
        <w:pageBreakBefore w:val="0"/>
        <w:kinsoku/>
        <w:wordWrap/>
        <w:overflowPunct/>
        <w:topLinePunct w:val="0"/>
        <w:autoSpaceDE/>
        <w:autoSpaceDN/>
        <w:bidi w:val="0"/>
        <w:adjustRightInd/>
        <w:spacing w:line="360" w:lineRule="auto"/>
        <w:ind w:firstLine="539"/>
        <w:textAlignment w:val="auto"/>
        <w:rPr>
          <w:rFonts w:ascii="宋体" w:hAnsi="宋体" w:eastAsia="宋体"/>
          <w:color w:val="auto"/>
          <w:sz w:val="24"/>
          <w:szCs w:val="24"/>
          <w:highlight w:val="none"/>
        </w:rPr>
      </w:pPr>
      <w:r>
        <w:rPr>
          <w:rFonts w:ascii="宋体" w:hAnsi="宋体" w:eastAsia="宋体"/>
          <w:color w:val="auto"/>
          <w:sz w:val="24"/>
          <w:szCs w:val="24"/>
          <w:highlight w:val="none"/>
        </w:rPr>
        <w:t>4</w:t>
      </w:r>
      <w:r>
        <w:rPr>
          <w:rFonts w:hint="eastAsia" w:ascii="宋体" w:hAnsi="宋体" w:eastAsia="宋体"/>
          <w:color w:val="auto"/>
          <w:sz w:val="24"/>
          <w:szCs w:val="24"/>
          <w:highlight w:val="none"/>
          <w:lang w:val="en-US" w:eastAsia="zh-CN"/>
        </w:rPr>
        <w:t>.</w:t>
      </w:r>
      <w:r>
        <w:rPr>
          <w:rFonts w:hint="eastAsia" w:ascii="宋体" w:hAnsi="宋体" w:eastAsia="宋体"/>
          <w:color w:val="auto"/>
          <w:sz w:val="24"/>
          <w:szCs w:val="24"/>
          <w:highlight w:val="none"/>
        </w:rPr>
        <w:t>投标人应具备以下资质：</w:t>
      </w:r>
    </w:p>
    <w:p w14:paraId="2F4B275A">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投标人具有承接本工程</w:t>
      </w:r>
      <w:r>
        <w:rPr>
          <w:rFonts w:hint="eastAsia" w:ascii="宋体" w:hAnsi="宋体" w:eastAsia="宋体"/>
          <w:color w:val="auto"/>
          <w:sz w:val="24"/>
          <w:szCs w:val="24"/>
          <w:highlight w:val="none"/>
          <w:lang w:eastAsia="zh-CN"/>
        </w:rPr>
        <w:t>所需</w:t>
      </w:r>
      <w:r>
        <w:rPr>
          <w:rFonts w:hint="eastAsia" w:ascii="宋体" w:hAnsi="宋体" w:eastAsia="宋体"/>
          <w:color w:val="auto"/>
          <w:sz w:val="24"/>
          <w:szCs w:val="24"/>
          <w:highlight w:val="none"/>
        </w:rPr>
        <w:t>的</w:t>
      </w:r>
      <w:r>
        <w:rPr>
          <w:rFonts w:hint="eastAsia" w:ascii="宋体" w:hAnsi="宋体" w:eastAsia="宋体"/>
          <w:color w:val="auto"/>
          <w:sz w:val="24"/>
          <w:szCs w:val="24"/>
          <w:highlight w:val="none"/>
          <w:u w:val="single"/>
        </w:rPr>
        <w:t>市政公用工程施工总承包</w:t>
      </w:r>
      <w:r>
        <w:rPr>
          <w:rFonts w:hint="eastAsia" w:ascii="宋体" w:hAnsi="宋体" w:eastAsia="宋体"/>
          <w:color w:val="auto"/>
          <w:sz w:val="24"/>
          <w:szCs w:val="24"/>
          <w:highlight w:val="none"/>
          <w:u w:val="single"/>
          <w:lang w:val="en-US" w:eastAsia="zh-CN"/>
        </w:rPr>
        <w:t>二</w:t>
      </w:r>
      <w:r>
        <w:rPr>
          <w:rFonts w:hint="eastAsia" w:ascii="宋体" w:hAnsi="宋体" w:eastAsia="宋体"/>
          <w:color w:val="auto"/>
          <w:sz w:val="24"/>
          <w:szCs w:val="24"/>
          <w:highlight w:val="none"/>
        </w:rPr>
        <w:t>级或以上级别施工总承包资质</w:t>
      </w:r>
      <w:r>
        <w:rPr>
          <w:rFonts w:hint="eastAsia" w:ascii="宋体" w:hAnsi="宋体" w:eastAsia="宋体"/>
          <w:color w:val="auto"/>
          <w:sz w:val="24"/>
          <w:szCs w:val="24"/>
          <w:highlight w:val="none"/>
          <w:u w:val="single"/>
        </w:rPr>
        <w:t>，或根据《住房城乡建设部办公厅关于做好有关建设工程企业资质证书换领和延续工作的通知》（建办市〔2023〕47号）的规定换领的市政公用工程施工总承包二级或以上施工总承包资质</w:t>
      </w:r>
      <w:r>
        <w:rPr>
          <w:rFonts w:hint="eastAsia" w:ascii="宋体" w:hAnsi="宋体" w:eastAsia="宋体"/>
          <w:color w:val="auto"/>
          <w:sz w:val="24"/>
          <w:szCs w:val="24"/>
          <w:highlight w:val="none"/>
        </w:rPr>
        <w:t>。</w:t>
      </w:r>
    </w:p>
    <w:p w14:paraId="489090E4">
      <w:pPr>
        <w:pStyle w:val="6"/>
        <w:keepNext w:val="0"/>
        <w:keepLines w:val="0"/>
        <w:pageBreakBefore w:val="0"/>
        <w:widowControl w:val="0"/>
        <w:tabs>
          <w:tab w:val="left" w:pos="4500"/>
          <w:tab w:val="left" w:pos="6415"/>
        </w:tabs>
        <w:kinsoku w:val="0"/>
        <w:wordWrap/>
        <w:overflowPunct w:val="0"/>
        <w:topLinePunct w:val="0"/>
        <w:autoSpaceDE w:val="0"/>
        <w:autoSpaceDN w:val="0"/>
        <w:bidi w:val="0"/>
        <w:adjustRightInd/>
        <w:snapToGrid/>
        <w:spacing w:line="360" w:lineRule="auto"/>
        <w:ind w:left="0" w:leftChars="0" w:right="214" w:firstLine="480" w:firstLineChars="200"/>
        <w:jc w:val="both"/>
        <w:textAlignment w:val="auto"/>
        <w:rPr>
          <w:rFonts w:hint="eastAsia" w:ascii="宋体" w:hAnsi="宋体" w:eastAsia="宋体" w:cs="宋体"/>
          <w:color w:val="auto"/>
          <w:sz w:val="24"/>
          <w:szCs w:val="24"/>
          <w:highlight w:val="none"/>
          <w:u w:val="single"/>
          <w:lang w:val="en-US" w:eastAsia="zh-CN" w:bidi="ar-SA"/>
        </w:rPr>
      </w:pPr>
      <w:r>
        <w:rPr>
          <w:rFonts w:hint="eastAsia" w:ascii="宋体" w:hAnsi="宋体" w:eastAsia="宋体" w:cs="Times New Roman"/>
          <w:color w:val="auto"/>
          <w:sz w:val="24"/>
          <w:szCs w:val="24"/>
          <w:highlight w:val="none"/>
          <w:u w:val="single"/>
          <w:lang w:val="en-US" w:eastAsia="zh-CN" w:bidi="ar-SA"/>
        </w:rPr>
        <w:t>对应所设置资质要求的规模指标：</w:t>
      </w:r>
      <w:r>
        <w:rPr>
          <w:rFonts w:hint="eastAsia" w:ascii="宋体" w:hAnsi="宋体" w:cs="Times New Roman"/>
          <w:color w:val="auto"/>
          <w:sz w:val="24"/>
          <w:szCs w:val="24"/>
          <w:highlight w:val="none"/>
          <w:u w:val="single"/>
          <w:lang w:val="en-US" w:eastAsia="zh-CN" w:bidi="ar-SA"/>
        </w:rPr>
        <w:t>①各类城市道路；单跨45米以下的城市桥梁；②</w:t>
      </w:r>
      <w:r>
        <w:rPr>
          <w:rFonts w:hint="eastAsia" w:ascii="宋体" w:hAnsi="宋体" w:eastAsia="宋体" w:cs="宋体"/>
          <w:color w:val="auto"/>
          <w:sz w:val="24"/>
          <w:szCs w:val="24"/>
          <w:highlight w:val="none"/>
          <w:u w:val="single"/>
          <w:lang w:val="en-US" w:eastAsia="zh-CN" w:bidi="ar-SA"/>
        </w:rPr>
        <w:t>单项合同额</w:t>
      </w:r>
      <w:r>
        <w:rPr>
          <w:rFonts w:hint="eastAsia" w:ascii="宋体" w:hAnsi="宋体" w:cs="宋体"/>
          <w:color w:val="auto"/>
          <w:sz w:val="24"/>
          <w:szCs w:val="24"/>
          <w:highlight w:val="none"/>
          <w:u w:val="single"/>
          <w:lang w:val="en-US" w:eastAsia="zh-CN" w:bidi="ar-SA"/>
        </w:rPr>
        <w:t>40</w:t>
      </w:r>
      <w:r>
        <w:rPr>
          <w:rFonts w:hint="eastAsia" w:ascii="宋体" w:hAnsi="宋体" w:eastAsia="宋体" w:cs="宋体"/>
          <w:color w:val="auto"/>
          <w:sz w:val="24"/>
          <w:szCs w:val="24"/>
          <w:highlight w:val="none"/>
          <w:u w:val="single"/>
          <w:lang w:val="en-US" w:eastAsia="zh-CN" w:bidi="ar-SA"/>
        </w:rPr>
        <w:t>00万元以下的市政综合工程。</w:t>
      </w:r>
    </w:p>
    <w:p w14:paraId="17D49E79">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注：</w:t>
      </w:r>
      <w:r>
        <w:rPr>
          <w:rFonts w:hint="eastAsia" w:ascii="楷体" w:hAnsi="楷体" w:eastAsia="楷体" w:cs="楷体"/>
          <w:color w:val="auto"/>
          <w:sz w:val="24"/>
          <w:szCs w:val="24"/>
          <w:highlight w:val="none"/>
          <w:lang w:val="en-US" w:eastAsia="zh-CN"/>
        </w:rPr>
        <w:t>1）</w:t>
      </w:r>
      <w:r>
        <w:rPr>
          <w:rFonts w:hint="eastAsia" w:ascii="楷体" w:hAnsi="楷体" w:eastAsia="楷体" w:cs="楷体"/>
          <w:color w:val="auto"/>
          <w:sz w:val="24"/>
          <w:szCs w:val="24"/>
          <w:highlight w:val="none"/>
        </w:rPr>
        <w:t>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kern w:val="2"/>
          <w:sz w:val="24"/>
          <w:szCs w:val="24"/>
          <w:highlight w:val="none"/>
          <w:lang w:val="en-US" w:eastAsia="zh-CN" w:bidi="ar-SA"/>
        </w:rPr>
        <w:t>《住房和城乡建设部关于印发建设工程企业资质管理制度改革方案的通知》（建市〔2020〕94号）</w:t>
      </w:r>
      <w:r>
        <w:rPr>
          <w:rFonts w:hint="eastAsia" w:ascii="楷体" w:hAnsi="楷体" w:eastAsia="楷体" w:cs="楷体"/>
          <w:color w:val="auto"/>
          <w:sz w:val="24"/>
          <w:szCs w:val="24"/>
          <w:highlight w:val="none"/>
        </w:rPr>
        <w:t>)的要求设置。招标内容含有设计要求，且设计要求仅为深化设计的，在投标人的资质设置要求中，不允许设置设计资质。</w:t>
      </w:r>
    </w:p>
    <w:p w14:paraId="53F83066">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投标人还应当符合《住房和城乡建设部办公厅关于做好建筑业“证照分离”改革衔接有关工作的通知》（建办市〔2021〕30号）、《住房和城乡建设部办公厅关于建设工程企业资质统一延续有关事项的通知》（建办市函〔2021〕510号）</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rPr>
        <w:t>《广东省住房和城乡建设厅关于建设工程企业资质有效期延期的通知》（粤建许函〔2021〕849号）</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rPr>
        <w:t>《住房和城乡建设部办公厅关于建设工程企业资质有关事宜的通知》（建办市函〔2022〕361号）、《广东省住房和城乡建设厅关于建设工程企业资质有关事宜的通知》（粤建许函〔2022〕846号）、</w:t>
      </w:r>
      <w:r>
        <w:rPr>
          <w:rFonts w:hint="eastAsia" w:ascii="楷体" w:hAnsi="楷体" w:eastAsia="楷体" w:cs="楷体"/>
          <w:color w:val="auto"/>
          <w:sz w:val="24"/>
          <w:szCs w:val="24"/>
          <w:highlight w:val="none"/>
          <w:lang w:eastAsia="zh-CN"/>
        </w:rPr>
        <w:t>《住房和城乡建设部关于进一步加强建设工程企业资质审批管理工作的通知》（建市规</w:t>
      </w:r>
      <w:r>
        <w:rPr>
          <w:rFonts w:hint="eastAsia" w:ascii="楷体" w:hAnsi="楷体" w:eastAsia="楷体" w:cs="楷体"/>
          <w:color w:val="auto"/>
          <w:sz w:val="24"/>
          <w:szCs w:val="24"/>
          <w:highlight w:val="none"/>
        </w:rPr>
        <w:t>〔20</w:t>
      </w:r>
      <w:r>
        <w:rPr>
          <w:rFonts w:hint="eastAsia" w:ascii="楷体" w:hAnsi="楷体" w:eastAsia="楷体" w:cs="楷体"/>
          <w:color w:val="auto"/>
          <w:sz w:val="24"/>
          <w:szCs w:val="24"/>
          <w:highlight w:val="none"/>
          <w:lang w:val="en-US" w:eastAsia="zh-CN"/>
        </w:rPr>
        <w:t>23</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CN"/>
        </w:rPr>
        <w:t>3号）、</w:t>
      </w:r>
      <w:r>
        <w:rPr>
          <w:rFonts w:hint="eastAsia" w:ascii="楷体" w:hAnsi="楷体" w:eastAsia="楷体" w:cs="楷体"/>
          <w:color w:val="auto"/>
          <w:sz w:val="24"/>
          <w:szCs w:val="24"/>
          <w:highlight w:val="none"/>
        </w:rPr>
        <w:t>《住房城乡建设部办公厅关于做好有关建设工程企业资质证书换领和延续工作的通知》（建办市〔2023〕47号）</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rPr>
        <w:t>《住房城乡建设部建筑市场监管司关于建设工程企业资质延续有关事项的通知》（建司局函市〔2023〕116号）、《广东省住房和城乡建设厅关于建设工程企业资质延续有关事项的通知》（粤建许函〔2023〕820号）</w:t>
      </w:r>
      <w:r>
        <w:rPr>
          <w:rFonts w:hint="eastAsia" w:ascii="楷体" w:hAnsi="楷体" w:eastAsia="楷体" w:cs="楷体"/>
          <w:color w:val="auto"/>
          <w:sz w:val="24"/>
          <w:szCs w:val="24"/>
          <w:highlight w:val="none"/>
          <w:lang w:eastAsia="zh-CN"/>
        </w:rPr>
        <w:t>、</w:t>
      </w:r>
      <w:r>
        <w:rPr>
          <w:rFonts w:hint="eastAsia" w:ascii="楷体" w:hAnsi="楷体" w:eastAsia="楷体" w:cs="楷体"/>
          <w:b w:val="0"/>
          <w:color w:val="auto"/>
          <w:kern w:val="2"/>
          <w:sz w:val="24"/>
          <w:szCs w:val="24"/>
          <w:highlight w:val="none"/>
          <w:lang w:eastAsia="zh-CN"/>
        </w:rPr>
        <w:t>广东省住房和城乡建设厅关于做好有关建设工程企业资质证书换领工作的通知（粤建许函〔2024〕124号）</w:t>
      </w:r>
      <w:r>
        <w:rPr>
          <w:rFonts w:hint="eastAsia" w:ascii="楷体" w:hAnsi="楷体" w:eastAsia="楷体" w:cs="楷体"/>
          <w:color w:val="auto"/>
          <w:sz w:val="24"/>
          <w:szCs w:val="24"/>
          <w:highlight w:val="none"/>
        </w:rPr>
        <w:t>等相关规定。根据上述文件的要求，投标人需办理企业资质有效期延续的，应当按照相关规定及时办理。</w:t>
      </w:r>
    </w:p>
    <w:p w14:paraId="6F4D545C">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2）</w:t>
      </w:r>
      <w:r>
        <w:rPr>
          <w:rFonts w:hint="eastAsia" w:ascii="楷体" w:hAnsi="楷体" w:eastAsia="楷体" w:cs="楷体"/>
          <w:color w:val="auto"/>
          <w:sz w:val="24"/>
          <w:szCs w:val="24"/>
          <w:highlight w:val="none"/>
        </w:rPr>
        <w:t>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73764101">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797A0006">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3）</w:t>
      </w:r>
      <w:r>
        <w:rPr>
          <w:rFonts w:hint="eastAsia" w:ascii="楷体" w:hAnsi="楷体" w:eastAsia="楷体" w:cs="楷体"/>
          <w:color w:val="auto"/>
          <w:sz w:val="24"/>
          <w:szCs w:val="24"/>
          <w:highlight w:val="none"/>
        </w:rPr>
        <w:t>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3AC8FE49">
      <w:pPr>
        <w:pStyle w:val="97"/>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楷体" w:hAnsi="楷体" w:eastAsia="楷体" w:cs="楷体"/>
          <w:b/>
          <w:color w:val="auto"/>
          <w:sz w:val="24"/>
          <w:szCs w:val="24"/>
          <w:highlight w:val="none"/>
        </w:rPr>
      </w:pPr>
      <w:r>
        <w:rPr>
          <w:rFonts w:hint="eastAsia" w:ascii="宋体" w:hAnsi="宋体" w:eastAsia="宋体" w:cs="宋体"/>
          <w:b/>
          <w:bCs w:val="0"/>
          <w:color w:val="auto"/>
          <w:sz w:val="24"/>
          <w:szCs w:val="24"/>
          <w:highlight w:val="none"/>
          <w:u w:val="single"/>
        </w:rPr>
        <w:t>相关注意事项如下：①投标人按照上述规定办理了资质延期或换领新证，在投标截止前已取得新证的，投标人须在投标文件中提供经核准延期后的新资质证书。②投标人按照上述规定办理了资质延期或换领新证，在投标截止前未取得新证的，以中华人民共和国住房和城乡建设部或相关主管行政部门发布的核准建设工程企业资质延续名单公告或通知、或全国建筑市场监管公共服务平台（简称四库一平台）、或广东省住房和城乡建设厅三库一平台管理信息服务系统（简称三库一平台）中企业资质信息为准，并提供资质信息网页截图或相关证明资料。③投标人未提供有效期内的资质证书或未按第②点要求提供相关证明资料的，评标委员会将书面发出澄清通知，要求其提供申请资质延续的相关证明资料（如三库一平台提交申请截图或申请回执等）或核准延期后的新资质证书或其他相关证明资料。如未能按本款要求提供相关证明资料的投标人，视为资质已失效，不通过资格审查。④根据资质证书批准延续后企业方能承接相关资质范围内的工程的原则，在发放中标通知书前，中标人尚未取得资质有效期延续核准的，招标人将核查其企业资质有效期延续情况，或按照《中华人民共和国招标投标法实施条例》第五十六条规定的程序对中标人进行履约能力审查，中标人可依法答辩。</w:t>
      </w:r>
    </w:p>
    <w:p w14:paraId="5A637787">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5.投标人拟担任本工程项目负责人的人员为：市政公用工程专业二级或以上级别的注册建造师，且必须为企业在岗人员，注册执业单位须与投标人登记时一致；项目负责人需持有安全生产考核合格证（B类）或建筑施工企业项目负责人安全生产考核合格证书；</w:t>
      </w:r>
    </w:p>
    <w:p w14:paraId="4BE988DE">
      <w:pPr>
        <w:keepNext w:val="0"/>
        <w:keepLines w:val="0"/>
        <w:pageBreakBefore w:val="0"/>
        <w:kinsoku/>
        <w:wordWrap/>
        <w:overflowPunct/>
        <w:topLinePunct w:val="0"/>
        <w:autoSpaceDE/>
        <w:autoSpaceDN/>
        <w:bidi w:val="0"/>
        <w:adjustRightInd/>
        <w:spacing w:line="360" w:lineRule="auto"/>
        <w:ind w:firstLine="537" w:firstLineChars="224"/>
        <w:textAlignment w:val="auto"/>
        <w:rPr>
          <w:rFonts w:ascii="宋体"/>
          <w:color w:val="auto"/>
          <w:kern w:val="0"/>
          <w:sz w:val="24"/>
          <w:highlight w:val="none"/>
        </w:rPr>
      </w:pPr>
      <w:r>
        <w:rPr>
          <w:rFonts w:hint="eastAsia" w:ascii="宋体" w:hAnsi="宋体"/>
          <w:color w:val="auto"/>
          <w:kern w:val="0"/>
          <w:sz w:val="24"/>
          <w:highlight w:val="none"/>
          <w:lang w:val="en-US" w:eastAsia="zh-CN"/>
        </w:rPr>
        <w:t>6.</w:t>
      </w:r>
      <w:r>
        <w:rPr>
          <w:rFonts w:hint="eastAsia" w:ascii="宋体" w:hAnsi="宋体"/>
          <w:color w:val="auto"/>
          <w:kern w:val="0"/>
          <w:sz w:val="24"/>
          <w:highlight w:val="none"/>
        </w:rPr>
        <w:t>拟配备的专职安全员不少于</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1</w:t>
      </w:r>
      <w:r>
        <w:rPr>
          <w:rFonts w:hint="eastAsia" w:ascii="宋体" w:hAnsi="宋体"/>
          <w:color w:val="auto"/>
          <w:sz w:val="24"/>
          <w:highlight w:val="none"/>
          <w:u w:val="single"/>
        </w:rPr>
        <w:t xml:space="preserve"> </w:t>
      </w:r>
      <w:r>
        <w:rPr>
          <w:rFonts w:hint="eastAsia" w:ascii="宋体" w:hAnsi="宋体"/>
          <w:color w:val="auto"/>
          <w:sz w:val="24"/>
          <w:highlight w:val="none"/>
          <w:u w:val="none"/>
        </w:rPr>
        <w:t>人，</w:t>
      </w:r>
      <w:r>
        <w:rPr>
          <w:rFonts w:hint="eastAsia" w:ascii="宋体" w:hAnsi="宋体"/>
          <w:color w:val="auto"/>
          <w:sz w:val="24"/>
          <w:szCs w:val="24"/>
          <w:highlight w:val="none"/>
        </w:rPr>
        <w:t>专职安全员须具有安全生产考核合格证（</w:t>
      </w:r>
      <w:r>
        <w:rPr>
          <w:rFonts w:ascii="宋体" w:hAnsi="宋体"/>
          <w:color w:val="auto"/>
          <w:sz w:val="24"/>
          <w:szCs w:val="24"/>
          <w:highlight w:val="none"/>
        </w:rPr>
        <w:t>C</w:t>
      </w:r>
      <w:r>
        <w:rPr>
          <w:rFonts w:hint="eastAsia" w:ascii="宋体" w:hAnsi="宋体"/>
          <w:color w:val="auto"/>
          <w:sz w:val="24"/>
          <w:szCs w:val="24"/>
          <w:highlight w:val="none"/>
        </w:rPr>
        <w:t>类）</w:t>
      </w:r>
      <w:r>
        <w:rPr>
          <w:rFonts w:hint="eastAsia" w:ascii="宋体" w:hAnsi="宋体"/>
          <w:color w:val="auto"/>
          <w:kern w:val="0"/>
          <w:sz w:val="24"/>
          <w:highlight w:val="none"/>
        </w:rPr>
        <w:t>或建筑施工企业专职安全生产管理人员安全生产考核合格证书（C3）。</w:t>
      </w:r>
    </w:p>
    <w:p w14:paraId="178EB97E">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ascii="宋体"/>
          <w:color w:val="auto"/>
          <w:sz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highlight w:val="none"/>
        </w:rPr>
        <w:t>投标人已按照附件一的内容签署盖章的</w:t>
      </w:r>
      <w:r>
        <w:rPr>
          <w:rFonts w:hint="eastAsia" w:ascii="宋体" w:hAnsi="宋体"/>
          <w:color w:val="auto"/>
          <w:sz w:val="24"/>
          <w:highlight w:val="none"/>
          <w:lang w:eastAsia="zh-CN"/>
        </w:rPr>
        <w:t>《</w:t>
      </w:r>
      <w:r>
        <w:rPr>
          <w:rFonts w:hint="eastAsia" w:ascii="宋体" w:hAnsi="宋体"/>
          <w:color w:val="auto"/>
          <w:sz w:val="24"/>
          <w:highlight w:val="none"/>
        </w:rPr>
        <w:t>投标人声明</w:t>
      </w:r>
      <w:r>
        <w:rPr>
          <w:rFonts w:hint="eastAsia" w:ascii="宋体" w:hAnsi="宋体"/>
          <w:color w:val="auto"/>
          <w:sz w:val="24"/>
          <w:highlight w:val="none"/>
          <w:lang w:eastAsia="zh-CN"/>
        </w:rPr>
        <w:t>》</w:t>
      </w:r>
      <w:r>
        <w:rPr>
          <w:rFonts w:hint="eastAsia" w:ascii="宋体" w:hAnsi="宋体"/>
          <w:color w:val="auto"/>
          <w:sz w:val="24"/>
          <w:highlight w:val="none"/>
        </w:rPr>
        <w:t>。</w:t>
      </w:r>
    </w:p>
    <w:p w14:paraId="1090F3DF">
      <w:pPr>
        <w:keepNext w:val="0"/>
        <w:keepLines w:val="0"/>
        <w:pageBreakBefore w:val="0"/>
        <w:widowControl w:val="0"/>
        <w:kinsoku/>
        <w:wordWrap/>
        <w:overflowPunct/>
        <w:topLinePunct w:val="0"/>
        <w:autoSpaceDE/>
        <w:autoSpaceDN/>
        <w:bidi w:val="0"/>
        <w:spacing w:line="360" w:lineRule="auto"/>
        <w:ind w:firstLine="537" w:firstLineChars="224"/>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关于联合体投标：</w:t>
      </w:r>
      <w:r>
        <w:rPr>
          <w:rFonts w:hint="eastAsia" w:ascii="宋体" w:hAnsi="宋体"/>
          <w:color w:val="auto"/>
          <w:sz w:val="24"/>
          <w:szCs w:val="24"/>
          <w:highlight w:val="none"/>
          <w:lang w:eastAsia="zh-CN"/>
        </w:rPr>
        <w:t>本次招标</w:t>
      </w:r>
      <w:r>
        <w:rPr>
          <w:rFonts w:hint="eastAsia" w:ascii="宋体" w:hAnsi="宋体"/>
          <w:color w:val="auto"/>
          <w:sz w:val="24"/>
          <w:szCs w:val="24"/>
          <w:highlight w:val="none"/>
          <w:u w:val="single"/>
          <w:lang w:val="en-US" w:eastAsia="zh-CN"/>
        </w:rPr>
        <w:t>不接受</w:t>
      </w:r>
      <w:r>
        <w:rPr>
          <w:rFonts w:hint="eastAsia" w:ascii="宋体" w:hAnsi="宋体"/>
          <w:color w:val="auto"/>
          <w:sz w:val="24"/>
          <w:szCs w:val="24"/>
          <w:highlight w:val="none"/>
          <w:lang w:val="en-US" w:eastAsia="zh-CN"/>
        </w:rPr>
        <w:t>联合体投标。</w:t>
      </w:r>
    </w:p>
    <w:p w14:paraId="206B2C81">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9.</w:t>
      </w:r>
      <w:r>
        <w:rPr>
          <w:rFonts w:hint="eastAsia" w:ascii="宋体" w:hAnsi="宋体"/>
          <w:b/>
          <w:bCs/>
          <w:color w:val="auto"/>
          <w:sz w:val="24"/>
          <w:highlight w:val="none"/>
        </w:rPr>
        <w:t>资格审查前，投标人须在广州交易集团有限公司（广州公共资源交易中心）办理企业信息登记及拟担任本工程的项目负责人、专职安全员须是本企业在广州交易集团有限公司（广州公共资源交易中心）企业信息登记中的在册人员。</w:t>
      </w:r>
      <w:r>
        <w:rPr>
          <w:rFonts w:hint="eastAsia" w:ascii="宋体" w:hAnsi="宋体"/>
          <w:b/>
          <w:bCs/>
          <w:color w:val="auto"/>
          <w:sz w:val="24"/>
          <w:highlight w:val="none"/>
          <w:lang w:eastAsia="zh-CN"/>
        </w:rPr>
        <w:t>投标人须在资格审查前及时维护、更新本企业信息，及时上传相关证件，确保拟委派的项目负责人、专职安全员等相关信息、证件等能有效且被使用，因投标人未及时维护、更新在</w:t>
      </w:r>
      <w:r>
        <w:rPr>
          <w:rFonts w:hint="eastAsia" w:ascii="宋体" w:hAnsi="宋体"/>
          <w:b/>
          <w:bCs/>
          <w:color w:val="auto"/>
          <w:sz w:val="24"/>
          <w:highlight w:val="none"/>
        </w:rPr>
        <w:t>广州交易集团有限公司（广州公共资源交易中心）企业信息库</w:t>
      </w:r>
      <w:r>
        <w:rPr>
          <w:rFonts w:hint="eastAsia" w:ascii="宋体" w:hAnsi="宋体"/>
          <w:b/>
          <w:bCs/>
          <w:color w:val="auto"/>
          <w:sz w:val="24"/>
          <w:highlight w:val="none"/>
          <w:lang w:eastAsia="zh-CN"/>
        </w:rPr>
        <w:t>内的信息，造成其资格审查不合格或不通过的，后果由投标人自行承担</w:t>
      </w:r>
      <w:r>
        <w:rPr>
          <w:rFonts w:hint="eastAsia" w:ascii="宋体" w:hAnsi="宋体"/>
          <w:color w:val="auto"/>
          <w:sz w:val="24"/>
          <w:highlight w:val="none"/>
          <w:lang w:eastAsia="zh-CN"/>
        </w:rPr>
        <w:t>。</w:t>
      </w:r>
    </w:p>
    <w:p w14:paraId="7C670ECD">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ascii="宋体" w:hAnsi="宋体"/>
          <w:color w:val="auto"/>
          <w:sz w:val="24"/>
          <w:highlight w:val="none"/>
        </w:rPr>
      </w:pPr>
      <w:r>
        <w:rPr>
          <w:rFonts w:hint="eastAsia" w:ascii="宋体" w:hAnsi="宋体"/>
          <w:color w:val="auto"/>
          <w:sz w:val="24"/>
          <w:highlight w:val="none"/>
          <w:lang w:val="en-US" w:eastAsia="zh-CN"/>
        </w:rPr>
        <w:t>10.</w:t>
      </w:r>
      <w:r>
        <w:rPr>
          <w:rFonts w:hint="eastAsia" w:ascii="宋体" w:hAnsi="宋体"/>
          <w:color w:val="auto"/>
          <w:sz w:val="24"/>
          <w:szCs w:val="24"/>
          <w:highlight w:val="none"/>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color w:val="auto"/>
          <w:sz w:val="24"/>
          <w:szCs w:val="24"/>
          <w:highlight w:val="none"/>
          <w:u w:val="single"/>
        </w:rPr>
        <w:t>投标无效</w:t>
      </w:r>
      <w:r>
        <w:rPr>
          <w:rFonts w:hint="eastAsia" w:ascii="宋体" w:hAnsi="宋体"/>
          <w:color w:val="auto"/>
          <w:sz w:val="24"/>
          <w:highlight w:val="none"/>
        </w:rPr>
        <w:t>。</w:t>
      </w:r>
    </w:p>
    <w:p w14:paraId="7A4800F8">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ascii="宋体" w:hAnsi="宋体"/>
          <w:color w:val="auto"/>
          <w:sz w:val="24"/>
          <w:szCs w:val="24"/>
          <w:highlight w:val="none"/>
        </w:rPr>
      </w:pPr>
      <w:r>
        <w:rPr>
          <w:rFonts w:hint="eastAsia" w:ascii="宋体" w:hAnsi="宋体"/>
          <w:color w:val="auto"/>
          <w:sz w:val="24"/>
          <w:highlight w:val="none"/>
          <w:lang w:val="en-US" w:eastAsia="zh-CN"/>
        </w:rPr>
        <w:t>11.</w:t>
      </w:r>
      <w:r>
        <w:rPr>
          <w:rFonts w:hint="eastAsia" w:ascii="宋体" w:hAnsi="宋体" w:eastAsia="宋体" w:cs="宋体"/>
          <w:color w:val="auto"/>
          <w:sz w:val="24"/>
          <w:szCs w:val="24"/>
          <w:highlight w:val="none"/>
        </w:rPr>
        <w:t>在投标截止时间前</w:t>
      </w:r>
      <w:r>
        <w:rPr>
          <w:rFonts w:hint="eastAsia" w:ascii="宋体" w:hAnsi="宋体"/>
          <w:color w:val="auto"/>
          <w:sz w:val="24"/>
          <w:highlight w:val="none"/>
        </w:rPr>
        <w:t>，未被列入拖欠农民工工资失信联合惩戒对象名单</w:t>
      </w:r>
      <w:r>
        <w:rPr>
          <w:rFonts w:hint="eastAsia" w:ascii="宋体" w:hAnsi="宋体"/>
          <w:color w:val="auto"/>
          <w:sz w:val="24"/>
          <w:szCs w:val="24"/>
          <w:highlight w:val="none"/>
        </w:rPr>
        <w:t>。</w:t>
      </w:r>
    </w:p>
    <w:p w14:paraId="571C606E">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12</w:t>
      </w:r>
      <w:r>
        <w:rPr>
          <w:rFonts w:hint="eastAsia" w:ascii="宋体" w:hAnsi="宋体" w:eastAsia="宋体"/>
          <w:color w:val="auto"/>
          <w:sz w:val="24"/>
          <w:highlight w:val="none"/>
          <w:lang w:val="en-US" w:eastAsia="zh-CN"/>
        </w:rPr>
        <w:t>.政府投资项目，</w:t>
      </w:r>
      <w:r>
        <w:rPr>
          <w:rFonts w:hint="eastAsia" w:ascii="宋体" w:hAnsi="宋体" w:eastAsia="宋体"/>
          <w:color w:val="auto"/>
          <w:sz w:val="24"/>
          <w:highlight w:val="none"/>
        </w:rPr>
        <w:t>在投标截止时间前，</w:t>
      </w:r>
      <w:r>
        <w:rPr>
          <w:rFonts w:hint="default" w:ascii="宋体" w:hAnsi="宋体" w:eastAsia="宋体"/>
          <w:color w:val="auto"/>
          <w:sz w:val="24"/>
          <w:highlight w:val="none"/>
          <w:lang w:val="en-US" w:eastAsia="zh-CN"/>
        </w:rPr>
        <w:t>投标人未被列入“</w:t>
      </w:r>
      <w:r>
        <w:rPr>
          <w:rFonts w:hint="eastAsia" w:ascii="宋体" w:hAnsi="宋体" w:eastAsia="宋体"/>
          <w:color w:val="auto"/>
          <w:sz w:val="24"/>
          <w:highlight w:val="none"/>
          <w:lang w:val="en-US" w:eastAsia="zh-CN"/>
        </w:rPr>
        <w:t>失信被执行人</w:t>
      </w:r>
      <w:r>
        <w:rPr>
          <w:rFonts w:hint="default" w:ascii="宋体" w:hAnsi="宋体" w:eastAsia="宋体"/>
          <w:color w:val="auto"/>
          <w:sz w:val="24"/>
          <w:highlight w:val="none"/>
          <w:lang w:val="en-US" w:eastAsia="zh-CN"/>
        </w:rPr>
        <w:t>”</w:t>
      </w:r>
      <w:r>
        <w:rPr>
          <w:rFonts w:hint="eastAsia" w:ascii="宋体" w:hAnsi="宋体" w:eastAsia="宋体"/>
          <w:color w:val="auto"/>
          <w:sz w:val="24"/>
          <w:highlight w:val="none"/>
          <w:lang w:val="en-US" w:eastAsia="zh-CN"/>
        </w:rPr>
        <w:t>名单。</w:t>
      </w:r>
    </w:p>
    <w:p w14:paraId="4D68977A">
      <w:pPr>
        <w:pStyle w:val="5"/>
        <w:keepNext w:val="0"/>
        <w:keepLines w:val="0"/>
        <w:pageBreakBefore w:val="0"/>
        <w:widowControl w:val="0"/>
        <w:tabs>
          <w:tab w:val="left" w:pos="7380"/>
        </w:tabs>
        <w:kinsoku/>
        <w:wordWrap/>
        <w:overflowPunct/>
        <w:topLinePunct w:val="0"/>
        <w:autoSpaceDE/>
        <w:autoSpaceDN/>
        <w:bidi w:val="0"/>
        <w:adjustRightInd/>
        <w:spacing w:after="0" w:line="360" w:lineRule="auto"/>
        <w:ind w:firstLine="523" w:firstLineChars="218"/>
        <w:textAlignment w:val="auto"/>
        <w:rPr>
          <w:rFonts w:hint="eastAsia" w:ascii="宋体" w:hAnsi="宋体"/>
          <w:color w:val="auto"/>
          <w:sz w:val="24"/>
          <w:highlight w:val="none"/>
        </w:rPr>
      </w:pPr>
      <w:r>
        <w:rPr>
          <w:rFonts w:hint="eastAsia" w:ascii="宋体" w:hAnsi="宋体"/>
          <w:color w:val="auto"/>
          <w:sz w:val="24"/>
          <w:highlight w:val="none"/>
        </w:rPr>
        <w:t>注：未在招标公告第九条单列的资审合格条件，不作为资审不合格的依据。</w:t>
      </w:r>
    </w:p>
    <w:p w14:paraId="2A8F3CB1">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ascii="宋体" w:cs="宋体"/>
          <w:color w:val="auto"/>
          <w:sz w:val="24"/>
          <w:szCs w:val="24"/>
          <w:highlight w:val="none"/>
        </w:rPr>
      </w:pPr>
      <w:r>
        <w:rPr>
          <w:rStyle w:val="61"/>
          <w:rFonts w:hint="eastAsia"/>
          <w:color w:val="auto"/>
          <w:highlight w:val="none"/>
        </w:rPr>
        <w:t>十、资格审查方式</w:t>
      </w:r>
      <w:r>
        <w:rPr>
          <w:rFonts w:hint="eastAsia" w:ascii="宋体" w:hAnsi="宋体" w:cs="宋体"/>
          <w:color w:val="auto"/>
          <w:sz w:val="24"/>
          <w:szCs w:val="24"/>
          <w:highlight w:val="none"/>
        </w:rPr>
        <w:t>：</w:t>
      </w:r>
    </w:p>
    <w:p w14:paraId="67517E80">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ascii="宋体" w:cs="宋体"/>
          <w:color w:val="auto"/>
          <w:sz w:val="24"/>
          <w:szCs w:val="24"/>
          <w:highlight w:val="none"/>
        </w:rPr>
      </w:pPr>
      <w:r>
        <w:rPr>
          <w:rFonts w:hint="eastAsia" w:ascii="宋体" w:hAnsi="宋体" w:cs="宋体"/>
          <w:color w:val="auto"/>
          <w:sz w:val="24"/>
          <w:szCs w:val="24"/>
          <w:highlight w:val="none"/>
        </w:rPr>
        <w:t>本工程采用资格后审方式，由评标委员会负责资格审查。</w:t>
      </w:r>
    </w:p>
    <w:p w14:paraId="3D66BA89">
      <w:pPr>
        <w:keepNext w:val="0"/>
        <w:keepLines w:val="0"/>
        <w:pageBreakBefore w:val="0"/>
        <w:kinsoku/>
        <w:wordWrap/>
        <w:overflowPunct/>
        <w:topLinePunct w:val="0"/>
        <w:autoSpaceDE/>
        <w:autoSpaceDN/>
        <w:bidi w:val="0"/>
        <w:adjustRightInd/>
        <w:snapToGrid w:val="0"/>
        <w:spacing w:line="360" w:lineRule="auto"/>
        <w:textAlignment w:val="auto"/>
        <w:rPr>
          <w:rFonts w:ascii="宋体" w:hAnsi="宋体"/>
          <w:color w:val="auto"/>
          <w:sz w:val="24"/>
          <w:highlight w:val="none"/>
        </w:rPr>
      </w:pPr>
      <w:r>
        <w:rPr>
          <w:rFonts w:hint="eastAsia" w:ascii="宋体" w:hAnsi="宋体"/>
          <w:color w:val="auto"/>
          <w:sz w:val="24"/>
          <w:highlight w:val="none"/>
        </w:rPr>
        <w:t xml:space="preserve">    十一、资格审查结果将在</w:t>
      </w:r>
      <w:r>
        <w:rPr>
          <w:rFonts w:hint="eastAsia"/>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lang w:eastAsia="zh-CN"/>
        </w:rPr>
        <w:t>、</w:t>
      </w:r>
      <w:r>
        <w:rPr>
          <w:rFonts w:hint="eastAsia" w:ascii="宋体" w:hAnsi="宋体"/>
          <w:color w:val="auto"/>
          <w:sz w:val="24"/>
          <w:highlight w:val="none"/>
        </w:rPr>
        <w:t>广东省招标投标监管网</w:t>
      </w:r>
      <w:r>
        <w:rPr>
          <w:rFonts w:hint="eastAsia" w:ascii="宋体" w:hAnsi="宋体"/>
          <w:color w:val="auto"/>
          <w:sz w:val="24"/>
          <w:highlight w:val="none"/>
          <w:lang w:eastAsia="zh-CN"/>
        </w:rPr>
        <w:t>、广州国企阳光采购信息发布平台</w:t>
      </w:r>
      <w:r>
        <w:rPr>
          <w:rFonts w:hint="eastAsia" w:ascii="宋体" w:hAnsi="宋体"/>
          <w:color w:val="auto"/>
          <w:sz w:val="24"/>
          <w:highlight w:val="none"/>
        </w:rPr>
        <w:t>公示，</w:t>
      </w:r>
      <w:r>
        <w:rPr>
          <w:rFonts w:hint="eastAsia" w:ascii="宋体" w:hAnsi="宋体"/>
          <w:bCs/>
          <w:color w:val="auto"/>
          <w:sz w:val="24"/>
          <w:highlight w:val="none"/>
        </w:rPr>
        <w:t>公示时间不得少于3日。</w:t>
      </w:r>
    </w:p>
    <w:p w14:paraId="3D665B6D">
      <w:pPr>
        <w:keepNext w:val="0"/>
        <w:keepLines w:val="0"/>
        <w:pageBreakBefore w:val="0"/>
        <w:kinsoku/>
        <w:wordWrap/>
        <w:overflowPunct/>
        <w:topLinePunct w:val="0"/>
        <w:autoSpaceDE/>
        <w:autoSpaceDN/>
        <w:bidi w:val="0"/>
        <w:adjustRightInd/>
        <w:snapToGrid w:val="0"/>
        <w:spacing w:line="360" w:lineRule="auto"/>
        <w:ind w:firstLine="480"/>
        <w:textAlignment w:val="auto"/>
        <w:rPr>
          <w:rFonts w:hint="eastAsia" w:ascii="宋体" w:hAnsi="宋体"/>
          <w:color w:val="auto"/>
          <w:sz w:val="24"/>
          <w:highlight w:val="none"/>
        </w:rPr>
      </w:pPr>
      <w:r>
        <w:rPr>
          <w:rFonts w:hint="eastAsia" w:ascii="宋体" w:hAnsi="宋体"/>
          <w:color w:val="auto"/>
          <w:sz w:val="24"/>
          <w:highlight w:val="none"/>
        </w:rPr>
        <w:t>十二、递交投标文件的投标人</w:t>
      </w:r>
      <w:r>
        <w:rPr>
          <w:rFonts w:hint="eastAsia" w:ascii="宋体" w:hAnsi="宋体"/>
          <w:color w:val="auto"/>
          <w:sz w:val="24"/>
          <w:highlight w:val="none"/>
          <w:lang w:eastAsia="zh-CN"/>
        </w:rPr>
        <w:t>不足</w:t>
      </w:r>
      <w:r>
        <w:rPr>
          <w:rFonts w:hint="eastAsia" w:ascii="宋体" w:hAnsi="宋体"/>
          <w:color w:val="auto"/>
          <w:sz w:val="24"/>
          <w:highlight w:val="none"/>
          <w:lang w:val="en-US" w:eastAsia="zh-CN"/>
        </w:rPr>
        <w:t>3名，或</w:t>
      </w:r>
      <w:r>
        <w:rPr>
          <w:rFonts w:hint="eastAsia" w:ascii="宋体" w:hAnsi="宋体"/>
          <w:color w:val="auto"/>
          <w:sz w:val="24"/>
          <w:highlight w:val="none"/>
        </w:rPr>
        <w:t>满足资格审查合格条件的投标人不足3名</w:t>
      </w:r>
      <w:r>
        <w:rPr>
          <w:rFonts w:hint="eastAsia" w:ascii="宋体" w:hAnsi="宋体"/>
          <w:color w:val="auto"/>
          <w:sz w:val="24"/>
          <w:highlight w:val="none"/>
          <w:lang w:eastAsia="zh-CN"/>
        </w:rPr>
        <w:t>，</w:t>
      </w:r>
      <w:r>
        <w:rPr>
          <w:rFonts w:hint="eastAsia" w:ascii="宋体" w:hAnsi="宋体"/>
          <w:color w:val="auto"/>
          <w:sz w:val="24"/>
          <w:highlight w:val="none"/>
        </w:rPr>
        <w:t>或通过有效性审查的投标人不足3名时为招标失败。</w:t>
      </w:r>
      <w:r>
        <w:rPr>
          <w:rFonts w:hint="eastAsia" w:ascii="宋体" w:hAnsi="宋体"/>
          <w:color w:val="auto"/>
          <w:sz w:val="24"/>
          <w:highlight w:val="none"/>
          <w:u w:val="single"/>
        </w:rPr>
        <w:t>招标人分析招标失败原因，修正招标方案，报有关管理部门核准后，重新组织招标。</w:t>
      </w:r>
    </w:p>
    <w:p w14:paraId="2A10B26A">
      <w:pPr>
        <w:keepNext w:val="0"/>
        <w:keepLines w:val="0"/>
        <w:pageBreakBefore w:val="0"/>
        <w:kinsoku/>
        <w:wordWrap/>
        <w:overflowPunct/>
        <w:topLinePunct w:val="0"/>
        <w:autoSpaceDE/>
        <w:autoSpaceDN/>
        <w:bidi w:val="0"/>
        <w:adjustRightInd/>
        <w:spacing w:line="360" w:lineRule="auto"/>
        <w:ind w:firstLine="537" w:firstLineChars="224"/>
        <w:textAlignment w:val="auto"/>
        <w:rPr>
          <w:rFonts w:ascii="宋体"/>
          <w:color w:val="auto"/>
          <w:sz w:val="24"/>
          <w:highlight w:val="none"/>
        </w:rPr>
      </w:pPr>
      <w:r>
        <w:rPr>
          <w:rFonts w:hint="eastAsia" w:ascii="宋体" w:hAnsi="宋体"/>
          <w:color w:val="auto"/>
          <w:sz w:val="24"/>
          <w:highlight w:val="none"/>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4418ECEE">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十四、投标文件全部采用电子文档，投标人按招标文件要求提交投标文件。</w:t>
      </w:r>
    </w:p>
    <w:p w14:paraId="071BEE26">
      <w:pPr>
        <w:keepNext w:val="0"/>
        <w:keepLines w:val="0"/>
        <w:pageBreakBefore w:val="0"/>
        <w:kinsoku/>
        <w:wordWrap/>
        <w:overflowPunct/>
        <w:topLinePunct w:val="0"/>
        <w:autoSpaceDE/>
        <w:autoSpaceDN/>
        <w:bidi w:val="0"/>
        <w:adjustRightInd/>
        <w:spacing w:line="360" w:lineRule="auto"/>
        <w:ind w:left="239" w:leftChars="114" w:firstLine="297" w:firstLineChars="124"/>
        <w:textAlignment w:val="auto"/>
        <w:rPr>
          <w:rFonts w:ascii="宋体" w:hAnsi="宋体"/>
          <w:color w:val="auto"/>
          <w:sz w:val="24"/>
          <w:highlight w:val="none"/>
        </w:rPr>
      </w:pPr>
      <w:r>
        <w:rPr>
          <w:rFonts w:hint="eastAsia" w:ascii="宋体" w:hAnsi="宋体"/>
          <w:color w:val="auto"/>
          <w:sz w:val="24"/>
          <w:highlight w:val="none"/>
        </w:rPr>
        <w:t>十五、潜在投标人或利害关系人对本招标公告及招标文件有异议的，应当在投标截止时间10日前向招标人书面提出。</w:t>
      </w:r>
    </w:p>
    <w:p w14:paraId="0E9B4F7E">
      <w:pPr>
        <w:keepNext w:val="0"/>
        <w:keepLines w:val="0"/>
        <w:pageBreakBefore w:val="0"/>
        <w:kinsoku/>
        <w:wordWrap/>
        <w:overflowPunct/>
        <w:topLinePunct w:val="0"/>
        <w:autoSpaceDE/>
        <w:autoSpaceDN/>
        <w:bidi w:val="0"/>
        <w:adjustRightInd/>
        <w:spacing w:line="360" w:lineRule="auto"/>
        <w:ind w:left="239" w:leftChars="114" w:firstLine="297" w:firstLineChars="124"/>
        <w:textAlignment w:val="auto"/>
        <w:rPr>
          <w:rFonts w:hint="eastAsia" w:ascii="宋体" w:hAnsi="宋体" w:eastAsia="宋体"/>
          <w:color w:val="auto"/>
          <w:sz w:val="24"/>
          <w:highlight w:val="none"/>
          <w:u w:val="single"/>
          <w:lang w:eastAsia="zh-CN"/>
        </w:rPr>
      </w:pPr>
      <w:r>
        <w:rPr>
          <w:rFonts w:hint="eastAsia" w:ascii="宋体" w:hAnsi="宋体"/>
          <w:color w:val="auto"/>
          <w:sz w:val="24"/>
          <w:highlight w:val="none"/>
        </w:rPr>
        <w:t>异议受理部门：</w:t>
      </w:r>
      <w:r>
        <w:rPr>
          <w:rFonts w:hint="eastAsia" w:ascii="宋体" w:hAnsi="宋体"/>
          <w:color w:val="auto"/>
          <w:sz w:val="24"/>
          <w:highlight w:val="none"/>
          <w:u w:val="single"/>
          <w:lang w:eastAsia="zh-CN"/>
        </w:rPr>
        <w:t>广州市广园市政建设有限公司</w:t>
      </w:r>
    </w:p>
    <w:p w14:paraId="65F309B5">
      <w:pPr>
        <w:keepNext w:val="0"/>
        <w:keepLines w:val="0"/>
        <w:pageBreakBefore w:val="0"/>
        <w:kinsoku/>
        <w:wordWrap/>
        <w:overflowPunct/>
        <w:topLinePunct w:val="0"/>
        <w:autoSpaceDE/>
        <w:autoSpaceDN/>
        <w:bidi w:val="0"/>
        <w:adjustRightInd/>
        <w:spacing w:line="360" w:lineRule="auto"/>
        <w:ind w:left="239" w:leftChars="114" w:firstLine="297" w:firstLineChars="124"/>
        <w:textAlignment w:val="auto"/>
        <w:rPr>
          <w:rFonts w:ascii="宋体" w:hAnsi="宋体"/>
          <w:color w:val="auto"/>
          <w:sz w:val="24"/>
          <w:highlight w:val="none"/>
        </w:rPr>
      </w:pPr>
      <w:r>
        <w:rPr>
          <w:rFonts w:hint="eastAsia" w:ascii="宋体" w:hAnsi="宋体"/>
          <w:color w:val="auto"/>
          <w:sz w:val="24"/>
          <w:highlight w:val="none"/>
        </w:rPr>
        <w:t>异议受理电话：</w:t>
      </w:r>
      <w:r>
        <w:rPr>
          <w:rFonts w:hint="eastAsia" w:ascii="宋体" w:hAnsi="宋体" w:cs="宋体"/>
          <w:color w:val="auto"/>
          <w:sz w:val="24"/>
          <w:szCs w:val="24"/>
          <w:highlight w:val="none"/>
          <w:u w:val="single"/>
          <w:lang w:eastAsia="zh-CN"/>
        </w:rPr>
        <w:t>020-62655579</w:t>
      </w:r>
    </w:p>
    <w:p w14:paraId="7D05DC6D">
      <w:pPr>
        <w:keepNext w:val="0"/>
        <w:keepLines w:val="0"/>
        <w:pageBreakBefore w:val="0"/>
        <w:kinsoku/>
        <w:wordWrap/>
        <w:overflowPunct/>
        <w:topLinePunct w:val="0"/>
        <w:autoSpaceDE/>
        <w:autoSpaceDN/>
        <w:bidi w:val="0"/>
        <w:adjustRightInd/>
        <w:spacing w:line="360" w:lineRule="auto"/>
        <w:ind w:left="239" w:leftChars="114" w:firstLine="297" w:firstLineChars="124"/>
        <w:textAlignment w:val="auto"/>
        <w:rPr>
          <w:rFonts w:ascii="宋体" w:hAnsi="宋体"/>
          <w:color w:val="auto"/>
          <w:sz w:val="24"/>
          <w:highlight w:val="none"/>
          <w:u w:val="single"/>
        </w:rPr>
      </w:pPr>
      <w:r>
        <w:rPr>
          <w:rFonts w:hint="eastAsia" w:ascii="宋体" w:hAnsi="宋体"/>
          <w:color w:val="auto"/>
          <w:sz w:val="24"/>
          <w:highlight w:val="none"/>
        </w:rPr>
        <w:t>地址：</w:t>
      </w:r>
      <w:r>
        <w:rPr>
          <w:rFonts w:hint="eastAsia" w:ascii="宋体" w:hAnsi="宋体"/>
          <w:color w:val="auto"/>
          <w:sz w:val="24"/>
          <w:highlight w:val="none"/>
          <w:u w:val="single"/>
        </w:rPr>
        <w:t>广州市越秀区站南路15号之一</w:t>
      </w:r>
      <w:r>
        <w:rPr>
          <w:rFonts w:hint="eastAsia" w:ascii="宋体" w:hAnsi="宋体"/>
          <w:color w:val="auto"/>
          <w:sz w:val="24"/>
          <w:highlight w:val="none"/>
          <w:u w:val="single"/>
          <w:lang w:val="en-US" w:eastAsia="zh-CN"/>
        </w:rPr>
        <w:t>7</w:t>
      </w:r>
      <w:r>
        <w:rPr>
          <w:rFonts w:hint="eastAsia" w:ascii="宋体" w:hAnsi="宋体"/>
          <w:color w:val="auto"/>
          <w:sz w:val="24"/>
          <w:highlight w:val="none"/>
          <w:u w:val="single"/>
        </w:rPr>
        <w:t>楼</w:t>
      </w:r>
    </w:p>
    <w:p w14:paraId="572617A6">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color w:val="auto"/>
          <w:sz w:val="24"/>
          <w:highlight w:val="none"/>
        </w:rPr>
      </w:pPr>
      <w:r>
        <w:rPr>
          <w:rFonts w:hint="eastAsia" w:ascii="宋体" w:hAnsi="宋体"/>
          <w:color w:val="auto"/>
          <w:sz w:val="24"/>
          <w:highlight w:val="none"/>
        </w:rPr>
        <w:t>注：潜在投标人或利害关系人</w:t>
      </w:r>
      <w:r>
        <w:rPr>
          <w:rFonts w:hint="eastAsia" w:ascii="宋体" w:hAnsi="宋体"/>
          <w:color w:val="auto"/>
          <w:sz w:val="24"/>
          <w:highlight w:val="none"/>
          <w:lang w:eastAsia="zh-CN"/>
        </w:rPr>
        <w:t>对本招标公告及招标文件有异议的，应当在招标投标相关法律法规规定的时间内（投标截止时间</w:t>
      </w:r>
      <w:r>
        <w:rPr>
          <w:rFonts w:hint="eastAsia" w:ascii="宋体" w:hAnsi="宋体"/>
          <w:color w:val="auto"/>
          <w:sz w:val="24"/>
          <w:highlight w:val="none"/>
          <w:u w:val="single"/>
          <w:lang w:val="en-US" w:eastAsia="zh-CN"/>
        </w:rPr>
        <w:t>10</w:t>
      </w:r>
      <w:r>
        <w:rPr>
          <w:rFonts w:hint="eastAsia" w:ascii="宋体" w:hAnsi="宋体"/>
          <w:color w:val="auto"/>
          <w:sz w:val="24"/>
          <w:highlight w:val="none"/>
          <w:lang w:eastAsia="zh-CN"/>
        </w:rPr>
        <w:t>日前）</w:t>
      </w:r>
      <w:r>
        <w:rPr>
          <w:rFonts w:hint="eastAsia" w:ascii="宋体" w:hAnsi="宋体"/>
          <w:color w:val="auto"/>
          <w:sz w:val="24"/>
          <w:highlight w:val="none"/>
        </w:rPr>
        <w:t>通过</w:t>
      </w:r>
      <w:r>
        <w:rPr>
          <w:rFonts w:hint="eastAsia" w:ascii="宋体" w:hAnsi="宋体"/>
          <w:color w:val="auto"/>
          <w:sz w:val="24"/>
          <w:highlight w:val="none"/>
          <w:lang w:eastAsia="zh-CN"/>
        </w:rPr>
        <w:t>电子交易系统向招标人</w:t>
      </w:r>
      <w:r>
        <w:rPr>
          <w:rFonts w:hint="eastAsia" w:ascii="宋体" w:hAnsi="宋体"/>
          <w:color w:val="auto"/>
          <w:sz w:val="24"/>
          <w:highlight w:val="none"/>
        </w:rPr>
        <w:t>提出异议</w:t>
      </w:r>
      <w:r>
        <w:rPr>
          <w:rFonts w:hint="eastAsia" w:ascii="宋体" w:hAnsi="宋体"/>
          <w:color w:val="auto"/>
          <w:sz w:val="24"/>
          <w:highlight w:val="none"/>
          <w:lang w:eastAsia="zh-CN"/>
        </w:rPr>
        <w:t>，</w:t>
      </w:r>
      <w:r>
        <w:rPr>
          <w:rFonts w:hint="eastAsia" w:ascii="宋体" w:hAnsi="宋体"/>
          <w:color w:val="auto"/>
          <w:sz w:val="24"/>
          <w:highlight w:val="none"/>
        </w:rPr>
        <w:t>具体按照</w:t>
      </w:r>
      <w:r>
        <w:rPr>
          <w:rFonts w:hint="eastAsia" w:ascii="宋体" w:hAnsi="宋体"/>
          <w:color w:val="auto"/>
          <w:sz w:val="24"/>
          <w:highlight w:val="none"/>
          <w:lang w:eastAsia="zh-CN"/>
        </w:rPr>
        <w:t>电子招标投标</w:t>
      </w:r>
      <w:r>
        <w:rPr>
          <w:rFonts w:hint="eastAsia" w:ascii="宋体" w:hAnsi="宋体"/>
          <w:color w:val="auto"/>
          <w:sz w:val="24"/>
          <w:highlight w:val="none"/>
        </w:rPr>
        <w:t>交易平台相关指南进行操作。</w:t>
      </w:r>
      <w:r>
        <w:rPr>
          <w:rFonts w:hint="eastAsia" w:ascii="宋体" w:hAnsi="宋体"/>
          <w:color w:val="auto"/>
          <w:sz w:val="24"/>
          <w:highlight w:val="none"/>
          <w:lang w:eastAsia="zh-CN"/>
        </w:rPr>
        <w:t>尚未登记注册的，可按照招标人明确的其他方式（</w:t>
      </w:r>
      <w:r>
        <w:rPr>
          <w:rFonts w:hint="eastAsia" w:ascii="宋体" w:hAnsi="宋体"/>
          <w:b/>
          <w:bCs/>
          <w:color w:val="auto"/>
          <w:sz w:val="24"/>
          <w:highlight w:val="none"/>
          <w:u w:val="single"/>
          <w:lang w:val="en-US" w:eastAsia="zh-CN"/>
        </w:rPr>
        <w:t>线下纸质原件递交；递交时间：</w:t>
      </w:r>
      <w:r>
        <w:rPr>
          <w:rFonts w:hint="eastAsia" w:ascii="宋体" w:hAnsi="宋体"/>
          <w:b/>
          <w:bCs/>
          <w:color w:val="auto"/>
          <w:sz w:val="24"/>
          <w:highlight w:val="none"/>
          <w:u w:val="single"/>
          <w:lang w:eastAsia="zh-CN"/>
        </w:rPr>
        <w:t>投标截止时间</w:t>
      </w:r>
      <w:r>
        <w:rPr>
          <w:rFonts w:hint="eastAsia" w:ascii="宋体" w:hAnsi="宋体"/>
          <w:b/>
          <w:bCs/>
          <w:color w:val="auto"/>
          <w:sz w:val="24"/>
          <w:highlight w:val="none"/>
          <w:u w:val="single"/>
          <w:lang w:val="en-US" w:eastAsia="zh-CN"/>
        </w:rPr>
        <w:t>10</w:t>
      </w:r>
      <w:r>
        <w:rPr>
          <w:rFonts w:hint="eastAsia" w:ascii="宋体" w:hAnsi="宋体"/>
          <w:b/>
          <w:bCs/>
          <w:color w:val="auto"/>
          <w:sz w:val="24"/>
          <w:highlight w:val="none"/>
          <w:u w:val="single"/>
          <w:lang w:eastAsia="zh-CN"/>
        </w:rPr>
        <w:t>日前，</w:t>
      </w:r>
      <w:r>
        <w:rPr>
          <w:rFonts w:hint="eastAsia" w:ascii="宋体" w:hAnsi="宋体"/>
          <w:b/>
          <w:bCs/>
          <w:color w:val="auto"/>
          <w:sz w:val="24"/>
          <w:highlight w:val="none"/>
          <w:u w:val="single"/>
          <w:lang w:val="en-US" w:eastAsia="zh-CN"/>
        </w:rPr>
        <w:t>北京时间8时30分-17时30分；递交地点：广州市越秀区站南路15号之一7楼；联系人：舒工；联系电话：020-62655579</w:t>
      </w:r>
      <w:r>
        <w:rPr>
          <w:rFonts w:hint="eastAsia" w:ascii="宋体" w:hAnsi="宋体"/>
          <w:b/>
          <w:bCs/>
          <w:color w:val="auto"/>
          <w:sz w:val="24"/>
          <w:highlight w:val="none"/>
          <w:u w:val="single"/>
          <w:lang w:eastAsia="zh-CN"/>
        </w:rPr>
        <w:t>。</w:t>
      </w:r>
      <w:r>
        <w:rPr>
          <w:rFonts w:hint="eastAsia" w:ascii="宋体" w:hAnsi="宋体"/>
          <w:color w:val="auto"/>
          <w:sz w:val="24"/>
          <w:highlight w:val="none"/>
          <w:lang w:eastAsia="zh-CN"/>
        </w:rPr>
        <w:t>）向招标人</w:t>
      </w:r>
      <w:r>
        <w:rPr>
          <w:rFonts w:hint="eastAsia" w:ascii="宋体" w:hAnsi="宋体"/>
          <w:color w:val="auto"/>
          <w:sz w:val="24"/>
          <w:highlight w:val="none"/>
        </w:rPr>
        <w:t>提出</w:t>
      </w:r>
      <w:r>
        <w:rPr>
          <w:rFonts w:hint="eastAsia" w:ascii="宋体" w:hAnsi="宋体"/>
          <w:color w:val="auto"/>
          <w:sz w:val="24"/>
          <w:highlight w:val="none"/>
          <w:lang w:eastAsia="zh-CN"/>
        </w:rPr>
        <w:t>。</w:t>
      </w:r>
      <w:r>
        <w:rPr>
          <w:rFonts w:hint="eastAsia" w:ascii="宋体" w:hAnsi="宋体"/>
          <w:color w:val="auto"/>
          <w:sz w:val="24"/>
          <w:highlight w:val="none"/>
        </w:rPr>
        <w:t>招标人</w:t>
      </w:r>
      <w:r>
        <w:rPr>
          <w:rFonts w:hint="eastAsia" w:ascii="宋体" w:hAnsi="宋体"/>
          <w:color w:val="auto"/>
          <w:sz w:val="24"/>
          <w:highlight w:val="none"/>
          <w:lang w:eastAsia="zh-CN"/>
        </w:rPr>
        <w:t>应当在规定的异议答复期限内作出答复；</w:t>
      </w:r>
      <w:r>
        <w:rPr>
          <w:rFonts w:hint="eastAsia" w:ascii="宋体" w:hAnsi="宋体"/>
          <w:color w:val="auto"/>
          <w:sz w:val="24"/>
          <w:highlight w:val="none"/>
        </w:rPr>
        <w:t>作出答复前，应当暂停招标投标活动。</w:t>
      </w:r>
      <w:r>
        <w:rPr>
          <w:rFonts w:hint="eastAsia" w:ascii="宋体" w:hAnsi="宋体"/>
          <w:color w:val="auto"/>
          <w:sz w:val="24"/>
          <w:highlight w:val="none"/>
          <w:lang w:eastAsia="zh-CN"/>
        </w:rPr>
        <w:t>招标人依法作出答复、发布招标文件澄清或者修改文件的，应当通过电子交易系统进行。</w:t>
      </w:r>
      <w:r>
        <w:rPr>
          <w:rFonts w:hint="eastAsia" w:ascii="宋体" w:hAnsi="宋体"/>
          <w:color w:val="auto"/>
          <w:sz w:val="24"/>
          <w:highlight w:val="none"/>
        </w:rPr>
        <w:t>作出答复前，应当暂停招标投标活动。</w:t>
      </w:r>
    </w:p>
    <w:p w14:paraId="469D2C77">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color w:val="auto"/>
          <w:sz w:val="24"/>
          <w:highlight w:val="none"/>
        </w:rPr>
      </w:pPr>
      <w:r>
        <w:rPr>
          <w:rFonts w:hint="eastAsia" w:ascii="宋体" w:hAnsi="宋体"/>
          <w:color w:val="auto"/>
          <w:sz w:val="24"/>
          <w:highlight w:val="none"/>
        </w:rPr>
        <w:t>十六、本公告在</w:t>
      </w:r>
      <w:r>
        <w:rPr>
          <w:rFonts w:hint="eastAsia" w:ascii="宋体" w:hAnsi="宋体"/>
          <w:color w:val="auto"/>
          <w:sz w:val="24"/>
          <w:highlight w:val="none"/>
          <w:u w:val="single"/>
        </w:rPr>
        <w:t>广州交易集团有限公司（广州公共资源交易中心）（网址：http://www.gzggzy.cn/）、广东省招标投标监管网（网址：https://zbtb.gd.gov.cn/）</w:t>
      </w:r>
      <w:r>
        <w:rPr>
          <w:rFonts w:hint="eastAsia" w:ascii="宋体" w:hAnsi="宋体"/>
          <w:color w:val="auto"/>
          <w:sz w:val="24"/>
          <w:highlight w:val="none"/>
          <w:u w:val="single"/>
          <w:lang w:eastAsia="zh-CN"/>
        </w:rPr>
        <w:t>、</w:t>
      </w:r>
      <w:r>
        <w:rPr>
          <w:rFonts w:hint="eastAsia" w:ascii="宋体" w:hAnsi="宋体"/>
          <w:color w:val="auto"/>
          <w:sz w:val="24"/>
          <w:highlight w:val="none"/>
          <w:u w:val="single"/>
        </w:rPr>
        <w:t>中国招标投标公共服务平台（网址：http://www.cebpubservice.com/）</w:t>
      </w:r>
      <w:r>
        <w:rPr>
          <w:rFonts w:hint="eastAsia" w:ascii="宋体" w:hAnsi="宋体"/>
          <w:b/>
          <w:bCs/>
          <w:color w:val="auto"/>
          <w:sz w:val="24"/>
          <w:highlight w:val="none"/>
          <w:u w:val="single"/>
        </w:rPr>
        <w:t>、广州国企阳光采购信息发布平台（网址：https://ygcg.gzggzy.cn）</w:t>
      </w:r>
      <w:r>
        <w:rPr>
          <w:rFonts w:hint="eastAsia" w:ascii="宋体" w:hAnsi="宋体"/>
          <w:color w:val="auto"/>
          <w:sz w:val="24"/>
          <w:highlight w:val="none"/>
        </w:rPr>
        <w:t>发布。招标公告、公示信息的发布时间和内容，以在广东省招标投标监管网发布的为准。</w:t>
      </w:r>
      <w:r>
        <w:rPr>
          <w:rFonts w:hint="eastAsia" w:ascii="宋体" w:hAnsi="宋体"/>
          <w:color w:val="auto"/>
          <w:sz w:val="24"/>
          <w:highlight w:val="none"/>
          <w:u w:val="single"/>
        </w:rPr>
        <w:t>本公告的修改、补充，在广州交易集团有限公司（广州公共资源交易中心）官网</w:t>
      </w:r>
      <w:r>
        <w:rPr>
          <w:rFonts w:hint="eastAsia" w:ascii="宋体" w:hAnsi="宋体"/>
          <w:color w:val="auto"/>
          <w:sz w:val="24"/>
          <w:highlight w:val="none"/>
          <w:u w:val="single"/>
          <w:lang w:eastAsia="zh-CN"/>
        </w:rPr>
        <w:t>、</w:t>
      </w:r>
      <w:r>
        <w:rPr>
          <w:rFonts w:hint="eastAsia" w:ascii="宋体" w:hAnsi="宋体"/>
          <w:color w:val="auto"/>
          <w:sz w:val="24"/>
          <w:highlight w:val="none"/>
          <w:u w:val="single"/>
        </w:rPr>
        <w:t>广东省招标投标监管网、中国招标投标公共服务平台和广州国企阳光采购信息发布平台发布。</w:t>
      </w:r>
    </w:p>
    <w:p w14:paraId="5675B2B9">
      <w:pPr>
        <w:keepNext w:val="0"/>
        <w:keepLines w:val="0"/>
        <w:pageBreakBefore w:val="0"/>
        <w:kinsoku/>
        <w:wordWrap/>
        <w:overflowPunct/>
        <w:topLinePunct w:val="0"/>
        <w:autoSpaceDE/>
        <w:autoSpaceDN/>
        <w:bidi w:val="0"/>
        <w:adjustRightInd/>
        <w:spacing w:line="360" w:lineRule="auto"/>
        <w:ind w:firstLine="537" w:firstLineChars="224"/>
        <w:textAlignment w:val="auto"/>
        <w:rPr>
          <w:rFonts w:ascii="宋体" w:hAnsi="宋体"/>
          <w:color w:val="auto"/>
          <w:sz w:val="24"/>
          <w:highlight w:val="none"/>
        </w:rPr>
      </w:pPr>
      <w:r>
        <w:rPr>
          <w:rFonts w:hint="eastAsia" w:ascii="宋体" w:hAnsi="宋体"/>
          <w:color w:val="auto"/>
          <w:sz w:val="24"/>
          <w:highlight w:val="none"/>
        </w:rPr>
        <w:t>十七、招标公告网上发布时，同时发布招标文件、施工图纸、最高投标限价。本工程根据国家和省有关计价规范设置最高投标限价。招标公告发布之日起计算编制投标文件时间，编制投标文件的时间不得少于20天。</w:t>
      </w:r>
      <w:r>
        <w:rPr>
          <w:rFonts w:hint="eastAsia" w:ascii="宋体" w:hAnsi="宋体"/>
          <w:color w:val="auto"/>
          <w:sz w:val="24"/>
          <w:highlight w:val="none"/>
          <w:lang w:eastAsia="zh-CN"/>
        </w:rPr>
        <w:t>招标人如需发布补充公告的，以最后发布的补充公告时间起计算编制投标文件时间。</w:t>
      </w:r>
      <w:r>
        <w:rPr>
          <w:rFonts w:hint="eastAsia" w:ascii="宋体" w:hAnsi="宋体"/>
          <w:color w:val="auto"/>
          <w:sz w:val="24"/>
          <w:highlight w:val="none"/>
        </w:rPr>
        <w:t>招标人应综合考虑节假日因素，合理确定投标人编制投标文件所需要的时间，如遇春节、五一、十一等长假，建议招标人结合项目特点和实际需要适当延长备标期。</w:t>
      </w:r>
    </w:p>
    <w:p w14:paraId="3ED830D6">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color w:val="auto"/>
          <w:sz w:val="24"/>
          <w:highlight w:val="none"/>
        </w:rPr>
      </w:pPr>
      <w:r>
        <w:rPr>
          <w:rFonts w:hint="eastAsia" w:ascii="宋体"/>
          <w:color w:val="auto"/>
          <w:sz w:val="24"/>
          <w:highlight w:val="none"/>
        </w:rPr>
        <w:t>十</w:t>
      </w:r>
      <w:r>
        <w:rPr>
          <w:rFonts w:hint="eastAsia" w:ascii="宋体"/>
          <w:color w:val="auto"/>
          <w:sz w:val="24"/>
          <w:highlight w:val="none"/>
          <w:lang w:eastAsia="zh-CN"/>
        </w:rPr>
        <w:t>八</w:t>
      </w:r>
      <w:r>
        <w:rPr>
          <w:rFonts w:hint="eastAsia" w:ascii="宋体"/>
          <w:color w:val="auto"/>
          <w:sz w:val="24"/>
          <w:highlight w:val="none"/>
        </w:rPr>
        <w:t>、《投诉处理决定书》和《行政处理决定书》在</w:t>
      </w:r>
      <w:r>
        <w:rPr>
          <w:rFonts w:hint="eastAsia" w:ascii="宋体" w:hAnsi="宋体"/>
          <w:color w:val="auto"/>
          <w:sz w:val="24"/>
          <w:highlight w:val="none"/>
        </w:rPr>
        <w:t>广州市</w:t>
      </w:r>
      <w:r>
        <w:rPr>
          <w:rFonts w:hint="eastAsia" w:ascii="宋体" w:hAnsi="宋体"/>
          <w:color w:val="auto"/>
          <w:sz w:val="24"/>
          <w:highlight w:val="none"/>
          <w:lang w:eastAsia="zh-CN"/>
        </w:rPr>
        <w:t>交通运输</w:t>
      </w:r>
      <w:r>
        <w:rPr>
          <w:rFonts w:hint="eastAsia" w:ascii="宋体" w:hAnsi="宋体"/>
          <w:color w:val="auto"/>
          <w:sz w:val="24"/>
          <w:highlight w:val="none"/>
        </w:rPr>
        <w:t>局</w:t>
      </w:r>
      <w:r>
        <w:rPr>
          <w:rFonts w:hint="eastAsia" w:ascii="宋体"/>
          <w:color w:val="auto"/>
          <w:sz w:val="24"/>
          <w:highlight w:val="none"/>
        </w:rPr>
        <w:t>网站网站上公布的，视为送达其他与决定书有关的当事人。</w:t>
      </w:r>
    </w:p>
    <w:p w14:paraId="1EF930D3">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eastAsia="宋体"/>
          <w:color w:val="auto"/>
          <w:sz w:val="24"/>
          <w:highlight w:val="none"/>
          <w:lang w:eastAsia="zh-CN"/>
        </w:rPr>
      </w:pPr>
      <w:r>
        <w:rPr>
          <w:rFonts w:hint="eastAsia" w:ascii="宋体"/>
          <w:color w:val="auto"/>
          <w:sz w:val="24"/>
          <w:highlight w:val="none"/>
        </w:rPr>
        <w:t>十</w:t>
      </w:r>
      <w:r>
        <w:rPr>
          <w:rFonts w:hint="eastAsia" w:ascii="宋体"/>
          <w:color w:val="auto"/>
          <w:sz w:val="24"/>
          <w:highlight w:val="none"/>
          <w:lang w:eastAsia="zh-CN"/>
        </w:rPr>
        <w:t>九</w:t>
      </w:r>
      <w:r>
        <w:rPr>
          <w:rFonts w:hint="eastAsia" w:ascii="宋体"/>
          <w:color w:val="auto"/>
          <w:sz w:val="24"/>
          <w:highlight w:val="none"/>
        </w:rPr>
        <w:t>、投标人在本项目招标人的工程项目中存在下列行为的，将被拒绝</w:t>
      </w:r>
      <w:r>
        <w:rPr>
          <w:rFonts w:hint="eastAsia" w:ascii="宋体"/>
          <w:color w:val="auto"/>
          <w:sz w:val="24"/>
          <w:highlight w:val="none"/>
          <w:u w:val="single"/>
        </w:rPr>
        <w:t>一年内</w:t>
      </w:r>
      <w:r>
        <w:rPr>
          <w:rFonts w:hint="eastAsia" w:ascii="宋体"/>
          <w:color w:val="auto"/>
          <w:sz w:val="24"/>
          <w:highlight w:val="none"/>
        </w:rPr>
        <w:t>参与招标人后续工程投标。（注：拒绝投标时限由招标人视严重程度确定，最低三个月起，自招标人发出通知之日起计）</w:t>
      </w:r>
      <w:r>
        <w:rPr>
          <w:rFonts w:hint="eastAsia" w:ascii="宋体"/>
          <w:color w:val="auto"/>
          <w:sz w:val="24"/>
          <w:highlight w:val="none"/>
          <w:u w:val="none"/>
          <w:lang w:eastAsia="zh-CN"/>
        </w:rPr>
        <w:t>：</w:t>
      </w:r>
    </w:p>
    <w:p w14:paraId="1B5EABC4">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color w:val="auto"/>
          <w:sz w:val="24"/>
          <w:highlight w:val="none"/>
        </w:rPr>
      </w:pPr>
      <w:r>
        <w:rPr>
          <w:rFonts w:hint="eastAsia" w:ascii="宋体"/>
          <w:color w:val="auto"/>
          <w:sz w:val="24"/>
          <w:highlight w:val="none"/>
        </w:rPr>
        <w:t>1.将中标工程转包或者违法分包的;</w:t>
      </w:r>
    </w:p>
    <w:p w14:paraId="52BB9DC1">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color w:val="auto"/>
          <w:sz w:val="24"/>
          <w:highlight w:val="none"/>
        </w:rPr>
      </w:pPr>
      <w:r>
        <w:rPr>
          <w:rFonts w:hint="eastAsia" w:ascii="宋体"/>
          <w:color w:val="auto"/>
          <w:sz w:val="24"/>
          <w:highlight w:val="none"/>
        </w:rPr>
        <w:t>2.在中标工程中不执行质量、安全生产相关规定的，造成质量或安全事故的；</w:t>
      </w:r>
    </w:p>
    <w:p w14:paraId="474C1080">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color w:val="auto"/>
          <w:sz w:val="24"/>
          <w:highlight w:val="none"/>
        </w:rPr>
      </w:pPr>
      <w:r>
        <w:rPr>
          <w:rFonts w:hint="eastAsia" w:ascii="宋体"/>
          <w:color w:val="auto"/>
          <w:sz w:val="24"/>
          <w:highlight w:val="none"/>
        </w:rPr>
        <w:t>3.出让投标资格的；</w:t>
      </w:r>
    </w:p>
    <w:p w14:paraId="13A3A3E8">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eastAsia="宋体"/>
          <w:color w:val="auto"/>
          <w:sz w:val="24"/>
          <w:highlight w:val="none"/>
          <w:lang w:eastAsia="zh-CN"/>
        </w:rPr>
      </w:pPr>
      <w:r>
        <w:rPr>
          <w:rFonts w:hint="eastAsia" w:ascii="宋体"/>
          <w:color w:val="auto"/>
          <w:sz w:val="24"/>
          <w:highlight w:val="none"/>
        </w:rPr>
        <w:t>4.</w:t>
      </w:r>
      <w:r>
        <w:rPr>
          <w:rFonts w:hint="eastAsia" w:ascii="宋体"/>
          <w:color w:val="auto"/>
          <w:sz w:val="24"/>
          <w:highlight w:val="none"/>
          <w:u w:val="none"/>
        </w:rPr>
        <w:t>存在围标</w:t>
      </w:r>
      <w:r>
        <w:rPr>
          <w:rFonts w:hint="eastAsia" w:ascii="宋体"/>
          <w:color w:val="auto"/>
          <w:sz w:val="24"/>
          <w:highlight w:val="none"/>
          <w:u w:val="none"/>
          <w:lang w:eastAsia="zh-CN"/>
        </w:rPr>
        <w:t>、</w:t>
      </w:r>
      <w:r>
        <w:rPr>
          <w:rFonts w:hint="eastAsia" w:ascii="宋体"/>
          <w:color w:val="auto"/>
          <w:sz w:val="24"/>
          <w:highlight w:val="none"/>
          <w:u w:val="none"/>
        </w:rPr>
        <w:t>串标情形的</w:t>
      </w:r>
      <w:r>
        <w:rPr>
          <w:rFonts w:hint="eastAsia" w:ascii="宋体"/>
          <w:color w:val="auto"/>
          <w:sz w:val="24"/>
          <w:highlight w:val="none"/>
          <w:u w:val="none"/>
          <w:lang w:eastAsia="zh-CN"/>
        </w:rPr>
        <w:t>；</w:t>
      </w:r>
    </w:p>
    <w:p w14:paraId="717A9CED">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color w:val="auto"/>
          <w:sz w:val="24"/>
          <w:highlight w:val="none"/>
        </w:rPr>
      </w:pPr>
      <w:r>
        <w:rPr>
          <w:rFonts w:hint="eastAsia" w:ascii="宋体"/>
          <w:color w:val="auto"/>
          <w:sz w:val="24"/>
          <w:highlight w:val="none"/>
        </w:rPr>
        <w:t>5.在投标文件中提供虚假材料的；</w:t>
      </w:r>
    </w:p>
    <w:p w14:paraId="73021E89">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color w:val="auto"/>
          <w:sz w:val="24"/>
          <w:highlight w:val="none"/>
        </w:rPr>
      </w:pPr>
      <w:r>
        <w:rPr>
          <w:rFonts w:hint="eastAsia" w:ascii="宋体"/>
          <w:color w:val="auto"/>
          <w:sz w:val="24"/>
          <w:highlight w:val="none"/>
        </w:rPr>
        <w:t>6.存在少放、不放业绩、奖项等客观评审资料，减少自身竞争力情形的；</w:t>
      </w:r>
    </w:p>
    <w:p w14:paraId="786F16A8">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color w:val="auto"/>
          <w:sz w:val="24"/>
          <w:highlight w:val="none"/>
        </w:rPr>
      </w:pPr>
      <w:r>
        <w:rPr>
          <w:rFonts w:hint="eastAsia" w:ascii="宋体"/>
          <w:color w:val="auto"/>
          <w:sz w:val="24"/>
          <w:highlight w:val="none"/>
        </w:rPr>
        <w:t>7.存在行贿情形的;</w:t>
      </w:r>
    </w:p>
    <w:p w14:paraId="0A9137FD">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color w:val="auto"/>
          <w:sz w:val="24"/>
          <w:highlight w:val="none"/>
        </w:rPr>
      </w:pPr>
      <w:r>
        <w:rPr>
          <w:rFonts w:hint="eastAsia" w:ascii="宋体"/>
          <w:color w:val="auto"/>
          <w:sz w:val="24"/>
          <w:highlight w:val="none"/>
        </w:rPr>
        <w:t>8.拖欠农民工工资的；</w:t>
      </w:r>
    </w:p>
    <w:p w14:paraId="153025B2">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color w:val="auto"/>
          <w:sz w:val="24"/>
          <w:highlight w:val="none"/>
        </w:rPr>
      </w:pPr>
      <w:r>
        <w:rPr>
          <w:rFonts w:hint="eastAsia" w:ascii="宋体"/>
          <w:color w:val="auto"/>
          <w:sz w:val="24"/>
          <w:highlight w:val="none"/>
        </w:rPr>
        <w:t>9.未按照国家、省、市有关建筑施工实名制管理和工人工资支付分账管理的规定执行，被行政监管部门处罚的；</w:t>
      </w:r>
    </w:p>
    <w:p w14:paraId="2ED41147">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color w:val="auto"/>
          <w:sz w:val="24"/>
          <w:highlight w:val="none"/>
        </w:rPr>
      </w:pPr>
      <w:r>
        <w:rPr>
          <w:rFonts w:hint="eastAsia" w:ascii="宋体"/>
          <w:color w:val="auto"/>
          <w:sz w:val="24"/>
          <w:highlight w:val="none"/>
        </w:rPr>
        <w:t>10.中标人在项目实施过程中选取的专业分包单位或劳务企业或劳务班组长与投标时不一致的（如有）；</w:t>
      </w:r>
    </w:p>
    <w:p w14:paraId="1974FB4C">
      <w:pPr>
        <w:keepNext w:val="0"/>
        <w:keepLines w:val="0"/>
        <w:pageBreakBefore w:val="0"/>
        <w:kinsoku/>
        <w:wordWrap/>
        <w:overflowPunct/>
        <w:topLinePunct w:val="0"/>
        <w:autoSpaceDE/>
        <w:autoSpaceDN/>
        <w:bidi w:val="0"/>
        <w:adjustRightInd/>
        <w:spacing w:line="360" w:lineRule="auto"/>
        <w:ind w:firstLine="537" w:firstLineChars="224"/>
        <w:textAlignment w:val="auto"/>
        <w:rPr>
          <w:rFonts w:ascii="宋体"/>
          <w:color w:val="auto"/>
          <w:sz w:val="24"/>
          <w:highlight w:val="none"/>
        </w:rPr>
      </w:pPr>
      <w:r>
        <w:rPr>
          <w:rFonts w:hint="eastAsia" w:ascii="宋体"/>
          <w:color w:val="auto"/>
          <w:sz w:val="24"/>
          <w:highlight w:val="none"/>
        </w:rPr>
        <w:t>11.其他(由招标人依法添加)。</w:t>
      </w:r>
    </w:p>
    <w:p w14:paraId="723258D3">
      <w:pPr>
        <w:keepNext w:val="0"/>
        <w:keepLines w:val="0"/>
        <w:pageBreakBefore w:val="0"/>
        <w:kinsoku/>
        <w:wordWrap/>
        <w:overflowPunct/>
        <w:topLinePunct w:val="0"/>
        <w:autoSpaceDE/>
        <w:autoSpaceDN/>
        <w:bidi w:val="0"/>
        <w:adjustRightInd/>
        <w:spacing w:line="360" w:lineRule="auto"/>
        <w:ind w:firstLine="537" w:firstLineChars="224"/>
        <w:textAlignment w:val="auto"/>
        <w:rPr>
          <w:rFonts w:ascii="宋体"/>
          <w:color w:val="auto"/>
          <w:sz w:val="24"/>
          <w:highlight w:val="none"/>
        </w:rPr>
      </w:pPr>
    </w:p>
    <w:p w14:paraId="4DC797B1">
      <w:pPr>
        <w:keepNext w:val="0"/>
        <w:keepLines w:val="0"/>
        <w:pageBreakBefore w:val="0"/>
        <w:widowControl w:val="0"/>
        <w:kinsoku/>
        <w:wordWrap/>
        <w:overflowPunct/>
        <w:topLinePunct w:val="0"/>
        <w:autoSpaceDE/>
        <w:autoSpaceDN/>
        <w:bidi w:val="0"/>
        <w:adjustRightInd/>
        <w:snapToGrid/>
        <w:spacing w:line="360" w:lineRule="auto"/>
        <w:ind w:right="0" w:rightChars="0" w:firstLine="4320" w:firstLineChars="18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招标人：</w:t>
      </w:r>
      <w:r>
        <w:rPr>
          <w:rFonts w:hint="eastAsia" w:ascii="宋体" w:hAnsi="宋体" w:cs="宋体"/>
          <w:color w:val="auto"/>
          <w:sz w:val="24"/>
          <w:szCs w:val="24"/>
          <w:highlight w:val="none"/>
          <w:lang w:eastAsia="zh-CN"/>
        </w:rPr>
        <w:t>广州市广园市政建设有限公司</w:t>
      </w:r>
    </w:p>
    <w:p w14:paraId="085A5426">
      <w:pPr>
        <w:keepNext w:val="0"/>
        <w:keepLines w:val="0"/>
        <w:pageBreakBefore w:val="0"/>
        <w:widowControl w:val="0"/>
        <w:kinsoku/>
        <w:wordWrap/>
        <w:overflowPunct/>
        <w:topLinePunct w:val="0"/>
        <w:autoSpaceDE/>
        <w:autoSpaceDN/>
        <w:bidi w:val="0"/>
        <w:adjustRightInd/>
        <w:snapToGrid/>
        <w:spacing w:line="360" w:lineRule="auto"/>
        <w:ind w:right="0" w:rightChars="0" w:firstLine="4320" w:firstLineChars="1800"/>
        <w:jc w:val="left"/>
        <w:textAlignment w:val="auto"/>
        <w:rPr>
          <w:rFonts w:hint="eastAsia" w:ascii="宋体" w:eastAsia="宋体"/>
          <w:color w:val="auto"/>
          <w:sz w:val="24"/>
          <w:highlight w:val="none"/>
          <w:lang w:eastAsia="zh-CN"/>
        </w:rPr>
      </w:pPr>
      <w:r>
        <w:rPr>
          <w:rFonts w:hint="eastAsia" w:ascii="宋体" w:hAnsi="宋体" w:cs="宋体"/>
          <w:color w:val="auto"/>
          <w:sz w:val="24"/>
          <w:szCs w:val="24"/>
          <w:highlight w:val="none"/>
        </w:rPr>
        <w:t>招标代理：</w:t>
      </w:r>
      <w:r>
        <w:rPr>
          <w:rFonts w:hint="eastAsia" w:ascii="宋体" w:hAnsi="宋体" w:cs="宋体"/>
          <w:color w:val="auto"/>
          <w:sz w:val="24"/>
          <w:szCs w:val="24"/>
          <w:highlight w:val="none"/>
          <w:lang w:eastAsia="zh-CN"/>
        </w:rPr>
        <w:t>广州市广园工程技术咨询有限公司</w:t>
      </w:r>
    </w:p>
    <w:p w14:paraId="4DA2048C">
      <w:pPr>
        <w:keepNext w:val="0"/>
        <w:keepLines w:val="0"/>
        <w:pageBreakBefore w:val="0"/>
        <w:widowControl w:val="0"/>
        <w:kinsoku/>
        <w:wordWrap/>
        <w:overflowPunct/>
        <w:topLinePunct w:val="0"/>
        <w:autoSpaceDE/>
        <w:autoSpaceDN/>
        <w:bidi w:val="0"/>
        <w:adjustRightInd/>
        <w:snapToGrid/>
        <w:spacing w:line="360" w:lineRule="auto"/>
        <w:ind w:right="0" w:rightChars="0" w:firstLine="4320" w:firstLineChars="1800"/>
        <w:jc w:val="both"/>
        <w:textAlignment w:val="auto"/>
        <w:rPr>
          <w:rFonts w:ascii="宋体"/>
          <w:color w:val="auto"/>
          <w:sz w:val="24"/>
          <w:highlight w:val="none"/>
        </w:rPr>
      </w:pPr>
      <w:r>
        <w:rPr>
          <w:rFonts w:hint="eastAsia" w:ascii="宋体" w:hAnsi="宋体"/>
          <w:color w:val="auto"/>
          <w:sz w:val="24"/>
          <w:highlight w:val="none"/>
          <w:u w:val="single"/>
          <w:lang w:val="en-US" w:eastAsia="zh-CN"/>
        </w:rPr>
        <w:t>2025</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p>
    <w:p w14:paraId="502BD63E">
      <w:pPr>
        <w:keepNext w:val="0"/>
        <w:keepLines w:val="0"/>
        <w:pageBreakBefore w:val="0"/>
        <w:kinsoku/>
        <w:wordWrap/>
        <w:overflowPunct/>
        <w:topLinePunct w:val="0"/>
        <w:autoSpaceDE/>
        <w:autoSpaceDN/>
        <w:bidi w:val="0"/>
        <w:adjustRightInd/>
        <w:spacing w:line="360" w:lineRule="auto"/>
        <w:ind w:firstLine="537" w:firstLineChars="224"/>
        <w:textAlignment w:val="auto"/>
        <w:rPr>
          <w:rFonts w:ascii="宋体"/>
          <w:color w:val="auto"/>
          <w:sz w:val="24"/>
          <w:highlight w:val="none"/>
        </w:rPr>
        <w:sectPr>
          <w:footerReference r:id="rId3" w:type="default"/>
          <w:endnotePr>
            <w:numFmt w:val="decimal"/>
          </w:endnotePr>
          <w:pgSz w:w="11906" w:h="16838"/>
          <w:pgMar w:top="1270" w:right="1134" w:bottom="1270" w:left="1134" w:header="851" w:footer="992" w:gutter="0"/>
          <w:pgNumType w:fmt="decimal" w:start="1"/>
          <w:cols w:space="425" w:num="1"/>
          <w:docGrid w:type="lines" w:linePitch="312" w:charSpace="0"/>
        </w:sectPr>
      </w:pPr>
    </w:p>
    <w:p w14:paraId="365C5A57">
      <w:pPr>
        <w:spacing w:line="360" w:lineRule="auto"/>
        <w:rPr>
          <w:b/>
          <w:color w:val="auto"/>
          <w:sz w:val="44"/>
          <w:highlight w:val="none"/>
        </w:rPr>
      </w:pPr>
      <w:r>
        <w:rPr>
          <w:rFonts w:hint="eastAsia" w:ascii="宋体" w:hAnsi="宋体"/>
          <w:color w:val="auto"/>
          <w:sz w:val="24"/>
          <w:highlight w:val="none"/>
        </w:rPr>
        <w:t>附件一：</w:t>
      </w:r>
    </w:p>
    <w:p w14:paraId="0AE54C26">
      <w:pPr>
        <w:spacing w:line="360" w:lineRule="auto"/>
        <w:rPr>
          <w:b/>
          <w:color w:val="auto"/>
          <w:sz w:val="44"/>
          <w:highlight w:val="none"/>
        </w:rPr>
      </w:pPr>
    </w:p>
    <w:p w14:paraId="6648508D">
      <w:pPr>
        <w:jc w:val="center"/>
        <w:rPr>
          <w:b/>
          <w:color w:val="auto"/>
          <w:sz w:val="44"/>
          <w:szCs w:val="44"/>
          <w:highlight w:val="none"/>
        </w:rPr>
      </w:pPr>
      <w:r>
        <w:rPr>
          <w:rFonts w:hint="eastAsia"/>
          <w:b/>
          <w:color w:val="auto"/>
          <w:kern w:val="0"/>
          <w:sz w:val="44"/>
          <w:szCs w:val="44"/>
          <w:highlight w:val="none"/>
        </w:rPr>
        <w:t>投标人</w:t>
      </w:r>
      <w:r>
        <w:rPr>
          <w:rFonts w:hint="eastAsia"/>
          <w:b/>
          <w:color w:val="auto"/>
          <w:sz w:val="44"/>
          <w:szCs w:val="44"/>
          <w:highlight w:val="none"/>
        </w:rPr>
        <w:t>声明</w:t>
      </w:r>
    </w:p>
    <w:p w14:paraId="4A4BB1F9">
      <w:pPr>
        <w:jc w:val="center"/>
        <w:rPr>
          <w:b/>
          <w:color w:val="auto"/>
          <w:sz w:val="44"/>
          <w:szCs w:val="44"/>
          <w:highlight w:val="none"/>
        </w:rPr>
      </w:pPr>
    </w:p>
    <w:p w14:paraId="2F8904EF">
      <w:pPr>
        <w:pStyle w:val="97"/>
        <w:keepNext w:val="0"/>
        <w:keepLines w:val="0"/>
        <w:pageBreakBefore w:val="0"/>
        <w:kinsoku/>
        <w:wordWrap/>
        <w:overflowPunct/>
        <w:topLinePunct w:val="0"/>
        <w:autoSpaceDE/>
        <w:autoSpaceDN/>
        <w:bidi w:val="0"/>
        <w:adjustRightInd/>
        <w:spacing w:line="360" w:lineRule="auto"/>
        <w:ind w:firstLine="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本招标项目招标人及招标监管机构：</w:t>
      </w:r>
    </w:p>
    <w:p w14:paraId="49C4F5BA">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本公司就参加</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eastAsia="zh-CN"/>
        </w:rPr>
        <w:t>沙太路改造（北环-金盘岭隧道）工程（第三标段）施工总承包</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投标工作，作出郑重声明：</w:t>
      </w:r>
    </w:p>
    <w:p w14:paraId="3B685CA9">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一、本公司保证投标文件及其后提供的一切材料都是真实</w:t>
      </w:r>
      <w:r>
        <w:rPr>
          <w:rFonts w:hint="eastAsia" w:ascii="宋体" w:hAnsi="宋体" w:eastAsia="宋体"/>
          <w:color w:val="auto"/>
          <w:sz w:val="24"/>
          <w:szCs w:val="24"/>
          <w:highlight w:val="none"/>
          <w:lang w:eastAsia="zh-CN"/>
        </w:rPr>
        <w:t>的</w:t>
      </w:r>
      <w:r>
        <w:rPr>
          <w:rFonts w:hint="eastAsia" w:ascii="宋体" w:hAnsi="宋体" w:eastAsia="宋体"/>
          <w:color w:val="auto"/>
          <w:sz w:val="24"/>
          <w:szCs w:val="24"/>
          <w:highlight w:val="none"/>
        </w:rPr>
        <w:t>、完整的</w:t>
      </w:r>
      <w:r>
        <w:rPr>
          <w:rFonts w:hint="eastAsia" w:ascii="宋体" w:hAnsi="宋体" w:eastAsia="宋体"/>
          <w:color w:val="auto"/>
          <w:sz w:val="24"/>
          <w:szCs w:val="24"/>
          <w:highlight w:val="none"/>
          <w:lang w:eastAsia="zh-CN"/>
        </w:rPr>
        <w:t>、合法的。</w:t>
      </w:r>
      <w:r>
        <w:rPr>
          <w:rFonts w:hint="eastAsia" w:ascii="宋体" w:hAnsi="宋体" w:eastAsia="宋体"/>
          <w:color w:val="auto"/>
          <w:sz w:val="24"/>
          <w:szCs w:val="24"/>
          <w:highlight w:val="none"/>
        </w:rPr>
        <w:t>如我司成为本项目中标候选人，我司同意并授权招标人将我司投标文件商务部分的人员、业绩、奖项等资料进行公开。</w:t>
      </w:r>
    </w:p>
    <w:p w14:paraId="5FF2C4A6">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72F5F861">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三、本公司不存在下列情形之一：</w:t>
      </w:r>
    </w:p>
    <w:p w14:paraId="6140E784">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（一）为招标人不具有独立法人资格的附属机构（单位）；</w:t>
      </w:r>
    </w:p>
    <w:p w14:paraId="1F9C5F12">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（二）为本标段前期准备提供设计或咨询服务或者与本项目设计人或提供咨询服务的机构存在附属关系的；</w:t>
      </w:r>
    </w:p>
    <w:p w14:paraId="6704C22B">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（三）为本标段监理人或者与本标段监理人存在隶属关系或者其他利害关系；</w:t>
      </w:r>
    </w:p>
    <w:p w14:paraId="42FDE582">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（四）为本标段的代建人；</w:t>
      </w:r>
    </w:p>
    <w:p w14:paraId="51A46109">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（五）为本标段提供招标代理服务的；</w:t>
      </w:r>
    </w:p>
    <w:p w14:paraId="07D3114F">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（六）与本标段的监理人或代建人或招标代理机构同为一个法定代表人的；</w:t>
      </w:r>
    </w:p>
    <w:p w14:paraId="67BE6599">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（七）与本标段的监理人或代建人或招标代理机构互相控股或参股的；</w:t>
      </w:r>
    </w:p>
    <w:p w14:paraId="239A20D7">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（八）与本标段的监理人或代建人或招标代理机构相互任职或工作的；</w:t>
      </w:r>
    </w:p>
    <w:p w14:paraId="27CC4C01">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（九）与本标段的检测机构有隶属关系或者其他利害关系；</w:t>
      </w:r>
    </w:p>
    <w:p w14:paraId="03795DEF">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（十）与招标人存在利害关系且可能影响招标公正性； </w:t>
      </w:r>
    </w:p>
    <w:p w14:paraId="5AA2B1D1">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（十一）被依法暂停或取消投标资格的；（</w:t>
      </w:r>
      <w:r>
        <w:rPr>
          <w:rFonts w:hint="eastAsia" w:ascii="宋体" w:hAnsi="宋体" w:eastAsia="宋体"/>
          <w:color w:val="auto"/>
          <w:sz w:val="24"/>
          <w:szCs w:val="24"/>
          <w:highlight w:val="none"/>
          <w:lang w:val="zh-CN"/>
        </w:rPr>
        <w:t>本项事实应当以根据《中华人民共和国行政处罚法》依法作出并已经生效的行政处罚决定为认定依据。行政处罚决定中已经明确的暂停或取消投标资格的区域范围不包含本标段建设地点的，</w:t>
      </w:r>
      <w:r>
        <w:rPr>
          <w:rStyle w:val="44"/>
          <w:rFonts w:hint="eastAsia" w:ascii="宋体" w:hAnsi="宋体" w:eastAsia="宋体"/>
          <w:color w:val="auto"/>
          <w:kern w:val="2"/>
          <w:sz w:val="24"/>
          <w:szCs w:val="24"/>
          <w:highlight w:val="none"/>
        </w:rPr>
        <w:t>或者已过处罚期限的，</w:t>
      </w:r>
      <w:r>
        <w:rPr>
          <w:rFonts w:hint="eastAsia" w:ascii="宋体" w:hAnsi="宋体" w:eastAsia="宋体"/>
          <w:color w:val="auto"/>
          <w:sz w:val="24"/>
          <w:szCs w:val="24"/>
          <w:highlight w:val="none"/>
          <w:lang w:val="zh-CN"/>
        </w:rPr>
        <w:t>不受该项规定限制</w:t>
      </w:r>
      <w:r>
        <w:rPr>
          <w:rFonts w:hint="eastAsia" w:ascii="宋体" w:hAnsi="宋体" w:eastAsia="宋体"/>
          <w:color w:val="auto"/>
          <w:sz w:val="24"/>
          <w:szCs w:val="24"/>
          <w:highlight w:val="none"/>
        </w:rPr>
        <w:t xml:space="preserve">） </w:t>
      </w:r>
    </w:p>
    <w:p w14:paraId="00998779">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（十二）被责令停产停业、暂扣或者吊销许可证、暂扣或者吊销执照的（</w:t>
      </w:r>
      <w:r>
        <w:rPr>
          <w:rFonts w:hint="eastAsia" w:ascii="宋体" w:hAnsi="宋体" w:eastAsia="宋体"/>
          <w:color w:val="auto"/>
          <w:sz w:val="24"/>
          <w:szCs w:val="24"/>
          <w:highlight w:val="none"/>
          <w:lang w:val="zh-CN"/>
        </w:rPr>
        <w:t>本项事实应当以根据《中华人民共和国行政处罚法》依法作出并已经生效的行政处罚决定为认定依据。</w:t>
      </w:r>
      <w:r>
        <w:rPr>
          <w:rFonts w:hint="eastAsia" w:ascii="宋体" w:hAnsi="宋体" w:eastAsia="宋体"/>
          <w:color w:val="auto"/>
          <w:sz w:val="24"/>
          <w:szCs w:val="24"/>
          <w:highlight w:val="none"/>
        </w:rPr>
        <w:t>）；</w:t>
      </w:r>
    </w:p>
    <w:p w14:paraId="5E975CEF">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（十三）进入清算程序，或被宣布破产，或其他丧失履约能力的情形；</w:t>
      </w:r>
    </w:p>
    <w:p w14:paraId="56B649BC">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（十四）在最近三年内有严重违约或重大工程质量问题的；（</w:t>
      </w:r>
      <w:r>
        <w:rPr>
          <w:rFonts w:hint="eastAsia" w:ascii="宋体" w:hAnsi="宋体" w:eastAsia="宋体"/>
          <w:color w:val="auto"/>
          <w:sz w:val="24"/>
          <w:szCs w:val="24"/>
          <w:highlight w:val="none"/>
          <w:lang w:val="zh-CN"/>
        </w:rPr>
        <w:t>“严重违约”事实应当以</w:t>
      </w:r>
      <w:r>
        <w:rPr>
          <w:rFonts w:hint="eastAsia" w:ascii="宋体" w:hAnsi="宋体" w:eastAsia="宋体"/>
          <w:color w:val="auto"/>
          <w:sz w:val="24"/>
          <w:szCs w:val="24"/>
          <w:highlight w:val="none"/>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r>
        <w:rPr>
          <w:rFonts w:hint="eastAsia" w:ascii="宋体" w:hAnsi="宋体" w:eastAsia="宋体"/>
          <w:color w:val="auto"/>
          <w:sz w:val="24"/>
          <w:szCs w:val="24"/>
          <w:highlight w:val="none"/>
          <w:lang w:eastAsia="zh-CN"/>
        </w:rPr>
        <w:t>；</w:t>
      </w:r>
    </w:p>
    <w:p w14:paraId="01CA48C7">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（十五）法律法规规定的其他情形。</w:t>
      </w:r>
    </w:p>
    <w:p w14:paraId="63F88AE3">
      <w:pPr>
        <w:pStyle w:val="97"/>
        <w:keepNext w:val="0"/>
        <w:keepLines w:val="0"/>
        <w:pageBreakBefore w:val="0"/>
        <w:numPr>
          <w:ilvl w:val="255"/>
          <w:numId w:val="0"/>
        </w:numPr>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四、本公司保证：本项目拟派的项目负责人没有在其他在建项目中任施工单位项目负责人。</w:t>
      </w:r>
    </w:p>
    <w:p w14:paraId="588124D5">
      <w:pPr>
        <w:pStyle w:val="97"/>
        <w:keepNext w:val="0"/>
        <w:keepLines w:val="0"/>
        <w:pageBreakBefore w:val="0"/>
        <w:numPr>
          <w:ilvl w:val="255"/>
          <w:numId w:val="0"/>
        </w:numPr>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0758D042">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0CDCBF39">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14:paraId="57CB754A">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八、与本公司单位负责人为同一人或者与本公司存在控股、管理关系的其他单位包括：</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。（注：本条由投标人如实填写，如有，应列出全部满足招标公告资质要求的相关单位的名称；如无，则填写“无”。）</w:t>
      </w:r>
    </w:p>
    <w:p w14:paraId="10635DA7">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14:paraId="29A7C096">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十、本公司承诺，中标后将按招标人要求，积极响应广州市关于投身“百千万工程”的号召，主动参与建筑业结对帮扶</w:t>
      </w:r>
      <w:r>
        <w:rPr>
          <w:rFonts w:hint="eastAsia" w:ascii="宋体" w:hAnsi="宋体" w:eastAsia="宋体"/>
          <w:color w:val="auto"/>
          <w:sz w:val="24"/>
          <w:szCs w:val="24"/>
          <w:highlight w:val="none"/>
          <w:lang w:eastAsia="zh-CN"/>
        </w:rPr>
        <w:t>。</w:t>
      </w:r>
    </w:p>
    <w:p w14:paraId="6BA13886">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eastAsia="zh-CN"/>
        </w:rPr>
        <w:t>十一、</w:t>
      </w:r>
      <w:r>
        <w:rPr>
          <w:rFonts w:hint="eastAsia" w:ascii="宋体" w:hAnsi="宋体" w:eastAsia="宋体"/>
          <w:color w:val="auto"/>
          <w:sz w:val="24"/>
          <w:szCs w:val="24"/>
          <w:highlight w:val="none"/>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6DBD0A4D">
      <w:pPr>
        <w:pStyle w:val="97"/>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十二、本公司承诺，中标后</w:t>
      </w:r>
      <w:r>
        <w:rPr>
          <w:rFonts w:hint="eastAsia" w:ascii="宋体" w:hAnsi="宋体" w:eastAsia="宋体"/>
          <w:color w:val="auto"/>
          <w:sz w:val="24"/>
          <w:szCs w:val="24"/>
          <w:highlight w:val="none"/>
          <w:lang w:val="en-US" w:eastAsia="zh-CN"/>
        </w:rPr>
        <w:t>不委托近两年因伪造检测数据、出具虚假检测报告被各级建设行政主管部门或市场监督管理部门行政处罚或通报的检测单位负责本项目的检测工作</w:t>
      </w:r>
      <w:r>
        <w:rPr>
          <w:rFonts w:hint="eastAsia" w:ascii="宋体" w:hAnsi="宋体" w:eastAsia="宋体"/>
          <w:color w:val="auto"/>
          <w:sz w:val="24"/>
          <w:szCs w:val="24"/>
          <w:highlight w:val="none"/>
          <w:lang w:eastAsia="zh-CN"/>
        </w:rPr>
        <w:t>。</w:t>
      </w:r>
    </w:p>
    <w:p w14:paraId="34DDB2FE">
      <w:pPr>
        <w:pStyle w:val="97"/>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十</w:t>
      </w:r>
      <w:r>
        <w:rPr>
          <w:rFonts w:hint="eastAsia" w:ascii="宋体" w:hAnsi="宋体" w:eastAsia="宋体"/>
          <w:color w:val="auto"/>
          <w:sz w:val="24"/>
          <w:szCs w:val="24"/>
          <w:highlight w:val="none"/>
          <w:lang w:eastAsia="zh-CN"/>
        </w:rPr>
        <w:t>三</w:t>
      </w:r>
      <w:r>
        <w:rPr>
          <w:rFonts w:hint="eastAsia" w:ascii="宋体" w:hAnsi="宋体" w:eastAsia="宋体"/>
          <w:color w:val="auto"/>
          <w:sz w:val="24"/>
          <w:szCs w:val="24"/>
          <w:highlight w:val="none"/>
        </w:rPr>
        <w:t>、</w:t>
      </w:r>
      <w:r>
        <w:rPr>
          <w:rFonts w:hint="eastAsia" w:ascii="宋体" w:hAnsi="宋体" w:eastAsia="宋体" w:cs="宋体"/>
          <w:color w:val="auto"/>
          <w:sz w:val="24"/>
          <w:szCs w:val="24"/>
          <w:highlight w:val="none"/>
        </w:rPr>
        <w:t>本公司违反上述承诺，或本声明陈述与事实不符，经查实，本公司愿意接受公开通报，</w:t>
      </w:r>
      <w:r>
        <w:rPr>
          <w:rFonts w:hint="eastAsia" w:ascii="宋体" w:hAnsi="宋体" w:eastAsia="宋体" w:cs="宋体"/>
          <w:b/>
          <w:bCs/>
          <w:color w:val="auto"/>
          <w:sz w:val="24"/>
          <w:szCs w:val="24"/>
          <w:highlight w:val="none"/>
        </w:rPr>
        <w:t>愿意按照广州市交通运输局有关信用</w:t>
      </w:r>
      <w:r>
        <w:rPr>
          <w:rFonts w:hint="eastAsia" w:ascii="宋体" w:hAnsi="宋体" w:eastAsia="宋体" w:cs="宋体"/>
          <w:b/>
          <w:bCs/>
          <w:color w:val="auto"/>
          <w:sz w:val="24"/>
          <w:szCs w:val="24"/>
          <w:highlight w:val="none"/>
          <w:lang w:eastAsia="zh-CN"/>
        </w:rPr>
        <w:t>评价管理</w:t>
      </w:r>
      <w:r>
        <w:rPr>
          <w:rFonts w:hint="eastAsia" w:ascii="宋体" w:hAnsi="宋体" w:eastAsia="宋体" w:cs="宋体"/>
          <w:b/>
          <w:bCs/>
          <w:color w:val="auto"/>
          <w:sz w:val="24"/>
          <w:szCs w:val="24"/>
          <w:highlight w:val="none"/>
        </w:rPr>
        <w:t>有关规定，被记录为“不良</w:t>
      </w:r>
      <w:r>
        <w:rPr>
          <w:rFonts w:hint="eastAsia" w:ascii="宋体" w:hAnsi="宋体" w:eastAsia="宋体" w:cs="宋体"/>
          <w:b/>
          <w:bCs/>
          <w:color w:val="auto"/>
          <w:sz w:val="24"/>
          <w:szCs w:val="24"/>
          <w:highlight w:val="none"/>
          <w:lang w:eastAsia="zh-CN"/>
        </w:rPr>
        <w:t>交易行为</w:t>
      </w:r>
      <w:r>
        <w:rPr>
          <w:rFonts w:hint="eastAsia" w:ascii="宋体" w:hAnsi="宋体" w:eastAsia="宋体" w:cs="宋体"/>
          <w:b/>
          <w:bCs/>
          <w:color w:val="auto"/>
          <w:sz w:val="24"/>
          <w:szCs w:val="24"/>
          <w:highlight w:val="none"/>
        </w:rPr>
        <w:t>信息”</w:t>
      </w:r>
      <w:r>
        <w:rPr>
          <w:rFonts w:hint="eastAsia" w:ascii="宋体" w:hAnsi="宋体" w:eastAsia="宋体" w:cs="宋体"/>
          <w:color w:val="auto"/>
          <w:sz w:val="24"/>
          <w:szCs w:val="24"/>
          <w:highlight w:val="none"/>
        </w:rPr>
        <w:t>，承担由此带来的法律后果</w:t>
      </w:r>
      <w:r>
        <w:rPr>
          <w:rFonts w:hint="eastAsia" w:ascii="宋体" w:hAnsi="宋体" w:eastAsia="宋体"/>
          <w:color w:val="auto"/>
          <w:sz w:val="24"/>
          <w:szCs w:val="24"/>
          <w:highlight w:val="none"/>
        </w:rPr>
        <w:t>。</w:t>
      </w:r>
    </w:p>
    <w:p w14:paraId="20E606D2">
      <w:pPr>
        <w:pStyle w:val="97"/>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特此声明</w:t>
      </w:r>
    </w:p>
    <w:p w14:paraId="33A54893">
      <w:pPr>
        <w:pStyle w:val="97"/>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4"/>
          <w:szCs w:val="24"/>
          <w:highlight w:val="none"/>
        </w:rPr>
      </w:pPr>
    </w:p>
    <w:p w14:paraId="1DE0B050">
      <w:pPr>
        <w:pStyle w:val="97"/>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4"/>
          <w:szCs w:val="24"/>
          <w:highlight w:val="none"/>
        </w:rPr>
      </w:pPr>
    </w:p>
    <w:p w14:paraId="0FCF12D5">
      <w:pPr>
        <w:pStyle w:val="99"/>
        <w:keepNext w:val="0"/>
        <w:keepLines w:val="0"/>
        <w:pageBreakBefore w:val="0"/>
        <w:kinsoku/>
        <w:wordWrap/>
        <w:overflowPunct/>
        <w:topLinePunct w:val="0"/>
        <w:autoSpaceDE/>
        <w:autoSpaceDN/>
        <w:bidi w:val="0"/>
        <w:adjustRightInd/>
        <w:spacing w:line="360" w:lineRule="auto"/>
        <w:ind w:left="629" w:right="1449"/>
        <w:jc w:val="both"/>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声明企业：</w:t>
      </w:r>
    </w:p>
    <w:p w14:paraId="7F1F7CE2">
      <w:pPr>
        <w:pStyle w:val="97"/>
        <w:keepNext w:val="0"/>
        <w:keepLines w:val="0"/>
        <w:pageBreakBefore w:val="0"/>
        <w:kinsoku/>
        <w:wordWrap/>
        <w:overflowPunct/>
        <w:topLinePunct w:val="0"/>
        <w:autoSpaceDE/>
        <w:autoSpaceDN/>
        <w:bidi w:val="0"/>
        <w:adjustRightInd/>
        <w:spacing w:line="360" w:lineRule="auto"/>
        <w:ind w:right="1179" w:firstLine="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法定代表人或授权代理人签字：</w:t>
      </w:r>
    </w:p>
    <w:p w14:paraId="3F85F394">
      <w:pPr>
        <w:pStyle w:val="97"/>
        <w:keepNext w:val="0"/>
        <w:keepLines w:val="0"/>
        <w:pageBreakBefore w:val="0"/>
        <w:kinsoku/>
        <w:wordWrap/>
        <w:overflowPunct/>
        <w:topLinePunct w:val="0"/>
        <w:autoSpaceDE/>
        <w:autoSpaceDN/>
        <w:bidi w:val="0"/>
        <w:adjustRightInd/>
        <w:spacing w:line="360" w:lineRule="auto"/>
        <w:ind w:right="1179" w:firstLine="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项目负责人签字:</w:t>
      </w:r>
    </w:p>
    <w:p w14:paraId="7CCB1F01">
      <w:pPr>
        <w:pStyle w:val="97"/>
        <w:keepNext w:val="0"/>
        <w:keepLines w:val="0"/>
        <w:pageBreakBefore w:val="0"/>
        <w:kinsoku/>
        <w:wordWrap/>
        <w:overflowPunct/>
        <w:topLinePunct w:val="0"/>
        <w:autoSpaceDE/>
        <w:autoSpaceDN/>
        <w:bidi w:val="0"/>
        <w:adjustRightInd/>
        <w:spacing w:line="360" w:lineRule="auto"/>
        <w:ind w:right="879" w:firstLine="2160" w:firstLineChars="900"/>
        <w:jc w:val="lef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技术负责人签字：</w:t>
      </w:r>
    </w:p>
    <w:p w14:paraId="0A316418">
      <w:pPr>
        <w:pStyle w:val="97"/>
        <w:keepNext w:val="0"/>
        <w:keepLines w:val="0"/>
        <w:pageBreakBefore w:val="0"/>
        <w:kinsoku/>
        <w:wordWrap/>
        <w:overflowPunct/>
        <w:topLinePunct w:val="0"/>
        <w:autoSpaceDE/>
        <w:autoSpaceDN/>
        <w:bidi w:val="0"/>
        <w:adjustRightInd/>
        <w:spacing w:line="360" w:lineRule="auto"/>
        <w:ind w:right="879" w:firstLine="2160" w:firstLineChars="900"/>
        <w:jc w:val="righ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年</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月</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日</w:t>
      </w:r>
    </w:p>
    <w:p w14:paraId="3789E18E">
      <w:pPr>
        <w:keepNext w:val="0"/>
        <w:keepLines w:val="0"/>
        <w:pageBreakBefore w:val="0"/>
        <w:kinsoku/>
        <w:wordWrap/>
        <w:overflowPunct/>
        <w:topLinePunct w:val="0"/>
        <w:autoSpaceDE/>
        <w:autoSpaceDN/>
        <w:bidi w:val="0"/>
        <w:adjustRightInd/>
        <w:spacing w:line="360" w:lineRule="auto"/>
        <w:textAlignment w:val="auto"/>
        <w:rPr>
          <w:rFonts w:asci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kern w:val="0"/>
          <w:sz w:val="24"/>
          <w:szCs w:val="24"/>
          <w:highlight w:val="none"/>
        </w:rPr>
        <w:t>（企业公章）</w:t>
      </w:r>
    </w:p>
    <w:p w14:paraId="7F768E5D">
      <w:pPr>
        <w:keepNext w:val="0"/>
        <w:keepLines w:val="0"/>
        <w:pageBreakBefore w:val="0"/>
        <w:widowControl/>
        <w:kinsoku/>
        <w:wordWrap/>
        <w:overflowPunct/>
        <w:topLinePunct w:val="0"/>
        <w:autoSpaceDE/>
        <w:autoSpaceDN/>
        <w:bidi w:val="0"/>
        <w:adjustRightInd/>
        <w:snapToGrid w:val="0"/>
        <w:spacing w:line="360" w:lineRule="auto"/>
        <w:ind w:right="102"/>
        <w:jc w:val="left"/>
        <w:textAlignment w:val="auto"/>
        <w:rPr>
          <w:rFonts w:ascii="宋体" w:hAnsi="宋体"/>
          <w:color w:val="auto"/>
          <w:sz w:val="24"/>
          <w:szCs w:val="24"/>
          <w:highlight w:val="none"/>
        </w:rPr>
      </w:pPr>
      <w:r>
        <w:rPr>
          <w:rFonts w:hint="eastAsia" w:ascii="宋体" w:hAnsi="宋体"/>
          <w:color w:val="auto"/>
          <w:sz w:val="24"/>
          <w:szCs w:val="24"/>
          <w:highlight w:val="none"/>
        </w:rPr>
        <w:t>注：招标人应当要求投标人的法定代表人或授权代理人、项目负责人、技术负责人签字。</w:t>
      </w:r>
    </w:p>
    <w:p w14:paraId="3616A0CA">
      <w:pPr>
        <w:rPr>
          <w:rFonts w:hint="eastAsia" w:ascii="宋体" w:hAnsi="宋体" w:eastAsia="宋体"/>
          <w:color w:val="auto"/>
          <w:sz w:val="24"/>
          <w:szCs w:val="24"/>
          <w:highlight w:val="none"/>
        </w:rPr>
      </w:pPr>
      <w:r>
        <w:rPr>
          <w:rFonts w:hint="eastAsia" w:ascii="宋体" w:hAnsi="宋体" w:eastAsia="宋体"/>
          <w:color w:val="auto"/>
          <w:sz w:val="24"/>
          <w:szCs w:val="24"/>
          <w:highlight w:val="none"/>
        </w:rPr>
        <w:br w:type="page"/>
      </w:r>
    </w:p>
    <w:p w14:paraId="4368ACE4">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附件</w:t>
      </w:r>
      <w:r>
        <w:rPr>
          <w:rFonts w:hint="eastAsia" w:ascii="宋体" w:hAnsi="宋体" w:eastAsia="宋体"/>
          <w:color w:val="auto"/>
          <w:sz w:val="24"/>
          <w:szCs w:val="24"/>
          <w:highlight w:val="none"/>
          <w:lang w:eastAsia="zh-CN"/>
        </w:rPr>
        <w:t>二：</w:t>
      </w:r>
    </w:p>
    <w:p w14:paraId="5D793049">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lang w:eastAsia="zh-CN"/>
        </w:rPr>
      </w:pPr>
    </w:p>
    <w:p w14:paraId="5B54E811">
      <w:pPr>
        <w:jc w:val="center"/>
        <w:rPr>
          <w:rFonts w:hint="eastAsia"/>
          <w:b/>
          <w:color w:val="auto"/>
          <w:kern w:val="0"/>
          <w:sz w:val="44"/>
          <w:szCs w:val="44"/>
          <w:highlight w:val="none"/>
        </w:rPr>
      </w:pPr>
      <w:r>
        <w:rPr>
          <w:rFonts w:hint="eastAsia"/>
          <w:b/>
          <w:color w:val="auto"/>
          <w:kern w:val="0"/>
          <w:sz w:val="44"/>
          <w:szCs w:val="44"/>
          <w:highlight w:val="none"/>
        </w:rPr>
        <w:t>评标委员会成员声明</w:t>
      </w:r>
    </w:p>
    <w:p w14:paraId="3976C92C">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本项目招标人：</w:t>
      </w:r>
    </w:p>
    <w:p w14:paraId="392D0E70">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本人就参与</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eastAsia="zh-CN"/>
        </w:rPr>
        <w:t>沙太路改造（北环-金盘岭隧道）工程（第三标段）施工总承包</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项目的评标工作，作出郑重声明：</w:t>
      </w:r>
    </w:p>
    <w:p w14:paraId="5390AC5D">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434D8811">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4DE3D4E5">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4F7D82BD">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110F83D9">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0A80556E">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如果本人违反上述声明内容，造成的后果由本人自行承担。</w:t>
      </w:r>
    </w:p>
    <w:p w14:paraId="45232CAC">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rPr>
      </w:pPr>
    </w:p>
    <w:p w14:paraId="3595A9D7">
      <w:pPr>
        <w:pStyle w:val="97"/>
        <w:spacing w:line="360" w:lineRule="auto"/>
        <w:ind w:firstLine="480" w:firstLineChars="200"/>
        <w:rPr>
          <w:color w:val="auto"/>
          <w:sz w:val="36"/>
          <w:highlight w:val="none"/>
          <w:u w:val="single"/>
        </w:rPr>
      </w:pPr>
      <w:r>
        <w:rPr>
          <w:rFonts w:hint="eastAsia" w:ascii="宋体" w:hAnsi="宋体" w:eastAsia="宋体"/>
          <w:color w:val="auto"/>
          <w:sz w:val="24"/>
          <w:szCs w:val="24"/>
          <w:highlight w:val="none"/>
        </w:rPr>
        <w:t xml:space="preserve">                             声明人：</w:t>
      </w:r>
      <w:r>
        <w:rPr>
          <w:rFonts w:hint="eastAsia" w:ascii="宋体" w:hAnsi="宋体" w:eastAsia="宋体"/>
          <w:color w:val="auto"/>
          <w:sz w:val="24"/>
          <w:szCs w:val="24"/>
          <w:highlight w:val="none"/>
          <w:u w:val="single"/>
        </w:rPr>
        <w:t xml:space="preserve">（签名）  </w:t>
      </w:r>
    </w:p>
    <w:p w14:paraId="45868894">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附件三：</w:t>
      </w:r>
    </w:p>
    <w:p w14:paraId="037224B8">
      <w:pPr>
        <w:pStyle w:val="97"/>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施工项目管理团队人员信息表</w:t>
      </w:r>
    </w:p>
    <w:tbl>
      <w:tblPr>
        <w:tblStyle w:val="36"/>
        <w:tblW w:w="7337" w:type="dxa"/>
        <w:jc w:val="center"/>
        <w:tblLayout w:type="fixed"/>
        <w:tblCellMar>
          <w:top w:w="0" w:type="dxa"/>
          <w:left w:w="0" w:type="dxa"/>
          <w:bottom w:w="0" w:type="dxa"/>
          <w:right w:w="0" w:type="dxa"/>
        </w:tblCellMar>
      </w:tblPr>
      <w:tblGrid>
        <w:gridCol w:w="642"/>
        <w:gridCol w:w="1261"/>
        <w:gridCol w:w="2306"/>
        <w:gridCol w:w="1447"/>
        <w:gridCol w:w="1681"/>
      </w:tblGrid>
      <w:tr w14:paraId="4AC81B5B">
        <w:tblPrEx>
          <w:tblCellMar>
            <w:top w:w="0" w:type="dxa"/>
            <w:left w:w="0" w:type="dxa"/>
            <w:bottom w:w="0" w:type="dxa"/>
            <w:right w:w="0" w:type="dxa"/>
          </w:tblCellMar>
        </w:tblPrEx>
        <w:trPr>
          <w:trHeight w:val="464" w:hRule="atLeast"/>
          <w:jc w:val="center"/>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C06D59">
            <w:pPr>
              <w:widowControl/>
              <w:adjustRightInd w:val="0"/>
              <w:snapToGrid w:val="0"/>
              <w:jc w:val="center"/>
              <w:textAlignment w:val="center"/>
              <w:rPr>
                <w:rFonts w:hint="eastAsia" w:ascii="宋体" w:hAnsi="宋体" w:cs="宋体"/>
                <w:b/>
                <w:color w:val="auto"/>
                <w:sz w:val="24"/>
                <w:szCs w:val="24"/>
                <w:highlight w:val="none"/>
              </w:rPr>
            </w:pPr>
            <w:r>
              <w:rPr>
                <w:rFonts w:hint="eastAsia" w:ascii="宋体" w:hAnsi="宋体" w:cs="宋体"/>
                <w:b/>
                <w:color w:val="auto"/>
                <w:kern w:val="0"/>
                <w:sz w:val="24"/>
                <w:szCs w:val="24"/>
                <w:highlight w:val="none"/>
                <w:lang w:bidi="ar"/>
              </w:rPr>
              <w:t>序号</w:t>
            </w:r>
          </w:p>
        </w:tc>
        <w:tc>
          <w:tcPr>
            <w:tcW w:w="1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36F712">
            <w:pPr>
              <w:widowControl/>
              <w:adjustRightInd w:val="0"/>
              <w:snapToGrid w:val="0"/>
              <w:jc w:val="center"/>
              <w:textAlignment w:val="center"/>
              <w:rPr>
                <w:rFonts w:hint="eastAsia" w:ascii="宋体" w:hAnsi="宋体" w:cs="宋体"/>
                <w:b/>
                <w:color w:val="auto"/>
                <w:sz w:val="24"/>
                <w:szCs w:val="24"/>
                <w:highlight w:val="none"/>
              </w:rPr>
            </w:pPr>
            <w:r>
              <w:rPr>
                <w:rFonts w:hint="eastAsia" w:ascii="宋体" w:hAnsi="宋体" w:cs="宋体"/>
                <w:b/>
                <w:color w:val="auto"/>
                <w:kern w:val="0"/>
                <w:sz w:val="24"/>
                <w:szCs w:val="24"/>
                <w:highlight w:val="none"/>
                <w:lang w:bidi="ar"/>
              </w:rPr>
              <w:t>姓名</w:t>
            </w:r>
          </w:p>
        </w:tc>
        <w:tc>
          <w:tcPr>
            <w:tcW w:w="2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935D94">
            <w:pPr>
              <w:widowControl/>
              <w:adjustRightInd w:val="0"/>
              <w:snapToGrid w:val="0"/>
              <w:jc w:val="center"/>
              <w:textAlignment w:val="center"/>
              <w:rPr>
                <w:rFonts w:hint="eastAsia" w:ascii="宋体" w:hAnsi="宋体" w:cs="宋体"/>
                <w:b/>
                <w:color w:val="auto"/>
                <w:sz w:val="24"/>
                <w:szCs w:val="24"/>
                <w:highlight w:val="none"/>
              </w:rPr>
            </w:pPr>
            <w:r>
              <w:rPr>
                <w:rFonts w:hint="eastAsia" w:ascii="宋体" w:hAnsi="宋体" w:cs="宋体"/>
                <w:b/>
                <w:color w:val="auto"/>
                <w:kern w:val="0"/>
                <w:sz w:val="24"/>
                <w:szCs w:val="24"/>
                <w:highlight w:val="none"/>
                <w:lang w:bidi="ar"/>
              </w:rPr>
              <w:t>岗位</w:t>
            </w:r>
          </w:p>
        </w:tc>
        <w:tc>
          <w:tcPr>
            <w:tcW w:w="1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479DD6">
            <w:pPr>
              <w:widowControl/>
              <w:adjustRightInd w:val="0"/>
              <w:snapToGrid w:val="0"/>
              <w:jc w:val="center"/>
              <w:textAlignment w:val="center"/>
              <w:rPr>
                <w:rFonts w:hint="eastAsia" w:ascii="宋体" w:hAnsi="宋体" w:cs="宋体"/>
                <w:b/>
                <w:color w:val="auto"/>
                <w:sz w:val="24"/>
                <w:szCs w:val="24"/>
                <w:highlight w:val="none"/>
              </w:rPr>
            </w:pPr>
            <w:r>
              <w:rPr>
                <w:rFonts w:hint="eastAsia" w:ascii="宋体" w:hAnsi="宋体" w:cs="宋体"/>
                <w:b/>
                <w:color w:val="auto"/>
                <w:kern w:val="0"/>
                <w:sz w:val="24"/>
                <w:szCs w:val="24"/>
                <w:highlight w:val="none"/>
                <w:lang w:bidi="ar"/>
              </w:rPr>
              <w:t>职称</w:t>
            </w:r>
          </w:p>
        </w:tc>
        <w:tc>
          <w:tcPr>
            <w:tcW w:w="16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9EE36D">
            <w:pPr>
              <w:widowControl/>
              <w:adjustRightInd w:val="0"/>
              <w:snapToGrid w:val="0"/>
              <w:jc w:val="center"/>
              <w:textAlignment w:val="center"/>
              <w:rPr>
                <w:rFonts w:hint="eastAsia" w:ascii="宋体" w:hAnsi="宋体" w:cs="宋体"/>
                <w:b/>
                <w:color w:val="auto"/>
                <w:sz w:val="24"/>
                <w:szCs w:val="24"/>
                <w:highlight w:val="none"/>
              </w:rPr>
            </w:pPr>
            <w:r>
              <w:rPr>
                <w:rFonts w:hint="eastAsia" w:ascii="宋体" w:hAnsi="宋体" w:cs="宋体"/>
                <w:b/>
                <w:color w:val="auto"/>
                <w:kern w:val="0"/>
                <w:sz w:val="24"/>
                <w:szCs w:val="24"/>
                <w:highlight w:val="none"/>
                <w:lang w:bidi="ar"/>
              </w:rPr>
              <w:t>职称证书或资格证书编号</w:t>
            </w:r>
          </w:p>
        </w:tc>
      </w:tr>
      <w:tr w14:paraId="3EF4C900">
        <w:tblPrEx>
          <w:tblCellMar>
            <w:top w:w="0" w:type="dxa"/>
            <w:left w:w="0" w:type="dxa"/>
            <w:bottom w:w="0" w:type="dxa"/>
            <w:right w:w="0" w:type="dxa"/>
          </w:tblCellMar>
        </w:tblPrEx>
        <w:trPr>
          <w:trHeight w:val="433" w:hRule="atLeast"/>
          <w:jc w:val="center"/>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0EF47D">
            <w:pPr>
              <w:widowControl/>
              <w:adjustRightInd w:val="0"/>
              <w:snapToGrid w:val="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p>
        </w:tc>
        <w:tc>
          <w:tcPr>
            <w:tcW w:w="1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160A02">
            <w:pPr>
              <w:widowControl/>
              <w:adjustRightInd w:val="0"/>
              <w:snapToGrid w:val="0"/>
              <w:jc w:val="center"/>
              <w:textAlignment w:val="center"/>
              <w:rPr>
                <w:rFonts w:hint="eastAsia" w:ascii="宋体" w:hAnsi="宋体" w:eastAsia="宋体" w:cs="宋体"/>
                <w:color w:val="auto"/>
                <w:kern w:val="0"/>
                <w:sz w:val="24"/>
                <w:szCs w:val="24"/>
                <w:highlight w:val="none"/>
                <w:lang w:bidi="ar"/>
              </w:rPr>
            </w:pPr>
          </w:p>
        </w:tc>
        <w:tc>
          <w:tcPr>
            <w:tcW w:w="2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2042B2">
            <w:pPr>
              <w:widowControl/>
              <w:adjustRightInd w:val="0"/>
              <w:snapToGrid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Cs w:val="21"/>
                <w:highlight w:val="none"/>
                <w:lang w:bidi="ar"/>
              </w:rPr>
              <w:t>项目</w:t>
            </w:r>
            <w:r>
              <w:rPr>
                <w:rFonts w:hint="eastAsia" w:ascii="宋体" w:hAnsi="宋体" w:eastAsia="宋体" w:cs="宋体"/>
                <w:snapToGrid w:val="0"/>
                <w:color w:val="auto"/>
                <w:kern w:val="0"/>
                <w:szCs w:val="21"/>
                <w:highlight w:val="none"/>
                <w:lang w:val="en-US" w:eastAsia="zh-CN" w:bidi="ar"/>
              </w:rPr>
              <w:t>负责人</w:t>
            </w:r>
          </w:p>
        </w:tc>
        <w:tc>
          <w:tcPr>
            <w:tcW w:w="1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1925B9">
            <w:pPr>
              <w:widowControl/>
              <w:adjustRightInd w:val="0"/>
              <w:snapToGrid w:val="0"/>
              <w:jc w:val="center"/>
              <w:textAlignment w:val="center"/>
              <w:rPr>
                <w:rFonts w:hint="eastAsia" w:ascii="宋体" w:hAnsi="宋体" w:eastAsia="宋体" w:cs="宋体"/>
                <w:b/>
                <w:color w:val="auto"/>
                <w:kern w:val="0"/>
                <w:sz w:val="24"/>
                <w:szCs w:val="24"/>
                <w:highlight w:val="none"/>
                <w:lang w:bidi="ar"/>
              </w:rPr>
            </w:pPr>
          </w:p>
        </w:tc>
        <w:tc>
          <w:tcPr>
            <w:tcW w:w="16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D3DF17">
            <w:pPr>
              <w:widowControl/>
              <w:adjustRightInd w:val="0"/>
              <w:snapToGrid w:val="0"/>
              <w:jc w:val="center"/>
              <w:textAlignment w:val="center"/>
              <w:rPr>
                <w:rFonts w:hint="eastAsia" w:ascii="宋体" w:hAnsi="宋体" w:eastAsia="宋体" w:cs="宋体"/>
                <w:b/>
                <w:color w:val="auto"/>
                <w:kern w:val="0"/>
                <w:sz w:val="24"/>
                <w:szCs w:val="24"/>
                <w:highlight w:val="none"/>
                <w:lang w:bidi="ar"/>
              </w:rPr>
            </w:pPr>
          </w:p>
        </w:tc>
      </w:tr>
      <w:tr w14:paraId="326FDC96">
        <w:tblPrEx>
          <w:tblCellMar>
            <w:top w:w="0" w:type="dxa"/>
            <w:left w:w="0" w:type="dxa"/>
            <w:bottom w:w="0" w:type="dxa"/>
            <w:right w:w="0" w:type="dxa"/>
          </w:tblCellMar>
        </w:tblPrEx>
        <w:trPr>
          <w:trHeight w:val="376" w:hRule="atLeast"/>
          <w:jc w:val="center"/>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E95A36">
            <w:pPr>
              <w:widowControl/>
              <w:adjustRightInd w:val="0"/>
              <w:snapToGrid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1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4111A1">
            <w:pPr>
              <w:adjustRightInd w:val="0"/>
              <w:snapToGrid w:val="0"/>
              <w:jc w:val="center"/>
              <w:rPr>
                <w:rFonts w:hint="eastAsia" w:ascii="宋体" w:hAnsi="宋体" w:eastAsia="宋体" w:cs="宋体"/>
                <w:color w:val="auto"/>
                <w:sz w:val="24"/>
                <w:szCs w:val="24"/>
                <w:highlight w:val="none"/>
              </w:rPr>
            </w:pPr>
          </w:p>
        </w:tc>
        <w:tc>
          <w:tcPr>
            <w:tcW w:w="2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395992">
            <w:pPr>
              <w:widowControl/>
              <w:adjustRightInd w:val="0"/>
              <w:snapToGrid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Cs w:val="21"/>
                <w:highlight w:val="none"/>
                <w:lang w:bidi="ar"/>
              </w:rPr>
              <w:t>技术负责人</w:t>
            </w:r>
          </w:p>
        </w:tc>
        <w:tc>
          <w:tcPr>
            <w:tcW w:w="1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EE1363">
            <w:pPr>
              <w:adjustRightInd w:val="0"/>
              <w:snapToGrid w:val="0"/>
              <w:jc w:val="center"/>
              <w:rPr>
                <w:rFonts w:hint="eastAsia" w:ascii="宋体" w:hAnsi="宋体" w:eastAsia="宋体" w:cs="宋体"/>
                <w:color w:val="auto"/>
                <w:sz w:val="24"/>
                <w:szCs w:val="24"/>
                <w:highlight w:val="none"/>
              </w:rPr>
            </w:pPr>
          </w:p>
        </w:tc>
        <w:tc>
          <w:tcPr>
            <w:tcW w:w="16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2A0673">
            <w:pPr>
              <w:adjustRightInd w:val="0"/>
              <w:snapToGrid w:val="0"/>
              <w:jc w:val="center"/>
              <w:rPr>
                <w:rFonts w:hint="eastAsia" w:ascii="宋体" w:hAnsi="宋体" w:eastAsia="宋体" w:cs="宋体"/>
                <w:color w:val="auto"/>
                <w:sz w:val="24"/>
                <w:szCs w:val="24"/>
                <w:highlight w:val="none"/>
              </w:rPr>
            </w:pPr>
          </w:p>
        </w:tc>
      </w:tr>
      <w:tr w14:paraId="2698BDED">
        <w:tblPrEx>
          <w:tblCellMar>
            <w:top w:w="0" w:type="dxa"/>
            <w:left w:w="0" w:type="dxa"/>
            <w:bottom w:w="0" w:type="dxa"/>
            <w:right w:w="0" w:type="dxa"/>
          </w:tblCellMar>
        </w:tblPrEx>
        <w:trPr>
          <w:trHeight w:val="410" w:hRule="atLeast"/>
          <w:jc w:val="center"/>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076749">
            <w:pPr>
              <w:widowControl/>
              <w:adjustRightInd w:val="0"/>
              <w:snapToGrid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1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0E3A60">
            <w:pPr>
              <w:adjustRightInd w:val="0"/>
              <w:snapToGrid w:val="0"/>
              <w:jc w:val="center"/>
              <w:rPr>
                <w:rFonts w:hint="eastAsia" w:ascii="宋体" w:hAnsi="宋体" w:eastAsia="宋体" w:cs="宋体"/>
                <w:color w:val="auto"/>
                <w:sz w:val="24"/>
                <w:szCs w:val="24"/>
                <w:highlight w:val="none"/>
              </w:rPr>
            </w:pPr>
          </w:p>
        </w:tc>
        <w:tc>
          <w:tcPr>
            <w:tcW w:w="2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CE49EA">
            <w:pPr>
              <w:widowControl/>
              <w:adjustRightInd w:val="0"/>
              <w:snapToGrid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kern w:val="0"/>
                <w:szCs w:val="21"/>
                <w:highlight w:val="none"/>
                <w:lang w:bidi="ar"/>
              </w:rPr>
              <w:t>专职安全员</w:t>
            </w:r>
          </w:p>
        </w:tc>
        <w:tc>
          <w:tcPr>
            <w:tcW w:w="1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BF1A6E">
            <w:pPr>
              <w:adjustRightInd w:val="0"/>
              <w:snapToGrid w:val="0"/>
              <w:jc w:val="center"/>
              <w:rPr>
                <w:rFonts w:hint="eastAsia" w:ascii="宋体" w:hAnsi="宋体" w:eastAsia="宋体" w:cs="宋体"/>
                <w:color w:val="auto"/>
                <w:sz w:val="24"/>
                <w:szCs w:val="24"/>
                <w:highlight w:val="none"/>
              </w:rPr>
            </w:pPr>
          </w:p>
        </w:tc>
        <w:tc>
          <w:tcPr>
            <w:tcW w:w="16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820144">
            <w:pPr>
              <w:adjustRightInd w:val="0"/>
              <w:snapToGrid w:val="0"/>
              <w:jc w:val="center"/>
              <w:rPr>
                <w:rFonts w:hint="eastAsia" w:ascii="宋体" w:hAnsi="宋体" w:eastAsia="宋体" w:cs="宋体"/>
                <w:color w:val="auto"/>
                <w:sz w:val="24"/>
                <w:szCs w:val="24"/>
                <w:highlight w:val="none"/>
              </w:rPr>
            </w:pPr>
          </w:p>
        </w:tc>
      </w:tr>
      <w:tr w14:paraId="347A1805">
        <w:tblPrEx>
          <w:tblCellMar>
            <w:top w:w="0" w:type="dxa"/>
            <w:left w:w="0" w:type="dxa"/>
            <w:bottom w:w="0" w:type="dxa"/>
            <w:right w:w="0" w:type="dxa"/>
          </w:tblCellMar>
        </w:tblPrEx>
        <w:trPr>
          <w:trHeight w:val="394" w:hRule="atLeast"/>
          <w:jc w:val="center"/>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2582F3">
            <w:pPr>
              <w:widowControl/>
              <w:adjustRightInd w:val="0"/>
              <w:snapToGrid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w:t>
            </w:r>
          </w:p>
        </w:tc>
        <w:tc>
          <w:tcPr>
            <w:tcW w:w="1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8439D0">
            <w:pPr>
              <w:adjustRightInd w:val="0"/>
              <w:snapToGrid w:val="0"/>
              <w:jc w:val="center"/>
              <w:rPr>
                <w:rFonts w:hint="eastAsia" w:ascii="宋体" w:hAnsi="宋体" w:eastAsia="宋体" w:cs="宋体"/>
                <w:color w:val="auto"/>
                <w:sz w:val="24"/>
                <w:szCs w:val="24"/>
                <w:highlight w:val="none"/>
              </w:rPr>
            </w:pPr>
          </w:p>
        </w:tc>
        <w:tc>
          <w:tcPr>
            <w:tcW w:w="2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D59ABB">
            <w:pPr>
              <w:widowControl/>
              <w:adjustRightInd w:val="0"/>
              <w:snapToGrid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kern w:val="0"/>
                <w:szCs w:val="21"/>
                <w:highlight w:val="none"/>
                <w:lang w:bidi="ar"/>
              </w:rPr>
              <w:t>安全负责人</w:t>
            </w:r>
          </w:p>
        </w:tc>
        <w:tc>
          <w:tcPr>
            <w:tcW w:w="1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731923">
            <w:pPr>
              <w:adjustRightInd w:val="0"/>
              <w:snapToGrid w:val="0"/>
              <w:jc w:val="center"/>
              <w:rPr>
                <w:rFonts w:hint="eastAsia" w:ascii="宋体" w:hAnsi="宋体" w:eastAsia="宋体" w:cs="宋体"/>
                <w:color w:val="auto"/>
                <w:sz w:val="24"/>
                <w:szCs w:val="24"/>
                <w:highlight w:val="none"/>
              </w:rPr>
            </w:pPr>
          </w:p>
        </w:tc>
        <w:tc>
          <w:tcPr>
            <w:tcW w:w="16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96E84C">
            <w:pPr>
              <w:adjustRightInd w:val="0"/>
              <w:snapToGrid w:val="0"/>
              <w:jc w:val="center"/>
              <w:rPr>
                <w:rFonts w:hint="eastAsia" w:ascii="宋体" w:hAnsi="宋体" w:eastAsia="宋体" w:cs="宋体"/>
                <w:color w:val="auto"/>
                <w:sz w:val="24"/>
                <w:szCs w:val="24"/>
                <w:highlight w:val="none"/>
              </w:rPr>
            </w:pPr>
          </w:p>
        </w:tc>
      </w:tr>
      <w:tr w14:paraId="031F4067">
        <w:tblPrEx>
          <w:tblCellMar>
            <w:top w:w="0" w:type="dxa"/>
            <w:left w:w="0" w:type="dxa"/>
            <w:bottom w:w="0" w:type="dxa"/>
            <w:right w:w="0" w:type="dxa"/>
          </w:tblCellMar>
        </w:tblPrEx>
        <w:trPr>
          <w:trHeight w:val="410" w:hRule="atLeast"/>
          <w:jc w:val="center"/>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AD775F">
            <w:pPr>
              <w:widowControl/>
              <w:adjustRightInd w:val="0"/>
              <w:snapToGrid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BC45CC">
            <w:pPr>
              <w:adjustRightInd w:val="0"/>
              <w:snapToGrid w:val="0"/>
              <w:jc w:val="center"/>
              <w:rPr>
                <w:rFonts w:hint="eastAsia" w:ascii="宋体" w:hAnsi="宋体" w:eastAsia="宋体" w:cs="宋体"/>
                <w:color w:val="auto"/>
                <w:sz w:val="24"/>
                <w:szCs w:val="24"/>
                <w:highlight w:val="none"/>
              </w:rPr>
            </w:pPr>
          </w:p>
        </w:tc>
        <w:tc>
          <w:tcPr>
            <w:tcW w:w="2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8A5304">
            <w:pPr>
              <w:widowControl/>
              <w:adjustRightInd w:val="0"/>
              <w:snapToGrid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Cs w:val="21"/>
                <w:highlight w:val="none"/>
                <w:lang w:bidi="ar"/>
              </w:rPr>
              <w:t>造价负责人</w:t>
            </w:r>
          </w:p>
        </w:tc>
        <w:tc>
          <w:tcPr>
            <w:tcW w:w="1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46C91A">
            <w:pPr>
              <w:adjustRightInd w:val="0"/>
              <w:snapToGrid w:val="0"/>
              <w:jc w:val="center"/>
              <w:rPr>
                <w:rFonts w:hint="eastAsia" w:ascii="宋体" w:hAnsi="宋体" w:eastAsia="宋体" w:cs="宋体"/>
                <w:color w:val="auto"/>
                <w:sz w:val="24"/>
                <w:szCs w:val="24"/>
                <w:highlight w:val="none"/>
              </w:rPr>
            </w:pPr>
          </w:p>
        </w:tc>
        <w:tc>
          <w:tcPr>
            <w:tcW w:w="16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B5EB38">
            <w:pPr>
              <w:adjustRightInd w:val="0"/>
              <w:snapToGrid w:val="0"/>
              <w:jc w:val="center"/>
              <w:rPr>
                <w:rFonts w:hint="eastAsia" w:ascii="宋体" w:hAnsi="宋体" w:eastAsia="宋体" w:cs="宋体"/>
                <w:color w:val="auto"/>
                <w:sz w:val="24"/>
                <w:szCs w:val="24"/>
                <w:highlight w:val="none"/>
              </w:rPr>
            </w:pPr>
          </w:p>
        </w:tc>
      </w:tr>
      <w:tr w14:paraId="7F09C7FF">
        <w:tblPrEx>
          <w:tblCellMar>
            <w:top w:w="0" w:type="dxa"/>
            <w:left w:w="0" w:type="dxa"/>
            <w:bottom w:w="0" w:type="dxa"/>
            <w:right w:w="0" w:type="dxa"/>
          </w:tblCellMar>
        </w:tblPrEx>
        <w:trPr>
          <w:trHeight w:val="449" w:hRule="atLeast"/>
          <w:jc w:val="center"/>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209E82">
            <w:pPr>
              <w:pStyle w:val="20"/>
              <w:adjustRightInd w:val="0"/>
              <w:snapToGrid w:val="0"/>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6</w:t>
            </w:r>
          </w:p>
        </w:tc>
        <w:tc>
          <w:tcPr>
            <w:tcW w:w="1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64CC00">
            <w:pPr>
              <w:adjustRightInd w:val="0"/>
              <w:snapToGrid w:val="0"/>
              <w:jc w:val="center"/>
              <w:rPr>
                <w:rFonts w:hint="eastAsia" w:ascii="宋体" w:hAnsi="宋体" w:eastAsia="宋体" w:cs="宋体"/>
                <w:color w:val="auto"/>
                <w:sz w:val="24"/>
                <w:szCs w:val="24"/>
                <w:highlight w:val="none"/>
              </w:rPr>
            </w:pPr>
          </w:p>
        </w:tc>
        <w:tc>
          <w:tcPr>
            <w:tcW w:w="2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161CC3">
            <w:pPr>
              <w:widowControl/>
              <w:adjustRightInd w:val="0"/>
              <w:snapToGrid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Cs w:val="21"/>
                <w:highlight w:val="none"/>
                <w:lang w:bidi="ar"/>
              </w:rPr>
              <w:t>质量负责人</w:t>
            </w:r>
          </w:p>
        </w:tc>
        <w:tc>
          <w:tcPr>
            <w:tcW w:w="1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985299">
            <w:pPr>
              <w:adjustRightInd w:val="0"/>
              <w:snapToGrid w:val="0"/>
              <w:jc w:val="center"/>
              <w:rPr>
                <w:rFonts w:hint="eastAsia" w:ascii="宋体" w:hAnsi="宋体" w:eastAsia="宋体" w:cs="宋体"/>
                <w:color w:val="auto"/>
                <w:sz w:val="24"/>
                <w:szCs w:val="24"/>
                <w:highlight w:val="none"/>
              </w:rPr>
            </w:pPr>
          </w:p>
        </w:tc>
        <w:tc>
          <w:tcPr>
            <w:tcW w:w="16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60B59D">
            <w:pPr>
              <w:adjustRightInd w:val="0"/>
              <w:snapToGrid w:val="0"/>
              <w:jc w:val="center"/>
              <w:rPr>
                <w:rFonts w:hint="eastAsia" w:ascii="宋体" w:hAnsi="宋体" w:eastAsia="宋体" w:cs="宋体"/>
                <w:color w:val="auto"/>
                <w:sz w:val="24"/>
                <w:szCs w:val="24"/>
                <w:highlight w:val="none"/>
              </w:rPr>
            </w:pPr>
          </w:p>
        </w:tc>
      </w:tr>
      <w:tr w14:paraId="74B33AE6">
        <w:tblPrEx>
          <w:tblCellMar>
            <w:top w:w="0" w:type="dxa"/>
            <w:left w:w="0" w:type="dxa"/>
            <w:bottom w:w="0" w:type="dxa"/>
            <w:right w:w="0" w:type="dxa"/>
          </w:tblCellMar>
        </w:tblPrEx>
        <w:trPr>
          <w:trHeight w:val="443" w:hRule="atLeast"/>
          <w:jc w:val="center"/>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33745A">
            <w:pPr>
              <w:pStyle w:val="20"/>
              <w:adjustRightInd w:val="0"/>
              <w:snapToGrid w:val="0"/>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7</w:t>
            </w:r>
          </w:p>
        </w:tc>
        <w:tc>
          <w:tcPr>
            <w:tcW w:w="1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38E0C4">
            <w:pPr>
              <w:adjustRightInd w:val="0"/>
              <w:snapToGrid w:val="0"/>
              <w:jc w:val="center"/>
              <w:rPr>
                <w:rFonts w:hint="eastAsia" w:ascii="宋体" w:hAnsi="宋体" w:eastAsia="宋体" w:cs="宋体"/>
                <w:color w:val="auto"/>
                <w:sz w:val="24"/>
                <w:szCs w:val="24"/>
                <w:highlight w:val="none"/>
              </w:rPr>
            </w:pPr>
          </w:p>
        </w:tc>
        <w:tc>
          <w:tcPr>
            <w:tcW w:w="2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218A95">
            <w:pPr>
              <w:widowControl/>
              <w:adjustRightInd w:val="0"/>
              <w:snapToGrid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Cs w:val="21"/>
                <w:highlight w:val="none"/>
                <w:lang w:bidi="ar"/>
              </w:rPr>
              <w:t>市政公用工程师</w:t>
            </w:r>
          </w:p>
        </w:tc>
        <w:tc>
          <w:tcPr>
            <w:tcW w:w="1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77A528">
            <w:pPr>
              <w:adjustRightInd w:val="0"/>
              <w:snapToGrid w:val="0"/>
              <w:jc w:val="center"/>
              <w:rPr>
                <w:rFonts w:hint="eastAsia" w:ascii="宋体" w:hAnsi="宋体" w:eastAsia="宋体" w:cs="宋体"/>
                <w:color w:val="auto"/>
                <w:sz w:val="24"/>
                <w:szCs w:val="24"/>
                <w:highlight w:val="none"/>
              </w:rPr>
            </w:pPr>
          </w:p>
        </w:tc>
        <w:tc>
          <w:tcPr>
            <w:tcW w:w="16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237A3C">
            <w:pPr>
              <w:adjustRightInd w:val="0"/>
              <w:snapToGrid w:val="0"/>
              <w:jc w:val="center"/>
              <w:rPr>
                <w:rFonts w:hint="eastAsia" w:ascii="宋体" w:hAnsi="宋体" w:eastAsia="宋体" w:cs="宋体"/>
                <w:color w:val="auto"/>
                <w:sz w:val="24"/>
                <w:szCs w:val="24"/>
                <w:highlight w:val="none"/>
              </w:rPr>
            </w:pPr>
          </w:p>
        </w:tc>
      </w:tr>
      <w:tr w14:paraId="2DC188CA">
        <w:tblPrEx>
          <w:tblCellMar>
            <w:top w:w="0" w:type="dxa"/>
            <w:left w:w="0" w:type="dxa"/>
            <w:bottom w:w="0" w:type="dxa"/>
            <w:right w:w="0" w:type="dxa"/>
          </w:tblCellMar>
        </w:tblPrEx>
        <w:trPr>
          <w:trHeight w:val="443" w:hRule="atLeast"/>
          <w:jc w:val="center"/>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69D84A">
            <w:pPr>
              <w:pStyle w:val="20"/>
              <w:adjustRightInd w:val="0"/>
              <w:snapToGrid w:val="0"/>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8</w:t>
            </w:r>
          </w:p>
        </w:tc>
        <w:tc>
          <w:tcPr>
            <w:tcW w:w="1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61CD95">
            <w:pPr>
              <w:adjustRightInd w:val="0"/>
              <w:snapToGrid w:val="0"/>
              <w:jc w:val="center"/>
              <w:rPr>
                <w:rFonts w:hint="eastAsia" w:ascii="宋体" w:hAnsi="宋体" w:eastAsia="宋体" w:cs="宋体"/>
                <w:color w:val="auto"/>
                <w:sz w:val="24"/>
                <w:szCs w:val="24"/>
                <w:highlight w:val="none"/>
              </w:rPr>
            </w:pPr>
          </w:p>
        </w:tc>
        <w:tc>
          <w:tcPr>
            <w:tcW w:w="2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7A15FB">
            <w:pPr>
              <w:widowControl/>
              <w:adjustRightInd w:val="0"/>
              <w:snapToGrid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Cs w:val="21"/>
                <w:highlight w:val="none"/>
                <w:lang w:val="en-US" w:eastAsia="zh-CN" w:bidi="ar"/>
              </w:rPr>
              <w:t>给排水</w:t>
            </w:r>
            <w:r>
              <w:rPr>
                <w:rFonts w:hint="eastAsia" w:ascii="宋体" w:hAnsi="宋体" w:eastAsia="宋体" w:cs="宋体"/>
                <w:snapToGrid w:val="0"/>
                <w:color w:val="auto"/>
                <w:kern w:val="0"/>
                <w:szCs w:val="21"/>
                <w:highlight w:val="none"/>
                <w:lang w:bidi="ar"/>
              </w:rPr>
              <w:t>工程师</w:t>
            </w:r>
          </w:p>
        </w:tc>
        <w:tc>
          <w:tcPr>
            <w:tcW w:w="1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69F063">
            <w:pPr>
              <w:adjustRightInd w:val="0"/>
              <w:snapToGrid w:val="0"/>
              <w:jc w:val="center"/>
              <w:rPr>
                <w:rFonts w:hint="eastAsia" w:ascii="宋体" w:hAnsi="宋体" w:eastAsia="宋体" w:cs="宋体"/>
                <w:color w:val="auto"/>
                <w:sz w:val="24"/>
                <w:szCs w:val="24"/>
                <w:highlight w:val="none"/>
              </w:rPr>
            </w:pPr>
          </w:p>
        </w:tc>
        <w:tc>
          <w:tcPr>
            <w:tcW w:w="16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5EE884">
            <w:pPr>
              <w:adjustRightInd w:val="0"/>
              <w:snapToGrid w:val="0"/>
              <w:jc w:val="center"/>
              <w:rPr>
                <w:rFonts w:hint="eastAsia" w:ascii="宋体" w:hAnsi="宋体" w:eastAsia="宋体" w:cs="宋体"/>
                <w:color w:val="auto"/>
                <w:sz w:val="24"/>
                <w:szCs w:val="24"/>
                <w:highlight w:val="none"/>
              </w:rPr>
            </w:pPr>
          </w:p>
        </w:tc>
      </w:tr>
      <w:tr w14:paraId="2C685321">
        <w:tblPrEx>
          <w:tblCellMar>
            <w:top w:w="0" w:type="dxa"/>
            <w:left w:w="0" w:type="dxa"/>
            <w:bottom w:w="0" w:type="dxa"/>
            <w:right w:w="0" w:type="dxa"/>
          </w:tblCellMar>
        </w:tblPrEx>
        <w:trPr>
          <w:trHeight w:val="443" w:hRule="atLeast"/>
          <w:jc w:val="center"/>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6E3E53">
            <w:pPr>
              <w:pStyle w:val="20"/>
              <w:adjustRightInd w:val="0"/>
              <w:snapToGrid w:val="0"/>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9</w:t>
            </w:r>
          </w:p>
        </w:tc>
        <w:tc>
          <w:tcPr>
            <w:tcW w:w="1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65BCC4">
            <w:pPr>
              <w:adjustRightInd w:val="0"/>
              <w:snapToGrid w:val="0"/>
              <w:jc w:val="center"/>
              <w:rPr>
                <w:rFonts w:hint="eastAsia" w:ascii="宋体" w:hAnsi="宋体" w:eastAsia="宋体" w:cs="宋体"/>
                <w:color w:val="auto"/>
                <w:sz w:val="24"/>
                <w:szCs w:val="24"/>
                <w:highlight w:val="none"/>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8A138B0">
            <w:pPr>
              <w:widowControl/>
              <w:adjustRightInd w:val="0"/>
              <w:snapToGrid w:val="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snapToGrid w:val="0"/>
                <w:color w:val="auto"/>
                <w:kern w:val="0"/>
                <w:szCs w:val="21"/>
                <w:highlight w:val="none"/>
                <w:lang w:bidi="ar"/>
              </w:rPr>
              <w:t>交通工程师</w:t>
            </w:r>
          </w:p>
        </w:tc>
        <w:tc>
          <w:tcPr>
            <w:tcW w:w="1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F80A7F">
            <w:pPr>
              <w:adjustRightInd w:val="0"/>
              <w:snapToGrid w:val="0"/>
              <w:jc w:val="center"/>
              <w:rPr>
                <w:rFonts w:hint="eastAsia" w:ascii="宋体" w:hAnsi="宋体" w:eastAsia="宋体" w:cs="宋体"/>
                <w:color w:val="auto"/>
                <w:sz w:val="24"/>
                <w:szCs w:val="24"/>
                <w:highlight w:val="none"/>
              </w:rPr>
            </w:pPr>
          </w:p>
        </w:tc>
        <w:tc>
          <w:tcPr>
            <w:tcW w:w="16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7FF3DF">
            <w:pPr>
              <w:adjustRightInd w:val="0"/>
              <w:snapToGrid w:val="0"/>
              <w:jc w:val="center"/>
              <w:rPr>
                <w:rFonts w:hint="eastAsia" w:ascii="宋体" w:hAnsi="宋体" w:eastAsia="宋体" w:cs="宋体"/>
                <w:color w:val="auto"/>
                <w:sz w:val="24"/>
                <w:szCs w:val="24"/>
                <w:highlight w:val="none"/>
              </w:rPr>
            </w:pPr>
          </w:p>
        </w:tc>
      </w:tr>
      <w:tr w14:paraId="04AC54FA">
        <w:tblPrEx>
          <w:tblCellMar>
            <w:top w:w="0" w:type="dxa"/>
            <w:left w:w="0" w:type="dxa"/>
            <w:bottom w:w="0" w:type="dxa"/>
            <w:right w:w="0" w:type="dxa"/>
          </w:tblCellMar>
        </w:tblPrEx>
        <w:trPr>
          <w:trHeight w:val="444" w:hRule="atLeast"/>
          <w:jc w:val="center"/>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BC6510">
            <w:pPr>
              <w:pStyle w:val="20"/>
              <w:adjustRightInd w:val="0"/>
              <w:snapToGrid w:val="0"/>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10</w:t>
            </w:r>
          </w:p>
        </w:tc>
        <w:tc>
          <w:tcPr>
            <w:tcW w:w="1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47F628">
            <w:pPr>
              <w:adjustRightInd w:val="0"/>
              <w:snapToGrid w:val="0"/>
              <w:jc w:val="center"/>
              <w:rPr>
                <w:rFonts w:hint="eastAsia" w:ascii="宋体" w:hAnsi="宋体" w:eastAsia="宋体" w:cs="宋体"/>
                <w:color w:val="auto"/>
                <w:sz w:val="24"/>
                <w:szCs w:val="24"/>
                <w:highlight w:val="none"/>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DBC9B15">
            <w:pPr>
              <w:widowControl/>
              <w:adjustRightInd w:val="0"/>
              <w:snapToGrid w:val="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snapToGrid w:val="0"/>
                <w:color w:val="auto"/>
                <w:kern w:val="0"/>
                <w:szCs w:val="21"/>
                <w:highlight w:val="none"/>
                <w:lang w:val="en-US" w:eastAsia="zh-CN" w:bidi="ar"/>
              </w:rPr>
              <w:t>电气（照明）工程</w:t>
            </w:r>
          </w:p>
        </w:tc>
        <w:tc>
          <w:tcPr>
            <w:tcW w:w="1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19F9C4">
            <w:pPr>
              <w:adjustRightInd w:val="0"/>
              <w:snapToGrid w:val="0"/>
              <w:jc w:val="center"/>
              <w:rPr>
                <w:rFonts w:hint="eastAsia" w:ascii="宋体" w:hAnsi="宋体" w:eastAsia="宋体" w:cs="宋体"/>
                <w:color w:val="auto"/>
                <w:sz w:val="24"/>
                <w:szCs w:val="24"/>
                <w:highlight w:val="none"/>
              </w:rPr>
            </w:pPr>
          </w:p>
        </w:tc>
        <w:tc>
          <w:tcPr>
            <w:tcW w:w="16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9CFE07">
            <w:pPr>
              <w:adjustRightInd w:val="0"/>
              <w:snapToGrid w:val="0"/>
              <w:jc w:val="center"/>
              <w:rPr>
                <w:rFonts w:hint="eastAsia" w:ascii="宋体" w:hAnsi="宋体" w:eastAsia="宋体" w:cs="宋体"/>
                <w:color w:val="auto"/>
                <w:sz w:val="24"/>
                <w:szCs w:val="24"/>
                <w:highlight w:val="none"/>
              </w:rPr>
            </w:pPr>
          </w:p>
        </w:tc>
      </w:tr>
      <w:tr w14:paraId="2F1171AD">
        <w:tblPrEx>
          <w:tblCellMar>
            <w:top w:w="0" w:type="dxa"/>
            <w:left w:w="0" w:type="dxa"/>
            <w:bottom w:w="0" w:type="dxa"/>
            <w:right w:w="0" w:type="dxa"/>
          </w:tblCellMar>
        </w:tblPrEx>
        <w:trPr>
          <w:trHeight w:val="444" w:hRule="atLeast"/>
          <w:jc w:val="center"/>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CA115A">
            <w:pPr>
              <w:pStyle w:val="20"/>
              <w:adjustRightInd w:val="0"/>
              <w:snapToGrid w:val="0"/>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11</w:t>
            </w:r>
          </w:p>
        </w:tc>
        <w:tc>
          <w:tcPr>
            <w:tcW w:w="1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2E4D3B">
            <w:pPr>
              <w:adjustRightInd w:val="0"/>
              <w:snapToGrid w:val="0"/>
              <w:jc w:val="center"/>
              <w:rPr>
                <w:rFonts w:hint="eastAsia" w:ascii="宋体" w:hAnsi="宋体" w:eastAsia="宋体" w:cs="宋体"/>
                <w:color w:val="auto"/>
                <w:sz w:val="24"/>
                <w:szCs w:val="24"/>
                <w:highlight w:val="none"/>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1431ECC">
            <w:pPr>
              <w:widowControl/>
              <w:adjustRightInd w:val="0"/>
              <w:snapToGrid w:val="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snapToGrid w:val="0"/>
                <w:color w:val="auto"/>
                <w:kern w:val="0"/>
                <w:szCs w:val="21"/>
                <w:highlight w:val="none"/>
                <w:lang w:bidi="ar"/>
              </w:rPr>
              <w:t>造价员</w:t>
            </w:r>
          </w:p>
        </w:tc>
        <w:tc>
          <w:tcPr>
            <w:tcW w:w="1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4B50FD">
            <w:pPr>
              <w:adjustRightInd w:val="0"/>
              <w:snapToGrid w:val="0"/>
              <w:jc w:val="center"/>
              <w:rPr>
                <w:rFonts w:hint="eastAsia" w:ascii="宋体" w:hAnsi="宋体" w:eastAsia="宋体" w:cs="宋体"/>
                <w:color w:val="auto"/>
                <w:sz w:val="24"/>
                <w:szCs w:val="24"/>
                <w:highlight w:val="none"/>
              </w:rPr>
            </w:pPr>
          </w:p>
        </w:tc>
        <w:tc>
          <w:tcPr>
            <w:tcW w:w="16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DAD31B">
            <w:pPr>
              <w:adjustRightInd w:val="0"/>
              <w:snapToGrid w:val="0"/>
              <w:jc w:val="center"/>
              <w:rPr>
                <w:rFonts w:hint="eastAsia" w:ascii="宋体" w:hAnsi="宋体" w:eastAsia="宋体" w:cs="宋体"/>
                <w:color w:val="auto"/>
                <w:sz w:val="24"/>
                <w:szCs w:val="24"/>
                <w:highlight w:val="none"/>
              </w:rPr>
            </w:pPr>
          </w:p>
        </w:tc>
      </w:tr>
      <w:tr w14:paraId="77F90233">
        <w:tblPrEx>
          <w:tblCellMar>
            <w:top w:w="0" w:type="dxa"/>
            <w:left w:w="0" w:type="dxa"/>
            <w:bottom w:w="0" w:type="dxa"/>
            <w:right w:w="0" w:type="dxa"/>
          </w:tblCellMar>
        </w:tblPrEx>
        <w:trPr>
          <w:trHeight w:val="444" w:hRule="atLeast"/>
          <w:jc w:val="center"/>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F5F6E7">
            <w:pPr>
              <w:pStyle w:val="20"/>
              <w:adjustRightInd w:val="0"/>
              <w:snapToGrid w:val="0"/>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12</w:t>
            </w:r>
          </w:p>
        </w:tc>
        <w:tc>
          <w:tcPr>
            <w:tcW w:w="1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26D0AC">
            <w:pPr>
              <w:adjustRightInd w:val="0"/>
              <w:snapToGrid w:val="0"/>
              <w:jc w:val="center"/>
              <w:rPr>
                <w:rFonts w:hint="eastAsia" w:ascii="宋体" w:hAnsi="宋体" w:eastAsia="宋体" w:cs="宋体"/>
                <w:color w:val="auto"/>
                <w:sz w:val="24"/>
                <w:szCs w:val="24"/>
                <w:highlight w:val="none"/>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89DDB21">
            <w:pPr>
              <w:widowControl/>
              <w:adjustRightInd w:val="0"/>
              <w:snapToGrid w:val="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snapToGrid w:val="0"/>
                <w:color w:val="auto"/>
                <w:kern w:val="0"/>
                <w:szCs w:val="21"/>
                <w:highlight w:val="none"/>
                <w:lang w:bidi="ar"/>
              </w:rPr>
              <w:t>施工员</w:t>
            </w:r>
          </w:p>
        </w:tc>
        <w:tc>
          <w:tcPr>
            <w:tcW w:w="1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5BECEC">
            <w:pPr>
              <w:adjustRightInd w:val="0"/>
              <w:snapToGrid w:val="0"/>
              <w:jc w:val="center"/>
              <w:rPr>
                <w:rFonts w:hint="eastAsia" w:ascii="宋体" w:hAnsi="宋体" w:eastAsia="宋体" w:cs="宋体"/>
                <w:color w:val="auto"/>
                <w:sz w:val="24"/>
                <w:szCs w:val="24"/>
                <w:highlight w:val="none"/>
              </w:rPr>
            </w:pPr>
          </w:p>
        </w:tc>
        <w:tc>
          <w:tcPr>
            <w:tcW w:w="16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0BB55B">
            <w:pPr>
              <w:adjustRightInd w:val="0"/>
              <w:snapToGrid w:val="0"/>
              <w:jc w:val="center"/>
              <w:rPr>
                <w:rFonts w:hint="eastAsia" w:ascii="宋体" w:hAnsi="宋体" w:eastAsia="宋体" w:cs="宋体"/>
                <w:color w:val="auto"/>
                <w:sz w:val="24"/>
                <w:szCs w:val="24"/>
                <w:highlight w:val="none"/>
              </w:rPr>
            </w:pPr>
          </w:p>
        </w:tc>
      </w:tr>
      <w:tr w14:paraId="2CADCD5A">
        <w:tblPrEx>
          <w:tblCellMar>
            <w:top w:w="0" w:type="dxa"/>
            <w:left w:w="0" w:type="dxa"/>
            <w:bottom w:w="0" w:type="dxa"/>
            <w:right w:w="0" w:type="dxa"/>
          </w:tblCellMar>
        </w:tblPrEx>
        <w:trPr>
          <w:trHeight w:val="444" w:hRule="atLeast"/>
          <w:jc w:val="center"/>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EBA487">
            <w:pPr>
              <w:pStyle w:val="20"/>
              <w:adjustRightInd w:val="0"/>
              <w:snapToGrid w:val="0"/>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13</w:t>
            </w:r>
          </w:p>
        </w:tc>
        <w:tc>
          <w:tcPr>
            <w:tcW w:w="1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532D5D">
            <w:pPr>
              <w:adjustRightInd w:val="0"/>
              <w:snapToGrid w:val="0"/>
              <w:jc w:val="center"/>
              <w:rPr>
                <w:rFonts w:hint="eastAsia" w:ascii="宋体" w:hAnsi="宋体" w:eastAsia="宋体" w:cs="宋体"/>
                <w:color w:val="auto"/>
                <w:sz w:val="24"/>
                <w:szCs w:val="24"/>
                <w:highlight w:val="none"/>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26B67CD">
            <w:pPr>
              <w:widowControl/>
              <w:adjustRightInd w:val="0"/>
              <w:snapToGrid w:val="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snapToGrid w:val="0"/>
                <w:color w:val="auto"/>
                <w:kern w:val="0"/>
                <w:szCs w:val="21"/>
                <w:highlight w:val="none"/>
                <w:lang w:bidi="ar"/>
              </w:rPr>
              <w:t>质量员</w:t>
            </w:r>
          </w:p>
        </w:tc>
        <w:tc>
          <w:tcPr>
            <w:tcW w:w="1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DDEF7F">
            <w:pPr>
              <w:adjustRightInd w:val="0"/>
              <w:snapToGrid w:val="0"/>
              <w:jc w:val="center"/>
              <w:rPr>
                <w:rFonts w:hint="eastAsia" w:ascii="宋体" w:hAnsi="宋体" w:eastAsia="宋体" w:cs="宋体"/>
                <w:color w:val="auto"/>
                <w:sz w:val="24"/>
                <w:szCs w:val="24"/>
                <w:highlight w:val="none"/>
              </w:rPr>
            </w:pPr>
          </w:p>
        </w:tc>
        <w:tc>
          <w:tcPr>
            <w:tcW w:w="16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1148E5">
            <w:pPr>
              <w:adjustRightInd w:val="0"/>
              <w:snapToGrid w:val="0"/>
              <w:jc w:val="center"/>
              <w:rPr>
                <w:rFonts w:hint="eastAsia" w:ascii="宋体" w:hAnsi="宋体" w:eastAsia="宋体" w:cs="宋体"/>
                <w:color w:val="auto"/>
                <w:sz w:val="24"/>
                <w:szCs w:val="24"/>
                <w:highlight w:val="none"/>
              </w:rPr>
            </w:pPr>
          </w:p>
        </w:tc>
      </w:tr>
      <w:tr w14:paraId="213F92DB">
        <w:tblPrEx>
          <w:tblCellMar>
            <w:top w:w="0" w:type="dxa"/>
            <w:left w:w="0" w:type="dxa"/>
            <w:bottom w:w="0" w:type="dxa"/>
            <w:right w:w="0" w:type="dxa"/>
          </w:tblCellMar>
        </w:tblPrEx>
        <w:trPr>
          <w:trHeight w:val="444" w:hRule="atLeast"/>
          <w:jc w:val="center"/>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038FA1">
            <w:pPr>
              <w:pStyle w:val="20"/>
              <w:adjustRightInd w:val="0"/>
              <w:snapToGrid w:val="0"/>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14</w:t>
            </w:r>
          </w:p>
        </w:tc>
        <w:tc>
          <w:tcPr>
            <w:tcW w:w="1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5D5C1B">
            <w:pPr>
              <w:adjustRightInd w:val="0"/>
              <w:snapToGrid w:val="0"/>
              <w:jc w:val="center"/>
              <w:rPr>
                <w:rFonts w:hint="eastAsia" w:ascii="宋体" w:hAnsi="宋体" w:eastAsia="宋体" w:cs="宋体"/>
                <w:color w:val="auto"/>
                <w:sz w:val="24"/>
                <w:szCs w:val="24"/>
                <w:highlight w:val="none"/>
              </w:rPr>
            </w:pPr>
          </w:p>
        </w:tc>
        <w:tc>
          <w:tcPr>
            <w:tcW w:w="23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65D9B38">
            <w:pPr>
              <w:widowControl/>
              <w:adjustRightInd w:val="0"/>
              <w:snapToGrid w:val="0"/>
              <w:jc w:val="center"/>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snapToGrid w:val="0"/>
                <w:color w:val="auto"/>
                <w:kern w:val="0"/>
                <w:szCs w:val="21"/>
                <w:highlight w:val="none"/>
                <w:lang w:bidi="ar"/>
              </w:rPr>
              <w:t>材料员</w:t>
            </w:r>
          </w:p>
        </w:tc>
        <w:tc>
          <w:tcPr>
            <w:tcW w:w="1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9301EE">
            <w:pPr>
              <w:adjustRightInd w:val="0"/>
              <w:snapToGrid w:val="0"/>
              <w:jc w:val="center"/>
              <w:rPr>
                <w:rFonts w:hint="eastAsia" w:ascii="宋体" w:hAnsi="宋体" w:eastAsia="宋体" w:cs="宋体"/>
                <w:color w:val="auto"/>
                <w:sz w:val="24"/>
                <w:szCs w:val="24"/>
                <w:highlight w:val="none"/>
              </w:rPr>
            </w:pPr>
          </w:p>
        </w:tc>
        <w:tc>
          <w:tcPr>
            <w:tcW w:w="16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19ECC9">
            <w:pPr>
              <w:adjustRightInd w:val="0"/>
              <w:snapToGrid w:val="0"/>
              <w:jc w:val="center"/>
              <w:rPr>
                <w:rFonts w:hint="eastAsia" w:ascii="宋体" w:hAnsi="宋体" w:eastAsia="宋体" w:cs="宋体"/>
                <w:color w:val="auto"/>
                <w:sz w:val="24"/>
                <w:szCs w:val="24"/>
                <w:highlight w:val="none"/>
              </w:rPr>
            </w:pPr>
          </w:p>
        </w:tc>
      </w:tr>
      <w:tr w14:paraId="5DABAB24">
        <w:tblPrEx>
          <w:tblCellMar>
            <w:top w:w="0" w:type="dxa"/>
            <w:left w:w="0" w:type="dxa"/>
            <w:bottom w:w="0" w:type="dxa"/>
            <w:right w:w="0" w:type="dxa"/>
          </w:tblCellMar>
        </w:tblPrEx>
        <w:trPr>
          <w:trHeight w:val="444" w:hRule="atLeast"/>
          <w:jc w:val="center"/>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1DD67D">
            <w:pPr>
              <w:pStyle w:val="20"/>
              <w:adjustRightInd w:val="0"/>
              <w:snapToGrid w:val="0"/>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15</w:t>
            </w:r>
          </w:p>
        </w:tc>
        <w:tc>
          <w:tcPr>
            <w:tcW w:w="1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6DB737">
            <w:pPr>
              <w:adjustRightInd w:val="0"/>
              <w:snapToGrid w:val="0"/>
              <w:jc w:val="center"/>
              <w:rPr>
                <w:rFonts w:hint="eastAsia" w:ascii="宋体" w:hAnsi="宋体" w:eastAsia="宋体" w:cs="宋体"/>
                <w:color w:val="auto"/>
                <w:sz w:val="24"/>
                <w:szCs w:val="24"/>
                <w:highlight w:val="none"/>
              </w:rPr>
            </w:pPr>
          </w:p>
        </w:tc>
        <w:tc>
          <w:tcPr>
            <w:tcW w:w="2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BB1CFC">
            <w:pPr>
              <w:widowControl/>
              <w:adjustRightInd w:val="0"/>
              <w:snapToGrid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snapToGrid w:val="0"/>
                <w:color w:val="auto"/>
                <w:kern w:val="0"/>
                <w:szCs w:val="21"/>
                <w:highlight w:val="none"/>
                <w:lang w:bidi="ar"/>
              </w:rPr>
              <w:t>资料员</w:t>
            </w:r>
          </w:p>
        </w:tc>
        <w:tc>
          <w:tcPr>
            <w:tcW w:w="1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7B2E5C">
            <w:pPr>
              <w:adjustRightInd w:val="0"/>
              <w:snapToGrid w:val="0"/>
              <w:jc w:val="center"/>
              <w:rPr>
                <w:rFonts w:hint="eastAsia" w:ascii="宋体" w:hAnsi="宋体" w:eastAsia="宋体" w:cs="宋体"/>
                <w:color w:val="auto"/>
                <w:sz w:val="24"/>
                <w:szCs w:val="24"/>
                <w:highlight w:val="none"/>
              </w:rPr>
            </w:pPr>
          </w:p>
        </w:tc>
        <w:tc>
          <w:tcPr>
            <w:tcW w:w="16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4BE10D">
            <w:pPr>
              <w:adjustRightInd w:val="0"/>
              <w:snapToGrid w:val="0"/>
              <w:jc w:val="center"/>
              <w:rPr>
                <w:rFonts w:hint="eastAsia" w:ascii="宋体" w:hAnsi="宋体" w:eastAsia="宋体" w:cs="宋体"/>
                <w:color w:val="auto"/>
                <w:sz w:val="24"/>
                <w:szCs w:val="24"/>
                <w:highlight w:val="none"/>
              </w:rPr>
            </w:pPr>
          </w:p>
        </w:tc>
      </w:tr>
      <w:tr w14:paraId="4A4F4844">
        <w:tblPrEx>
          <w:tblCellMar>
            <w:top w:w="0" w:type="dxa"/>
            <w:left w:w="0" w:type="dxa"/>
            <w:bottom w:w="0" w:type="dxa"/>
            <w:right w:w="0" w:type="dxa"/>
          </w:tblCellMar>
        </w:tblPrEx>
        <w:trPr>
          <w:trHeight w:val="555" w:hRule="atLeast"/>
          <w:jc w:val="center"/>
        </w:trPr>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5A065F">
            <w:pPr>
              <w:pStyle w:val="20"/>
              <w:adjustRightInd w:val="0"/>
              <w:snapToGrid w:val="0"/>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w:t>
            </w:r>
          </w:p>
        </w:tc>
        <w:tc>
          <w:tcPr>
            <w:tcW w:w="12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00E576">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23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F84121">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c>
          <w:tcPr>
            <w:tcW w:w="1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D05392">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c>
          <w:tcPr>
            <w:tcW w:w="16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301D0E">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r>
      <w:tr w14:paraId="5725765C">
        <w:tblPrEx>
          <w:tblCellMar>
            <w:top w:w="0" w:type="dxa"/>
            <w:left w:w="0" w:type="dxa"/>
            <w:bottom w:w="0" w:type="dxa"/>
            <w:right w:w="0" w:type="dxa"/>
          </w:tblCellMar>
        </w:tblPrEx>
        <w:trPr>
          <w:trHeight w:val="415" w:hRule="atLeast"/>
          <w:jc w:val="center"/>
        </w:trPr>
        <w:tc>
          <w:tcPr>
            <w:tcW w:w="733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7C6427">
            <w:pPr>
              <w:widowControl/>
              <w:adjustRightInd w:val="0"/>
              <w:snapToGrid w:val="0"/>
              <w:jc w:val="left"/>
              <w:textAlignment w:val="center"/>
              <w:rPr>
                <w:rStyle w:val="118"/>
                <w:rFonts w:hint="default" w:ascii="宋体" w:hAnsi="宋体" w:eastAsia="宋体" w:cs="宋体"/>
                <w:color w:val="auto"/>
                <w:sz w:val="24"/>
                <w:szCs w:val="24"/>
                <w:highlight w:val="none"/>
                <w:lang w:bidi="ar"/>
              </w:rPr>
            </w:pPr>
            <w:r>
              <w:rPr>
                <w:rStyle w:val="118"/>
                <w:rFonts w:hint="default" w:ascii="宋体" w:hAnsi="宋体" w:eastAsia="宋体" w:cs="宋体"/>
                <w:color w:val="auto"/>
                <w:sz w:val="24"/>
                <w:szCs w:val="24"/>
                <w:highlight w:val="none"/>
                <w:lang w:bidi="ar"/>
              </w:rPr>
              <w:t>备注：</w:t>
            </w:r>
          </w:p>
          <w:p w14:paraId="6A2C6BDD">
            <w:pPr>
              <w:widowControl/>
              <w:adjustRightInd w:val="0"/>
              <w:snapToGrid w:val="0"/>
              <w:jc w:val="left"/>
              <w:textAlignment w:val="center"/>
              <w:rPr>
                <w:rStyle w:val="118"/>
                <w:rFonts w:hint="default" w:ascii="宋体" w:hAnsi="宋体" w:eastAsia="宋体" w:cs="宋体"/>
                <w:color w:val="auto"/>
                <w:sz w:val="24"/>
                <w:szCs w:val="24"/>
                <w:highlight w:val="none"/>
                <w:lang w:bidi="ar"/>
              </w:rPr>
            </w:pPr>
            <w:r>
              <w:rPr>
                <w:rStyle w:val="118"/>
                <w:rFonts w:hint="default" w:ascii="宋体" w:hAnsi="宋体" w:eastAsia="宋体" w:cs="宋体"/>
                <w:color w:val="auto"/>
                <w:sz w:val="24"/>
                <w:szCs w:val="24"/>
                <w:highlight w:val="none"/>
                <w:lang w:bidi="ar"/>
              </w:rPr>
              <w:t>1、“岗位”要求（除项目负责人和专职安全员外）由招标人根据项目管理需要在本表备注中明确提出，如：拟派驻施工现场的技术负责人、</w:t>
            </w:r>
            <w:r>
              <w:rPr>
                <w:rFonts w:hint="eastAsia" w:ascii="宋体" w:hAnsi="宋体" w:cs="宋体"/>
                <w:color w:val="auto"/>
                <w:kern w:val="0"/>
                <w:sz w:val="24"/>
                <w:szCs w:val="24"/>
                <w:highlight w:val="none"/>
              </w:rPr>
              <w:t>质量负责人、</w:t>
            </w:r>
            <w:r>
              <w:rPr>
                <w:rStyle w:val="118"/>
                <w:rFonts w:hint="default" w:ascii="宋体" w:hAnsi="宋体" w:eastAsia="宋体" w:cs="宋体"/>
                <w:color w:val="auto"/>
                <w:sz w:val="24"/>
                <w:szCs w:val="24"/>
                <w:highlight w:val="none"/>
                <w:lang w:bidi="ar"/>
              </w:rPr>
              <w:t>安全负责人、</w:t>
            </w:r>
            <w:r>
              <w:rPr>
                <w:rFonts w:hint="eastAsia" w:ascii="宋体" w:hAnsi="宋体" w:cs="宋体"/>
                <w:color w:val="auto"/>
                <w:kern w:val="0"/>
                <w:sz w:val="24"/>
                <w:szCs w:val="24"/>
                <w:highlight w:val="none"/>
              </w:rPr>
              <w:t>造价负责人、装修工程师、机电工程师、</w:t>
            </w:r>
            <w:r>
              <w:rPr>
                <w:rFonts w:hint="eastAsia" w:ascii="宋体" w:hAnsi="宋体" w:cs="宋体"/>
                <w:color w:val="auto"/>
                <w:sz w:val="24"/>
                <w:szCs w:val="24"/>
                <w:highlight w:val="none"/>
              </w:rPr>
              <w:t>给排水工程师、</w:t>
            </w:r>
            <w:r>
              <w:rPr>
                <w:rFonts w:hint="eastAsia" w:ascii="宋体" w:hAnsi="宋体" w:cs="宋体"/>
                <w:color w:val="auto"/>
                <w:kern w:val="0"/>
                <w:sz w:val="24"/>
                <w:szCs w:val="24"/>
                <w:highlight w:val="none"/>
              </w:rPr>
              <w:t>施工员、造价员、资料员</w:t>
            </w:r>
            <w:r>
              <w:rPr>
                <w:rStyle w:val="118"/>
                <w:rFonts w:hint="default" w:ascii="宋体" w:hAnsi="宋体" w:eastAsia="宋体" w:cs="宋体"/>
                <w:color w:val="auto"/>
                <w:sz w:val="24"/>
                <w:szCs w:val="24"/>
                <w:highlight w:val="none"/>
                <w:lang w:bidi="ar"/>
              </w:rPr>
              <w:t>。以上项目管理团队人员信息将由交易系统提取后供各相关单位在履约时比对、查核。</w:t>
            </w:r>
          </w:p>
          <w:p w14:paraId="310BCDEE">
            <w:pPr>
              <w:widowControl/>
              <w:adjustRightInd w:val="0"/>
              <w:snapToGrid w:val="0"/>
              <w:jc w:val="left"/>
              <w:textAlignment w:val="center"/>
              <w:rPr>
                <w:rStyle w:val="118"/>
                <w:rFonts w:hint="default" w:ascii="宋体" w:hAnsi="宋体" w:eastAsia="宋体" w:cs="宋体"/>
                <w:color w:val="auto"/>
                <w:sz w:val="24"/>
                <w:szCs w:val="24"/>
                <w:highlight w:val="none"/>
                <w:lang w:bidi="ar"/>
              </w:rPr>
            </w:pPr>
            <w:r>
              <w:rPr>
                <w:rStyle w:val="118"/>
                <w:rFonts w:hint="default" w:ascii="宋体" w:hAnsi="宋体" w:eastAsia="宋体" w:cs="宋体"/>
                <w:color w:val="auto"/>
                <w:sz w:val="24"/>
                <w:szCs w:val="24"/>
                <w:highlight w:val="none"/>
                <w:lang w:bidi="ar"/>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4ABD0882">
            <w:pPr>
              <w:widowControl/>
              <w:adjustRightInd w:val="0"/>
              <w:snapToGrid w:val="0"/>
              <w:jc w:val="left"/>
              <w:textAlignment w:val="center"/>
              <w:rPr>
                <w:rFonts w:hint="eastAsia" w:ascii="宋体" w:hAnsi="宋体" w:cs="宋体"/>
                <w:color w:val="auto"/>
                <w:sz w:val="28"/>
                <w:szCs w:val="28"/>
                <w:highlight w:val="none"/>
              </w:rPr>
            </w:pPr>
            <w:r>
              <w:rPr>
                <w:rStyle w:val="118"/>
                <w:rFonts w:hint="default" w:ascii="宋体" w:hAnsi="宋体" w:eastAsia="宋体" w:cs="宋体"/>
                <w:color w:val="auto"/>
                <w:sz w:val="24"/>
                <w:szCs w:val="24"/>
                <w:highlight w:val="none"/>
                <w:lang w:bidi="ar"/>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357FA037">
      <w:pPr>
        <w:pStyle w:val="97"/>
        <w:keepNext w:val="0"/>
        <w:keepLines w:val="0"/>
        <w:pageBreakBefore w:val="0"/>
        <w:kinsoku/>
        <w:wordWrap/>
        <w:overflowPunct/>
        <w:topLinePunct w:val="0"/>
        <w:autoSpaceDE/>
        <w:autoSpaceDN/>
        <w:bidi w:val="0"/>
        <w:adjustRightInd/>
        <w:spacing w:line="240" w:lineRule="auto"/>
        <w:ind w:left="0" w:leftChars="0" w:firstLine="0" w:firstLineChars="0"/>
        <w:textAlignment w:val="auto"/>
        <w:rPr>
          <w:rFonts w:hint="eastAsia" w:ascii="宋体" w:hAnsi="宋体" w:eastAsia="宋体" w:cs="宋体"/>
          <w:b/>
          <w:color w:val="auto"/>
          <w:kern w:val="0"/>
          <w:sz w:val="44"/>
          <w:szCs w:val="44"/>
          <w:highlight w:val="none"/>
          <w:lang w:eastAsia="zh-CN"/>
        </w:rPr>
      </w:pPr>
    </w:p>
    <w:sectPr>
      <w:headerReference r:id="rId4" w:type="default"/>
      <w:footerReference r:id="rId5" w:type="default"/>
      <w:pgSz w:w="11906" w:h="16838"/>
      <w:pgMar w:top="1327" w:right="1519" w:bottom="1327" w:left="151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2312">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DAE19">
    <w:pPr>
      <w:pStyle w:val="2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761D98">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0761D98">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E5537">
    <w:pPr>
      <w:pStyle w:val="25"/>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C7090E">
                          <w:pPr>
                            <w:pStyle w:val="25"/>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8C7090E">
                    <w:pPr>
                      <w:pStyle w:val="25"/>
                    </w:pPr>
                    <w:r>
                      <w:fldChar w:fldCharType="begin"/>
                    </w:r>
                    <w:r>
                      <w:instrText xml:space="preserve"> PAGE  \* MERGEFORMAT </w:instrText>
                    </w:r>
                    <w:r>
                      <w:fldChar w:fldCharType="separate"/>
                    </w:r>
                    <w:r>
                      <w:t>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34A14">
    <w:pPr>
      <w:pStyle w:val="26"/>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9905B5"/>
    <w:multiLevelType w:val="multilevel"/>
    <w:tmpl w:val="259905B5"/>
    <w:lvl w:ilvl="0" w:tentative="0">
      <w:start w:val="1"/>
      <w:numFmt w:val="chineseCountingThousand"/>
      <w:pStyle w:val="94"/>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9"/>
      <w:suff w:val="space"/>
      <w:lvlText w:val="%2.%3.%4"/>
      <w:lvlJc w:val="left"/>
      <w:pPr>
        <w:ind w:left="284" w:hanging="284"/>
      </w:pPr>
      <w:rPr>
        <w:rFonts w:hint="eastAsia" w:ascii="宋体" w:eastAsia="宋体" w:cs="Times New Roman"/>
        <w:b/>
        <w:i w:val="0"/>
        <w:sz w:val="28"/>
      </w:rPr>
    </w:lvl>
    <w:lvl w:ilvl="4" w:tentative="0">
      <w:start w:val="1"/>
      <w:numFmt w:val="decimal"/>
      <w:pStyle w:val="11"/>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3"/>
      <w:suff w:val="nothing"/>
      <w:lvlText w:val=""/>
      <w:lvlJc w:val="left"/>
      <w:rPr>
        <w:rFonts w:hint="eastAsia" w:cs="Times New Roman"/>
      </w:rPr>
    </w:lvl>
    <w:lvl w:ilvl="7" w:tentative="0">
      <w:start w:val="1"/>
      <w:numFmt w:val="none"/>
      <w:pStyle w:val="14"/>
      <w:suff w:val="nothing"/>
      <w:lvlText w:val=""/>
      <w:lvlJc w:val="left"/>
      <w:rPr>
        <w:rFonts w:hint="eastAsia" w:cs="Times New Roman"/>
      </w:rPr>
    </w:lvl>
    <w:lvl w:ilvl="8" w:tentative="0">
      <w:start w:val="1"/>
      <w:numFmt w:val="none"/>
      <w:pStyle w:val="15"/>
      <w:suff w:val="nothing"/>
      <w:lvlText w:val=""/>
      <w:lvlJc w:val="left"/>
      <w:rPr>
        <w:rFonts w:hint="eastAsia" w:cs="Times New Roman"/>
      </w:rPr>
    </w:lvl>
  </w:abstractNum>
  <w:abstractNum w:abstractNumId="1">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12"/>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1BE"/>
    <w:rsid w:val="000200EE"/>
    <w:rsid w:val="00055C10"/>
    <w:rsid w:val="000575F8"/>
    <w:rsid w:val="00074FD1"/>
    <w:rsid w:val="0007706A"/>
    <w:rsid w:val="00091BFE"/>
    <w:rsid w:val="000B5826"/>
    <w:rsid w:val="000C1007"/>
    <w:rsid w:val="000C11E0"/>
    <w:rsid w:val="000C2710"/>
    <w:rsid w:val="000D396E"/>
    <w:rsid w:val="001667FD"/>
    <w:rsid w:val="00181CAA"/>
    <w:rsid w:val="00193EB2"/>
    <w:rsid w:val="001C5D94"/>
    <w:rsid w:val="001F3D02"/>
    <w:rsid w:val="002025C6"/>
    <w:rsid w:val="0022299B"/>
    <w:rsid w:val="00250092"/>
    <w:rsid w:val="00266748"/>
    <w:rsid w:val="00280CC3"/>
    <w:rsid w:val="002C4F11"/>
    <w:rsid w:val="003204F0"/>
    <w:rsid w:val="00327CB1"/>
    <w:rsid w:val="00336AA3"/>
    <w:rsid w:val="0037590B"/>
    <w:rsid w:val="003A5C56"/>
    <w:rsid w:val="00405D31"/>
    <w:rsid w:val="004370EC"/>
    <w:rsid w:val="004424B8"/>
    <w:rsid w:val="00472A98"/>
    <w:rsid w:val="004B295D"/>
    <w:rsid w:val="004D63FD"/>
    <w:rsid w:val="00510754"/>
    <w:rsid w:val="005118C8"/>
    <w:rsid w:val="00576448"/>
    <w:rsid w:val="005866FB"/>
    <w:rsid w:val="005B5915"/>
    <w:rsid w:val="005C212B"/>
    <w:rsid w:val="006036EF"/>
    <w:rsid w:val="00673B83"/>
    <w:rsid w:val="00680BFD"/>
    <w:rsid w:val="006B5ED1"/>
    <w:rsid w:val="006B6B0D"/>
    <w:rsid w:val="006F3576"/>
    <w:rsid w:val="0073229B"/>
    <w:rsid w:val="00780EC8"/>
    <w:rsid w:val="007A3304"/>
    <w:rsid w:val="007B41BE"/>
    <w:rsid w:val="007B6534"/>
    <w:rsid w:val="007D6D06"/>
    <w:rsid w:val="007E2745"/>
    <w:rsid w:val="00835C9E"/>
    <w:rsid w:val="008C4DAF"/>
    <w:rsid w:val="008D2515"/>
    <w:rsid w:val="008E20BD"/>
    <w:rsid w:val="008E4AD1"/>
    <w:rsid w:val="00920E49"/>
    <w:rsid w:val="00934DF4"/>
    <w:rsid w:val="00991949"/>
    <w:rsid w:val="009A704D"/>
    <w:rsid w:val="009E5A35"/>
    <w:rsid w:val="009F18D3"/>
    <w:rsid w:val="00A0387A"/>
    <w:rsid w:val="00A05F7D"/>
    <w:rsid w:val="00A0619D"/>
    <w:rsid w:val="00A15723"/>
    <w:rsid w:val="00A20AF3"/>
    <w:rsid w:val="00A2579D"/>
    <w:rsid w:val="00A460C3"/>
    <w:rsid w:val="00A50D34"/>
    <w:rsid w:val="00A55F9B"/>
    <w:rsid w:val="00A64E29"/>
    <w:rsid w:val="00AD3DEE"/>
    <w:rsid w:val="00AD6716"/>
    <w:rsid w:val="00AF1BCD"/>
    <w:rsid w:val="00AF2A6F"/>
    <w:rsid w:val="00B16BA8"/>
    <w:rsid w:val="00B53804"/>
    <w:rsid w:val="00B72862"/>
    <w:rsid w:val="00BC2597"/>
    <w:rsid w:val="00BC7B91"/>
    <w:rsid w:val="00BE1732"/>
    <w:rsid w:val="00BE216D"/>
    <w:rsid w:val="00BE7667"/>
    <w:rsid w:val="00BF1FEA"/>
    <w:rsid w:val="00C267C0"/>
    <w:rsid w:val="00C32C1E"/>
    <w:rsid w:val="00C408D3"/>
    <w:rsid w:val="00C81F53"/>
    <w:rsid w:val="00C82C8A"/>
    <w:rsid w:val="00CB3932"/>
    <w:rsid w:val="00CD156B"/>
    <w:rsid w:val="00CF68BB"/>
    <w:rsid w:val="00D60E1D"/>
    <w:rsid w:val="00D75B45"/>
    <w:rsid w:val="00D84E64"/>
    <w:rsid w:val="00DF1C79"/>
    <w:rsid w:val="00E22EAB"/>
    <w:rsid w:val="00E36378"/>
    <w:rsid w:val="00E457F6"/>
    <w:rsid w:val="00E54A7D"/>
    <w:rsid w:val="00E638F3"/>
    <w:rsid w:val="00EA368C"/>
    <w:rsid w:val="00EB4FAD"/>
    <w:rsid w:val="00EB6530"/>
    <w:rsid w:val="00EC014E"/>
    <w:rsid w:val="00F214CA"/>
    <w:rsid w:val="00F26640"/>
    <w:rsid w:val="00F40301"/>
    <w:rsid w:val="00F50A88"/>
    <w:rsid w:val="00FA5926"/>
    <w:rsid w:val="00FC5596"/>
    <w:rsid w:val="01D51926"/>
    <w:rsid w:val="02690261"/>
    <w:rsid w:val="02C05BB1"/>
    <w:rsid w:val="02FD74EC"/>
    <w:rsid w:val="030977B8"/>
    <w:rsid w:val="0365214C"/>
    <w:rsid w:val="03B73450"/>
    <w:rsid w:val="03F53B6F"/>
    <w:rsid w:val="04016C0A"/>
    <w:rsid w:val="042965C4"/>
    <w:rsid w:val="04387860"/>
    <w:rsid w:val="04602913"/>
    <w:rsid w:val="04A75B49"/>
    <w:rsid w:val="05935ABA"/>
    <w:rsid w:val="05EA2C50"/>
    <w:rsid w:val="061A393B"/>
    <w:rsid w:val="061C7FBD"/>
    <w:rsid w:val="068154EF"/>
    <w:rsid w:val="06CF5060"/>
    <w:rsid w:val="06D038B7"/>
    <w:rsid w:val="06D42617"/>
    <w:rsid w:val="071250C8"/>
    <w:rsid w:val="071F36EB"/>
    <w:rsid w:val="072F44E3"/>
    <w:rsid w:val="07312890"/>
    <w:rsid w:val="073C3C45"/>
    <w:rsid w:val="07A13F45"/>
    <w:rsid w:val="07EF4429"/>
    <w:rsid w:val="08061A64"/>
    <w:rsid w:val="08517165"/>
    <w:rsid w:val="086F1377"/>
    <w:rsid w:val="08A51580"/>
    <w:rsid w:val="08B16201"/>
    <w:rsid w:val="08C11542"/>
    <w:rsid w:val="09000221"/>
    <w:rsid w:val="090C13B6"/>
    <w:rsid w:val="090F4EF1"/>
    <w:rsid w:val="094E1D6F"/>
    <w:rsid w:val="09805F33"/>
    <w:rsid w:val="09B07E99"/>
    <w:rsid w:val="09EB6AE1"/>
    <w:rsid w:val="09F33618"/>
    <w:rsid w:val="09F5224A"/>
    <w:rsid w:val="0A0F62EE"/>
    <w:rsid w:val="0AC534D0"/>
    <w:rsid w:val="0AF62F6A"/>
    <w:rsid w:val="0B4354CB"/>
    <w:rsid w:val="0B6E4437"/>
    <w:rsid w:val="0B9109AA"/>
    <w:rsid w:val="0B9F01C5"/>
    <w:rsid w:val="0BC3240C"/>
    <w:rsid w:val="0BC83F60"/>
    <w:rsid w:val="0C364F68"/>
    <w:rsid w:val="0C521233"/>
    <w:rsid w:val="0C6C62F9"/>
    <w:rsid w:val="0C70493E"/>
    <w:rsid w:val="0C730B66"/>
    <w:rsid w:val="0D020937"/>
    <w:rsid w:val="0D4A0241"/>
    <w:rsid w:val="0DA717DD"/>
    <w:rsid w:val="0E1D06E9"/>
    <w:rsid w:val="0E4C4CAD"/>
    <w:rsid w:val="0E6C4374"/>
    <w:rsid w:val="0E76520D"/>
    <w:rsid w:val="0E8042DE"/>
    <w:rsid w:val="0EB65F51"/>
    <w:rsid w:val="0F130CAE"/>
    <w:rsid w:val="0F6A1B72"/>
    <w:rsid w:val="0F7E4AB5"/>
    <w:rsid w:val="0FDC3796"/>
    <w:rsid w:val="0FDF5C57"/>
    <w:rsid w:val="0FEF45D8"/>
    <w:rsid w:val="106B07D0"/>
    <w:rsid w:val="10A36062"/>
    <w:rsid w:val="10B57C21"/>
    <w:rsid w:val="11052D75"/>
    <w:rsid w:val="11121F8F"/>
    <w:rsid w:val="118A0FD0"/>
    <w:rsid w:val="11CA3566"/>
    <w:rsid w:val="11E8746F"/>
    <w:rsid w:val="128E689D"/>
    <w:rsid w:val="129B2E90"/>
    <w:rsid w:val="12A4536D"/>
    <w:rsid w:val="12C51E21"/>
    <w:rsid w:val="13750189"/>
    <w:rsid w:val="137A5404"/>
    <w:rsid w:val="13EF0EA4"/>
    <w:rsid w:val="14AB1989"/>
    <w:rsid w:val="14D34591"/>
    <w:rsid w:val="14D74F4B"/>
    <w:rsid w:val="14D9719C"/>
    <w:rsid w:val="14F35BB7"/>
    <w:rsid w:val="154459C2"/>
    <w:rsid w:val="15DD252D"/>
    <w:rsid w:val="161249E2"/>
    <w:rsid w:val="162C4539"/>
    <w:rsid w:val="16403C17"/>
    <w:rsid w:val="167A7865"/>
    <w:rsid w:val="17077E1E"/>
    <w:rsid w:val="173741A6"/>
    <w:rsid w:val="17497256"/>
    <w:rsid w:val="174B1C4B"/>
    <w:rsid w:val="17684412"/>
    <w:rsid w:val="17822770"/>
    <w:rsid w:val="17AA5F28"/>
    <w:rsid w:val="17AE485B"/>
    <w:rsid w:val="17B0263E"/>
    <w:rsid w:val="17B8199D"/>
    <w:rsid w:val="17EC2627"/>
    <w:rsid w:val="18151F96"/>
    <w:rsid w:val="181C07FE"/>
    <w:rsid w:val="18474916"/>
    <w:rsid w:val="18534811"/>
    <w:rsid w:val="187C5B16"/>
    <w:rsid w:val="18891660"/>
    <w:rsid w:val="19602C5A"/>
    <w:rsid w:val="19960E59"/>
    <w:rsid w:val="19AE6A7C"/>
    <w:rsid w:val="19D2412A"/>
    <w:rsid w:val="1A205D77"/>
    <w:rsid w:val="1A2F4635"/>
    <w:rsid w:val="1A6500CD"/>
    <w:rsid w:val="1A6E3101"/>
    <w:rsid w:val="1AA40A79"/>
    <w:rsid w:val="1AAA7997"/>
    <w:rsid w:val="1AB64BE3"/>
    <w:rsid w:val="1AB67180"/>
    <w:rsid w:val="1AB8095B"/>
    <w:rsid w:val="1AD03189"/>
    <w:rsid w:val="1AD432CC"/>
    <w:rsid w:val="1AE45BF4"/>
    <w:rsid w:val="1AEA5623"/>
    <w:rsid w:val="1B1D4C62"/>
    <w:rsid w:val="1B8151F1"/>
    <w:rsid w:val="1B86423A"/>
    <w:rsid w:val="1B927ADD"/>
    <w:rsid w:val="1B9E2075"/>
    <w:rsid w:val="1BA3160C"/>
    <w:rsid w:val="1BAE4885"/>
    <w:rsid w:val="1BDF0B10"/>
    <w:rsid w:val="1BED33B9"/>
    <w:rsid w:val="1C471BAE"/>
    <w:rsid w:val="1C5C0C26"/>
    <w:rsid w:val="1CAC44F0"/>
    <w:rsid w:val="1CC21F65"/>
    <w:rsid w:val="1CD4051D"/>
    <w:rsid w:val="1CDD2E94"/>
    <w:rsid w:val="1D027F1C"/>
    <w:rsid w:val="1D0A3E09"/>
    <w:rsid w:val="1D3F5364"/>
    <w:rsid w:val="1E017BA6"/>
    <w:rsid w:val="1E1D26F4"/>
    <w:rsid w:val="1E486D96"/>
    <w:rsid w:val="1E513B7B"/>
    <w:rsid w:val="1E66059A"/>
    <w:rsid w:val="1E786D7F"/>
    <w:rsid w:val="1EBA5A37"/>
    <w:rsid w:val="1F47327D"/>
    <w:rsid w:val="1F816AF6"/>
    <w:rsid w:val="1F8D685B"/>
    <w:rsid w:val="1F8E47EB"/>
    <w:rsid w:val="1FCD6E14"/>
    <w:rsid w:val="1FD77AD6"/>
    <w:rsid w:val="205904EB"/>
    <w:rsid w:val="20B9399F"/>
    <w:rsid w:val="20E36C50"/>
    <w:rsid w:val="21250A1F"/>
    <w:rsid w:val="219F1FA0"/>
    <w:rsid w:val="21C71170"/>
    <w:rsid w:val="21E32762"/>
    <w:rsid w:val="21E76FBA"/>
    <w:rsid w:val="22016D7A"/>
    <w:rsid w:val="226B42AC"/>
    <w:rsid w:val="226F3203"/>
    <w:rsid w:val="229B4C4B"/>
    <w:rsid w:val="22AD29BB"/>
    <w:rsid w:val="231F712F"/>
    <w:rsid w:val="23272B22"/>
    <w:rsid w:val="232F5F2B"/>
    <w:rsid w:val="232F6B26"/>
    <w:rsid w:val="23355E47"/>
    <w:rsid w:val="233A2E13"/>
    <w:rsid w:val="237F017D"/>
    <w:rsid w:val="23AD17DA"/>
    <w:rsid w:val="23C92457"/>
    <w:rsid w:val="24116252"/>
    <w:rsid w:val="244D1F35"/>
    <w:rsid w:val="24615AF1"/>
    <w:rsid w:val="24A47FAB"/>
    <w:rsid w:val="24A501A2"/>
    <w:rsid w:val="24A972CC"/>
    <w:rsid w:val="24B2644C"/>
    <w:rsid w:val="24BD7292"/>
    <w:rsid w:val="25582AAC"/>
    <w:rsid w:val="255F47F5"/>
    <w:rsid w:val="25897AC4"/>
    <w:rsid w:val="259D757A"/>
    <w:rsid w:val="25C90160"/>
    <w:rsid w:val="25EB1CBA"/>
    <w:rsid w:val="26622587"/>
    <w:rsid w:val="268F2EB8"/>
    <w:rsid w:val="26B6250E"/>
    <w:rsid w:val="26CA70AB"/>
    <w:rsid w:val="271A7958"/>
    <w:rsid w:val="27206676"/>
    <w:rsid w:val="27323AFD"/>
    <w:rsid w:val="273625F3"/>
    <w:rsid w:val="27640D6C"/>
    <w:rsid w:val="281929B4"/>
    <w:rsid w:val="284631BC"/>
    <w:rsid w:val="28790229"/>
    <w:rsid w:val="28955221"/>
    <w:rsid w:val="292F4361"/>
    <w:rsid w:val="29463324"/>
    <w:rsid w:val="29483044"/>
    <w:rsid w:val="298E7457"/>
    <w:rsid w:val="29DB5E89"/>
    <w:rsid w:val="2A015401"/>
    <w:rsid w:val="2A154CA5"/>
    <w:rsid w:val="2A880A7B"/>
    <w:rsid w:val="2A984622"/>
    <w:rsid w:val="2A9F5694"/>
    <w:rsid w:val="2AE47E9C"/>
    <w:rsid w:val="2AE5327C"/>
    <w:rsid w:val="2AEC5CA9"/>
    <w:rsid w:val="2AF761B7"/>
    <w:rsid w:val="2B044026"/>
    <w:rsid w:val="2B3C1135"/>
    <w:rsid w:val="2B585185"/>
    <w:rsid w:val="2B987E93"/>
    <w:rsid w:val="2B9D7E25"/>
    <w:rsid w:val="2BA900DA"/>
    <w:rsid w:val="2BFF6D43"/>
    <w:rsid w:val="2C5E4903"/>
    <w:rsid w:val="2CDE257A"/>
    <w:rsid w:val="2CEE627B"/>
    <w:rsid w:val="2D102879"/>
    <w:rsid w:val="2D1A0EBD"/>
    <w:rsid w:val="2D1D0F10"/>
    <w:rsid w:val="2D254805"/>
    <w:rsid w:val="2D314CC9"/>
    <w:rsid w:val="2D3E6293"/>
    <w:rsid w:val="2D716FB7"/>
    <w:rsid w:val="2D7D1990"/>
    <w:rsid w:val="2DA532B1"/>
    <w:rsid w:val="2DB66D80"/>
    <w:rsid w:val="2DC144F7"/>
    <w:rsid w:val="2DC4660F"/>
    <w:rsid w:val="2E151CAE"/>
    <w:rsid w:val="2EB37960"/>
    <w:rsid w:val="2ED85E73"/>
    <w:rsid w:val="2EDA6F06"/>
    <w:rsid w:val="2F384988"/>
    <w:rsid w:val="2F3E13BB"/>
    <w:rsid w:val="2F60641D"/>
    <w:rsid w:val="2F6239B5"/>
    <w:rsid w:val="2FC04BEF"/>
    <w:rsid w:val="30057BEC"/>
    <w:rsid w:val="301A4A2F"/>
    <w:rsid w:val="30287B62"/>
    <w:rsid w:val="30442541"/>
    <w:rsid w:val="305C69DC"/>
    <w:rsid w:val="30997F39"/>
    <w:rsid w:val="30B03D7B"/>
    <w:rsid w:val="30BB2AFC"/>
    <w:rsid w:val="31047F0E"/>
    <w:rsid w:val="315363F4"/>
    <w:rsid w:val="315C46BD"/>
    <w:rsid w:val="3207249C"/>
    <w:rsid w:val="329135B7"/>
    <w:rsid w:val="32BF3509"/>
    <w:rsid w:val="32C12A75"/>
    <w:rsid w:val="32DD6E40"/>
    <w:rsid w:val="32E35695"/>
    <w:rsid w:val="32F26CA9"/>
    <w:rsid w:val="32F53FB6"/>
    <w:rsid w:val="33093FF2"/>
    <w:rsid w:val="33110959"/>
    <w:rsid w:val="33664FA1"/>
    <w:rsid w:val="33787717"/>
    <w:rsid w:val="33953AD8"/>
    <w:rsid w:val="33B916E0"/>
    <w:rsid w:val="33D321A9"/>
    <w:rsid w:val="33E31656"/>
    <w:rsid w:val="33FC15EB"/>
    <w:rsid w:val="349E2586"/>
    <w:rsid w:val="34AC0990"/>
    <w:rsid w:val="35150EE6"/>
    <w:rsid w:val="354258EB"/>
    <w:rsid w:val="35D92E39"/>
    <w:rsid w:val="36107F4A"/>
    <w:rsid w:val="36174299"/>
    <w:rsid w:val="36504865"/>
    <w:rsid w:val="366D489F"/>
    <w:rsid w:val="367C1664"/>
    <w:rsid w:val="36807F5F"/>
    <w:rsid w:val="368F09FA"/>
    <w:rsid w:val="36CF1672"/>
    <w:rsid w:val="36E76FE1"/>
    <w:rsid w:val="375D203C"/>
    <w:rsid w:val="38026A6F"/>
    <w:rsid w:val="38137719"/>
    <w:rsid w:val="382311BB"/>
    <w:rsid w:val="38244844"/>
    <w:rsid w:val="38260B47"/>
    <w:rsid w:val="383C5696"/>
    <w:rsid w:val="387B18EF"/>
    <w:rsid w:val="387E303B"/>
    <w:rsid w:val="38910D12"/>
    <w:rsid w:val="38FD1C54"/>
    <w:rsid w:val="392D582E"/>
    <w:rsid w:val="393929C2"/>
    <w:rsid w:val="39902D77"/>
    <w:rsid w:val="399B1010"/>
    <w:rsid w:val="39C15447"/>
    <w:rsid w:val="3A3C34B9"/>
    <w:rsid w:val="3A5312A7"/>
    <w:rsid w:val="3A9827B6"/>
    <w:rsid w:val="3AB578C7"/>
    <w:rsid w:val="3AD13648"/>
    <w:rsid w:val="3AD14697"/>
    <w:rsid w:val="3AE55C00"/>
    <w:rsid w:val="3BC63B24"/>
    <w:rsid w:val="3BCD3EBF"/>
    <w:rsid w:val="3C487939"/>
    <w:rsid w:val="3C722C08"/>
    <w:rsid w:val="3CAB19CD"/>
    <w:rsid w:val="3CAC7EDE"/>
    <w:rsid w:val="3CDB3BDA"/>
    <w:rsid w:val="3CE05DC4"/>
    <w:rsid w:val="3CFB3391"/>
    <w:rsid w:val="3D54230E"/>
    <w:rsid w:val="3D562934"/>
    <w:rsid w:val="3D60411F"/>
    <w:rsid w:val="3D8A02CD"/>
    <w:rsid w:val="3DA93298"/>
    <w:rsid w:val="3DDF4B2C"/>
    <w:rsid w:val="3DF94976"/>
    <w:rsid w:val="3E004CF1"/>
    <w:rsid w:val="3E547E99"/>
    <w:rsid w:val="3EC82150"/>
    <w:rsid w:val="3EE00F3F"/>
    <w:rsid w:val="3EFA5782"/>
    <w:rsid w:val="3F0A7128"/>
    <w:rsid w:val="3F0D44AE"/>
    <w:rsid w:val="3F1D6618"/>
    <w:rsid w:val="3F220916"/>
    <w:rsid w:val="3F23468E"/>
    <w:rsid w:val="3F36468C"/>
    <w:rsid w:val="3FB75AA7"/>
    <w:rsid w:val="3FBA1F41"/>
    <w:rsid w:val="3FF468EF"/>
    <w:rsid w:val="3FFC782B"/>
    <w:rsid w:val="401B3CF2"/>
    <w:rsid w:val="40327DB0"/>
    <w:rsid w:val="40AB1D23"/>
    <w:rsid w:val="40EE65D6"/>
    <w:rsid w:val="40F41E3E"/>
    <w:rsid w:val="40F53849"/>
    <w:rsid w:val="41792343"/>
    <w:rsid w:val="41874A60"/>
    <w:rsid w:val="41E657FF"/>
    <w:rsid w:val="41E70D48"/>
    <w:rsid w:val="422229DB"/>
    <w:rsid w:val="42917FBA"/>
    <w:rsid w:val="42997141"/>
    <w:rsid w:val="429D02B3"/>
    <w:rsid w:val="42B145FC"/>
    <w:rsid w:val="43284021"/>
    <w:rsid w:val="43644E69"/>
    <w:rsid w:val="436C0A8D"/>
    <w:rsid w:val="436F1C02"/>
    <w:rsid w:val="43DC2B82"/>
    <w:rsid w:val="43E22ABA"/>
    <w:rsid w:val="43F80DCD"/>
    <w:rsid w:val="43FB75A4"/>
    <w:rsid w:val="444278D5"/>
    <w:rsid w:val="445D41D8"/>
    <w:rsid w:val="4462631A"/>
    <w:rsid w:val="44751F2B"/>
    <w:rsid w:val="44884C83"/>
    <w:rsid w:val="449622B7"/>
    <w:rsid w:val="452847AC"/>
    <w:rsid w:val="453074E6"/>
    <w:rsid w:val="458A2D71"/>
    <w:rsid w:val="45D95AA6"/>
    <w:rsid w:val="461F443E"/>
    <w:rsid w:val="46500EC4"/>
    <w:rsid w:val="467E1C70"/>
    <w:rsid w:val="468A4245"/>
    <w:rsid w:val="46A75BA4"/>
    <w:rsid w:val="4748596C"/>
    <w:rsid w:val="47500045"/>
    <w:rsid w:val="476B40D2"/>
    <w:rsid w:val="477261B2"/>
    <w:rsid w:val="478B7839"/>
    <w:rsid w:val="48040645"/>
    <w:rsid w:val="48376AB4"/>
    <w:rsid w:val="48523C0A"/>
    <w:rsid w:val="48763CF2"/>
    <w:rsid w:val="487C78C9"/>
    <w:rsid w:val="489E3890"/>
    <w:rsid w:val="48B40105"/>
    <w:rsid w:val="48F511C4"/>
    <w:rsid w:val="494975E8"/>
    <w:rsid w:val="497A2C70"/>
    <w:rsid w:val="49E47F6E"/>
    <w:rsid w:val="49EA0282"/>
    <w:rsid w:val="4A0B41AC"/>
    <w:rsid w:val="4A4F766A"/>
    <w:rsid w:val="4A51245D"/>
    <w:rsid w:val="4A6E2C61"/>
    <w:rsid w:val="4B1550A5"/>
    <w:rsid w:val="4B3A06D7"/>
    <w:rsid w:val="4B3F6B82"/>
    <w:rsid w:val="4B447127"/>
    <w:rsid w:val="4B6B7860"/>
    <w:rsid w:val="4B822253"/>
    <w:rsid w:val="4B9759E4"/>
    <w:rsid w:val="4BC56187"/>
    <w:rsid w:val="4BD34E49"/>
    <w:rsid w:val="4C0C01C1"/>
    <w:rsid w:val="4C286E40"/>
    <w:rsid w:val="4C942727"/>
    <w:rsid w:val="4CBC28D9"/>
    <w:rsid w:val="4D3021F3"/>
    <w:rsid w:val="4D3D691B"/>
    <w:rsid w:val="4D3F455B"/>
    <w:rsid w:val="4D6E3BBD"/>
    <w:rsid w:val="4DBC088F"/>
    <w:rsid w:val="4DCD4142"/>
    <w:rsid w:val="4DCF2F60"/>
    <w:rsid w:val="4E2174AB"/>
    <w:rsid w:val="4E2C1433"/>
    <w:rsid w:val="4E300D69"/>
    <w:rsid w:val="4E3C60BC"/>
    <w:rsid w:val="4E4E5A90"/>
    <w:rsid w:val="4E6C325B"/>
    <w:rsid w:val="4EBE15A2"/>
    <w:rsid w:val="4EC54C1D"/>
    <w:rsid w:val="4ED35B75"/>
    <w:rsid w:val="4EE00DE1"/>
    <w:rsid w:val="4F502F66"/>
    <w:rsid w:val="4F7072B9"/>
    <w:rsid w:val="4F764175"/>
    <w:rsid w:val="4F7E2EF6"/>
    <w:rsid w:val="4F8464B4"/>
    <w:rsid w:val="4F860D69"/>
    <w:rsid w:val="4F871ED9"/>
    <w:rsid w:val="4F9A1B35"/>
    <w:rsid w:val="4FD70343"/>
    <w:rsid w:val="50391FDB"/>
    <w:rsid w:val="503E6388"/>
    <w:rsid w:val="504E4830"/>
    <w:rsid w:val="50530F7D"/>
    <w:rsid w:val="50806617"/>
    <w:rsid w:val="50834F8C"/>
    <w:rsid w:val="50D76907"/>
    <w:rsid w:val="50E71153"/>
    <w:rsid w:val="510F4A72"/>
    <w:rsid w:val="513F1823"/>
    <w:rsid w:val="515A1897"/>
    <w:rsid w:val="516F27CB"/>
    <w:rsid w:val="5196143C"/>
    <w:rsid w:val="51B55619"/>
    <w:rsid w:val="51E63FE0"/>
    <w:rsid w:val="52043826"/>
    <w:rsid w:val="52125025"/>
    <w:rsid w:val="524266BE"/>
    <w:rsid w:val="52E00EA8"/>
    <w:rsid w:val="52F13971"/>
    <w:rsid w:val="531151F6"/>
    <w:rsid w:val="53193AC3"/>
    <w:rsid w:val="53356AB0"/>
    <w:rsid w:val="53597175"/>
    <w:rsid w:val="53687418"/>
    <w:rsid w:val="53720DE2"/>
    <w:rsid w:val="538057B3"/>
    <w:rsid w:val="53AA2830"/>
    <w:rsid w:val="53CD4272"/>
    <w:rsid w:val="53F92C98"/>
    <w:rsid w:val="54067AFD"/>
    <w:rsid w:val="541A6CDE"/>
    <w:rsid w:val="54E57FC4"/>
    <w:rsid w:val="555D67A4"/>
    <w:rsid w:val="55B60238"/>
    <w:rsid w:val="55EA5219"/>
    <w:rsid w:val="561505D4"/>
    <w:rsid w:val="563102A4"/>
    <w:rsid w:val="56973E1F"/>
    <w:rsid w:val="56E30533"/>
    <w:rsid w:val="576772B5"/>
    <w:rsid w:val="576C7C19"/>
    <w:rsid w:val="57CD71C9"/>
    <w:rsid w:val="57E34306"/>
    <w:rsid w:val="57E57589"/>
    <w:rsid w:val="57ED2754"/>
    <w:rsid w:val="58AC71CF"/>
    <w:rsid w:val="590B5B1F"/>
    <w:rsid w:val="591254B9"/>
    <w:rsid w:val="596A6CE9"/>
    <w:rsid w:val="59A92A61"/>
    <w:rsid w:val="59C9560C"/>
    <w:rsid w:val="5A3317D1"/>
    <w:rsid w:val="5A4F613E"/>
    <w:rsid w:val="5ADE1F73"/>
    <w:rsid w:val="5AFE3B8D"/>
    <w:rsid w:val="5BF8382F"/>
    <w:rsid w:val="5BFD3E45"/>
    <w:rsid w:val="5C052CF9"/>
    <w:rsid w:val="5C22684F"/>
    <w:rsid w:val="5C6E68D3"/>
    <w:rsid w:val="5C702869"/>
    <w:rsid w:val="5CB52BD2"/>
    <w:rsid w:val="5CDF456F"/>
    <w:rsid w:val="5CE3322E"/>
    <w:rsid w:val="5D572C78"/>
    <w:rsid w:val="5D7C348F"/>
    <w:rsid w:val="5DCB33F6"/>
    <w:rsid w:val="5DD153DA"/>
    <w:rsid w:val="5DFF429F"/>
    <w:rsid w:val="5E3556CC"/>
    <w:rsid w:val="5E6A2CC5"/>
    <w:rsid w:val="5E990EF9"/>
    <w:rsid w:val="5E99583F"/>
    <w:rsid w:val="5EBF74D1"/>
    <w:rsid w:val="5ED74E21"/>
    <w:rsid w:val="5EDA046D"/>
    <w:rsid w:val="5F2465E8"/>
    <w:rsid w:val="5F2E2567"/>
    <w:rsid w:val="5F306102"/>
    <w:rsid w:val="5F4B72E8"/>
    <w:rsid w:val="5F783DAA"/>
    <w:rsid w:val="5FC54CE6"/>
    <w:rsid w:val="5FD2383A"/>
    <w:rsid w:val="601A24B3"/>
    <w:rsid w:val="603B11D0"/>
    <w:rsid w:val="60E15CF6"/>
    <w:rsid w:val="60FE4D9D"/>
    <w:rsid w:val="61044027"/>
    <w:rsid w:val="61067EA9"/>
    <w:rsid w:val="612C47B1"/>
    <w:rsid w:val="618C17C7"/>
    <w:rsid w:val="61AA49D7"/>
    <w:rsid w:val="61B938DB"/>
    <w:rsid w:val="61DB480A"/>
    <w:rsid w:val="626A12F1"/>
    <w:rsid w:val="628E2720"/>
    <w:rsid w:val="62F241E8"/>
    <w:rsid w:val="63057A83"/>
    <w:rsid w:val="630930CF"/>
    <w:rsid w:val="632B71C6"/>
    <w:rsid w:val="634C153F"/>
    <w:rsid w:val="636F7002"/>
    <w:rsid w:val="6438051B"/>
    <w:rsid w:val="6457430E"/>
    <w:rsid w:val="645940DA"/>
    <w:rsid w:val="645962D8"/>
    <w:rsid w:val="64834DD8"/>
    <w:rsid w:val="648C318D"/>
    <w:rsid w:val="649E018F"/>
    <w:rsid w:val="64B35E55"/>
    <w:rsid w:val="64D30970"/>
    <w:rsid w:val="650A7C94"/>
    <w:rsid w:val="653505E7"/>
    <w:rsid w:val="65876E75"/>
    <w:rsid w:val="658F218E"/>
    <w:rsid w:val="65B95D5B"/>
    <w:rsid w:val="661B154B"/>
    <w:rsid w:val="662114A5"/>
    <w:rsid w:val="662E766F"/>
    <w:rsid w:val="66AC2722"/>
    <w:rsid w:val="66E71CCD"/>
    <w:rsid w:val="671E1113"/>
    <w:rsid w:val="67305B69"/>
    <w:rsid w:val="676A38DC"/>
    <w:rsid w:val="676F196F"/>
    <w:rsid w:val="67851192"/>
    <w:rsid w:val="678F1196"/>
    <w:rsid w:val="67A05B7E"/>
    <w:rsid w:val="67AF7FBD"/>
    <w:rsid w:val="67ED5EED"/>
    <w:rsid w:val="68101CC4"/>
    <w:rsid w:val="687424E1"/>
    <w:rsid w:val="68D433DA"/>
    <w:rsid w:val="68D81006"/>
    <w:rsid w:val="69146FEF"/>
    <w:rsid w:val="69904B07"/>
    <w:rsid w:val="69D34CDF"/>
    <w:rsid w:val="69EC54F9"/>
    <w:rsid w:val="6A5F4FA1"/>
    <w:rsid w:val="6A7A4E34"/>
    <w:rsid w:val="6ADA6866"/>
    <w:rsid w:val="6B3158B9"/>
    <w:rsid w:val="6B4A018C"/>
    <w:rsid w:val="6B61332D"/>
    <w:rsid w:val="6B9D4CFC"/>
    <w:rsid w:val="6C4516BE"/>
    <w:rsid w:val="6C4A61B1"/>
    <w:rsid w:val="6C4F5101"/>
    <w:rsid w:val="6C7621DF"/>
    <w:rsid w:val="6C787452"/>
    <w:rsid w:val="6C853C97"/>
    <w:rsid w:val="6CAD0F6F"/>
    <w:rsid w:val="6CE1254E"/>
    <w:rsid w:val="6CEF4F0F"/>
    <w:rsid w:val="6D397846"/>
    <w:rsid w:val="6D761CA9"/>
    <w:rsid w:val="6DAA12B9"/>
    <w:rsid w:val="6DAB59DE"/>
    <w:rsid w:val="6DAC0CA7"/>
    <w:rsid w:val="6DC24EEE"/>
    <w:rsid w:val="6DD9192B"/>
    <w:rsid w:val="6E434EF0"/>
    <w:rsid w:val="6E6E4E06"/>
    <w:rsid w:val="6E7A016D"/>
    <w:rsid w:val="6EC47A23"/>
    <w:rsid w:val="6ED749C9"/>
    <w:rsid w:val="6EF47564"/>
    <w:rsid w:val="6FE253D4"/>
    <w:rsid w:val="6FED0D11"/>
    <w:rsid w:val="701B0E3A"/>
    <w:rsid w:val="70235C5C"/>
    <w:rsid w:val="702C1048"/>
    <w:rsid w:val="70455FF7"/>
    <w:rsid w:val="705B4869"/>
    <w:rsid w:val="707215D5"/>
    <w:rsid w:val="708B7B34"/>
    <w:rsid w:val="708E730A"/>
    <w:rsid w:val="70B42BBA"/>
    <w:rsid w:val="71493855"/>
    <w:rsid w:val="71525973"/>
    <w:rsid w:val="71790EBA"/>
    <w:rsid w:val="71AA1F21"/>
    <w:rsid w:val="71B53A87"/>
    <w:rsid w:val="71D55BDA"/>
    <w:rsid w:val="71DA2ABA"/>
    <w:rsid w:val="71F76241"/>
    <w:rsid w:val="72461BCF"/>
    <w:rsid w:val="726971FF"/>
    <w:rsid w:val="72F42593"/>
    <w:rsid w:val="730043D2"/>
    <w:rsid w:val="73724465"/>
    <w:rsid w:val="737547B1"/>
    <w:rsid w:val="73CC483B"/>
    <w:rsid w:val="73FE0302"/>
    <w:rsid w:val="74125A53"/>
    <w:rsid w:val="74162289"/>
    <w:rsid w:val="741D2362"/>
    <w:rsid w:val="74933D70"/>
    <w:rsid w:val="749C2B7B"/>
    <w:rsid w:val="749D1342"/>
    <w:rsid w:val="749F7D37"/>
    <w:rsid w:val="750758DC"/>
    <w:rsid w:val="75566EE4"/>
    <w:rsid w:val="7583200C"/>
    <w:rsid w:val="7660428B"/>
    <w:rsid w:val="76A07D97"/>
    <w:rsid w:val="76C56DC4"/>
    <w:rsid w:val="76F2653C"/>
    <w:rsid w:val="77974CF6"/>
    <w:rsid w:val="779C02DE"/>
    <w:rsid w:val="77B4314C"/>
    <w:rsid w:val="77CD13AB"/>
    <w:rsid w:val="77CE4DD0"/>
    <w:rsid w:val="77D84AFD"/>
    <w:rsid w:val="78014865"/>
    <w:rsid w:val="789E6215"/>
    <w:rsid w:val="78C647AD"/>
    <w:rsid w:val="78CE77AC"/>
    <w:rsid w:val="78D43D28"/>
    <w:rsid w:val="79020895"/>
    <w:rsid w:val="79394A97"/>
    <w:rsid w:val="79561157"/>
    <w:rsid w:val="79900684"/>
    <w:rsid w:val="799551B0"/>
    <w:rsid w:val="79963F39"/>
    <w:rsid w:val="79A65463"/>
    <w:rsid w:val="79DB3FA7"/>
    <w:rsid w:val="79F31D17"/>
    <w:rsid w:val="7A286456"/>
    <w:rsid w:val="7AC73B44"/>
    <w:rsid w:val="7ACF0E2A"/>
    <w:rsid w:val="7ADC31A8"/>
    <w:rsid w:val="7AE11CFE"/>
    <w:rsid w:val="7B275319"/>
    <w:rsid w:val="7B3D5BB4"/>
    <w:rsid w:val="7B4324F0"/>
    <w:rsid w:val="7B453B00"/>
    <w:rsid w:val="7B8F0214"/>
    <w:rsid w:val="7BF111A2"/>
    <w:rsid w:val="7C280C89"/>
    <w:rsid w:val="7C7E46D6"/>
    <w:rsid w:val="7CAE4569"/>
    <w:rsid w:val="7CB121DB"/>
    <w:rsid w:val="7CBE43EB"/>
    <w:rsid w:val="7D040A54"/>
    <w:rsid w:val="7D197F5B"/>
    <w:rsid w:val="7D2B5029"/>
    <w:rsid w:val="7D4C0330"/>
    <w:rsid w:val="7DBB4185"/>
    <w:rsid w:val="7DC934DB"/>
    <w:rsid w:val="7E4435B5"/>
    <w:rsid w:val="7E492AC2"/>
    <w:rsid w:val="7E5739DC"/>
    <w:rsid w:val="7E9E3841"/>
    <w:rsid w:val="7EBC6B26"/>
    <w:rsid w:val="7ECB1A77"/>
    <w:rsid w:val="7ECC1B65"/>
    <w:rsid w:val="7ED60533"/>
    <w:rsid w:val="7EE23AE4"/>
    <w:rsid w:val="7EE52B34"/>
    <w:rsid w:val="7EF23159"/>
    <w:rsid w:val="7F3D2627"/>
    <w:rsid w:val="7F517E80"/>
    <w:rsid w:val="7F8B2110"/>
    <w:rsid w:val="7FB77874"/>
    <w:rsid w:val="7FE32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5"/>
    <w:link w:val="60"/>
    <w:qFormat/>
    <w:uiPriority w:val="0"/>
    <w:pPr>
      <w:keepNext/>
      <w:keepLines/>
      <w:spacing w:after="120" w:line="360" w:lineRule="auto"/>
      <w:outlineLvl w:val="0"/>
    </w:pPr>
    <w:rPr>
      <w:kern w:val="44"/>
      <w:sz w:val="28"/>
      <w:szCs w:val="28"/>
    </w:rPr>
  </w:style>
  <w:style w:type="paragraph" w:styleId="7">
    <w:name w:val="heading 2"/>
    <w:basedOn w:val="1"/>
    <w:next w:val="1"/>
    <w:link w:val="61"/>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8">
    <w:name w:val="heading 3"/>
    <w:basedOn w:val="1"/>
    <w:next w:val="1"/>
    <w:link w:val="46"/>
    <w:qFormat/>
    <w:uiPriority w:val="0"/>
    <w:pPr>
      <w:widowControl/>
      <w:spacing w:before="100" w:beforeAutospacing="1" w:after="100" w:afterAutospacing="1"/>
      <w:jc w:val="left"/>
      <w:outlineLvl w:val="2"/>
    </w:pPr>
    <w:rPr>
      <w:rFonts w:ascii="宋体" w:hAnsi="宋体" w:eastAsia="宋体" w:cs="宋体"/>
      <w:kern w:val="0"/>
      <w:sz w:val="24"/>
      <w:szCs w:val="27"/>
    </w:rPr>
  </w:style>
  <w:style w:type="paragraph" w:styleId="9">
    <w:name w:val="heading 4"/>
    <w:basedOn w:val="8"/>
    <w:next w:val="10"/>
    <w:link w:val="62"/>
    <w:qFormat/>
    <w:uiPriority w:val="0"/>
    <w:pPr>
      <w:keepNext/>
      <w:keepLines/>
      <w:widowControl w:val="0"/>
      <w:numPr>
        <w:ilvl w:val="3"/>
        <w:numId w:val="1"/>
      </w:numPr>
      <w:spacing w:before="0" w:beforeLines="50" w:beforeAutospacing="0" w:after="0" w:afterLines="50" w:afterAutospacing="0" w:line="360" w:lineRule="auto"/>
      <w:outlineLvl w:val="3"/>
    </w:pPr>
    <w:rPr>
      <w:rFonts w:ascii="Arial" w:hAnsi="Arial" w:cs="Times New Roman"/>
      <w:color w:val="000000"/>
      <w:kern w:val="2"/>
      <w:sz w:val="21"/>
      <w:szCs w:val="21"/>
    </w:rPr>
  </w:style>
  <w:style w:type="paragraph" w:styleId="11">
    <w:name w:val="heading 5"/>
    <w:basedOn w:val="9"/>
    <w:next w:val="10"/>
    <w:link w:val="63"/>
    <w:qFormat/>
    <w:uiPriority w:val="0"/>
    <w:pPr>
      <w:numPr>
        <w:ilvl w:val="4"/>
      </w:numPr>
      <w:spacing w:line="240" w:lineRule="exact"/>
      <w:outlineLvl w:val="4"/>
    </w:pPr>
  </w:style>
  <w:style w:type="paragraph" w:styleId="12">
    <w:name w:val="heading 6"/>
    <w:basedOn w:val="1"/>
    <w:next w:val="1"/>
    <w:link w:val="64"/>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3">
    <w:name w:val="heading 7"/>
    <w:basedOn w:val="1"/>
    <w:next w:val="10"/>
    <w:link w:val="65"/>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4">
    <w:name w:val="heading 8"/>
    <w:basedOn w:val="1"/>
    <w:next w:val="10"/>
    <w:link w:val="66"/>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5">
    <w:name w:val="heading 9"/>
    <w:basedOn w:val="1"/>
    <w:next w:val="10"/>
    <w:link w:val="67"/>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style>
  <w:style w:type="paragraph" w:styleId="4">
    <w:name w:val="Title"/>
    <w:basedOn w:val="1"/>
    <w:link w:val="69"/>
    <w:qFormat/>
    <w:uiPriority w:val="0"/>
    <w:pPr>
      <w:spacing w:before="120" w:after="60"/>
      <w:jc w:val="center"/>
    </w:pPr>
    <w:rPr>
      <w:rFonts w:ascii="Arial" w:hAnsi="Arial"/>
      <w:b/>
      <w:sz w:val="44"/>
      <w:szCs w:val="20"/>
    </w:rPr>
  </w:style>
  <w:style w:type="paragraph" w:styleId="5">
    <w:name w:val="Body Text First Indent"/>
    <w:basedOn w:val="6"/>
    <w:link w:val="73"/>
    <w:qFormat/>
    <w:uiPriority w:val="0"/>
    <w:pPr>
      <w:ind w:firstLine="420"/>
    </w:pPr>
  </w:style>
  <w:style w:type="paragraph" w:styleId="6">
    <w:name w:val="Body Text"/>
    <w:basedOn w:val="1"/>
    <w:link w:val="71"/>
    <w:qFormat/>
    <w:uiPriority w:val="0"/>
    <w:pPr>
      <w:spacing w:after="120"/>
    </w:pPr>
    <w:rPr>
      <w:rFonts w:ascii="Times New Roman" w:hAnsi="Times New Roman"/>
      <w:szCs w:val="20"/>
    </w:rPr>
  </w:style>
  <w:style w:type="paragraph" w:styleId="10">
    <w:name w:val="Normal Indent"/>
    <w:basedOn w:val="1"/>
    <w:next w:val="1"/>
    <w:qFormat/>
    <w:uiPriority w:val="0"/>
    <w:pPr>
      <w:ind w:firstLine="420"/>
    </w:pPr>
    <w:rPr>
      <w:rFonts w:ascii="Times New Roman" w:hAnsi="Times New Roman"/>
      <w:szCs w:val="20"/>
    </w:rPr>
  </w:style>
  <w:style w:type="paragraph" w:styleId="16">
    <w:name w:val="Document Map"/>
    <w:basedOn w:val="1"/>
    <w:link w:val="79"/>
    <w:qFormat/>
    <w:uiPriority w:val="0"/>
    <w:pPr>
      <w:shd w:val="clear" w:color="auto" w:fill="000080"/>
    </w:pPr>
    <w:rPr>
      <w:rFonts w:ascii="Times New Roman" w:hAnsi="Times New Roman"/>
      <w:szCs w:val="20"/>
    </w:rPr>
  </w:style>
  <w:style w:type="paragraph" w:styleId="17">
    <w:name w:val="annotation text"/>
    <w:basedOn w:val="1"/>
    <w:link w:val="105"/>
    <w:qFormat/>
    <w:uiPriority w:val="0"/>
    <w:pPr>
      <w:spacing w:line="360" w:lineRule="auto"/>
      <w:ind w:firstLine="523" w:firstLineChars="218"/>
      <w:jc w:val="left"/>
    </w:pPr>
    <w:rPr>
      <w:rFonts w:ascii="宋体" w:hAnsi="宋体"/>
      <w:sz w:val="24"/>
      <w:szCs w:val="24"/>
    </w:rPr>
  </w:style>
  <w:style w:type="paragraph" w:styleId="18">
    <w:name w:val="Body Text Indent"/>
    <w:basedOn w:val="1"/>
    <w:link w:val="77"/>
    <w:qFormat/>
    <w:uiPriority w:val="0"/>
    <w:pPr>
      <w:ind w:firstLine="570"/>
    </w:pPr>
    <w:rPr>
      <w:rFonts w:ascii="Times New Roman" w:hAnsi="Times New Roman"/>
      <w:sz w:val="28"/>
      <w:szCs w:val="20"/>
    </w:rPr>
  </w:style>
  <w:style w:type="paragraph" w:styleId="19">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20">
    <w:name w:val="Plain Text"/>
    <w:basedOn w:val="1"/>
    <w:next w:val="1"/>
    <w:link w:val="81"/>
    <w:qFormat/>
    <w:uiPriority w:val="0"/>
    <w:rPr>
      <w:rFonts w:ascii="宋体" w:hAnsi="Courier New"/>
      <w:szCs w:val="20"/>
    </w:rPr>
  </w:style>
  <w:style w:type="paragraph" w:styleId="21">
    <w:name w:val="Date"/>
    <w:basedOn w:val="1"/>
    <w:next w:val="1"/>
    <w:link w:val="75"/>
    <w:qFormat/>
    <w:uiPriority w:val="0"/>
    <w:rPr>
      <w:rFonts w:ascii="Times New Roman" w:hAnsi="Times New Roman"/>
      <w:szCs w:val="20"/>
    </w:rPr>
  </w:style>
  <w:style w:type="paragraph" w:styleId="22">
    <w:name w:val="Body Text Indent 2"/>
    <w:basedOn w:val="1"/>
    <w:link w:val="83"/>
    <w:qFormat/>
    <w:uiPriority w:val="0"/>
    <w:pPr>
      <w:spacing w:line="400" w:lineRule="exact"/>
      <w:ind w:left="425"/>
    </w:pPr>
    <w:rPr>
      <w:rFonts w:ascii="Times New Roman" w:hAnsi="Times New Roman"/>
      <w:color w:val="000000"/>
      <w:sz w:val="24"/>
      <w:szCs w:val="20"/>
    </w:rPr>
  </w:style>
  <w:style w:type="paragraph" w:styleId="23">
    <w:name w:val="endnote text"/>
    <w:basedOn w:val="1"/>
    <w:link w:val="92"/>
    <w:qFormat/>
    <w:uiPriority w:val="0"/>
    <w:pPr>
      <w:snapToGrid w:val="0"/>
      <w:jc w:val="left"/>
    </w:pPr>
    <w:rPr>
      <w:rFonts w:ascii="Times New Roman" w:hAnsi="Times New Roman"/>
      <w:szCs w:val="20"/>
    </w:rPr>
  </w:style>
  <w:style w:type="paragraph" w:styleId="24">
    <w:name w:val="Balloon Text"/>
    <w:basedOn w:val="1"/>
    <w:link w:val="102"/>
    <w:qFormat/>
    <w:uiPriority w:val="0"/>
    <w:rPr>
      <w:rFonts w:ascii="Times New Roman" w:hAnsi="Times New Roman"/>
      <w:sz w:val="18"/>
      <w:szCs w:val="18"/>
    </w:rPr>
  </w:style>
  <w:style w:type="paragraph" w:styleId="25">
    <w:name w:val="footer"/>
    <w:basedOn w:val="1"/>
    <w:link w:val="59"/>
    <w:unhideWhenUsed/>
    <w:qFormat/>
    <w:uiPriority w:val="0"/>
    <w:pPr>
      <w:tabs>
        <w:tab w:val="center" w:pos="4153"/>
        <w:tab w:val="right" w:pos="8306"/>
      </w:tabs>
      <w:snapToGrid w:val="0"/>
      <w:jc w:val="left"/>
    </w:pPr>
    <w:rPr>
      <w:sz w:val="18"/>
      <w:szCs w:val="18"/>
    </w:rPr>
  </w:style>
  <w:style w:type="paragraph" w:styleId="26">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8">
    <w:name w:val="footnote text"/>
    <w:basedOn w:val="1"/>
    <w:link w:val="107"/>
    <w:qFormat/>
    <w:uiPriority w:val="0"/>
    <w:pPr>
      <w:snapToGrid w:val="0"/>
      <w:spacing w:line="360" w:lineRule="auto"/>
      <w:ind w:firstLine="523" w:firstLineChars="218"/>
      <w:jc w:val="left"/>
    </w:pPr>
    <w:rPr>
      <w:rFonts w:ascii="宋体" w:hAnsi="宋体"/>
      <w:sz w:val="18"/>
      <w:szCs w:val="18"/>
    </w:rPr>
  </w:style>
  <w:style w:type="paragraph" w:styleId="29">
    <w:name w:val="Body Text Indent 3"/>
    <w:basedOn w:val="1"/>
    <w:link w:val="85"/>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30">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31">
    <w:name w:val="Body Text 2"/>
    <w:basedOn w:val="1"/>
    <w:link w:val="89"/>
    <w:qFormat/>
    <w:uiPriority w:val="0"/>
    <w:rPr>
      <w:rFonts w:ascii="宋体" w:hAnsi="宋体"/>
      <w:szCs w:val="24"/>
      <w:u w:val="single"/>
    </w:rPr>
  </w:style>
  <w:style w:type="paragraph" w:styleId="3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3">
    <w:name w:val="Normal (Web)"/>
    <w:basedOn w:val="1"/>
    <w:qFormat/>
    <w:uiPriority w:val="0"/>
    <w:pPr>
      <w:widowControl/>
      <w:autoSpaceDE/>
      <w:autoSpaceDN/>
      <w:spacing w:before="100" w:beforeAutospacing="1" w:after="100" w:afterAutospacing="1"/>
    </w:pPr>
    <w:rPr>
      <w:rFonts w:ascii="宋体" w:hAnsi="宋体" w:eastAsia="方正楷体_GB2312" w:cs="宋体"/>
      <w:sz w:val="24"/>
      <w:szCs w:val="24"/>
    </w:rPr>
  </w:style>
  <w:style w:type="paragraph" w:styleId="34">
    <w:name w:val="index 1"/>
    <w:basedOn w:val="1"/>
    <w:next w:val="1"/>
    <w:qFormat/>
    <w:uiPriority w:val="0"/>
    <w:rPr>
      <w:rFonts w:ascii="Times New Roman" w:hAnsi="Times New Roman" w:eastAsia="仿宋_GB2312"/>
      <w:sz w:val="28"/>
      <w:szCs w:val="20"/>
    </w:rPr>
  </w:style>
  <w:style w:type="paragraph" w:styleId="35">
    <w:name w:val="annotation subject"/>
    <w:basedOn w:val="17"/>
    <w:next w:val="17"/>
    <w:link w:val="109"/>
    <w:qFormat/>
    <w:uiPriority w:val="0"/>
    <w:rPr>
      <w:b/>
      <w:bCs/>
    </w:rPr>
  </w:style>
  <w:style w:type="table" w:styleId="37">
    <w:name w:val="Table Grid"/>
    <w:basedOn w:val="36"/>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rPr>
  </w:style>
  <w:style w:type="character" w:styleId="40">
    <w:name w:val="endnote reference"/>
    <w:qFormat/>
    <w:uiPriority w:val="0"/>
    <w:rPr>
      <w:vertAlign w:val="superscript"/>
    </w:rPr>
  </w:style>
  <w:style w:type="character" w:styleId="41">
    <w:name w:val="page number"/>
    <w:qFormat/>
    <w:uiPriority w:val="0"/>
    <w:rPr>
      <w:rFonts w:cs="Times New Roman"/>
    </w:rPr>
  </w:style>
  <w:style w:type="character" w:styleId="42">
    <w:name w:val="FollowedHyperlink"/>
    <w:semiHidden/>
    <w:unhideWhenUsed/>
    <w:qFormat/>
    <w:uiPriority w:val="99"/>
    <w:rPr>
      <w:color w:val="954F72"/>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styleId="45">
    <w:name w:val="footnote reference"/>
    <w:qFormat/>
    <w:uiPriority w:val="0"/>
    <w:rPr>
      <w:vertAlign w:val="superscript"/>
    </w:rPr>
  </w:style>
  <w:style w:type="character" w:customStyle="1" w:styleId="46">
    <w:name w:val="标题 3 Char"/>
    <w:link w:val="8"/>
    <w:qFormat/>
    <w:uiPriority w:val="0"/>
    <w:rPr>
      <w:rFonts w:ascii="宋体" w:hAnsi="宋体" w:eastAsia="宋体" w:cs="宋体"/>
      <w:kern w:val="0"/>
      <w:sz w:val="24"/>
      <w:szCs w:val="27"/>
    </w:rPr>
  </w:style>
  <w:style w:type="character" w:customStyle="1" w:styleId="47">
    <w:name w:val="标题 1 字符"/>
    <w:qFormat/>
    <w:uiPriority w:val="9"/>
    <w:rPr>
      <w:rFonts w:ascii="Calibri" w:hAnsi="Calibri" w:eastAsia="宋体" w:cs="Times New Roman"/>
      <w:b/>
      <w:bCs/>
      <w:kern w:val="44"/>
      <w:sz w:val="44"/>
      <w:szCs w:val="44"/>
    </w:rPr>
  </w:style>
  <w:style w:type="character" w:customStyle="1" w:styleId="48">
    <w:name w:val="标题 2 字符"/>
    <w:semiHidden/>
    <w:qFormat/>
    <w:uiPriority w:val="9"/>
    <w:rPr>
      <w:rFonts w:ascii="等线 Light" w:hAnsi="等线 Light" w:eastAsia="等线 Light" w:cs="Times New Roman"/>
      <w:b/>
      <w:bCs/>
      <w:sz w:val="32"/>
      <w:szCs w:val="32"/>
    </w:rPr>
  </w:style>
  <w:style w:type="character" w:customStyle="1" w:styleId="49">
    <w:name w:val="标题 3 字符"/>
    <w:semiHidden/>
    <w:qFormat/>
    <w:uiPriority w:val="9"/>
    <w:rPr>
      <w:rFonts w:ascii="Calibri" w:hAnsi="Calibri" w:eastAsia="宋体" w:cs="Times New Roman"/>
      <w:b/>
      <w:bCs/>
      <w:sz w:val="32"/>
      <w:szCs w:val="32"/>
    </w:rPr>
  </w:style>
  <w:style w:type="character" w:customStyle="1" w:styleId="50">
    <w:name w:val="标题 4 字符"/>
    <w:semiHidden/>
    <w:qFormat/>
    <w:uiPriority w:val="9"/>
    <w:rPr>
      <w:rFonts w:ascii="等线 Light" w:hAnsi="等线 Light" w:eastAsia="等线 Light" w:cs="Times New Roman"/>
      <w:b/>
      <w:bCs/>
      <w:sz w:val="28"/>
      <w:szCs w:val="28"/>
    </w:rPr>
  </w:style>
  <w:style w:type="character" w:customStyle="1" w:styleId="51">
    <w:name w:val="标题 5 字符"/>
    <w:semiHidden/>
    <w:qFormat/>
    <w:uiPriority w:val="9"/>
    <w:rPr>
      <w:rFonts w:ascii="Calibri" w:hAnsi="Calibri" w:eastAsia="宋体" w:cs="Times New Roman"/>
      <w:b/>
      <w:bCs/>
      <w:sz w:val="28"/>
      <w:szCs w:val="28"/>
    </w:rPr>
  </w:style>
  <w:style w:type="character" w:customStyle="1" w:styleId="52">
    <w:name w:val="标题 6 字符"/>
    <w:semiHidden/>
    <w:qFormat/>
    <w:uiPriority w:val="9"/>
    <w:rPr>
      <w:rFonts w:ascii="等线 Light" w:hAnsi="等线 Light" w:eastAsia="等线 Light" w:cs="Times New Roman"/>
      <w:b/>
      <w:bCs/>
      <w:sz w:val="24"/>
      <w:szCs w:val="24"/>
    </w:rPr>
  </w:style>
  <w:style w:type="character" w:customStyle="1" w:styleId="53">
    <w:name w:val="标题 7 字符"/>
    <w:semiHidden/>
    <w:qFormat/>
    <w:uiPriority w:val="9"/>
    <w:rPr>
      <w:rFonts w:ascii="Calibri" w:hAnsi="Calibri" w:eastAsia="宋体" w:cs="Times New Roman"/>
      <w:b/>
      <w:bCs/>
      <w:sz w:val="24"/>
      <w:szCs w:val="24"/>
    </w:rPr>
  </w:style>
  <w:style w:type="character" w:customStyle="1" w:styleId="54">
    <w:name w:val="标题 8 字符"/>
    <w:semiHidden/>
    <w:qFormat/>
    <w:uiPriority w:val="9"/>
    <w:rPr>
      <w:rFonts w:ascii="等线 Light" w:hAnsi="等线 Light" w:eastAsia="等线 Light" w:cs="Times New Roman"/>
      <w:sz w:val="24"/>
      <w:szCs w:val="24"/>
    </w:rPr>
  </w:style>
  <w:style w:type="character" w:customStyle="1" w:styleId="55">
    <w:name w:val="标题 9 字符"/>
    <w:semiHidden/>
    <w:qFormat/>
    <w:uiPriority w:val="9"/>
    <w:rPr>
      <w:rFonts w:ascii="等线 Light" w:hAnsi="等线 Light" w:eastAsia="等线 Light" w:cs="Times New Roman"/>
      <w:szCs w:val="21"/>
    </w:rPr>
  </w:style>
  <w:style w:type="character" w:customStyle="1" w:styleId="56">
    <w:name w:val="页眉 字符"/>
    <w:semiHidden/>
    <w:qFormat/>
    <w:uiPriority w:val="99"/>
    <w:rPr>
      <w:rFonts w:ascii="Calibri" w:hAnsi="Calibri" w:eastAsia="宋体" w:cs="Times New Roman"/>
      <w:sz w:val="18"/>
      <w:szCs w:val="18"/>
    </w:rPr>
  </w:style>
  <w:style w:type="character" w:customStyle="1" w:styleId="57">
    <w:name w:val="页眉 Char3"/>
    <w:link w:val="26"/>
    <w:qFormat/>
    <w:uiPriority w:val="0"/>
    <w:rPr>
      <w:rFonts w:ascii="Calibri" w:hAnsi="Calibri" w:eastAsia="宋体" w:cs="Times New Roman"/>
      <w:sz w:val="18"/>
      <w:szCs w:val="18"/>
    </w:rPr>
  </w:style>
  <w:style w:type="character" w:customStyle="1" w:styleId="58">
    <w:name w:val="页脚 字符"/>
    <w:semiHidden/>
    <w:qFormat/>
    <w:uiPriority w:val="99"/>
    <w:rPr>
      <w:rFonts w:ascii="Calibri" w:hAnsi="Calibri" w:eastAsia="宋体" w:cs="Times New Roman"/>
      <w:sz w:val="18"/>
      <w:szCs w:val="18"/>
    </w:rPr>
  </w:style>
  <w:style w:type="character" w:customStyle="1" w:styleId="59">
    <w:name w:val="页脚 Char"/>
    <w:link w:val="25"/>
    <w:qFormat/>
    <w:uiPriority w:val="0"/>
    <w:rPr>
      <w:rFonts w:ascii="Calibri" w:hAnsi="Calibri" w:eastAsia="宋体" w:cs="Times New Roman"/>
      <w:sz w:val="18"/>
      <w:szCs w:val="18"/>
    </w:rPr>
  </w:style>
  <w:style w:type="character" w:customStyle="1" w:styleId="60">
    <w:name w:val="标题 1 Char"/>
    <w:link w:val="3"/>
    <w:qFormat/>
    <w:uiPriority w:val="0"/>
    <w:rPr>
      <w:rFonts w:ascii="Arial" w:hAnsi="Arial" w:eastAsia="宋体"/>
      <w:b/>
      <w:kern w:val="44"/>
      <w:sz w:val="28"/>
      <w:szCs w:val="28"/>
    </w:rPr>
  </w:style>
  <w:style w:type="character" w:customStyle="1" w:styleId="61">
    <w:name w:val="标题 2 Char"/>
    <w:link w:val="7"/>
    <w:qFormat/>
    <w:uiPriority w:val="0"/>
    <w:rPr>
      <w:rFonts w:ascii="Arial" w:hAnsi="Arial" w:eastAsia="宋体" w:cs="Times New Roman"/>
      <w:b/>
      <w:color w:val="000000"/>
      <w:sz w:val="24"/>
      <w:szCs w:val="24"/>
    </w:rPr>
  </w:style>
  <w:style w:type="character" w:customStyle="1" w:styleId="62">
    <w:name w:val="标题 4 Char"/>
    <w:link w:val="9"/>
    <w:qFormat/>
    <w:uiPriority w:val="0"/>
    <w:rPr>
      <w:rFonts w:ascii="Arial" w:hAnsi="Arial" w:eastAsia="宋体" w:cs="Times New Roman"/>
      <w:color w:val="000000"/>
      <w:szCs w:val="21"/>
    </w:rPr>
  </w:style>
  <w:style w:type="character" w:customStyle="1" w:styleId="63">
    <w:name w:val="标题 5 Char"/>
    <w:link w:val="11"/>
    <w:qFormat/>
    <w:uiPriority w:val="0"/>
    <w:rPr>
      <w:rFonts w:ascii="Arial" w:hAnsi="Arial" w:eastAsia="宋体" w:cs="Times New Roman"/>
      <w:color w:val="000000"/>
      <w:szCs w:val="21"/>
    </w:rPr>
  </w:style>
  <w:style w:type="character" w:customStyle="1" w:styleId="64">
    <w:name w:val="标题 6 Char"/>
    <w:link w:val="12"/>
    <w:qFormat/>
    <w:uiPriority w:val="0"/>
    <w:rPr>
      <w:rFonts w:ascii="Arial" w:hAnsi="Arial" w:eastAsia="黑体" w:cs="Times New Roman"/>
      <w:b/>
      <w:bCs/>
      <w:sz w:val="24"/>
      <w:szCs w:val="24"/>
    </w:rPr>
  </w:style>
  <w:style w:type="character" w:customStyle="1" w:styleId="65">
    <w:name w:val="标题 7 Char"/>
    <w:link w:val="13"/>
    <w:qFormat/>
    <w:uiPriority w:val="0"/>
    <w:rPr>
      <w:rFonts w:ascii="Times New Roman" w:hAnsi="Times New Roman" w:eastAsia="宋体" w:cs="Times New Roman"/>
      <w:b/>
      <w:sz w:val="24"/>
      <w:szCs w:val="20"/>
    </w:rPr>
  </w:style>
  <w:style w:type="character" w:customStyle="1" w:styleId="66">
    <w:name w:val="标题 8 Char"/>
    <w:link w:val="14"/>
    <w:qFormat/>
    <w:uiPriority w:val="0"/>
    <w:rPr>
      <w:rFonts w:ascii="Arial" w:hAnsi="Arial" w:eastAsia="黑体" w:cs="Times New Roman"/>
      <w:sz w:val="24"/>
      <w:szCs w:val="20"/>
    </w:rPr>
  </w:style>
  <w:style w:type="character" w:customStyle="1" w:styleId="67">
    <w:name w:val="标题 9 Char"/>
    <w:link w:val="15"/>
    <w:qFormat/>
    <w:uiPriority w:val="0"/>
    <w:rPr>
      <w:rFonts w:ascii="Arial" w:hAnsi="Arial" w:eastAsia="黑体" w:cs="Times New Roman"/>
      <w:szCs w:val="20"/>
    </w:rPr>
  </w:style>
  <w:style w:type="character" w:customStyle="1" w:styleId="68">
    <w:name w:val="标题 字符"/>
    <w:qFormat/>
    <w:uiPriority w:val="10"/>
    <w:rPr>
      <w:rFonts w:ascii="等线 Light" w:hAnsi="等线 Light" w:eastAsia="等线 Light" w:cs="Times New Roman"/>
      <w:b/>
      <w:bCs/>
      <w:sz w:val="32"/>
      <w:szCs w:val="32"/>
    </w:rPr>
  </w:style>
  <w:style w:type="character" w:customStyle="1" w:styleId="69">
    <w:name w:val="标题 Char"/>
    <w:link w:val="4"/>
    <w:qFormat/>
    <w:uiPriority w:val="0"/>
    <w:rPr>
      <w:rFonts w:ascii="Arial" w:hAnsi="Arial" w:eastAsia="宋体" w:cs="Times New Roman"/>
      <w:b/>
      <w:sz w:val="44"/>
      <w:szCs w:val="20"/>
    </w:rPr>
  </w:style>
  <w:style w:type="character" w:customStyle="1" w:styleId="70">
    <w:name w:val="正文文本 字符"/>
    <w:semiHidden/>
    <w:qFormat/>
    <w:uiPriority w:val="99"/>
    <w:rPr>
      <w:rFonts w:ascii="Calibri" w:hAnsi="Calibri" w:eastAsia="宋体" w:cs="Times New Roman"/>
    </w:rPr>
  </w:style>
  <w:style w:type="character" w:customStyle="1" w:styleId="71">
    <w:name w:val="正文文本 Char"/>
    <w:link w:val="6"/>
    <w:qFormat/>
    <w:uiPriority w:val="0"/>
    <w:rPr>
      <w:rFonts w:ascii="Times New Roman" w:hAnsi="Times New Roman" w:eastAsia="宋体" w:cs="Times New Roman"/>
      <w:szCs w:val="20"/>
    </w:rPr>
  </w:style>
  <w:style w:type="character" w:customStyle="1" w:styleId="72">
    <w:name w:val="正文首行缩进 字符"/>
    <w:basedOn w:val="70"/>
    <w:semiHidden/>
    <w:qFormat/>
    <w:uiPriority w:val="99"/>
    <w:rPr>
      <w:rFonts w:ascii="Calibri" w:hAnsi="Calibri" w:eastAsia="宋体" w:cs="Times New Roman"/>
    </w:rPr>
  </w:style>
  <w:style w:type="character" w:customStyle="1" w:styleId="73">
    <w:name w:val="正文首行缩进 Char"/>
    <w:link w:val="5"/>
    <w:qFormat/>
    <w:uiPriority w:val="0"/>
  </w:style>
  <w:style w:type="character" w:customStyle="1" w:styleId="74">
    <w:name w:val="日期 字符"/>
    <w:semiHidden/>
    <w:qFormat/>
    <w:uiPriority w:val="99"/>
    <w:rPr>
      <w:rFonts w:ascii="Calibri" w:hAnsi="Calibri" w:eastAsia="宋体" w:cs="Times New Roman"/>
    </w:rPr>
  </w:style>
  <w:style w:type="character" w:customStyle="1" w:styleId="75">
    <w:name w:val="日期 Char"/>
    <w:link w:val="21"/>
    <w:qFormat/>
    <w:uiPriority w:val="0"/>
    <w:rPr>
      <w:rFonts w:ascii="Times New Roman" w:hAnsi="Times New Roman" w:eastAsia="宋体" w:cs="Times New Roman"/>
      <w:szCs w:val="20"/>
    </w:rPr>
  </w:style>
  <w:style w:type="character" w:customStyle="1" w:styleId="76">
    <w:name w:val="正文文本缩进 字符"/>
    <w:semiHidden/>
    <w:qFormat/>
    <w:uiPriority w:val="99"/>
    <w:rPr>
      <w:rFonts w:ascii="Calibri" w:hAnsi="Calibri" w:eastAsia="宋体" w:cs="Times New Roman"/>
    </w:rPr>
  </w:style>
  <w:style w:type="character" w:customStyle="1" w:styleId="77">
    <w:name w:val="正文文本缩进 Char"/>
    <w:link w:val="18"/>
    <w:qFormat/>
    <w:uiPriority w:val="0"/>
    <w:rPr>
      <w:rFonts w:ascii="Times New Roman" w:hAnsi="Times New Roman" w:eastAsia="宋体" w:cs="Times New Roman"/>
      <w:sz w:val="28"/>
      <w:szCs w:val="20"/>
    </w:rPr>
  </w:style>
  <w:style w:type="character" w:customStyle="1" w:styleId="78">
    <w:name w:val="文档结构图 字符"/>
    <w:semiHidden/>
    <w:qFormat/>
    <w:uiPriority w:val="99"/>
    <w:rPr>
      <w:rFonts w:ascii="Microsoft YaHei UI" w:hAnsi="Calibri" w:eastAsia="Microsoft YaHei UI" w:cs="Times New Roman"/>
      <w:sz w:val="18"/>
      <w:szCs w:val="18"/>
    </w:rPr>
  </w:style>
  <w:style w:type="character" w:customStyle="1" w:styleId="79">
    <w:name w:val="文档结构图 Char"/>
    <w:link w:val="16"/>
    <w:qFormat/>
    <w:uiPriority w:val="0"/>
    <w:rPr>
      <w:rFonts w:ascii="Times New Roman" w:hAnsi="Times New Roman" w:eastAsia="宋体" w:cs="Times New Roman"/>
      <w:szCs w:val="20"/>
      <w:shd w:val="clear" w:color="auto" w:fill="000080"/>
    </w:rPr>
  </w:style>
  <w:style w:type="character" w:customStyle="1" w:styleId="80">
    <w:name w:val="纯文本 字符"/>
    <w:semiHidden/>
    <w:qFormat/>
    <w:uiPriority w:val="99"/>
    <w:rPr>
      <w:rFonts w:ascii="等线" w:hAnsi="Courier New" w:cs="Courier New"/>
    </w:rPr>
  </w:style>
  <w:style w:type="character" w:customStyle="1" w:styleId="81">
    <w:name w:val="纯文本 Char"/>
    <w:link w:val="20"/>
    <w:qFormat/>
    <w:uiPriority w:val="0"/>
    <w:rPr>
      <w:rFonts w:ascii="宋体" w:hAnsi="Courier New" w:eastAsia="宋体" w:cs="Times New Roman"/>
      <w:szCs w:val="20"/>
    </w:rPr>
  </w:style>
  <w:style w:type="character" w:customStyle="1" w:styleId="82">
    <w:name w:val="正文文本缩进 2 字符"/>
    <w:semiHidden/>
    <w:qFormat/>
    <w:uiPriority w:val="99"/>
    <w:rPr>
      <w:rFonts w:ascii="Calibri" w:hAnsi="Calibri" w:eastAsia="宋体" w:cs="Times New Roman"/>
    </w:rPr>
  </w:style>
  <w:style w:type="character" w:customStyle="1" w:styleId="83">
    <w:name w:val="正文文本缩进 2 Char"/>
    <w:link w:val="22"/>
    <w:qFormat/>
    <w:uiPriority w:val="0"/>
    <w:rPr>
      <w:rFonts w:ascii="Times New Roman" w:hAnsi="Times New Roman" w:eastAsia="宋体" w:cs="Times New Roman"/>
      <w:color w:val="000000"/>
      <w:sz w:val="24"/>
      <w:szCs w:val="20"/>
    </w:rPr>
  </w:style>
  <w:style w:type="character" w:customStyle="1" w:styleId="84">
    <w:name w:val="正文文本缩进 3 字符"/>
    <w:semiHidden/>
    <w:qFormat/>
    <w:uiPriority w:val="99"/>
    <w:rPr>
      <w:rFonts w:ascii="Calibri" w:hAnsi="Calibri" w:eastAsia="宋体" w:cs="Times New Roman"/>
      <w:sz w:val="16"/>
      <w:szCs w:val="16"/>
    </w:rPr>
  </w:style>
  <w:style w:type="character" w:customStyle="1" w:styleId="85">
    <w:name w:val="正文文本缩进 3 Char"/>
    <w:link w:val="29"/>
    <w:qFormat/>
    <w:uiPriority w:val="0"/>
    <w:rPr>
      <w:rFonts w:ascii="Times New Roman" w:hAnsi="Times New Roman" w:eastAsia="宋体" w:cs="Times New Roman"/>
      <w:color w:val="000000"/>
      <w:sz w:val="24"/>
      <w:szCs w:val="20"/>
    </w:rPr>
  </w:style>
  <w:style w:type="paragraph" w:customStyle="1" w:styleId="86">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87">
    <w:name w:val="_Style 69"/>
    <w:qFormat/>
    <w:uiPriority w:val="0"/>
    <w:rPr>
      <w:rFonts w:ascii="等线" w:hAnsi="等线" w:eastAsia="等线" w:cs="Times New Roman"/>
      <w:lang w:val="en-US" w:eastAsia="zh-CN" w:bidi="ar-SA"/>
    </w:rPr>
  </w:style>
  <w:style w:type="character" w:customStyle="1" w:styleId="88">
    <w:name w:val="正文文本 2 字符"/>
    <w:semiHidden/>
    <w:qFormat/>
    <w:uiPriority w:val="99"/>
    <w:rPr>
      <w:rFonts w:ascii="Calibri" w:hAnsi="Calibri" w:eastAsia="宋体" w:cs="Times New Roman"/>
    </w:rPr>
  </w:style>
  <w:style w:type="character" w:customStyle="1" w:styleId="89">
    <w:name w:val="正文文本 2 Char"/>
    <w:link w:val="31"/>
    <w:qFormat/>
    <w:uiPriority w:val="0"/>
    <w:rPr>
      <w:rFonts w:ascii="宋体" w:hAnsi="宋体" w:eastAsia="宋体" w:cs="Times New Roman"/>
      <w:szCs w:val="24"/>
      <w:u w:val="single"/>
    </w:rPr>
  </w:style>
  <w:style w:type="paragraph" w:customStyle="1" w:styleId="90">
    <w:name w:val="表头"/>
    <w:basedOn w:val="1"/>
    <w:qFormat/>
    <w:uiPriority w:val="0"/>
    <w:pPr>
      <w:spacing w:line="360" w:lineRule="auto"/>
      <w:jc w:val="center"/>
    </w:pPr>
    <w:rPr>
      <w:rFonts w:ascii="黑体" w:hAnsi="Times New Roman" w:eastAsia="黑体"/>
      <w:kern w:val="0"/>
      <w:sz w:val="24"/>
      <w:szCs w:val="20"/>
    </w:rPr>
  </w:style>
  <w:style w:type="character" w:customStyle="1" w:styleId="91">
    <w:name w:val="尾注文本 字符"/>
    <w:semiHidden/>
    <w:qFormat/>
    <w:uiPriority w:val="99"/>
    <w:rPr>
      <w:rFonts w:ascii="Calibri" w:hAnsi="Calibri" w:eastAsia="宋体" w:cs="Times New Roman"/>
    </w:rPr>
  </w:style>
  <w:style w:type="character" w:customStyle="1" w:styleId="92">
    <w:name w:val="尾注文本 Char"/>
    <w:link w:val="23"/>
    <w:qFormat/>
    <w:uiPriority w:val="0"/>
    <w:rPr>
      <w:rFonts w:ascii="Times New Roman" w:hAnsi="Times New Roman" w:eastAsia="宋体" w:cs="Times New Roman"/>
      <w:szCs w:val="20"/>
    </w:rPr>
  </w:style>
  <w:style w:type="paragraph" w:customStyle="1" w:styleId="93">
    <w:name w:val="Char"/>
    <w:basedOn w:val="1"/>
    <w:qFormat/>
    <w:uiPriority w:val="0"/>
    <w:rPr>
      <w:rFonts w:ascii="Tahoma" w:hAnsi="Tahoma"/>
      <w:sz w:val="24"/>
      <w:szCs w:val="20"/>
    </w:rPr>
  </w:style>
  <w:style w:type="paragraph" w:customStyle="1" w:styleId="94">
    <w:name w:val="Char1"/>
    <w:basedOn w:val="1"/>
    <w:qFormat/>
    <w:uiPriority w:val="0"/>
    <w:pPr>
      <w:numPr>
        <w:ilvl w:val="0"/>
        <w:numId w:val="1"/>
      </w:numPr>
    </w:pPr>
    <w:rPr>
      <w:rFonts w:ascii="Times New Roman" w:hAnsi="Times New Roman"/>
      <w:sz w:val="24"/>
      <w:szCs w:val="24"/>
    </w:rPr>
  </w:style>
  <w:style w:type="paragraph" w:customStyle="1" w:styleId="95">
    <w:name w:val="公文抬头"/>
    <w:basedOn w:val="10"/>
    <w:qFormat/>
    <w:uiPriority w:val="0"/>
    <w:pPr>
      <w:ind w:firstLine="0"/>
    </w:pPr>
    <w:rPr>
      <w:rFonts w:ascii="仿宋_GB2312" w:eastAsia="仿宋_GB2312"/>
      <w:sz w:val="30"/>
      <w:szCs w:val="24"/>
    </w:rPr>
  </w:style>
  <w:style w:type="paragraph" w:customStyle="1" w:styleId="96">
    <w:name w:val="Char Char Char1 Char"/>
    <w:basedOn w:val="16"/>
    <w:qFormat/>
    <w:uiPriority w:val="0"/>
    <w:rPr>
      <w:rFonts w:ascii="Tahoma" w:hAnsi="Tahoma"/>
      <w:sz w:val="24"/>
      <w:szCs w:val="24"/>
    </w:rPr>
  </w:style>
  <w:style w:type="paragraph" w:customStyle="1" w:styleId="97">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98">
    <w:name w:val="公文标题"/>
    <w:basedOn w:val="8"/>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99">
    <w:name w:val="发文落款"/>
    <w:basedOn w:val="97"/>
    <w:qFormat/>
    <w:uiPriority w:val="0"/>
    <w:pPr>
      <w:ind w:left="4094" w:right="607" w:firstLine="0"/>
      <w:jc w:val="center"/>
    </w:pPr>
  </w:style>
  <w:style w:type="paragraph" w:customStyle="1" w:styleId="100">
    <w:name w:val="Char Char Char Char"/>
    <w:basedOn w:val="1"/>
    <w:qFormat/>
    <w:uiPriority w:val="0"/>
    <w:rPr>
      <w:rFonts w:ascii="Times New Roman" w:hAnsi="Times New Roman"/>
      <w:sz w:val="30"/>
      <w:szCs w:val="24"/>
    </w:rPr>
  </w:style>
  <w:style w:type="character" w:customStyle="1" w:styleId="101">
    <w:name w:val="批注框文本 字符"/>
    <w:semiHidden/>
    <w:qFormat/>
    <w:uiPriority w:val="99"/>
    <w:rPr>
      <w:rFonts w:ascii="Calibri" w:hAnsi="Calibri" w:eastAsia="宋体" w:cs="Times New Roman"/>
      <w:sz w:val="18"/>
      <w:szCs w:val="18"/>
    </w:rPr>
  </w:style>
  <w:style w:type="character" w:customStyle="1" w:styleId="102">
    <w:name w:val="批注框文本 Char"/>
    <w:link w:val="24"/>
    <w:qFormat/>
    <w:uiPriority w:val="0"/>
    <w:rPr>
      <w:rFonts w:ascii="Times New Roman" w:hAnsi="Times New Roman" w:eastAsia="宋体" w:cs="Times New Roman"/>
      <w:sz w:val="18"/>
      <w:szCs w:val="18"/>
    </w:rPr>
  </w:style>
  <w:style w:type="paragraph" w:customStyle="1" w:styleId="103">
    <w:name w:val="TOC 标题1"/>
    <w:basedOn w:val="3"/>
    <w:next w:val="1"/>
    <w:semiHidden/>
    <w:unhideWhenUsed/>
    <w:qFormat/>
    <w:uiPriority w:val="39"/>
    <w:pPr>
      <w:widowControl/>
      <w:spacing w:before="480" w:after="0" w:line="276" w:lineRule="auto"/>
      <w:outlineLvl w:val="9"/>
    </w:pPr>
    <w:rPr>
      <w:rFonts w:ascii="Cambria" w:hAnsi="Cambria"/>
      <w:color w:val="365F91"/>
      <w:kern w:val="0"/>
    </w:rPr>
  </w:style>
  <w:style w:type="character" w:customStyle="1" w:styleId="104">
    <w:name w:val="批注文字 字符"/>
    <w:semiHidden/>
    <w:qFormat/>
    <w:uiPriority w:val="99"/>
    <w:rPr>
      <w:rFonts w:ascii="Calibri" w:hAnsi="Calibri" w:eastAsia="宋体" w:cs="Times New Roman"/>
    </w:rPr>
  </w:style>
  <w:style w:type="character" w:customStyle="1" w:styleId="105">
    <w:name w:val="批注文字 Char"/>
    <w:link w:val="17"/>
    <w:qFormat/>
    <w:uiPriority w:val="0"/>
    <w:rPr>
      <w:rFonts w:ascii="宋体" w:hAnsi="宋体" w:eastAsia="宋体" w:cs="Times New Roman"/>
      <w:sz w:val="24"/>
      <w:szCs w:val="24"/>
    </w:rPr>
  </w:style>
  <w:style w:type="character" w:customStyle="1" w:styleId="106">
    <w:name w:val="脚注文本 字符"/>
    <w:semiHidden/>
    <w:qFormat/>
    <w:uiPriority w:val="99"/>
    <w:rPr>
      <w:rFonts w:ascii="Calibri" w:hAnsi="Calibri" w:eastAsia="宋体" w:cs="Times New Roman"/>
      <w:sz w:val="18"/>
      <w:szCs w:val="18"/>
    </w:rPr>
  </w:style>
  <w:style w:type="character" w:customStyle="1" w:styleId="107">
    <w:name w:val="脚注文本 Char"/>
    <w:link w:val="28"/>
    <w:qFormat/>
    <w:uiPriority w:val="0"/>
    <w:rPr>
      <w:rFonts w:ascii="宋体" w:hAnsi="宋体" w:eastAsia="宋体" w:cs="Times New Roman"/>
      <w:sz w:val="18"/>
      <w:szCs w:val="18"/>
    </w:rPr>
  </w:style>
  <w:style w:type="character" w:customStyle="1" w:styleId="108">
    <w:name w:val="批注主题 字符"/>
    <w:semiHidden/>
    <w:qFormat/>
    <w:uiPriority w:val="99"/>
    <w:rPr>
      <w:rFonts w:ascii="Calibri" w:hAnsi="Calibri" w:eastAsia="宋体" w:cs="Times New Roman"/>
      <w:b/>
      <w:bCs/>
    </w:rPr>
  </w:style>
  <w:style w:type="character" w:customStyle="1" w:styleId="109">
    <w:name w:val="批注主题 Char"/>
    <w:link w:val="35"/>
    <w:qFormat/>
    <w:uiPriority w:val="0"/>
    <w:rPr>
      <w:rFonts w:ascii="宋体" w:hAnsi="宋体" w:eastAsia="宋体" w:cs="Times New Roman"/>
      <w:b/>
      <w:bCs/>
      <w:sz w:val="24"/>
      <w:szCs w:val="24"/>
    </w:rPr>
  </w:style>
  <w:style w:type="paragraph" w:styleId="110">
    <w:name w:val="List Paragraph"/>
    <w:basedOn w:val="1"/>
    <w:qFormat/>
    <w:uiPriority w:val="34"/>
    <w:pPr>
      <w:ind w:firstLine="420" w:firstLineChars="200"/>
    </w:pPr>
    <w:rPr>
      <w:rFonts w:ascii="Times New Roman" w:hAnsi="Times New Roman"/>
      <w:szCs w:val="20"/>
    </w:rPr>
  </w:style>
  <w:style w:type="paragraph" w:customStyle="1" w:styleId="111">
    <w:name w:val="修订1"/>
    <w:hidden/>
    <w:semiHidden/>
    <w:qFormat/>
    <w:uiPriority w:val="99"/>
    <w:rPr>
      <w:rFonts w:ascii="Times New Roman" w:hAnsi="Times New Roman" w:eastAsia="宋体" w:cs="Times New Roman"/>
      <w:kern w:val="2"/>
      <w:sz w:val="21"/>
      <w:lang w:val="en-US" w:eastAsia="zh-CN" w:bidi="ar-SA"/>
    </w:rPr>
  </w:style>
  <w:style w:type="paragraph" w:customStyle="1" w:styleId="112">
    <w:name w:val="修订2"/>
    <w:hidden/>
    <w:unhideWhenUsed/>
    <w:qFormat/>
    <w:uiPriority w:val="99"/>
    <w:rPr>
      <w:rFonts w:ascii="Calibri" w:hAnsi="Calibri" w:eastAsia="宋体" w:cs="Times New Roman"/>
      <w:kern w:val="2"/>
      <w:sz w:val="21"/>
      <w:szCs w:val="22"/>
      <w:lang w:val="en-US" w:eastAsia="zh-CN" w:bidi="ar-SA"/>
    </w:rPr>
  </w:style>
  <w:style w:type="paragraph" w:customStyle="1" w:styleId="113">
    <w:name w:val="Revision"/>
    <w:hidden/>
    <w:unhideWhenUsed/>
    <w:qFormat/>
    <w:uiPriority w:val="99"/>
    <w:rPr>
      <w:rFonts w:ascii="Calibri" w:hAnsi="Calibri" w:eastAsia="宋体" w:cs="Times New Roman"/>
      <w:kern w:val="2"/>
      <w:sz w:val="21"/>
      <w:szCs w:val="22"/>
      <w:lang w:val="en-US" w:eastAsia="zh-CN" w:bidi="ar-SA"/>
    </w:rPr>
  </w:style>
  <w:style w:type="character" w:customStyle="1" w:styleId="114">
    <w:name w:val="页眉 Char"/>
    <w:qFormat/>
    <w:uiPriority w:val="99"/>
    <w:rPr>
      <w:kern w:val="2"/>
      <w:sz w:val="18"/>
      <w:szCs w:val="18"/>
      <w:lang w:val="zh-CN" w:eastAsia="zh-CN"/>
    </w:rPr>
  </w:style>
  <w:style w:type="character" w:customStyle="1" w:styleId="115">
    <w:name w:val="标准正文 Char"/>
    <w:link w:val="116"/>
    <w:qFormat/>
    <w:uiPriority w:val="0"/>
    <w:rPr>
      <w:szCs w:val="24"/>
    </w:rPr>
  </w:style>
  <w:style w:type="paragraph" w:customStyle="1" w:styleId="116">
    <w:name w:val="标准正文"/>
    <w:basedOn w:val="1"/>
    <w:link w:val="115"/>
    <w:qFormat/>
    <w:uiPriority w:val="0"/>
    <w:pPr>
      <w:tabs>
        <w:tab w:val="left" w:pos="720"/>
      </w:tabs>
      <w:spacing w:line="360" w:lineRule="auto"/>
      <w:ind w:firstLine="200" w:firstLineChars="200"/>
    </w:pPr>
    <w:rPr>
      <w:rFonts w:ascii="等线" w:hAnsi="等线" w:eastAsia="等线"/>
      <w:kern w:val="0"/>
      <w:sz w:val="20"/>
      <w:szCs w:val="24"/>
    </w:rPr>
  </w:style>
  <w:style w:type="paragraph" w:customStyle="1" w:styleId="117">
    <w:name w:val="PlainText"/>
    <w:basedOn w:val="1"/>
    <w:qFormat/>
    <w:uiPriority w:val="0"/>
    <w:pPr>
      <w:textAlignment w:val="baseline"/>
    </w:pPr>
    <w:rPr>
      <w:rFonts w:ascii="宋体" w:hAnsi="Courier New" w:cs="Calibri"/>
      <w:color w:val="000000"/>
      <w:kern w:val="0"/>
      <w:sz w:val="20"/>
      <w:szCs w:val="20"/>
    </w:rPr>
  </w:style>
  <w:style w:type="character" w:customStyle="1" w:styleId="118">
    <w:name w:val="font01"/>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1161</Words>
  <Characters>1341</Characters>
  <Lines>582</Lines>
  <Paragraphs>164</Paragraphs>
  <TotalTime>0</TotalTime>
  <ScaleCrop>false</ScaleCrop>
  <LinksUpToDate>false</LinksUpToDate>
  <CharactersWithSpaces>1450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2019-10-12T15:40:00Z</dcterms:created>
  <dc:creator>管理员</dc:creator>
  <cp:lastModifiedBy>潘海航</cp:lastModifiedBy>
  <dcterms:modified xsi:type="dcterms:W3CDTF">2025-07-02T08:50:44Z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76B276DE8A364654A1DE78BACEBBFC5B_13</vt:lpwstr>
  </property>
  <property fmtid="{D5CDD505-2E9C-101B-9397-08002B2CF9AE}" pid="4" name="KSOTemplateDocerSaveRecord">
    <vt:lpwstr>eyJoZGlkIjoiNGEyYTc5Yzk4OWZiYjlkZTJjMGM4ZDk3ZmQ3YmUzMzUiLCJ1c2VySWQiOiIyMzQ2Nzk2NDMifQ==</vt:lpwstr>
  </property>
</Properties>
</file>