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E57729B">
      <w:pPr>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广州市海珠区东风村城中村改造项目D34安置地块配套人居环境提升工程</w:t>
      </w:r>
    </w:p>
    <w:p w14:paraId="1B46AFC9">
      <w:pPr>
        <w:jc w:val="center"/>
        <w:rPr>
          <w:rFonts w:hint="default" w:ascii="宋体" w:hAnsi="宋体"/>
          <w:b/>
          <w:sz w:val="48"/>
          <w:szCs w:val="48"/>
          <w:lang w:val="en-US"/>
        </w:rPr>
      </w:pPr>
      <w:r>
        <w:rPr>
          <w:rFonts w:hint="eastAsia" w:ascii="宋体" w:hAnsi="宋体"/>
          <w:b/>
          <w:sz w:val="48"/>
          <w:szCs w:val="48"/>
          <w:lang w:val="en-US" w:eastAsia="zh-CN"/>
        </w:rPr>
        <w:t>第三方</w:t>
      </w:r>
      <w:bookmarkStart w:id="0" w:name="_GoBack"/>
      <w:bookmarkEnd w:id="0"/>
      <w:r>
        <w:rPr>
          <w:rFonts w:hint="eastAsia" w:ascii="宋体" w:hAnsi="宋体"/>
          <w:b/>
          <w:sz w:val="48"/>
          <w:szCs w:val="48"/>
          <w:lang w:val="en-US" w:eastAsia="zh-CN"/>
        </w:rPr>
        <w:t>检测服务</w:t>
      </w:r>
    </w:p>
    <w:p w14:paraId="140A22A7">
      <w:pPr>
        <w:jc w:val="center"/>
        <w:rPr>
          <w:rFonts w:ascii="仿宋_GB2312" w:eastAsia="仿宋_GB2312"/>
          <w:bCs/>
          <w:spacing w:val="20"/>
          <w:kern w:val="10"/>
          <w:sz w:val="48"/>
          <w:szCs w:val="48"/>
        </w:rPr>
      </w:pPr>
      <w:r>
        <w:rPr>
          <w:rFonts w:hint="eastAsia" w:ascii="仿宋_GB2312" w:eastAsia="仿宋_GB2312"/>
          <w:b/>
          <w:spacing w:val="20"/>
          <w:kern w:val="10"/>
          <w:sz w:val="48"/>
          <w:szCs w:val="48"/>
        </w:rPr>
        <w:t>招标控制价编制报告</w:t>
      </w:r>
    </w:p>
    <w:p w14:paraId="7D33724F">
      <w:pPr>
        <w:spacing w:line="240" w:lineRule="atLeast"/>
        <w:jc w:val="center"/>
        <w:rPr>
          <w:rFonts w:ascii="黑体" w:hAnsi="黑体" w:eastAsia="黑体" w:cs="黑体"/>
          <w:bCs/>
          <w:spacing w:val="20"/>
          <w:kern w:val="10"/>
          <w:sz w:val="30"/>
          <w:szCs w:val="32"/>
        </w:rPr>
      </w:pPr>
    </w:p>
    <w:p w14:paraId="71EDC713">
      <w:pPr>
        <w:spacing w:line="360" w:lineRule="auto"/>
        <w:ind w:firstLine="1050" w:firstLineChars="350"/>
        <w:rPr>
          <w:rFonts w:ascii="仿宋_GB2312" w:hAnsi="黑体" w:eastAsia="仿宋_GB2312"/>
          <w:kern w:val="10"/>
          <w:sz w:val="30"/>
          <w:szCs w:val="30"/>
        </w:rPr>
      </w:pPr>
    </w:p>
    <w:p w14:paraId="060D5C04">
      <w:pPr>
        <w:spacing w:line="360" w:lineRule="auto"/>
        <w:ind w:firstLine="1050" w:firstLineChars="350"/>
        <w:rPr>
          <w:rFonts w:ascii="仿宋_GB2312" w:hAnsi="黑体" w:eastAsia="仿宋_GB2312"/>
          <w:kern w:val="10"/>
          <w:sz w:val="30"/>
          <w:szCs w:val="30"/>
        </w:rPr>
      </w:pPr>
    </w:p>
    <w:p w14:paraId="4E8C8BF1">
      <w:pPr>
        <w:spacing w:line="360" w:lineRule="auto"/>
        <w:ind w:firstLine="1050" w:firstLineChars="350"/>
        <w:rPr>
          <w:rFonts w:ascii="仿宋_GB2312" w:hAnsi="黑体" w:eastAsia="仿宋_GB2312"/>
          <w:kern w:val="10"/>
          <w:sz w:val="30"/>
          <w:szCs w:val="30"/>
        </w:rPr>
      </w:pPr>
    </w:p>
    <w:p w14:paraId="45CC0B3E">
      <w:pPr>
        <w:spacing w:line="360" w:lineRule="auto"/>
        <w:ind w:firstLine="1050" w:firstLineChars="350"/>
        <w:rPr>
          <w:rFonts w:ascii="仿宋_GB2312" w:hAnsi="黑体" w:eastAsia="仿宋_GB2312"/>
          <w:kern w:val="10"/>
          <w:sz w:val="30"/>
          <w:szCs w:val="30"/>
        </w:rPr>
      </w:pPr>
    </w:p>
    <w:p w14:paraId="1D62D9C9">
      <w:pPr>
        <w:spacing w:line="360" w:lineRule="auto"/>
        <w:ind w:firstLine="1050" w:firstLineChars="350"/>
        <w:rPr>
          <w:rFonts w:ascii="仿宋_GB2312" w:hAnsi="黑体" w:eastAsia="仿宋_GB2312"/>
          <w:kern w:val="10"/>
          <w:sz w:val="30"/>
          <w:szCs w:val="30"/>
        </w:rPr>
      </w:pPr>
    </w:p>
    <w:p w14:paraId="76BE9059">
      <w:pPr>
        <w:spacing w:line="360" w:lineRule="auto"/>
        <w:ind w:firstLine="1050" w:firstLineChars="350"/>
        <w:rPr>
          <w:rFonts w:ascii="仿宋_GB2312" w:hAnsi="黑体" w:eastAsia="仿宋_GB2312"/>
          <w:kern w:val="10"/>
          <w:sz w:val="30"/>
          <w:szCs w:val="30"/>
        </w:rPr>
      </w:pPr>
    </w:p>
    <w:p w14:paraId="11F2408A">
      <w:pPr>
        <w:spacing w:line="360" w:lineRule="auto"/>
        <w:ind w:firstLine="1050" w:firstLineChars="350"/>
        <w:rPr>
          <w:rFonts w:ascii="仿宋_GB2312" w:hAnsi="黑体" w:eastAsia="仿宋_GB2312"/>
          <w:kern w:val="10"/>
          <w:sz w:val="30"/>
          <w:szCs w:val="30"/>
        </w:rPr>
      </w:pPr>
    </w:p>
    <w:p w14:paraId="16C85D00">
      <w:pPr>
        <w:spacing w:line="360" w:lineRule="auto"/>
        <w:ind w:firstLine="1050" w:firstLineChars="350"/>
        <w:rPr>
          <w:rFonts w:ascii="仿宋_GB2312" w:hAnsi="黑体" w:eastAsia="仿宋_GB2312"/>
          <w:kern w:val="10"/>
          <w:sz w:val="30"/>
          <w:szCs w:val="30"/>
        </w:rPr>
      </w:pPr>
    </w:p>
    <w:p w14:paraId="5A772683">
      <w:pPr>
        <w:spacing w:line="360" w:lineRule="auto"/>
        <w:ind w:firstLine="1050" w:firstLineChars="350"/>
        <w:rPr>
          <w:rFonts w:ascii="仿宋_GB2312" w:hAnsi="黑体" w:eastAsia="仿宋_GB2312"/>
          <w:kern w:val="10"/>
          <w:sz w:val="30"/>
          <w:szCs w:val="30"/>
        </w:rPr>
      </w:pPr>
      <w:r>
        <w:rPr>
          <w:rFonts w:hint="eastAsia" w:ascii="仿宋_GB2312" w:hAnsi="黑体" w:eastAsia="仿宋_GB2312"/>
          <w:kern w:val="10"/>
          <w:sz w:val="30"/>
          <w:szCs w:val="30"/>
        </w:rPr>
        <w:t>编制单位：上海正弘建设工程顾问有限公司</w:t>
      </w:r>
    </w:p>
    <w:p w14:paraId="6B8DBE8F">
      <w:pPr>
        <w:spacing w:line="360" w:lineRule="auto"/>
        <w:ind w:firstLine="1050" w:firstLineChars="350"/>
        <w:rPr>
          <w:rFonts w:hint="default" w:ascii="仿宋_GB2312" w:hAnsi="黑体" w:eastAsia="仿宋_GB2312"/>
          <w:kern w:val="10"/>
          <w:sz w:val="30"/>
          <w:szCs w:val="30"/>
          <w:lang w:val="en-US" w:eastAsia="zh-CN"/>
        </w:rPr>
      </w:pPr>
      <w:r>
        <w:rPr>
          <w:rFonts w:hint="eastAsia" w:ascii="仿宋_GB2312" w:hAnsi="黑体" w:eastAsia="仿宋_GB2312"/>
          <w:kern w:val="10"/>
          <w:sz w:val="30"/>
          <w:szCs w:val="30"/>
        </w:rPr>
        <w:t>编制日期：二〇二</w:t>
      </w:r>
      <w:r>
        <w:rPr>
          <w:rFonts w:hint="eastAsia" w:ascii="仿宋_GB2312" w:hAnsi="黑体" w:eastAsia="仿宋_GB2312"/>
          <w:kern w:val="10"/>
          <w:sz w:val="30"/>
          <w:szCs w:val="30"/>
          <w:lang w:val="en-US" w:eastAsia="zh-CN"/>
        </w:rPr>
        <w:t>五</w:t>
      </w:r>
      <w:r>
        <w:rPr>
          <w:rFonts w:hint="eastAsia" w:ascii="仿宋_GB2312" w:hAnsi="黑体" w:eastAsia="仿宋_GB2312"/>
          <w:kern w:val="10"/>
          <w:sz w:val="30"/>
          <w:szCs w:val="30"/>
        </w:rPr>
        <w:t>年</w:t>
      </w:r>
      <w:r>
        <w:rPr>
          <w:rFonts w:hint="eastAsia" w:ascii="仿宋_GB2312" w:hAnsi="黑体" w:eastAsia="仿宋_GB2312"/>
          <w:kern w:val="10"/>
          <w:sz w:val="30"/>
          <w:szCs w:val="30"/>
          <w:lang w:val="en-US" w:eastAsia="zh-CN"/>
        </w:rPr>
        <w:t>六</w:t>
      </w:r>
      <w:r>
        <w:rPr>
          <w:rFonts w:hint="eastAsia" w:ascii="仿宋_GB2312" w:hAnsi="黑体" w:eastAsia="仿宋_GB2312"/>
          <w:kern w:val="10"/>
          <w:sz w:val="30"/>
          <w:szCs w:val="30"/>
        </w:rPr>
        <w:t>月</w:t>
      </w:r>
      <w:r>
        <w:rPr>
          <w:rFonts w:hint="eastAsia" w:ascii="仿宋_GB2312" w:hAnsi="黑体" w:eastAsia="仿宋_GB2312"/>
          <w:kern w:val="10"/>
          <w:sz w:val="30"/>
          <w:szCs w:val="30"/>
          <w:lang w:val="en-US" w:eastAsia="zh-CN"/>
        </w:rPr>
        <w:t>二十三日</w:t>
      </w:r>
    </w:p>
    <w:p w14:paraId="56865039">
      <w:pPr>
        <w:spacing w:line="360" w:lineRule="auto"/>
        <w:jc w:val="center"/>
        <w:rPr>
          <w:rFonts w:ascii="宋体" w:hAnsi="宋体"/>
          <w:b/>
          <w:sz w:val="48"/>
          <w:szCs w:val="48"/>
        </w:rPr>
      </w:pPr>
    </w:p>
    <w:p w14:paraId="4A0C32B5">
      <w:pPr>
        <w:rPr>
          <w:rFonts w:ascii="宋体" w:hAnsi="宋体"/>
          <w:b/>
          <w:sz w:val="48"/>
          <w:szCs w:val="48"/>
        </w:rPr>
      </w:pPr>
      <w:r>
        <w:rPr>
          <w:rFonts w:hint="eastAsia" w:ascii="宋体" w:hAnsi="宋体"/>
          <w:b/>
          <w:sz w:val="48"/>
          <w:szCs w:val="48"/>
        </w:rPr>
        <w:br w:type="page"/>
      </w:r>
    </w:p>
    <w:p w14:paraId="3E905606">
      <w:pPr>
        <w:spacing w:line="360" w:lineRule="auto"/>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广州市海珠区东风村城中村改造项目D34安置地块配套人居环境提升工程</w:t>
      </w:r>
    </w:p>
    <w:p w14:paraId="3217FB17">
      <w:pPr>
        <w:spacing w:line="360" w:lineRule="auto"/>
        <w:jc w:val="center"/>
        <w:rPr>
          <w:rFonts w:hint="default" w:ascii="宋体" w:hAnsi="宋体"/>
          <w:b/>
          <w:sz w:val="48"/>
          <w:szCs w:val="48"/>
          <w:lang w:val="en-US"/>
        </w:rPr>
      </w:pPr>
      <w:r>
        <w:rPr>
          <w:rFonts w:hint="eastAsia" w:ascii="宋体" w:hAnsi="宋体"/>
          <w:b/>
          <w:sz w:val="48"/>
          <w:szCs w:val="48"/>
          <w:lang w:eastAsia="zh-CN"/>
        </w:rPr>
        <w:t>第三方检测服务</w:t>
      </w:r>
    </w:p>
    <w:p w14:paraId="173FB2AF">
      <w:pPr>
        <w:spacing w:line="360" w:lineRule="auto"/>
        <w:jc w:val="center"/>
        <w:rPr>
          <w:rFonts w:ascii="宋体" w:hAnsi="宋体"/>
          <w:b/>
          <w:spacing w:val="20"/>
          <w:kern w:val="10"/>
          <w:sz w:val="48"/>
          <w:szCs w:val="48"/>
        </w:rPr>
      </w:pPr>
      <w:r>
        <w:rPr>
          <w:rFonts w:hint="eastAsia" w:ascii="仿宋_GB2312" w:eastAsia="仿宋_GB2312"/>
          <w:b/>
          <w:spacing w:val="20"/>
          <w:kern w:val="10"/>
          <w:sz w:val="48"/>
          <w:szCs w:val="72"/>
        </w:rPr>
        <w:t>招标控制价编制报告</w:t>
      </w:r>
    </w:p>
    <w:p w14:paraId="51781B1B">
      <w:pPr>
        <w:ind w:left="300" w:leftChars="125" w:firstLine="0" w:firstLineChars="0"/>
        <w:jc w:val="left"/>
        <w:rPr>
          <w:rFonts w:hint="default" w:ascii="仿宋_GB2312" w:hAnsi="仿宋" w:eastAsia="仿宋_GB2312"/>
          <w:kern w:val="10"/>
          <w:sz w:val="30"/>
          <w:szCs w:val="30"/>
          <w:lang w:val="en-US" w:eastAsia="zh-CN"/>
        </w:rPr>
      </w:pPr>
      <w:r>
        <w:rPr>
          <w:rFonts w:hint="eastAsia" w:ascii="仿宋_GB2312" w:hAnsi="黑体" w:eastAsia="仿宋_GB2312"/>
          <w:kern w:val="10"/>
          <w:sz w:val="30"/>
          <w:szCs w:val="30"/>
        </w:rPr>
        <w:t>项目名称：</w:t>
      </w:r>
      <w:r>
        <w:rPr>
          <w:rFonts w:hint="eastAsia" w:ascii="仿宋_GB2312" w:hAnsi="仿宋" w:eastAsia="仿宋_GB2312" w:cs="Times New Roman"/>
          <w:kern w:val="10"/>
          <w:sz w:val="30"/>
          <w:szCs w:val="30"/>
          <w:lang w:val="en-US" w:eastAsia="zh-CN"/>
        </w:rPr>
        <w:t>广州市海珠区东风村城中村改造项目D34安置地块配套人居环境提升工程</w:t>
      </w:r>
      <w:r>
        <w:rPr>
          <w:rFonts w:hint="eastAsia" w:ascii="仿宋_GB2312" w:hAnsi="仿宋" w:eastAsia="仿宋_GB2312"/>
          <w:kern w:val="10"/>
          <w:sz w:val="30"/>
          <w:szCs w:val="30"/>
          <w:lang w:eastAsia="zh-CN"/>
        </w:rPr>
        <w:t>第三方检测</w:t>
      </w:r>
      <w:r>
        <w:rPr>
          <w:rFonts w:hint="eastAsia" w:ascii="仿宋_GB2312" w:hAnsi="仿宋" w:eastAsia="仿宋_GB2312"/>
          <w:kern w:val="10"/>
          <w:sz w:val="30"/>
          <w:szCs w:val="30"/>
          <w:lang w:val="en-US" w:eastAsia="zh-CN"/>
        </w:rPr>
        <w:t>服务</w:t>
      </w:r>
    </w:p>
    <w:p w14:paraId="33747DFD">
      <w:pPr>
        <w:spacing w:line="360" w:lineRule="auto"/>
        <w:ind w:left="300" w:leftChars="125" w:firstLine="0" w:firstLineChars="0"/>
        <w:rPr>
          <w:rFonts w:ascii="仿宋_GB2312" w:hAnsi="宋体" w:eastAsia="仿宋_GB2312"/>
          <w:spacing w:val="20"/>
          <w:kern w:val="10"/>
          <w:sz w:val="30"/>
          <w:szCs w:val="32"/>
        </w:rPr>
      </w:pPr>
      <w:r>
        <w:rPr>
          <w:rFonts w:hint="eastAsia" w:ascii="仿宋_GB2312" w:hAnsi="宋体" w:eastAsia="仿宋_GB2312"/>
          <w:spacing w:val="20"/>
          <w:kern w:val="10"/>
          <w:sz w:val="30"/>
          <w:szCs w:val="32"/>
        </w:rPr>
        <w:t>建设单位：</w:t>
      </w:r>
      <w:r>
        <w:rPr>
          <w:rFonts w:hint="eastAsia" w:ascii="仿宋_GB2312" w:hAnsi="宋体" w:eastAsia="仿宋_GB2312"/>
          <w:sz w:val="30"/>
          <w:szCs w:val="32"/>
        </w:rPr>
        <w:t>广州新中轴海珠片区城市更新有限公司</w:t>
      </w:r>
    </w:p>
    <w:p w14:paraId="6A3C7892">
      <w:pPr>
        <w:spacing w:line="360" w:lineRule="auto"/>
        <w:ind w:firstLine="340" w:firstLineChars="100"/>
        <w:rPr>
          <w:rFonts w:ascii="仿宋_GB2312" w:hAnsi="宋体" w:eastAsia="仿宋_GB2312"/>
          <w:spacing w:val="20"/>
          <w:kern w:val="10"/>
          <w:sz w:val="30"/>
          <w:szCs w:val="32"/>
          <w:highlight w:val="none"/>
        </w:rPr>
      </w:pPr>
      <w:r>
        <w:rPr>
          <w:rFonts w:hint="eastAsia" w:ascii="仿宋_GB2312" w:hAnsi="宋体" w:eastAsia="仿宋_GB2312"/>
          <w:spacing w:val="20"/>
          <w:kern w:val="10"/>
          <w:sz w:val="30"/>
          <w:szCs w:val="32"/>
        </w:rPr>
        <w:t>建筑规模：</w:t>
      </w:r>
      <w:r>
        <w:rPr>
          <w:rFonts w:hint="eastAsia" w:ascii="仿宋_GB2312" w:hAnsi="宋体" w:eastAsia="仿宋_GB2312" w:cs="Times New Roman"/>
          <w:sz w:val="30"/>
          <w:szCs w:val="32"/>
          <w:lang w:val="en-US" w:eastAsia="zh-CN"/>
        </w:rPr>
        <w:t>项目总改造用地面积约4.5公顷</w:t>
      </w:r>
    </w:p>
    <w:p w14:paraId="05AB91D8">
      <w:pPr>
        <w:spacing w:line="360" w:lineRule="auto"/>
        <w:ind w:firstLine="300" w:firstLineChars="100"/>
        <w:rPr>
          <w:rFonts w:hint="default" w:ascii="仿宋_GB2312" w:hAnsi="黑体" w:eastAsia="仿宋_GB2312"/>
          <w:kern w:val="10"/>
          <w:sz w:val="30"/>
          <w:szCs w:val="30"/>
          <w:lang w:val="en-US" w:eastAsia="zh-CN"/>
        </w:rPr>
      </w:pPr>
      <w:r>
        <w:rPr>
          <w:rFonts w:hint="eastAsia" w:ascii="仿宋_GB2312" w:hAnsi="黑体" w:eastAsia="仿宋_GB2312"/>
          <w:kern w:val="10"/>
          <w:sz w:val="30"/>
          <w:szCs w:val="30"/>
        </w:rPr>
        <w:t>建议</w:t>
      </w:r>
      <w:r>
        <w:rPr>
          <w:rFonts w:hint="eastAsia" w:ascii="仿宋_GB2312" w:hAnsi="黑体" w:eastAsia="仿宋_GB2312"/>
          <w:kern w:val="10"/>
          <w:sz w:val="30"/>
          <w:szCs w:val="30"/>
          <w:lang w:val="en-US" w:eastAsia="zh-CN"/>
        </w:rPr>
        <w:t>控制价</w:t>
      </w:r>
      <w:r>
        <w:rPr>
          <w:rFonts w:hint="eastAsia" w:ascii="仿宋_GB2312" w:hAnsi="黑体" w:eastAsia="仿宋_GB2312"/>
          <w:kern w:val="10"/>
          <w:sz w:val="30"/>
          <w:szCs w:val="30"/>
        </w:rPr>
        <w:t>金额：</w:t>
      </w:r>
      <w:r>
        <w:rPr>
          <w:rFonts w:hint="eastAsia" w:ascii="仿宋_GB2312" w:hAnsi="宋体" w:eastAsia="仿宋_GB2312"/>
          <w:sz w:val="30"/>
          <w:szCs w:val="30"/>
          <w:lang w:val="en-US" w:eastAsia="zh-CN"/>
        </w:rPr>
        <w:t>977,018.50</w:t>
      </w:r>
      <w:r>
        <w:rPr>
          <w:rFonts w:hint="eastAsia" w:ascii="仿宋_GB2312" w:hAnsi="黑体" w:eastAsia="仿宋_GB2312"/>
          <w:kern w:val="10"/>
          <w:sz w:val="30"/>
          <w:szCs w:val="30"/>
          <w:lang w:val="en-US" w:eastAsia="zh-CN"/>
        </w:rPr>
        <w:t>元</w:t>
      </w:r>
    </w:p>
    <w:p w14:paraId="3B1C6077">
      <w:pPr>
        <w:spacing w:line="360" w:lineRule="auto"/>
        <w:ind w:left="300" w:leftChars="125" w:firstLine="0" w:firstLineChars="0"/>
        <w:rPr>
          <w:rFonts w:hint="eastAsia" w:ascii="仿宋_GB2312" w:hAnsi="黑体" w:eastAsia="仿宋_GB2312"/>
          <w:kern w:val="10"/>
          <w:sz w:val="30"/>
          <w:szCs w:val="30"/>
          <w:lang w:val="en-US" w:eastAsia="zh-CN"/>
        </w:rPr>
      </w:pPr>
      <w:r>
        <w:rPr>
          <w:rFonts w:hint="eastAsia" w:ascii="仿宋_GB2312" w:hAnsi="黑体" w:eastAsia="仿宋_GB2312"/>
          <w:kern w:val="10"/>
          <w:sz w:val="30"/>
          <w:szCs w:val="30"/>
        </w:rPr>
        <w:t xml:space="preserve">金额大写： </w:t>
      </w:r>
      <w:r>
        <w:rPr>
          <w:rFonts w:hint="eastAsia" w:ascii="仿宋_GB2312" w:hAnsi="黑体" w:eastAsia="仿宋_GB2312"/>
          <w:kern w:val="10"/>
          <w:sz w:val="30"/>
          <w:szCs w:val="30"/>
          <w:lang w:val="en-US" w:eastAsia="zh-CN"/>
        </w:rPr>
        <w:t>玖拾柒万柒仟零壹拾捌元伍角整</w:t>
      </w:r>
    </w:p>
    <w:p w14:paraId="125D103D">
      <w:pPr>
        <w:spacing w:line="360" w:lineRule="auto"/>
        <w:ind w:left="300" w:leftChars="125" w:firstLine="0" w:firstLineChars="0"/>
        <w:rPr>
          <w:rFonts w:ascii="仿宋_GB2312" w:hAnsi="黑体" w:eastAsia="仿宋_GB2312"/>
          <w:kern w:val="10"/>
          <w:sz w:val="30"/>
          <w:szCs w:val="30"/>
        </w:rPr>
      </w:pPr>
      <w:r>
        <w:rPr>
          <w:rFonts w:hint="eastAsia" w:ascii="仿宋_GB2312" w:hAnsi="黑体" w:eastAsia="仿宋_GB2312"/>
          <w:kern w:val="10"/>
          <w:sz w:val="30"/>
          <w:szCs w:val="30"/>
        </w:rPr>
        <w:t>编制单位：上海正弘建设工程顾问有限公司</w:t>
      </w:r>
    </w:p>
    <w:p w14:paraId="753C9B46">
      <w:pPr>
        <w:spacing w:line="360" w:lineRule="auto"/>
        <w:ind w:firstLine="300" w:firstLineChars="100"/>
        <w:rPr>
          <w:rFonts w:hint="eastAsia" w:ascii="仿宋_GB2312" w:hAnsi="黑体" w:eastAsia="仿宋_GB2312"/>
          <w:kern w:val="10"/>
          <w:sz w:val="30"/>
          <w:szCs w:val="30"/>
          <w:lang w:val="en-US" w:eastAsia="zh-CN"/>
        </w:rPr>
      </w:pPr>
      <w:r>
        <w:rPr>
          <w:rFonts w:hint="eastAsia" w:ascii="仿宋_GB2312" w:hAnsi="黑体" w:eastAsia="仿宋_GB2312"/>
          <w:kern w:val="10"/>
          <w:sz w:val="30"/>
          <w:szCs w:val="30"/>
        </w:rPr>
        <w:t>编制日期：</w:t>
      </w:r>
      <w:r>
        <w:rPr>
          <w:rFonts w:hint="eastAsia" w:ascii="仿宋_GB2312" w:hAnsi="黑体" w:eastAsia="仿宋_GB2312"/>
          <w:kern w:val="10"/>
          <w:sz w:val="30"/>
          <w:szCs w:val="30"/>
          <w:lang w:val="en-US" w:eastAsia="zh-CN"/>
        </w:rPr>
        <w:t xml:space="preserve"> </w:t>
      </w:r>
    </w:p>
    <w:p w14:paraId="41045258">
      <w:pPr>
        <w:spacing w:line="360" w:lineRule="auto"/>
        <w:ind w:firstLine="300" w:firstLineChars="100"/>
        <w:rPr>
          <w:rFonts w:ascii="仿宋_GB2312" w:hAnsi="黑体" w:eastAsia="仿宋_GB2312"/>
          <w:kern w:val="10"/>
          <w:sz w:val="30"/>
          <w:szCs w:val="30"/>
        </w:rPr>
      </w:pPr>
      <w:r>
        <w:rPr>
          <w:rFonts w:hint="eastAsia" w:ascii="仿宋_GB2312" w:hAnsi="黑体" w:eastAsia="仿宋_GB2312"/>
          <w:kern w:val="10"/>
          <w:sz w:val="30"/>
          <w:szCs w:val="30"/>
        </w:rPr>
        <w:t>编制人：                 资格证号：</w:t>
      </w:r>
    </w:p>
    <w:p w14:paraId="618CBC92">
      <w:pPr>
        <w:pStyle w:val="7"/>
      </w:pPr>
    </w:p>
    <w:p w14:paraId="1AFB4ADE">
      <w:pPr>
        <w:spacing w:line="360" w:lineRule="auto"/>
        <w:ind w:firstLine="300" w:firstLineChars="100"/>
        <w:rPr>
          <w:rFonts w:hint="eastAsia" w:ascii="仿宋_GB2312" w:hAnsi="黑体" w:eastAsia="仿宋_GB2312"/>
          <w:kern w:val="10"/>
          <w:sz w:val="30"/>
          <w:szCs w:val="30"/>
        </w:rPr>
      </w:pPr>
      <w:r>
        <w:rPr>
          <w:rFonts w:hint="eastAsia" w:ascii="仿宋_GB2312" w:hAnsi="黑体" w:eastAsia="仿宋_GB2312"/>
          <w:kern w:val="10"/>
          <w:sz w:val="30"/>
          <w:szCs w:val="30"/>
        </w:rPr>
        <w:t>复核人：                 资格证号：</w:t>
      </w:r>
    </w:p>
    <w:p w14:paraId="3C7CD87D">
      <w:pPr>
        <w:pStyle w:val="7"/>
      </w:pPr>
    </w:p>
    <w:p w14:paraId="4037D43E">
      <w:pPr>
        <w:spacing w:line="360" w:lineRule="auto"/>
        <w:ind w:firstLine="300" w:firstLineChars="100"/>
        <w:rPr>
          <w:rFonts w:hint="eastAsia" w:ascii="仿宋_GB2312" w:hAnsi="黑体" w:eastAsia="仿宋_GB2312"/>
          <w:kern w:val="10"/>
          <w:sz w:val="30"/>
          <w:szCs w:val="30"/>
        </w:rPr>
      </w:pPr>
      <w:r>
        <w:rPr>
          <w:rFonts w:hint="eastAsia" w:ascii="仿宋_GB2312" w:hAnsi="黑体" w:eastAsia="仿宋_GB2312"/>
          <w:kern w:val="10"/>
          <w:sz w:val="30"/>
          <w:szCs w:val="30"/>
        </w:rPr>
        <w:t>审定人：                 资格证号：</w:t>
      </w:r>
    </w:p>
    <w:p w14:paraId="77311292">
      <w:pPr>
        <w:pStyle w:val="7"/>
        <w:rPr>
          <w:rFonts w:hint="eastAsia" w:ascii="仿宋_GB2312" w:hAnsi="黑体" w:eastAsia="仿宋_GB2312"/>
          <w:kern w:val="10"/>
          <w:sz w:val="30"/>
          <w:szCs w:val="30"/>
        </w:rPr>
      </w:pPr>
    </w:p>
    <w:p w14:paraId="11DD4FE5">
      <w:pPr>
        <w:pStyle w:val="7"/>
        <w:rPr>
          <w:rFonts w:hint="eastAsia" w:ascii="仿宋_GB2312" w:hAnsi="黑体" w:eastAsia="仿宋_GB2312"/>
          <w:kern w:val="10"/>
          <w:sz w:val="30"/>
          <w:szCs w:val="30"/>
        </w:rPr>
      </w:pPr>
    </w:p>
    <w:p w14:paraId="6FF4E032">
      <w:pPr>
        <w:spacing w:line="700" w:lineRule="exact"/>
        <w:jc w:val="center"/>
        <w:rPr>
          <w:rFonts w:hint="eastAsia" w:ascii="宋体" w:hAnsi="宋体" w:cs="Times New Roman"/>
          <w:b/>
          <w:sz w:val="48"/>
          <w:szCs w:val="48"/>
          <w:lang w:val="en-US" w:eastAsia="zh-CN"/>
        </w:rPr>
      </w:pPr>
      <w:r>
        <w:rPr>
          <w:rFonts w:hint="eastAsia" w:ascii="宋体" w:hAnsi="宋体" w:cs="Times New Roman"/>
          <w:b/>
          <w:sz w:val="48"/>
          <w:szCs w:val="48"/>
          <w:lang w:val="en-US" w:eastAsia="zh-CN"/>
        </w:rPr>
        <w:t>广州市海珠区东风村城中村改造项目D34安置地块配套人居环境提升工程</w:t>
      </w:r>
    </w:p>
    <w:p w14:paraId="23D5B7E6">
      <w:pPr>
        <w:spacing w:line="700" w:lineRule="exact"/>
        <w:jc w:val="center"/>
        <w:rPr>
          <w:rFonts w:hint="default" w:ascii="宋体" w:hAnsi="宋体"/>
          <w:b/>
          <w:sz w:val="48"/>
          <w:szCs w:val="48"/>
          <w:lang w:val="en-US"/>
        </w:rPr>
      </w:pPr>
      <w:r>
        <w:rPr>
          <w:rFonts w:hint="eastAsia" w:ascii="宋体" w:hAnsi="宋体"/>
          <w:b/>
          <w:sz w:val="48"/>
          <w:szCs w:val="48"/>
          <w:lang w:val="en-US" w:eastAsia="zh-CN"/>
        </w:rPr>
        <w:t>第三方检测服务</w:t>
      </w:r>
    </w:p>
    <w:p w14:paraId="2EEC8A07">
      <w:pPr>
        <w:jc w:val="center"/>
        <w:rPr>
          <w:rFonts w:hint="eastAsia" w:ascii="仿宋_GB2312" w:eastAsia="仿宋_GB2312"/>
          <w:b/>
          <w:spacing w:val="20"/>
          <w:kern w:val="10"/>
          <w:sz w:val="48"/>
          <w:szCs w:val="72"/>
        </w:rPr>
      </w:pPr>
      <w:r>
        <w:rPr>
          <w:rFonts w:hint="eastAsia" w:ascii="仿宋_GB2312" w:eastAsia="仿宋_GB2312"/>
          <w:b/>
          <w:spacing w:val="20"/>
          <w:kern w:val="10"/>
          <w:sz w:val="48"/>
          <w:szCs w:val="72"/>
        </w:rPr>
        <w:t>招标控制价编制说明</w:t>
      </w:r>
    </w:p>
    <w:p w14:paraId="7F4AAF54">
      <w:pPr>
        <w:pStyle w:val="7"/>
      </w:pPr>
    </w:p>
    <w:p w14:paraId="7F79C4F5">
      <w:pPr>
        <w:spacing w:line="360" w:lineRule="auto"/>
        <w:ind w:firstLine="567" w:firstLineChars="189"/>
        <w:jc w:val="left"/>
        <w:rPr>
          <w:rFonts w:hint="eastAsia" w:ascii="仿宋_GB2312" w:hAnsi="宋体" w:eastAsia="仿宋_GB2312" w:cs="Times New Roman"/>
          <w:sz w:val="30"/>
          <w:szCs w:val="30"/>
          <w:highlight w:val="none"/>
          <w:lang w:val="en-US" w:eastAsia="zh-CN"/>
        </w:rPr>
      </w:pPr>
      <w:r>
        <w:rPr>
          <w:rFonts w:hint="eastAsia" w:ascii="仿宋_GB2312" w:hAnsi="宋体" w:eastAsia="仿宋_GB2312" w:cs="Times New Roman"/>
          <w:sz w:val="30"/>
          <w:szCs w:val="30"/>
          <w:highlight w:val="none"/>
          <w:lang w:val="en-US" w:eastAsia="zh-CN"/>
        </w:rPr>
        <w:t>我公司受广州新中轴海珠片区城市更新有限公司的委托，对广州市海珠区东风村城中村改造项目D34安置地块配套人居环境提升工程第三方检测进行招标控制价编制,本工作已完成,具体编制情况如下：</w:t>
      </w:r>
    </w:p>
    <w:p w14:paraId="3923A4F1">
      <w:pPr>
        <w:spacing w:line="360" w:lineRule="auto"/>
        <w:rPr>
          <w:rFonts w:ascii="仿宋_GB2312" w:hAnsi="黑体" w:eastAsia="仿宋_GB2312"/>
          <w:b/>
          <w:kern w:val="10"/>
          <w:sz w:val="30"/>
          <w:szCs w:val="30"/>
        </w:rPr>
      </w:pPr>
      <w:r>
        <w:rPr>
          <w:rFonts w:hint="eastAsia" w:ascii="仿宋_GB2312" w:hAnsi="黑体" w:eastAsia="仿宋_GB2312"/>
          <w:b/>
          <w:kern w:val="10"/>
          <w:sz w:val="30"/>
          <w:szCs w:val="30"/>
        </w:rPr>
        <w:t>一、工程概况</w:t>
      </w:r>
    </w:p>
    <w:p w14:paraId="50E6F4DD">
      <w:pPr>
        <w:spacing w:line="360" w:lineRule="auto"/>
        <w:ind w:firstLine="567" w:firstLineChars="189"/>
        <w:jc w:val="left"/>
        <w:rPr>
          <w:rFonts w:hint="default" w:ascii="仿宋_GB2312" w:hAnsi="宋体" w:eastAsia="仿宋_GB2312" w:cs="Times New Roman"/>
          <w:sz w:val="30"/>
          <w:szCs w:val="30"/>
          <w:highlight w:val="none"/>
          <w:lang w:val="en-US" w:eastAsia="zh-CN"/>
        </w:rPr>
      </w:pPr>
      <w:r>
        <w:rPr>
          <w:rFonts w:hint="eastAsia" w:ascii="仿宋_GB2312" w:hAnsi="宋体" w:eastAsia="仿宋_GB2312" w:cs="Times New Roman"/>
          <w:sz w:val="30"/>
          <w:szCs w:val="30"/>
          <w:highlight w:val="none"/>
          <w:lang w:val="en-US" w:eastAsia="zh-CN"/>
        </w:rPr>
        <w:t>本项目为广州市海珠区东风村城中村改造项目D34安置地块配套人居环境提升工程。本项目位于海珠区，项目建设内容是东风村城中村改造项目D34地块的安置房配套公共空间建设工程。项目分为南北两个地块进行建设，拟建设2个复合型社区公共空间。项目需拆除用地上权属为广州市纺织中等专业学校、丽园雅庭停车场及商铺、烟草宿舍(旧城)、广东畅流投资有限公司、化工机械厂宿舍(旧城)、化工机械厂(君超集团)现状建筑共计132200㎡。北地块复合型社区公共空间用地面积1.4公顷，具体建设内容包括土方调整工程12500㎡、石材铺地工程7200㎡、沥青铺地工程1080㎡、混凝土滑板场（环氧地坪漆）1346㎡、户外天幕工程968㎡，公共空间生态提升工程6100㎡等。南地块复合型社区公共空间用地面积3.1公顷，具体建设内容包括土方调整工程25500.00㎡、石材铺地工程9100㎡、沥青铺地工程1000㎡、木平台208.00㎡、围墙改造1920㎡、商业立面改造3500㎡、混凝土滑板场637㎡，公共空间生态提升工程12500㎡等。</w:t>
      </w:r>
    </w:p>
    <w:p w14:paraId="1EB25317">
      <w:pPr>
        <w:spacing w:line="360" w:lineRule="auto"/>
        <w:rPr>
          <w:rFonts w:ascii="仿宋_GB2312" w:hAnsi="黑体" w:eastAsia="仿宋_GB2312"/>
          <w:kern w:val="10"/>
          <w:sz w:val="30"/>
          <w:szCs w:val="30"/>
        </w:rPr>
      </w:pPr>
      <w:r>
        <w:rPr>
          <w:rFonts w:hint="eastAsia" w:ascii="仿宋_GB2312" w:hAnsi="黑体" w:eastAsia="仿宋_GB2312"/>
          <w:kern w:val="10"/>
          <w:sz w:val="30"/>
          <w:szCs w:val="30"/>
        </w:rPr>
        <w:t>二、</w:t>
      </w:r>
      <w:r>
        <w:rPr>
          <w:rFonts w:hint="eastAsia" w:ascii="仿宋_GB2312" w:hAnsi="黑体" w:eastAsia="仿宋_GB2312"/>
          <w:b/>
          <w:kern w:val="10"/>
          <w:sz w:val="30"/>
          <w:szCs w:val="30"/>
        </w:rPr>
        <w:t>编制范围</w:t>
      </w:r>
    </w:p>
    <w:p w14:paraId="24A8033C">
      <w:pPr>
        <w:pStyle w:val="10"/>
        <w:spacing w:line="360" w:lineRule="auto"/>
        <w:ind w:firstLine="560"/>
        <w:jc w:val="left"/>
        <w:rPr>
          <w:rFonts w:ascii="仿宋_GB2312" w:hAnsi="宋体" w:eastAsia="仿宋_GB2312"/>
          <w:sz w:val="30"/>
          <w:szCs w:val="30"/>
        </w:rPr>
      </w:pPr>
      <w:r>
        <w:rPr>
          <w:rFonts w:hint="eastAsia" w:ascii="仿宋_GB2312" w:eastAsia="仿宋_GB2312"/>
          <w:sz w:val="30"/>
          <w:szCs w:val="30"/>
        </w:rPr>
        <w:t>编制范围为</w:t>
      </w:r>
      <w:r>
        <w:rPr>
          <w:rFonts w:hint="eastAsia" w:ascii="仿宋_GB2312" w:hAnsi="仿宋" w:eastAsia="仿宋_GB2312" w:cs="Times New Roman"/>
          <w:kern w:val="10"/>
          <w:sz w:val="30"/>
          <w:szCs w:val="30"/>
          <w:lang w:val="en-US" w:eastAsia="zh-CN"/>
        </w:rPr>
        <w:t>广州市海珠区东风村城中村改造项目D34安置地块配套人居环境提升工程</w:t>
      </w:r>
      <w:r>
        <w:rPr>
          <w:rFonts w:hint="eastAsia" w:ascii="仿宋_GB2312" w:eastAsia="仿宋_GB2312"/>
          <w:sz w:val="30"/>
          <w:szCs w:val="30"/>
          <w:lang w:eastAsia="zh-CN"/>
        </w:rPr>
        <w:t>第三方检测服务</w:t>
      </w:r>
      <w:r>
        <w:rPr>
          <w:rFonts w:hint="eastAsia" w:ascii="仿宋_GB2312" w:hAnsi="宋体" w:eastAsia="仿宋_GB2312"/>
          <w:sz w:val="30"/>
          <w:szCs w:val="30"/>
        </w:rPr>
        <w:t>。</w:t>
      </w:r>
    </w:p>
    <w:p w14:paraId="61B8F92D">
      <w:pPr>
        <w:tabs>
          <w:tab w:val="left" w:pos="0"/>
        </w:tabs>
        <w:spacing w:line="360" w:lineRule="auto"/>
        <w:rPr>
          <w:rFonts w:hint="eastAsia" w:ascii="仿宋_GB2312" w:hAnsi="宋体" w:eastAsia="仿宋_GB2312"/>
          <w:sz w:val="30"/>
          <w:szCs w:val="30"/>
          <w:highlight w:val="none"/>
          <w:lang w:val="en-US" w:eastAsia="zh-CN"/>
        </w:rPr>
      </w:pPr>
      <w:r>
        <w:rPr>
          <w:rFonts w:hint="eastAsia" w:ascii="仿宋_GB2312" w:hAnsi="黑体" w:eastAsia="仿宋_GB2312"/>
          <w:b/>
          <w:kern w:val="10"/>
          <w:sz w:val="30"/>
          <w:szCs w:val="30"/>
        </w:rPr>
        <w:t>三、编制依据</w:t>
      </w:r>
    </w:p>
    <w:p w14:paraId="7AC23EBA">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1、服务内容：依据</w:t>
      </w:r>
      <w:r>
        <w:rPr>
          <w:rFonts w:hint="eastAsia" w:ascii="仿宋_GB2312" w:hAnsi="仿宋" w:eastAsia="仿宋_GB2312" w:cs="Times New Roman"/>
          <w:kern w:val="10"/>
          <w:sz w:val="30"/>
          <w:szCs w:val="30"/>
          <w:lang w:val="en-US" w:eastAsia="zh-CN"/>
        </w:rPr>
        <w:t>广州市海珠区东风村城中村改造项目D34安置地块配套人居环境提升工程</w:t>
      </w:r>
      <w:r>
        <w:rPr>
          <w:rFonts w:hint="eastAsia" w:ascii="仿宋_GB2312" w:hAnsi="宋体" w:eastAsia="仿宋_GB2312"/>
          <w:sz w:val="30"/>
          <w:szCs w:val="30"/>
          <w:highlight w:val="none"/>
          <w:lang w:val="en-US" w:eastAsia="zh-CN"/>
        </w:rPr>
        <w:t>第三方检测服务内容，进行工程量清单编制及工程量计算;</w:t>
      </w:r>
    </w:p>
    <w:p w14:paraId="40D31F3B">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2、计价依据：第三方检测服务费按粤建检协﹝2015﹞8号文。</w:t>
      </w:r>
    </w:p>
    <w:p w14:paraId="19057A90">
      <w:pPr>
        <w:tabs>
          <w:tab w:val="left" w:pos="0"/>
        </w:tabs>
        <w:spacing w:line="360" w:lineRule="auto"/>
        <w:rPr>
          <w:rFonts w:hint="eastAsia" w:ascii="仿宋_GB2312" w:hAnsi="宋体" w:eastAsia="仿宋_GB2312"/>
          <w:b/>
          <w:bCs/>
          <w:sz w:val="30"/>
          <w:szCs w:val="30"/>
          <w:highlight w:val="none"/>
          <w:lang w:val="en-US" w:eastAsia="zh-CN"/>
        </w:rPr>
      </w:pPr>
      <w:r>
        <w:rPr>
          <w:rFonts w:hint="eastAsia" w:ascii="仿宋_GB2312" w:hAnsi="宋体" w:eastAsia="仿宋_GB2312"/>
          <w:b/>
          <w:bCs/>
          <w:sz w:val="30"/>
          <w:szCs w:val="30"/>
          <w:highlight w:val="none"/>
          <w:lang w:val="en-US" w:eastAsia="zh-CN"/>
        </w:rPr>
        <w:t>四、编制情况</w:t>
      </w:r>
    </w:p>
    <w:p w14:paraId="49A34948">
      <w:pPr>
        <w:tabs>
          <w:tab w:val="left" w:pos="0"/>
        </w:tabs>
        <w:spacing w:line="360" w:lineRule="auto"/>
        <w:ind w:firstLine="600" w:firstLineChars="200"/>
        <w:rPr>
          <w:rFonts w:hint="eastAsia" w:ascii="仿宋_GB2312" w:hAnsi="宋体" w:eastAsia="仿宋_GB2312"/>
          <w:sz w:val="30"/>
          <w:szCs w:val="30"/>
          <w:highlight w:val="none"/>
          <w:lang w:val="en-US" w:eastAsia="zh-CN"/>
        </w:rPr>
      </w:pPr>
      <w:r>
        <w:rPr>
          <w:rFonts w:hint="eastAsia" w:ascii="仿宋_GB2312" w:hAnsi="宋体" w:eastAsia="仿宋_GB2312"/>
          <w:sz w:val="30"/>
          <w:szCs w:val="30"/>
          <w:highlight w:val="none"/>
          <w:lang w:val="en-US" w:eastAsia="zh-CN"/>
        </w:rPr>
        <w:t>第三方检测服务编制根据</w:t>
      </w:r>
      <w:r>
        <w:rPr>
          <w:rFonts w:hint="eastAsia" w:ascii="仿宋_GB2312" w:hAnsi="宋体" w:eastAsia="仿宋_GB2312" w:cs="Times New Roman"/>
          <w:sz w:val="30"/>
          <w:szCs w:val="30"/>
          <w:highlight w:val="none"/>
          <w:lang w:val="en-US" w:eastAsia="zh-CN"/>
        </w:rPr>
        <w:t>广州新中轴海珠片区城市更新有限公司提供的</w:t>
      </w:r>
      <w:r>
        <w:rPr>
          <w:rFonts w:hint="eastAsia" w:ascii="仿宋_GB2312" w:hAnsi="宋体" w:eastAsia="仿宋_GB2312"/>
          <w:sz w:val="30"/>
          <w:szCs w:val="30"/>
          <w:highlight w:val="none"/>
          <w:lang w:val="en-US" w:eastAsia="zh-CN"/>
        </w:rPr>
        <w:t>第三方检测和监测服务内容、检测和监测数量，执行粤建检协﹝2015﹞8号文收费标准计算及结合检测监测服务市场价格水平下浮35%，并对照机场三期的检测、监测服务控制价，相同检测、监测项目采用同一控制价单价原则计取本次招标范围内检测监测控制价预算单价，无收费标准部分按照市场价格。</w:t>
      </w:r>
    </w:p>
    <w:p w14:paraId="7530C96D">
      <w:pPr>
        <w:spacing w:line="360" w:lineRule="auto"/>
        <w:rPr>
          <w:rFonts w:ascii="仿宋_GB2312" w:eastAsia="仿宋_GB2312"/>
          <w:sz w:val="30"/>
          <w:szCs w:val="30"/>
        </w:rPr>
      </w:pPr>
      <w:r>
        <w:rPr>
          <w:rFonts w:hint="eastAsia" w:ascii="仿宋_GB2312" w:eastAsia="仿宋_GB2312"/>
          <w:b/>
          <w:bCs/>
          <w:sz w:val="30"/>
          <w:szCs w:val="30"/>
        </w:rPr>
        <w:t>五、编制结果</w:t>
      </w:r>
    </w:p>
    <w:p w14:paraId="2CD8ADFE">
      <w:pPr>
        <w:spacing w:line="360" w:lineRule="auto"/>
        <w:ind w:firstLine="567" w:firstLineChars="189"/>
        <w:rPr>
          <w:rFonts w:ascii="仿宋_GB2312" w:eastAsia="仿宋_GB2312"/>
          <w:b/>
          <w:bCs/>
          <w:sz w:val="30"/>
          <w:szCs w:val="30"/>
        </w:rPr>
      </w:pPr>
      <w:r>
        <w:rPr>
          <w:rFonts w:hint="eastAsia" w:ascii="仿宋_GB2312" w:hAnsi="仿宋" w:eastAsia="仿宋_GB2312" w:cs="Times New Roman"/>
          <w:kern w:val="10"/>
          <w:sz w:val="30"/>
          <w:szCs w:val="30"/>
          <w:lang w:val="en-US" w:eastAsia="zh-CN"/>
        </w:rPr>
        <w:t>广州市海珠区东风村城中村改造项目D34安置地块配套人居环境提升工程</w:t>
      </w:r>
      <w:r>
        <w:rPr>
          <w:rFonts w:hint="eastAsia" w:ascii="仿宋_GB2312" w:hAnsi="宋体" w:eastAsia="仿宋_GB2312"/>
          <w:sz w:val="30"/>
          <w:szCs w:val="30"/>
          <w:highlight w:val="none"/>
          <w:lang w:val="en-US" w:eastAsia="zh-CN"/>
        </w:rPr>
        <w:t>第三方检测服务</w:t>
      </w:r>
      <w:r>
        <w:rPr>
          <w:rFonts w:hint="eastAsia" w:ascii="仿宋_GB2312" w:hAnsi="宋体" w:eastAsia="仿宋_GB2312"/>
          <w:sz w:val="30"/>
          <w:szCs w:val="30"/>
        </w:rPr>
        <w:t>预算</w:t>
      </w:r>
      <w:r>
        <w:rPr>
          <w:rFonts w:hint="eastAsia" w:ascii="仿宋_GB2312" w:hAnsi="宋体" w:eastAsia="仿宋_GB2312"/>
          <w:sz w:val="30"/>
          <w:szCs w:val="30"/>
          <w:lang w:val="en-US" w:eastAsia="zh-CN"/>
        </w:rPr>
        <w:t>金额</w:t>
      </w:r>
      <w:r>
        <w:rPr>
          <w:rFonts w:hint="eastAsia" w:ascii="仿宋_GB2312" w:hAnsi="宋体" w:eastAsia="仿宋_GB2312"/>
          <w:sz w:val="30"/>
          <w:szCs w:val="30"/>
        </w:rPr>
        <w:t>为</w:t>
      </w:r>
      <w:r>
        <w:rPr>
          <w:rFonts w:hint="eastAsia" w:ascii="仿宋_GB2312" w:hAnsi="宋体" w:eastAsia="仿宋_GB2312"/>
          <w:sz w:val="30"/>
          <w:szCs w:val="30"/>
          <w:lang w:val="en-US" w:eastAsia="zh-CN"/>
        </w:rPr>
        <w:t>977,018.50</w:t>
      </w:r>
      <w:r>
        <w:rPr>
          <w:rFonts w:hint="eastAsia" w:ascii="仿宋_GB2312" w:hAnsi="宋体" w:eastAsia="仿宋_GB2312"/>
          <w:sz w:val="30"/>
          <w:szCs w:val="30"/>
        </w:rPr>
        <w:t>元</w:t>
      </w:r>
      <w:r>
        <w:rPr>
          <w:rFonts w:hint="eastAsia" w:ascii="仿宋_GB2312" w:eastAsia="仿宋_GB2312"/>
          <w:sz w:val="30"/>
          <w:szCs w:val="30"/>
        </w:rPr>
        <w:t>。</w:t>
      </w:r>
    </w:p>
    <w:p w14:paraId="0178151A">
      <w:pPr>
        <w:spacing w:line="360" w:lineRule="auto"/>
        <w:rPr>
          <w:rFonts w:ascii="仿宋_GB2312" w:hAnsi="宋体" w:eastAsia="仿宋_GB2312"/>
          <w:b/>
          <w:sz w:val="30"/>
          <w:szCs w:val="30"/>
        </w:rPr>
      </w:pPr>
      <w:r>
        <w:rPr>
          <w:rFonts w:hint="eastAsia" w:ascii="仿宋_GB2312" w:hAnsi="宋体" w:eastAsia="仿宋_GB2312"/>
          <w:b/>
          <w:sz w:val="30"/>
          <w:szCs w:val="30"/>
        </w:rPr>
        <w:t>六、附件</w:t>
      </w:r>
    </w:p>
    <w:p w14:paraId="5E6B14D2">
      <w:pPr>
        <w:spacing w:line="360" w:lineRule="auto"/>
        <w:ind w:firstLine="567" w:firstLineChars="189"/>
        <w:rPr>
          <w:rFonts w:hint="eastAsia" w:ascii="仿宋_GB2312" w:hAnsi="仿宋" w:eastAsia="仿宋_GB2312"/>
          <w:kern w:val="10"/>
          <w:sz w:val="30"/>
          <w:szCs w:val="30"/>
        </w:rPr>
      </w:pPr>
      <w:r>
        <w:rPr>
          <w:rFonts w:hint="eastAsia" w:ascii="仿宋_GB2312" w:hAnsi="宋体" w:eastAsia="仿宋_GB2312" w:cs="Times New Roman"/>
          <w:sz w:val="30"/>
          <w:szCs w:val="30"/>
          <w:highlight w:val="none"/>
          <w:lang w:val="en-US" w:eastAsia="zh-CN"/>
        </w:rPr>
        <w:t>广州市海珠区东风村城中村改造项目D34安置地块配套人居环境提升工程</w:t>
      </w:r>
      <w:r>
        <w:rPr>
          <w:rFonts w:hint="eastAsia" w:ascii="仿宋_GB2312" w:hAnsi="仿宋" w:eastAsia="仿宋_GB2312"/>
          <w:kern w:val="10"/>
          <w:sz w:val="30"/>
          <w:szCs w:val="30"/>
          <w:lang w:val="en-US" w:eastAsia="zh-CN"/>
        </w:rPr>
        <w:t>第三方检测服务最高投标限价汇总表</w:t>
      </w:r>
    </w:p>
    <w:p w14:paraId="465F9D7E">
      <w:pPr>
        <w:spacing w:line="360" w:lineRule="auto"/>
        <w:ind w:firstLine="567" w:firstLineChars="189"/>
        <w:rPr>
          <w:rFonts w:hint="eastAsia" w:ascii="仿宋_GB2312" w:eastAsia="仿宋_GB2312"/>
          <w:sz w:val="30"/>
          <w:szCs w:val="30"/>
        </w:rPr>
      </w:pPr>
    </w:p>
    <w:p w14:paraId="7D0B4651">
      <w:pPr>
        <w:spacing w:line="360" w:lineRule="auto"/>
        <w:ind w:firstLine="567" w:firstLineChars="189"/>
        <w:rPr>
          <w:rFonts w:hint="eastAsia" w:ascii="仿宋_GB2312" w:eastAsia="仿宋_GB2312"/>
          <w:sz w:val="30"/>
          <w:szCs w:val="30"/>
        </w:rPr>
      </w:pPr>
    </w:p>
    <w:p w14:paraId="4DD10D19">
      <w:pPr>
        <w:tabs>
          <w:tab w:val="left" w:pos="600"/>
        </w:tabs>
        <w:spacing w:line="360" w:lineRule="auto"/>
        <w:ind w:firstLine="3900" w:firstLineChars="1300"/>
        <w:jc w:val="both"/>
        <w:rPr>
          <w:rFonts w:ascii="仿宋_GB2312" w:hAnsi="黑体" w:eastAsia="仿宋_GB2312"/>
          <w:kern w:val="10"/>
          <w:sz w:val="30"/>
          <w:szCs w:val="30"/>
        </w:rPr>
      </w:pPr>
      <w:r>
        <w:rPr>
          <w:rFonts w:hint="eastAsia" w:ascii="仿宋_GB2312" w:hAnsi="黑体" w:eastAsia="仿宋_GB2312"/>
          <w:kern w:val="10"/>
          <w:sz w:val="30"/>
          <w:szCs w:val="30"/>
        </w:rPr>
        <w:t>编制单位</w:t>
      </w:r>
      <w:r>
        <w:rPr>
          <w:rFonts w:hint="eastAsia" w:ascii="仿宋_GB2312" w:hAnsi="黑体" w:eastAsia="仿宋_GB2312"/>
          <w:kern w:val="10"/>
          <w:sz w:val="30"/>
          <w:szCs w:val="30"/>
          <w:lang w:eastAsia="zh-CN"/>
        </w:rPr>
        <w:t>：</w:t>
      </w:r>
      <w:r>
        <w:rPr>
          <w:rFonts w:hint="eastAsia" w:ascii="仿宋_GB2312" w:hAnsi="黑体" w:eastAsia="仿宋_GB2312"/>
          <w:kern w:val="10"/>
          <w:sz w:val="30"/>
          <w:szCs w:val="30"/>
        </w:rPr>
        <w:t>上海正弘建设工程顾问有限公司</w:t>
      </w:r>
    </w:p>
    <w:p w14:paraId="45FDC45C">
      <w:pPr>
        <w:tabs>
          <w:tab w:val="left" w:pos="600"/>
        </w:tabs>
        <w:spacing w:line="360" w:lineRule="auto"/>
        <w:ind w:firstLine="3900" w:firstLineChars="1300"/>
        <w:jc w:val="left"/>
        <w:rPr>
          <w:rFonts w:ascii="仿宋_GB2312" w:hAnsi="黑体" w:eastAsia="仿宋_GB2312"/>
          <w:kern w:val="10"/>
          <w:sz w:val="30"/>
          <w:szCs w:val="30"/>
        </w:rPr>
      </w:pPr>
      <w:r>
        <w:rPr>
          <w:rFonts w:hint="eastAsia" w:ascii="仿宋_GB2312" w:hAnsi="黑体" w:eastAsia="仿宋_GB2312"/>
          <w:kern w:val="10"/>
          <w:sz w:val="30"/>
          <w:szCs w:val="30"/>
        </w:rPr>
        <w:t>编制日期：</w:t>
      </w:r>
    </w:p>
    <w:p w14:paraId="4C2281F7">
      <w:pPr>
        <w:rPr>
          <w:rFonts w:ascii="仿宋_GB2312" w:hAnsi="黑体" w:eastAsia="仿宋_GB2312"/>
          <w:kern w:val="10"/>
          <w:sz w:val="30"/>
          <w:szCs w:val="30"/>
        </w:rPr>
        <w:sectPr>
          <w:headerReference r:id="rId3" w:type="default"/>
          <w:footerReference r:id="rId4" w:type="default"/>
          <w:footerReference r:id="rId5" w:type="even"/>
          <w:pgSz w:w="11906" w:h="16838"/>
          <w:pgMar w:top="1191" w:right="1077" w:bottom="1134" w:left="1134" w:header="851" w:footer="992" w:gutter="0"/>
          <w:cols w:space="720" w:num="1"/>
          <w:titlePg/>
          <w:docGrid w:type="lines" w:linePitch="536" w:charSpace="0"/>
        </w:sectPr>
      </w:pPr>
    </w:p>
    <w:p w14:paraId="42C4A6B6">
      <w:pPr>
        <w:rPr>
          <w:rFonts w:hint="eastAsia" w:ascii="宋体" w:hAnsi="宋体"/>
          <w:b/>
          <w:bCs w:val="0"/>
          <w:sz w:val="24"/>
          <w:szCs w:val="24"/>
          <w:highlight w:val="none"/>
          <w:lang w:val="en-US" w:eastAsia="zh-CN"/>
        </w:rPr>
      </w:pPr>
      <w:r>
        <w:rPr>
          <w:rFonts w:hint="eastAsia" w:ascii="宋体" w:hAnsi="宋体"/>
          <w:b/>
          <w:bCs w:val="0"/>
          <w:sz w:val="24"/>
          <w:szCs w:val="24"/>
          <w:highlight w:val="none"/>
          <w:lang w:val="en-US" w:eastAsia="zh-CN"/>
        </w:rPr>
        <w:t>附件：</w:t>
      </w:r>
    </w:p>
    <w:p w14:paraId="394B9034">
      <w:pPr>
        <w:jc w:val="center"/>
        <w:rPr>
          <w:rFonts w:hint="eastAsia" w:ascii="宋体" w:hAnsi="宋体"/>
          <w:b/>
          <w:sz w:val="30"/>
          <w:szCs w:val="30"/>
          <w:highlight w:val="none"/>
          <w:lang w:eastAsia="zh-CN"/>
        </w:rPr>
      </w:pPr>
      <w:r>
        <w:rPr>
          <w:rFonts w:hint="eastAsia" w:ascii="宋体" w:hAnsi="宋体" w:cs="Times New Roman"/>
          <w:b/>
          <w:sz w:val="30"/>
          <w:szCs w:val="30"/>
          <w:highlight w:val="none"/>
          <w:lang w:val="en-US" w:eastAsia="zh-CN"/>
        </w:rPr>
        <w:t>广州市海珠区东风村城中村改造项目D34安置地块配套人居环境提升工程第三方检测</w:t>
      </w:r>
      <w:r>
        <w:rPr>
          <w:rFonts w:hint="eastAsia" w:ascii="宋体" w:hAnsi="宋体"/>
          <w:b/>
          <w:sz w:val="30"/>
          <w:szCs w:val="30"/>
          <w:highlight w:val="none"/>
          <w:lang w:eastAsia="zh-CN"/>
        </w:rPr>
        <w:t>服务</w:t>
      </w:r>
    </w:p>
    <w:p w14:paraId="29427F45">
      <w:pPr>
        <w:jc w:val="center"/>
        <w:rPr>
          <w:rFonts w:hint="eastAsia" w:ascii="宋体" w:hAnsi="宋体"/>
          <w:b/>
          <w:sz w:val="30"/>
          <w:szCs w:val="30"/>
          <w:highlight w:val="none"/>
          <w:lang w:eastAsia="zh-CN"/>
        </w:rPr>
      </w:pPr>
      <w:r>
        <w:rPr>
          <w:rFonts w:hint="eastAsia" w:ascii="宋体" w:hAnsi="宋体"/>
          <w:b/>
          <w:sz w:val="30"/>
          <w:szCs w:val="30"/>
          <w:highlight w:val="none"/>
          <w:lang w:eastAsia="zh-CN"/>
        </w:rPr>
        <w:t>最高投标限价汇总表</w:t>
      </w:r>
    </w:p>
    <w:p w14:paraId="49CFE562">
      <w:pPr>
        <w:jc w:val="center"/>
        <w:rPr>
          <w:rFonts w:hint="eastAsia" w:ascii="宋体" w:hAnsi="宋体"/>
          <w:b/>
          <w:sz w:val="30"/>
          <w:szCs w:val="30"/>
          <w:highlight w:val="none"/>
          <w:lang w:eastAsia="zh-CN"/>
        </w:rPr>
      </w:pPr>
    </w:p>
    <w:p w14:paraId="21B6057B">
      <w:pPr>
        <w:jc w:val="center"/>
        <w:rPr>
          <w:rFonts w:hint="eastAsia" w:ascii="宋体" w:hAnsi="宋体"/>
          <w:b/>
          <w:sz w:val="30"/>
          <w:szCs w:val="30"/>
          <w:highlight w:val="none"/>
          <w:lang w:eastAsia="zh-CN"/>
        </w:rPr>
      </w:pPr>
    </w:p>
    <w:tbl>
      <w:tblPr>
        <w:tblStyle w:val="4"/>
        <w:tblW w:w="14490" w:type="dxa"/>
        <w:tblInd w:w="96"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108" w:type="dxa"/>
          <w:bottom w:w="0" w:type="dxa"/>
          <w:right w:w="108" w:type="dxa"/>
        </w:tblCellMar>
      </w:tblPr>
      <w:tblGrid>
        <w:gridCol w:w="1925"/>
        <w:gridCol w:w="3431"/>
        <w:gridCol w:w="7324"/>
        <w:gridCol w:w="1810"/>
      </w:tblGrid>
      <w:tr w14:paraId="7E30CBB4">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192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7252CB46">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　序号</w:t>
            </w:r>
          </w:p>
        </w:tc>
        <w:tc>
          <w:tcPr>
            <w:tcW w:w="343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E3F8B68">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工作内容</w:t>
            </w:r>
          </w:p>
        </w:tc>
        <w:tc>
          <w:tcPr>
            <w:tcW w:w="7324"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51F8D41">
            <w:pPr>
              <w:keepNext w:val="0"/>
              <w:keepLines w:val="0"/>
              <w:widowControl/>
              <w:suppressLineNumbers w:val="0"/>
              <w:jc w:val="center"/>
              <w:textAlignment w:val="center"/>
              <w:rPr>
                <w:rFonts w:hint="eastAsia" w:ascii="宋体" w:hAnsi="宋体" w:eastAsia="宋体" w:cs="宋体"/>
                <w:b/>
                <w:bCs/>
                <w:i w:val="0"/>
                <w:iCs w:val="0"/>
                <w:color w:val="000000"/>
                <w:sz w:val="24"/>
                <w:szCs w:val="24"/>
                <w:u w:val="none"/>
              </w:rPr>
            </w:pPr>
            <w:r>
              <w:rPr>
                <w:rFonts w:hint="eastAsia" w:ascii="宋体" w:hAnsi="宋体" w:eastAsia="宋体" w:cs="宋体"/>
                <w:b/>
                <w:bCs/>
                <w:i w:val="0"/>
                <w:iCs w:val="0"/>
                <w:color w:val="000000"/>
                <w:kern w:val="0"/>
                <w:sz w:val="24"/>
                <w:szCs w:val="24"/>
                <w:u w:val="none"/>
                <w:lang w:val="en-US" w:eastAsia="zh-CN" w:bidi="ar"/>
              </w:rPr>
              <w:t>含税总金额（元）</w:t>
            </w:r>
          </w:p>
        </w:tc>
        <w:tc>
          <w:tcPr>
            <w:tcW w:w="1810"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23C3E84">
            <w:pPr>
              <w:keepNext w:val="0"/>
              <w:keepLines w:val="0"/>
              <w:widowControl/>
              <w:suppressLineNumbers w:val="0"/>
              <w:jc w:val="center"/>
              <w:textAlignment w:val="center"/>
              <w:rPr>
                <w:rFonts w:hint="eastAsia" w:ascii="宋体" w:hAnsi="宋体" w:eastAsia="宋体" w:cs="宋体"/>
                <w:i w:val="0"/>
                <w:iCs w:val="0"/>
                <w:color w:val="000000"/>
                <w:sz w:val="24"/>
                <w:szCs w:val="24"/>
                <w:u w:val="none"/>
              </w:rPr>
            </w:pPr>
            <w:r>
              <w:rPr>
                <w:rFonts w:hint="eastAsia" w:ascii="宋体" w:hAnsi="宋体" w:eastAsia="宋体" w:cs="宋体"/>
                <w:i w:val="0"/>
                <w:iCs w:val="0"/>
                <w:color w:val="000000"/>
                <w:kern w:val="0"/>
                <w:sz w:val="24"/>
                <w:szCs w:val="24"/>
                <w:u w:val="none"/>
                <w:lang w:val="en-US" w:eastAsia="zh-CN" w:bidi="ar"/>
              </w:rPr>
              <w:t>备注</w:t>
            </w:r>
          </w:p>
        </w:tc>
      </w:tr>
      <w:tr w14:paraId="491FEC5D">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920" w:hRule="atLeast"/>
        </w:trPr>
        <w:tc>
          <w:tcPr>
            <w:tcW w:w="192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4F690B6">
            <w:pPr>
              <w:jc w:val="center"/>
              <w:rPr>
                <w:rFonts w:hint="eastAsia" w:ascii="宋体" w:hAnsi="宋体" w:eastAsia="宋体" w:cs="宋体"/>
                <w:b/>
                <w:bCs/>
                <w:i w:val="0"/>
                <w:iCs w:val="0"/>
                <w:color w:val="000000"/>
                <w:sz w:val="24"/>
                <w:szCs w:val="24"/>
                <w:u w:val="none"/>
              </w:rPr>
            </w:pPr>
          </w:p>
        </w:tc>
        <w:tc>
          <w:tcPr>
            <w:tcW w:w="343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33EE342">
            <w:pPr>
              <w:jc w:val="center"/>
              <w:rPr>
                <w:rFonts w:hint="eastAsia" w:ascii="宋体" w:hAnsi="宋体" w:eastAsia="宋体" w:cs="宋体"/>
                <w:b/>
                <w:bCs/>
                <w:i w:val="0"/>
                <w:iCs w:val="0"/>
                <w:color w:val="000000"/>
                <w:sz w:val="24"/>
                <w:szCs w:val="24"/>
                <w:u w:val="none"/>
              </w:rPr>
            </w:pPr>
          </w:p>
        </w:tc>
        <w:tc>
          <w:tcPr>
            <w:tcW w:w="7324"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EA62441">
            <w:pPr>
              <w:jc w:val="center"/>
              <w:rPr>
                <w:rFonts w:hint="eastAsia" w:ascii="宋体" w:hAnsi="宋体" w:eastAsia="宋体" w:cs="宋体"/>
                <w:b/>
                <w:bCs/>
                <w:i w:val="0"/>
                <w:iCs w:val="0"/>
                <w:color w:val="000000"/>
                <w:sz w:val="24"/>
                <w:szCs w:val="24"/>
                <w:u w:val="none"/>
              </w:rPr>
            </w:pPr>
          </w:p>
        </w:tc>
        <w:tc>
          <w:tcPr>
            <w:tcW w:w="1810"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A36F5FF">
            <w:pPr>
              <w:jc w:val="center"/>
              <w:rPr>
                <w:rFonts w:hint="eastAsia" w:ascii="宋体" w:hAnsi="宋体" w:eastAsia="宋体" w:cs="宋体"/>
                <w:i w:val="0"/>
                <w:iCs w:val="0"/>
                <w:color w:val="000000"/>
                <w:sz w:val="24"/>
                <w:szCs w:val="24"/>
                <w:u w:val="none"/>
              </w:rPr>
            </w:pPr>
          </w:p>
        </w:tc>
      </w:tr>
      <w:tr w14:paraId="4F67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140"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02413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eastAsia="宋体" w:cs="宋体"/>
                <w:b w:val="0"/>
                <w:bCs w:val="0"/>
                <w:i w:val="0"/>
                <w:iCs w:val="0"/>
                <w:color w:val="000000"/>
                <w:kern w:val="0"/>
                <w:sz w:val="22"/>
                <w:szCs w:val="22"/>
                <w:u w:val="none"/>
                <w:lang w:val="en-US" w:eastAsia="zh-CN" w:bidi="ar"/>
              </w:rPr>
              <w:t>1</w:t>
            </w:r>
          </w:p>
        </w:tc>
        <w:tc>
          <w:tcPr>
            <w:tcW w:w="3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28B02">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第三方检测</w:t>
            </w:r>
          </w:p>
        </w:tc>
        <w:tc>
          <w:tcPr>
            <w:tcW w:w="7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10FE03">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977,018.50</w:t>
            </w: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18453B5">
            <w:pPr>
              <w:rPr>
                <w:rFonts w:hint="eastAsia" w:ascii="宋体" w:hAnsi="宋体" w:eastAsia="宋体" w:cs="宋体"/>
                <w:i w:val="0"/>
                <w:iCs w:val="0"/>
                <w:color w:val="000000"/>
                <w:sz w:val="22"/>
                <w:szCs w:val="22"/>
                <w:u w:val="none"/>
              </w:rPr>
            </w:pPr>
          </w:p>
        </w:tc>
      </w:tr>
      <w:tr w14:paraId="1CD951CF">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1320" w:hRule="atLeast"/>
        </w:trPr>
        <w:tc>
          <w:tcPr>
            <w:tcW w:w="192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3FCA9">
            <w:pPr>
              <w:keepNext w:val="0"/>
              <w:keepLines w:val="0"/>
              <w:widowControl/>
              <w:suppressLineNumbers w:val="0"/>
              <w:jc w:val="center"/>
              <w:textAlignment w:val="center"/>
              <w:rPr>
                <w:rFonts w:hint="eastAsia" w:ascii="宋体" w:hAnsi="宋体" w:eastAsia="宋体" w:cs="宋体"/>
                <w:b w:val="0"/>
                <w:bCs w:val="0"/>
                <w:i w:val="0"/>
                <w:iCs w:val="0"/>
                <w:color w:val="000000"/>
                <w:sz w:val="22"/>
                <w:szCs w:val="22"/>
                <w:u w:val="none"/>
              </w:rPr>
            </w:pPr>
            <w:r>
              <w:rPr>
                <w:rFonts w:hint="eastAsia" w:ascii="宋体" w:hAnsi="宋体" w:cs="宋体"/>
                <w:b w:val="0"/>
                <w:bCs w:val="0"/>
                <w:i w:val="0"/>
                <w:iCs w:val="0"/>
                <w:color w:val="000000"/>
                <w:kern w:val="0"/>
                <w:sz w:val="22"/>
                <w:szCs w:val="22"/>
                <w:u w:val="none"/>
                <w:lang w:val="en-US" w:eastAsia="zh-CN" w:bidi="ar"/>
              </w:rPr>
              <w:t>2</w:t>
            </w:r>
          </w:p>
        </w:tc>
        <w:tc>
          <w:tcPr>
            <w:tcW w:w="343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C74357">
            <w:pPr>
              <w:keepNext w:val="0"/>
              <w:keepLines w:val="0"/>
              <w:widowControl/>
              <w:suppressLineNumbers w:val="0"/>
              <w:jc w:val="center"/>
              <w:textAlignment w:val="center"/>
              <w:rPr>
                <w:rFonts w:hint="eastAsia" w:ascii="宋体" w:hAnsi="宋体" w:eastAsia="宋体" w:cs="宋体"/>
                <w:b w:val="0"/>
                <w:bCs w:val="0"/>
                <w:i w:val="0"/>
                <w:iCs w:val="0"/>
                <w:color w:val="000000"/>
                <w:sz w:val="24"/>
                <w:szCs w:val="24"/>
                <w:u w:val="none"/>
              </w:rPr>
            </w:pPr>
            <w:r>
              <w:rPr>
                <w:rFonts w:hint="eastAsia" w:ascii="宋体" w:hAnsi="宋体" w:eastAsia="宋体" w:cs="宋体"/>
                <w:b w:val="0"/>
                <w:bCs w:val="0"/>
                <w:i w:val="0"/>
                <w:iCs w:val="0"/>
                <w:color w:val="000000"/>
                <w:kern w:val="0"/>
                <w:sz w:val="24"/>
                <w:szCs w:val="24"/>
                <w:u w:val="none"/>
                <w:lang w:val="en-US" w:eastAsia="zh-CN" w:bidi="ar"/>
              </w:rPr>
              <w:t>合计</w:t>
            </w:r>
          </w:p>
        </w:tc>
        <w:tc>
          <w:tcPr>
            <w:tcW w:w="732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21BE60">
            <w:pPr>
              <w:keepNext w:val="0"/>
              <w:keepLines w:val="0"/>
              <w:widowControl/>
              <w:suppressLineNumbers w:val="0"/>
              <w:jc w:val="center"/>
              <w:textAlignment w:val="center"/>
              <w:rPr>
                <w:rFonts w:hint="eastAsia" w:ascii="宋体" w:hAnsi="宋体" w:eastAsia="宋体" w:cs="宋体"/>
                <w:b w:val="0"/>
                <w:bCs w:val="0"/>
                <w:i w:val="0"/>
                <w:iCs w:val="0"/>
                <w:color w:val="000000"/>
                <w:kern w:val="0"/>
                <w:sz w:val="24"/>
                <w:szCs w:val="24"/>
                <w:u w:val="none"/>
                <w:lang w:val="en-US" w:eastAsia="zh-CN" w:bidi="ar"/>
              </w:rPr>
            </w:pPr>
            <w:r>
              <w:rPr>
                <w:rFonts w:hint="eastAsia" w:ascii="宋体" w:hAnsi="宋体" w:eastAsia="宋体" w:cs="宋体"/>
                <w:b w:val="0"/>
                <w:bCs w:val="0"/>
                <w:i w:val="0"/>
                <w:iCs w:val="0"/>
                <w:color w:val="000000"/>
                <w:kern w:val="0"/>
                <w:sz w:val="24"/>
                <w:szCs w:val="24"/>
                <w:u w:val="none"/>
                <w:lang w:val="en-US" w:eastAsia="zh-CN" w:bidi="ar"/>
              </w:rPr>
              <w:t>977,018.50</w:t>
            </w:r>
          </w:p>
        </w:tc>
        <w:tc>
          <w:tcPr>
            <w:tcW w:w="181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2C4517">
            <w:pPr>
              <w:rPr>
                <w:rFonts w:hint="eastAsia" w:ascii="宋体" w:hAnsi="宋体" w:eastAsia="宋体" w:cs="宋体"/>
                <w:b w:val="0"/>
                <w:bCs w:val="0"/>
                <w:i w:val="0"/>
                <w:iCs w:val="0"/>
                <w:color w:val="000000"/>
                <w:sz w:val="22"/>
                <w:szCs w:val="22"/>
                <w:u w:val="none"/>
              </w:rPr>
            </w:pPr>
          </w:p>
        </w:tc>
      </w:tr>
    </w:tbl>
    <w:p w14:paraId="67371913">
      <w:pPr>
        <w:rPr>
          <w:rFonts w:ascii="仿宋_GB2312" w:hAnsi="黑体" w:eastAsia="仿宋_GB2312"/>
          <w:kern w:val="10"/>
          <w:sz w:val="30"/>
          <w:szCs w:val="30"/>
        </w:rPr>
      </w:pPr>
    </w:p>
    <w:sectPr>
      <w:pgSz w:w="16838" w:h="11906" w:orient="landscape"/>
      <w:pgMar w:top="1134" w:right="1191" w:bottom="1077" w:left="1134" w:header="851" w:footer="992" w:gutter="0"/>
      <w:cols w:space="720" w:num="1"/>
      <w:titlePg/>
      <w:docGrid w:type="lines" w:linePitch="53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C860C5">
    <w:pPr>
      <w:pStyle w:val="2"/>
      <w:framePr w:wrap="around" w:vAnchor="text" w:hAnchor="margin" w:xAlign="center" w:y="1"/>
      <w:rPr>
        <w:rStyle w:val="6"/>
      </w:rPr>
    </w:pPr>
    <w:r>
      <w:fldChar w:fldCharType="begin"/>
    </w:r>
    <w:r>
      <w:rPr>
        <w:rStyle w:val="6"/>
      </w:rPr>
      <w:instrText xml:space="preserve">PAGE  </w:instrText>
    </w:r>
    <w:r>
      <w:fldChar w:fldCharType="separate"/>
    </w:r>
    <w:r>
      <w:rPr>
        <w:rStyle w:val="6"/>
      </w:rPr>
      <w:t>7</w:t>
    </w:r>
    <w:r>
      <w:fldChar w:fldCharType="end"/>
    </w:r>
  </w:p>
  <w:p w14:paraId="7C4E8E39">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31F936">
    <w:pPr>
      <w:pStyle w:val="2"/>
      <w:framePr w:wrap="around" w:vAnchor="text" w:hAnchor="margin" w:xAlign="center" w:y="1"/>
      <w:rPr>
        <w:rStyle w:val="6"/>
      </w:rPr>
    </w:pPr>
    <w:r>
      <w:fldChar w:fldCharType="begin"/>
    </w:r>
    <w:r>
      <w:rPr>
        <w:rStyle w:val="6"/>
      </w:rPr>
      <w:instrText xml:space="preserve">PAGE  </w:instrText>
    </w:r>
    <w:r>
      <w:fldChar w:fldCharType="end"/>
    </w:r>
  </w:p>
  <w:p w14:paraId="3C3A8904">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D445F0">
    <w:pPr>
      <w:pStyle w:val="3"/>
      <w:pBdr>
        <w:bottom w:val="none" w:color="auto" w:sz="0" w:space="0"/>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HorizontalSpacing w:val="120"/>
  <w:drawingGridVerticalSpacing w:val="268"/>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NDM4NjA2ZTZiYWNhNjAyZTE0MTNlZDk4MjBkM2I2NjQifQ=="/>
    <w:docVar w:name="KSO_WPS_MARK_KEY" w:val="394367e1-65e7-4a1d-aded-ba972062234e"/>
  </w:docVars>
  <w:rsids>
    <w:rsidRoot w:val="00305A58"/>
    <w:rsid w:val="00036AFF"/>
    <w:rsid w:val="00045057"/>
    <w:rsid w:val="002F72D2"/>
    <w:rsid w:val="00305A58"/>
    <w:rsid w:val="0038537F"/>
    <w:rsid w:val="0040397A"/>
    <w:rsid w:val="00440B69"/>
    <w:rsid w:val="004A13A6"/>
    <w:rsid w:val="004F2820"/>
    <w:rsid w:val="00501171"/>
    <w:rsid w:val="00515396"/>
    <w:rsid w:val="0058428A"/>
    <w:rsid w:val="00695F9A"/>
    <w:rsid w:val="006E27B8"/>
    <w:rsid w:val="006F7758"/>
    <w:rsid w:val="007067FA"/>
    <w:rsid w:val="00715E2D"/>
    <w:rsid w:val="00766EF1"/>
    <w:rsid w:val="00823070"/>
    <w:rsid w:val="00823FA8"/>
    <w:rsid w:val="008D51C5"/>
    <w:rsid w:val="008E3267"/>
    <w:rsid w:val="008E52FD"/>
    <w:rsid w:val="008F530E"/>
    <w:rsid w:val="0090738F"/>
    <w:rsid w:val="009534A7"/>
    <w:rsid w:val="0097057C"/>
    <w:rsid w:val="009972B7"/>
    <w:rsid w:val="00A93AF3"/>
    <w:rsid w:val="00AB128B"/>
    <w:rsid w:val="00AD3DFF"/>
    <w:rsid w:val="00B95718"/>
    <w:rsid w:val="00C051C2"/>
    <w:rsid w:val="00D52839"/>
    <w:rsid w:val="00E06559"/>
    <w:rsid w:val="00E341F1"/>
    <w:rsid w:val="00F106D3"/>
    <w:rsid w:val="00FB29A7"/>
    <w:rsid w:val="014C198E"/>
    <w:rsid w:val="01514167"/>
    <w:rsid w:val="048B6FEF"/>
    <w:rsid w:val="04BA2354"/>
    <w:rsid w:val="0543480D"/>
    <w:rsid w:val="067F5D58"/>
    <w:rsid w:val="06BF7DC5"/>
    <w:rsid w:val="071741D7"/>
    <w:rsid w:val="071D0A95"/>
    <w:rsid w:val="080D5982"/>
    <w:rsid w:val="09BF349E"/>
    <w:rsid w:val="0B1B603A"/>
    <w:rsid w:val="0B63196F"/>
    <w:rsid w:val="0CE25B7D"/>
    <w:rsid w:val="0FF60A96"/>
    <w:rsid w:val="1034712E"/>
    <w:rsid w:val="12941C6E"/>
    <w:rsid w:val="14F87A9B"/>
    <w:rsid w:val="18642187"/>
    <w:rsid w:val="188B1EF9"/>
    <w:rsid w:val="1B8D4445"/>
    <w:rsid w:val="1BC72896"/>
    <w:rsid w:val="1BDA3F94"/>
    <w:rsid w:val="1F5B5A07"/>
    <w:rsid w:val="20C462AC"/>
    <w:rsid w:val="229E58C4"/>
    <w:rsid w:val="23F42D0D"/>
    <w:rsid w:val="25731EE9"/>
    <w:rsid w:val="25D56542"/>
    <w:rsid w:val="25D727D0"/>
    <w:rsid w:val="25FE427E"/>
    <w:rsid w:val="274041B2"/>
    <w:rsid w:val="28687E65"/>
    <w:rsid w:val="28E373D8"/>
    <w:rsid w:val="28F40FF9"/>
    <w:rsid w:val="2942459D"/>
    <w:rsid w:val="29734DE1"/>
    <w:rsid w:val="2A790107"/>
    <w:rsid w:val="2AC968BF"/>
    <w:rsid w:val="2AD819E3"/>
    <w:rsid w:val="2B43759F"/>
    <w:rsid w:val="2B4A3BCC"/>
    <w:rsid w:val="2C1B6221"/>
    <w:rsid w:val="2D4B0501"/>
    <w:rsid w:val="2DA57B8D"/>
    <w:rsid w:val="2E8B0409"/>
    <w:rsid w:val="33FD0CF3"/>
    <w:rsid w:val="364153B4"/>
    <w:rsid w:val="3A940602"/>
    <w:rsid w:val="3AFE60EF"/>
    <w:rsid w:val="3D984ADC"/>
    <w:rsid w:val="3DE96EFA"/>
    <w:rsid w:val="3F0E4029"/>
    <w:rsid w:val="3F4D1AAB"/>
    <w:rsid w:val="3F910096"/>
    <w:rsid w:val="3FBC4A8C"/>
    <w:rsid w:val="4001677D"/>
    <w:rsid w:val="40A47108"/>
    <w:rsid w:val="410C3054"/>
    <w:rsid w:val="41224F6A"/>
    <w:rsid w:val="412E12DF"/>
    <w:rsid w:val="41CC5867"/>
    <w:rsid w:val="4345524E"/>
    <w:rsid w:val="44A122DD"/>
    <w:rsid w:val="44F968F8"/>
    <w:rsid w:val="45F50E26"/>
    <w:rsid w:val="464D4786"/>
    <w:rsid w:val="48FF2675"/>
    <w:rsid w:val="4A954692"/>
    <w:rsid w:val="4B7F0ECA"/>
    <w:rsid w:val="4B865D88"/>
    <w:rsid w:val="4D0F132C"/>
    <w:rsid w:val="4F677E79"/>
    <w:rsid w:val="50DD670B"/>
    <w:rsid w:val="51C4760A"/>
    <w:rsid w:val="57726870"/>
    <w:rsid w:val="57B07EB9"/>
    <w:rsid w:val="59A10938"/>
    <w:rsid w:val="5C6C12A9"/>
    <w:rsid w:val="5CE927FA"/>
    <w:rsid w:val="5DFC12DE"/>
    <w:rsid w:val="5F5C5326"/>
    <w:rsid w:val="5FE760CD"/>
    <w:rsid w:val="61E42768"/>
    <w:rsid w:val="62650418"/>
    <w:rsid w:val="66187B0B"/>
    <w:rsid w:val="66E242DC"/>
    <w:rsid w:val="67312A07"/>
    <w:rsid w:val="689B3B27"/>
    <w:rsid w:val="68AA03AC"/>
    <w:rsid w:val="68AB2E7A"/>
    <w:rsid w:val="69C37B10"/>
    <w:rsid w:val="6BE24E05"/>
    <w:rsid w:val="6E503BAE"/>
    <w:rsid w:val="6E600263"/>
    <w:rsid w:val="6E9011B0"/>
    <w:rsid w:val="6E967626"/>
    <w:rsid w:val="6F653C3E"/>
    <w:rsid w:val="6FCB4F08"/>
    <w:rsid w:val="703F39A7"/>
    <w:rsid w:val="70E53600"/>
    <w:rsid w:val="712546E5"/>
    <w:rsid w:val="73BF42BD"/>
    <w:rsid w:val="73E3475C"/>
    <w:rsid w:val="741D513D"/>
    <w:rsid w:val="758662C1"/>
    <w:rsid w:val="75EC5508"/>
    <w:rsid w:val="769E5DCD"/>
    <w:rsid w:val="77A623FB"/>
    <w:rsid w:val="785D670E"/>
    <w:rsid w:val="78CC7DB7"/>
    <w:rsid w:val="794F242C"/>
    <w:rsid w:val="7BBC11CF"/>
    <w:rsid w:val="7C456B81"/>
    <w:rsid w:val="7C4F1451"/>
    <w:rsid w:val="7E3E0039"/>
    <w:rsid w:val="7EA71C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0" w:semiHidden="0" w:name="header"/>
    <w:lsdException w:qFormat="1"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4"/>
      <w:szCs w:val="24"/>
      <w:lang w:val="en-US" w:eastAsia="zh-CN" w:bidi="ar-SA"/>
    </w:rPr>
  </w:style>
  <w:style w:type="character" w:default="1" w:styleId="5">
    <w:name w:val="Default Paragraph Font"/>
    <w:semiHidden/>
    <w:unhideWhenUsed/>
    <w:qFormat/>
    <w:uiPriority w:val="1"/>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0"/>
    <w:pPr>
      <w:tabs>
        <w:tab w:val="center" w:pos="4153"/>
        <w:tab w:val="right" w:pos="8306"/>
      </w:tabs>
      <w:snapToGrid w:val="0"/>
      <w:jc w:val="left"/>
    </w:pPr>
    <w:rPr>
      <w:rFonts w:asciiTheme="minorHAnsi" w:hAnsiTheme="minorHAnsi" w:eastAsiaTheme="minorEastAsia" w:cstheme="minorBidi"/>
      <w:sz w:val="18"/>
      <w:szCs w:val="18"/>
    </w:rPr>
  </w:style>
  <w:style w:type="paragraph" w:styleId="3">
    <w:name w:val="header"/>
    <w:basedOn w:val="1"/>
    <w:link w:val="8"/>
    <w:autoRedefine/>
    <w:unhideWhenUsed/>
    <w:qFormat/>
    <w:uiPriority w:val="0"/>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styleId="6">
    <w:name w:val="page number"/>
    <w:basedOn w:val="5"/>
    <w:autoRedefine/>
    <w:qFormat/>
    <w:uiPriority w:val="0"/>
  </w:style>
  <w:style w:type="paragraph" w:customStyle="1" w:styleId="7">
    <w:name w:val="首行缩进"/>
    <w:basedOn w:val="1"/>
    <w:qFormat/>
    <w:uiPriority w:val="99"/>
    <w:pPr>
      <w:ind w:firstLine="480" w:firstLineChars="200"/>
    </w:pPr>
    <w:rPr>
      <w:lang w:val="zh-CN"/>
    </w:rPr>
  </w:style>
  <w:style w:type="character" w:customStyle="1" w:styleId="8">
    <w:name w:val="页眉 Char"/>
    <w:basedOn w:val="5"/>
    <w:link w:val="3"/>
    <w:qFormat/>
    <w:uiPriority w:val="0"/>
    <w:rPr>
      <w:sz w:val="18"/>
      <w:szCs w:val="18"/>
    </w:rPr>
  </w:style>
  <w:style w:type="character" w:customStyle="1" w:styleId="9">
    <w:name w:val="页脚 Char"/>
    <w:basedOn w:val="5"/>
    <w:link w:val="2"/>
    <w:qFormat/>
    <w:uiPriority w:val="0"/>
    <w:rPr>
      <w:sz w:val="18"/>
      <w:szCs w:val="18"/>
    </w:rPr>
  </w:style>
  <w:style w:type="paragraph" w:styleId="10">
    <w:name w:val="List Paragraph"/>
    <w:basedOn w:val="1"/>
    <w:autoRedefine/>
    <w:qFormat/>
    <w:uiPriority w:val="0"/>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6</Pages>
  <Words>1381</Words>
  <Characters>1508</Characters>
  <Lines>13</Lines>
  <Paragraphs>3</Paragraphs>
  <TotalTime>3</TotalTime>
  <ScaleCrop>false</ScaleCrop>
  <LinksUpToDate>false</LinksUpToDate>
  <CharactersWithSpaces>1562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2022-11-17T15:33:00Z</dcterms:created>
  <dc:creator>loupc</dc:creator>
  <cp:lastModifiedBy>肖瑞</cp:lastModifiedBy>
  <dcterms:modified xsi:type="dcterms:W3CDTF">2025-06-27T03:38:19Z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0D87FC39D90743E4937B838AED2C155B_12</vt:lpwstr>
  </property>
  <property fmtid="{D5CDD505-2E9C-101B-9397-08002B2CF9AE}" pid="4" name="KSOTemplateDocerSaveRecord">
    <vt:lpwstr>eyJoZGlkIjoiZWMyMGU2YWJmYjVlYjU3OGM0NjE2NzYzYTU2YTZjMGMiLCJ1c2VySWQiOiIxNjkxODU1MzcwIn0=</vt:lpwstr>
  </property>
</Properties>
</file>