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BE071">
      <w:pPr>
        <w:spacing w:line="360" w:lineRule="auto"/>
        <w:rPr>
          <w:rFonts w:ascii="宋体" w:hAnsi="宋体" w:cs="宋体"/>
          <w:color w:val="auto"/>
          <w:highlight w:val="none"/>
        </w:rPr>
      </w:pPr>
    </w:p>
    <w:p w14:paraId="51BD9B0E">
      <w:pPr>
        <w:spacing w:line="360" w:lineRule="auto"/>
        <w:rPr>
          <w:rFonts w:ascii="宋体" w:hAnsi="宋体" w:cs="宋体"/>
          <w:color w:val="auto"/>
          <w:highlight w:val="none"/>
        </w:rPr>
      </w:pPr>
    </w:p>
    <w:p w14:paraId="5408E708">
      <w:pPr>
        <w:spacing w:line="60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智造创新园石碁镇225亩前锋西地块配套道路检测、监测服务</w:t>
      </w:r>
    </w:p>
    <w:p w14:paraId="51BDCB6E">
      <w:pPr>
        <w:pStyle w:val="19"/>
        <w:spacing w:after="0" w:line="600" w:lineRule="auto"/>
        <w:rPr>
          <w:rFonts w:ascii="宋体" w:hAnsi="宋体" w:cs="宋体"/>
          <w:color w:val="auto"/>
          <w:highlight w:val="none"/>
        </w:rPr>
      </w:pPr>
    </w:p>
    <w:p w14:paraId="5FEBB5A3">
      <w:pPr>
        <w:spacing w:line="360" w:lineRule="auto"/>
        <w:rPr>
          <w:rFonts w:ascii="宋体" w:hAnsi="宋体" w:cs="宋体"/>
          <w:color w:val="auto"/>
          <w:sz w:val="36"/>
          <w:szCs w:val="36"/>
          <w:highlight w:val="none"/>
        </w:rPr>
      </w:pPr>
    </w:p>
    <w:p w14:paraId="46415E6B">
      <w:pPr>
        <w:spacing w:line="360" w:lineRule="auto"/>
        <w:rPr>
          <w:rFonts w:ascii="宋体" w:hAnsi="宋体" w:cs="宋体"/>
          <w:color w:val="auto"/>
          <w:sz w:val="36"/>
          <w:szCs w:val="36"/>
          <w:highlight w:val="none"/>
        </w:rPr>
      </w:pPr>
    </w:p>
    <w:p w14:paraId="0D848E8F">
      <w:pPr>
        <w:spacing w:line="360" w:lineRule="auto"/>
        <w:rPr>
          <w:rFonts w:ascii="宋体" w:hAnsi="宋体" w:cs="宋体"/>
          <w:color w:val="auto"/>
          <w:sz w:val="36"/>
          <w:szCs w:val="36"/>
          <w:highlight w:val="none"/>
        </w:rPr>
      </w:pPr>
    </w:p>
    <w:p w14:paraId="2ECB1368">
      <w:pPr>
        <w:spacing w:line="360" w:lineRule="auto"/>
        <w:rPr>
          <w:rFonts w:ascii="宋体" w:hAnsi="宋体" w:cs="宋体"/>
          <w:color w:val="auto"/>
          <w:sz w:val="36"/>
          <w:szCs w:val="36"/>
          <w:highlight w:val="none"/>
        </w:rPr>
      </w:pPr>
    </w:p>
    <w:p w14:paraId="6A1D5E1C">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招标文件</w:t>
      </w:r>
    </w:p>
    <w:p w14:paraId="5F088953">
      <w:pPr>
        <w:spacing w:line="360" w:lineRule="auto"/>
        <w:rPr>
          <w:rFonts w:ascii="宋体" w:hAnsi="宋体" w:cs="宋体"/>
          <w:color w:val="auto"/>
          <w:sz w:val="36"/>
          <w:szCs w:val="36"/>
          <w:highlight w:val="none"/>
        </w:rPr>
      </w:pPr>
    </w:p>
    <w:p w14:paraId="24896F3B">
      <w:pPr>
        <w:spacing w:line="360" w:lineRule="auto"/>
        <w:rPr>
          <w:rFonts w:ascii="宋体" w:hAnsi="宋体" w:cs="宋体"/>
          <w:color w:val="auto"/>
          <w:sz w:val="36"/>
          <w:szCs w:val="36"/>
          <w:highlight w:val="none"/>
        </w:rPr>
      </w:pPr>
    </w:p>
    <w:p w14:paraId="240BDA95">
      <w:pPr>
        <w:spacing w:line="360" w:lineRule="auto"/>
        <w:rPr>
          <w:rFonts w:ascii="宋体" w:hAnsi="宋体" w:cs="宋体"/>
          <w:color w:val="auto"/>
          <w:sz w:val="36"/>
          <w:szCs w:val="36"/>
          <w:highlight w:val="none"/>
        </w:rPr>
      </w:pPr>
    </w:p>
    <w:p w14:paraId="2C1645A1">
      <w:pPr>
        <w:spacing w:line="360" w:lineRule="auto"/>
        <w:rPr>
          <w:rFonts w:ascii="宋体" w:hAnsi="宋体" w:cs="宋体"/>
          <w:color w:val="auto"/>
          <w:sz w:val="36"/>
          <w:szCs w:val="36"/>
          <w:highlight w:val="none"/>
        </w:rPr>
      </w:pPr>
    </w:p>
    <w:p w14:paraId="294608CE">
      <w:pPr>
        <w:spacing w:line="360" w:lineRule="auto"/>
        <w:rPr>
          <w:rFonts w:ascii="宋体" w:hAnsi="宋体" w:cs="宋体"/>
          <w:color w:val="auto"/>
          <w:sz w:val="36"/>
          <w:szCs w:val="36"/>
          <w:highlight w:val="none"/>
        </w:rPr>
      </w:pPr>
    </w:p>
    <w:p w14:paraId="3A2CC6F0">
      <w:pPr>
        <w:spacing w:line="360" w:lineRule="auto"/>
        <w:rPr>
          <w:rFonts w:ascii="宋体" w:hAnsi="宋体" w:cs="宋体"/>
          <w:color w:val="auto"/>
          <w:sz w:val="36"/>
          <w:szCs w:val="36"/>
          <w:highlight w:val="none"/>
        </w:rPr>
      </w:pPr>
    </w:p>
    <w:p w14:paraId="1F56D877">
      <w:pPr>
        <w:spacing w:line="360" w:lineRule="auto"/>
        <w:ind w:firstLine="964" w:firstLineChars="30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招标单位：</w:t>
      </w:r>
      <w:r>
        <w:rPr>
          <w:rFonts w:hint="eastAsia" w:ascii="宋体" w:hAnsi="宋体" w:cs="宋体"/>
          <w:b/>
          <w:bCs/>
          <w:color w:val="auto"/>
          <w:sz w:val="32"/>
          <w:szCs w:val="32"/>
          <w:highlight w:val="none"/>
          <w:lang w:eastAsia="zh-CN"/>
        </w:rPr>
        <w:t>(主)广州番禺产投建设管理有限公司</w:t>
      </w:r>
    </w:p>
    <w:p w14:paraId="21DF545B">
      <w:pPr>
        <w:spacing w:line="360" w:lineRule="auto"/>
        <w:ind w:firstLine="2570" w:firstLineChars="80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lang w:eastAsia="zh-CN"/>
        </w:rPr>
        <w:t>(成)广州市盈泰房地产有限公司</w:t>
      </w:r>
    </w:p>
    <w:p w14:paraId="56415F4B">
      <w:pPr>
        <w:spacing w:line="360" w:lineRule="auto"/>
        <w:ind w:firstLine="94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招标代理单位：</w:t>
      </w:r>
      <w:r>
        <w:rPr>
          <w:rFonts w:hint="eastAsia" w:ascii="宋体" w:hAnsi="宋体" w:cs="宋体"/>
          <w:b/>
          <w:bCs/>
          <w:color w:val="auto"/>
          <w:sz w:val="32"/>
          <w:szCs w:val="32"/>
          <w:highlight w:val="none"/>
          <w:lang w:eastAsia="zh-CN"/>
        </w:rPr>
        <w:t>广东华建兴工程管理有限公司</w:t>
      </w:r>
      <w:r>
        <w:rPr>
          <w:rFonts w:hint="eastAsia" w:ascii="宋体" w:hAnsi="宋体" w:cs="宋体"/>
          <w:b/>
          <w:bCs/>
          <w:color w:val="auto"/>
          <w:sz w:val="32"/>
          <w:szCs w:val="32"/>
          <w:highlight w:val="none"/>
        </w:rPr>
        <w:t xml:space="preserve"> </w:t>
      </w:r>
    </w:p>
    <w:p w14:paraId="37951AD3">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月</w:t>
      </w:r>
    </w:p>
    <w:p w14:paraId="41521FE4">
      <w:pPr>
        <w:pStyle w:val="19"/>
        <w:spacing w:after="0" w:line="360" w:lineRule="auto"/>
        <w:rPr>
          <w:rFonts w:ascii="宋体" w:hAnsi="宋体" w:cs="宋体"/>
          <w:color w:val="auto"/>
          <w:sz w:val="28"/>
          <w:highlight w:val="none"/>
        </w:rPr>
      </w:pPr>
    </w:p>
    <w:p w14:paraId="3781A0AF">
      <w:pPr>
        <w:pStyle w:val="19"/>
        <w:spacing w:after="0" w:line="360" w:lineRule="auto"/>
        <w:rPr>
          <w:rFonts w:ascii="宋体" w:hAnsi="宋体" w:cs="宋体"/>
          <w:color w:val="auto"/>
          <w:sz w:val="28"/>
          <w:highlight w:val="none"/>
        </w:rPr>
        <w:sectPr>
          <w:footerReference r:id="rId3" w:type="default"/>
          <w:pgSz w:w="11905" w:h="16838"/>
          <w:pgMar w:top="1417" w:right="1417" w:bottom="1417" w:left="1417" w:header="851" w:footer="850" w:gutter="0"/>
          <w:cols w:space="720" w:num="1"/>
          <w:titlePg/>
          <w:docGrid w:type="lines" w:linePitch="312" w:charSpace="0"/>
        </w:sectPr>
      </w:pPr>
    </w:p>
    <w:p w14:paraId="6899898C">
      <w:pPr>
        <w:spacing w:line="360" w:lineRule="auto"/>
        <w:jc w:val="center"/>
        <w:rPr>
          <w:rFonts w:ascii="宋体" w:hAnsi="宋体" w:cs="宋体"/>
          <w:bCs/>
          <w:color w:val="auto"/>
          <w:sz w:val="52"/>
          <w:highlight w:val="none"/>
        </w:rPr>
      </w:pPr>
      <w:r>
        <w:rPr>
          <w:rFonts w:hint="eastAsia" w:ascii="宋体" w:hAnsi="宋体" w:cs="宋体"/>
          <w:bCs/>
          <w:color w:val="auto"/>
          <w:sz w:val="52"/>
          <w:highlight w:val="none"/>
        </w:rPr>
        <w:t>重要提示</w:t>
      </w:r>
    </w:p>
    <w:p w14:paraId="2987A1F9">
      <w:pPr>
        <w:spacing w:line="360" w:lineRule="auto"/>
        <w:ind w:firstLine="537" w:firstLineChars="224"/>
        <w:jc w:val="center"/>
        <w:rPr>
          <w:rFonts w:ascii="宋体" w:hAnsi="宋体" w:cs="宋体"/>
          <w:bCs/>
          <w:color w:val="auto"/>
          <w:sz w:val="24"/>
          <w:highlight w:val="none"/>
        </w:rPr>
      </w:pPr>
    </w:p>
    <w:p w14:paraId="224FD32C">
      <w:pPr>
        <w:spacing w:line="360" w:lineRule="auto"/>
        <w:ind w:firstLine="480" w:firstLineChars="200"/>
        <w:rPr>
          <w:rFonts w:ascii="宋体" w:hAnsi="宋体" w:cs="宋体"/>
          <w:color w:val="auto"/>
          <w:sz w:val="24"/>
          <w:highlight w:val="none"/>
        </w:rPr>
        <w:sectPr>
          <w:pgSz w:w="11905" w:h="16838"/>
          <w:pgMar w:top="1418" w:right="1701" w:bottom="1418" w:left="1701" w:header="851" w:footer="794" w:gutter="0"/>
          <w:pgNumType w:start="1"/>
          <w:cols w:space="720" w:num="1"/>
          <w:docGrid w:type="lines" w:linePitch="312" w:charSpace="0"/>
        </w:sectPr>
      </w:pPr>
      <w:r>
        <w:rPr>
          <w:rFonts w:hint="eastAsia" w:ascii="宋体" w:hAnsi="宋体" w:cs="宋体"/>
          <w:color w:val="auto"/>
          <w:sz w:val="24"/>
          <w:highlight w:val="none"/>
        </w:rPr>
        <w:t>本项目实施电子招投标，投标人应先认真阅读《房屋建筑和市政基础设施工程全流程电子化项目专章》。</w:t>
      </w:r>
    </w:p>
    <w:p w14:paraId="56D43EA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3BA55D43">
      <w:pPr>
        <w:pStyle w:val="16"/>
        <w:tabs>
          <w:tab w:val="right" w:leader="dot" w:pos="8503"/>
        </w:tabs>
        <w:spacing w:line="360" w:lineRule="auto"/>
        <w:rPr>
          <w:sz w:val="20"/>
          <w:szCs w:val="20"/>
        </w:rPr>
      </w:pPr>
      <w:bookmarkStart w:id="0" w:name="_Toc377719897"/>
      <w:r>
        <w:rPr>
          <w:rFonts w:hint="eastAsia" w:ascii="宋体" w:hAnsi="宋体" w:cs="宋体"/>
          <w:b w:val="0"/>
          <w:bCs w:val="0"/>
          <w:color w:val="auto"/>
          <w:kern w:val="44"/>
          <w:sz w:val="20"/>
          <w:szCs w:val="20"/>
          <w:highlight w:val="none"/>
        </w:rPr>
        <w:fldChar w:fldCharType="begin"/>
      </w:r>
      <w:r>
        <w:rPr>
          <w:rFonts w:hint="eastAsia" w:ascii="宋体" w:hAnsi="宋体" w:cs="宋体"/>
          <w:b w:val="0"/>
          <w:bCs w:val="0"/>
          <w:color w:val="auto"/>
          <w:kern w:val="44"/>
          <w:sz w:val="20"/>
          <w:szCs w:val="20"/>
          <w:highlight w:val="none"/>
        </w:rPr>
        <w:instrText xml:space="preserve">TOC \o "1-2" \h \u </w:instrText>
      </w:r>
      <w:r>
        <w:rPr>
          <w:rFonts w:hint="eastAsia" w:ascii="宋体" w:hAnsi="宋体" w:cs="宋体"/>
          <w:b w:val="0"/>
          <w:bCs w:val="0"/>
          <w:color w:val="auto"/>
          <w:kern w:val="44"/>
          <w:sz w:val="20"/>
          <w:szCs w:val="20"/>
          <w:highlight w:val="none"/>
        </w:rPr>
        <w:fldChar w:fldCharType="separate"/>
      </w:r>
      <w:r>
        <w:rPr>
          <w:rFonts w:hint="eastAsia" w:ascii="宋体" w:hAnsi="宋体" w:cs="宋体"/>
          <w:bCs w:val="0"/>
          <w:color w:val="auto"/>
          <w:kern w:val="44"/>
          <w:sz w:val="20"/>
          <w:szCs w:val="20"/>
          <w:highlight w:val="none"/>
        </w:rPr>
        <w:fldChar w:fldCharType="begin"/>
      </w:r>
      <w:r>
        <w:rPr>
          <w:rFonts w:hint="eastAsia" w:ascii="宋体" w:hAnsi="宋体" w:cs="宋体"/>
          <w:bCs w:val="0"/>
          <w:kern w:val="44"/>
          <w:sz w:val="20"/>
          <w:szCs w:val="20"/>
          <w:highlight w:val="none"/>
        </w:rPr>
        <w:instrText xml:space="preserve"> HYPERLINK \l _Toc24180 </w:instrText>
      </w:r>
      <w:r>
        <w:rPr>
          <w:rFonts w:hint="eastAsia" w:ascii="宋体" w:hAnsi="宋体" w:cs="宋体"/>
          <w:bCs w:val="0"/>
          <w:kern w:val="44"/>
          <w:sz w:val="20"/>
          <w:szCs w:val="20"/>
          <w:highlight w:val="none"/>
        </w:rPr>
        <w:fldChar w:fldCharType="separate"/>
      </w:r>
      <w:r>
        <w:rPr>
          <w:rFonts w:hint="eastAsia" w:ascii="宋体" w:hAnsi="宋体" w:eastAsia="宋体" w:cs="宋体"/>
          <w:sz w:val="20"/>
          <w:szCs w:val="20"/>
        </w:rPr>
        <w:t>第</w:t>
      </w:r>
      <w:r>
        <w:rPr>
          <w:rFonts w:hint="eastAsia" w:ascii="宋体" w:hAnsi="宋体" w:eastAsia="宋体" w:cs="宋体"/>
          <w:sz w:val="20"/>
          <w:szCs w:val="20"/>
          <w:lang w:val="en-US" w:eastAsia="zh-CN"/>
        </w:rPr>
        <w:t>一</w:t>
      </w:r>
      <w:r>
        <w:rPr>
          <w:rFonts w:hint="eastAsia" w:ascii="宋体" w:hAnsi="宋体" w:eastAsia="宋体" w:cs="宋体"/>
          <w:sz w:val="20"/>
          <w:szCs w:val="20"/>
        </w:rPr>
        <w:t>章  投标人须知</w:t>
      </w:r>
      <w:r>
        <w:rPr>
          <w:sz w:val="20"/>
          <w:szCs w:val="20"/>
        </w:rPr>
        <w:tab/>
      </w:r>
      <w:r>
        <w:rPr>
          <w:sz w:val="20"/>
          <w:szCs w:val="20"/>
        </w:rPr>
        <w:fldChar w:fldCharType="begin"/>
      </w:r>
      <w:r>
        <w:rPr>
          <w:sz w:val="20"/>
          <w:szCs w:val="20"/>
        </w:rPr>
        <w:instrText xml:space="preserve"> PAGEREF _Toc24180 \h </w:instrText>
      </w:r>
      <w:r>
        <w:rPr>
          <w:sz w:val="20"/>
          <w:szCs w:val="20"/>
        </w:rPr>
        <w:fldChar w:fldCharType="separate"/>
      </w:r>
      <w:r>
        <w:rPr>
          <w:sz w:val="20"/>
          <w:szCs w:val="20"/>
        </w:rPr>
        <w:t>4</w:t>
      </w:r>
      <w:r>
        <w:rPr>
          <w:sz w:val="20"/>
          <w:szCs w:val="20"/>
        </w:rPr>
        <w:fldChar w:fldCharType="end"/>
      </w:r>
      <w:r>
        <w:rPr>
          <w:rFonts w:hint="eastAsia" w:ascii="宋体" w:hAnsi="宋体" w:cs="宋体"/>
          <w:bCs w:val="0"/>
          <w:color w:val="auto"/>
          <w:kern w:val="44"/>
          <w:sz w:val="20"/>
          <w:szCs w:val="20"/>
          <w:highlight w:val="none"/>
        </w:rPr>
        <w:fldChar w:fldCharType="end"/>
      </w:r>
    </w:p>
    <w:p w14:paraId="34CACC99">
      <w:pPr>
        <w:pStyle w:val="16"/>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_Toc21694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第二章  投标人须知</w:t>
      </w:r>
      <w:r>
        <w:rPr>
          <w:sz w:val="20"/>
          <w:szCs w:val="20"/>
        </w:rPr>
        <w:tab/>
      </w:r>
      <w:r>
        <w:rPr>
          <w:sz w:val="20"/>
          <w:szCs w:val="20"/>
        </w:rPr>
        <w:fldChar w:fldCharType="begin"/>
      </w:r>
      <w:r>
        <w:rPr>
          <w:sz w:val="20"/>
          <w:szCs w:val="20"/>
        </w:rPr>
        <w:instrText xml:space="preserve"> PAGEREF _Toc21694 \h </w:instrText>
      </w:r>
      <w:r>
        <w:rPr>
          <w:sz w:val="20"/>
          <w:szCs w:val="20"/>
        </w:rPr>
        <w:fldChar w:fldCharType="separate"/>
      </w:r>
      <w:r>
        <w:rPr>
          <w:sz w:val="20"/>
          <w:szCs w:val="20"/>
        </w:rPr>
        <w:t>5</w:t>
      </w:r>
      <w:r>
        <w:rPr>
          <w:sz w:val="20"/>
          <w:szCs w:val="20"/>
        </w:rPr>
        <w:fldChar w:fldCharType="end"/>
      </w:r>
      <w:r>
        <w:rPr>
          <w:rFonts w:hint="eastAsia" w:ascii="宋体" w:hAnsi="宋体" w:cs="宋体"/>
          <w:color w:val="auto"/>
          <w:kern w:val="44"/>
          <w:sz w:val="20"/>
          <w:szCs w:val="20"/>
          <w:highlight w:val="none"/>
        </w:rPr>
        <w:fldChar w:fldCharType="end"/>
      </w:r>
    </w:p>
    <w:p w14:paraId="4ACAA1B9">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_Toc26385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投标人须知前附表</w:t>
      </w:r>
      <w:r>
        <w:rPr>
          <w:sz w:val="20"/>
          <w:szCs w:val="20"/>
        </w:rPr>
        <w:tab/>
      </w:r>
      <w:r>
        <w:rPr>
          <w:sz w:val="20"/>
          <w:szCs w:val="20"/>
        </w:rPr>
        <w:fldChar w:fldCharType="begin"/>
      </w:r>
      <w:r>
        <w:rPr>
          <w:sz w:val="20"/>
          <w:szCs w:val="20"/>
        </w:rPr>
        <w:instrText xml:space="preserve"> PAGEREF _Toc26385 \h </w:instrText>
      </w:r>
      <w:r>
        <w:rPr>
          <w:sz w:val="20"/>
          <w:szCs w:val="20"/>
        </w:rPr>
        <w:fldChar w:fldCharType="separate"/>
      </w:r>
      <w:r>
        <w:rPr>
          <w:sz w:val="20"/>
          <w:szCs w:val="20"/>
        </w:rPr>
        <w:t>5</w:t>
      </w:r>
      <w:r>
        <w:rPr>
          <w:sz w:val="20"/>
          <w:szCs w:val="20"/>
        </w:rPr>
        <w:fldChar w:fldCharType="end"/>
      </w:r>
      <w:r>
        <w:rPr>
          <w:rFonts w:hint="eastAsia" w:ascii="宋体" w:hAnsi="宋体" w:cs="宋体"/>
          <w:color w:val="auto"/>
          <w:kern w:val="44"/>
          <w:sz w:val="20"/>
          <w:szCs w:val="20"/>
          <w:highlight w:val="none"/>
        </w:rPr>
        <w:fldChar w:fldCharType="end"/>
      </w:r>
    </w:p>
    <w:p w14:paraId="04DBB1E5">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_Toc8303 </w:instrText>
      </w:r>
      <w:r>
        <w:rPr>
          <w:rFonts w:hint="eastAsia" w:ascii="宋体" w:hAnsi="宋体" w:cs="宋体"/>
          <w:kern w:val="44"/>
          <w:sz w:val="20"/>
          <w:szCs w:val="20"/>
          <w:highlight w:val="none"/>
        </w:rPr>
        <w:fldChar w:fldCharType="separate"/>
      </w:r>
      <w:r>
        <w:rPr>
          <w:rFonts w:hint="eastAsia" w:ascii="宋体" w:hAnsi="宋体" w:cs="宋体"/>
          <w:bCs/>
          <w:kern w:val="44"/>
          <w:sz w:val="20"/>
          <w:szCs w:val="20"/>
          <w:highlight w:val="none"/>
        </w:rPr>
        <w:t>投标人须知</w:t>
      </w:r>
      <w:r>
        <w:rPr>
          <w:sz w:val="20"/>
          <w:szCs w:val="20"/>
        </w:rPr>
        <w:tab/>
      </w:r>
      <w:r>
        <w:rPr>
          <w:sz w:val="20"/>
          <w:szCs w:val="20"/>
        </w:rPr>
        <w:fldChar w:fldCharType="begin"/>
      </w:r>
      <w:r>
        <w:rPr>
          <w:sz w:val="20"/>
          <w:szCs w:val="20"/>
        </w:rPr>
        <w:instrText xml:space="preserve"> PAGEREF _Toc8303 \h </w:instrText>
      </w:r>
      <w:r>
        <w:rPr>
          <w:sz w:val="20"/>
          <w:szCs w:val="20"/>
        </w:rPr>
        <w:fldChar w:fldCharType="separate"/>
      </w:r>
      <w:r>
        <w:rPr>
          <w:sz w:val="20"/>
          <w:szCs w:val="20"/>
        </w:rPr>
        <w:t>14</w:t>
      </w:r>
      <w:r>
        <w:rPr>
          <w:sz w:val="20"/>
          <w:szCs w:val="20"/>
        </w:rPr>
        <w:fldChar w:fldCharType="end"/>
      </w:r>
      <w:r>
        <w:rPr>
          <w:rFonts w:hint="eastAsia" w:ascii="宋体" w:hAnsi="宋体" w:cs="宋体"/>
          <w:color w:val="auto"/>
          <w:kern w:val="44"/>
          <w:sz w:val="20"/>
          <w:szCs w:val="20"/>
          <w:highlight w:val="none"/>
        </w:rPr>
        <w:fldChar w:fldCharType="end"/>
      </w:r>
    </w:p>
    <w:p w14:paraId="1D843646">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_Toc29570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1.总则</w:t>
      </w:r>
      <w:r>
        <w:rPr>
          <w:sz w:val="20"/>
          <w:szCs w:val="20"/>
        </w:rPr>
        <w:tab/>
      </w:r>
      <w:r>
        <w:rPr>
          <w:sz w:val="20"/>
          <w:szCs w:val="20"/>
        </w:rPr>
        <w:fldChar w:fldCharType="begin"/>
      </w:r>
      <w:r>
        <w:rPr>
          <w:sz w:val="20"/>
          <w:szCs w:val="20"/>
        </w:rPr>
        <w:instrText xml:space="preserve"> PAGEREF _Toc29570 \h </w:instrText>
      </w:r>
      <w:r>
        <w:rPr>
          <w:sz w:val="20"/>
          <w:szCs w:val="20"/>
        </w:rPr>
        <w:fldChar w:fldCharType="separate"/>
      </w:r>
      <w:r>
        <w:rPr>
          <w:sz w:val="20"/>
          <w:szCs w:val="20"/>
        </w:rPr>
        <w:t>14</w:t>
      </w:r>
      <w:r>
        <w:rPr>
          <w:sz w:val="20"/>
          <w:szCs w:val="20"/>
        </w:rPr>
        <w:fldChar w:fldCharType="end"/>
      </w:r>
      <w:r>
        <w:rPr>
          <w:rFonts w:hint="eastAsia" w:ascii="宋体" w:hAnsi="宋体" w:cs="宋体"/>
          <w:color w:val="auto"/>
          <w:kern w:val="44"/>
          <w:sz w:val="20"/>
          <w:szCs w:val="20"/>
          <w:highlight w:val="none"/>
        </w:rPr>
        <w:fldChar w:fldCharType="end"/>
      </w:r>
    </w:p>
    <w:p w14:paraId="5A95E1DB">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_Toc19508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2.招标文件</w:t>
      </w:r>
      <w:r>
        <w:rPr>
          <w:sz w:val="20"/>
          <w:szCs w:val="20"/>
        </w:rPr>
        <w:tab/>
      </w:r>
      <w:r>
        <w:rPr>
          <w:sz w:val="20"/>
          <w:szCs w:val="20"/>
        </w:rPr>
        <w:fldChar w:fldCharType="begin"/>
      </w:r>
      <w:r>
        <w:rPr>
          <w:sz w:val="20"/>
          <w:szCs w:val="20"/>
        </w:rPr>
        <w:instrText xml:space="preserve"> PAGEREF _Toc19508 \h </w:instrText>
      </w:r>
      <w:r>
        <w:rPr>
          <w:sz w:val="20"/>
          <w:szCs w:val="20"/>
        </w:rPr>
        <w:fldChar w:fldCharType="separate"/>
      </w:r>
      <w:r>
        <w:rPr>
          <w:sz w:val="20"/>
          <w:szCs w:val="20"/>
        </w:rPr>
        <w:t>17</w:t>
      </w:r>
      <w:r>
        <w:rPr>
          <w:sz w:val="20"/>
          <w:szCs w:val="20"/>
        </w:rPr>
        <w:fldChar w:fldCharType="end"/>
      </w:r>
      <w:r>
        <w:rPr>
          <w:rFonts w:hint="eastAsia" w:ascii="宋体" w:hAnsi="宋体" w:cs="宋体"/>
          <w:color w:val="auto"/>
          <w:kern w:val="44"/>
          <w:sz w:val="20"/>
          <w:szCs w:val="20"/>
          <w:highlight w:val="none"/>
        </w:rPr>
        <w:fldChar w:fldCharType="end"/>
      </w:r>
    </w:p>
    <w:p w14:paraId="5588920F">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_Toc7699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3.投标文件</w:t>
      </w:r>
      <w:r>
        <w:rPr>
          <w:sz w:val="20"/>
          <w:szCs w:val="20"/>
        </w:rPr>
        <w:tab/>
      </w:r>
      <w:r>
        <w:rPr>
          <w:sz w:val="20"/>
          <w:szCs w:val="20"/>
        </w:rPr>
        <w:fldChar w:fldCharType="begin"/>
      </w:r>
      <w:r>
        <w:rPr>
          <w:sz w:val="20"/>
          <w:szCs w:val="20"/>
        </w:rPr>
        <w:instrText xml:space="preserve"> PAGEREF _Toc7699 \h </w:instrText>
      </w:r>
      <w:r>
        <w:rPr>
          <w:sz w:val="20"/>
          <w:szCs w:val="20"/>
        </w:rPr>
        <w:fldChar w:fldCharType="separate"/>
      </w:r>
      <w:r>
        <w:rPr>
          <w:sz w:val="20"/>
          <w:szCs w:val="20"/>
        </w:rPr>
        <w:t>18</w:t>
      </w:r>
      <w:r>
        <w:rPr>
          <w:sz w:val="20"/>
          <w:szCs w:val="20"/>
        </w:rPr>
        <w:fldChar w:fldCharType="end"/>
      </w:r>
      <w:r>
        <w:rPr>
          <w:rFonts w:hint="eastAsia" w:ascii="宋体" w:hAnsi="宋体" w:cs="宋体"/>
          <w:color w:val="auto"/>
          <w:kern w:val="44"/>
          <w:sz w:val="20"/>
          <w:szCs w:val="20"/>
          <w:highlight w:val="none"/>
        </w:rPr>
        <w:fldChar w:fldCharType="end"/>
      </w:r>
    </w:p>
    <w:p w14:paraId="086CFBBF">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_Toc24451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4.投标</w:t>
      </w:r>
      <w:r>
        <w:rPr>
          <w:sz w:val="20"/>
          <w:szCs w:val="20"/>
        </w:rPr>
        <w:tab/>
      </w:r>
      <w:r>
        <w:rPr>
          <w:sz w:val="20"/>
          <w:szCs w:val="20"/>
        </w:rPr>
        <w:fldChar w:fldCharType="begin"/>
      </w:r>
      <w:r>
        <w:rPr>
          <w:sz w:val="20"/>
          <w:szCs w:val="20"/>
        </w:rPr>
        <w:instrText xml:space="preserve"> PAGEREF _Toc24451 \h </w:instrText>
      </w:r>
      <w:r>
        <w:rPr>
          <w:sz w:val="20"/>
          <w:szCs w:val="20"/>
        </w:rPr>
        <w:fldChar w:fldCharType="separate"/>
      </w:r>
      <w:r>
        <w:rPr>
          <w:sz w:val="20"/>
          <w:szCs w:val="20"/>
        </w:rPr>
        <w:t>21</w:t>
      </w:r>
      <w:r>
        <w:rPr>
          <w:sz w:val="20"/>
          <w:szCs w:val="20"/>
        </w:rPr>
        <w:fldChar w:fldCharType="end"/>
      </w:r>
      <w:r>
        <w:rPr>
          <w:rFonts w:hint="eastAsia" w:ascii="宋体" w:hAnsi="宋体" w:cs="宋体"/>
          <w:color w:val="auto"/>
          <w:kern w:val="44"/>
          <w:sz w:val="20"/>
          <w:szCs w:val="20"/>
          <w:highlight w:val="none"/>
        </w:rPr>
        <w:fldChar w:fldCharType="end"/>
      </w:r>
    </w:p>
    <w:p w14:paraId="2437399D">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_Toc21818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5.开标</w:t>
      </w:r>
      <w:r>
        <w:rPr>
          <w:sz w:val="20"/>
          <w:szCs w:val="20"/>
        </w:rPr>
        <w:tab/>
      </w:r>
      <w:r>
        <w:rPr>
          <w:sz w:val="20"/>
          <w:szCs w:val="20"/>
        </w:rPr>
        <w:fldChar w:fldCharType="begin"/>
      </w:r>
      <w:r>
        <w:rPr>
          <w:sz w:val="20"/>
          <w:szCs w:val="20"/>
        </w:rPr>
        <w:instrText xml:space="preserve"> PAGEREF _Toc21818 \h </w:instrText>
      </w:r>
      <w:r>
        <w:rPr>
          <w:sz w:val="20"/>
          <w:szCs w:val="20"/>
        </w:rPr>
        <w:fldChar w:fldCharType="separate"/>
      </w:r>
      <w:r>
        <w:rPr>
          <w:sz w:val="20"/>
          <w:szCs w:val="20"/>
        </w:rPr>
        <w:t>22</w:t>
      </w:r>
      <w:r>
        <w:rPr>
          <w:sz w:val="20"/>
          <w:szCs w:val="20"/>
        </w:rPr>
        <w:fldChar w:fldCharType="end"/>
      </w:r>
      <w:r>
        <w:rPr>
          <w:rFonts w:hint="eastAsia" w:ascii="宋体" w:hAnsi="宋体" w:cs="宋体"/>
          <w:color w:val="auto"/>
          <w:kern w:val="44"/>
          <w:sz w:val="20"/>
          <w:szCs w:val="20"/>
          <w:highlight w:val="none"/>
        </w:rPr>
        <w:fldChar w:fldCharType="end"/>
      </w:r>
    </w:p>
    <w:p w14:paraId="0596EB25">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_Toc26740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6.评标</w:t>
      </w:r>
      <w:r>
        <w:rPr>
          <w:sz w:val="20"/>
          <w:szCs w:val="20"/>
        </w:rPr>
        <w:tab/>
      </w:r>
      <w:r>
        <w:rPr>
          <w:sz w:val="20"/>
          <w:szCs w:val="20"/>
        </w:rPr>
        <w:fldChar w:fldCharType="begin"/>
      </w:r>
      <w:r>
        <w:rPr>
          <w:sz w:val="20"/>
          <w:szCs w:val="20"/>
        </w:rPr>
        <w:instrText xml:space="preserve"> PAGEREF _Toc26740 \h </w:instrText>
      </w:r>
      <w:r>
        <w:rPr>
          <w:sz w:val="20"/>
          <w:szCs w:val="20"/>
        </w:rPr>
        <w:fldChar w:fldCharType="separate"/>
      </w:r>
      <w:r>
        <w:rPr>
          <w:sz w:val="20"/>
          <w:szCs w:val="20"/>
        </w:rPr>
        <w:t>23</w:t>
      </w:r>
      <w:r>
        <w:rPr>
          <w:sz w:val="20"/>
          <w:szCs w:val="20"/>
        </w:rPr>
        <w:fldChar w:fldCharType="end"/>
      </w:r>
      <w:r>
        <w:rPr>
          <w:rFonts w:hint="eastAsia" w:ascii="宋体" w:hAnsi="宋体" w:cs="宋体"/>
          <w:color w:val="auto"/>
          <w:kern w:val="44"/>
          <w:sz w:val="20"/>
          <w:szCs w:val="20"/>
          <w:highlight w:val="none"/>
        </w:rPr>
        <w:fldChar w:fldCharType="end"/>
      </w:r>
    </w:p>
    <w:p w14:paraId="771E2469">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_Toc10842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7.合同授予</w:t>
      </w:r>
      <w:r>
        <w:rPr>
          <w:sz w:val="20"/>
          <w:szCs w:val="20"/>
        </w:rPr>
        <w:tab/>
      </w:r>
      <w:r>
        <w:rPr>
          <w:sz w:val="20"/>
          <w:szCs w:val="20"/>
        </w:rPr>
        <w:fldChar w:fldCharType="begin"/>
      </w:r>
      <w:r>
        <w:rPr>
          <w:sz w:val="20"/>
          <w:szCs w:val="20"/>
        </w:rPr>
        <w:instrText xml:space="preserve"> PAGEREF _Toc10842 \h </w:instrText>
      </w:r>
      <w:r>
        <w:rPr>
          <w:sz w:val="20"/>
          <w:szCs w:val="20"/>
        </w:rPr>
        <w:fldChar w:fldCharType="separate"/>
      </w:r>
      <w:r>
        <w:rPr>
          <w:sz w:val="20"/>
          <w:szCs w:val="20"/>
        </w:rPr>
        <w:t>24</w:t>
      </w:r>
      <w:r>
        <w:rPr>
          <w:sz w:val="20"/>
          <w:szCs w:val="20"/>
        </w:rPr>
        <w:fldChar w:fldCharType="end"/>
      </w:r>
      <w:r>
        <w:rPr>
          <w:rFonts w:hint="eastAsia" w:ascii="宋体" w:hAnsi="宋体" w:cs="宋体"/>
          <w:color w:val="auto"/>
          <w:kern w:val="44"/>
          <w:sz w:val="20"/>
          <w:szCs w:val="20"/>
          <w:highlight w:val="none"/>
        </w:rPr>
        <w:fldChar w:fldCharType="end"/>
      </w:r>
    </w:p>
    <w:p w14:paraId="62F3B829">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_Toc10200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8.纪律和监督</w:t>
      </w:r>
      <w:r>
        <w:rPr>
          <w:sz w:val="20"/>
          <w:szCs w:val="20"/>
        </w:rPr>
        <w:tab/>
      </w:r>
      <w:r>
        <w:rPr>
          <w:sz w:val="20"/>
          <w:szCs w:val="20"/>
        </w:rPr>
        <w:fldChar w:fldCharType="begin"/>
      </w:r>
      <w:r>
        <w:rPr>
          <w:sz w:val="20"/>
          <w:szCs w:val="20"/>
        </w:rPr>
        <w:instrText xml:space="preserve"> PAGEREF _Toc10200 \h </w:instrText>
      </w:r>
      <w:r>
        <w:rPr>
          <w:sz w:val="20"/>
          <w:szCs w:val="20"/>
        </w:rPr>
        <w:fldChar w:fldCharType="separate"/>
      </w:r>
      <w:r>
        <w:rPr>
          <w:sz w:val="20"/>
          <w:szCs w:val="20"/>
        </w:rPr>
        <w:t>26</w:t>
      </w:r>
      <w:r>
        <w:rPr>
          <w:sz w:val="20"/>
          <w:szCs w:val="20"/>
        </w:rPr>
        <w:fldChar w:fldCharType="end"/>
      </w:r>
      <w:r>
        <w:rPr>
          <w:rFonts w:hint="eastAsia" w:ascii="宋体" w:hAnsi="宋体" w:cs="宋体"/>
          <w:color w:val="auto"/>
          <w:kern w:val="44"/>
          <w:sz w:val="20"/>
          <w:szCs w:val="20"/>
          <w:highlight w:val="none"/>
        </w:rPr>
        <w:fldChar w:fldCharType="end"/>
      </w:r>
    </w:p>
    <w:p w14:paraId="25DDEEEE">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_Toc1017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9.是否采用电子招标投标</w:t>
      </w:r>
      <w:r>
        <w:rPr>
          <w:sz w:val="20"/>
          <w:szCs w:val="20"/>
        </w:rPr>
        <w:tab/>
      </w:r>
      <w:r>
        <w:rPr>
          <w:sz w:val="20"/>
          <w:szCs w:val="20"/>
        </w:rPr>
        <w:fldChar w:fldCharType="begin"/>
      </w:r>
      <w:r>
        <w:rPr>
          <w:sz w:val="20"/>
          <w:szCs w:val="20"/>
        </w:rPr>
        <w:instrText xml:space="preserve"> PAGEREF _Toc1017 \h </w:instrText>
      </w:r>
      <w:r>
        <w:rPr>
          <w:sz w:val="20"/>
          <w:szCs w:val="20"/>
        </w:rPr>
        <w:fldChar w:fldCharType="separate"/>
      </w:r>
      <w:r>
        <w:rPr>
          <w:sz w:val="20"/>
          <w:szCs w:val="20"/>
        </w:rPr>
        <w:t>27</w:t>
      </w:r>
      <w:r>
        <w:rPr>
          <w:sz w:val="20"/>
          <w:szCs w:val="20"/>
        </w:rPr>
        <w:fldChar w:fldCharType="end"/>
      </w:r>
      <w:r>
        <w:rPr>
          <w:rFonts w:hint="eastAsia" w:ascii="宋体" w:hAnsi="宋体" w:cs="宋体"/>
          <w:color w:val="auto"/>
          <w:kern w:val="44"/>
          <w:sz w:val="20"/>
          <w:szCs w:val="20"/>
          <w:highlight w:val="none"/>
        </w:rPr>
        <w:fldChar w:fldCharType="end"/>
      </w:r>
    </w:p>
    <w:p w14:paraId="57741CA0">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_Toc22326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10.需要补充的其他内容</w:t>
      </w:r>
      <w:r>
        <w:rPr>
          <w:sz w:val="20"/>
          <w:szCs w:val="20"/>
        </w:rPr>
        <w:tab/>
      </w:r>
      <w:r>
        <w:rPr>
          <w:sz w:val="20"/>
          <w:szCs w:val="20"/>
        </w:rPr>
        <w:fldChar w:fldCharType="begin"/>
      </w:r>
      <w:r>
        <w:rPr>
          <w:sz w:val="20"/>
          <w:szCs w:val="20"/>
        </w:rPr>
        <w:instrText xml:space="preserve"> PAGEREF _Toc22326 \h </w:instrText>
      </w:r>
      <w:r>
        <w:rPr>
          <w:sz w:val="20"/>
          <w:szCs w:val="20"/>
        </w:rPr>
        <w:fldChar w:fldCharType="separate"/>
      </w:r>
      <w:r>
        <w:rPr>
          <w:sz w:val="20"/>
          <w:szCs w:val="20"/>
        </w:rPr>
        <w:t>27</w:t>
      </w:r>
      <w:r>
        <w:rPr>
          <w:sz w:val="20"/>
          <w:szCs w:val="20"/>
        </w:rPr>
        <w:fldChar w:fldCharType="end"/>
      </w:r>
      <w:r>
        <w:rPr>
          <w:rFonts w:hint="eastAsia" w:ascii="宋体" w:hAnsi="宋体" w:cs="宋体"/>
          <w:color w:val="auto"/>
          <w:kern w:val="44"/>
          <w:sz w:val="20"/>
          <w:szCs w:val="20"/>
          <w:highlight w:val="none"/>
        </w:rPr>
        <w:fldChar w:fldCharType="end"/>
      </w:r>
    </w:p>
    <w:p w14:paraId="19A9EF94">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_Toc13904 </w:instrText>
      </w:r>
      <w:r>
        <w:rPr>
          <w:rFonts w:hint="eastAsia" w:ascii="宋体" w:hAnsi="宋体" w:cs="宋体"/>
          <w:kern w:val="44"/>
          <w:sz w:val="20"/>
          <w:szCs w:val="20"/>
          <w:highlight w:val="none"/>
        </w:rPr>
        <w:fldChar w:fldCharType="separate"/>
      </w:r>
      <w:r>
        <w:rPr>
          <w:rFonts w:hint="eastAsia" w:ascii="宋体" w:hAnsi="宋体" w:eastAsia="宋体"/>
          <w:sz w:val="20"/>
          <w:szCs w:val="20"/>
          <w:highlight w:val="none"/>
        </w:rPr>
        <w:t>附件一：开标记录表</w:t>
      </w:r>
      <w:r>
        <w:rPr>
          <w:sz w:val="20"/>
          <w:szCs w:val="20"/>
        </w:rPr>
        <w:tab/>
      </w:r>
      <w:r>
        <w:rPr>
          <w:sz w:val="20"/>
          <w:szCs w:val="20"/>
        </w:rPr>
        <w:fldChar w:fldCharType="begin"/>
      </w:r>
      <w:r>
        <w:rPr>
          <w:sz w:val="20"/>
          <w:szCs w:val="20"/>
        </w:rPr>
        <w:instrText xml:space="preserve"> PAGEREF _Toc13904 \h </w:instrText>
      </w:r>
      <w:r>
        <w:rPr>
          <w:sz w:val="20"/>
          <w:szCs w:val="20"/>
        </w:rPr>
        <w:fldChar w:fldCharType="separate"/>
      </w:r>
      <w:r>
        <w:rPr>
          <w:sz w:val="20"/>
          <w:szCs w:val="20"/>
        </w:rPr>
        <w:t>28</w:t>
      </w:r>
      <w:r>
        <w:rPr>
          <w:sz w:val="20"/>
          <w:szCs w:val="20"/>
        </w:rPr>
        <w:fldChar w:fldCharType="end"/>
      </w:r>
      <w:r>
        <w:rPr>
          <w:rFonts w:hint="eastAsia" w:ascii="宋体" w:hAnsi="宋体" w:cs="宋体"/>
          <w:color w:val="auto"/>
          <w:kern w:val="44"/>
          <w:sz w:val="20"/>
          <w:szCs w:val="20"/>
          <w:highlight w:val="none"/>
        </w:rPr>
        <w:fldChar w:fldCharType="end"/>
      </w:r>
    </w:p>
    <w:p w14:paraId="73477509">
      <w:pPr>
        <w:pStyle w:val="16"/>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_Toc8068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第三章  评标</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定标</w:t>
      </w:r>
      <w:r>
        <w:rPr>
          <w:rFonts w:hint="eastAsia" w:ascii="宋体" w:hAnsi="宋体" w:eastAsia="宋体" w:cs="宋体"/>
          <w:sz w:val="20"/>
          <w:szCs w:val="20"/>
          <w:highlight w:val="none"/>
        </w:rPr>
        <w:t>办法</w:t>
      </w:r>
      <w:r>
        <w:rPr>
          <w:sz w:val="20"/>
          <w:szCs w:val="20"/>
        </w:rPr>
        <w:tab/>
      </w:r>
      <w:r>
        <w:rPr>
          <w:sz w:val="20"/>
          <w:szCs w:val="20"/>
        </w:rPr>
        <w:fldChar w:fldCharType="begin"/>
      </w:r>
      <w:r>
        <w:rPr>
          <w:sz w:val="20"/>
          <w:szCs w:val="20"/>
        </w:rPr>
        <w:instrText xml:space="preserve"> PAGEREF _Toc8068 \h </w:instrText>
      </w:r>
      <w:r>
        <w:rPr>
          <w:sz w:val="20"/>
          <w:szCs w:val="20"/>
        </w:rPr>
        <w:fldChar w:fldCharType="separate"/>
      </w:r>
      <w:r>
        <w:rPr>
          <w:sz w:val="20"/>
          <w:szCs w:val="20"/>
        </w:rPr>
        <w:t>30</w:t>
      </w:r>
      <w:r>
        <w:rPr>
          <w:sz w:val="20"/>
          <w:szCs w:val="20"/>
        </w:rPr>
        <w:fldChar w:fldCharType="end"/>
      </w:r>
      <w:r>
        <w:rPr>
          <w:rFonts w:hint="eastAsia" w:ascii="宋体" w:hAnsi="宋体" w:cs="宋体"/>
          <w:color w:val="auto"/>
          <w:kern w:val="44"/>
          <w:sz w:val="20"/>
          <w:szCs w:val="20"/>
          <w:highlight w:val="none"/>
        </w:rPr>
        <w:fldChar w:fldCharType="end"/>
      </w:r>
    </w:p>
    <w:p w14:paraId="3E29A376">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_Toc23954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评标办法前附表</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综合评分法）</w:t>
      </w:r>
      <w:r>
        <w:rPr>
          <w:sz w:val="20"/>
          <w:szCs w:val="20"/>
        </w:rPr>
        <w:tab/>
      </w:r>
      <w:r>
        <w:rPr>
          <w:sz w:val="20"/>
          <w:szCs w:val="20"/>
        </w:rPr>
        <w:fldChar w:fldCharType="begin"/>
      </w:r>
      <w:r>
        <w:rPr>
          <w:sz w:val="20"/>
          <w:szCs w:val="20"/>
        </w:rPr>
        <w:instrText xml:space="preserve"> PAGEREF _Toc23954 \h </w:instrText>
      </w:r>
      <w:r>
        <w:rPr>
          <w:sz w:val="20"/>
          <w:szCs w:val="20"/>
        </w:rPr>
        <w:fldChar w:fldCharType="separate"/>
      </w:r>
      <w:r>
        <w:rPr>
          <w:sz w:val="20"/>
          <w:szCs w:val="20"/>
        </w:rPr>
        <w:t>30</w:t>
      </w:r>
      <w:r>
        <w:rPr>
          <w:sz w:val="20"/>
          <w:szCs w:val="20"/>
        </w:rPr>
        <w:fldChar w:fldCharType="end"/>
      </w:r>
      <w:r>
        <w:rPr>
          <w:rFonts w:hint="eastAsia" w:ascii="宋体" w:hAnsi="宋体" w:cs="宋体"/>
          <w:color w:val="auto"/>
          <w:kern w:val="44"/>
          <w:sz w:val="20"/>
          <w:szCs w:val="20"/>
          <w:highlight w:val="none"/>
        </w:rPr>
        <w:fldChar w:fldCharType="end"/>
      </w:r>
    </w:p>
    <w:p w14:paraId="7939EE2F">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_Toc20181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评标</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定标</w:t>
      </w:r>
      <w:r>
        <w:rPr>
          <w:rFonts w:hint="eastAsia" w:ascii="宋体" w:hAnsi="宋体" w:eastAsia="宋体" w:cs="宋体"/>
          <w:sz w:val="20"/>
          <w:szCs w:val="20"/>
          <w:highlight w:val="none"/>
        </w:rPr>
        <w:t>方法</w:t>
      </w:r>
      <w:r>
        <w:rPr>
          <w:sz w:val="20"/>
          <w:szCs w:val="20"/>
        </w:rPr>
        <w:tab/>
      </w:r>
      <w:r>
        <w:rPr>
          <w:sz w:val="20"/>
          <w:szCs w:val="20"/>
        </w:rPr>
        <w:fldChar w:fldCharType="begin"/>
      </w:r>
      <w:r>
        <w:rPr>
          <w:sz w:val="20"/>
          <w:szCs w:val="20"/>
        </w:rPr>
        <w:instrText xml:space="preserve"> PAGEREF _Toc20181 \h </w:instrText>
      </w:r>
      <w:r>
        <w:rPr>
          <w:sz w:val="20"/>
          <w:szCs w:val="20"/>
        </w:rPr>
        <w:fldChar w:fldCharType="separate"/>
      </w:r>
      <w:r>
        <w:rPr>
          <w:sz w:val="20"/>
          <w:szCs w:val="20"/>
        </w:rPr>
        <w:t>35</w:t>
      </w:r>
      <w:r>
        <w:rPr>
          <w:sz w:val="20"/>
          <w:szCs w:val="20"/>
        </w:rPr>
        <w:fldChar w:fldCharType="end"/>
      </w:r>
      <w:r>
        <w:rPr>
          <w:rFonts w:hint="eastAsia" w:ascii="宋体" w:hAnsi="宋体" w:cs="宋体"/>
          <w:color w:val="auto"/>
          <w:kern w:val="44"/>
          <w:sz w:val="20"/>
          <w:szCs w:val="20"/>
          <w:highlight w:val="none"/>
        </w:rPr>
        <w:fldChar w:fldCharType="end"/>
      </w:r>
    </w:p>
    <w:p w14:paraId="6C8C36FF">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_Toc28530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1.评标方法</w:t>
      </w:r>
      <w:r>
        <w:rPr>
          <w:sz w:val="20"/>
          <w:szCs w:val="20"/>
        </w:rPr>
        <w:tab/>
      </w:r>
      <w:r>
        <w:rPr>
          <w:sz w:val="20"/>
          <w:szCs w:val="20"/>
        </w:rPr>
        <w:fldChar w:fldCharType="begin"/>
      </w:r>
      <w:r>
        <w:rPr>
          <w:sz w:val="20"/>
          <w:szCs w:val="20"/>
        </w:rPr>
        <w:instrText xml:space="preserve"> PAGEREF _Toc28530 \h </w:instrText>
      </w:r>
      <w:r>
        <w:rPr>
          <w:sz w:val="20"/>
          <w:szCs w:val="20"/>
        </w:rPr>
        <w:fldChar w:fldCharType="separate"/>
      </w:r>
      <w:r>
        <w:rPr>
          <w:sz w:val="20"/>
          <w:szCs w:val="20"/>
        </w:rPr>
        <w:t>35</w:t>
      </w:r>
      <w:r>
        <w:rPr>
          <w:sz w:val="20"/>
          <w:szCs w:val="20"/>
        </w:rPr>
        <w:fldChar w:fldCharType="end"/>
      </w:r>
      <w:r>
        <w:rPr>
          <w:rFonts w:hint="eastAsia" w:ascii="宋体" w:hAnsi="宋体" w:cs="宋体"/>
          <w:color w:val="auto"/>
          <w:kern w:val="44"/>
          <w:sz w:val="20"/>
          <w:szCs w:val="20"/>
          <w:highlight w:val="none"/>
        </w:rPr>
        <w:fldChar w:fldCharType="end"/>
      </w:r>
    </w:p>
    <w:p w14:paraId="3375A9E8">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_Toc3160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2.评审标准</w:t>
      </w:r>
      <w:r>
        <w:rPr>
          <w:sz w:val="20"/>
          <w:szCs w:val="20"/>
        </w:rPr>
        <w:tab/>
      </w:r>
      <w:r>
        <w:rPr>
          <w:sz w:val="20"/>
          <w:szCs w:val="20"/>
        </w:rPr>
        <w:fldChar w:fldCharType="begin"/>
      </w:r>
      <w:r>
        <w:rPr>
          <w:sz w:val="20"/>
          <w:szCs w:val="20"/>
        </w:rPr>
        <w:instrText xml:space="preserve"> PAGEREF _Toc3160 \h </w:instrText>
      </w:r>
      <w:r>
        <w:rPr>
          <w:sz w:val="20"/>
          <w:szCs w:val="20"/>
        </w:rPr>
        <w:fldChar w:fldCharType="separate"/>
      </w:r>
      <w:r>
        <w:rPr>
          <w:sz w:val="20"/>
          <w:szCs w:val="20"/>
        </w:rPr>
        <w:t>35</w:t>
      </w:r>
      <w:r>
        <w:rPr>
          <w:sz w:val="20"/>
          <w:szCs w:val="20"/>
        </w:rPr>
        <w:fldChar w:fldCharType="end"/>
      </w:r>
      <w:r>
        <w:rPr>
          <w:rFonts w:hint="eastAsia" w:ascii="宋体" w:hAnsi="宋体" w:cs="宋体"/>
          <w:color w:val="auto"/>
          <w:kern w:val="44"/>
          <w:sz w:val="20"/>
          <w:szCs w:val="20"/>
          <w:highlight w:val="none"/>
        </w:rPr>
        <w:fldChar w:fldCharType="end"/>
      </w:r>
    </w:p>
    <w:p w14:paraId="535991C9">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_Toc26014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3. 评标程序</w:t>
      </w:r>
      <w:r>
        <w:rPr>
          <w:sz w:val="20"/>
          <w:szCs w:val="20"/>
        </w:rPr>
        <w:tab/>
      </w:r>
      <w:r>
        <w:rPr>
          <w:sz w:val="20"/>
          <w:szCs w:val="20"/>
        </w:rPr>
        <w:fldChar w:fldCharType="begin"/>
      </w:r>
      <w:r>
        <w:rPr>
          <w:sz w:val="20"/>
          <w:szCs w:val="20"/>
        </w:rPr>
        <w:instrText xml:space="preserve"> PAGEREF _Toc26014 \h </w:instrText>
      </w:r>
      <w:r>
        <w:rPr>
          <w:sz w:val="20"/>
          <w:szCs w:val="20"/>
        </w:rPr>
        <w:fldChar w:fldCharType="separate"/>
      </w:r>
      <w:r>
        <w:rPr>
          <w:sz w:val="20"/>
          <w:szCs w:val="20"/>
        </w:rPr>
        <w:t>36</w:t>
      </w:r>
      <w:r>
        <w:rPr>
          <w:sz w:val="20"/>
          <w:szCs w:val="20"/>
        </w:rPr>
        <w:fldChar w:fldCharType="end"/>
      </w:r>
      <w:r>
        <w:rPr>
          <w:rFonts w:hint="eastAsia" w:ascii="宋体" w:hAnsi="宋体" w:cs="宋体"/>
          <w:color w:val="auto"/>
          <w:kern w:val="44"/>
          <w:sz w:val="20"/>
          <w:szCs w:val="20"/>
          <w:highlight w:val="none"/>
        </w:rPr>
        <w:fldChar w:fldCharType="end"/>
      </w:r>
    </w:p>
    <w:p w14:paraId="54B53945">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_Toc1364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4. 定标（定标办法采用票决法）</w:t>
      </w:r>
      <w:r>
        <w:rPr>
          <w:sz w:val="20"/>
          <w:szCs w:val="20"/>
        </w:rPr>
        <w:tab/>
      </w:r>
      <w:r>
        <w:rPr>
          <w:sz w:val="20"/>
          <w:szCs w:val="20"/>
        </w:rPr>
        <w:fldChar w:fldCharType="begin"/>
      </w:r>
      <w:r>
        <w:rPr>
          <w:sz w:val="20"/>
          <w:szCs w:val="20"/>
        </w:rPr>
        <w:instrText xml:space="preserve"> PAGEREF _Toc1364 \h </w:instrText>
      </w:r>
      <w:r>
        <w:rPr>
          <w:sz w:val="20"/>
          <w:szCs w:val="20"/>
        </w:rPr>
        <w:fldChar w:fldCharType="separate"/>
      </w:r>
      <w:r>
        <w:rPr>
          <w:sz w:val="20"/>
          <w:szCs w:val="20"/>
        </w:rPr>
        <w:t>37</w:t>
      </w:r>
      <w:r>
        <w:rPr>
          <w:sz w:val="20"/>
          <w:szCs w:val="20"/>
        </w:rPr>
        <w:fldChar w:fldCharType="end"/>
      </w:r>
      <w:r>
        <w:rPr>
          <w:rFonts w:hint="eastAsia" w:ascii="宋体" w:hAnsi="宋体" w:cs="宋体"/>
          <w:color w:val="auto"/>
          <w:kern w:val="44"/>
          <w:sz w:val="20"/>
          <w:szCs w:val="20"/>
          <w:highlight w:val="none"/>
        </w:rPr>
        <w:fldChar w:fldCharType="end"/>
      </w:r>
    </w:p>
    <w:p w14:paraId="163D70B2">
      <w:pPr>
        <w:pStyle w:val="16"/>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_Toc12620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第四章  合同条款及格式</w:t>
      </w:r>
      <w:r>
        <w:rPr>
          <w:sz w:val="20"/>
          <w:szCs w:val="20"/>
        </w:rPr>
        <w:tab/>
      </w:r>
      <w:r>
        <w:rPr>
          <w:sz w:val="20"/>
          <w:szCs w:val="20"/>
        </w:rPr>
        <w:fldChar w:fldCharType="begin"/>
      </w:r>
      <w:r>
        <w:rPr>
          <w:sz w:val="20"/>
          <w:szCs w:val="20"/>
        </w:rPr>
        <w:instrText xml:space="preserve"> PAGEREF _Toc12620 \h </w:instrText>
      </w:r>
      <w:r>
        <w:rPr>
          <w:sz w:val="20"/>
          <w:szCs w:val="20"/>
        </w:rPr>
        <w:fldChar w:fldCharType="separate"/>
      </w:r>
      <w:r>
        <w:rPr>
          <w:sz w:val="20"/>
          <w:szCs w:val="20"/>
        </w:rPr>
        <w:t>48</w:t>
      </w:r>
      <w:r>
        <w:rPr>
          <w:sz w:val="20"/>
          <w:szCs w:val="20"/>
        </w:rPr>
        <w:fldChar w:fldCharType="end"/>
      </w:r>
      <w:r>
        <w:rPr>
          <w:rFonts w:hint="eastAsia" w:ascii="宋体" w:hAnsi="宋体" w:cs="宋体"/>
          <w:color w:val="auto"/>
          <w:kern w:val="44"/>
          <w:sz w:val="20"/>
          <w:szCs w:val="20"/>
          <w:highlight w:val="none"/>
        </w:rPr>
        <w:fldChar w:fldCharType="end"/>
      </w:r>
    </w:p>
    <w:p w14:paraId="07F4228A">
      <w:pPr>
        <w:pStyle w:val="16"/>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_Toc8969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第五章  招标人要求</w:t>
      </w:r>
      <w:r>
        <w:rPr>
          <w:sz w:val="20"/>
          <w:szCs w:val="20"/>
        </w:rPr>
        <w:tab/>
      </w:r>
      <w:r>
        <w:rPr>
          <w:sz w:val="20"/>
          <w:szCs w:val="20"/>
        </w:rPr>
        <w:fldChar w:fldCharType="begin"/>
      </w:r>
      <w:r>
        <w:rPr>
          <w:sz w:val="20"/>
          <w:szCs w:val="20"/>
        </w:rPr>
        <w:instrText xml:space="preserve"> PAGEREF _Toc8969 \h </w:instrText>
      </w:r>
      <w:r>
        <w:rPr>
          <w:sz w:val="20"/>
          <w:szCs w:val="20"/>
        </w:rPr>
        <w:fldChar w:fldCharType="separate"/>
      </w:r>
      <w:r>
        <w:rPr>
          <w:sz w:val="20"/>
          <w:szCs w:val="20"/>
        </w:rPr>
        <w:t>49</w:t>
      </w:r>
      <w:r>
        <w:rPr>
          <w:sz w:val="20"/>
          <w:szCs w:val="20"/>
        </w:rPr>
        <w:fldChar w:fldCharType="end"/>
      </w:r>
      <w:r>
        <w:rPr>
          <w:rFonts w:hint="eastAsia" w:ascii="宋体" w:hAnsi="宋体" w:cs="宋体"/>
          <w:color w:val="auto"/>
          <w:kern w:val="44"/>
          <w:sz w:val="20"/>
          <w:szCs w:val="20"/>
          <w:highlight w:val="none"/>
        </w:rPr>
        <w:fldChar w:fldCharType="end"/>
      </w:r>
    </w:p>
    <w:p w14:paraId="396F1758">
      <w:pPr>
        <w:pStyle w:val="16"/>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_Toc26644 </w:instrText>
      </w:r>
      <w:r>
        <w:rPr>
          <w:rFonts w:hint="eastAsia" w:ascii="宋体" w:hAnsi="宋体" w:cs="宋体"/>
          <w:kern w:val="44"/>
          <w:sz w:val="20"/>
          <w:szCs w:val="20"/>
          <w:highlight w:val="none"/>
        </w:rPr>
        <w:fldChar w:fldCharType="separate"/>
      </w:r>
      <w:r>
        <w:rPr>
          <w:rFonts w:hint="eastAsia" w:ascii="宋体" w:hAnsi="宋体" w:cs="宋体"/>
          <w:bCs/>
          <w:sz w:val="20"/>
          <w:szCs w:val="20"/>
        </w:rPr>
        <w:t xml:space="preserve">第六章 </w:t>
      </w:r>
      <w:r>
        <w:rPr>
          <w:rFonts w:hint="eastAsia" w:ascii="宋体" w:hAnsi="宋体" w:cs="宋体"/>
          <w:bCs/>
          <w:sz w:val="20"/>
          <w:szCs w:val="20"/>
          <w:highlight w:val="none"/>
        </w:rPr>
        <w:t>工程量清单项目计量计价原则</w:t>
      </w:r>
      <w:r>
        <w:rPr>
          <w:sz w:val="20"/>
          <w:szCs w:val="20"/>
        </w:rPr>
        <w:tab/>
      </w:r>
      <w:r>
        <w:rPr>
          <w:sz w:val="20"/>
          <w:szCs w:val="20"/>
        </w:rPr>
        <w:fldChar w:fldCharType="begin"/>
      </w:r>
      <w:r>
        <w:rPr>
          <w:sz w:val="20"/>
          <w:szCs w:val="20"/>
        </w:rPr>
        <w:instrText xml:space="preserve"> PAGEREF _Toc26644 \h </w:instrText>
      </w:r>
      <w:r>
        <w:rPr>
          <w:sz w:val="20"/>
          <w:szCs w:val="20"/>
        </w:rPr>
        <w:fldChar w:fldCharType="separate"/>
      </w:r>
      <w:r>
        <w:rPr>
          <w:sz w:val="20"/>
          <w:szCs w:val="20"/>
        </w:rPr>
        <w:t>50</w:t>
      </w:r>
      <w:r>
        <w:rPr>
          <w:sz w:val="20"/>
          <w:szCs w:val="20"/>
        </w:rPr>
        <w:fldChar w:fldCharType="end"/>
      </w:r>
      <w:r>
        <w:rPr>
          <w:rFonts w:hint="eastAsia" w:ascii="宋体" w:hAnsi="宋体" w:cs="宋体"/>
          <w:color w:val="auto"/>
          <w:kern w:val="44"/>
          <w:sz w:val="20"/>
          <w:szCs w:val="20"/>
          <w:highlight w:val="none"/>
        </w:rPr>
        <w:fldChar w:fldCharType="end"/>
      </w:r>
    </w:p>
    <w:p w14:paraId="0593C118">
      <w:pPr>
        <w:pStyle w:val="16"/>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_Toc6304 </w:instrText>
      </w:r>
      <w:r>
        <w:rPr>
          <w:rFonts w:hint="eastAsia" w:ascii="宋体" w:hAnsi="宋体" w:cs="宋体"/>
          <w:kern w:val="44"/>
          <w:sz w:val="20"/>
          <w:szCs w:val="20"/>
          <w:highlight w:val="none"/>
        </w:rPr>
        <w:fldChar w:fldCharType="separate"/>
      </w:r>
      <w:r>
        <w:rPr>
          <w:rFonts w:hint="eastAsia" w:ascii="宋体" w:hAnsi="宋体" w:eastAsia="宋体" w:cs="宋体"/>
          <w:kern w:val="2"/>
          <w:sz w:val="20"/>
          <w:szCs w:val="20"/>
          <w:highlight w:val="none"/>
        </w:rPr>
        <w:t>第七章  投标文件格式</w:t>
      </w:r>
      <w:r>
        <w:rPr>
          <w:sz w:val="20"/>
          <w:szCs w:val="20"/>
        </w:rPr>
        <w:tab/>
      </w:r>
      <w:r>
        <w:rPr>
          <w:sz w:val="20"/>
          <w:szCs w:val="20"/>
        </w:rPr>
        <w:fldChar w:fldCharType="begin"/>
      </w:r>
      <w:r>
        <w:rPr>
          <w:sz w:val="20"/>
          <w:szCs w:val="20"/>
        </w:rPr>
        <w:instrText xml:space="preserve"> PAGEREF _Toc6304 \h </w:instrText>
      </w:r>
      <w:r>
        <w:rPr>
          <w:sz w:val="20"/>
          <w:szCs w:val="20"/>
        </w:rPr>
        <w:fldChar w:fldCharType="separate"/>
      </w:r>
      <w:r>
        <w:rPr>
          <w:sz w:val="20"/>
          <w:szCs w:val="20"/>
        </w:rPr>
        <w:t>52</w:t>
      </w:r>
      <w:r>
        <w:rPr>
          <w:sz w:val="20"/>
          <w:szCs w:val="20"/>
        </w:rPr>
        <w:fldChar w:fldCharType="end"/>
      </w:r>
      <w:r>
        <w:rPr>
          <w:rFonts w:hint="eastAsia" w:ascii="宋体" w:hAnsi="宋体" w:cs="宋体"/>
          <w:color w:val="auto"/>
          <w:kern w:val="44"/>
          <w:sz w:val="20"/>
          <w:szCs w:val="20"/>
          <w:highlight w:val="none"/>
        </w:rPr>
        <w:fldChar w:fldCharType="end"/>
      </w:r>
    </w:p>
    <w:p w14:paraId="51822ABB">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_Toc23717 </w:instrText>
      </w:r>
      <w:r>
        <w:rPr>
          <w:rFonts w:hint="eastAsia" w:ascii="宋体" w:hAnsi="宋体" w:cs="宋体"/>
          <w:kern w:val="44"/>
          <w:sz w:val="20"/>
          <w:szCs w:val="20"/>
          <w:highlight w:val="none"/>
        </w:rPr>
        <w:fldChar w:fldCharType="separate"/>
      </w:r>
      <w:r>
        <w:rPr>
          <w:rFonts w:hint="eastAsia" w:ascii="宋体" w:hAnsi="宋体" w:cs="宋体"/>
          <w:sz w:val="20"/>
          <w:szCs w:val="20"/>
          <w:highlight w:val="none"/>
        </w:rPr>
        <w:t>一、</w:t>
      </w:r>
      <w:r>
        <w:rPr>
          <w:rFonts w:hint="eastAsia" w:ascii="宋体" w:hAnsi="宋体" w:cs="宋体"/>
          <w:bCs/>
          <w:sz w:val="20"/>
          <w:szCs w:val="20"/>
          <w:highlight w:val="none"/>
        </w:rPr>
        <w:t>投标函及投标函附录</w:t>
      </w:r>
      <w:r>
        <w:rPr>
          <w:sz w:val="20"/>
          <w:szCs w:val="20"/>
        </w:rPr>
        <w:tab/>
      </w:r>
      <w:r>
        <w:rPr>
          <w:sz w:val="20"/>
          <w:szCs w:val="20"/>
        </w:rPr>
        <w:fldChar w:fldCharType="begin"/>
      </w:r>
      <w:r>
        <w:rPr>
          <w:sz w:val="20"/>
          <w:szCs w:val="20"/>
        </w:rPr>
        <w:instrText xml:space="preserve"> PAGEREF _Toc23717 \h </w:instrText>
      </w:r>
      <w:r>
        <w:rPr>
          <w:sz w:val="20"/>
          <w:szCs w:val="20"/>
        </w:rPr>
        <w:fldChar w:fldCharType="separate"/>
      </w:r>
      <w:r>
        <w:rPr>
          <w:sz w:val="20"/>
          <w:szCs w:val="20"/>
        </w:rPr>
        <w:t>54</w:t>
      </w:r>
      <w:r>
        <w:rPr>
          <w:sz w:val="20"/>
          <w:szCs w:val="20"/>
        </w:rPr>
        <w:fldChar w:fldCharType="end"/>
      </w:r>
      <w:r>
        <w:rPr>
          <w:rFonts w:hint="eastAsia" w:ascii="宋体" w:hAnsi="宋体" w:cs="宋体"/>
          <w:color w:val="auto"/>
          <w:kern w:val="44"/>
          <w:sz w:val="20"/>
          <w:szCs w:val="20"/>
          <w:highlight w:val="none"/>
        </w:rPr>
        <w:fldChar w:fldCharType="end"/>
      </w:r>
    </w:p>
    <w:p w14:paraId="3C42F317">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_Toc20877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二、法定代表人证明书及授权委托书</w:t>
      </w:r>
      <w:r>
        <w:rPr>
          <w:sz w:val="20"/>
          <w:szCs w:val="20"/>
        </w:rPr>
        <w:tab/>
      </w:r>
      <w:r>
        <w:rPr>
          <w:sz w:val="20"/>
          <w:szCs w:val="20"/>
        </w:rPr>
        <w:fldChar w:fldCharType="begin"/>
      </w:r>
      <w:r>
        <w:rPr>
          <w:sz w:val="20"/>
          <w:szCs w:val="20"/>
        </w:rPr>
        <w:instrText xml:space="preserve"> PAGEREF _Toc20877 \h </w:instrText>
      </w:r>
      <w:r>
        <w:rPr>
          <w:sz w:val="20"/>
          <w:szCs w:val="20"/>
        </w:rPr>
        <w:fldChar w:fldCharType="separate"/>
      </w:r>
      <w:r>
        <w:rPr>
          <w:sz w:val="20"/>
          <w:szCs w:val="20"/>
        </w:rPr>
        <w:t>56</w:t>
      </w:r>
      <w:r>
        <w:rPr>
          <w:sz w:val="20"/>
          <w:szCs w:val="20"/>
        </w:rPr>
        <w:fldChar w:fldCharType="end"/>
      </w:r>
      <w:r>
        <w:rPr>
          <w:rFonts w:hint="eastAsia" w:ascii="宋体" w:hAnsi="宋体" w:cs="宋体"/>
          <w:color w:val="auto"/>
          <w:kern w:val="44"/>
          <w:sz w:val="20"/>
          <w:szCs w:val="20"/>
          <w:highlight w:val="none"/>
        </w:rPr>
        <w:fldChar w:fldCharType="end"/>
      </w:r>
    </w:p>
    <w:p w14:paraId="00157F59">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_Toc10778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三、关于投标保证金的承诺</w:t>
      </w:r>
      <w:r>
        <w:rPr>
          <w:sz w:val="20"/>
          <w:szCs w:val="20"/>
        </w:rPr>
        <w:tab/>
      </w:r>
      <w:r>
        <w:rPr>
          <w:sz w:val="20"/>
          <w:szCs w:val="20"/>
        </w:rPr>
        <w:fldChar w:fldCharType="begin"/>
      </w:r>
      <w:r>
        <w:rPr>
          <w:sz w:val="20"/>
          <w:szCs w:val="20"/>
        </w:rPr>
        <w:instrText xml:space="preserve"> PAGEREF _Toc10778 \h </w:instrText>
      </w:r>
      <w:r>
        <w:rPr>
          <w:sz w:val="20"/>
          <w:szCs w:val="20"/>
        </w:rPr>
        <w:fldChar w:fldCharType="separate"/>
      </w:r>
      <w:r>
        <w:rPr>
          <w:sz w:val="20"/>
          <w:szCs w:val="20"/>
        </w:rPr>
        <w:t>57</w:t>
      </w:r>
      <w:r>
        <w:rPr>
          <w:sz w:val="20"/>
          <w:szCs w:val="20"/>
        </w:rPr>
        <w:fldChar w:fldCharType="end"/>
      </w:r>
      <w:r>
        <w:rPr>
          <w:rFonts w:hint="eastAsia" w:ascii="宋体" w:hAnsi="宋体" w:cs="宋体"/>
          <w:color w:val="auto"/>
          <w:kern w:val="44"/>
          <w:sz w:val="20"/>
          <w:szCs w:val="20"/>
          <w:highlight w:val="none"/>
        </w:rPr>
        <w:fldChar w:fldCharType="end"/>
      </w:r>
    </w:p>
    <w:p w14:paraId="5CF16783">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_Toc19476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四、联合体协议书（如有）</w:t>
      </w:r>
      <w:r>
        <w:rPr>
          <w:sz w:val="20"/>
          <w:szCs w:val="20"/>
        </w:rPr>
        <w:tab/>
      </w:r>
      <w:r>
        <w:rPr>
          <w:sz w:val="20"/>
          <w:szCs w:val="20"/>
        </w:rPr>
        <w:fldChar w:fldCharType="begin"/>
      </w:r>
      <w:r>
        <w:rPr>
          <w:sz w:val="20"/>
          <w:szCs w:val="20"/>
        </w:rPr>
        <w:instrText xml:space="preserve"> PAGEREF _Toc19476 \h </w:instrText>
      </w:r>
      <w:r>
        <w:rPr>
          <w:sz w:val="20"/>
          <w:szCs w:val="20"/>
        </w:rPr>
        <w:fldChar w:fldCharType="separate"/>
      </w:r>
      <w:r>
        <w:rPr>
          <w:sz w:val="20"/>
          <w:szCs w:val="20"/>
        </w:rPr>
        <w:t>58</w:t>
      </w:r>
      <w:r>
        <w:rPr>
          <w:sz w:val="20"/>
          <w:szCs w:val="20"/>
        </w:rPr>
        <w:fldChar w:fldCharType="end"/>
      </w:r>
      <w:r>
        <w:rPr>
          <w:rFonts w:hint="eastAsia" w:ascii="宋体" w:hAnsi="宋体" w:cs="宋体"/>
          <w:color w:val="auto"/>
          <w:kern w:val="44"/>
          <w:sz w:val="20"/>
          <w:szCs w:val="20"/>
          <w:highlight w:val="none"/>
        </w:rPr>
        <w:fldChar w:fldCharType="end"/>
      </w:r>
    </w:p>
    <w:p w14:paraId="6A9F1AA0">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_Toc12023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五、资格审查资料</w:t>
      </w:r>
      <w:r>
        <w:rPr>
          <w:sz w:val="20"/>
          <w:szCs w:val="20"/>
        </w:rPr>
        <w:tab/>
      </w:r>
      <w:r>
        <w:rPr>
          <w:sz w:val="20"/>
          <w:szCs w:val="20"/>
        </w:rPr>
        <w:fldChar w:fldCharType="begin"/>
      </w:r>
      <w:r>
        <w:rPr>
          <w:sz w:val="20"/>
          <w:szCs w:val="20"/>
        </w:rPr>
        <w:instrText xml:space="preserve"> PAGEREF _Toc12023 \h </w:instrText>
      </w:r>
      <w:r>
        <w:rPr>
          <w:sz w:val="20"/>
          <w:szCs w:val="20"/>
        </w:rPr>
        <w:fldChar w:fldCharType="separate"/>
      </w:r>
      <w:r>
        <w:rPr>
          <w:sz w:val="20"/>
          <w:szCs w:val="20"/>
        </w:rPr>
        <w:t>59</w:t>
      </w:r>
      <w:r>
        <w:rPr>
          <w:sz w:val="20"/>
          <w:szCs w:val="20"/>
        </w:rPr>
        <w:fldChar w:fldCharType="end"/>
      </w:r>
      <w:r>
        <w:rPr>
          <w:rFonts w:hint="eastAsia" w:ascii="宋体" w:hAnsi="宋体" w:cs="宋体"/>
          <w:color w:val="auto"/>
          <w:kern w:val="44"/>
          <w:sz w:val="20"/>
          <w:szCs w:val="20"/>
          <w:highlight w:val="none"/>
        </w:rPr>
        <w:fldChar w:fldCharType="end"/>
      </w:r>
    </w:p>
    <w:p w14:paraId="1BF487C0">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_Toc2248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六、类似项目业绩表</w:t>
      </w:r>
      <w:r>
        <w:rPr>
          <w:sz w:val="20"/>
          <w:szCs w:val="20"/>
        </w:rPr>
        <w:tab/>
      </w:r>
      <w:r>
        <w:rPr>
          <w:sz w:val="20"/>
          <w:szCs w:val="20"/>
        </w:rPr>
        <w:fldChar w:fldCharType="begin"/>
      </w:r>
      <w:r>
        <w:rPr>
          <w:sz w:val="20"/>
          <w:szCs w:val="20"/>
        </w:rPr>
        <w:instrText xml:space="preserve"> PAGEREF _Toc2248 \h </w:instrText>
      </w:r>
      <w:r>
        <w:rPr>
          <w:sz w:val="20"/>
          <w:szCs w:val="20"/>
        </w:rPr>
        <w:fldChar w:fldCharType="separate"/>
      </w:r>
      <w:r>
        <w:rPr>
          <w:sz w:val="20"/>
          <w:szCs w:val="20"/>
        </w:rPr>
        <w:t>61</w:t>
      </w:r>
      <w:r>
        <w:rPr>
          <w:sz w:val="20"/>
          <w:szCs w:val="20"/>
        </w:rPr>
        <w:fldChar w:fldCharType="end"/>
      </w:r>
      <w:r>
        <w:rPr>
          <w:rFonts w:hint="eastAsia" w:ascii="宋体" w:hAnsi="宋体" w:cs="宋体"/>
          <w:color w:val="auto"/>
          <w:kern w:val="44"/>
          <w:sz w:val="20"/>
          <w:szCs w:val="20"/>
          <w:highlight w:val="none"/>
        </w:rPr>
        <w:fldChar w:fldCharType="end"/>
      </w:r>
    </w:p>
    <w:p w14:paraId="61E2A10C">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_Toc7450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七、拟投入本项目的人员一览表</w:t>
      </w:r>
      <w:r>
        <w:rPr>
          <w:sz w:val="20"/>
          <w:szCs w:val="20"/>
        </w:rPr>
        <w:tab/>
      </w:r>
      <w:r>
        <w:rPr>
          <w:sz w:val="20"/>
          <w:szCs w:val="20"/>
        </w:rPr>
        <w:fldChar w:fldCharType="begin"/>
      </w:r>
      <w:r>
        <w:rPr>
          <w:sz w:val="20"/>
          <w:szCs w:val="20"/>
        </w:rPr>
        <w:instrText xml:space="preserve"> PAGEREF _Toc7450 \h </w:instrText>
      </w:r>
      <w:r>
        <w:rPr>
          <w:sz w:val="20"/>
          <w:szCs w:val="20"/>
        </w:rPr>
        <w:fldChar w:fldCharType="separate"/>
      </w:r>
      <w:r>
        <w:rPr>
          <w:sz w:val="20"/>
          <w:szCs w:val="20"/>
        </w:rPr>
        <w:t>62</w:t>
      </w:r>
      <w:r>
        <w:rPr>
          <w:sz w:val="20"/>
          <w:szCs w:val="20"/>
        </w:rPr>
        <w:fldChar w:fldCharType="end"/>
      </w:r>
      <w:r>
        <w:rPr>
          <w:rFonts w:hint="eastAsia" w:ascii="宋体" w:hAnsi="宋体" w:cs="宋体"/>
          <w:color w:val="auto"/>
          <w:kern w:val="44"/>
          <w:sz w:val="20"/>
          <w:szCs w:val="20"/>
          <w:highlight w:val="none"/>
        </w:rPr>
        <w:fldChar w:fldCharType="end"/>
      </w:r>
    </w:p>
    <w:p w14:paraId="3422E635">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_Toc16194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八、拟投入本项目的人员简历表</w:t>
      </w:r>
      <w:r>
        <w:rPr>
          <w:sz w:val="20"/>
          <w:szCs w:val="20"/>
        </w:rPr>
        <w:tab/>
      </w:r>
      <w:r>
        <w:rPr>
          <w:sz w:val="20"/>
          <w:szCs w:val="20"/>
        </w:rPr>
        <w:fldChar w:fldCharType="begin"/>
      </w:r>
      <w:r>
        <w:rPr>
          <w:sz w:val="20"/>
          <w:szCs w:val="20"/>
        </w:rPr>
        <w:instrText xml:space="preserve"> PAGEREF _Toc16194 \h </w:instrText>
      </w:r>
      <w:r>
        <w:rPr>
          <w:sz w:val="20"/>
          <w:szCs w:val="20"/>
        </w:rPr>
        <w:fldChar w:fldCharType="separate"/>
      </w:r>
      <w:r>
        <w:rPr>
          <w:sz w:val="20"/>
          <w:szCs w:val="20"/>
        </w:rPr>
        <w:t>63</w:t>
      </w:r>
      <w:r>
        <w:rPr>
          <w:sz w:val="20"/>
          <w:szCs w:val="20"/>
        </w:rPr>
        <w:fldChar w:fldCharType="end"/>
      </w:r>
      <w:r>
        <w:rPr>
          <w:rFonts w:hint="eastAsia" w:ascii="宋体" w:hAnsi="宋体" w:cs="宋体"/>
          <w:color w:val="auto"/>
          <w:kern w:val="44"/>
          <w:sz w:val="20"/>
          <w:szCs w:val="20"/>
          <w:highlight w:val="none"/>
        </w:rPr>
        <w:fldChar w:fldCharType="end"/>
      </w:r>
    </w:p>
    <w:p w14:paraId="4EFD6BD4">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_Toc11810 </w:instrText>
      </w:r>
      <w:r>
        <w:rPr>
          <w:rFonts w:hint="eastAsia" w:ascii="宋体" w:hAnsi="宋体" w:cs="宋体"/>
          <w:kern w:val="44"/>
          <w:sz w:val="20"/>
          <w:szCs w:val="20"/>
          <w:highlight w:val="none"/>
        </w:rPr>
        <w:fldChar w:fldCharType="separate"/>
      </w:r>
      <w:r>
        <w:rPr>
          <w:rFonts w:hint="eastAsia" w:ascii="宋体" w:hAnsi="宋体" w:eastAsia="宋体" w:cs="宋体"/>
          <w:sz w:val="20"/>
          <w:szCs w:val="20"/>
          <w:highlight w:val="none"/>
        </w:rPr>
        <w:t>九、拟投入本项目的主要仪器设备一览表</w:t>
      </w:r>
      <w:r>
        <w:rPr>
          <w:sz w:val="20"/>
          <w:szCs w:val="20"/>
        </w:rPr>
        <w:tab/>
      </w:r>
      <w:r>
        <w:rPr>
          <w:sz w:val="20"/>
          <w:szCs w:val="20"/>
        </w:rPr>
        <w:fldChar w:fldCharType="begin"/>
      </w:r>
      <w:r>
        <w:rPr>
          <w:sz w:val="20"/>
          <w:szCs w:val="20"/>
        </w:rPr>
        <w:instrText xml:space="preserve"> PAGEREF _Toc11810 \h </w:instrText>
      </w:r>
      <w:r>
        <w:rPr>
          <w:sz w:val="20"/>
          <w:szCs w:val="20"/>
        </w:rPr>
        <w:fldChar w:fldCharType="separate"/>
      </w:r>
      <w:r>
        <w:rPr>
          <w:sz w:val="20"/>
          <w:szCs w:val="20"/>
        </w:rPr>
        <w:t>64</w:t>
      </w:r>
      <w:r>
        <w:rPr>
          <w:sz w:val="20"/>
          <w:szCs w:val="20"/>
        </w:rPr>
        <w:fldChar w:fldCharType="end"/>
      </w:r>
      <w:r>
        <w:rPr>
          <w:rFonts w:hint="eastAsia" w:ascii="宋体" w:hAnsi="宋体" w:cs="宋体"/>
          <w:color w:val="auto"/>
          <w:kern w:val="44"/>
          <w:sz w:val="20"/>
          <w:szCs w:val="20"/>
          <w:highlight w:val="none"/>
        </w:rPr>
        <w:fldChar w:fldCharType="end"/>
      </w:r>
    </w:p>
    <w:p w14:paraId="481C999F">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_Toc18792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十、</w:t>
      </w:r>
      <w:r>
        <w:rPr>
          <w:rFonts w:hint="eastAsia" w:ascii="宋体" w:hAnsi="宋体" w:cs="宋体"/>
          <w:bCs/>
          <w:sz w:val="20"/>
          <w:szCs w:val="20"/>
          <w:highlight w:val="none"/>
          <w:lang w:val="en-US" w:eastAsia="zh-CN"/>
        </w:rPr>
        <w:t>检测监测</w:t>
      </w:r>
      <w:r>
        <w:rPr>
          <w:rFonts w:hint="eastAsia" w:ascii="宋体" w:hAnsi="宋体" w:cs="宋体"/>
          <w:bCs/>
          <w:sz w:val="20"/>
          <w:szCs w:val="20"/>
          <w:highlight w:val="none"/>
        </w:rPr>
        <w:t>技术方案</w:t>
      </w:r>
      <w:r>
        <w:rPr>
          <w:sz w:val="20"/>
          <w:szCs w:val="20"/>
        </w:rPr>
        <w:tab/>
      </w:r>
      <w:r>
        <w:rPr>
          <w:sz w:val="20"/>
          <w:szCs w:val="20"/>
        </w:rPr>
        <w:fldChar w:fldCharType="begin"/>
      </w:r>
      <w:r>
        <w:rPr>
          <w:sz w:val="20"/>
          <w:szCs w:val="20"/>
        </w:rPr>
        <w:instrText xml:space="preserve"> PAGEREF _Toc18792 \h </w:instrText>
      </w:r>
      <w:r>
        <w:rPr>
          <w:sz w:val="20"/>
          <w:szCs w:val="20"/>
        </w:rPr>
        <w:fldChar w:fldCharType="separate"/>
      </w:r>
      <w:r>
        <w:rPr>
          <w:sz w:val="20"/>
          <w:szCs w:val="20"/>
        </w:rPr>
        <w:t>65</w:t>
      </w:r>
      <w:r>
        <w:rPr>
          <w:sz w:val="20"/>
          <w:szCs w:val="20"/>
        </w:rPr>
        <w:fldChar w:fldCharType="end"/>
      </w:r>
      <w:r>
        <w:rPr>
          <w:rFonts w:hint="eastAsia" w:ascii="宋体" w:hAnsi="宋体" w:cs="宋体"/>
          <w:color w:val="auto"/>
          <w:kern w:val="44"/>
          <w:sz w:val="20"/>
          <w:szCs w:val="20"/>
          <w:highlight w:val="none"/>
        </w:rPr>
        <w:fldChar w:fldCharType="end"/>
      </w:r>
    </w:p>
    <w:p w14:paraId="76833B70">
      <w:pPr>
        <w:pStyle w:val="17"/>
        <w:tabs>
          <w:tab w:val="right" w:leader="dot" w:pos="8503"/>
        </w:tabs>
        <w:spacing w:line="360" w:lineRule="auto"/>
        <w:rPr>
          <w:sz w:val="20"/>
          <w:szCs w:val="20"/>
        </w:rPr>
      </w:pPr>
      <w:r>
        <w:rPr>
          <w:rFonts w:hint="eastAsia" w:ascii="宋体" w:hAnsi="宋体" w:cs="宋体"/>
          <w:color w:val="auto"/>
          <w:kern w:val="44"/>
          <w:sz w:val="20"/>
          <w:szCs w:val="20"/>
          <w:highlight w:val="none"/>
        </w:rPr>
        <w:fldChar w:fldCharType="begin"/>
      </w:r>
      <w:r>
        <w:rPr>
          <w:rFonts w:hint="eastAsia" w:ascii="宋体" w:hAnsi="宋体" w:cs="宋体"/>
          <w:kern w:val="44"/>
          <w:sz w:val="20"/>
          <w:szCs w:val="20"/>
          <w:highlight w:val="none"/>
        </w:rPr>
        <w:instrText xml:space="preserve"> HYPERLINK \l _Toc18455 </w:instrText>
      </w:r>
      <w:r>
        <w:rPr>
          <w:rFonts w:hint="eastAsia" w:ascii="宋体" w:hAnsi="宋体" w:cs="宋体"/>
          <w:kern w:val="44"/>
          <w:sz w:val="20"/>
          <w:szCs w:val="20"/>
          <w:highlight w:val="none"/>
        </w:rPr>
        <w:fldChar w:fldCharType="separate"/>
      </w:r>
      <w:r>
        <w:rPr>
          <w:rFonts w:hint="eastAsia" w:ascii="宋体" w:hAnsi="宋体" w:cs="宋体"/>
          <w:bCs/>
          <w:sz w:val="20"/>
          <w:szCs w:val="20"/>
          <w:highlight w:val="none"/>
        </w:rPr>
        <w:t>十</w:t>
      </w:r>
      <w:r>
        <w:rPr>
          <w:rFonts w:hint="eastAsia" w:ascii="宋体" w:hAnsi="宋体" w:cs="宋体"/>
          <w:bCs/>
          <w:sz w:val="20"/>
          <w:szCs w:val="20"/>
          <w:highlight w:val="none"/>
          <w:lang w:val="en-US" w:eastAsia="zh-CN"/>
        </w:rPr>
        <w:t>一</w:t>
      </w:r>
      <w:r>
        <w:rPr>
          <w:rFonts w:hint="eastAsia" w:ascii="宋体" w:hAnsi="宋体" w:cs="宋体"/>
          <w:bCs/>
          <w:sz w:val="20"/>
          <w:szCs w:val="20"/>
          <w:highlight w:val="none"/>
        </w:rPr>
        <w:t>、投标人认为应该提供的其他资料</w:t>
      </w:r>
      <w:r>
        <w:rPr>
          <w:sz w:val="20"/>
          <w:szCs w:val="20"/>
        </w:rPr>
        <w:tab/>
      </w:r>
      <w:r>
        <w:rPr>
          <w:sz w:val="20"/>
          <w:szCs w:val="20"/>
        </w:rPr>
        <w:fldChar w:fldCharType="begin"/>
      </w:r>
      <w:r>
        <w:rPr>
          <w:sz w:val="20"/>
          <w:szCs w:val="20"/>
        </w:rPr>
        <w:instrText xml:space="preserve"> PAGEREF _Toc18455 \h </w:instrText>
      </w:r>
      <w:r>
        <w:rPr>
          <w:sz w:val="20"/>
          <w:szCs w:val="20"/>
        </w:rPr>
        <w:fldChar w:fldCharType="separate"/>
      </w:r>
      <w:r>
        <w:rPr>
          <w:sz w:val="20"/>
          <w:szCs w:val="20"/>
        </w:rPr>
        <w:t>66</w:t>
      </w:r>
      <w:r>
        <w:rPr>
          <w:sz w:val="20"/>
          <w:szCs w:val="20"/>
        </w:rPr>
        <w:fldChar w:fldCharType="end"/>
      </w:r>
      <w:r>
        <w:rPr>
          <w:rFonts w:hint="eastAsia" w:ascii="宋体" w:hAnsi="宋体" w:cs="宋体"/>
          <w:color w:val="auto"/>
          <w:kern w:val="44"/>
          <w:sz w:val="20"/>
          <w:szCs w:val="20"/>
          <w:highlight w:val="none"/>
        </w:rPr>
        <w:fldChar w:fldCharType="end"/>
      </w:r>
    </w:p>
    <w:p w14:paraId="457C3A2E">
      <w:pPr>
        <w:spacing w:line="360" w:lineRule="auto"/>
        <w:rPr>
          <w:rFonts w:ascii="宋体" w:hAnsi="宋体" w:cs="宋体"/>
          <w:b/>
          <w:bCs/>
          <w:color w:val="auto"/>
          <w:sz w:val="20"/>
          <w:szCs w:val="20"/>
          <w:highlight w:val="none"/>
        </w:rPr>
        <w:sectPr>
          <w:footerReference r:id="rId4" w:type="default"/>
          <w:pgSz w:w="11905" w:h="16838"/>
          <w:pgMar w:top="1418" w:right="1701" w:bottom="1418" w:left="1701" w:header="851" w:footer="794" w:gutter="0"/>
          <w:cols w:space="720" w:num="1"/>
          <w:docGrid w:type="lines" w:linePitch="312" w:charSpace="0"/>
        </w:sectPr>
      </w:pPr>
      <w:r>
        <w:rPr>
          <w:rFonts w:hint="eastAsia" w:ascii="宋体" w:hAnsi="宋体" w:cs="宋体"/>
          <w:color w:val="auto"/>
          <w:kern w:val="44"/>
          <w:sz w:val="20"/>
          <w:szCs w:val="20"/>
          <w:highlight w:val="none"/>
        </w:rPr>
        <w:fldChar w:fldCharType="end"/>
      </w:r>
      <w:bookmarkStart w:id="1" w:name="_Toc8029"/>
      <w:bookmarkStart w:id="2" w:name="_Toc18030"/>
      <w:bookmarkStart w:id="3" w:name="_Toc30437"/>
      <w:bookmarkStart w:id="4" w:name="_Toc5050"/>
      <w:bookmarkStart w:id="5" w:name="_Toc532367869"/>
      <w:bookmarkStart w:id="6" w:name="_Toc11832"/>
      <w:bookmarkStart w:id="7" w:name="_Toc525063243"/>
      <w:bookmarkStart w:id="8" w:name="_Toc17573"/>
      <w:bookmarkStart w:id="9" w:name="_Toc3857"/>
    </w:p>
    <w:bookmarkEnd w:id="1"/>
    <w:bookmarkEnd w:id="2"/>
    <w:bookmarkEnd w:id="3"/>
    <w:bookmarkEnd w:id="4"/>
    <w:bookmarkEnd w:id="5"/>
    <w:bookmarkEnd w:id="6"/>
    <w:bookmarkEnd w:id="7"/>
    <w:bookmarkEnd w:id="8"/>
    <w:bookmarkEnd w:id="9"/>
    <w:p w14:paraId="42DF410D">
      <w:pPr>
        <w:pStyle w:val="2"/>
        <w:bidi w:val="0"/>
        <w:jc w:val="center"/>
        <w:rPr>
          <w:rFonts w:hint="eastAsia" w:ascii="宋体" w:hAnsi="宋体" w:eastAsia="宋体" w:cs="宋体"/>
        </w:rPr>
      </w:pPr>
      <w:bookmarkStart w:id="10" w:name="_Toc24180"/>
      <w:r>
        <w:rPr>
          <w:rFonts w:hint="eastAsia" w:ascii="宋体" w:hAnsi="宋体" w:eastAsia="宋体" w:cs="宋体"/>
        </w:rPr>
        <w:t>第</w:t>
      </w:r>
      <w:r>
        <w:rPr>
          <w:rFonts w:hint="eastAsia" w:ascii="宋体" w:hAnsi="宋体" w:eastAsia="宋体" w:cs="宋体"/>
          <w:lang w:val="en-US" w:eastAsia="zh-CN"/>
        </w:rPr>
        <w:t>一</w:t>
      </w:r>
      <w:r>
        <w:rPr>
          <w:rFonts w:hint="eastAsia" w:ascii="宋体" w:hAnsi="宋体" w:eastAsia="宋体" w:cs="宋体"/>
        </w:rPr>
        <w:t>章  投标人须知</w:t>
      </w:r>
      <w:bookmarkEnd w:id="10"/>
    </w:p>
    <w:p w14:paraId="5656A4E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智造创新园石碁镇225亩前锋西地块配套道路检测、监测服务</w:t>
      </w:r>
      <w:r>
        <w:rPr>
          <w:rFonts w:hint="eastAsia" w:ascii="宋体" w:hAnsi="宋体" w:cs="宋体"/>
          <w:color w:val="auto"/>
          <w:sz w:val="28"/>
          <w:szCs w:val="28"/>
          <w:highlight w:val="none"/>
        </w:rPr>
        <w:t>招标公告（另册）</w:t>
      </w:r>
    </w:p>
    <w:p w14:paraId="47683CFC">
      <w:pPr>
        <w:spacing w:line="360" w:lineRule="auto"/>
        <w:rPr>
          <w:rFonts w:ascii="宋体" w:hAnsi="宋体" w:cs="宋体"/>
          <w:b/>
          <w:bCs/>
          <w:color w:val="auto"/>
          <w:sz w:val="44"/>
          <w:szCs w:val="44"/>
          <w:highlight w:val="none"/>
        </w:rPr>
      </w:pPr>
    </w:p>
    <w:p w14:paraId="5AE72763">
      <w:pPr>
        <w:spacing w:line="360" w:lineRule="auto"/>
        <w:rPr>
          <w:rFonts w:ascii="宋体" w:hAnsi="宋体" w:cs="宋体"/>
          <w:b/>
          <w:bCs/>
          <w:color w:val="auto"/>
          <w:sz w:val="44"/>
          <w:szCs w:val="44"/>
          <w:highlight w:val="none"/>
        </w:rPr>
        <w:sectPr>
          <w:footerReference r:id="rId5" w:type="default"/>
          <w:pgSz w:w="11905" w:h="16838"/>
          <w:pgMar w:top="1418" w:right="1701" w:bottom="1418" w:left="1701" w:header="851" w:footer="794" w:gutter="0"/>
          <w:cols w:space="720" w:num="1"/>
          <w:docGrid w:type="lines" w:linePitch="312" w:charSpace="0"/>
        </w:sectPr>
      </w:pPr>
    </w:p>
    <w:bookmarkEnd w:id="0"/>
    <w:p w14:paraId="5E71CCE3">
      <w:pPr>
        <w:pStyle w:val="2"/>
        <w:keepNext w:val="0"/>
        <w:keepLines w:val="0"/>
        <w:spacing w:line="360" w:lineRule="auto"/>
        <w:jc w:val="center"/>
        <w:rPr>
          <w:rFonts w:ascii="宋体" w:hAnsi="宋体" w:eastAsia="宋体" w:cs="宋体"/>
          <w:color w:val="auto"/>
          <w:highlight w:val="none"/>
        </w:rPr>
      </w:pPr>
      <w:bookmarkStart w:id="11" w:name="_Toc17191"/>
      <w:bookmarkStart w:id="12" w:name="_Toc8572"/>
      <w:bookmarkStart w:id="13" w:name="_Toc21577"/>
      <w:bookmarkStart w:id="14" w:name="_Toc525063244"/>
      <w:bookmarkStart w:id="15" w:name="_Toc32023"/>
      <w:bookmarkStart w:id="16" w:name="_Toc532367870"/>
      <w:bookmarkStart w:id="17" w:name="_Toc10944"/>
      <w:bookmarkStart w:id="18" w:name="_Toc21694"/>
      <w:bookmarkStart w:id="19" w:name="_Toc25716"/>
      <w:bookmarkStart w:id="20" w:name="_Toc25508"/>
      <w:r>
        <w:rPr>
          <w:rFonts w:hint="eastAsia" w:ascii="宋体" w:hAnsi="宋体" w:eastAsia="宋体" w:cs="宋体"/>
          <w:color w:val="auto"/>
          <w:highlight w:val="none"/>
        </w:rPr>
        <w:t>第二章  投标人须知</w:t>
      </w:r>
      <w:bookmarkEnd w:id="11"/>
      <w:bookmarkEnd w:id="12"/>
      <w:bookmarkEnd w:id="13"/>
      <w:bookmarkEnd w:id="14"/>
      <w:bookmarkEnd w:id="15"/>
      <w:bookmarkEnd w:id="16"/>
      <w:bookmarkEnd w:id="17"/>
      <w:bookmarkEnd w:id="18"/>
      <w:bookmarkEnd w:id="19"/>
      <w:bookmarkEnd w:id="20"/>
    </w:p>
    <w:p w14:paraId="491FA5E9">
      <w:pPr>
        <w:pStyle w:val="3"/>
        <w:keepNext w:val="0"/>
        <w:keepLines w:val="0"/>
        <w:spacing w:before="0" w:after="0" w:line="360" w:lineRule="auto"/>
        <w:jc w:val="center"/>
        <w:rPr>
          <w:rFonts w:ascii="宋体" w:hAnsi="宋体" w:eastAsia="宋体" w:cs="宋体"/>
          <w:color w:val="auto"/>
          <w:sz w:val="36"/>
          <w:szCs w:val="36"/>
          <w:highlight w:val="none"/>
        </w:rPr>
      </w:pPr>
      <w:bookmarkStart w:id="21" w:name="_Toc25024"/>
      <w:bookmarkStart w:id="22" w:name="_Toc16303"/>
      <w:bookmarkStart w:id="23" w:name="_Toc32479"/>
      <w:bookmarkStart w:id="24" w:name="_Toc26385"/>
      <w:bookmarkStart w:id="25" w:name="_Toc525063245"/>
      <w:bookmarkStart w:id="26" w:name="_Toc532367871"/>
      <w:bookmarkStart w:id="27" w:name="_Toc21151"/>
      <w:bookmarkStart w:id="28" w:name="_Toc24433"/>
      <w:bookmarkStart w:id="29" w:name="_Toc25608"/>
      <w:bookmarkStart w:id="30" w:name="_Toc390"/>
      <w:r>
        <w:rPr>
          <w:rFonts w:hint="eastAsia" w:ascii="宋体" w:hAnsi="宋体" w:eastAsia="宋体" w:cs="宋体"/>
          <w:color w:val="auto"/>
          <w:sz w:val="36"/>
          <w:szCs w:val="36"/>
          <w:highlight w:val="none"/>
        </w:rPr>
        <w:t>投标人须知前附表</w:t>
      </w:r>
      <w:bookmarkEnd w:id="21"/>
      <w:bookmarkEnd w:id="22"/>
      <w:bookmarkEnd w:id="23"/>
      <w:bookmarkEnd w:id="24"/>
      <w:bookmarkEnd w:id="25"/>
      <w:bookmarkEnd w:id="26"/>
      <w:bookmarkEnd w:id="27"/>
      <w:bookmarkEnd w:id="28"/>
      <w:bookmarkEnd w:id="29"/>
      <w:bookmarkEnd w:id="30"/>
    </w:p>
    <w:tbl>
      <w:tblPr>
        <w:tblStyle w:val="21"/>
        <w:tblW w:w="93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613"/>
        <w:gridCol w:w="5774"/>
      </w:tblGrid>
      <w:tr w14:paraId="69B1B5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959" w:type="dxa"/>
            <w:vAlign w:val="center"/>
          </w:tcPr>
          <w:p w14:paraId="604BAE20">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条款号</w:t>
            </w:r>
          </w:p>
        </w:tc>
        <w:tc>
          <w:tcPr>
            <w:tcW w:w="2613" w:type="dxa"/>
            <w:vAlign w:val="center"/>
          </w:tcPr>
          <w:p w14:paraId="1307C167">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条款名称</w:t>
            </w:r>
          </w:p>
        </w:tc>
        <w:tc>
          <w:tcPr>
            <w:tcW w:w="5774" w:type="dxa"/>
            <w:vAlign w:val="center"/>
          </w:tcPr>
          <w:p w14:paraId="3AF879FB">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编列内容</w:t>
            </w:r>
          </w:p>
        </w:tc>
      </w:tr>
      <w:tr w14:paraId="1D52B5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959" w:type="dxa"/>
            <w:vAlign w:val="center"/>
          </w:tcPr>
          <w:p w14:paraId="6AAE9896">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w:t>
            </w:r>
          </w:p>
        </w:tc>
        <w:tc>
          <w:tcPr>
            <w:tcW w:w="2613" w:type="dxa"/>
            <w:vAlign w:val="center"/>
          </w:tcPr>
          <w:p w14:paraId="2835EC78">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w:t>
            </w:r>
          </w:p>
        </w:tc>
        <w:tc>
          <w:tcPr>
            <w:tcW w:w="5774" w:type="dxa"/>
            <w:vAlign w:val="center"/>
          </w:tcPr>
          <w:p w14:paraId="5944212A">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名称：(主)广州番禺产投建设管理有限公司(成)广州市盈泰房地产有限公司</w:t>
            </w:r>
          </w:p>
          <w:p w14:paraId="1A338FDC">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地址：广州市番禺区市桥街桥兴大道11号（房地产大院2号楼）</w:t>
            </w:r>
          </w:p>
          <w:p w14:paraId="1457D96B">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联系人：梁工</w:t>
            </w:r>
          </w:p>
          <w:p w14:paraId="7CC86F71">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电话：020-84879080</w:t>
            </w:r>
          </w:p>
        </w:tc>
      </w:tr>
      <w:tr w14:paraId="1D39C5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959" w:type="dxa"/>
            <w:vAlign w:val="center"/>
          </w:tcPr>
          <w:p w14:paraId="299E2F2B">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w:t>
            </w:r>
          </w:p>
        </w:tc>
        <w:tc>
          <w:tcPr>
            <w:tcW w:w="2613" w:type="dxa"/>
            <w:vAlign w:val="center"/>
          </w:tcPr>
          <w:p w14:paraId="22422A5A">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招标代理机构</w:t>
            </w:r>
          </w:p>
        </w:tc>
        <w:tc>
          <w:tcPr>
            <w:tcW w:w="5774" w:type="dxa"/>
            <w:vAlign w:val="center"/>
          </w:tcPr>
          <w:p w14:paraId="5AFC306E">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名称：广东华建兴工程管理有限公司 </w:t>
            </w:r>
          </w:p>
          <w:p w14:paraId="7A6D8A4F">
            <w:pPr>
              <w:snapToGrid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地址：番禺区清河西路36号</w:t>
            </w:r>
          </w:p>
          <w:p w14:paraId="086D6F19">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联系人：李工</w:t>
            </w:r>
          </w:p>
          <w:p w14:paraId="578957A7">
            <w:pPr>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电话：02084820907/13711112999</w:t>
            </w:r>
          </w:p>
        </w:tc>
      </w:tr>
      <w:tr w14:paraId="0ACFF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87414B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613" w:type="dxa"/>
            <w:vAlign w:val="center"/>
          </w:tcPr>
          <w:p w14:paraId="68157F8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5774" w:type="dxa"/>
            <w:vAlign w:val="center"/>
          </w:tcPr>
          <w:p w14:paraId="6E757D0D">
            <w:pPr>
              <w:snapToGrid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智造创新园石碁镇225亩前锋西地块配套道路检测、监测服务</w:t>
            </w:r>
          </w:p>
        </w:tc>
      </w:tr>
      <w:tr w14:paraId="7E9E6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3BE375E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613" w:type="dxa"/>
            <w:vAlign w:val="center"/>
          </w:tcPr>
          <w:p w14:paraId="40BAF76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5774" w:type="dxa"/>
            <w:vAlign w:val="center"/>
          </w:tcPr>
          <w:p w14:paraId="7B81302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82C0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7420B9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613" w:type="dxa"/>
            <w:vAlign w:val="center"/>
          </w:tcPr>
          <w:p w14:paraId="5B82AE3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5774" w:type="dxa"/>
            <w:vAlign w:val="center"/>
          </w:tcPr>
          <w:p w14:paraId="202AC4DF">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30B5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959" w:type="dxa"/>
            <w:vAlign w:val="center"/>
          </w:tcPr>
          <w:p w14:paraId="497889B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613" w:type="dxa"/>
            <w:vAlign w:val="center"/>
          </w:tcPr>
          <w:p w14:paraId="58F34DD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5774" w:type="dxa"/>
            <w:vAlign w:val="center"/>
          </w:tcPr>
          <w:p w14:paraId="15941610">
            <w:pPr>
              <w:pStyle w:val="5"/>
              <w:spacing w:before="0" w:after="0" w:line="276" w:lineRule="auto"/>
              <w:rPr>
                <w:rFonts w:ascii="宋体" w:hAnsi="宋体" w:cs="宋体"/>
                <w:b w:val="0"/>
                <w:color w:val="auto"/>
                <w:kern w:val="2"/>
                <w:sz w:val="21"/>
                <w:szCs w:val="21"/>
                <w:highlight w:val="none"/>
              </w:rPr>
            </w:pPr>
            <w:r>
              <w:rPr>
                <w:rFonts w:hint="eastAsia" w:ascii="宋体" w:hAnsi="宋体" w:cs="宋体"/>
                <w:b w:val="0"/>
                <w:color w:val="auto"/>
                <w:kern w:val="2"/>
                <w:sz w:val="21"/>
                <w:szCs w:val="21"/>
                <w:highlight w:val="none"/>
              </w:rPr>
              <w:t>工程项目施工预计开工日期：具体以招标人通知为准。</w:t>
            </w:r>
          </w:p>
          <w:p w14:paraId="03692FBA">
            <w:pPr>
              <w:spacing w:line="276" w:lineRule="auto"/>
              <w:rPr>
                <w:rFonts w:ascii="宋体" w:hAnsi="宋体" w:cs="宋体"/>
                <w:color w:val="auto"/>
                <w:szCs w:val="21"/>
                <w:highlight w:val="none"/>
              </w:rPr>
            </w:pPr>
            <w:r>
              <w:rPr>
                <w:rFonts w:hint="eastAsia" w:ascii="宋体" w:hAnsi="宋体" w:cs="宋体"/>
                <w:color w:val="auto"/>
                <w:szCs w:val="21"/>
                <w:highlight w:val="none"/>
              </w:rPr>
              <w:t>建设周期为</w:t>
            </w:r>
            <w:r>
              <w:rPr>
                <w:rFonts w:hint="eastAsia" w:ascii="宋体" w:hAnsi="宋体" w:cs="宋体"/>
                <w:color w:val="auto"/>
                <w:szCs w:val="21"/>
                <w:highlight w:val="none"/>
                <w:lang w:val="en-US" w:eastAsia="zh-CN"/>
              </w:rPr>
              <w:t>290</w:t>
            </w:r>
            <w:r>
              <w:rPr>
                <w:rFonts w:hint="eastAsia" w:ascii="宋体" w:hAnsi="宋体" w:cs="宋体"/>
                <w:color w:val="auto"/>
                <w:szCs w:val="21"/>
                <w:highlight w:val="none"/>
              </w:rPr>
              <w:t>日历天。服务期限：自招标人书面通知进场至项目完成竣工验收备案为止，服务周期必须满足实际施工要求和验收要求。</w:t>
            </w:r>
          </w:p>
        </w:tc>
      </w:tr>
      <w:tr w14:paraId="54DA7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59" w:type="dxa"/>
            <w:vAlign w:val="center"/>
          </w:tcPr>
          <w:p w14:paraId="0F3EDAB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613" w:type="dxa"/>
            <w:vAlign w:val="center"/>
          </w:tcPr>
          <w:p w14:paraId="33D971C3">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建筑安装工程费/工程概算</w:t>
            </w:r>
          </w:p>
        </w:tc>
        <w:tc>
          <w:tcPr>
            <w:tcW w:w="5774" w:type="dxa"/>
            <w:vAlign w:val="center"/>
          </w:tcPr>
          <w:p w14:paraId="3C7B7324">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62641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659054F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613" w:type="dxa"/>
            <w:vAlign w:val="center"/>
          </w:tcPr>
          <w:p w14:paraId="4DB588D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774" w:type="dxa"/>
            <w:vAlign w:val="center"/>
          </w:tcPr>
          <w:p w14:paraId="69A7032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1BD8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1B0671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613" w:type="dxa"/>
            <w:vAlign w:val="center"/>
          </w:tcPr>
          <w:p w14:paraId="71F78D1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74" w:type="dxa"/>
            <w:vAlign w:val="center"/>
          </w:tcPr>
          <w:p w14:paraId="30CA4D2C">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59B668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735C61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613" w:type="dxa"/>
            <w:vAlign w:val="center"/>
          </w:tcPr>
          <w:p w14:paraId="19ADBBC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774" w:type="dxa"/>
            <w:vAlign w:val="center"/>
          </w:tcPr>
          <w:p w14:paraId="094B39BF">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3416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59" w:type="dxa"/>
            <w:vAlign w:val="center"/>
          </w:tcPr>
          <w:p w14:paraId="6E1018E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613" w:type="dxa"/>
            <w:vAlign w:val="center"/>
          </w:tcPr>
          <w:p w14:paraId="7F6372F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74" w:type="dxa"/>
            <w:vAlign w:val="center"/>
          </w:tcPr>
          <w:p w14:paraId="6D5EB485">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u w:val="single"/>
              </w:rPr>
              <w:t>自招标人书面通知进场至项目完成竣工验收备案为止，服务周期必须满足实际施工要求和验收要求。</w:t>
            </w:r>
          </w:p>
        </w:tc>
      </w:tr>
      <w:tr w14:paraId="0EE9A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59" w:type="dxa"/>
            <w:vAlign w:val="center"/>
          </w:tcPr>
          <w:p w14:paraId="0DD1F4C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613" w:type="dxa"/>
            <w:vAlign w:val="center"/>
          </w:tcPr>
          <w:p w14:paraId="2FA015F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774" w:type="dxa"/>
            <w:vAlign w:val="center"/>
          </w:tcPr>
          <w:p w14:paraId="0CD8941B">
            <w:pPr>
              <w:pStyle w:val="19"/>
              <w:snapToGrid w:val="0"/>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符合国家和省、市检测和监测规范和规章制度要求。</w:t>
            </w:r>
          </w:p>
        </w:tc>
      </w:tr>
      <w:tr w14:paraId="24D7A2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959" w:type="dxa"/>
            <w:vAlign w:val="center"/>
          </w:tcPr>
          <w:p w14:paraId="33DBB8A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613" w:type="dxa"/>
            <w:vAlign w:val="center"/>
          </w:tcPr>
          <w:p w14:paraId="4590B69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5774" w:type="dxa"/>
            <w:vAlign w:val="center"/>
          </w:tcPr>
          <w:p w14:paraId="33DD37CA">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（1）资质要求：详见招标公告投标人资格要求。</w:t>
            </w:r>
          </w:p>
          <w:p w14:paraId="1F084FB2">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（2）财务要求：/（不作为资格审查内容）</w:t>
            </w:r>
          </w:p>
          <w:p w14:paraId="7A314A93">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（3）业绩要求：/（不作为资格审查内容）</w:t>
            </w:r>
          </w:p>
          <w:p w14:paraId="5778876A">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（4）信誉要求：/（不作为资格审查内容）</w:t>
            </w:r>
          </w:p>
          <w:p w14:paraId="39D74B32">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（5）项目负责人的资格要求：详见招标公告投标人资格要求。</w:t>
            </w:r>
          </w:p>
          <w:p w14:paraId="35AF037E">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（6）其他主要人员要求：/（不作为资格审查内容）</w:t>
            </w:r>
          </w:p>
          <w:p w14:paraId="0F4AF87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（7）试验仪器设备要求：/（不作为资格审查内容）</w:t>
            </w:r>
          </w:p>
          <w:p w14:paraId="3CDBEC5E">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（8）其他要求：见招标公告投标人资格要求。</w:t>
            </w:r>
          </w:p>
        </w:tc>
      </w:tr>
      <w:tr w14:paraId="045B3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59" w:type="dxa"/>
            <w:vAlign w:val="center"/>
          </w:tcPr>
          <w:p w14:paraId="0267F7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613" w:type="dxa"/>
            <w:vAlign w:val="center"/>
          </w:tcPr>
          <w:p w14:paraId="1257D41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774" w:type="dxa"/>
            <w:vAlign w:val="center"/>
          </w:tcPr>
          <w:p w14:paraId="1A8A8542">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□不接受</w:t>
            </w:r>
          </w:p>
          <w:p w14:paraId="755435AF">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■接受，应满足</w:t>
            </w:r>
            <w:r>
              <w:rPr>
                <w:rFonts w:hint="eastAsia" w:ascii="宋体" w:hAnsi="宋体" w:cs="宋体"/>
                <w:color w:val="auto"/>
                <w:szCs w:val="21"/>
                <w:highlight w:val="none"/>
                <w:u w:val="single"/>
              </w:rPr>
              <w:t>招标公告</w:t>
            </w:r>
            <w:r>
              <w:rPr>
                <w:rFonts w:hint="eastAsia" w:ascii="宋体" w:hAnsi="宋体" w:cs="宋体"/>
                <w:color w:val="auto"/>
                <w:szCs w:val="21"/>
                <w:highlight w:val="none"/>
              </w:rPr>
              <w:t>要求</w:t>
            </w:r>
          </w:p>
        </w:tc>
      </w:tr>
      <w:tr w14:paraId="596BDB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959" w:type="dxa"/>
            <w:vAlign w:val="center"/>
          </w:tcPr>
          <w:p w14:paraId="49BDB00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613" w:type="dxa"/>
            <w:vAlign w:val="center"/>
          </w:tcPr>
          <w:p w14:paraId="255F4AD9">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投标人不得存在的其他情形</w:t>
            </w:r>
          </w:p>
        </w:tc>
        <w:tc>
          <w:tcPr>
            <w:tcW w:w="5774" w:type="dxa"/>
            <w:vAlign w:val="center"/>
          </w:tcPr>
          <w:p w14:paraId="26214547">
            <w:pPr>
              <w:pStyle w:val="19"/>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w:t>
            </w:r>
          </w:p>
        </w:tc>
      </w:tr>
      <w:tr w14:paraId="41E66A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59" w:type="dxa"/>
            <w:vAlign w:val="center"/>
          </w:tcPr>
          <w:p w14:paraId="053CC23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613" w:type="dxa"/>
            <w:vAlign w:val="center"/>
          </w:tcPr>
          <w:p w14:paraId="708BE5C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74" w:type="dxa"/>
            <w:vAlign w:val="center"/>
          </w:tcPr>
          <w:p w14:paraId="70C74457">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■不组织</w:t>
            </w:r>
          </w:p>
          <w:p w14:paraId="1C6DBF34">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□组织，踏勘时间：         踏勘集中地点：</w:t>
            </w:r>
          </w:p>
        </w:tc>
      </w:tr>
      <w:tr w14:paraId="298F4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959" w:type="dxa"/>
            <w:vAlign w:val="center"/>
          </w:tcPr>
          <w:p w14:paraId="257EFEE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613" w:type="dxa"/>
            <w:vAlign w:val="center"/>
          </w:tcPr>
          <w:p w14:paraId="45BA3BB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774" w:type="dxa"/>
            <w:vAlign w:val="center"/>
          </w:tcPr>
          <w:p w14:paraId="1F7AFEBF">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■不召开</w:t>
            </w:r>
          </w:p>
          <w:p w14:paraId="7CCD9078">
            <w:pPr>
              <w:spacing w:line="276" w:lineRule="auto"/>
              <w:rPr>
                <w:rFonts w:ascii="宋体" w:hAnsi="宋体" w:cs="宋体"/>
                <w:color w:val="auto"/>
                <w:szCs w:val="21"/>
                <w:highlight w:val="none"/>
              </w:rPr>
            </w:pPr>
            <w:r>
              <w:rPr>
                <w:rFonts w:hint="eastAsia" w:ascii="宋体" w:hAnsi="宋体" w:cs="宋体"/>
                <w:color w:val="auto"/>
                <w:szCs w:val="21"/>
                <w:highlight w:val="none"/>
              </w:rPr>
              <w:t>□召开，召开时间：         召开地点：</w:t>
            </w:r>
          </w:p>
        </w:tc>
      </w:tr>
      <w:tr w14:paraId="46DE5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9" w:type="dxa"/>
            <w:vMerge w:val="restart"/>
            <w:vAlign w:val="center"/>
          </w:tcPr>
          <w:p w14:paraId="46C2AB9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613" w:type="dxa"/>
            <w:vMerge w:val="restart"/>
            <w:vAlign w:val="center"/>
          </w:tcPr>
          <w:p w14:paraId="4D50159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774" w:type="dxa"/>
            <w:vAlign w:val="center"/>
          </w:tcPr>
          <w:p w14:paraId="3FC0C250">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1C7C8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9" w:type="dxa"/>
            <w:vMerge w:val="continue"/>
            <w:vAlign w:val="center"/>
          </w:tcPr>
          <w:p w14:paraId="6B0F8015">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3F5FA95F">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7975439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031507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7AA352B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613" w:type="dxa"/>
            <w:vAlign w:val="center"/>
          </w:tcPr>
          <w:p w14:paraId="52B525A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0C74FE5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  （不召开投标预备会，此为投标预备会的答疑澄清）</w:t>
            </w:r>
          </w:p>
        </w:tc>
      </w:tr>
      <w:tr w14:paraId="3D736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30DD4D90">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1.11</w:t>
            </w:r>
          </w:p>
        </w:tc>
        <w:tc>
          <w:tcPr>
            <w:tcW w:w="2613" w:type="dxa"/>
            <w:vAlign w:val="center"/>
          </w:tcPr>
          <w:p w14:paraId="2F155A8B">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分包</w:t>
            </w:r>
          </w:p>
        </w:tc>
        <w:tc>
          <w:tcPr>
            <w:tcW w:w="5774" w:type="dxa"/>
            <w:vAlign w:val="center"/>
          </w:tcPr>
          <w:p w14:paraId="4FD7D388">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分包项目的检测质量和检测工期由中标单位负责。分包合同原则上由中标单位与分包方签订。该部分检测内容纳入中标单位合同一并进行结算。</w:t>
            </w:r>
          </w:p>
        </w:tc>
      </w:tr>
      <w:tr w14:paraId="67A60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59" w:type="dxa"/>
            <w:vAlign w:val="center"/>
          </w:tcPr>
          <w:p w14:paraId="1B544D0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2613" w:type="dxa"/>
            <w:vAlign w:val="center"/>
          </w:tcPr>
          <w:p w14:paraId="734A4B5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5774" w:type="dxa"/>
            <w:vAlign w:val="center"/>
          </w:tcPr>
          <w:p w14:paraId="50E39CB3">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u w:val="single"/>
              </w:rPr>
              <w:t xml:space="preserve">  /  </w:t>
            </w:r>
          </w:p>
        </w:tc>
      </w:tr>
      <w:tr w14:paraId="4C29E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59" w:type="dxa"/>
            <w:vAlign w:val="center"/>
          </w:tcPr>
          <w:p w14:paraId="353E5FE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2613" w:type="dxa"/>
            <w:vAlign w:val="center"/>
          </w:tcPr>
          <w:p w14:paraId="1F68D41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5774" w:type="dxa"/>
            <w:vAlign w:val="center"/>
          </w:tcPr>
          <w:p w14:paraId="59608D8C">
            <w:pPr>
              <w:spacing w:line="276" w:lineRule="auto"/>
              <w:rPr>
                <w:rFonts w:ascii="宋体" w:hAnsi="宋体" w:cs="宋体"/>
                <w:color w:val="auto"/>
                <w:szCs w:val="21"/>
                <w:highlight w:val="none"/>
              </w:rPr>
            </w:pPr>
            <w:r>
              <w:rPr>
                <w:rFonts w:hint="eastAsia" w:ascii="宋体" w:hAnsi="宋体" w:cs="宋体"/>
                <w:color w:val="auto"/>
                <w:szCs w:val="21"/>
                <w:highlight w:val="none"/>
              </w:rPr>
              <w:t>■不允许</w:t>
            </w:r>
          </w:p>
          <w:p w14:paraId="1EEE7E3B">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□允许，偏差范围：         偏差幅度：</w:t>
            </w:r>
          </w:p>
        </w:tc>
      </w:tr>
      <w:tr w14:paraId="68051F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59" w:type="dxa"/>
            <w:vAlign w:val="center"/>
          </w:tcPr>
          <w:p w14:paraId="215D19E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613" w:type="dxa"/>
            <w:vAlign w:val="center"/>
          </w:tcPr>
          <w:p w14:paraId="4AC76CE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774" w:type="dxa"/>
            <w:vAlign w:val="center"/>
          </w:tcPr>
          <w:p w14:paraId="74CD2A9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5DA5C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959" w:type="dxa"/>
            <w:vAlign w:val="center"/>
          </w:tcPr>
          <w:p w14:paraId="5F988AA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613" w:type="dxa"/>
            <w:vAlign w:val="center"/>
          </w:tcPr>
          <w:p w14:paraId="136CFA0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774" w:type="dxa"/>
            <w:vAlign w:val="center"/>
          </w:tcPr>
          <w:p w14:paraId="0B2E8530">
            <w:pPr>
              <w:snapToGrid w:val="0"/>
              <w:spacing w:line="276" w:lineRule="auto"/>
              <w:rPr>
                <w:rFonts w:ascii="宋体" w:hAnsi="宋体"/>
                <w:color w:val="auto"/>
                <w:szCs w:val="21"/>
                <w:highlight w:val="none"/>
              </w:rPr>
            </w:pPr>
            <w:r>
              <w:rPr>
                <w:rFonts w:hint="eastAsia" w:ascii="宋体" w:hAnsi="宋体"/>
                <w:color w:val="auto"/>
                <w:szCs w:val="21"/>
                <w:highlight w:val="none"/>
              </w:rPr>
              <w:t>时间：提交投标文件截止时间18天前提出</w:t>
            </w:r>
          </w:p>
          <w:p w14:paraId="13BAABF4">
            <w:pPr>
              <w:snapToGrid w:val="0"/>
              <w:spacing w:line="276" w:lineRule="auto"/>
              <w:rPr>
                <w:rFonts w:ascii="宋体" w:hAnsi="宋体"/>
                <w:color w:val="auto"/>
                <w:szCs w:val="21"/>
                <w:highlight w:val="none"/>
              </w:rPr>
            </w:pPr>
            <w:r>
              <w:rPr>
                <w:rFonts w:hint="eastAsia" w:ascii="宋体" w:hAnsi="宋体"/>
                <w:color w:val="auto"/>
                <w:szCs w:val="21"/>
                <w:highlight w:val="none"/>
              </w:rPr>
              <w:t>形式：投标人疑问通过网上提交。</w:t>
            </w:r>
          </w:p>
          <w:p w14:paraId="3AB6CD29">
            <w:pPr>
              <w:pStyle w:val="19"/>
              <w:snapToGrid w:val="0"/>
              <w:spacing w:after="0" w:line="276" w:lineRule="auto"/>
              <w:rPr>
                <w:rFonts w:ascii="宋体" w:hAnsi="宋体" w:cs="宋体"/>
                <w:color w:val="auto"/>
                <w:szCs w:val="21"/>
                <w:highlight w:val="none"/>
              </w:rPr>
            </w:pPr>
            <w:r>
              <w:rPr>
                <w:rFonts w:hint="eastAsia" w:ascii="宋体" w:hAnsi="宋体"/>
                <w:color w:val="auto"/>
                <w:szCs w:val="21"/>
                <w:highlight w:val="none"/>
              </w:rPr>
              <w:t>网上答疑的操作指南为：登陆广州公共资源交易中心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14:paraId="2BE3BE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vAlign w:val="center"/>
          </w:tcPr>
          <w:p w14:paraId="4E38219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613" w:type="dxa"/>
            <w:vAlign w:val="center"/>
          </w:tcPr>
          <w:p w14:paraId="1AFB39F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0ED41B4A">
            <w:pPr>
              <w:pStyle w:val="19"/>
              <w:snapToGrid w:val="0"/>
              <w:spacing w:after="0" w:line="276" w:lineRule="auto"/>
              <w:ind w:firstLine="0"/>
              <w:rPr>
                <w:rFonts w:ascii="宋体" w:hAnsi="宋体" w:cs="宋体"/>
                <w:color w:val="auto"/>
                <w:szCs w:val="21"/>
                <w:highlight w:val="none"/>
                <w:u w:val="single"/>
              </w:rPr>
            </w:pPr>
            <w:r>
              <w:rPr>
                <w:rFonts w:hint="eastAsia" w:ascii="宋体" w:hAnsi="宋体" w:cs="宋体"/>
                <w:color w:val="auto"/>
                <w:szCs w:val="21"/>
                <w:highlight w:val="none"/>
                <w:u w:val="single"/>
              </w:rPr>
              <w:t>招标人应在投标截止时间15日前解答投标人对招标文件提出的疑问，在广州交易集团有限公司（广州公共资源交易中心）网站项目答疑专区发布。</w:t>
            </w:r>
          </w:p>
        </w:tc>
      </w:tr>
      <w:tr w14:paraId="17690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959" w:type="dxa"/>
            <w:vMerge w:val="restart"/>
            <w:vAlign w:val="center"/>
          </w:tcPr>
          <w:p w14:paraId="3D3E6C7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613" w:type="dxa"/>
            <w:vMerge w:val="restart"/>
            <w:vAlign w:val="center"/>
          </w:tcPr>
          <w:p w14:paraId="68AE4AF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5774" w:type="dxa"/>
            <w:vAlign w:val="center"/>
          </w:tcPr>
          <w:p w14:paraId="08D8B407">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0BA3D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59" w:type="dxa"/>
            <w:vMerge w:val="continue"/>
            <w:vAlign w:val="center"/>
          </w:tcPr>
          <w:p w14:paraId="1BA1A0C0">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637FC499">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52DA1538">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14:paraId="519D9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Align w:val="center"/>
          </w:tcPr>
          <w:p w14:paraId="75A9C1B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613" w:type="dxa"/>
            <w:vAlign w:val="center"/>
          </w:tcPr>
          <w:p w14:paraId="1445A30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774" w:type="dxa"/>
            <w:vAlign w:val="center"/>
          </w:tcPr>
          <w:p w14:paraId="2FA7E98A">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74240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Merge w:val="restart"/>
            <w:vAlign w:val="center"/>
          </w:tcPr>
          <w:p w14:paraId="321F74E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613" w:type="dxa"/>
            <w:vMerge w:val="restart"/>
            <w:vAlign w:val="center"/>
          </w:tcPr>
          <w:p w14:paraId="0E910A8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774" w:type="dxa"/>
            <w:vAlign w:val="center"/>
          </w:tcPr>
          <w:p w14:paraId="34826FDC">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28993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Merge w:val="continue"/>
            <w:vAlign w:val="center"/>
          </w:tcPr>
          <w:p w14:paraId="0EC94DF6">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3E4A8A54">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2F9D2483">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40F27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Align w:val="center"/>
          </w:tcPr>
          <w:p w14:paraId="1868A207">
            <w:pPr>
              <w:keepNext/>
              <w:keepLines/>
              <w:snapToGrid w:val="0"/>
              <w:spacing w:line="276" w:lineRule="auto"/>
              <w:jc w:val="center"/>
              <w:outlineLvl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2613" w:type="dxa"/>
            <w:vAlign w:val="center"/>
          </w:tcPr>
          <w:p w14:paraId="7C5AB6F5">
            <w:pPr>
              <w:keepNext/>
              <w:keepLines/>
              <w:snapToGrid w:val="0"/>
              <w:spacing w:line="276" w:lineRule="auto"/>
              <w:jc w:val="center"/>
              <w:outlineLvl w:val="2"/>
              <w:rPr>
                <w:rFonts w:ascii="宋体" w:hAnsi="宋体" w:cs="宋体"/>
                <w:color w:val="auto"/>
                <w:szCs w:val="21"/>
                <w:highlight w:val="none"/>
              </w:rPr>
            </w:pPr>
            <w:r>
              <w:rPr>
                <w:rFonts w:hint="eastAsia"/>
                <w:color w:val="auto"/>
                <w:sz w:val="21"/>
                <w:szCs w:val="21"/>
                <w:highlight w:val="none"/>
              </w:rPr>
              <w:t>投标文件的组成</w:t>
            </w:r>
          </w:p>
        </w:tc>
        <w:tc>
          <w:tcPr>
            <w:tcW w:w="5774" w:type="dxa"/>
            <w:vAlign w:val="center"/>
          </w:tcPr>
          <w:p w14:paraId="727D0BB8">
            <w:pPr>
              <w:spacing w:line="360" w:lineRule="auto"/>
              <w:rPr>
                <w:rFonts w:hint="eastAsia" w:cs="Calibri"/>
                <w:color w:val="auto"/>
                <w:sz w:val="21"/>
                <w:szCs w:val="21"/>
                <w:highlight w:val="none"/>
                <w:u w:val="single"/>
              </w:rPr>
            </w:pPr>
            <w:r>
              <w:rPr>
                <w:rFonts w:hint="eastAsia" w:cs="Calibri"/>
                <w:color w:val="auto"/>
                <w:sz w:val="21"/>
                <w:szCs w:val="21"/>
                <w:highlight w:val="none"/>
                <w:u w:val="single"/>
              </w:rPr>
              <w:t>投标文件由评标部分及定标部分两部分组成。</w:t>
            </w:r>
          </w:p>
          <w:p w14:paraId="5A59C0F1">
            <w:pPr>
              <w:spacing w:line="360" w:lineRule="auto"/>
              <w:rPr>
                <w:rFonts w:cs="Calibri"/>
                <w:color w:val="auto"/>
                <w:sz w:val="21"/>
                <w:szCs w:val="21"/>
                <w:highlight w:val="none"/>
                <w:u w:val="single"/>
              </w:rPr>
            </w:pPr>
            <w:r>
              <w:rPr>
                <w:rFonts w:hint="eastAsia"/>
                <w:color w:val="auto"/>
                <w:sz w:val="21"/>
                <w:szCs w:val="21"/>
                <w:highlight w:val="none"/>
                <w:u w:val="single"/>
              </w:rPr>
              <w:t>1、投标文件详见第</w:t>
            </w:r>
            <w:r>
              <w:rPr>
                <w:rFonts w:hint="eastAsia"/>
                <w:color w:val="auto"/>
                <w:sz w:val="21"/>
                <w:szCs w:val="21"/>
                <w:highlight w:val="none"/>
                <w:u w:val="single"/>
                <w:lang w:val="en-US" w:eastAsia="zh-CN"/>
              </w:rPr>
              <w:t>七</w:t>
            </w:r>
            <w:r>
              <w:rPr>
                <w:rFonts w:hint="eastAsia"/>
                <w:color w:val="auto"/>
                <w:sz w:val="21"/>
                <w:szCs w:val="21"/>
                <w:highlight w:val="none"/>
                <w:u w:val="single"/>
              </w:rPr>
              <w:t>章《投标文件格式》要求，投标人提交的投标文件应当使用招标文件所提供的投标格式文件的格式，无提供格式的内容投标人自行定义格式（表格可以按同样格式扩展）。</w:t>
            </w:r>
          </w:p>
          <w:p w14:paraId="3FF6C168">
            <w:pPr>
              <w:spacing w:line="276" w:lineRule="auto"/>
              <w:rPr>
                <w:rFonts w:hint="eastAsia" w:ascii="宋体" w:hAnsi="宋体" w:cs="宋体"/>
                <w:color w:val="auto"/>
                <w:szCs w:val="21"/>
                <w:highlight w:val="none"/>
              </w:rPr>
            </w:pPr>
            <w:r>
              <w:rPr>
                <w:rFonts w:hint="eastAsia"/>
                <w:color w:val="auto"/>
                <w:sz w:val="21"/>
                <w:szCs w:val="21"/>
                <w:highlight w:val="none"/>
                <w:u w:val="single"/>
              </w:rPr>
              <w:t>2、投标文件（定标部分）根据《定标因素表》（详见第三章）评审内容进行编制。</w:t>
            </w:r>
          </w:p>
        </w:tc>
      </w:tr>
      <w:tr w14:paraId="7B29FD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E3A4AB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613" w:type="dxa"/>
            <w:vAlign w:val="center"/>
          </w:tcPr>
          <w:p w14:paraId="74E6B92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5774" w:type="dxa"/>
            <w:vAlign w:val="center"/>
          </w:tcPr>
          <w:p w14:paraId="25291ACB">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按国家税务机关的规定执行。</w:t>
            </w:r>
          </w:p>
        </w:tc>
      </w:tr>
      <w:tr w14:paraId="3E079C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29BF357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613" w:type="dxa"/>
            <w:vAlign w:val="center"/>
          </w:tcPr>
          <w:p w14:paraId="69744D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74" w:type="dxa"/>
            <w:vAlign w:val="center"/>
          </w:tcPr>
          <w:p w14:paraId="0D19A0E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自行报价（以“元”为单位，精确到小数位后2位）。</w:t>
            </w:r>
          </w:p>
        </w:tc>
      </w:tr>
      <w:tr w14:paraId="10CF2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59" w:type="dxa"/>
            <w:vAlign w:val="center"/>
          </w:tcPr>
          <w:p w14:paraId="0D6F0AA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613" w:type="dxa"/>
            <w:vAlign w:val="center"/>
          </w:tcPr>
          <w:p w14:paraId="4CF05CE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774" w:type="dxa"/>
            <w:vAlign w:val="center"/>
          </w:tcPr>
          <w:p w14:paraId="0ECAD663">
            <w:pPr>
              <w:tabs>
                <w:tab w:val="left" w:pos="7513"/>
              </w:tabs>
              <w:spacing w:line="276" w:lineRule="auto"/>
              <w:rPr>
                <w:rFonts w:ascii="宋体" w:hAnsi="宋体" w:cs="宋体"/>
                <w:color w:val="auto"/>
                <w:szCs w:val="21"/>
                <w:highlight w:val="none"/>
              </w:rPr>
            </w:pPr>
            <w:r>
              <w:rPr>
                <w:rFonts w:hint="eastAsia" w:ascii="宋体" w:hAnsi="宋体" w:cs="宋体"/>
                <w:color w:val="auto"/>
                <w:szCs w:val="21"/>
                <w:highlight w:val="none"/>
              </w:rPr>
              <w:t>□无</w:t>
            </w:r>
          </w:p>
          <w:p w14:paraId="319F4591">
            <w:pPr>
              <w:tabs>
                <w:tab w:val="left" w:pos="7513"/>
              </w:tabs>
              <w:spacing w:line="276" w:lineRule="auto"/>
              <w:rPr>
                <w:rFonts w:ascii="宋体" w:hAnsi="宋体"/>
                <w:color w:val="auto"/>
                <w:szCs w:val="21"/>
                <w:highlight w:val="none"/>
                <w:u w:val="single"/>
              </w:rPr>
            </w:pPr>
            <w:r>
              <w:rPr>
                <w:rFonts w:hint="eastAsia" w:ascii="宋体" w:hAnsi="宋体" w:cs="宋体"/>
                <w:color w:val="auto"/>
                <w:szCs w:val="21"/>
                <w:highlight w:val="none"/>
              </w:rPr>
              <w:t>■有，最高投标限价</w:t>
            </w:r>
            <w:bookmarkStart w:id="31" w:name="OLE_LINK1"/>
            <w:r>
              <w:rPr>
                <w:rFonts w:hint="eastAsia" w:ascii="宋体" w:hAnsi="宋体" w:cs="宋体"/>
                <w:color w:val="auto"/>
                <w:szCs w:val="21"/>
                <w:highlight w:val="none"/>
              </w:rPr>
              <w:t>（总价）</w:t>
            </w:r>
            <w:bookmarkEnd w:id="31"/>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1405120.23</w:t>
            </w:r>
            <w:r>
              <w:rPr>
                <w:rFonts w:hint="eastAsia" w:ascii="宋体" w:hAnsi="宋体" w:cs="宋体"/>
                <w:color w:val="auto"/>
                <w:szCs w:val="21"/>
                <w:highlight w:val="none"/>
                <w:u w:val="single"/>
              </w:rPr>
              <w:t>元。</w:t>
            </w:r>
          </w:p>
          <w:p w14:paraId="3091C0F3">
            <w:pPr>
              <w:tabs>
                <w:tab w:val="left" w:pos="7513"/>
              </w:tabs>
              <w:rPr>
                <w:rFonts w:ascii="宋体" w:hAnsi="宋体" w:cs="宋体"/>
                <w:color w:val="auto"/>
                <w:szCs w:val="21"/>
                <w:highlight w:val="none"/>
                <w:u w:val="single"/>
              </w:rPr>
            </w:pPr>
            <w:r>
              <w:rPr>
                <w:rFonts w:hint="eastAsia" w:ascii="宋体" w:hAnsi="宋体" w:cs="宋体"/>
                <w:color w:val="auto"/>
                <w:szCs w:val="21"/>
                <w:highlight w:val="none"/>
                <w:u w:val="single"/>
              </w:rPr>
              <w:t>注：投标人在总价以内（含本数）自行填报投标价及投标下浮率，超出最高投标限价的报价做废标处理。</w:t>
            </w:r>
          </w:p>
          <w:p w14:paraId="6C20FD22">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3ED5DF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959" w:type="dxa"/>
            <w:vAlign w:val="center"/>
          </w:tcPr>
          <w:p w14:paraId="6D7175E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3.2.5</w:t>
            </w:r>
          </w:p>
        </w:tc>
        <w:tc>
          <w:tcPr>
            <w:tcW w:w="2613" w:type="dxa"/>
            <w:vAlign w:val="center"/>
          </w:tcPr>
          <w:p w14:paraId="0C79B4A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774" w:type="dxa"/>
            <w:vAlign w:val="center"/>
          </w:tcPr>
          <w:p w14:paraId="41993B5B">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本项目投标价及下浮率：投标价以发布的项目控制价（详见招标文件）乘以中标人的投标报价下浮率计算，投标下浮率为投标人投标总报价相对于最高投标限价（招标控制价）的投标下浮率。</w:t>
            </w:r>
          </w:p>
          <w:p w14:paraId="739CA463">
            <w:pPr>
              <w:tabs>
                <w:tab w:val="left" w:pos="7513"/>
              </w:tabs>
              <w:spacing w:line="276" w:lineRule="auto"/>
              <w:rPr>
                <w:color w:val="auto"/>
                <w:highlight w:val="none"/>
              </w:rPr>
            </w:pPr>
            <w:r>
              <w:rPr>
                <w:rFonts w:hint="eastAsia" w:ascii="宋体" w:hAnsi="宋体" w:eastAsia="宋体" w:cs="宋体"/>
                <w:color w:val="auto"/>
                <w:szCs w:val="21"/>
                <w:highlight w:val="none"/>
                <w:u w:val="single"/>
              </w:rPr>
              <w:t>本合同工程量以实际发生（按</w:t>
            </w:r>
            <w:r>
              <w:rPr>
                <w:rFonts w:hint="eastAsia" w:ascii="宋体" w:hAnsi="宋体" w:cs="宋体"/>
                <w:color w:val="auto"/>
                <w:szCs w:val="21"/>
                <w:highlight w:val="none"/>
                <w:u w:val="single"/>
                <w:lang w:val="en-US" w:eastAsia="zh-CN"/>
              </w:rPr>
              <w:t>招标人</w:t>
            </w:r>
            <w:r>
              <w:rPr>
                <w:rFonts w:hint="eastAsia" w:ascii="宋体" w:hAnsi="宋体" w:eastAsia="宋体" w:cs="宋体"/>
                <w:color w:val="auto"/>
                <w:szCs w:val="21"/>
                <w:highlight w:val="none"/>
                <w:u w:val="single"/>
              </w:rPr>
              <w:t>、监理人、受托人确认）进行计算，结算时依据实际工程量×收费标准单价×（1-投标下浮率）结算，如结算价超过合同暂定价的，则按合同暂定价为最终结算价。</w:t>
            </w:r>
          </w:p>
          <w:p w14:paraId="2412224B">
            <w:pPr>
              <w:snapToGrid w:val="0"/>
              <w:rPr>
                <w:rFonts w:ascii="宋体" w:hAnsi="宋体" w:cs="宋体"/>
                <w:color w:val="auto"/>
                <w:szCs w:val="21"/>
                <w:highlight w:val="none"/>
              </w:rPr>
            </w:pPr>
            <w:r>
              <w:rPr>
                <w:rFonts w:hint="eastAsia" w:ascii="宋体" w:hAnsi="宋体" w:cs="宋体"/>
                <w:color w:val="auto"/>
                <w:szCs w:val="21"/>
                <w:highlight w:val="none"/>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785AE452">
            <w:pPr>
              <w:snapToGrid w:val="0"/>
              <w:rPr>
                <w:rFonts w:hint="eastAsia" w:ascii="宋体" w:hAnsi="宋体" w:eastAsia="宋体" w:cs="宋体"/>
                <w:color w:val="auto"/>
                <w:szCs w:val="21"/>
                <w:highlight w:val="none"/>
              </w:rPr>
            </w:pPr>
            <w:r>
              <w:rPr>
                <w:rFonts w:hint="eastAsia" w:ascii="宋体" w:hAnsi="宋体" w:cs="宋体"/>
                <w:color w:val="auto"/>
                <w:szCs w:val="21"/>
                <w:highlight w:val="none"/>
              </w:rPr>
              <w:t>4、项目实际发生的工程量单价按不超过《广东省房屋建筑和市政工程质量安全检测收费指导价（第一批）》（粤建检协〔2015〕8号）、《广东省既有房屋建筑安全性鉴定收费指导价》的通知（粤建检协〔2015〕8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广东省绿色建筑计价指引》（</w:t>
            </w:r>
            <w:r>
              <w:rPr>
                <w:rFonts w:hint="eastAsia" w:ascii="宋体" w:hAnsi="宋体" w:cs="宋体"/>
                <w:color w:val="auto"/>
                <w:szCs w:val="21"/>
                <w:highlight w:val="none"/>
              </w:rPr>
              <w:t>粤建</w:t>
            </w:r>
            <w:r>
              <w:rPr>
                <w:rFonts w:hint="eastAsia" w:ascii="宋体" w:hAnsi="宋体" w:cs="宋体"/>
                <w:color w:val="auto"/>
                <w:szCs w:val="21"/>
                <w:highlight w:val="none"/>
                <w:lang w:val="en-US" w:eastAsia="zh-CN"/>
              </w:rPr>
              <w:t>标</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w:t>
            </w:r>
            <w:r>
              <w:rPr>
                <w:rFonts w:hint="eastAsia" w:ascii="宋体" w:hAnsi="宋体" w:eastAsia="宋体" w:cs="宋体"/>
                <w:color w:val="auto"/>
                <w:szCs w:val="21"/>
                <w:highlight w:val="none"/>
              </w:rPr>
              <w:t>商确定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最终以评审审定为准，结算时按中标人投标时的下浮率结合合同相关条款进行结算，如结算价超过合同暂定价的，则按合同暂定价为最终结算价。</w:t>
            </w:r>
          </w:p>
          <w:p w14:paraId="2FB5EA56">
            <w:pPr>
              <w:snapToGrid w:val="0"/>
              <w:rPr>
                <w:rFonts w:ascii="宋体" w:hAnsi="宋体" w:cs="宋体"/>
                <w:color w:val="auto"/>
                <w:szCs w:val="21"/>
                <w:highlight w:val="none"/>
              </w:rPr>
            </w:pPr>
            <w:r>
              <w:rPr>
                <w:rFonts w:hint="eastAsia" w:ascii="宋体" w:hAnsi="宋体" w:cs="宋体"/>
                <w:color w:val="auto"/>
                <w:szCs w:val="21"/>
                <w:highlight w:val="none"/>
              </w:rPr>
              <w:t>5、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2A28F97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6、检测服务的工作量根据经招标人批准的检测方案，并结合现场实际情况由招标人、监理人、中标人三方进行签证确认，中标人自行增加的额外工作量将不被承认，最终以番禺区财政评审机构审定为准结算。</w:t>
            </w:r>
          </w:p>
        </w:tc>
      </w:tr>
      <w:tr w14:paraId="6E99E2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4DE560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613" w:type="dxa"/>
            <w:vAlign w:val="center"/>
          </w:tcPr>
          <w:p w14:paraId="424A555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774" w:type="dxa"/>
            <w:vAlign w:val="center"/>
          </w:tcPr>
          <w:p w14:paraId="43E2A25F">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14:paraId="6BF90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15088FD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613" w:type="dxa"/>
            <w:vAlign w:val="center"/>
          </w:tcPr>
          <w:p w14:paraId="4BB09B2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774" w:type="dxa"/>
            <w:vAlign w:val="center"/>
          </w:tcPr>
          <w:p w14:paraId="60B5CA4D">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是否要求投标人递交投标保证金：</w:t>
            </w:r>
          </w:p>
          <w:p w14:paraId="34D086BA">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要求</w:t>
            </w:r>
          </w:p>
          <w:p w14:paraId="2D6798EA">
            <w:pPr>
              <w:pStyle w:val="9"/>
              <w:topLinePunct/>
              <w:snapToGrid w:val="0"/>
              <w:spacing w:line="276" w:lineRule="auto"/>
              <w:rPr>
                <w:rFonts w:hAnsi="宋体" w:cs="宋体"/>
                <w:color w:val="auto"/>
                <w:sz w:val="21"/>
                <w:szCs w:val="21"/>
                <w:highlight w:val="none"/>
              </w:rPr>
            </w:pPr>
            <w:r>
              <w:rPr>
                <w:rFonts w:hint="eastAsia" w:hAnsi="宋体" w:cs="宋体"/>
                <w:b/>
                <w:color w:val="auto"/>
                <w:sz w:val="21"/>
                <w:szCs w:val="21"/>
                <w:highlight w:val="none"/>
              </w:rPr>
              <w:t>■</w:t>
            </w:r>
            <w:r>
              <w:rPr>
                <w:rFonts w:hint="eastAsia" w:hAnsi="宋体" w:cs="宋体"/>
                <w:color w:val="auto"/>
                <w:sz w:val="21"/>
                <w:szCs w:val="21"/>
                <w:highlight w:val="none"/>
              </w:rPr>
              <w:t>不要求</w:t>
            </w:r>
          </w:p>
          <w:p w14:paraId="74828BD2">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1.本项目免收投标保证金，具体规定如下：提供《关于投标保证金的承诺》（详见第七章）。</w:t>
            </w:r>
          </w:p>
          <w:p w14:paraId="5206DABC">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2.对于投标人已提供《关于投标保证金的承诺》，若投标人存在3.4.4条款所列情形，该投标人应在发现存在3.4.4条款所列情形之日起5个工作日内补交人民币</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万元投标保证金；若未按要求补交投标保证金的将暂停其参与招标人后续工程投标，直至完成补交手续为止。</w:t>
            </w:r>
          </w:p>
        </w:tc>
      </w:tr>
      <w:tr w14:paraId="1C18D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1E54478C">
            <w:pPr>
              <w:snapToGrid w:val="0"/>
              <w:spacing w:line="276" w:lineRule="auto"/>
              <w:jc w:val="center"/>
              <w:rPr>
                <w:rFonts w:ascii="宋体" w:hAnsi="宋体" w:cs="宋体"/>
                <w:color w:val="auto"/>
                <w:szCs w:val="21"/>
                <w:highlight w:val="none"/>
              </w:rPr>
            </w:pPr>
            <w:r>
              <w:rPr>
                <w:rFonts w:ascii="宋体" w:hAnsi="宋体"/>
                <w:color w:val="auto"/>
                <w:szCs w:val="21"/>
                <w:highlight w:val="none"/>
              </w:rPr>
              <w:t>3.4.4</w:t>
            </w:r>
          </w:p>
        </w:tc>
        <w:tc>
          <w:tcPr>
            <w:tcW w:w="2613" w:type="dxa"/>
            <w:vAlign w:val="center"/>
          </w:tcPr>
          <w:p w14:paraId="54520B88">
            <w:pPr>
              <w:snapToGrid w:val="0"/>
              <w:spacing w:line="276" w:lineRule="auto"/>
              <w:jc w:val="center"/>
              <w:rPr>
                <w:rFonts w:ascii="宋体" w:hAnsi="宋体" w:cs="宋体"/>
                <w:color w:val="auto"/>
                <w:szCs w:val="21"/>
                <w:highlight w:val="none"/>
              </w:rPr>
            </w:pPr>
            <w:r>
              <w:rPr>
                <w:rFonts w:ascii="宋体" w:hAnsi="宋体"/>
                <w:color w:val="auto"/>
                <w:szCs w:val="21"/>
                <w:highlight w:val="none"/>
              </w:rPr>
              <w:t>其他可以不予退还投标保证金的情形</w:t>
            </w:r>
          </w:p>
        </w:tc>
        <w:tc>
          <w:tcPr>
            <w:tcW w:w="5774" w:type="dxa"/>
            <w:vAlign w:val="center"/>
          </w:tcPr>
          <w:p w14:paraId="271D6374">
            <w:pPr>
              <w:spacing w:line="276" w:lineRule="auto"/>
              <w:rPr>
                <w:rFonts w:ascii="宋体" w:hAnsi="宋体" w:cs="宋体"/>
                <w:color w:val="auto"/>
                <w:szCs w:val="21"/>
                <w:highlight w:val="none"/>
              </w:rPr>
            </w:pPr>
            <w:r>
              <w:rPr>
                <w:rFonts w:hint="eastAsia" w:ascii="宋体" w:hAnsi="宋体" w:cs="宋体"/>
                <w:color w:val="auto"/>
                <w:szCs w:val="21"/>
                <w:highlight w:val="none"/>
              </w:rPr>
              <w:t>（1）若在中标通知书发放后15个日历天内，中标人未提交履约担保且未征得招标人同意延期缴交的，招标人有权取消其中标资格并没收其</w:t>
            </w:r>
            <w:r>
              <w:rPr>
                <w:rFonts w:hint="eastAsia" w:hAnsi="宋体" w:cs="宋体"/>
                <w:color w:val="auto"/>
                <w:sz w:val="21"/>
                <w:szCs w:val="21"/>
                <w:highlight w:val="none"/>
              </w:rPr>
              <w:t>补交的</w:t>
            </w:r>
            <w:r>
              <w:rPr>
                <w:rFonts w:hint="eastAsia" w:ascii="宋体" w:hAnsi="宋体" w:cs="宋体"/>
                <w:color w:val="auto"/>
                <w:szCs w:val="21"/>
                <w:highlight w:val="none"/>
              </w:rPr>
              <w:t>投标保证金，并由其他中标候选人顺次序替补。</w:t>
            </w:r>
          </w:p>
          <w:p w14:paraId="6ABB66DF">
            <w:pPr>
              <w:spacing w:line="276" w:lineRule="auto"/>
              <w:rPr>
                <w:rFonts w:ascii="宋体" w:hAnsi="宋体" w:cs="宋体"/>
                <w:color w:val="auto"/>
                <w:szCs w:val="21"/>
                <w:highlight w:val="none"/>
              </w:rPr>
            </w:pPr>
            <w:r>
              <w:rPr>
                <w:rFonts w:hint="eastAsia" w:ascii="宋体" w:hAnsi="宋体" w:cs="宋体"/>
                <w:color w:val="auto"/>
                <w:szCs w:val="21"/>
                <w:highlight w:val="none"/>
              </w:rPr>
              <w:t>（2）中标通知书自广州公共资源交易中心交易平台发出之日，视作中标人确认收到。</w:t>
            </w:r>
          </w:p>
          <w:p w14:paraId="7F28945D">
            <w:pPr>
              <w:spacing w:line="276" w:lineRule="auto"/>
              <w:rPr>
                <w:rFonts w:ascii="宋体" w:hAnsi="宋体" w:cs="宋体"/>
                <w:color w:val="auto"/>
                <w:szCs w:val="21"/>
                <w:highlight w:val="none"/>
              </w:rPr>
            </w:pPr>
            <w:r>
              <w:rPr>
                <w:rFonts w:hint="eastAsia" w:ascii="宋体" w:hAnsi="宋体" w:cs="宋体"/>
                <w:color w:val="auto"/>
                <w:szCs w:val="21"/>
                <w:highlight w:val="none"/>
              </w:rPr>
              <w:t>（3）投标人采用不正当的手段，骗取中标，经查实的，招标人有权取消其中标资格，并由其他中标候选人顺次序替补。</w:t>
            </w:r>
          </w:p>
          <w:p w14:paraId="642C6958">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（4）中标人在发放中标通知书后</w:t>
            </w:r>
            <w:r>
              <w:rPr>
                <w:rFonts w:hint="eastAsia" w:hAnsi="宋体" w:cs="宋体"/>
                <w:color w:val="auto"/>
                <w:sz w:val="21"/>
                <w:szCs w:val="21"/>
                <w:highlight w:val="none"/>
                <w:u w:val="single"/>
              </w:rPr>
              <w:t>30</w:t>
            </w:r>
            <w:r>
              <w:rPr>
                <w:rFonts w:hint="eastAsia" w:hAnsi="宋体" w:cs="宋体"/>
                <w:color w:val="auto"/>
                <w:sz w:val="21"/>
                <w:szCs w:val="21"/>
                <w:highlight w:val="none"/>
              </w:rPr>
              <w:t>个日历天内，无正当理由不与招标人订立合同，在签订合同时向招标人提出附加条件的，招标人有权取消其中标资格并没收其补交的投标保证金，并由其他中标候选人顺次序替补。</w:t>
            </w:r>
          </w:p>
        </w:tc>
      </w:tr>
      <w:tr w14:paraId="55C8D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959" w:type="dxa"/>
            <w:vAlign w:val="center"/>
          </w:tcPr>
          <w:p w14:paraId="5472426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613" w:type="dxa"/>
            <w:vAlign w:val="center"/>
          </w:tcPr>
          <w:p w14:paraId="33E6C6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5774" w:type="dxa"/>
            <w:vAlign w:val="center"/>
          </w:tcPr>
          <w:p w14:paraId="4F027C65">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■无</w:t>
            </w:r>
          </w:p>
          <w:p w14:paraId="6D4CCD33">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有，具体要求：</w:t>
            </w:r>
            <w:r>
              <w:rPr>
                <w:rFonts w:hint="eastAsia" w:hAnsi="宋体"/>
                <w:color w:val="auto"/>
                <w:spacing w:val="-1"/>
                <w:sz w:val="21"/>
                <w:szCs w:val="21"/>
                <w:highlight w:val="none"/>
              </w:rPr>
              <w:t>/</w:t>
            </w:r>
          </w:p>
        </w:tc>
      </w:tr>
      <w:tr w14:paraId="0D52EA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59" w:type="dxa"/>
            <w:vAlign w:val="center"/>
          </w:tcPr>
          <w:p w14:paraId="5B2F816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613" w:type="dxa"/>
            <w:vAlign w:val="center"/>
          </w:tcPr>
          <w:p w14:paraId="10734EE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774" w:type="dxa"/>
            <w:vAlign w:val="center"/>
          </w:tcPr>
          <w:p w14:paraId="6F911E95">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tc>
      </w:tr>
      <w:tr w14:paraId="65CB03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59" w:type="dxa"/>
            <w:vAlign w:val="center"/>
          </w:tcPr>
          <w:p w14:paraId="49D1C28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613" w:type="dxa"/>
            <w:vAlign w:val="center"/>
          </w:tcPr>
          <w:p w14:paraId="61FE9DE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5774" w:type="dxa"/>
            <w:vAlign w:val="center"/>
          </w:tcPr>
          <w:p w14:paraId="711ABDF5">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tc>
      </w:tr>
      <w:tr w14:paraId="6D368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959" w:type="dxa"/>
            <w:vAlign w:val="center"/>
          </w:tcPr>
          <w:p w14:paraId="544B70E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3.5.5</w:t>
            </w:r>
          </w:p>
        </w:tc>
        <w:tc>
          <w:tcPr>
            <w:tcW w:w="2613" w:type="dxa"/>
            <w:vAlign w:val="center"/>
          </w:tcPr>
          <w:p w14:paraId="1CAAA13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5774" w:type="dxa"/>
            <w:vAlign w:val="center"/>
          </w:tcPr>
          <w:p w14:paraId="4BD66137">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14:paraId="41CCC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959" w:type="dxa"/>
            <w:vAlign w:val="center"/>
          </w:tcPr>
          <w:p w14:paraId="5DF64F9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613" w:type="dxa"/>
            <w:vAlign w:val="center"/>
          </w:tcPr>
          <w:p w14:paraId="1B0C5FB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74" w:type="dxa"/>
            <w:vAlign w:val="center"/>
          </w:tcPr>
          <w:p w14:paraId="20DB8D32">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14:paraId="184C477C">
            <w:pPr>
              <w:spacing w:line="276" w:lineRule="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允许</w:t>
            </w:r>
          </w:p>
        </w:tc>
      </w:tr>
      <w:tr w14:paraId="4A5979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959" w:type="dxa"/>
            <w:vAlign w:val="center"/>
          </w:tcPr>
          <w:p w14:paraId="6212945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506038B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774" w:type="dxa"/>
            <w:vAlign w:val="center"/>
          </w:tcPr>
          <w:p w14:paraId="74CB0BD4">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证书证件需为原件清晰扫描件，并采用单位数字证书，按照招标文件要求在相应位置加盖电子印章。</w:t>
            </w:r>
          </w:p>
        </w:tc>
      </w:tr>
      <w:tr w14:paraId="67468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4D82F63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5E125E0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774" w:type="dxa"/>
            <w:vAlign w:val="center"/>
          </w:tcPr>
          <w:p w14:paraId="1AFC3308">
            <w:pPr>
              <w:pStyle w:val="9"/>
              <w:topLinePunct/>
              <w:snapToGrid w:val="0"/>
              <w:spacing w:line="276" w:lineRule="auto"/>
              <w:rPr>
                <w:rFonts w:hint="default" w:hAnsi="宋体" w:eastAsia="宋体" w:cs="宋体"/>
                <w:color w:val="auto"/>
                <w:sz w:val="21"/>
                <w:szCs w:val="21"/>
                <w:highlight w:val="none"/>
                <w:u w:val="single"/>
                <w:lang w:val="en-US" w:eastAsia="zh-CN"/>
              </w:rPr>
            </w:pPr>
            <w:r>
              <w:rPr>
                <w:rFonts w:hint="eastAsia" w:hAnsi="宋体" w:cs="宋体"/>
                <w:color w:val="auto"/>
                <w:sz w:val="21"/>
                <w:szCs w:val="21"/>
                <w:highlight w:val="none"/>
                <w:u w:val="single"/>
              </w:rPr>
              <w:t>取消在招标文件中采用个人数字证书和加盖个人电子印章要求，投标文件中需个人签字的，应手签扫描上传。投标文件按招标文件要求加盖单位电子印章。具体操作详见广州交易集团有限公司（广州公共资源交易中心）网站发布的最新版操作指引。</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签字的应手签扫描，文件中签字或盖章应可以盖章）</w:t>
            </w:r>
          </w:p>
          <w:p w14:paraId="1B7F8433">
            <w:pPr>
              <w:pStyle w:val="9"/>
              <w:topLinePunct/>
              <w:snapToGrid w:val="0"/>
              <w:spacing w:line="276" w:lineRule="auto"/>
              <w:rPr>
                <w:rFonts w:hAnsi="宋体" w:cs="宋体"/>
                <w:color w:val="auto"/>
                <w:szCs w:val="21"/>
                <w:highlight w:val="none"/>
                <w:u w:val="single"/>
              </w:rPr>
            </w:pPr>
            <w:r>
              <w:rPr>
                <w:rFonts w:hAnsi="宋体" w:cs="宋体"/>
                <w:color w:val="auto"/>
                <w:sz w:val="21"/>
                <w:szCs w:val="21"/>
                <w:highlight w:val="none"/>
                <w:u w:val="single"/>
              </w:rPr>
              <w:t>联合体投标时，除“联合体协议书”需由联合体各方分别按要求进行签字或盖章外，其他资料若需要签字或盖章的均可由联合体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签字或盖章即可；投标资料封面及其他内容及落款中的“</w:t>
            </w:r>
            <w:r>
              <w:rPr>
                <w:rFonts w:hint="eastAsia" w:hAnsi="宋体" w:cs="宋体"/>
                <w:color w:val="auto"/>
                <w:sz w:val="21"/>
                <w:szCs w:val="21"/>
                <w:highlight w:val="none"/>
                <w:u w:val="single"/>
              </w:rPr>
              <w:t>投标单位</w:t>
            </w:r>
            <w:r>
              <w:rPr>
                <w:rFonts w:hAnsi="宋体" w:cs="宋体"/>
                <w:color w:val="auto"/>
                <w:sz w:val="21"/>
                <w:szCs w:val="21"/>
                <w:highlight w:val="none"/>
                <w:u w:val="single"/>
              </w:rPr>
              <w:t>”应填写联合体各方的单位全称【格式示例为：（主）单位全称（成）单位全称】，由联合体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按要求签字或盖章即可。电子</w:t>
            </w:r>
            <w:r>
              <w:rPr>
                <w:rFonts w:hint="eastAsia" w:hAnsi="宋体" w:cs="宋体"/>
                <w:color w:val="auto"/>
                <w:sz w:val="21"/>
                <w:szCs w:val="21"/>
                <w:highlight w:val="none"/>
                <w:u w:val="single"/>
              </w:rPr>
              <w:t>印</w:t>
            </w:r>
            <w:r>
              <w:rPr>
                <w:rFonts w:hAnsi="宋体" w:cs="宋体"/>
                <w:color w:val="auto"/>
                <w:sz w:val="21"/>
                <w:szCs w:val="21"/>
                <w:highlight w:val="none"/>
                <w:u w:val="single"/>
              </w:rPr>
              <w:t>章由</w:t>
            </w:r>
            <w:r>
              <w:rPr>
                <w:rFonts w:hint="eastAsia" w:hAnsi="宋体" w:cs="宋体"/>
                <w:color w:val="auto"/>
                <w:sz w:val="21"/>
                <w:szCs w:val="21"/>
                <w:highlight w:val="none"/>
                <w:u w:val="single"/>
              </w:rPr>
              <w:t>牵头方</w:t>
            </w:r>
            <w:r>
              <w:rPr>
                <w:rFonts w:hAnsi="宋体" w:cs="宋体"/>
                <w:color w:val="auto"/>
                <w:sz w:val="21"/>
                <w:szCs w:val="21"/>
                <w:highlight w:val="none"/>
                <w:u w:val="single"/>
              </w:rPr>
              <w:t>进行签章即可。</w:t>
            </w:r>
          </w:p>
        </w:tc>
      </w:tr>
      <w:tr w14:paraId="59F0A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5B5273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613" w:type="dxa"/>
            <w:vAlign w:val="center"/>
          </w:tcPr>
          <w:p w14:paraId="5216907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5774" w:type="dxa"/>
            <w:vAlign w:val="center"/>
          </w:tcPr>
          <w:p w14:paraId="5DC5B45E">
            <w:pPr>
              <w:pStyle w:val="9"/>
              <w:topLinePunct/>
              <w:snapToGrid w:val="0"/>
              <w:spacing w:line="276" w:lineRule="auto"/>
              <w:rPr>
                <w:rFonts w:hAnsi="宋体" w:cs="宋体"/>
                <w:color w:val="auto"/>
                <w:sz w:val="21"/>
                <w:szCs w:val="21"/>
                <w:highlight w:val="none"/>
                <w:u w:val="single"/>
              </w:rPr>
            </w:pPr>
            <w:r>
              <w:rPr>
                <w:rFonts w:hint="eastAsia" w:hAnsi="宋体" w:cs="宋体"/>
                <w:color w:val="auto"/>
                <w:sz w:val="21"/>
                <w:szCs w:val="21"/>
                <w:highlight w:val="none"/>
              </w:rPr>
              <w:t>网上递交的电子投标文件须进行加密。具体操作详见广州交易集团有限公司（广州公共资源交易中心）网站发布的最新版操作指引。</w:t>
            </w:r>
          </w:p>
        </w:tc>
      </w:tr>
      <w:tr w14:paraId="58A69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959" w:type="dxa"/>
            <w:vAlign w:val="center"/>
          </w:tcPr>
          <w:p w14:paraId="59418F4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613" w:type="dxa"/>
            <w:vAlign w:val="center"/>
          </w:tcPr>
          <w:p w14:paraId="6B959598">
            <w:pPr>
              <w:snapToGrid w:val="0"/>
              <w:spacing w:line="276"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774" w:type="dxa"/>
            <w:vAlign w:val="center"/>
          </w:tcPr>
          <w:p w14:paraId="3815F3F2">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对递交的备用投标文件电子光盘要求封装。</w:t>
            </w:r>
          </w:p>
          <w:p w14:paraId="55794513">
            <w:pPr>
              <w:pStyle w:val="9"/>
              <w:topLinePunct/>
              <w:spacing w:line="276"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招标人名称：</w:t>
            </w:r>
            <w:r>
              <w:rPr>
                <w:rFonts w:hint="eastAsia" w:hAnsi="宋体" w:cs="宋体"/>
                <w:color w:val="auto"/>
                <w:sz w:val="21"/>
                <w:szCs w:val="21"/>
                <w:highlight w:val="none"/>
                <w:lang w:eastAsia="zh-CN"/>
              </w:rPr>
              <w:t>(主)广州番禺产投建设管理有限公司(成)广州市盈泰房地产有限公司</w:t>
            </w:r>
          </w:p>
          <w:p w14:paraId="35F6930B">
            <w:pPr>
              <w:pStyle w:val="9"/>
              <w:topLinePunct/>
              <w:spacing w:line="276"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招标人地址：</w:t>
            </w:r>
            <w:r>
              <w:rPr>
                <w:rFonts w:hint="eastAsia" w:hAnsi="宋体" w:cs="宋体"/>
                <w:color w:val="auto"/>
                <w:sz w:val="21"/>
                <w:szCs w:val="21"/>
                <w:highlight w:val="none"/>
                <w:lang w:eastAsia="zh-CN"/>
              </w:rPr>
              <w:t>广州市番禺区市桥街桥兴大道11号（房地产大院2号楼）</w:t>
            </w:r>
          </w:p>
          <w:p w14:paraId="35C001CD">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lang w:eastAsia="zh-CN"/>
              </w:rPr>
              <w:t>智造创新园石碁镇225亩前锋西地块配套道路检测、监测服务</w:t>
            </w:r>
            <w:r>
              <w:rPr>
                <w:rFonts w:hint="eastAsia" w:hAnsi="宋体" w:cs="宋体"/>
                <w:color w:val="auto"/>
                <w:sz w:val="21"/>
                <w:szCs w:val="21"/>
                <w:highlight w:val="none"/>
              </w:rPr>
              <w:t>投标文件</w:t>
            </w:r>
          </w:p>
          <w:p w14:paraId="1021439B">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招标项目编号：</w:t>
            </w:r>
          </w:p>
          <w:p w14:paraId="7285E0AA">
            <w:pPr>
              <w:pStyle w:val="9"/>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 xml:space="preserve">在2025年  月 </w:t>
            </w:r>
            <w:bookmarkStart w:id="272" w:name="_GoBack"/>
            <w:bookmarkEnd w:id="272"/>
            <w:r>
              <w:rPr>
                <w:rFonts w:hint="eastAsia" w:hAnsi="宋体" w:cs="宋体"/>
                <w:color w:val="auto"/>
                <w:sz w:val="21"/>
                <w:szCs w:val="21"/>
                <w:highlight w:val="none"/>
              </w:rPr>
              <w:t xml:space="preserve"> 日   时前不得开启</w:t>
            </w:r>
          </w:p>
        </w:tc>
      </w:tr>
      <w:tr w14:paraId="163D0A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59" w:type="dxa"/>
            <w:vAlign w:val="center"/>
          </w:tcPr>
          <w:p w14:paraId="3CAFCA5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613" w:type="dxa"/>
            <w:vAlign w:val="center"/>
          </w:tcPr>
          <w:p w14:paraId="70CE670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774" w:type="dxa"/>
            <w:vAlign w:val="center"/>
          </w:tcPr>
          <w:p w14:paraId="75B09FD9">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分（北京时间）</w:t>
            </w:r>
          </w:p>
          <w:p w14:paraId="42930D70">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14:paraId="197234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6" w:hRule="atLeast"/>
          <w:jc w:val="center"/>
        </w:trPr>
        <w:tc>
          <w:tcPr>
            <w:tcW w:w="959" w:type="dxa"/>
            <w:vAlign w:val="center"/>
          </w:tcPr>
          <w:p w14:paraId="4810256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613" w:type="dxa"/>
            <w:vAlign w:val="center"/>
          </w:tcPr>
          <w:p w14:paraId="7D940C9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递交电子投标文件交易平台</w:t>
            </w:r>
          </w:p>
        </w:tc>
        <w:tc>
          <w:tcPr>
            <w:tcW w:w="5774" w:type="dxa"/>
            <w:vAlign w:val="center"/>
          </w:tcPr>
          <w:p w14:paraId="09BB54C4">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1.递交方式：网上递交投标文件</w:t>
            </w:r>
          </w:p>
          <w:p w14:paraId="6C382C0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2.递交投标文件的起始时间：（详见广州交易集团有限公司（广州公共资源交易中心）网站信息）。</w:t>
            </w:r>
          </w:p>
          <w:p w14:paraId="5C75A8FE">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截止时间：（详见广州交易集团有限公司（广州公共资源交易中心）网站信息）</w:t>
            </w:r>
          </w:p>
          <w:p w14:paraId="28F55B6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3.地点：广州交易集团有限公司（广州公共资源交易中心）网站。</w:t>
            </w:r>
          </w:p>
          <w:p w14:paraId="7BAB189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请密切留意招标答疑中的相关信息。也可登录广州交易集团有限公司（广州公共资源交易中心）网站首页，点击“服务指南”专栏中的“交易活动安排”，输入项目编号或项目名称查询最新信息。</w:t>
            </w:r>
          </w:p>
        </w:tc>
      </w:tr>
      <w:tr w14:paraId="4F995F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59" w:type="dxa"/>
            <w:vAlign w:val="center"/>
          </w:tcPr>
          <w:p w14:paraId="0DC5734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613" w:type="dxa"/>
            <w:vAlign w:val="center"/>
          </w:tcPr>
          <w:p w14:paraId="03F8C3F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5774" w:type="dxa"/>
            <w:vAlign w:val="center"/>
          </w:tcPr>
          <w:p w14:paraId="7149A1A2">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■否</w:t>
            </w:r>
          </w:p>
          <w:p w14:paraId="34EBE987">
            <w:pPr>
              <w:pStyle w:val="9"/>
              <w:topLinePunct/>
              <w:spacing w:line="276" w:lineRule="auto"/>
              <w:rPr>
                <w:rFonts w:hAnsi="宋体" w:cs="宋体"/>
                <w:color w:val="auto"/>
                <w:sz w:val="21"/>
                <w:szCs w:val="21"/>
                <w:highlight w:val="none"/>
              </w:rPr>
            </w:pPr>
            <w:r>
              <w:rPr>
                <w:rFonts w:hint="eastAsia" w:hAnsi="宋体" w:cs="宋体"/>
                <w:color w:val="auto"/>
                <w:sz w:val="21"/>
                <w:szCs w:val="21"/>
                <w:highlight w:val="none"/>
              </w:rPr>
              <w:t>□是，退还时间：</w:t>
            </w:r>
          </w:p>
        </w:tc>
      </w:tr>
      <w:tr w14:paraId="2AE18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959" w:type="dxa"/>
            <w:vAlign w:val="center"/>
          </w:tcPr>
          <w:p w14:paraId="6CD7520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613" w:type="dxa"/>
            <w:vAlign w:val="center"/>
          </w:tcPr>
          <w:p w14:paraId="5C31F21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5774" w:type="dxa"/>
            <w:vAlign w:val="center"/>
          </w:tcPr>
          <w:p w14:paraId="6B4EA6D8">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招标人在本章第 4.2.1 项规定的投标截止时间（开标时间），通过电子招标投标交易平台公开开标；开标地点在广州公共资源交易中心，详见广州公共资源交易中心公布本项目的日程安排，投标人可登录广州公共资源交易中心网站首页，点击“交易业务-建设工程”专栏中的“项目查询（日程安排、答疑纪要）”，输入项目编号或项目名称查询最新信息。</w:t>
            </w:r>
          </w:p>
          <w:p w14:paraId="5D5715A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开标时，投标人代表有权出席开标会，也可以自主决定不参加开标会。</w:t>
            </w:r>
          </w:p>
        </w:tc>
      </w:tr>
      <w:tr w14:paraId="16A25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959" w:type="dxa"/>
            <w:vAlign w:val="center"/>
          </w:tcPr>
          <w:p w14:paraId="7D5FEA4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613" w:type="dxa"/>
            <w:vAlign w:val="center"/>
          </w:tcPr>
          <w:p w14:paraId="51A174B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5774" w:type="dxa"/>
            <w:vAlign w:val="center"/>
          </w:tcPr>
          <w:p w14:paraId="4970E6D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063495BA">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42B7DEBB">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4755B25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0168B3A9">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6C26FEC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（4）投标人通过电子招标投标交易平台对已递交的电子投标文件进行解密，公布招标项目名称、投标人名称、投标总报价、服务期限及其他内容，并记录在案；</w:t>
            </w:r>
          </w:p>
          <w:p w14:paraId="700C84C7">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（5）投标人代表、招标人代表、监标人、记录人等有关人员在开标记录上签字确认；若有关人员不签字的，不影响开标程序；</w:t>
            </w:r>
          </w:p>
          <w:p w14:paraId="7E895D6D">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484376C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半小时解密的，视为投标人其撤回投标文件。因投标人原因造成投标文件未解密的，或因投标人之外原因解密失败且未递交电子光盘或递交的电子光盘不能读取的，视为撤销其投标文件。</w:t>
            </w:r>
          </w:p>
          <w:p w14:paraId="17FE6277">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14:paraId="2C99B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959" w:type="dxa"/>
            <w:vAlign w:val="center"/>
          </w:tcPr>
          <w:p w14:paraId="00CC0F8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613" w:type="dxa"/>
            <w:vAlign w:val="center"/>
          </w:tcPr>
          <w:p w14:paraId="1AC21E0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5774" w:type="dxa"/>
            <w:vAlign w:val="center"/>
          </w:tcPr>
          <w:p w14:paraId="1D24C63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41291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284F3A3F">
            <w:pPr>
              <w:spacing w:line="360" w:lineRule="auto"/>
              <w:jc w:val="center"/>
              <w:rPr>
                <w:rFonts w:hint="eastAsia" w:ascii="宋体" w:hAnsi="宋体" w:cs="宋体"/>
                <w:color w:val="auto"/>
                <w:szCs w:val="21"/>
                <w:highlight w:val="none"/>
              </w:rPr>
            </w:pPr>
            <w:r>
              <w:rPr>
                <w:color w:val="auto"/>
                <w:sz w:val="21"/>
                <w:szCs w:val="21"/>
                <w:highlight w:val="none"/>
              </w:rPr>
              <w:t>6.3.2</w:t>
            </w:r>
          </w:p>
        </w:tc>
        <w:tc>
          <w:tcPr>
            <w:tcW w:w="2613" w:type="dxa"/>
            <w:vAlign w:val="center"/>
          </w:tcPr>
          <w:p w14:paraId="3D7C727A">
            <w:pPr>
              <w:spacing w:line="360" w:lineRule="auto"/>
              <w:jc w:val="center"/>
              <w:rPr>
                <w:rFonts w:hint="eastAsia" w:ascii="宋体" w:hAnsi="宋体" w:cs="宋体"/>
                <w:color w:val="auto"/>
                <w:szCs w:val="21"/>
                <w:highlight w:val="none"/>
              </w:rPr>
            </w:pPr>
            <w:r>
              <w:rPr>
                <w:rFonts w:hint="eastAsia"/>
                <w:color w:val="auto"/>
                <w:sz w:val="21"/>
                <w:szCs w:val="21"/>
                <w:highlight w:val="none"/>
              </w:rPr>
              <w:t>评标委员会推荐</w:t>
            </w:r>
            <w:r>
              <w:rPr>
                <w:rFonts w:hint="eastAsia"/>
                <w:color w:val="auto"/>
                <w:sz w:val="21"/>
                <w:szCs w:val="21"/>
                <w:highlight w:val="none"/>
                <w:u w:val="single"/>
              </w:rPr>
              <w:t>合格中标候选人</w:t>
            </w:r>
            <w:r>
              <w:rPr>
                <w:rFonts w:hint="eastAsia"/>
                <w:color w:val="auto"/>
                <w:sz w:val="21"/>
                <w:szCs w:val="21"/>
                <w:highlight w:val="none"/>
              </w:rPr>
              <w:t>的人数</w:t>
            </w:r>
          </w:p>
        </w:tc>
        <w:tc>
          <w:tcPr>
            <w:tcW w:w="5774" w:type="dxa"/>
            <w:vAlign w:val="center"/>
          </w:tcPr>
          <w:p w14:paraId="75CE0A23">
            <w:pPr>
              <w:spacing w:line="360" w:lineRule="auto"/>
              <w:rPr>
                <w:rFonts w:hint="eastAsia" w:ascii="宋体" w:hAnsi="宋体" w:cs="宋体"/>
                <w:color w:val="auto"/>
                <w:szCs w:val="21"/>
                <w:highlight w:val="none"/>
              </w:rPr>
            </w:pPr>
            <w:r>
              <w:rPr>
                <w:rFonts w:hint="eastAsia"/>
                <w:color w:val="auto"/>
                <w:sz w:val="21"/>
                <w:szCs w:val="21"/>
                <w:highlight w:val="none"/>
                <w:u w:val="single"/>
              </w:rPr>
              <w:t>评标委员会按照综合得分由高至低进行排序，确定排名前</w:t>
            </w:r>
            <w:r>
              <w:rPr>
                <w:rFonts w:hint="eastAsia"/>
                <w:color w:val="auto"/>
                <w:sz w:val="21"/>
                <w:szCs w:val="21"/>
                <w:highlight w:val="none"/>
                <w:u w:val="single"/>
                <w:lang w:val="en-US" w:eastAsia="zh-CN"/>
              </w:rPr>
              <w:t>10</w:t>
            </w:r>
            <w:r>
              <w:rPr>
                <w:rFonts w:hint="eastAsia"/>
                <w:color w:val="auto"/>
                <w:sz w:val="21"/>
                <w:szCs w:val="21"/>
                <w:highlight w:val="none"/>
                <w:u w:val="single"/>
              </w:rPr>
              <w:t>名的投标人推荐为合格中标候选人进入定标阶段。合格投标人多于</w:t>
            </w:r>
            <w:r>
              <w:rPr>
                <w:rFonts w:hint="eastAsia"/>
                <w:color w:val="auto"/>
                <w:sz w:val="21"/>
                <w:szCs w:val="21"/>
                <w:highlight w:val="none"/>
                <w:u w:val="single"/>
                <w:lang w:val="en-US" w:eastAsia="zh-CN"/>
              </w:rPr>
              <w:t>10</w:t>
            </w:r>
            <w:r>
              <w:rPr>
                <w:rFonts w:hint="eastAsia"/>
                <w:color w:val="auto"/>
                <w:sz w:val="21"/>
                <w:szCs w:val="21"/>
                <w:highlight w:val="none"/>
                <w:u w:val="single"/>
              </w:rPr>
              <w:t>名的，推荐前</w:t>
            </w:r>
            <w:r>
              <w:rPr>
                <w:rFonts w:hint="eastAsia"/>
                <w:color w:val="auto"/>
                <w:sz w:val="21"/>
                <w:szCs w:val="21"/>
                <w:highlight w:val="none"/>
                <w:u w:val="single"/>
                <w:lang w:val="en-US" w:eastAsia="zh-CN"/>
              </w:rPr>
              <w:t>10</w:t>
            </w:r>
            <w:r>
              <w:rPr>
                <w:rFonts w:hint="eastAsia"/>
                <w:color w:val="auto"/>
                <w:sz w:val="21"/>
                <w:szCs w:val="21"/>
                <w:highlight w:val="none"/>
                <w:u w:val="single"/>
              </w:rPr>
              <w:t>名为合格中标候选人进入定标阶段。若合格投标人大于等于3家，少于等于</w:t>
            </w:r>
            <w:r>
              <w:rPr>
                <w:rFonts w:hint="eastAsia"/>
                <w:color w:val="auto"/>
                <w:sz w:val="21"/>
                <w:szCs w:val="21"/>
                <w:highlight w:val="none"/>
                <w:u w:val="single"/>
                <w:lang w:val="en-US" w:eastAsia="zh-CN"/>
              </w:rPr>
              <w:t>10</w:t>
            </w:r>
            <w:r>
              <w:rPr>
                <w:rFonts w:hint="eastAsia"/>
                <w:color w:val="auto"/>
                <w:sz w:val="21"/>
                <w:szCs w:val="21"/>
                <w:highlight w:val="none"/>
                <w:u w:val="single"/>
              </w:rPr>
              <w:t>家的，则全部推荐为合格中标候选人进入定标阶段。若投标人总分相同的，则名次并列，占用名次，若最后第</w:t>
            </w:r>
            <w:r>
              <w:rPr>
                <w:rFonts w:hint="eastAsia"/>
                <w:color w:val="auto"/>
                <w:sz w:val="21"/>
                <w:szCs w:val="21"/>
                <w:highlight w:val="none"/>
                <w:u w:val="single"/>
                <w:lang w:val="en-US" w:eastAsia="zh-CN"/>
              </w:rPr>
              <w:t>10</w:t>
            </w:r>
            <w:r>
              <w:rPr>
                <w:rFonts w:hint="eastAsia"/>
                <w:color w:val="auto"/>
                <w:sz w:val="21"/>
                <w:szCs w:val="21"/>
                <w:highlight w:val="none"/>
                <w:u w:val="single"/>
              </w:rPr>
              <w:t>名名次发生并列的，则并列第</w:t>
            </w:r>
            <w:r>
              <w:rPr>
                <w:rFonts w:hint="eastAsia"/>
                <w:color w:val="auto"/>
                <w:sz w:val="21"/>
                <w:szCs w:val="21"/>
                <w:highlight w:val="none"/>
                <w:u w:val="single"/>
                <w:lang w:val="en-US" w:eastAsia="zh-CN"/>
              </w:rPr>
              <w:t>10</w:t>
            </w:r>
            <w:r>
              <w:rPr>
                <w:rFonts w:hint="eastAsia"/>
                <w:color w:val="auto"/>
                <w:sz w:val="21"/>
                <w:szCs w:val="21"/>
                <w:highlight w:val="none"/>
                <w:u w:val="single"/>
              </w:rPr>
              <w:t>名的所有投标人均进入定标阶段。</w:t>
            </w:r>
          </w:p>
        </w:tc>
      </w:tr>
      <w:tr w14:paraId="6E00A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4157ED06">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6.4</w:t>
            </w:r>
          </w:p>
        </w:tc>
        <w:tc>
          <w:tcPr>
            <w:tcW w:w="2613" w:type="dxa"/>
            <w:vAlign w:val="center"/>
          </w:tcPr>
          <w:p w14:paraId="34F5E9BF">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定标相关规定</w:t>
            </w:r>
          </w:p>
        </w:tc>
        <w:tc>
          <w:tcPr>
            <w:tcW w:w="5774" w:type="dxa"/>
            <w:vAlign w:val="center"/>
          </w:tcPr>
          <w:p w14:paraId="5DC4C88C">
            <w:pPr>
              <w:spacing w:line="360" w:lineRule="auto"/>
              <w:rPr>
                <w:rFonts w:hint="eastAsia" w:ascii="宋体" w:hAnsi="宋体" w:cs="宋体"/>
                <w:color w:val="auto"/>
                <w:szCs w:val="21"/>
                <w:highlight w:val="none"/>
              </w:rPr>
            </w:pPr>
            <w:r>
              <w:rPr>
                <w:rFonts w:hint="eastAsia"/>
                <w:color w:val="auto"/>
                <w:sz w:val="21"/>
                <w:szCs w:val="21"/>
                <w:highlight w:val="none"/>
                <w:u w:val="single"/>
              </w:rPr>
              <w:t>增加条款，详见招标文件第二章第6.4条规定。</w:t>
            </w:r>
          </w:p>
        </w:tc>
      </w:tr>
      <w:tr w14:paraId="042903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31928CD1">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6.4.1</w:t>
            </w:r>
          </w:p>
        </w:tc>
        <w:tc>
          <w:tcPr>
            <w:tcW w:w="2613" w:type="dxa"/>
            <w:vAlign w:val="center"/>
          </w:tcPr>
          <w:p w14:paraId="613F2FAE">
            <w:pPr>
              <w:spacing w:line="360" w:lineRule="auto"/>
              <w:jc w:val="center"/>
              <w:rPr>
                <w:rFonts w:hint="eastAsia" w:ascii="宋体" w:hAnsi="宋体" w:cs="宋体"/>
                <w:color w:val="auto"/>
                <w:szCs w:val="21"/>
                <w:highlight w:val="none"/>
              </w:rPr>
            </w:pPr>
            <w:r>
              <w:rPr>
                <w:rFonts w:hint="eastAsia"/>
                <w:color w:val="auto"/>
                <w:sz w:val="21"/>
                <w:szCs w:val="21"/>
                <w:highlight w:val="none"/>
                <w:u w:val="single"/>
              </w:rPr>
              <w:t>定标委员会的组建</w:t>
            </w:r>
          </w:p>
        </w:tc>
        <w:tc>
          <w:tcPr>
            <w:tcW w:w="5774" w:type="dxa"/>
            <w:vAlign w:val="center"/>
          </w:tcPr>
          <w:p w14:paraId="3E262EF1">
            <w:pPr>
              <w:spacing w:line="360" w:lineRule="auto"/>
              <w:rPr>
                <w:rFonts w:hint="eastAsia" w:ascii="宋体" w:hAnsi="宋体" w:cs="宋体"/>
                <w:color w:val="auto"/>
                <w:szCs w:val="21"/>
                <w:highlight w:val="none"/>
              </w:rPr>
            </w:pPr>
            <w:r>
              <w:rPr>
                <w:rFonts w:hint="eastAsia"/>
                <w:color w:val="auto"/>
                <w:sz w:val="21"/>
                <w:szCs w:val="21"/>
                <w:highlight w:val="none"/>
                <w:u w:val="single"/>
              </w:rPr>
              <w:t>定标委员会5人，由招标人组建。</w:t>
            </w:r>
          </w:p>
        </w:tc>
      </w:tr>
      <w:tr w14:paraId="1FF1D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959" w:type="dxa"/>
            <w:vAlign w:val="center"/>
          </w:tcPr>
          <w:p w14:paraId="7622D02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613" w:type="dxa"/>
            <w:vAlign w:val="center"/>
          </w:tcPr>
          <w:p w14:paraId="1C3B8BD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5774" w:type="dxa"/>
            <w:vAlign w:val="center"/>
          </w:tcPr>
          <w:p w14:paraId="6998E35D">
            <w:pPr>
              <w:spacing w:line="276" w:lineRule="auto"/>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w:t>
            </w:r>
          </w:p>
          <w:p w14:paraId="42BED084">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14:paraId="27FCA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959" w:type="dxa"/>
            <w:vAlign w:val="center"/>
          </w:tcPr>
          <w:p w14:paraId="0C687B3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2613" w:type="dxa"/>
            <w:vAlign w:val="center"/>
          </w:tcPr>
          <w:p w14:paraId="7AB2A99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74" w:type="dxa"/>
            <w:vAlign w:val="center"/>
          </w:tcPr>
          <w:p w14:paraId="329042D9">
            <w:pPr>
              <w:spacing w:line="276" w:lineRule="auto"/>
              <w:rPr>
                <w:rFonts w:ascii="宋体" w:hAnsi="宋体" w:cs="宋体"/>
                <w:color w:val="auto"/>
                <w:szCs w:val="21"/>
                <w:highlight w:val="none"/>
              </w:rPr>
            </w:pPr>
            <w:r>
              <w:rPr>
                <w:rFonts w:hint="eastAsia" w:ascii="宋体" w:hAnsi="宋体" w:cs="宋体"/>
                <w:color w:val="auto"/>
                <w:szCs w:val="21"/>
                <w:highlight w:val="none"/>
              </w:rPr>
              <w:t>□是</w:t>
            </w:r>
          </w:p>
          <w:p w14:paraId="0DAC3B42">
            <w:pPr>
              <w:spacing w:line="276" w:lineRule="auto"/>
              <w:rPr>
                <w:rFonts w:ascii="宋体" w:hAnsi="宋体" w:cs="宋体"/>
                <w:color w:val="auto"/>
                <w:szCs w:val="21"/>
                <w:highlight w:val="none"/>
              </w:rPr>
            </w:pPr>
            <w:r>
              <w:rPr>
                <w:rFonts w:hint="eastAsia" w:ascii="宋体" w:hAnsi="宋体" w:cs="宋体"/>
                <w:color w:val="auto"/>
                <w:szCs w:val="21"/>
                <w:highlight w:val="none"/>
              </w:rPr>
              <w:t>■否</w:t>
            </w:r>
            <w:r>
              <w:rPr>
                <w:rFonts w:hint="eastAsia"/>
                <w:bCs/>
                <w:color w:val="auto"/>
                <w:sz w:val="21"/>
                <w:szCs w:val="21"/>
                <w:highlight w:val="none"/>
                <w:u w:val="single"/>
              </w:rPr>
              <w:t>本项目采用“评定分离”确定中标人，由评标委员会推荐合格中标候选人名单，进入定标阶段。</w:t>
            </w:r>
          </w:p>
        </w:tc>
      </w:tr>
      <w:tr w14:paraId="74A8D5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959" w:type="dxa"/>
            <w:vAlign w:val="center"/>
          </w:tcPr>
          <w:p w14:paraId="3E92DD6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7.6.1</w:t>
            </w:r>
          </w:p>
        </w:tc>
        <w:tc>
          <w:tcPr>
            <w:tcW w:w="2613" w:type="dxa"/>
            <w:vAlign w:val="center"/>
          </w:tcPr>
          <w:p w14:paraId="09451E7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774" w:type="dxa"/>
            <w:vAlign w:val="center"/>
          </w:tcPr>
          <w:p w14:paraId="4F6ACC1E">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是否要求中标人提交履约担保。</w:t>
            </w:r>
          </w:p>
          <w:p w14:paraId="49098B71">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lang w:eastAsia="zh-CN"/>
              </w:rPr>
              <w:t>□</w:t>
            </w:r>
            <w:r>
              <w:rPr>
                <w:rFonts w:hint="eastAsia" w:hAnsi="宋体" w:cs="宋体"/>
                <w:bCs/>
                <w:color w:val="auto"/>
                <w:sz w:val="21"/>
                <w:szCs w:val="21"/>
                <w:highlight w:val="none"/>
              </w:rPr>
              <w:t>否</w:t>
            </w:r>
          </w:p>
          <w:p w14:paraId="1C345B63">
            <w:pPr>
              <w:pStyle w:val="9"/>
              <w:topLinePunct/>
              <w:spacing w:line="276" w:lineRule="auto"/>
              <w:rPr>
                <w:rFonts w:hAnsi="宋体" w:cs="宋体"/>
                <w:bCs/>
                <w:color w:val="auto"/>
                <w:sz w:val="21"/>
                <w:szCs w:val="21"/>
                <w:highlight w:val="none"/>
              </w:rPr>
            </w:pPr>
            <w:r>
              <w:rPr>
                <w:rFonts w:hint="eastAsia" w:ascii="宋体" w:hAnsi="宋体" w:cs="宋体"/>
                <w:color w:val="auto"/>
                <w:szCs w:val="21"/>
                <w:highlight w:val="none"/>
              </w:rPr>
              <w:t>■</w:t>
            </w:r>
            <w:r>
              <w:rPr>
                <w:rFonts w:hint="eastAsia" w:hAnsi="宋体" w:cs="宋体"/>
                <w:bCs/>
                <w:color w:val="auto"/>
                <w:sz w:val="21"/>
                <w:szCs w:val="21"/>
                <w:highlight w:val="none"/>
              </w:rPr>
              <w:t>要求</w:t>
            </w:r>
          </w:p>
          <w:p w14:paraId="70FB2780">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中标人提供的履约担保为中标价的</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rPr>
              <w:t>% ，中标通知书发放后15个日历天内,中标人须向招标人提交履约担保，履约担保可采用现金或支票或汇票、信用证、银行保函、保证保险、专业担保公司担保等方式提交，若中标人以银行转账或银行保函方式提供的，可按以下方式提交：</w:t>
            </w:r>
          </w:p>
          <w:p w14:paraId="4EEDDE10">
            <w:pPr>
              <w:pStyle w:val="9"/>
              <w:topLinePunct/>
              <w:spacing w:line="276" w:lineRule="auto"/>
              <w:rPr>
                <w:rFonts w:hint="eastAsia" w:hAnsi="宋体" w:cs="宋体"/>
                <w:bCs/>
                <w:color w:val="auto"/>
                <w:sz w:val="21"/>
                <w:szCs w:val="21"/>
                <w:highlight w:val="none"/>
              </w:rPr>
            </w:pPr>
            <w:r>
              <w:rPr>
                <w:rFonts w:hint="eastAsia" w:hAnsi="宋体" w:cs="宋体"/>
                <w:bCs/>
                <w:color w:val="auto"/>
                <w:sz w:val="21"/>
                <w:szCs w:val="21"/>
                <w:highlight w:val="none"/>
              </w:rPr>
              <w:t>方式一：从中标人开户银行帐户中转帐或汇款到招标人以下银行帐户</w:t>
            </w:r>
            <w:r>
              <w:rPr>
                <w:rFonts w:hint="eastAsia" w:hAnsi="宋体" w:cs="宋体"/>
                <w:bCs/>
                <w:color w:val="auto"/>
                <w:sz w:val="21"/>
                <w:szCs w:val="21"/>
                <w:highlight w:val="none"/>
                <w:lang w:val="en-US" w:eastAsia="zh-CN"/>
              </w:rPr>
              <w:t>(</w:t>
            </w:r>
            <w:r>
              <w:rPr>
                <w:rFonts w:hint="eastAsia" w:hAnsi="宋体" w:cs="宋体"/>
                <w:bCs/>
                <w:color w:val="auto"/>
                <w:sz w:val="21"/>
                <w:szCs w:val="21"/>
                <w:highlight w:val="none"/>
              </w:rPr>
              <w:t>收款单位：</w:t>
            </w:r>
            <w:r>
              <w:rPr>
                <w:rFonts w:hint="eastAsia" w:hAnsi="宋体" w:cs="宋体"/>
                <w:bCs/>
                <w:color w:val="auto"/>
                <w:sz w:val="21"/>
                <w:szCs w:val="21"/>
                <w:highlight w:val="none"/>
                <w:lang w:eastAsia="zh-CN"/>
              </w:rPr>
              <w:t>广州番禺产投建设管理有限公司</w:t>
            </w:r>
            <w:r>
              <w:rPr>
                <w:rFonts w:hint="eastAsia" w:hAnsi="宋体" w:cs="宋体"/>
                <w:bCs/>
                <w:color w:val="auto"/>
                <w:sz w:val="21"/>
                <w:szCs w:val="21"/>
                <w:highlight w:val="none"/>
              </w:rPr>
              <w:t>，银行帐号：</w:t>
            </w:r>
            <w:r>
              <w:rPr>
                <w:rFonts w:hint="eastAsia" w:hAnsi="宋体" w:cs="宋体"/>
                <w:bCs/>
                <w:color w:val="auto"/>
                <w:sz w:val="21"/>
                <w:szCs w:val="21"/>
                <w:highlight w:val="none"/>
                <w:lang w:val="en-US" w:eastAsia="zh-CN"/>
              </w:rPr>
              <w:t>44050153141609008888</w:t>
            </w:r>
            <w:r>
              <w:rPr>
                <w:rFonts w:hint="eastAsia" w:hAnsi="宋体" w:cs="宋体"/>
                <w:bCs/>
                <w:color w:val="auto"/>
                <w:sz w:val="21"/>
                <w:szCs w:val="21"/>
                <w:highlight w:val="none"/>
              </w:rPr>
              <w:t>，开户银行：</w:t>
            </w:r>
            <w:r>
              <w:rPr>
                <w:rFonts w:hint="eastAsia" w:hAnsi="宋体" w:cs="宋体"/>
                <w:bCs/>
                <w:color w:val="auto"/>
                <w:sz w:val="21"/>
                <w:szCs w:val="21"/>
                <w:highlight w:val="none"/>
                <w:lang w:val="en-US" w:eastAsia="zh-CN"/>
              </w:rPr>
              <w:t>中国建设银行股份有限公司广州番禺东区支行)</w:t>
            </w:r>
            <w:r>
              <w:rPr>
                <w:rFonts w:hint="eastAsia" w:hAnsi="宋体" w:cs="宋体"/>
                <w:bCs/>
                <w:color w:val="auto"/>
                <w:sz w:val="21"/>
                <w:szCs w:val="21"/>
                <w:highlight w:val="none"/>
              </w:rPr>
              <w:t>。</w:t>
            </w:r>
          </w:p>
          <w:p w14:paraId="3A7C3CB7">
            <w:pPr>
              <w:pStyle w:val="9"/>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方式二：中标人按本合同附件中的格式1向发包人提供保证额为中标价款的</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rPr>
              <w:t>%的履约保证金银行保函，该银行保函应由在中国注册的银行开具。</w:t>
            </w:r>
          </w:p>
          <w:p w14:paraId="17E5C8AB">
            <w:pPr>
              <w:pStyle w:val="9"/>
              <w:topLinePunct/>
              <w:spacing w:line="276" w:lineRule="auto"/>
              <w:rPr>
                <w:rFonts w:hAnsi="宋体" w:cs="宋体"/>
                <w:color w:val="auto"/>
                <w:sz w:val="21"/>
                <w:szCs w:val="21"/>
                <w:highlight w:val="none"/>
              </w:rPr>
            </w:pPr>
            <w:r>
              <w:rPr>
                <w:rFonts w:hint="eastAsia" w:hAnsi="宋体" w:cs="宋体"/>
                <w:bCs/>
                <w:color w:val="auto"/>
                <w:sz w:val="21"/>
                <w:szCs w:val="21"/>
                <w:highlight w:val="none"/>
              </w:rPr>
              <w:t>若在中标通知书发放后15个日历天内，中标人未提交履约担保且未征得招标人同意延期缴交的，招标人有权取消其中标资格并没收补交的投标保证金，并由其他中标候选人顺次序替补。</w:t>
            </w:r>
          </w:p>
        </w:tc>
      </w:tr>
      <w:tr w14:paraId="6DCB2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959" w:type="dxa"/>
            <w:vAlign w:val="center"/>
          </w:tcPr>
          <w:p w14:paraId="3BBBB3D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613" w:type="dxa"/>
            <w:vAlign w:val="center"/>
          </w:tcPr>
          <w:p w14:paraId="05AEC03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5774" w:type="dxa"/>
            <w:vAlign w:val="center"/>
          </w:tcPr>
          <w:p w14:paraId="00B815A6">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p w14:paraId="268F67DF">
            <w:pPr>
              <w:spacing w:line="276" w:lineRule="auto"/>
              <w:ind w:left="2099" w:leftChars="3" w:hanging="2093" w:hangingChars="997"/>
              <w:rPr>
                <w:rFonts w:ascii="宋体" w:hAnsi="宋体" w:cs="宋体"/>
                <w:color w:val="auto"/>
                <w:szCs w:val="21"/>
                <w:highlight w:val="none"/>
              </w:rPr>
            </w:pPr>
            <w:r>
              <w:rPr>
                <w:rFonts w:hint="eastAsia" w:ascii="宋体" w:hAnsi="宋体" w:cs="宋体"/>
                <w:color w:val="auto"/>
                <w:szCs w:val="21"/>
                <w:highlight w:val="none"/>
              </w:rPr>
              <w:t>■是，具体要求：</w:t>
            </w:r>
          </w:p>
          <w:p w14:paraId="4C92232A">
            <w:pPr>
              <w:spacing w:line="276" w:lineRule="auto"/>
              <w:ind w:left="187" w:leftChars="89"/>
              <w:rPr>
                <w:rFonts w:ascii="宋体" w:hAnsi="宋体" w:cs="宋体"/>
                <w:color w:val="auto"/>
                <w:szCs w:val="21"/>
                <w:highlight w:val="none"/>
                <w:u w:val="single"/>
              </w:rPr>
            </w:pPr>
            <w:r>
              <w:rPr>
                <w:rFonts w:hint="eastAsia" w:ascii="宋体" w:hAnsi="宋体" w:cs="宋体"/>
                <w:color w:val="auto"/>
                <w:szCs w:val="21"/>
                <w:highlight w:val="none"/>
                <w:u w:val="single"/>
              </w:rPr>
              <w:t>1.具体操作详见广州交易集团有限公司（广州公共资源交易中心）网站发布的最新版操作指引。</w:t>
            </w:r>
          </w:p>
          <w:p w14:paraId="33507217">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0A802F03">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投标人可按广州交易集团有限公司（广州公共资源交易中心）网站发布的最新版操作指引的操作方法制作的非加密的电子投标文件刻入光盘（1份），</w:t>
            </w:r>
            <w:r>
              <w:rPr>
                <w:rFonts w:hint="eastAsia" w:ascii="宋体" w:hAnsi="宋体" w:cs="宋体"/>
                <w:color w:val="auto"/>
                <w:szCs w:val="21"/>
                <w:highlight w:val="none"/>
              </w:rPr>
              <w:t>在开标现场（投标截止时间前）</w:t>
            </w:r>
            <w:r>
              <w:rPr>
                <w:rFonts w:hint="eastAsia" w:ascii="宋体" w:hAnsi="宋体" w:cs="宋体"/>
                <w:color w:val="auto"/>
                <w:szCs w:val="21"/>
                <w:highlight w:val="none"/>
                <w:u w:val="singl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现场提交的光盘。</w:t>
            </w:r>
          </w:p>
          <w:p w14:paraId="7F86BFCF">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02D274E2">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7A82BADC">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4CDCB7EA">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290A9B15">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1A723F36">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00E483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59" w:type="dxa"/>
            <w:vAlign w:val="center"/>
          </w:tcPr>
          <w:p w14:paraId="483E8F4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613" w:type="dxa"/>
            <w:vAlign w:val="center"/>
          </w:tcPr>
          <w:p w14:paraId="3563A59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7E5707B3">
            <w:pPr>
              <w:keepNext/>
              <w:keepLines/>
              <w:snapToGrid w:val="0"/>
              <w:spacing w:line="276" w:lineRule="auto"/>
              <w:outlineLvl w:val="0"/>
              <w:rPr>
                <w:rFonts w:ascii="宋体" w:hAnsi="宋体" w:cs="宋体"/>
                <w:color w:val="auto"/>
                <w:szCs w:val="21"/>
                <w:highlight w:val="none"/>
              </w:rPr>
            </w:pPr>
          </w:p>
        </w:tc>
      </w:tr>
      <w:tr w14:paraId="6F49DE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3" w:hRule="atLeast"/>
          <w:jc w:val="center"/>
        </w:trPr>
        <w:tc>
          <w:tcPr>
            <w:tcW w:w="959" w:type="dxa"/>
            <w:vAlign w:val="center"/>
          </w:tcPr>
          <w:p w14:paraId="549669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613" w:type="dxa"/>
            <w:vAlign w:val="center"/>
          </w:tcPr>
          <w:p w14:paraId="266EE36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5774" w:type="dxa"/>
            <w:vAlign w:val="center"/>
          </w:tcPr>
          <w:p w14:paraId="6D239B0B">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26A11B9D">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4347F725">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61D8A48D">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3.存在围标或串标情形的；</w:t>
            </w:r>
          </w:p>
          <w:p w14:paraId="5A86229F">
            <w:pPr>
              <w:spacing w:line="276" w:lineRule="auto"/>
              <w:rPr>
                <w:rFonts w:ascii="宋体" w:hAnsi="宋体" w:cs="宋体"/>
                <w:color w:val="auto"/>
                <w:szCs w:val="21"/>
                <w:highlight w:val="none"/>
              </w:rPr>
            </w:pPr>
            <w:r>
              <w:rPr>
                <w:rFonts w:hint="eastAsia" w:ascii="宋体" w:hAnsi="宋体"/>
                <w:color w:val="auto"/>
                <w:szCs w:val="21"/>
                <w:highlight w:val="none"/>
              </w:rPr>
              <w:t>4.存在弄虚作假骗取中标情形的；</w:t>
            </w:r>
          </w:p>
        </w:tc>
      </w:tr>
      <w:tr w14:paraId="76EB6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79F44C3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613" w:type="dxa"/>
            <w:vAlign w:val="center"/>
          </w:tcPr>
          <w:p w14:paraId="14CA6913">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招标失败情形</w:t>
            </w:r>
          </w:p>
        </w:tc>
        <w:tc>
          <w:tcPr>
            <w:tcW w:w="5774" w:type="dxa"/>
            <w:vAlign w:val="center"/>
          </w:tcPr>
          <w:p w14:paraId="0C6094DB">
            <w:pPr>
              <w:pStyle w:val="8"/>
              <w:spacing w:line="276" w:lineRule="auto"/>
              <w:rPr>
                <w:rFonts w:ascii="宋体" w:hAnsi="宋体" w:cs="宋体"/>
                <w:strike/>
                <w:color w:val="auto"/>
                <w:szCs w:val="21"/>
                <w:highlight w:val="none"/>
              </w:rPr>
            </w:pPr>
            <w:r>
              <w:rPr>
                <w:rFonts w:hint="eastAsia" w:ascii="宋体" w:hAnsi="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4AE2A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59" w:type="dxa"/>
            <w:vAlign w:val="center"/>
          </w:tcPr>
          <w:p w14:paraId="4EFBAE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613" w:type="dxa"/>
            <w:vAlign w:val="center"/>
          </w:tcPr>
          <w:p w14:paraId="3EB6AAFA">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57403B11">
            <w:pPr>
              <w:pStyle w:val="8"/>
              <w:spacing w:line="276" w:lineRule="auto"/>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在产生中标候选人后，招标人将中标候选人的投标文件商务部分的电子版（报价清单、方案等涉及商业秘密的内容除外）在广州公共资源交易中心网站公开。</w:t>
            </w:r>
          </w:p>
          <w:p w14:paraId="002836FA">
            <w:pPr>
              <w:pStyle w:val="8"/>
              <w:spacing w:line="276" w:lineRule="auto"/>
              <w:rPr>
                <w:rFonts w:ascii="宋体" w:hAnsi="宋体"/>
                <w:color w:val="auto"/>
                <w:szCs w:val="21"/>
                <w:highlight w:val="none"/>
              </w:rPr>
            </w:pPr>
            <w:r>
              <w:rPr>
                <w:rFonts w:hint="eastAsia" w:ascii="宋体" w:hAnsi="宋体"/>
                <w:color w:val="auto"/>
                <w:szCs w:val="21"/>
                <w:highlight w:val="none"/>
              </w:rPr>
              <w:t>2.中标人代缴广州公共资源交易中心交易服务费，其费用包含在中标人报价中，由广州公共资源交易中心向中标人开具增值税发票。</w:t>
            </w:r>
          </w:p>
          <w:p w14:paraId="7D590472">
            <w:pPr>
              <w:pStyle w:val="8"/>
              <w:spacing w:line="240" w:lineRule="auto"/>
              <w:rPr>
                <w:rFonts w:hint="eastAsia" w:ascii="宋体" w:hAnsi="宋体"/>
                <w:color w:val="auto"/>
                <w:szCs w:val="21"/>
                <w:highlight w:val="none"/>
              </w:rPr>
            </w:pPr>
            <w:r>
              <w:rPr>
                <w:rFonts w:hint="eastAsia" w:ascii="宋体" w:hAnsi="宋体"/>
                <w:color w:val="auto"/>
                <w:szCs w:val="21"/>
                <w:highlight w:val="none"/>
              </w:rPr>
              <w:t>3.发放中标通知书后3个工作日内投标人需到招标人处，在招标人、招标代理、投标人三方共同见证下，将在广州公共资源交易中心网站下载的投标文件打印，并三方签名确认，投标人加盖公章，然后再复印4套，合共5套投标文件提供给招标人，相关费用由投标人支付。</w:t>
            </w:r>
          </w:p>
          <w:p w14:paraId="7A3E82BC">
            <w:pPr>
              <w:pStyle w:val="8"/>
              <w:spacing w:line="276" w:lineRule="auto"/>
              <w:rPr>
                <w:rFonts w:hint="eastAsia" w:ascii="宋体" w:hAnsi="宋体"/>
                <w:color w:val="auto"/>
                <w:szCs w:val="21"/>
                <w:highlight w:val="none"/>
              </w:rPr>
            </w:pPr>
          </w:p>
        </w:tc>
      </w:tr>
    </w:tbl>
    <w:p w14:paraId="0326CA6E">
      <w:pPr>
        <w:keepNext/>
        <w:keepLines/>
        <w:spacing w:line="360" w:lineRule="auto"/>
        <w:jc w:val="center"/>
        <w:outlineLvl w:val="1"/>
        <w:rPr>
          <w:rFonts w:ascii="宋体" w:hAnsi="宋体" w:cs="宋体"/>
          <w:b/>
          <w:bCs/>
          <w:color w:val="auto"/>
          <w:kern w:val="44"/>
          <w:sz w:val="36"/>
          <w:szCs w:val="36"/>
          <w:highlight w:val="none"/>
        </w:rPr>
      </w:pPr>
      <w:r>
        <w:rPr>
          <w:rFonts w:hint="eastAsia" w:ascii="宋体" w:hAnsi="宋体" w:cs="宋体"/>
          <w:b/>
          <w:bCs/>
          <w:color w:val="auto"/>
          <w:kern w:val="44"/>
          <w:sz w:val="44"/>
          <w:szCs w:val="44"/>
          <w:highlight w:val="none"/>
        </w:rPr>
        <w:br w:type="page"/>
      </w:r>
      <w:bookmarkStart w:id="32" w:name="_Toc8303"/>
      <w:bookmarkStart w:id="33" w:name="_Toc7730"/>
      <w:bookmarkStart w:id="34" w:name="_Toc191"/>
      <w:bookmarkStart w:id="35" w:name="_Toc21141"/>
      <w:bookmarkStart w:id="36" w:name="_Toc532367872"/>
      <w:r>
        <w:rPr>
          <w:rFonts w:hint="eastAsia" w:ascii="宋体" w:hAnsi="宋体" w:cs="宋体"/>
          <w:b/>
          <w:bCs/>
          <w:color w:val="auto"/>
          <w:kern w:val="44"/>
          <w:sz w:val="36"/>
          <w:szCs w:val="36"/>
          <w:highlight w:val="none"/>
        </w:rPr>
        <w:t>投标人须知</w:t>
      </w:r>
      <w:bookmarkEnd w:id="32"/>
      <w:bookmarkEnd w:id="33"/>
      <w:bookmarkEnd w:id="34"/>
      <w:bookmarkEnd w:id="35"/>
      <w:bookmarkEnd w:id="36"/>
    </w:p>
    <w:p w14:paraId="09BDE421">
      <w:pPr>
        <w:keepNext/>
        <w:keepLines/>
        <w:spacing w:line="360" w:lineRule="auto"/>
        <w:jc w:val="left"/>
        <w:outlineLvl w:val="1"/>
        <w:rPr>
          <w:rFonts w:ascii="宋体" w:hAnsi="宋体" w:cs="宋体"/>
          <w:b/>
          <w:bCs/>
          <w:color w:val="auto"/>
          <w:sz w:val="32"/>
          <w:szCs w:val="32"/>
          <w:highlight w:val="none"/>
        </w:rPr>
      </w:pPr>
      <w:bookmarkStart w:id="37" w:name="_Toc31905"/>
      <w:bookmarkStart w:id="38" w:name="_Toc532367873"/>
      <w:bookmarkStart w:id="39" w:name="_Toc32719"/>
      <w:bookmarkStart w:id="40" w:name="_Toc29570"/>
      <w:bookmarkStart w:id="41" w:name="_Toc7950"/>
      <w:bookmarkStart w:id="42" w:name="_Toc29394"/>
      <w:bookmarkStart w:id="43" w:name="_Toc21041"/>
      <w:bookmarkStart w:id="44" w:name="_Toc27896"/>
      <w:bookmarkStart w:id="45" w:name="_Toc9352"/>
      <w:bookmarkStart w:id="46" w:name="_Toc377719900"/>
      <w:bookmarkStart w:id="47" w:name="_Toc8300"/>
      <w:bookmarkStart w:id="48" w:name="_Toc6964"/>
      <w:bookmarkStart w:id="49" w:name="_Toc13865"/>
      <w:r>
        <w:rPr>
          <w:rFonts w:hint="eastAsia" w:ascii="宋体" w:hAnsi="宋体" w:cs="宋体"/>
          <w:b/>
          <w:bCs/>
          <w:color w:val="auto"/>
          <w:sz w:val="32"/>
          <w:szCs w:val="32"/>
          <w:highlight w:val="none"/>
        </w:rPr>
        <w:t>1.总则</w:t>
      </w:r>
      <w:bookmarkEnd w:id="37"/>
      <w:bookmarkEnd w:id="38"/>
      <w:bookmarkEnd w:id="39"/>
      <w:bookmarkEnd w:id="40"/>
      <w:bookmarkEnd w:id="41"/>
      <w:bookmarkEnd w:id="42"/>
      <w:bookmarkEnd w:id="43"/>
      <w:bookmarkEnd w:id="44"/>
      <w:bookmarkEnd w:id="45"/>
      <w:bookmarkEnd w:id="46"/>
      <w:bookmarkEnd w:id="47"/>
      <w:bookmarkEnd w:id="48"/>
      <w:bookmarkEnd w:id="49"/>
    </w:p>
    <w:p w14:paraId="735855EF">
      <w:pPr>
        <w:keepNext/>
        <w:keepLines/>
        <w:spacing w:line="360" w:lineRule="auto"/>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1.1 招标项目概况</w:t>
      </w:r>
    </w:p>
    <w:p w14:paraId="415F202C">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1.1.1根据《中华人民共和国招标投标法》、《中华人民共和国招标投标法实施条例》等有关法律、法规和规章的规定，本招标项目已具备招标条件，现对检测、监测服务进行招标。</w:t>
      </w:r>
    </w:p>
    <w:p w14:paraId="7FEE6C49">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14:paraId="345B8F7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14:paraId="6E852C3F">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14:paraId="2ECB7E00">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14:paraId="57074335">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14:paraId="6DD78CB9">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14:paraId="4D3CBC75">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1.1.8建筑安装工程费/工程概算：见投标人须知前附表。</w:t>
      </w:r>
    </w:p>
    <w:p w14:paraId="34BF67FF">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1.2 招标项目的资金来源和落实情况</w:t>
      </w:r>
    </w:p>
    <w:p w14:paraId="663FD0E8">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14:paraId="3EC5CC22">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14:paraId="6A631F13">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1.3 招标内容、服务期限和质量标准</w:t>
      </w:r>
    </w:p>
    <w:p w14:paraId="1793CF8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1.3.1招标范围及内容：见投标人须知前附表。</w:t>
      </w:r>
    </w:p>
    <w:p w14:paraId="2C8223D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14:paraId="619FFC0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14:paraId="2C2E5AB8">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1.4 投标人资格要求</w:t>
      </w:r>
    </w:p>
    <w:p w14:paraId="2BBAF45B">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14:paraId="0BB97DB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14:paraId="2C9C63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14:paraId="26858BF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14:paraId="46181DA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14:paraId="360B698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（5）项目负责人的资格要求：具体要求见投标人须知前附表；</w:t>
      </w:r>
    </w:p>
    <w:p w14:paraId="255F266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14:paraId="26970A3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（7）试验检测及监测仪器设备要求：见投标人须知前附表。</w:t>
      </w:r>
    </w:p>
    <w:p w14:paraId="5B8D853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14:paraId="7F38F08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14:paraId="13D588A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（1）联合体各方应按招标文件提供的格式签订联合体协议书，明确联合体牵头方和各方权利义务，并承诺就中标项目向招标人承担连带责任；</w:t>
      </w:r>
    </w:p>
    <w:p w14:paraId="59293B0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（2）联合体各方不得再以自己名义单独或参加其他联合体在本招标项目中投标，否则各相关投标均无效。</w:t>
      </w:r>
    </w:p>
    <w:p w14:paraId="5A732EC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14:paraId="01F117A5">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60623A8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4CAF9046">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554FC602">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7EE8B20A">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（5）为本招标项目的代建人；</w:t>
      </w:r>
    </w:p>
    <w:p w14:paraId="2E431346">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18508E7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733D9A8F">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57575211">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1796B23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（10）被依法暂停或者取消投标资格；</w:t>
      </w:r>
    </w:p>
    <w:p w14:paraId="26D90BB4">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（11）被责令停产停业、暂扣或者吊销许可证、暂扣或者吊销执照；</w:t>
      </w:r>
    </w:p>
    <w:p w14:paraId="5EDDA741">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（12）进入清算程序，或被宣告破产，或其他丧失履约能力的情形；</w:t>
      </w:r>
    </w:p>
    <w:p w14:paraId="77AB1E46">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（13）在最近两年内发生重大检测质量问题（以相关行业主管部门的行政处罚决定或司法机关出具的有关法律文书为准）；</w:t>
      </w:r>
    </w:p>
    <w:p w14:paraId="1E05CA75">
      <w:pPr>
        <w:pStyle w:val="19"/>
        <w:spacing w:after="0" w:line="360" w:lineRule="auto"/>
        <w:rPr>
          <w:rFonts w:ascii="宋体" w:hAnsi="宋体" w:cs="宋体"/>
          <w:color w:val="auto"/>
          <w:sz w:val="24"/>
          <w:highlight w:val="none"/>
        </w:rPr>
      </w:pPr>
      <w:r>
        <w:rPr>
          <w:rFonts w:hint="eastAsia" w:ascii="宋体" w:hAnsi="宋体" w:cs="宋体"/>
          <w:color w:val="auto"/>
          <w:sz w:val="24"/>
          <w:highlight w:val="none"/>
        </w:rPr>
        <w:t>（14）法律法规或投标人须知前附表规定的其他情形。</w:t>
      </w:r>
    </w:p>
    <w:p w14:paraId="044A0C56">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1.5 费用承担</w:t>
      </w:r>
    </w:p>
    <w:p w14:paraId="210801D7">
      <w:pPr>
        <w:pStyle w:val="10"/>
        <w:kinsoku w:val="0"/>
        <w:overflowPunct w:val="0"/>
        <w:spacing w:after="0"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1B676EAE">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1.6 保密</w:t>
      </w:r>
    </w:p>
    <w:p w14:paraId="776ECDEE">
      <w:pPr>
        <w:pStyle w:val="10"/>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544254C2">
      <w:pPr>
        <w:kinsoku w:val="0"/>
        <w:overflowPunct w:val="0"/>
        <w:spacing w:line="360" w:lineRule="auto"/>
        <w:outlineLvl w:val="2"/>
        <w:rPr>
          <w:rFonts w:ascii="宋体" w:hAnsi="宋体" w:cs="宋体"/>
          <w:b/>
          <w:bCs/>
          <w:color w:val="auto"/>
          <w:sz w:val="28"/>
          <w:szCs w:val="32"/>
          <w:highlight w:val="none"/>
        </w:rPr>
      </w:pPr>
      <w:bookmarkStart w:id="50" w:name="bookmark27"/>
      <w:bookmarkEnd w:id="50"/>
      <w:r>
        <w:rPr>
          <w:rFonts w:hint="eastAsia" w:ascii="宋体" w:hAnsi="宋体" w:cs="宋体"/>
          <w:b/>
          <w:bCs/>
          <w:color w:val="auto"/>
          <w:sz w:val="28"/>
          <w:szCs w:val="32"/>
          <w:highlight w:val="none"/>
        </w:rPr>
        <w:t>1.7 语言文字</w:t>
      </w:r>
    </w:p>
    <w:p w14:paraId="56561007">
      <w:pPr>
        <w:pStyle w:val="10"/>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0E072068">
      <w:pPr>
        <w:kinsoku w:val="0"/>
        <w:overflowPunct w:val="0"/>
        <w:spacing w:line="360" w:lineRule="auto"/>
        <w:outlineLvl w:val="2"/>
        <w:rPr>
          <w:rFonts w:ascii="宋体" w:hAnsi="宋体" w:cs="宋体"/>
          <w:b/>
          <w:bCs/>
          <w:color w:val="auto"/>
          <w:sz w:val="28"/>
          <w:szCs w:val="32"/>
          <w:highlight w:val="none"/>
        </w:rPr>
      </w:pPr>
      <w:bookmarkStart w:id="51" w:name="bookmark28"/>
      <w:bookmarkEnd w:id="51"/>
      <w:r>
        <w:rPr>
          <w:rFonts w:hint="eastAsia" w:ascii="宋体" w:hAnsi="宋体" w:cs="宋体"/>
          <w:b/>
          <w:bCs/>
          <w:color w:val="auto"/>
          <w:sz w:val="28"/>
          <w:szCs w:val="32"/>
          <w:highlight w:val="none"/>
        </w:rPr>
        <w:t>1.8 计量单位</w:t>
      </w:r>
    </w:p>
    <w:p w14:paraId="73672039">
      <w:pPr>
        <w:pStyle w:val="10"/>
        <w:kinsoku w:val="0"/>
        <w:overflowPunct w:val="0"/>
        <w:spacing w:after="0"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所有计量均采用中华人民共和国法定计量单位。</w:t>
      </w:r>
    </w:p>
    <w:p w14:paraId="389D3DBF">
      <w:pPr>
        <w:kinsoku w:val="0"/>
        <w:overflowPunct w:val="0"/>
        <w:spacing w:line="360" w:lineRule="auto"/>
        <w:outlineLvl w:val="2"/>
        <w:rPr>
          <w:rFonts w:ascii="宋体" w:hAnsi="宋体" w:cs="宋体"/>
          <w:b/>
          <w:bCs/>
          <w:color w:val="auto"/>
          <w:sz w:val="28"/>
          <w:szCs w:val="32"/>
          <w:highlight w:val="none"/>
        </w:rPr>
      </w:pPr>
      <w:bookmarkStart w:id="52" w:name="bookmark29"/>
      <w:bookmarkEnd w:id="52"/>
      <w:r>
        <w:rPr>
          <w:rFonts w:hint="eastAsia" w:ascii="宋体" w:hAnsi="宋体" w:cs="宋体"/>
          <w:b/>
          <w:bCs/>
          <w:color w:val="auto"/>
          <w:sz w:val="28"/>
          <w:szCs w:val="32"/>
          <w:highlight w:val="none"/>
        </w:rPr>
        <w:t>1.9 踏勘现场</w:t>
      </w:r>
    </w:p>
    <w:p w14:paraId="5BBF9F82">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1.9.1投标人须知前附表规定组织踏勘现场的，招标人按投标人须知前附表规定的时间、地点组织投标人踏勘项目现场。部分投标人未按时参加踏勘现场的，不影响踏勘现场的正常进行。</w:t>
      </w:r>
    </w:p>
    <w:p w14:paraId="1B06B01C">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1.9.2投标人踏勘现场发生的费用自理。</w:t>
      </w:r>
    </w:p>
    <w:p w14:paraId="79939756">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1.9.3除招标人的原因外，投标人自行负责在踏勘现场中所发生的人员伤亡和财产损失。</w:t>
      </w:r>
    </w:p>
    <w:p w14:paraId="780B79E0">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1.9.4招标人在踏勘现场中介绍的工程场地和相关的周边环境情况，供投标人在编制投标文件时参考，招标人不对投标人据此作出的判断和决策负责。</w:t>
      </w:r>
    </w:p>
    <w:p w14:paraId="7C7E7486">
      <w:pPr>
        <w:kinsoku w:val="0"/>
        <w:overflowPunct w:val="0"/>
        <w:spacing w:line="360" w:lineRule="auto"/>
        <w:outlineLvl w:val="2"/>
        <w:rPr>
          <w:rFonts w:ascii="宋体" w:hAnsi="宋体" w:cs="宋体"/>
          <w:b/>
          <w:bCs/>
          <w:color w:val="auto"/>
          <w:sz w:val="28"/>
          <w:szCs w:val="32"/>
          <w:highlight w:val="none"/>
        </w:rPr>
      </w:pPr>
      <w:bookmarkStart w:id="53" w:name="bookmark30"/>
      <w:bookmarkEnd w:id="53"/>
      <w:r>
        <w:rPr>
          <w:rFonts w:hint="eastAsia" w:ascii="宋体" w:hAnsi="宋体" w:cs="宋体"/>
          <w:b/>
          <w:bCs/>
          <w:color w:val="auto"/>
          <w:sz w:val="28"/>
          <w:szCs w:val="32"/>
          <w:highlight w:val="none"/>
        </w:rPr>
        <w:t>1.10 投标预备会</w:t>
      </w:r>
    </w:p>
    <w:p w14:paraId="35910166">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1.10.1投标人须知前附表规定召开投标预备会的，招标人按投标人须知前附表规定的时间和地点召开投标预备会，澄清投标人提出的问题。</w:t>
      </w:r>
    </w:p>
    <w:p w14:paraId="714AD3C1">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1.10.2投标人应按投标人须知前附表规定的时间和形式将提出的问题送达招标人，以便招标人在会议期间澄清。</w:t>
      </w:r>
    </w:p>
    <w:p w14:paraId="5901C549">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1.10.3投标预备会后，招标人将对投标人所提问题的澄清，以投标人须知前附表规定的形式通知所有潜在投标人。该澄清内容为招标文件的组成部分。</w:t>
      </w:r>
      <w:bookmarkStart w:id="54" w:name="bookmark31"/>
      <w:bookmarkEnd w:id="54"/>
    </w:p>
    <w:p w14:paraId="6D4D0B63">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1.11 分包</w:t>
      </w:r>
    </w:p>
    <w:p w14:paraId="27E347A0">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具体约定按合同相应条款执行。</w:t>
      </w:r>
    </w:p>
    <w:p w14:paraId="4BC59494">
      <w:pPr>
        <w:kinsoku w:val="0"/>
        <w:overflowPunct w:val="0"/>
        <w:spacing w:line="360" w:lineRule="auto"/>
        <w:outlineLvl w:val="2"/>
        <w:rPr>
          <w:rFonts w:ascii="宋体" w:hAnsi="宋体" w:cs="宋体"/>
          <w:b/>
          <w:bCs/>
          <w:color w:val="auto"/>
          <w:sz w:val="28"/>
          <w:szCs w:val="32"/>
          <w:highlight w:val="none"/>
        </w:rPr>
      </w:pPr>
      <w:bookmarkStart w:id="55" w:name="bookmark32"/>
      <w:bookmarkEnd w:id="55"/>
      <w:r>
        <w:rPr>
          <w:rFonts w:hint="eastAsia" w:ascii="宋体" w:hAnsi="宋体" w:cs="宋体"/>
          <w:b/>
          <w:bCs/>
          <w:color w:val="auto"/>
          <w:sz w:val="28"/>
          <w:szCs w:val="32"/>
          <w:highlight w:val="none"/>
        </w:rPr>
        <w:t>1.12 响应和偏差</w:t>
      </w:r>
    </w:p>
    <w:p w14:paraId="70FB355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14:paraId="417CD811">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1.12.2投标人应根据招标文件的要求提供技术方案等内容以对招标文件作出响应。</w:t>
      </w:r>
    </w:p>
    <w:p w14:paraId="3CE01D2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1.12.3投标人须知前附表允许投标文件偏离招标文件某些要求，偏差应当符合招标文件规定的偏差范围和幅度。</w:t>
      </w:r>
      <w:bookmarkStart w:id="56" w:name="_Toc31365"/>
      <w:bookmarkStart w:id="57" w:name="_Toc22910"/>
      <w:bookmarkStart w:id="58" w:name="_Toc4330"/>
      <w:bookmarkStart w:id="59" w:name="_Toc8885"/>
      <w:bookmarkStart w:id="60" w:name="_Toc532367874"/>
      <w:bookmarkStart w:id="61" w:name="_Toc3119"/>
      <w:bookmarkStart w:id="62" w:name="_Toc377719901"/>
      <w:bookmarkStart w:id="63" w:name="_Toc8160"/>
    </w:p>
    <w:p w14:paraId="63AA0FCA">
      <w:pPr>
        <w:keepNext/>
        <w:keepLines/>
        <w:spacing w:line="360" w:lineRule="auto"/>
        <w:outlineLvl w:val="1"/>
        <w:rPr>
          <w:rFonts w:ascii="宋体" w:hAnsi="宋体" w:cs="宋体"/>
          <w:b/>
          <w:bCs/>
          <w:color w:val="auto"/>
          <w:sz w:val="32"/>
          <w:szCs w:val="32"/>
          <w:highlight w:val="none"/>
        </w:rPr>
      </w:pPr>
      <w:bookmarkStart w:id="64" w:name="_Toc24924"/>
      <w:bookmarkStart w:id="65" w:name="_Toc32443"/>
      <w:bookmarkStart w:id="66" w:name="_Toc19508"/>
      <w:bookmarkStart w:id="67" w:name="_Toc31503"/>
      <w:bookmarkStart w:id="68" w:name="_Toc16602"/>
      <w:r>
        <w:rPr>
          <w:rFonts w:hint="eastAsia" w:ascii="宋体" w:hAnsi="宋体" w:cs="宋体"/>
          <w:b/>
          <w:bCs/>
          <w:color w:val="auto"/>
          <w:sz w:val="32"/>
          <w:szCs w:val="32"/>
          <w:highlight w:val="none"/>
        </w:rPr>
        <w:t>2.招标文件</w:t>
      </w:r>
      <w:bookmarkEnd w:id="56"/>
      <w:bookmarkEnd w:id="57"/>
      <w:bookmarkEnd w:id="58"/>
      <w:bookmarkEnd w:id="59"/>
      <w:bookmarkEnd w:id="60"/>
      <w:bookmarkEnd w:id="61"/>
      <w:bookmarkEnd w:id="62"/>
      <w:bookmarkEnd w:id="63"/>
      <w:bookmarkEnd w:id="64"/>
      <w:bookmarkEnd w:id="65"/>
      <w:bookmarkEnd w:id="66"/>
      <w:bookmarkEnd w:id="67"/>
      <w:bookmarkEnd w:id="68"/>
    </w:p>
    <w:p w14:paraId="3448B48E">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2.1  招标文件的组成</w:t>
      </w:r>
    </w:p>
    <w:p w14:paraId="10E919A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4C746B0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（1）招标公告（或投标邀请书）；</w:t>
      </w:r>
    </w:p>
    <w:p w14:paraId="56AD722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061008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（3）评标办法；</w:t>
      </w:r>
    </w:p>
    <w:p w14:paraId="7C54449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6CF5698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（5）招标人要求；</w:t>
      </w:r>
    </w:p>
    <w:p w14:paraId="5511E8B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（6）工程量清单项目计量计价原则；</w:t>
      </w:r>
    </w:p>
    <w:p w14:paraId="1772C34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（7）投标文件格式；</w:t>
      </w:r>
    </w:p>
    <w:p w14:paraId="196A779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（8）投标人须知前附表规定的其他资料。</w:t>
      </w:r>
    </w:p>
    <w:p w14:paraId="0F2D85C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14:paraId="1EEEFD3B">
      <w:pPr>
        <w:keepNext/>
        <w:keepLines/>
        <w:spacing w:line="360" w:lineRule="auto"/>
        <w:outlineLvl w:val="2"/>
        <w:rPr>
          <w:rFonts w:ascii="宋体" w:hAnsi="宋体" w:cs="宋体"/>
          <w:b/>
          <w:bCs/>
          <w:color w:val="auto"/>
          <w:sz w:val="28"/>
          <w:szCs w:val="32"/>
          <w:highlight w:val="none"/>
        </w:rPr>
      </w:pPr>
      <w:bookmarkStart w:id="69" w:name="_Toc377719902"/>
      <w:r>
        <w:rPr>
          <w:rFonts w:hint="eastAsia" w:ascii="宋体" w:hAnsi="宋体" w:cs="宋体"/>
          <w:b/>
          <w:bCs/>
          <w:color w:val="auto"/>
          <w:sz w:val="28"/>
          <w:szCs w:val="32"/>
          <w:highlight w:val="none"/>
        </w:rPr>
        <w:t>2.2.招标文件的澄清</w:t>
      </w:r>
    </w:p>
    <w:p w14:paraId="12663C2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0E7E0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68095DD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投标人在收到澄清后，应按投标人须知前附表规定的时间和形式通知招标人，确认已收到该澄清。</w:t>
      </w:r>
    </w:p>
    <w:p w14:paraId="21B3707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2.2.4除非招标人认为确有必要答复，否则，招标人有权拒绝回复投标人在本章第2.2.1项规定的时间后的任何澄清要求。</w:t>
      </w:r>
    </w:p>
    <w:p w14:paraId="2A1E55C4">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2.3 招标文件的修改</w:t>
      </w:r>
    </w:p>
    <w:p w14:paraId="77CC812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14:paraId="1D8FEE9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2.3.2投标人收到修改内容后，应按投标人须知前附表规定的时间和形式通知招标人，确认已收到该修改。</w:t>
      </w:r>
    </w:p>
    <w:p w14:paraId="72E09C8A">
      <w:pPr>
        <w:kinsoku w:val="0"/>
        <w:overflowPunct w:val="0"/>
        <w:spacing w:line="360" w:lineRule="auto"/>
        <w:outlineLvl w:val="2"/>
        <w:rPr>
          <w:rFonts w:ascii="宋体" w:hAnsi="宋体" w:cs="宋体"/>
          <w:b/>
          <w:bCs/>
          <w:color w:val="auto"/>
          <w:sz w:val="28"/>
          <w:szCs w:val="32"/>
          <w:highlight w:val="none"/>
        </w:rPr>
      </w:pPr>
      <w:bookmarkStart w:id="70" w:name="bookmark37"/>
      <w:bookmarkEnd w:id="70"/>
      <w:r>
        <w:rPr>
          <w:rFonts w:hint="eastAsia" w:ascii="宋体" w:hAnsi="宋体" w:cs="宋体"/>
          <w:b/>
          <w:bCs/>
          <w:color w:val="auto"/>
          <w:sz w:val="28"/>
          <w:szCs w:val="32"/>
          <w:highlight w:val="none"/>
        </w:rPr>
        <w:t>2.4 招标文件的异议</w:t>
      </w:r>
    </w:p>
    <w:p w14:paraId="565E527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14:paraId="4C59EED8">
      <w:pPr>
        <w:keepNext/>
        <w:keepLines/>
        <w:spacing w:line="360" w:lineRule="auto"/>
        <w:jc w:val="left"/>
        <w:outlineLvl w:val="1"/>
        <w:rPr>
          <w:rFonts w:ascii="宋体" w:hAnsi="宋体" w:cs="宋体"/>
          <w:b/>
          <w:bCs/>
          <w:color w:val="auto"/>
          <w:sz w:val="32"/>
          <w:szCs w:val="32"/>
          <w:highlight w:val="none"/>
        </w:rPr>
      </w:pPr>
      <w:bookmarkStart w:id="71" w:name="_Toc25907"/>
      <w:bookmarkStart w:id="72" w:name="_Toc3526"/>
      <w:bookmarkStart w:id="73" w:name="_Toc30380"/>
      <w:bookmarkStart w:id="74" w:name="_Toc23329"/>
      <w:bookmarkStart w:id="75" w:name="_Toc6920"/>
      <w:bookmarkStart w:id="76" w:name="_Toc14848"/>
      <w:bookmarkStart w:id="77" w:name="_Toc1157"/>
      <w:bookmarkStart w:id="78" w:name="_Toc532367875"/>
      <w:bookmarkStart w:id="79" w:name="_Toc15723"/>
      <w:bookmarkStart w:id="80" w:name="_Toc29001"/>
      <w:bookmarkStart w:id="81" w:name="_Toc7699"/>
      <w:bookmarkStart w:id="82" w:name="_Toc25005"/>
      <w:r>
        <w:rPr>
          <w:rFonts w:hint="eastAsia" w:ascii="宋体" w:hAnsi="宋体" w:cs="宋体"/>
          <w:b/>
          <w:bCs/>
          <w:color w:val="auto"/>
          <w:sz w:val="32"/>
          <w:szCs w:val="32"/>
          <w:highlight w:val="none"/>
        </w:rPr>
        <w:t>3.投标文件</w:t>
      </w:r>
      <w:bookmarkEnd w:id="69"/>
      <w:bookmarkEnd w:id="71"/>
      <w:bookmarkEnd w:id="72"/>
      <w:bookmarkEnd w:id="73"/>
      <w:bookmarkEnd w:id="74"/>
      <w:bookmarkEnd w:id="75"/>
      <w:bookmarkEnd w:id="76"/>
      <w:bookmarkEnd w:id="77"/>
      <w:bookmarkEnd w:id="78"/>
      <w:bookmarkEnd w:id="79"/>
      <w:bookmarkEnd w:id="80"/>
      <w:bookmarkEnd w:id="81"/>
      <w:bookmarkEnd w:id="82"/>
    </w:p>
    <w:p w14:paraId="6DDF19B4">
      <w:pPr>
        <w:keepNext/>
        <w:keepLines/>
        <w:spacing w:line="360" w:lineRule="auto"/>
        <w:outlineLvl w:val="2"/>
        <w:rPr>
          <w:rFonts w:hint="eastAsia" w:ascii="宋体" w:hAnsi="宋体" w:cs="宋体"/>
          <w:b/>
          <w:bCs/>
          <w:color w:val="auto"/>
          <w:sz w:val="28"/>
          <w:szCs w:val="32"/>
          <w:highlight w:val="none"/>
        </w:rPr>
      </w:pPr>
      <w:r>
        <w:rPr>
          <w:rFonts w:hint="eastAsia" w:ascii="宋体" w:hAnsi="宋体" w:cs="宋体"/>
          <w:b/>
          <w:bCs/>
          <w:color w:val="auto"/>
          <w:sz w:val="28"/>
          <w:szCs w:val="32"/>
          <w:highlight w:val="none"/>
        </w:rPr>
        <w:t>3.1  组成投标文件的文件</w:t>
      </w:r>
    </w:p>
    <w:p w14:paraId="433D0C37">
      <w:pPr>
        <w:keepNext/>
        <w:keepLines/>
        <w:spacing w:line="360" w:lineRule="auto"/>
        <w:ind w:firstLine="482" w:firstLineChars="200"/>
        <w:outlineLvl w:val="2"/>
        <w:rPr>
          <w:rFonts w:hint="eastAsia" w:ascii="宋体" w:hAnsi="宋体" w:cs="宋体"/>
          <w:b/>
          <w:bCs/>
          <w:color w:val="auto"/>
          <w:sz w:val="24"/>
          <w:szCs w:val="24"/>
          <w:highlight w:val="none"/>
        </w:rPr>
      </w:pPr>
      <w:r>
        <w:rPr>
          <w:rFonts w:hint="eastAsia"/>
          <w:b/>
          <w:color w:val="auto"/>
          <w:sz w:val="24"/>
          <w:szCs w:val="24"/>
          <w:highlight w:val="none"/>
          <w:u w:val="single"/>
        </w:rPr>
        <w:t>投标文件由评标部分及定标部分两部分组成，各部分文件应分别编制。</w:t>
      </w:r>
    </w:p>
    <w:p w14:paraId="427E01F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3.1.1投标文件</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评标部分</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应包括下列内容：</w:t>
      </w:r>
    </w:p>
    <w:p w14:paraId="63AF1C6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r>
        <w:rPr>
          <w:rFonts w:hint="eastAsia" w:ascii="宋体" w:hAnsi="宋体" w:cs="宋体"/>
          <w:color w:val="auto"/>
          <w:sz w:val="24"/>
          <w:szCs w:val="24"/>
          <w:highlight w:val="none"/>
        </w:rPr>
        <w:tab/>
      </w:r>
    </w:p>
    <w:p w14:paraId="7656ED7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（2）法定代表人证明书及授权委托书</w:t>
      </w:r>
      <w:r>
        <w:rPr>
          <w:rFonts w:hint="eastAsia" w:ascii="宋体" w:hAnsi="宋体" w:cs="宋体"/>
          <w:color w:val="auto"/>
          <w:sz w:val="24"/>
          <w:szCs w:val="24"/>
          <w:highlight w:val="none"/>
        </w:rPr>
        <w:tab/>
      </w:r>
    </w:p>
    <w:p w14:paraId="5E9EE941">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（3）关于投标保证金的承诺；</w:t>
      </w:r>
    </w:p>
    <w:p w14:paraId="0B2F74CB">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（4）联合体协议书（如有）</w:t>
      </w:r>
      <w:r>
        <w:rPr>
          <w:rFonts w:hint="eastAsia" w:ascii="宋体" w:hAnsi="宋体" w:cs="宋体"/>
          <w:color w:val="auto"/>
          <w:sz w:val="24"/>
          <w:szCs w:val="24"/>
          <w:highlight w:val="none"/>
          <w:u w:val="single"/>
        </w:rPr>
        <w:tab/>
      </w:r>
    </w:p>
    <w:p w14:paraId="64AE6CB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（5）资格审查资料</w:t>
      </w:r>
      <w:r>
        <w:rPr>
          <w:rFonts w:hint="eastAsia" w:ascii="宋体" w:hAnsi="宋体" w:cs="宋体"/>
          <w:color w:val="auto"/>
          <w:sz w:val="24"/>
          <w:szCs w:val="24"/>
          <w:highlight w:val="none"/>
        </w:rPr>
        <w:tab/>
      </w:r>
    </w:p>
    <w:p w14:paraId="328E9A96">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（6）类似项目业绩表</w:t>
      </w:r>
      <w:r>
        <w:rPr>
          <w:rFonts w:hint="eastAsia" w:ascii="宋体" w:hAnsi="宋体" w:cs="宋体"/>
          <w:color w:val="auto"/>
          <w:sz w:val="24"/>
          <w:szCs w:val="24"/>
          <w:highlight w:val="none"/>
          <w:u w:val="single"/>
        </w:rPr>
        <w:tab/>
      </w:r>
    </w:p>
    <w:p w14:paraId="6BD5A1F7">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（7）拟投入本项目的人员一览表</w:t>
      </w:r>
    </w:p>
    <w:p w14:paraId="1B243C55">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（8）拟投入本项目的人员简历表</w:t>
      </w:r>
    </w:p>
    <w:p w14:paraId="093FB66E">
      <w:pPr>
        <w:spacing w:line="360" w:lineRule="auto"/>
        <w:ind w:firstLine="484" w:firstLineChars="202"/>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（9）拟投入本项目的主要仪器设备一览表</w:t>
      </w:r>
    </w:p>
    <w:p w14:paraId="345329A2">
      <w:pPr>
        <w:spacing w:line="360" w:lineRule="auto"/>
        <w:ind w:firstLine="484" w:firstLineChars="202"/>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val="en-US" w:eastAsia="zh-CN"/>
        </w:rPr>
        <w:t>)检测监测</w:t>
      </w:r>
      <w:r>
        <w:rPr>
          <w:rFonts w:hint="eastAsia" w:ascii="宋体" w:hAnsi="宋体" w:cs="宋体"/>
          <w:color w:val="auto"/>
          <w:sz w:val="24"/>
          <w:szCs w:val="24"/>
          <w:highlight w:val="none"/>
          <w:u w:val="single"/>
        </w:rPr>
        <w:t>技术方案</w:t>
      </w:r>
      <w:r>
        <w:rPr>
          <w:rFonts w:hint="eastAsia" w:ascii="宋体" w:hAnsi="宋体" w:cs="宋体"/>
          <w:color w:val="auto"/>
          <w:sz w:val="24"/>
          <w:szCs w:val="24"/>
          <w:highlight w:val="none"/>
          <w:u w:val="single"/>
        </w:rPr>
        <w:tab/>
      </w:r>
    </w:p>
    <w:p w14:paraId="6F69EAD4">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）投标人认为应该提供的其他资料</w:t>
      </w:r>
    </w:p>
    <w:p w14:paraId="21A3F87D">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359A93D0">
      <w:pPr>
        <w:spacing w:line="360" w:lineRule="auto"/>
        <w:ind w:firstLine="480" w:firstLineChars="200"/>
        <w:rPr>
          <w:rFonts w:hint="eastAsia"/>
          <w:b/>
          <w:color w:val="auto"/>
          <w:highlight w:val="none"/>
          <w:u w:val="single"/>
        </w:rPr>
      </w:pPr>
      <w:r>
        <w:rPr>
          <w:rFonts w:hint="eastAsia" w:ascii="宋体" w:hAnsi="宋体" w:cs="宋体"/>
          <w:color w:val="auto"/>
          <w:sz w:val="24"/>
          <w:szCs w:val="24"/>
          <w:highlight w:val="none"/>
        </w:rPr>
        <w:t>3.1.2</w:t>
      </w:r>
      <w:r>
        <w:rPr>
          <w:rFonts w:hint="eastAsia"/>
          <w:b/>
          <w:bCs/>
          <w:color w:val="auto"/>
          <w:highlight w:val="none"/>
          <w:u w:val="single"/>
        </w:rPr>
        <w:t>投</w:t>
      </w:r>
      <w:r>
        <w:rPr>
          <w:rFonts w:hint="eastAsia"/>
          <w:b/>
          <w:color w:val="auto"/>
          <w:highlight w:val="none"/>
          <w:u w:val="single"/>
        </w:rPr>
        <w:t>标文件（定标部分）主要包括下列内容：</w:t>
      </w:r>
    </w:p>
    <w:p w14:paraId="2DA305B1">
      <w:pPr>
        <w:spacing w:line="360" w:lineRule="auto"/>
        <w:ind w:firstLine="420" w:firstLineChars="200"/>
        <w:rPr>
          <w:rFonts w:hint="eastAsia"/>
          <w:color w:val="auto"/>
          <w:highlight w:val="none"/>
          <w:u w:val="single"/>
        </w:rPr>
      </w:pPr>
      <w:r>
        <w:rPr>
          <w:rFonts w:hint="eastAsia"/>
          <w:color w:val="auto"/>
          <w:highlight w:val="none"/>
          <w:u w:val="single"/>
        </w:rPr>
        <w:t>根据《定标因素表》（详见第三章）评审内容，主要包括下列内容：</w:t>
      </w:r>
    </w:p>
    <w:p w14:paraId="727D7983">
      <w:pPr>
        <w:spacing w:line="360" w:lineRule="auto"/>
        <w:ind w:firstLine="420" w:firstLineChars="200"/>
        <w:rPr>
          <w:rFonts w:hint="eastAsia"/>
          <w:color w:val="auto"/>
          <w:highlight w:val="none"/>
          <w:u w:val="single"/>
        </w:rPr>
      </w:pPr>
      <w:r>
        <w:rPr>
          <w:rFonts w:hint="eastAsia"/>
          <w:color w:val="auto"/>
          <w:highlight w:val="none"/>
          <w:u w:val="single"/>
        </w:rPr>
        <w:t>（1）方案因素相关资料；</w:t>
      </w:r>
    </w:p>
    <w:p w14:paraId="04AC347B">
      <w:pPr>
        <w:spacing w:line="360" w:lineRule="auto"/>
        <w:ind w:firstLine="420" w:firstLineChars="200"/>
        <w:rPr>
          <w:rFonts w:hint="eastAsia"/>
          <w:color w:val="auto"/>
          <w:highlight w:val="none"/>
          <w:u w:val="single"/>
        </w:rPr>
      </w:pPr>
      <w:r>
        <w:rPr>
          <w:rFonts w:hint="eastAsia"/>
          <w:color w:val="auto"/>
          <w:highlight w:val="none"/>
          <w:u w:val="single"/>
        </w:rPr>
        <w:t>（2）团队因素相关资料；</w:t>
      </w:r>
    </w:p>
    <w:p w14:paraId="0C8942DD">
      <w:pPr>
        <w:ind w:firstLine="420" w:firstLineChars="200"/>
        <w:rPr>
          <w:rFonts w:hint="eastAsia"/>
          <w:color w:val="auto"/>
          <w:highlight w:val="none"/>
          <w:u w:val="single"/>
        </w:rPr>
      </w:pPr>
      <w:r>
        <w:rPr>
          <w:rFonts w:hint="eastAsia"/>
          <w:color w:val="auto"/>
          <w:highlight w:val="none"/>
          <w:u w:val="single"/>
        </w:rPr>
        <w:t>（3）资信因素相关资料。</w:t>
      </w:r>
    </w:p>
    <w:p w14:paraId="3801667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投标人须知前附表规定不接受联合体投标的，或投标人没有组成联合体的，投标文件不包括本章第3.1.1（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）所指的联合体协议书。</w:t>
      </w:r>
    </w:p>
    <w:p w14:paraId="0694B9A7">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3.2  投标价格</w:t>
      </w:r>
    </w:p>
    <w:p w14:paraId="368DAEE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3.2.1投标报价应包括国家规定的增值税税金，除投标人须知前附表另有规定外，增值税税金按一般计税方法计算。投标人应按第七章“投标文件格式”的要求在投标函中进行报价。</w:t>
      </w:r>
    </w:p>
    <w:p w14:paraId="1BE6594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3.2.2投标人应充分了解该项目的总体情况以及影响投标报价的其他要素。</w:t>
      </w:r>
    </w:p>
    <w:p w14:paraId="5A5812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3.2.3本项目的报价方式见投标人须知前附表。投标人在投标截止时间前修改投标函中的投标报价总额。此修改须符合本章第4.3款的有关要求。</w:t>
      </w:r>
    </w:p>
    <w:p w14:paraId="35908BE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3.2.4招标人设有最高投标限价的，投标人的投标报价不得超过最高投标限价，最高投标限价在投标人须知前附表中载明。</w:t>
      </w:r>
    </w:p>
    <w:p w14:paraId="1B3C929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3.2.5投标报价的其他要求见投标人须知前附表。</w:t>
      </w:r>
    </w:p>
    <w:p w14:paraId="22AC7A77">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投标有效期</w:t>
      </w:r>
    </w:p>
    <w:p w14:paraId="41A4CEF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3.3.1除投标人须知前附表另有规定外，投标有效期为90天。</w:t>
      </w:r>
    </w:p>
    <w:p w14:paraId="3F8A121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3.3.2在投标有效期内，投标人撤销投标文件的，应承担招标文件和法律规定的责任。</w:t>
      </w:r>
    </w:p>
    <w:p w14:paraId="0F575F8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14:paraId="3C19FF3D">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投标保证金</w:t>
      </w:r>
    </w:p>
    <w:p w14:paraId="5E7A5719">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3.4.1</w:t>
      </w:r>
      <w:r>
        <w:rPr>
          <w:rFonts w:hint="eastAsia" w:ascii="宋体" w:hAnsi="宋体" w:cs="宋体"/>
          <w:color w:val="auto"/>
          <w:sz w:val="24"/>
          <w:szCs w:val="24"/>
          <w:highlight w:val="none"/>
          <w:u w:val="single"/>
        </w:rPr>
        <w:t>本项目免收投标保证金，投标人提供《关于投标保证金的承诺》（详见第七章）。</w:t>
      </w:r>
    </w:p>
    <w:p w14:paraId="26B6CEEA">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3.4.2对于投标人已提供《关于投标保证金的承诺》，若投标人存在3.4.4条款所列情形，该投标人应在发现存在3.4.4条款所列情形之日起5个工作日内按投标人须知前附表第3.4.1项所述金额补交投标保证金。若未按要求补交投标保证金的将暂停其参与招标人后续工程投标，直至完成补交手续为止。</w:t>
      </w:r>
    </w:p>
    <w:p w14:paraId="72014FAA">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3.4.3开标时投标人没有按招标文件要求提交符合免予提供投标保证金相关证明材料，且未提交投标保证金的投标人，视为未按要求提供投标保证金。</w:t>
      </w:r>
    </w:p>
    <w:p w14:paraId="19855C1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3.4.4如有下列情况之一的，招标人可以不予退还投标保证金（是否退还投标保证金由招标人在招标文件中规定）：</w:t>
      </w:r>
    </w:p>
    <w:p w14:paraId="2986D71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3.4.4.1因投标人原因造成投标文件未解密的；</w:t>
      </w:r>
    </w:p>
    <w:p w14:paraId="17A671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3.4.4.2投标人在投标有效期内撤销投标文件；</w:t>
      </w:r>
    </w:p>
    <w:p w14:paraId="0470E86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3.4.4.3中标人未能在规定期限内按要求提交履约担保；</w:t>
      </w:r>
    </w:p>
    <w:p w14:paraId="79D83F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3.4.4.4中标人未能在规定期限内签署合同协议。</w:t>
      </w:r>
    </w:p>
    <w:p w14:paraId="7957DB3D">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 xml:space="preserve">3.5  </w:t>
      </w:r>
      <w:bookmarkStart w:id="83" w:name="_Toc511383850"/>
      <w:r>
        <w:rPr>
          <w:rFonts w:hint="eastAsia" w:ascii="宋体" w:hAnsi="宋体" w:cs="宋体"/>
          <w:b/>
          <w:bCs/>
          <w:color w:val="auto"/>
          <w:sz w:val="28"/>
          <w:szCs w:val="32"/>
          <w:highlight w:val="none"/>
        </w:rPr>
        <w:t>资格审查资料（适用于未进行资格预审的）</w:t>
      </w:r>
      <w:bookmarkEnd w:id="83"/>
    </w:p>
    <w:p w14:paraId="641794B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w:t>
      </w:r>
      <w:r>
        <w:rPr>
          <w:rFonts w:hint="eastAsia" w:ascii="宋体" w:hAnsi="宋体" w:cs="宋体"/>
          <w:strike/>
          <w:color w:val="auto"/>
          <w:sz w:val="24"/>
          <w:szCs w:val="24"/>
          <w:highlight w:val="none"/>
        </w:rPr>
        <w:t>、财务、业绩、信誉等</w:t>
      </w:r>
      <w:r>
        <w:rPr>
          <w:rFonts w:hint="eastAsia" w:ascii="宋体" w:hAnsi="宋体" w:cs="宋体"/>
          <w:color w:val="auto"/>
          <w:sz w:val="24"/>
          <w:szCs w:val="24"/>
          <w:highlight w:val="none"/>
        </w:rPr>
        <w:t>要求。</w:t>
      </w:r>
    </w:p>
    <w:p w14:paraId="26D793AA">
      <w:pPr>
        <w:spacing w:line="360" w:lineRule="auto"/>
        <w:ind w:firstLine="484" w:firstLineChars="202"/>
        <w:jc w:val="left"/>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lang w:bidi="ar"/>
        </w:rPr>
        <w:t>3.5.1“投标人基本情况表”应附投标人营业执照或事业单位法人证书、建设行政主管部门颁发的建设工程质量检测机构资质证书、质量技术监督部门颁发的CMA计量认证合格证书的</w:t>
      </w:r>
      <w:bookmarkStart w:id="84" w:name="_Hlk66956957"/>
      <w:r>
        <w:rPr>
          <w:rFonts w:hint="eastAsia" w:ascii="宋体" w:hAnsi="宋体" w:cs="宋体"/>
          <w:color w:val="auto"/>
          <w:sz w:val="24"/>
          <w:szCs w:val="24"/>
          <w:highlight w:val="none"/>
          <w:u w:val="single"/>
          <w:lang w:bidi="ar"/>
        </w:rPr>
        <w:t>原件清晰扫描件。</w:t>
      </w:r>
      <w:bookmarkEnd w:id="84"/>
    </w:p>
    <w:p w14:paraId="6879C4C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3.5.2其他满足本章第1.4.1项规定的要求的相关资料。</w:t>
      </w:r>
    </w:p>
    <w:p w14:paraId="025F2AA0">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color w:val="auto"/>
          <w:sz w:val="24"/>
          <w:szCs w:val="24"/>
          <w:highlight w:val="none"/>
          <w:u w:val="none"/>
          <w:lang w:bidi="ar"/>
        </w:rPr>
        <w:t xml:space="preserve"> </w:t>
      </w:r>
      <w:r>
        <w:rPr>
          <w:rFonts w:hint="eastAsia" w:ascii="宋体" w:hAnsi="宋体" w:cs="宋体"/>
          <w:b/>
          <w:bCs/>
          <w:color w:val="auto"/>
          <w:sz w:val="28"/>
          <w:szCs w:val="32"/>
          <w:highlight w:val="none"/>
        </w:rPr>
        <w:t>3.6 备选投标方案</w:t>
      </w:r>
    </w:p>
    <w:p w14:paraId="2FD72FD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3.6.1除投标人须知前附表规定允许外，投标人不得递交备选投标方案，否则其投标将被否决。</w:t>
      </w:r>
    </w:p>
    <w:p w14:paraId="0CE7DC4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D973BC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3.6.3投标人提供两个或两个以上投标报价，或者在投标文件中提供一个报价，但同时提供两个或两个以上服务方案的，视为提供备选方案。</w:t>
      </w:r>
    </w:p>
    <w:p w14:paraId="3E80EDEA">
      <w:pPr>
        <w:keepNext/>
        <w:keepLines/>
        <w:spacing w:line="360" w:lineRule="auto"/>
        <w:jc w:val="left"/>
        <w:outlineLvl w:val="2"/>
        <w:rPr>
          <w:rFonts w:ascii="宋体" w:hAnsi="宋体" w:cs="宋体"/>
          <w:b/>
          <w:bCs/>
          <w:color w:val="auto"/>
          <w:sz w:val="28"/>
          <w:szCs w:val="32"/>
          <w:highlight w:val="none"/>
        </w:rPr>
      </w:pPr>
      <w:bookmarkStart w:id="85" w:name="bookmark46"/>
      <w:bookmarkEnd w:id="85"/>
      <w:r>
        <w:rPr>
          <w:rFonts w:hint="eastAsia" w:ascii="宋体" w:hAnsi="宋体" w:cs="宋体"/>
          <w:b/>
          <w:bCs/>
          <w:color w:val="auto"/>
          <w:sz w:val="28"/>
          <w:szCs w:val="32"/>
          <w:highlight w:val="none"/>
        </w:rPr>
        <w:t>3.7 投标文件的编制</w:t>
      </w:r>
    </w:p>
    <w:p w14:paraId="3AACDA2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3.7.1投标文件应按第七章“投标文件格式”进行编写，如有必要，可以增加附页，作为投标文件的组成部分。</w:t>
      </w:r>
    </w:p>
    <w:p w14:paraId="3AD20B0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3.7.2投标文件应当对招标文件有关服务期限、投标有效期、招标人要求、招标范围等实质性内容作出响应。</w:t>
      </w:r>
    </w:p>
    <w:p w14:paraId="740C9660">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3.7.3</w:t>
      </w:r>
      <w:r>
        <w:rPr>
          <w:rFonts w:hint="eastAsia" w:ascii="宋体" w:hAnsi="宋体" w:cs="宋体"/>
          <w:color w:val="auto"/>
          <w:sz w:val="24"/>
          <w:szCs w:val="24"/>
          <w:highlight w:val="none"/>
          <w:u w:val="single"/>
        </w:rPr>
        <w:t>投标文件全部采用电子文档，投标文件所附证书证件均为原件扫描件，并采用单位数字证书（联合体投标的，由联合体主办方采用其单位数字证书），按招标文件要求在相应位置加盖电子印章。投标文件中需个人签字或盖章的，应加盖个人电子印章或在线下完成后扫描上传。按照交易平台关于全流程电子化项目的相关指南进行操作。相关操作详见广州公共资源交易中心网站最新发布的《房屋建筑和市政基础设施工程全流程电子化项目专章》。签字或盖章的具体要求见投标人须知前附表。</w:t>
      </w:r>
    </w:p>
    <w:p w14:paraId="47C82CA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23719838">
      <w:pPr>
        <w:keepNext/>
        <w:keepLines/>
        <w:spacing w:line="360" w:lineRule="auto"/>
        <w:jc w:val="left"/>
        <w:outlineLvl w:val="1"/>
        <w:rPr>
          <w:rFonts w:ascii="宋体" w:hAnsi="宋体" w:cs="宋体"/>
          <w:b/>
          <w:bCs/>
          <w:color w:val="auto"/>
          <w:sz w:val="32"/>
          <w:szCs w:val="32"/>
          <w:highlight w:val="none"/>
        </w:rPr>
      </w:pPr>
      <w:bookmarkStart w:id="86" w:name="_Toc21930"/>
      <w:bookmarkStart w:id="87" w:name="_Toc377719903"/>
      <w:bookmarkStart w:id="88" w:name="_Toc3554"/>
      <w:bookmarkStart w:id="89" w:name="_Toc32552"/>
      <w:bookmarkStart w:id="90" w:name="_Toc9342"/>
      <w:bookmarkStart w:id="91" w:name="_Toc23284"/>
      <w:bookmarkStart w:id="92" w:name="_Toc23220"/>
      <w:bookmarkStart w:id="93" w:name="_Toc25065"/>
      <w:bookmarkStart w:id="94" w:name="_Toc24378"/>
      <w:bookmarkStart w:id="95" w:name="_Toc532367876"/>
      <w:bookmarkStart w:id="96" w:name="_Toc24451"/>
      <w:bookmarkStart w:id="97" w:name="_Toc31557"/>
      <w:bookmarkStart w:id="98" w:name="_Toc29593"/>
      <w:r>
        <w:rPr>
          <w:rFonts w:hint="eastAsia" w:ascii="宋体" w:hAnsi="宋体" w:cs="宋体"/>
          <w:b/>
          <w:bCs/>
          <w:color w:val="auto"/>
          <w:sz w:val="32"/>
          <w:szCs w:val="32"/>
          <w:highlight w:val="none"/>
        </w:rPr>
        <w:t>4.投标</w:t>
      </w:r>
      <w:bookmarkEnd w:id="86"/>
      <w:bookmarkEnd w:id="87"/>
      <w:bookmarkEnd w:id="88"/>
      <w:bookmarkEnd w:id="89"/>
      <w:bookmarkEnd w:id="90"/>
      <w:bookmarkEnd w:id="91"/>
      <w:bookmarkEnd w:id="92"/>
      <w:bookmarkEnd w:id="93"/>
      <w:bookmarkEnd w:id="94"/>
      <w:bookmarkEnd w:id="95"/>
      <w:bookmarkEnd w:id="96"/>
      <w:bookmarkEnd w:id="97"/>
      <w:bookmarkEnd w:id="98"/>
    </w:p>
    <w:p w14:paraId="4CD6DFAF">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4.1  投标文件的密封和标记</w:t>
      </w:r>
    </w:p>
    <w:p w14:paraId="44FCD83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4.1.1 投标人应当按照招标文件和电子招标投标交易平台的要求加密投标文件，具体要求见投标人须知前附表。</w:t>
      </w:r>
    </w:p>
    <w:p w14:paraId="4CA7364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14:paraId="6C9754C5">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4.1.3 未按本章第 4.1.1 项要求密封的投标文件，招标人将予以拒收。</w:t>
      </w:r>
    </w:p>
    <w:p w14:paraId="1A69B9EB">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4.2  投标文件的递交</w:t>
      </w:r>
    </w:p>
    <w:p w14:paraId="10DA3BA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4.2.1 投标人应在投标人须知前附表规定的投标截止时间前递交投标文件。</w:t>
      </w:r>
    </w:p>
    <w:p w14:paraId="457110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4.2.2 投标人通过下载招标文件的电子招标投标交易平台递交电子投标文件。</w:t>
      </w:r>
    </w:p>
    <w:p w14:paraId="654FFA7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14:paraId="0F39FE0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4.2.4 投标人完成电子投标文件上传后，电子招标投标交易平台即时向投标人发出递交回执通知。递交时间以递交回执通知载明的传输完成时间为准。</w:t>
      </w:r>
    </w:p>
    <w:p w14:paraId="6BAF020F">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4.2.5 逾期送达的投标文件，电子招标投标交易平台将予以拒收。</w:t>
      </w:r>
    </w:p>
    <w:p w14:paraId="2CABF01C">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4.3  投标文件的修改与撤回</w:t>
      </w:r>
    </w:p>
    <w:p w14:paraId="5A1262C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4.3.1 在本章第 4.2.1 项规定的投标截止时间前，投标人可以修改或撤回已递交的投标文件，但应以书面形式通知招标人。</w:t>
      </w:r>
    </w:p>
    <w:p w14:paraId="589A3E0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4.3.2 投标人修改或撤回已递交投标文件的通知，应按照本章第 3.7.3项的要求加盖电子印章。电子招标投标交易平台收到通知后，即时向投标人发出确认回执通知。</w:t>
      </w:r>
    </w:p>
    <w:p w14:paraId="4CFDB252">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4.3.3 修改的内容为投标文件的组成部分。修改的投标文件应按照本章第 3 条、第 4 条的规定进行编制、密封、标记和递交，并标明“修改”字样。</w:t>
      </w:r>
    </w:p>
    <w:p w14:paraId="058EECE1">
      <w:pPr>
        <w:keepNext/>
        <w:keepLines/>
        <w:spacing w:line="360" w:lineRule="auto"/>
        <w:outlineLvl w:val="1"/>
        <w:rPr>
          <w:rFonts w:ascii="宋体" w:hAnsi="宋体" w:cs="宋体"/>
          <w:b/>
          <w:bCs/>
          <w:color w:val="auto"/>
          <w:sz w:val="32"/>
          <w:szCs w:val="32"/>
          <w:highlight w:val="none"/>
        </w:rPr>
      </w:pPr>
      <w:bookmarkStart w:id="99" w:name="_Toc17418"/>
      <w:bookmarkStart w:id="100" w:name="_Toc17138"/>
      <w:bookmarkStart w:id="101" w:name="_Toc111"/>
      <w:bookmarkStart w:id="102" w:name="_Toc5302"/>
      <w:bookmarkStart w:id="103" w:name="_Toc19088"/>
      <w:bookmarkStart w:id="104" w:name="_Toc6570"/>
      <w:bookmarkStart w:id="105" w:name="_Toc377719904"/>
      <w:bookmarkStart w:id="106" w:name="_Toc21818"/>
      <w:bookmarkStart w:id="107" w:name="_Toc532367877"/>
      <w:bookmarkStart w:id="108" w:name="_Toc1684"/>
      <w:bookmarkStart w:id="109" w:name="_Toc11066"/>
      <w:bookmarkStart w:id="110" w:name="_Toc10549"/>
      <w:bookmarkStart w:id="111" w:name="_Toc31567"/>
      <w:r>
        <w:rPr>
          <w:rFonts w:hint="eastAsia" w:ascii="宋体" w:hAnsi="宋体" w:cs="宋体"/>
          <w:b/>
          <w:bCs/>
          <w:color w:val="auto"/>
          <w:sz w:val="32"/>
          <w:szCs w:val="32"/>
          <w:highlight w:val="none"/>
        </w:rPr>
        <w:t>5.开标</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7CE9A412">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5.1 开标时间和地点</w:t>
      </w:r>
    </w:p>
    <w:p w14:paraId="1CE7339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项规定的投标截止时间（开标时间）,通过电子招标投标交易平台公开开标，所有投标人的法定代表人或其委托代理人应当准时参加。</w:t>
      </w:r>
    </w:p>
    <w:p w14:paraId="5F07587C">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5.2 开标程序</w:t>
      </w:r>
    </w:p>
    <w:p w14:paraId="4AA5976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74A1F5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5E86901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3183DB0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5B889AA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（4）投标人通过电子招标投标交易平台对已递交的电子投标文件进行解密，公布招标项目名称、投标人名称、投标总报价、服务期限及其他内容，并记录在案；</w:t>
      </w:r>
    </w:p>
    <w:p w14:paraId="6F6E7CC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（5）投标人代表、招标人代表、监标人、记录人等有关人员使用本人的电子印章在开标记录上签字确认；若有关人员不签字的，不影响开标程序；</w:t>
      </w:r>
    </w:p>
    <w:p w14:paraId="693750A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（6）开标结束。</w:t>
      </w:r>
    </w:p>
    <w:p w14:paraId="6A3957F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5.2.2投标截止时间前未完成投标文件传输的或因投标人之外的原因造成投标文件未解密的，视为投标人撤回投标文件。因投标人原因造成投标文件未解密的，视为撤销其投标文件。</w:t>
      </w:r>
    </w:p>
    <w:p w14:paraId="68D879C9">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p w14:paraId="5DE98ABC">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5.3 开标异议</w:t>
      </w:r>
    </w:p>
    <w:p w14:paraId="300E8142">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C0B8CAE">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5.3.2参加现场开标的投标人对开标结果有异议的，应当在开标现场提出，该投标人代表须同时出示本人身份证原件，招标人当场作出答复，并制作记录。</w:t>
      </w:r>
    </w:p>
    <w:p w14:paraId="446CE933">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0BEFAC15">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5.3.4投标人未参加开标或在规定的时间内未提出异议的，视为对开标无异议。</w:t>
      </w:r>
    </w:p>
    <w:p w14:paraId="4696FD18">
      <w:pPr>
        <w:keepNext/>
        <w:keepLines/>
        <w:spacing w:line="360" w:lineRule="auto"/>
        <w:jc w:val="left"/>
        <w:outlineLvl w:val="1"/>
        <w:rPr>
          <w:rFonts w:ascii="宋体" w:hAnsi="宋体" w:cs="宋体"/>
          <w:b/>
          <w:bCs/>
          <w:color w:val="auto"/>
          <w:sz w:val="32"/>
          <w:szCs w:val="32"/>
          <w:highlight w:val="none"/>
        </w:rPr>
      </w:pPr>
      <w:bookmarkStart w:id="112" w:name="_Toc11500"/>
      <w:bookmarkStart w:id="113" w:name="_Toc5463"/>
      <w:bookmarkStart w:id="114" w:name="_Toc17328"/>
      <w:bookmarkStart w:id="115" w:name="_Toc24608"/>
      <w:bookmarkStart w:id="116" w:name="_Toc532367878"/>
      <w:bookmarkStart w:id="117" w:name="_Toc26740"/>
      <w:r>
        <w:rPr>
          <w:rFonts w:hint="eastAsia" w:ascii="宋体" w:hAnsi="宋体" w:cs="宋体"/>
          <w:b/>
          <w:bCs/>
          <w:color w:val="auto"/>
          <w:sz w:val="32"/>
          <w:szCs w:val="32"/>
          <w:highlight w:val="none"/>
        </w:rPr>
        <w:t>6.评标</w:t>
      </w:r>
      <w:bookmarkEnd w:id="112"/>
      <w:bookmarkEnd w:id="113"/>
      <w:bookmarkEnd w:id="114"/>
      <w:bookmarkEnd w:id="115"/>
      <w:bookmarkEnd w:id="116"/>
      <w:bookmarkEnd w:id="117"/>
    </w:p>
    <w:p w14:paraId="1B09FC85">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6.1 评标委员会</w:t>
      </w:r>
    </w:p>
    <w:p w14:paraId="46C982C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评标委员会在开始评标前，应了解评标专家的职责及守则，认真阅读附件二《评标委员会成员声明》的内容并签名，签字后方可进行评标。</w:t>
      </w:r>
    </w:p>
    <w:p w14:paraId="5787A03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75088F5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14:paraId="44BF9CA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5F1700E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7202FE4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41D8E7F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5D0E844D">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4FB3B4AE">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6.2 评标原则</w:t>
      </w:r>
    </w:p>
    <w:p w14:paraId="280E8D7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5BB4CBB8">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6.3 评标</w:t>
      </w:r>
    </w:p>
    <w:p w14:paraId="44AB13ED">
      <w:pPr>
        <w:spacing w:line="360" w:lineRule="auto"/>
        <w:ind w:firstLine="484" w:firstLineChars="202"/>
        <w:jc w:val="left"/>
        <w:rPr>
          <w:rFonts w:hint="eastAsia" w:ascii="宋体" w:hAnsi="宋体" w:cs="宋体"/>
          <w:color w:val="auto"/>
          <w:sz w:val="24"/>
          <w:szCs w:val="24"/>
          <w:highlight w:val="none"/>
        </w:rPr>
      </w:pPr>
      <w:bookmarkStart w:id="118" w:name="_Toc27928"/>
      <w:bookmarkStart w:id="119" w:name="_Toc24971"/>
      <w:bookmarkStart w:id="120" w:name="_Toc17606"/>
      <w:bookmarkStart w:id="121" w:name="_Toc377719905"/>
      <w:bookmarkStart w:id="122" w:name="_Toc31080"/>
      <w:bookmarkStart w:id="123" w:name="_Toc15742"/>
      <w:bookmarkStart w:id="124" w:name="_Toc23147"/>
      <w:bookmarkStart w:id="125" w:name="_Toc18237"/>
      <w:bookmarkStart w:id="126" w:name="_Toc22463"/>
      <w:bookmarkStart w:id="127" w:name="_Toc21343"/>
      <w:bookmarkStart w:id="128" w:name="_Toc11665"/>
      <w:bookmarkStart w:id="129" w:name="_Toc532367879"/>
      <w:r>
        <w:rPr>
          <w:rFonts w:hint="eastAsia" w:ascii="宋体" w:hAnsi="宋体" w:cs="宋体"/>
          <w:color w:val="auto"/>
          <w:sz w:val="24"/>
          <w:szCs w:val="24"/>
          <w:highlight w:val="none"/>
        </w:rPr>
        <w:t>6.3.1 评标委员会按照第三章“评标</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rPr>
        <w:t>定标</w:t>
      </w:r>
      <w:r>
        <w:rPr>
          <w:rFonts w:hint="eastAsia" w:ascii="宋体" w:hAnsi="宋体" w:cs="宋体"/>
          <w:color w:val="auto"/>
          <w:sz w:val="24"/>
          <w:szCs w:val="24"/>
          <w:highlight w:val="none"/>
        </w:rPr>
        <w:t>办法”规定的方法、评审因素、标准和程序对投标文件进行评审。第三章“评标、</w:t>
      </w:r>
      <w:r>
        <w:rPr>
          <w:rFonts w:hint="eastAsia" w:ascii="宋体" w:hAnsi="宋体" w:cs="宋体"/>
          <w:color w:val="auto"/>
          <w:sz w:val="24"/>
          <w:szCs w:val="24"/>
          <w:highlight w:val="none"/>
          <w:u w:val="single"/>
        </w:rPr>
        <w:t>定标</w:t>
      </w:r>
      <w:r>
        <w:rPr>
          <w:rFonts w:hint="eastAsia" w:ascii="宋体" w:hAnsi="宋体" w:cs="宋体"/>
          <w:color w:val="auto"/>
          <w:sz w:val="24"/>
          <w:szCs w:val="24"/>
          <w:highlight w:val="none"/>
        </w:rPr>
        <w:t>办法”没有规定的方法、评审因素和标准，不作为评标依据。</w:t>
      </w:r>
    </w:p>
    <w:p w14:paraId="573B2839">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6.3.2 评标完成后，评标委员会应当向招标人提交书面评标报告和合格中标候选人名单。评标委员会推荐合格</w:t>
      </w:r>
      <w:r>
        <w:rPr>
          <w:rFonts w:hint="eastAsia" w:ascii="宋体" w:hAnsi="宋体" w:cs="宋体"/>
          <w:color w:val="auto"/>
          <w:sz w:val="24"/>
          <w:szCs w:val="24"/>
          <w:highlight w:val="none"/>
          <w:u w:val="single"/>
        </w:rPr>
        <w:t>中标候选人</w:t>
      </w:r>
      <w:r>
        <w:rPr>
          <w:rFonts w:hint="eastAsia" w:ascii="宋体" w:hAnsi="宋体" w:cs="宋体"/>
          <w:color w:val="auto"/>
          <w:sz w:val="24"/>
          <w:szCs w:val="24"/>
          <w:highlight w:val="none"/>
          <w:u w:val="none"/>
        </w:rPr>
        <w:t>的人数见</w:t>
      </w:r>
      <w:r>
        <w:rPr>
          <w:rFonts w:hint="eastAsia" w:ascii="宋体" w:hAnsi="宋体" w:cs="宋体"/>
          <w:color w:val="auto"/>
          <w:sz w:val="24"/>
          <w:szCs w:val="24"/>
          <w:highlight w:val="none"/>
        </w:rPr>
        <w:t>投标人须知前附表。</w:t>
      </w:r>
    </w:p>
    <w:p w14:paraId="60EDEDFE">
      <w:pPr>
        <w:keepNext/>
        <w:keepLines/>
        <w:spacing w:line="360" w:lineRule="auto"/>
        <w:jc w:val="left"/>
        <w:outlineLvl w:val="2"/>
        <w:rPr>
          <w:rFonts w:hint="eastAsia" w:ascii="宋体" w:hAnsi="宋体" w:cs="宋体"/>
          <w:b/>
          <w:bCs/>
          <w:color w:val="auto"/>
          <w:sz w:val="28"/>
          <w:szCs w:val="32"/>
          <w:highlight w:val="none"/>
        </w:rPr>
      </w:pPr>
      <w:r>
        <w:rPr>
          <w:rFonts w:hint="eastAsia" w:ascii="宋体" w:hAnsi="宋体" w:cs="宋体"/>
          <w:b/>
          <w:bCs/>
          <w:color w:val="auto"/>
          <w:sz w:val="28"/>
          <w:szCs w:val="32"/>
          <w:highlight w:val="none"/>
        </w:rPr>
        <w:t>6.4  定标</w:t>
      </w:r>
    </w:p>
    <w:p w14:paraId="616954C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6.4.1定标委员会由5人组成，由招标人组建。</w:t>
      </w:r>
    </w:p>
    <w:p w14:paraId="7D869FC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6.4.2除投标人须知前附表规定评标委员会直接确定中标人外，招标人依据定标委员会推荐的中标候选人确定中标人，评标委员会推荐合格中标候选人的人数详见第三章评标、定标办法。</w:t>
      </w:r>
    </w:p>
    <w:p w14:paraId="22E2574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6.4.3 依法必须进行公开招标的项目，招标人应当将定标委员会确定的排名第一的中标候选人为中标人。具体定标办法详见第三章评标、定标办法。</w:t>
      </w:r>
    </w:p>
    <w:p w14:paraId="659BDA1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6.4.4排名第一的中标候选人放弃中标、因不可抗力不能履行合同，或者被查实存在影响中标结果的违法行为等情形，不符合中标条件的，招标人可以按照定标委员会提出的中标候选人名单排序依次确定其他中标候选人为中标人，也可以重新招标。</w:t>
      </w:r>
    </w:p>
    <w:p w14:paraId="0C87A1B5">
      <w:pPr>
        <w:keepNext/>
        <w:keepLines/>
        <w:spacing w:line="360" w:lineRule="auto"/>
        <w:outlineLvl w:val="1"/>
        <w:rPr>
          <w:rFonts w:ascii="宋体" w:hAnsi="宋体" w:cs="宋体"/>
          <w:b/>
          <w:bCs/>
          <w:color w:val="auto"/>
          <w:sz w:val="32"/>
          <w:szCs w:val="32"/>
          <w:highlight w:val="none"/>
        </w:rPr>
      </w:pPr>
      <w:bookmarkStart w:id="130" w:name="_Toc10842"/>
      <w:r>
        <w:rPr>
          <w:rFonts w:hint="eastAsia" w:ascii="宋体" w:hAnsi="宋体" w:cs="宋体"/>
          <w:b/>
          <w:bCs/>
          <w:color w:val="auto"/>
          <w:sz w:val="32"/>
          <w:szCs w:val="32"/>
          <w:highlight w:val="none"/>
        </w:rPr>
        <w:t>7.合同</w:t>
      </w:r>
      <w:bookmarkEnd w:id="118"/>
      <w:bookmarkEnd w:id="119"/>
      <w:bookmarkEnd w:id="120"/>
      <w:bookmarkEnd w:id="121"/>
      <w:bookmarkEnd w:id="122"/>
      <w:bookmarkEnd w:id="123"/>
      <w:bookmarkEnd w:id="124"/>
      <w:r>
        <w:rPr>
          <w:rFonts w:hint="eastAsia" w:ascii="宋体" w:hAnsi="宋体" w:cs="宋体"/>
          <w:b/>
          <w:bCs/>
          <w:color w:val="auto"/>
          <w:sz w:val="32"/>
          <w:szCs w:val="32"/>
          <w:highlight w:val="none"/>
        </w:rPr>
        <w:t>授予</w:t>
      </w:r>
      <w:bookmarkEnd w:id="125"/>
      <w:bookmarkEnd w:id="126"/>
      <w:bookmarkEnd w:id="127"/>
      <w:bookmarkEnd w:id="128"/>
      <w:bookmarkEnd w:id="129"/>
      <w:bookmarkEnd w:id="130"/>
    </w:p>
    <w:p w14:paraId="0B62CC42">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7.1 中标候选人公示</w:t>
      </w:r>
    </w:p>
    <w:p w14:paraId="464C850D">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招标人在收到评标报告之日起 3 日内，按照投标人须知前附表规定的公示媒介和期限公示中标候选人，公示期不得少于 3 天</w:t>
      </w:r>
      <w:r>
        <w:rPr>
          <w:rFonts w:hint="eastAsia" w:ascii="宋体" w:hAnsi="宋体" w:cs="宋体"/>
          <w:color w:val="auto"/>
          <w:sz w:val="24"/>
          <w:szCs w:val="24"/>
          <w:highlight w:val="none"/>
          <w:u w:val="single"/>
        </w:rPr>
        <w:t>，公示期限最后一天为工作日</w:t>
      </w:r>
      <w:r>
        <w:rPr>
          <w:rFonts w:hint="eastAsia" w:ascii="宋体" w:hAnsi="宋体" w:cs="宋体"/>
          <w:color w:val="auto"/>
          <w:sz w:val="24"/>
          <w:szCs w:val="24"/>
          <w:highlight w:val="none"/>
        </w:rPr>
        <w:t>。</w:t>
      </w:r>
    </w:p>
    <w:p w14:paraId="64381F95">
      <w:pPr>
        <w:pStyle w:val="10"/>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5D59947">
      <w:pPr>
        <w:pStyle w:val="10"/>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在产生中标候选人后，招标人将中标候选人的投标文件商务部分的电子版（报价清单、方案等涉及商业秘密的内容除外）在广州交易集团有限公司（广州公共资源交易中心）网站和广东省招标投标监管网公开。</w:t>
      </w:r>
    </w:p>
    <w:p w14:paraId="0C90B85D">
      <w:pPr>
        <w:pStyle w:val="7"/>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color w:val="auto"/>
          <w:sz w:val="24"/>
          <w:szCs w:val="24"/>
          <w:highlight w:val="none"/>
          <w:u w:val="single"/>
        </w:rPr>
        <w:t>定标结束后，招标人3日内在广州交易集团有限公司（广州公共资源交易中心）网和广东省招标投标监管网公开中标结果。</w:t>
      </w:r>
    </w:p>
    <w:p w14:paraId="20BFE6A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7.2 评标结果异议</w:t>
      </w:r>
    </w:p>
    <w:p w14:paraId="218101D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投标人或者其他利害关系人对评标结果有异议的，应当在中标候选人公示期间提出。招标人将在收到异议之日起 3 日内作出答复；作出答复前，将暂停招标投标活动。</w:t>
      </w:r>
    </w:p>
    <w:p w14:paraId="2E406A1E">
      <w:pPr>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7.3 合格中标候选人履约能力审查</w:t>
      </w:r>
    </w:p>
    <w:p w14:paraId="29E72184">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合格中标候选人的经营、财务状况发生较大变化或存在违法行为，招标人认为可能影响其履约能力的，将在组织定标前提请评标委员会，</w:t>
      </w:r>
      <w:r>
        <w:rPr>
          <w:rFonts w:hint="eastAsia" w:ascii="宋体" w:hAnsi="宋体" w:cs="宋体"/>
          <w:color w:val="auto"/>
          <w:sz w:val="24"/>
          <w:szCs w:val="24"/>
          <w:highlight w:val="none"/>
          <w:u w:val="single"/>
        </w:rPr>
        <w:t>评标</w:t>
      </w:r>
      <w:r>
        <w:rPr>
          <w:rFonts w:hint="eastAsia" w:ascii="宋体" w:hAnsi="宋体" w:cs="宋体"/>
          <w:color w:val="auto"/>
          <w:sz w:val="24"/>
          <w:szCs w:val="24"/>
          <w:highlight w:val="none"/>
        </w:rPr>
        <w:t>委员会按照招标文件规定的标准和方法进行审查确认。</w:t>
      </w:r>
    </w:p>
    <w:p w14:paraId="76A1281E">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7.4 定标</w:t>
      </w:r>
    </w:p>
    <w:p w14:paraId="4E4AD75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委员会依法确定中标人。</w:t>
      </w:r>
    </w:p>
    <w:p w14:paraId="7B9759A7">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7.5 中标通知</w:t>
      </w:r>
    </w:p>
    <w:p w14:paraId="08721C7B">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在本章第 3.3 款规定的投标有效期内，</w:t>
      </w:r>
      <w:r>
        <w:rPr>
          <w:rFonts w:hint="eastAsia" w:ascii="宋体" w:hAnsi="宋体" w:cs="宋体"/>
          <w:color w:val="auto"/>
          <w:sz w:val="24"/>
          <w:szCs w:val="24"/>
          <w:highlight w:val="none"/>
          <w:u w:val="single"/>
        </w:rPr>
        <w:t>中标通知书及中标信息在广州公共资源交易中心交易平台发布，视为招标人已向中标人发出中标通知书，以及将中标结果通知未中标的投标人。</w:t>
      </w:r>
    </w:p>
    <w:p w14:paraId="658244D7">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7.6 履约保证金</w:t>
      </w:r>
    </w:p>
    <w:p w14:paraId="1094D04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7.6.1 </w:t>
      </w:r>
      <w:r>
        <w:rPr>
          <w:rFonts w:hint="eastAsia" w:ascii="宋体" w:hAnsi="宋体" w:cs="宋体"/>
          <w:color w:val="auto"/>
          <w:sz w:val="24"/>
          <w:szCs w:val="24"/>
          <w:highlight w:val="none"/>
        </w:rPr>
        <w:t>在签订合同前，中标人应按“投标人须知前附表”规定的担保形式和招标文件第四章“合同条款及格式”规定的或者事先经过招标人书面认可的履约担保格式向招标人提交履约保证金。除投标人须知前附表另有规定外，履约保证金为中标合同金额的</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3F83A3D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7.6.2 中标人不能按本章第7.6.1项要求提交履约保证金的，视为放弃中标，其补交的投标保证金不予退还，给招标人造成的损失超过投标保证金数额的，中标人还应当对超过部分予以赔偿。</w:t>
      </w:r>
    </w:p>
    <w:p w14:paraId="3A8188B0">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7.7 签订合同</w:t>
      </w:r>
    </w:p>
    <w:p w14:paraId="5E6DC4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7.7.1招标人和中标人应当在中标通知书发出之日起</w:t>
      </w:r>
      <w:r>
        <w:rPr>
          <w:rFonts w:hint="eastAsia" w:ascii="宋体" w:hAnsi="宋体" w:cs="宋体"/>
          <w:color w:val="auto"/>
          <w:sz w:val="24"/>
          <w:szCs w:val="24"/>
          <w:highlight w:val="none"/>
          <w:u w:val="single"/>
        </w:rPr>
        <w:t>30个</w:t>
      </w:r>
      <w:r>
        <w:rPr>
          <w:rFonts w:hint="eastAsia" w:ascii="宋体" w:hAnsi="宋体" w:cs="宋体"/>
          <w:color w:val="auto"/>
          <w:sz w:val="24"/>
          <w:szCs w:val="24"/>
          <w:highlight w:val="none"/>
        </w:rPr>
        <w:t>日历天内，根据招标文件和中标人的投标文件订立书面合同。中标人无正当理由拒签合同，在签订合同时向招标人提出附加条件，或者不按照招标文件要求提交履约保证金的，招标人有权取消其中标资格，其</w:t>
      </w:r>
      <w:r>
        <w:rPr>
          <w:rFonts w:hint="eastAsia" w:ascii="宋体" w:hAnsi="宋体" w:cs="宋体"/>
          <w:color w:val="auto"/>
          <w:sz w:val="24"/>
          <w:szCs w:val="24"/>
          <w:highlight w:val="none"/>
          <w:u w:val="single"/>
        </w:rPr>
        <w:t>补交的</w:t>
      </w:r>
      <w:r>
        <w:rPr>
          <w:rFonts w:hint="eastAsia" w:ascii="宋体" w:hAnsi="宋体" w:cs="宋体"/>
          <w:color w:val="auto"/>
          <w:sz w:val="24"/>
          <w:szCs w:val="24"/>
          <w:highlight w:val="none"/>
        </w:rPr>
        <w:t>投标保证金不予退还；给招标人造成的损失超过投标保证金数额的，中标人还应当对超过部分予以赔偿。对依法必须招标项目的中标人，由有关行政监督部门责令改正。</w:t>
      </w:r>
    </w:p>
    <w:p w14:paraId="05B10B40">
      <w:pPr>
        <w:pStyle w:val="10"/>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7.7.2发出中标通知书后，招标人无正当理由拒签合同，或者在签订合同时向中标人提出附加条件的，招标人向中标人退还投标保证金；给中标人造成损失的，还应当赔偿损失。</w:t>
      </w:r>
    </w:p>
    <w:p w14:paraId="386DF8EE">
      <w:pPr>
        <w:pStyle w:val="10"/>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w:t>
      </w:r>
      <w:r>
        <w:rPr>
          <w:rFonts w:hint="eastAsia" w:ascii="宋体" w:hAnsi="宋体"/>
          <w:color w:val="auto"/>
          <w:sz w:val="24"/>
          <w:highlight w:val="none"/>
        </w:rPr>
        <w:t>联合体中标的，联合体各方应当共同与招标人签订合同，就中标项目向招标人承担连带责任</w:t>
      </w:r>
    </w:p>
    <w:p w14:paraId="6ADF53F1">
      <w:pPr>
        <w:pStyle w:val="10"/>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7.7.3中标人应当在中标通知书发出之日起30日内，通过电子招标投标交易平台完成在线签订合同。</w:t>
      </w:r>
    </w:p>
    <w:p w14:paraId="5319F63D">
      <w:pPr>
        <w:keepNext/>
        <w:keepLines/>
        <w:spacing w:line="360" w:lineRule="auto"/>
        <w:jc w:val="left"/>
        <w:outlineLvl w:val="1"/>
        <w:rPr>
          <w:rFonts w:ascii="宋体" w:hAnsi="宋体" w:cs="宋体"/>
          <w:b/>
          <w:bCs/>
          <w:color w:val="auto"/>
          <w:sz w:val="32"/>
          <w:szCs w:val="32"/>
          <w:highlight w:val="none"/>
        </w:rPr>
      </w:pPr>
      <w:bookmarkStart w:id="131" w:name="_Toc15378"/>
      <w:bookmarkStart w:id="132" w:name="_Toc15512"/>
      <w:bookmarkStart w:id="133" w:name="_Toc532367880"/>
      <w:bookmarkStart w:id="134" w:name="_Toc10200"/>
      <w:bookmarkStart w:id="135" w:name="_Toc19621"/>
      <w:bookmarkStart w:id="136" w:name="_Toc25746"/>
      <w:r>
        <w:rPr>
          <w:rFonts w:hint="eastAsia" w:ascii="宋体" w:hAnsi="宋体" w:cs="宋体"/>
          <w:b/>
          <w:bCs/>
          <w:color w:val="auto"/>
          <w:sz w:val="32"/>
          <w:szCs w:val="32"/>
          <w:highlight w:val="none"/>
        </w:rPr>
        <w:t>8.纪律和监督</w:t>
      </w:r>
      <w:bookmarkEnd w:id="131"/>
      <w:bookmarkEnd w:id="132"/>
      <w:bookmarkEnd w:id="133"/>
      <w:bookmarkEnd w:id="134"/>
      <w:bookmarkEnd w:id="135"/>
      <w:bookmarkEnd w:id="136"/>
    </w:p>
    <w:p w14:paraId="75BB3ABB">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8.1 对招标人的纪律要求</w:t>
      </w:r>
    </w:p>
    <w:p w14:paraId="4C70E5F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1A93CBA9">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8.2 对投标人的纪律要求</w:t>
      </w:r>
    </w:p>
    <w:p w14:paraId="716F3EF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委员会成员行贿谋取中标，不得以他人名义投标或者以其他方式弄虚作假骗取中标；投标人不得以任何方式干扰、影响评标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工作。</w:t>
      </w:r>
    </w:p>
    <w:p w14:paraId="5442CD24">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8.3 对评标</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定标</w:t>
      </w:r>
      <w:r>
        <w:rPr>
          <w:rFonts w:hint="eastAsia" w:ascii="宋体" w:hAnsi="宋体" w:cs="宋体"/>
          <w:b/>
          <w:bCs/>
          <w:color w:val="auto"/>
          <w:sz w:val="28"/>
          <w:szCs w:val="28"/>
          <w:highlight w:val="none"/>
        </w:rPr>
        <w:t>委员会成员的纪律要求</w:t>
      </w:r>
    </w:p>
    <w:p w14:paraId="278D851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委员会成员不得收受他人的财物或者其他好处，不得向他人透露对投标文件的评审和比较、中标候选人的推荐情况以及评标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有关的其他情况。在评标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活动中，评标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委员会成员应当客观、公正地履行职责，遵守职业道德，不得擅离职守，影响评标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程序正常进行，不得使用第三章“评标、定标办法”没有规定的评审因素和标准进行评标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w:t>
      </w:r>
    </w:p>
    <w:p w14:paraId="76495062">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8.4 对与评标</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定标</w:t>
      </w:r>
      <w:r>
        <w:rPr>
          <w:rFonts w:hint="eastAsia" w:ascii="宋体" w:hAnsi="宋体" w:cs="宋体"/>
          <w:b/>
          <w:bCs/>
          <w:color w:val="auto"/>
          <w:sz w:val="28"/>
          <w:szCs w:val="28"/>
          <w:highlight w:val="none"/>
        </w:rPr>
        <w:t>活动有关的工作人员的纪律要求</w:t>
      </w:r>
    </w:p>
    <w:p w14:paraId="1ED24BE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与评标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活动有关的工作人员不得收受他人的财物或者其他好处，不得向他人透露对投标文件的评审和比较、中标候选人的推荐情况以及评标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有关的其他情况。在评标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活动中，与评标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活动有关的工作人员不得擅离职守，影响评标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定标</w:t>
      </w:r>
      <w:r>
        <w:rPr>
          <w:rFonts w:hint="eastAsia" w:ascii="宋体" w:hAnsi="宋体" w:cs="宋体"/>
          <w:color w:val="auto"/>
          <w:sz w:val="24"/>
          <w:szCs w:val="24"/>
          <w:highlight w:val="none"/>
        </w:rPr>
        <w:t>程序正常进行。</w:t>
      </w:r>
    </w:p>
    <w:p w14:paraId="678A9E95">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8.5 投诉</w:t>
      </w:r>
    </w:p>
    <w:p w14:paraId="27DEB4F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022576D6">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14:paraId="4F78CF90">
      <w:pPr>
        <w:keepNext/>
        <w:keepLines/>
        <w:spacing w:line="360" w:lineRule="auto"/>
        <w:jc w:val="left"/>
        <w:outlineLvl w:val="1"/>
        <w:rPr>
          <w:rFonts w:ascii="宋体" w:hAnsi="宋体" w:cs="宋体"/>
          <w:b/>
          <w:bCs/>
          <w:color w:val="auto"/>
          <w:sz w:val="32"/>
          <w:szCs w:val="32"/>
          <w:highlight w:val="none"/>
        </w:rPr>
      </w:pPr>
      <w:bookmarkStart w:id="137" w:name="_Toc3441"/>
      <w:bookmarkStart w:id="138" w:name="_Toc1017"/>
      <w:r>
        <w:rPr>
          <w:rFonts w:hint="eastAsia" w:ascii="宋体" w:hAnsi="宋体" w:cs="宋体"/>
          <w:b/>
          <w:bCs/>
          <w:color w:val="auto"/>
          <w:sz w:val="32"/>
          <w:szCs w:val="32"/>
          <w:highlight w:val="none"/>
        </w:rPr>
        <w:t>9.是否采用电子招标投标</w:t>
      </w:r>
      <w:bookmarkEnd w:id="137"/>
      <w:bookmarkEnd w:id="138"/>
    </w:p>
    <w:p w14:paraId="2D9782D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5CC661D9">
      <w:pPr>
        <w:keepNext/>
        <w:keepLines/>
        <w:spacing w:line="360" w:lineRule="auto"/>
        <w:jc w:val="left"/>
        <w:outlineLvl w:val="1"/>
        <w:rPr>
          <w:rFonts w:ascii="宋体" w:hAnsi="宋体" w:cs="宋体"/>
          <w:b/>
          <w:bCs/>
          <w:color w:val="auto"/>
          <w:sz w:val="32"/>
          <w:szCs w:val="32"/>
          <w:highlight w:val="none"/>
        </w:rPr>
      </w:pPr>
      <w:bookmarkStart w:id="139" w:name="_Toc22326"/>
      <w:bookmarkStart w:id="140" w:name="_Toc5234"/>
      <w:r>
        <w:rPr>
          <w:rFonts w:hint="eastAsia" w:ascii="宋体" w:hAnsi="宋体" w:cs="宋体"/>
          <w:b/>
          <w:bCs/>
          <w:color w:val="auto"/>
          <w:sz w:val="32"/>
          <w:szCs w:val="32"/>
          <w:highlight w:val="none"/>
        </w:rPr>
        <w:t>10.需要补充的其他内容</w:t>
      </w:r>
      <w:bookmarkEnd w:id="139"/>
      <w:bookmarkEnd w:id="140"/>
    </w:p>
    <w:p w14:paraId="07705636">
      <w:pPr>
        <w:spacing w:line="360" w:lineRule="auto"/>
        <w:ind w:firstLine="484" w:firstLineChars="20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14:paraId="146B8441">
      <w:pPr>
        <w:spacing w:line="360" w:lineRule="auto"/>
        <w:ind w:firstLine="484" w:firstLineChars="202"/>
        <w:jc w:val="left"/>
        <w:rPr>
          <w:rFonts w:hint="eastAsia" w:ascii="宋体" w:hAnsi="宋体" w:cs="宋体"/>
          <w:color w:val="auto"/>
          <w:sz w:val="24"/>
          <w:szCs w:val="24"/>
          <w:highlight w:val="none"/>
        </w:rPr>
      </w:pPr>
    </w:p>
    <w:p w14:paraId="42598167">
      <w:pPr>
        <w:spacing w:line="360" w:lineRule="auto"/>
        <w:ind w:firstLine="484" w:firstLineChars="202"/>
        <w:jc w:val="left"/>
        <w:rPr>
          <w:rFonts w:hint="eastAsia" w:ascii="宋体" w:hAnsi="宋体" w:cs="宋体"/>
          <w:color w:val="auto"/>
          <w:sz w:val="24"/>
          <w:szCs w:val="24"/>
          <w:highlight w:val="none"/>
        </w:rPr>
      </w:pPr>
    </w:p>
    <w:p w14:paraId="049E156B">
      <w:pPr>
        <w:spacing w:line="360" w:lineRule="auto"/>
        <w:ind w:firstLine="484" w:firstLineChars="202"/>
        <w:jc w:val="left"/>
        <w:rPr>
          <w:rFonts w:hint="eastAsia" w:ascii="宋体" w:hAnsi="宋体" w:cs="宋体"/>
          <w:color w:val="auto"/>
          <w:sz w:val="24"/>
          <w:szCs w:val="24"/>
          <w:highlight w:val="none"/>
        </w:rPr>
      </w:pPr>
    </w:p>
    <w:p w14:paraId="36B28A5A">
      <w:pPr>
        <w:spacing w:line="360" w:lineRule="auto"/>
        <w:ind w:firstLine="484" w:firstLineChars="202"/>
        <w:jc w:val="left"/>
        <w:rPr>
          <w:rFonts w:hint="eastAsia" w:ascii="宋体" w:hAnsi="宋体" w:cs="宋体"/>
          <w:color w:val="auto"/>
          <w:sz w:val="24"/>
          <w:szCs w:val="24"/>
          <w:highlight w:val="none"/>
        </w:rPr>
      </w:pPr>
    </w:p>
    <w:p w14:paraId="57DB0D2B">
      <w:pPr>
        <w:spacing w:line="360" w:lineRule="auto"/>
        <w:ind w:firstLine="484" w:firstLineChars="202"/>
        <w:jc w:val="left"/>
        <w:rPr>
          <w:rFonts w:hint="eastAsia" w:ascii="宋体" w:hAnsi="宋体" w:cs="宋体"/>
          <w:color w:val="auto"/>
          <w:sz w:val="24"/>
          <w:szCs w:val="24"/>
          <w:highlight w:val="none"/>
        </w:rPr>
      </w:pPr>
    </w:p>
    <w:p w14:paraId="2DA94C87">
      <w:pPr>
        <w:spacing w:line="360" w:lineRule="auto"/>
        <w:ind w:firstLine="484" w:firstLineChars="202"/>
        <w:jc w:val="left"/>
        <w:rPr>
          <w:rFonts w:hint="eastAsia" w:ascii="宋体" w:hAnsi="宋体" w:cs="宋体"/>
          <w:color w:val="auto"/>
          <w:sz w:val="24"/>
          <w:szCs w:val="24"/>
          <w:highlight w:val="none"/>
        </w:rPr>
      </w:pPr>
    </w:p>
    <w:p w14:paraId="1B53A9D9">
      <w:pPr>
        <w:spacing w:line="360" w:lineRule="auto"/>
        <w:ind w:firstLine="484" w:firstLineChars="202"/>
        <w:jc w:val="left"/>
        <w:rPr>
          <w:rFonts w:hint="eastAsia" w:ascii="宋体" w:hAnsi="宋体" w:cs="宋体"/>
          <w:color w:val="auto"/>
          <w:sz w:val="24"/>
          <w:szCs w:val="24"/>
          <w:highlight w:val="none"/>
        </w:rPr>
      </w:pPr>
    </w:p>
    <w:p w14:paraId="52DD9B54">
      <w:pPr>
        <w:spacing w:line="360" w:lineRule="auto"/>
        <w:ind w:firstLine="484" w:firstLineChars="202"/>
        <w:jc w:val="left"/>
        <w:rPr>
          <w:rFonts w:hint="eastAsia" w:ascii="宋体" w:hAnsi="宋体" w:cs="宋体"/>
          <w:color w:val="auto"/>
          <w:sz w:val="24"/>
          <w:szCs w:val="24"/>
          <w:highlight w:val="none"/>
        </w:rPr>
      </w:pPr>
    </w:p>
    <w:p w14:paraId="518D94BA">
      <w:pPr>
        <w:spacing w:line="360" w:lineRule="auto"/>
        <w:ind w:firstLine="484" w:firstLineChars="202"/>
        <w:jc w:val="left"/>
        <w:rPr>
          <w:rFonts w:hint="eastAsia" w:ascii="宋体" w:hAnsi="宋体" w:cs="宋体"/>
          <w:color w:val="auto"/>
          <w:sz w:val="24"/>
          <w:szCs w:val="24"/>
          <w:highlight w:val="none"/>
        </w:rPr>
      </w:pPr>
    </w:p>
    <w:p w14:paraId="50384B9A">
      <w:pPr>
        <w:spacing w:line="360" w:lineRule="auto"/>
        <w:ind w:firstLine="484" w:firstLineChars="202"/>
        <w:jc w:val="left"/>
        <w:rPr>
          <w:rFonts w:hint="eastAsia" w:ascii="宋体" w:hAnsi="宋体" w:cs="宋体"/>
          <w:color w:val="auto"/>
          <w:sz w:val="24"/>
          <w:szCs w:val="24"/>
          <w:highlight w:val="none"/>
        </w:rPr>
      </w:pPr>
    </w:p>
    <w:p w14:paraId="7E1E3132">
      <w:pPr>
        <w:spacing w:line="360" w:lineRule="auto"/>
        <w:ind w:firstLine="484" w:firstLineChars="202"/>
        <w:jc w:val="left"/>
        <w:rPr>
          <w:rFonts w:hint="eastAsia" w:ascii="宋体" w:hAnsi="宋体" w:cs="宋体"/>
          <w:color w:val="auto"/>
          <w:sz w:val="24"/>
          <w:szCs w:val="24"/>
          <w:highlight w:val="none"/>
        </w:rPr>
      </w:pPr>
    </w:p>
    <w:p w14:paraId="03F16A53">
      <w:pPr>
        <w:spacing w:line="360" w:lineRule="auto"/>
        <w:ind w:firstLine="484" w:firstLineChars="202"/>
        <w:jc w:val="left"/>
        <w:rPr>
          <w:rFonts w:hint="eastAsia" w:ascii="宋体" w:hAnsi="宋体" w:cs="宋体"/>
          <w:color w:val="auto"/>
          <w:sz w:val="24"/>
          <w:szCs w:val="24"/>
          <w:highlight w:val="none"/>
        </w:rPr>
      </w:pPr>
    </w:p>
    <w:p w14:paraId="779CF1AD">
      <w:pPr>
        <w:pStyle w:val="3"/>
        <w:rPr>
          <w:rFonts w:hint="eastAsia" w:ascii="宋体" w:hAnsi="宋体" w:eastAsia="宋体"/>
          <w:color w:val="auto"/>
          <w:highlight w:val="none"/>
        </w:rPr>
      </w:pPr>
      <w:bookmarkStart w:id="141" w:name="_Toc13904"/>
      <w:r>
        <w:rPr>
          <w:rFonts w:hint="eastAsia" w:ascii="宋体" w:hAnsi="宋体" w:eastAsia="宋体"/>
          <w:color w:val="auto"/>
          <w:highlight w:val="none"/>
        </w:rPr>
        <w:t>附件一：开标记录表</w:t>
      </w:r>
      <w:bookmarkEnd w:id="141"/>
    </w:p>
    <w:p w14:paraId="07B6F0FE">
      <w:pPr>
        <w:spacing w:line="360" w:lineRule="auto"/>
        <w:jc w:val="center"/>
        <w:rPr>
          <w:rFonts w:hint="eastAsia"/>
          <w:b/>
          <w:color w:val="auto"/>
          <w:sz w:val="32"/>
          <w:szCs w:val="32"/>
          <w:highlight w:val="none"/>
        </w:rPr>
      </w:pPr>
      <w:r>
        <w:rPr>
          <w:rFonts w:hint="eastAsia"/>
          <w:b/>
          <w:color w:val="auto"/>
          <w:sz w:val="32"/>
          <w:szCs w:val="32"/>
          <w:highlight w:val="none"/>
        </w:rPr>
        <w:t>开标记录表</w:t>
      </w:r>
    </w:p>
    <w:p w14:paraId="49534FE5">
      <w:pPr>
        <w:spacing w:line="360" w:lineRule="auto"/>
        <w:jc w:val="right"/>
        <w:rPr>
          <w:rFonts w:hint="eastAsia"/>
          <w:color w:val="auto"/>
          <w:highlight w:val="none"/>
        </w:rPr>
      </w:pPr>
      <w:r>
        <w:rPr>
          <w:rFonts w:hint="eastAsia"/>
          <w:color w:val="auto"/>
          <w:highlight w:val="none"/>
        </w:rPr>
        <w:t>开标时间：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tbl>
      <w:tblPr>
        <w:tblStyle w:val="21"/>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62"/>
        <w:gridCol w:w="938"/>
        <w:gridCol w:w="900"/>
        <w:gridCol w:w="862"/>
        <w:gridCol w:w="1225"/>
        <w:gridCol w:w="1088"/>
        <w:gridCol w:w="1012"/>
        <w:gridCol w:w="929"/>
        <w:gridCol w:w="571"/>
      </w:tblGrid>
      <w:tr w14:paraId="2A33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center"/>
          </w:tcPr>
          <w:p w14:paraId="1A36B1D9">
            <w:pPr>
              <w:adjustRightInd w:val="0"/>
              <w:snapToGrid w:val="0"/>
              <w:jc w:val="center"/>
              <w:rPr>
                <w:rFonts w:hint="eastAsia"/>
                <w:color w:val="auto"/>
                <w:highlight w:val="none"/>
              </w:rPr>
            </w:pPr>
            <w:r>
              <w:rPr>
                <w:rFonts w:hint="eastAsia"/>
                <w:b/>
                <w:bCs/>
                <w:color w:val="auto"/>
                <w:szCs w:val="21"/>
                <w:highlight w:val="none"/>
              </w:rPr>
              <w:t>序号</w:t>
            </w:r>
          </w:p>
        </w:tc>
        <w:tc>
          <w:tcPr>
            <w:tcW w:w="762" w:type="dxa"/>
            <w:noWrap w:val="0"/>
            <w:vAlign w:val="center"/>
          </w:tcPr>
          <w:p w14:paraId="0A853DC5">
            <w:pPr>
              <w:adjustRightInd w:val="0"/>
              <w:snapToGrid w:val="0"/>
              <w:jc w:val="center"/>
              <w:rPr>
                <w:rFonts w:hint="eastAsia"/>
                <w:color w:val="auto"/>
                <w:highlight w:val="none"/>
              </w:rPr>
            </w:pPr>
            <w:r>
              <w:rPr>
                <w:rFonts w:hint="eastAsia"/>
                <w:b/>
                <w:bCs/>
                <w:color w:val="auto"/>
                <w:szCs w:val="21"/>
                <w:highlight w:val="none"/>
              </w:rPr>
              <w:t>投标人</w:t>
            </w:r>
          </w:p>
        </w:tc>
        <w:tc>
          <w:tcPr>
            <w:tcW w:w="938" w:type="dxa"/>
            <w:noWrap w:val="0"/>
            <w:vAlign w:val="center"/>
          </w:tcPr>
          <w:p w14:paraId="476B4197">
            <w:pPr>
              <w:adjustRightInd w:val="0"/>
              <w:snapToGrid w:val="0"/>
              <w:jc w:val="center"/>
              <w:rPr>
                <w:rFonts w:hint="eastAsia"/>
                <w:color w:val="auto"/>
                <w:highlight w:val="none"/>
              </w:rPr>
            </w:pPr>
            <w:r>
              <w:rPr>
                <w:rFonts w:hint="eastAsia"/>
                <w:b/>
                <w:bCs/>
                <w:color w:val="auto"/>
                <w:szCs w:val="21"/>
                <w:highlight w:val="none"/>
              </w:rPr>
              <w:t>投标文件递交情况</w:t>
            </w:r>
          </w:p>
        </w:tc>
        <w:tc>
          <w:tcPr>
            <w:tcW w:w="900" w:type="dxa"/>
            <w:noWrap w:val="0"/>
            <w:vAlign w:val="center"/>
          </w:tcPr>
          <w:p w14:paraId="3A6613A2">
            <w:pPr>
              <w:adjustRightInd w:val="0"/>
              <w:snapToGrid w:val="0"/>
              <w:jc w:val="center"/>
              <w:rPr>
                <w:rFonts w:hint="eastAsia"/>
                <w:color w:val="auto"/>
                <w:highlight w:val="none"/>
              </w:rPr>
            </w:pPr>
            <w:r>
              <w:rPr>
                <w:rFonts w:hint="eastAsia"/>
                <w:b/>
                <w:bCs/>
                <w:color w:val="auto"/>
                <w:szCs w:val="21"/>
                <w:highlight w:val="none"/>
                <w:u w:val="single"/>
              </w:rPr>
              <w:t>投标文件解密情况</w:t>
            </w:r>
          </w:p>
        </w:tc>
        <w:tc>
          <w:tcPr>
            <w:tcW w:w="862" w:type="dxa"/>
            <w:noWrap w:val="0"/>
            <w:vAlign w:val="center"/>
          </w:tcPr>
          <w:p w14:paraId="54CC1D86">
            <w:pPr>
              <w:adjustRightInd w:val="0"/>
              <w:snapToGrid w:val="0"/>
              <w:jc w:val="center"/>
              <w:rPr>
                <w:rFonts w:hint="eastAsia"/>
                <w:color w:val="auto"/>
                <w:highlight w:val="none"/>
              </w:rPr>
            </w:pPr>
            <w:r>
              <w:rPr>
                <w:rFonts w:hint="eastAsia"/>
                <w:b/>
                <w:bCs/>
                <w:strike/>
                <w:color w:val="auto"/>
                <w:szCs w:val="21"/>
                <w:highlight w:val="none"/>
              </w:rPr>
              <w:t>投标保证金递交情况</w:t>
            </w:r>
          </w:p>
        </w:tc>
        <w:tc>
          <w:tcPr>
            <w:tcW w:w="1225" w:type="dxa"/>
            <w:noWrap w:val="0"/>
            <w:vAlign w:val="center"/>
          </w:tcPr>
          <w:p w14:paraId="6FC11D24">
            <w:pPr>
              <w:adjustRightInd w:val="0"/>
              <w:snapToGrid w:val="0"/>
              <w:jc w:val="center"/>
              <w:rPr>
                <w:rFonts w:hint="eastAsia"/>
                <w:color w:val="auto"/>
                <w:highlight w:val="none"/>
              </w:rPr>
            </w:pPr>
            <w:r>
              <w:rPr>
                <w:rFonts w:hint="eastAsia"/>
                <w:b/>
                <w:bCs/>
                <w:color w:val="auto"/>
                <w:szCs w:val="21"/>
                <w:highlight w:val="none"/>
              </w:rPr>
              <w:t>投标报价（</w:t>
            </w:r>
            <w:r>
              <w:rPr>
                <w:rFonts w:hint="eastAsia"/>
                <w:b/>
                <w:bCs/>
                <w:color w:val="auto"/>
                <w:szCs w:val="21"/>
                <w:highlight w:val="none"/>
                <w:u w:val="single"/>
              </w:rPr>
              <w:t>元</w:t>
            </w:r>
            <w:r>
              <w:rPr>
                <w:rFonts w:hint="eastAsia"/>
                <w:b/>
                <w:bCs/>
                <w:color w:val="auto"/>
                <w:szCs w:val="21"/>
                <w:highlight w:val="none"/>
              </w:rPr>
              <w:t>）</w:t>
            </w:r>
          </w:p>
        </w:tc>
        <w:tc>
          <w:tcPr>
            <w:tcW w:w="1088" w:type="dxa"/>
            <w:noWrap w:val="0"/>
            <w:vAlign w:val="center"/>
          </w:tcPr>
          <w:p w14:paraId="2F5A942B">
            <w:pPr>
              <w:adjustRightInd w:val="0"/>
              <w:snapToGrid w:val="0"/>
              <w:jc w:val="center"/>
              <w:rPr>
                <w:rFonts w:hint="eastAsia"/>
                <w:color w:val="auto"/>
                <w:highlight w:val="none"/>
              </w:rPr>
            </w:pPr>
            <w:r>
              <w:rPr>
                <w:rFonts w:hint="eastAsia"/>
                <w:b/>
                <w:bCs/>
                <w:color w:val="auto"/>
                <w:szCs w:val="21"/>
                <w:highlight w:val="none"/>
              </w:rPr>
              <w:t>服务期限</w:t>
            </w:r>
          </w:p>
        </w:tc>
        <w:tc>
          <w:tcPr>
            <w:tcW w:w="1012" w:type="dxa"/>
            <w:noWrap w:val="0"/>
            <w:vAlign w:val="center"/>
          </w:tcPr>
          <w:p w14:paraId="79364A10">
            <w:pPr>
              <w:adjustRightInd w:val="0"/>
              <w:snapToGrid w:val="0"/>
              <w:jc w:val="center"/>
              <w:rPr>
                <w:rFonts w:hint="eastAsia"/>
                <w:color w:val="auto"/>
                <w:highlight w:val="none"/>
              </w:rPr>
            </w:pPr>
            <w:r>
              <w:rPr>
                <w:rFonts w:hint="eastAsia"/>
                <w:b/>
                <w:bCs/>
                <w:color w:val="auto"/>
                <w:szCs w:val="21"/>
                <w:highlight w:val="none"/>
              </w:rPr>
              <w:t>项目负责人</w:t>
            </w:r>
          </w:p>
        </w:tc>
        <w:tc>
          <w:tcPr>
            <w:tcW w:w="929" w:type="dxa"/>
            <w:noWrap w:val="0"/>
            <w:vAlign w:val="center"/>
          </w:tcPr>
          <w:p w14:paraId="39241823">
            <w:pPr>
              <w:adjustRightInd w:val="0"/>
              <w:snapToGrid w:val="0"/>
              <w:jc w:val="center"/>
              <w:rPr>
                <w:rFonts w:hint="eastAsia"/>
                <w:color w:val="auto"/>
                <w:highlight w:val="none"/>
              </w:rPr>
            </w:pPr>
            <w:r>
              <w:rPr>
                <w:rFonts w:hint="eastAsia"/>
                <w:b/>
                <w:bCs/>
                <w:color w:val="auto"/>
                <w:szCs w:val="21"/>
                <w:highlight w:val="none"/>
              </w:rPr>
              <w:t>投标人代表签名</w:t>
            </w:r>
          </w:p>
        </w:tc>
        <w:tc>
          <w:tcPr>
            <w:tcW w:w="571" w:type="dxa"/>
            <w:noWrap w:val="0"/>
            <w:vAlign w:val="center"/>
          </w:tcPr>
          <w:p w14:paraId="45BFD7F9">
            <w:pPr>
              <w:adjustRightInd w:val="0"/>
              <w:snapToGrid w:val="0"/>
              <w:jc w:val="center"/>
              <w:rPr>
                <w:rFonts w:hint="eastAsia"/>
                <w:color w:val="auto"/>
                <w:highlight w:val="none"/>
              </w:rPr>
            </w:pPr>
            <w:r>
              <w:rPr>
                <w:rFonts w:hint="eastAsia"/>
                <w:b/>
                <w:bCs/>
                <w:color w:val="auto"/>
                <w:szCs w:val="21"/>
                <w:highlight w:val="none"/>
              </w:rPr>
              <w:t>备注</w:t>
            </w:r>
          </w:p>
        </w:tc>
      </w:tr>
      <w:tr w14:paraId="346F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5D00D7A1">
            <w:pPr>
              <w:spacing w:line="360" w:lineRule="auto"/>
              <w:rPr>
                <w:rFonts w:hint="eastAsia"/>
                <w:color w:val="auto"/>
                <w:highlight w:val="none"/>
              </w:rPr>
            </w:pPr>
          </w:p>
        </w:tc>
        <w:tc>
          <w:tcPr>
            <w:tcW w:w="762" w:type="dxa"/>
            <w:noWrap w:val="0"/>
            <w:vAlign w:val="top"/>
          </w:tcPr>
          <w:p w14:paraId="289C1CE6">
            <w:pPr>
              <w:spacing w:line="360" w:lineRule="auto"/>
              <w:rPr>
                <w:rFonts w:hint="eastAsia"/>
                <w:color w:val="auto"/>
                <w:highlight w:val="none"/>
              </w:rPr>
            </w:pPr>
          </w:p>
        </w:tc>
        <w:tc>
          <w:tcPr>
            <w:tcW w:w="938" w:type="dxa"/>
            <w:noWrap w:val="0"/>
            <w:vAlign w:val="top"/>
          </w:tcPr>
          <w:p w14:paraId="79B01452">
            <w:pPr>
              <w:spacing w:line="360" w:lineRule="auto"/>
              <w:rPr>
                <w:rFonts w:hint="eastAsia"/>
                <w:color w:val="auto"/>
                <w:highlight w:val="none"/>
              </w:rPr>
            </w:pPr>
          </w:p>
        </w:tc>
        <w:tc>
          <w:tcPr>
            <w:tcW w:w="900" w:type="dxa"/>
            <w:noWrap w:val="0"/>
            <w:vAlign w:val="top"/>
          </w:tcPr>
          <w:p w14:paraId="71BD70FE">
            <w:pPr>
              <w:spacing w:line="360" w:lineRule="auto"/>
              <w:rPr>
                <w:rFonts w:hint="eastAsia"/>
                <w:color w:val="auto"/>
                <w:highlight w:val="none"/>
              </w:rPr>
            </w:pPr>
          </w:p>
        </w:tc>
        <w:tc>
          <w:tcPr>
            <w:tcW w:w="862" w:type="dxa"/>
            <w:noWrap w:val="0"/>
            <w:vAlign w:val="top"/>
          </w:tcPr>
          <w:p w14:paraId="36AF96E8">
            <w:pPr>
              <w:spacing w:line="360" w:lineRule="auto"/>
              <w:rPr>
                <w:rFonts w:hint="eastAsia"/>
                <w:color w:val="auto"/>
                <w:highlight w:val="none"/>
              </w:rPr>
            </w:pPr>
          </w:p>
        </w:tc>
        <w:tc>
          <w:tcPr>
            <w:tcW w:w="1225" w:type="dxa"/>
            <w:noWrap w:val="0"/>
            <w:vAlign w:val="top"/>
          </w:tcPr>
          <w:p w14:paraId="5952C6CA">
            <w:pPr>
              <w:spacing w:line="360" w:lineRule="auto"/>
              <w:rPr>
                <w:rFonts w:hint="eastAsia"/>
                <w:color w:val="auto"/>
                <w:highlight w:val="none"/>
              </w:rPr>
            </w:pPr>
          </w:p>
        </w:tc>
        <w:tc>
          <w:tcPr>
            <w:tcW w:w="1088" w:type="dxa"/>
            <w:noWrap w:val="0"/>
            <w:vAlign w:val="top"/>
          </w:tcPr>
          <w:p w14:paraId="6431EFC1">
            <w:pPr>
              <w:spacing w:line="360" w:lineRule="auto"/>
              <w:rPr>
                <w:rFonts w:hint="eastAsia"/>
                <w:color w:val="auto"/>
                <w:highlight w:val="none"/>
              </w:rPr>
            </w:pPr>
          </w:p>
        </w:tc>
        <w:tc>
          <w:tcPr>
            <w:tcW w:w="1012" w:type="dxa"/>
            <w:noWrap w:val="0"/>
            <w:vAlign w:val="top"/>
          </w:tcPr>
          <w:p w14:paraId="75F8EFA8">
            <w:pPr>
              <w:spacing w:line="360" w:lineRule="auto"/>
              <w:rPr>
                <w:rFonts w:hint="eastAsia"/>
                <w:color w:val="auto"/>
                <w:highlight w:val="none"/>
              </w:rPr>
            </w:pPr>
          </w:p>
        </w:tc>
        <w:tc>
          <w:tcPr>
            <w:tcW w:w="929" w:type="dxa"/>
            <w:noWrap w:val="0"/>
            <w:vAlign w:val="top"/>
          </w:tcPr>
          <w:p w14:paraId="03548D30">
            <w:pPr>
              <w:spacing w:line="360" w:lineRule="auto"/>
              <w:rPr>
                <w:rFonts w:hint="eastAsia"/>
                <w:color w:val="auto"/>
                <w:highlight w:val="none"/>
              </w:rPr>
            </w:pPr>
          </w:p>
        </w:tc>
        <w:tc>
          <w:tcPr>
            <w:tcW w:w="571" w:type="dxa"/>
            <w:noWrap w:val="0"/>
            <w:vAlign w:val="top"/>
          </w:tcPr>
          <w:p w14:paraId="38456849">
            <w:pPr>
              <w:spacing w:line="360" w:lineRule="auto"/>
              <w:rPr>
                <w:rFonts w:hint="eastAsia"/>
                <w:color w:val="auto"/>
                <w:highlight w:val="none"/>
              </w:rPr>
            </w:pPr>
          </w:p>
        </w:tc>
      </w:tr>
      <w:tr w14:paraId="66A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25C6526C">
            <w:pPr>
              <w:spacing w:line="360" w:lineRule="auto"/>
              <w:rPr>
                <w:rFonts w:hint="eastAsia"/>
                <w:color w:val="auto"/>
                <w:highlight w:val="none"/>
              </w:rPr>
            </w:pPr>
          </w:p>
        </w:tc>
        <w:tc>
          <w:tcPr>
            <w:tcW w:w="762" w:type="dxa"/>
            <w:noWrap w:val="0"/>
            <w:vAlign w:val="top"/>
          </w:tcPr>
          <w:p w14:paraId="5FE3CD40">
            <w:pPr>
              <w:spacing w:line="360" w:lineRule="auto"/>
              <w:rPr>
                <w:rFonts w:hint="eastAsia"/>
                <w:color w:val="auto"/>
                <w:highlight w:val="none"/>
              </w:rPr>
            </w:pPr>
          </w:p>
        </w:tc>
        <w:tc>
          <w:tcPr>
            <w:tcW w:w="938" w:type="dxa"/>
            <w:noWrap w:val="0"/>
            <w:vAlign w:val="top"/>
          </w:tcPr>
          <w:p w14:paraId="4CAEE6B6">
            <w:pPr>
              <w:spacing w:line="360" w:lineRule="auto"/>
              <w:rPr>
                <w:rFonts w:hint="eastAsia"/>
                <w:color w:val="auto"/>
                <w:highlight w:val="none"/>
              </w:rPr>
            </w:pPr>
          </w:p>
        </w:tc>
        <w:tc>
          <w:tcPr>
            <w:tcW w:w="900" w:type="dxa"/>
            <w:noWrap w:val="0"/>
            <w:vAlign w:val="top"/>
          </w:tcPr>
          <w:p w14:paraId="66BAA84C">
            <w:pPr>
              <w:spacing w:line="360" w:lineRule="auto"/>
              <w:rPr>
                <w:rFonts w:hint="eastAsia"/>
                <w:color w:val="auto"/>
                <w:highlight w:val="none"/>
              </w:rPr>
            </w:pPr>
          </w:p>
        </w:tc>
        <w:tc>
          <w:tcPr>
            <w:tcW w:w="862" w:type="dxa"/>
            <w:noWrap w:val="0"/>
            <w:vAlign w:val="top"/>
          </w:tcPr>
          <w:p w14:paraId="4A4BECD5">
            <w:pPr>
              <w:spacing w:line="360" w:lineRule="auto"/>
              <w:rPr>
                <w:rFonts w:hint="eastAsia"/>
                <w:color w:val="auto"/>
                <w:highlight w:val="none"/>
              </w:rPr>
            </w:pPr>
          </w:p>
        </w:tc>
        <w:tc>
          <w:tcPr>
            <w:tcW w:w="1225" w:type="dxa"/>
            <w:noWrap w:val="0"/>
            <w:vAlign w:val="top"/>
          </w:tcPr>
          <w:p w14:paraId="7F2D6721">
            <w:pPr>
              <w:spacing w:line="360" w:lineRule="auto"/>
              <w:rPr>
                <w:rFonts w:hint="eastAsia"/>
                <w:color w:val="auto"/>
                <w:highlight w:val="none"/>
              </w:rPr>
            </w:pPr>
          </w:p>
        </w:tc>
        <w:tc>
          <w:tcPr>
            <w:tcW w:w="1088" w:type="dxa"/>
            <w:noWrap w:val="0"/>
            <w:vAlign w:val="top"/>
          </w:tcPr>
          <w:p w14:paraId="45412F8A">
            <w:pPr>
              <w:spacing w:line="360" w:lineRule="auto"/>
              <w:rPr>
                <w:rFonts w:hint="eastAsia"/>
                <w:color w:val="auto"/>
                <w:highlight w:val="none"/>
              </w:rPr>
            </w:pPr>
          </w:p>
        </w:tc>
        <w:tc>
          <w:tcPr>
            <w:tcW w:w="1012" w:type="dxa"/>
            <w:noWrap w:val="0"/>
            <w:vAlign w:val="top"/>
          </w:tcPr>
          <w:p w14:paraId="10F305B5">
            <w:pPr>
              <w:spacing w:line="360" w:lineRule="auto"/>
              <w:rPr>
                <w:rFonts w:hint="eastAsia"/>
                <w:color w:val="auto"/>
                <w:highlight w:val="none"/>
              </w:rPr>
            </w:pPr>
          </w:p>
        </w:tc>
        <w:tc>
          <w:tcPr>
            <w:tcW w:w="929" w:type="dxa"/>
            <w:noWrap w:val="0"/>
            <w:vAlign w:val="top"/>
          </w:tcPr>
          <w:p w14:paraId="48BAB9AF">
            <w:pPr>
              <w:spacing w:line="360" w:lineRule="auto"/>
              <w:rPr>
                <w:rFonts w:hint="eastAsia"/>
                <w:color w:val="auto"/>
                <w:highlight w:val="none"/>
              </w:rPr>
            </w:pPr>
          </w:p>
        </w:tc>
        <w:tc>
          <w:tcPr>
            <w:tcW w:w="571" w:type="dxa"/>
            <w:noWrap w:val="0"/>
            <w:vAlign w:val="top"/>
          </w:tcPr>
          <w:p w14:paraId="351EADBD">
            <w:pPr>
              <w:spacing w:line="360" w:lineRule="auto"/>
              <w:rPr>
                <w:rFonts w:hint="eastAsia"/>
                <w:color w:val="auto"/>
                <w:highlight w:val="none"/>
              </w:rPr>
            </w:pPr>
          </w:p>
        </w:tc>
      </w:tr>
      <w:tr w14:paraId="5F2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4B0493F8">
            <w:pPr>
              <w:spacing w:line="360" w:lineRule="auto"/>
              <w:rPr>
                <w:rFonts w:hint="eastAsia"/>
                <w:color w:val="auto"/>
                <w:highlight w:val="none"/>
              </w:rPr>
            </w:pPr>
          </w:p>
        </w:tc>
        <w:tc>
          <w:tcPr>
            <w:tcW w:w="762" w:type="dxa"/>
            <w:noWrap w:val="0"/>
            <w:vAlign w:val="top"/>
          </w:tcPr>
          <w:p w14:paraId="2D389DFA">
            <w:pPr>
              <w:spacing w:line="360" w:lineRule="auto"/>
              <w:rPr>
                <w:rFonts w:hint="eastAsia"/>
                <w:color w:val="auto"/>
                <w:highlight w:val="none"/>
              </w:rPr>
            </w:pPr>
          </w:p>
        </w:tc>
        <w:tc>
          <w:tcPr>
            <w:tcW w:w="938" w:type="dxa"/>
            <w:noWrap w:val="0"/>
            <w:vAlign w:val="top"/>
          </w:tcPr>
          <w:p w14:paraId="66C10A70">
            <w:pPr>
              <w:spacing w:line="360" w:lineRule="auto"/>
              <w:rPr>
                <w:rFonts w:hint="eastAsia"/>
                <w:color w:val="auto"/>
                <w:highlight w:val="none"/>
              </w:rPr>
            </w:pPr>
          </w:p>
        </w:tc>
        <w:tc>
          <w:tcPr>
            <w:tcW w:w="900" w:type="dxa"/>
            <w:noWrap w:val="0"/>
            <w:vAlign w:val="top"/>
          </w:tcPr>
          <w:p w14:paraId="15B6F868">
            <w:pPr>
              <w:spacing w:line="360" w:lineRule="auto"/>
              <w:rPr>
                <w:rFonts w:hint="eastAsia"/>
                <w:color w:val="auto"/>
                <w:highlight w:val="none"/>
              </w:rPr>
            </w:pPr>
          </w:p>
        </w:tc>
        <w:tc>
          <w:tcPr>
            <w:tcW w:w="862" w:type="dxa"/>
            <w:noWrap w:val="0"/>
            <w:vAlign w:val="top"/>
          </w:tcPr>
          <w:p w14:paraId="3AFC0B46">
            <w:pPr>
              <w:spacing w:line="360" w:lineRule="auto"/>
              <w:rPr>
                <w:rFonts w:hint="eastAsia"/>
                <w:color w:val="auto"/>
                <w:highlight w:val="none"/>
              </w:rPr>
            </w:pPr>
          </w:p>
        </w:tc>
        <w:tc>
          <w:tcPr>
            <w:tcW w:w="1225" w:type="dxa"/>
            <w:noWrap w:val="0"/>
            <w:vAlign w:val="top"/>
          </w:tcPr>
          <w:p w14:paraId="2C917D0D">
            <w:pPr>
              <w:spacing w:line="360" w:lineRule="auto"/>
              <w:rPr>
                <w:rFonts w:hint="eastAsia"/>
                <w:color w:val="auto"/>
                <w:highlight w:val="none"/>
              </w:rPr>
            </w:pPr>
          </w:p>
        </w:tc>
        <w:tc>
          <w:tcPr>
            <w:tcW w:w="1088" w:type="dxa"/>
            <w:noWrap w:val="0"/>
            <w:vAlign w:val="top"/>
          </w:tcPr>
          <w:p w14:paraId="70FA396E">
            <w:pPr>
              <w:spacing w:line="360" w:lineRule="auto"/>
              <w:rPr>
                <w:rFonts w:hint="eastAsia"/>
                <w:color w:val="auto"/>
                <w:highlight w:val="none"/>
              </w:rPr>
            </w:pPr>
          </w:p>
        </w:tc>
        <w:tc>
          <w:tcPr>
            <w:tcW w:w="1012" w:type="dxa"/>
            <w:noWrap w:val="0"/>
            <w:vAlign w:val="top"/>
          </w:tcPr>
          <w:p w14:paraId="4606665E">
            <w:pPr>
              <w:spacing w:line="360" w:lineRule="auto"/>
              <w:rPr>
                <w:rFonts w:hint="eastAsia"/>
                <w:color w:val="auto"/>
                <w:highlight w:val="none"/>
              </w:rPr>
            </w:pPr>
          </w:p>
        </w:tc>
        <w:tc>
          <w:tcPr>
            <w:tcW w:w="929" w:type="dxa"/>
            <w:noWrap w:val="0"/>
            <w:vAlign w:val="top"/>
          </w:tcPr>
          <w:p w14:paraId="211C6807">
            <w:pPr>
              <w:spacing w:line="360" w:lineRule="auto"/>
              <w:rPr>
                <w:rFonts w:hint="eastAsia"/>
                <w:color w:val="auto"/>
                <w:highlight w:val="none"/>
              </w:rPr>
            </w:pPr>
          </w:p>
        </w:tc>
        <w:tc>
          <w:tcPr>
            <w:tcW w:w="571" w:type="dxa"/>
            <w:noWrap w:val="0"/>
            <w:vAlign w:val="top"/>
          </w:tcPr>
          <w:p w14:paraId="2CC79110">
            <w:pPr>
              <w:spacing w:line="360" w:lineRule="auto"/>
              <w:rPr>
                <w:rFonts w:hint="eastAsia"/>
                <w:color w:val="auto"/>
                <w:highlight w:val="none"/>
              </w:rPr>
            </w:pPr>
          </w:p>
        </w:tc>
      </w:tr>
      <w:tr w14:paraId="2209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01F8EE11">
            <w:pPr>
              <w:spacing w:line="360" w:lineRule="auto"/>
              <w:rPr>
                <w:rFonts w:hint="eastAsia"/>
                <w:color w:val="auto"/>
                <w:highlight w:val="none"/>
              </w:rPr>
            </w:pPr>
          </w:p>
        </w:tc>
        <w:tc>
          <w:tcPr>
            <w:tcW w:w="762" w:type="dxa"/>
            <w:noWrap w:val="0"/>
            <w:vAlign w:val="top"/>
          </w:tcPr>
          <w:p w14:paraId="0F9A2504">
            <w:pPr>
              <w:spacing w:line="360" w:lineRule="auto"/>
              <w:rPr>
                <w:rFonts w:hint="eastAsia"/>
                <w:color w:val="auto"/>
                <w:highlight w:val="none"/>
              </w:rPr>
            </w:pPr>
          </w:p>
        </w:tc>
        <w:tc>
          <w:tcPr>
            <w:tcW w:w="938" w:type="dxa"/>
            <w:noWrap w:val="0"/>
            <w:vAlign w:val="top"/>
          </w:tcPr>
          <w:p w14:paraId="1CA7E7DF">
            <w:pPr>
              <w:spacing w:line="360" w:lineRule="auto"/>
              <w:rPr>
                <w:rFonts w:hint="eastAsia"/>
                <w:color w:val="auto"/>
                <w:highlight w:val="none"/>
              </w:rPr>
            </w:pPr>
          </w:p>
        </w:tc>
        <w:tc>
          <w:tcPr>
            <w:tcW w:w="900" w:type="dxa"/>
            <w:noWrap w:val="0"/>
            <w:vAlign w:val="top"/>
          </w:tcPr>
          <w:p w14:paraId="64C49D34">
            <w:pPr>
              <w:spacing w:line="360" w:lineRule="auto"/>
              <w:rPr>
                <w:rFonts w:hint="eastAsia"/>
                <w:color w:val="auto"/>
                <w:highlight w:val="none"/>
              </w:rPr>
            </w:pPr>
          </w:p>
        </w:tc>
        <w:tc>
          <w:tcPr>
            <w:tcW w:w="862" w:type="dxa"/>
            <w:noWrap w:val="0"/>
            <w:vAlign w:val="top"/>
          </w:tcPr>
          <w:p w14:paraId="72FA0FEC">
            <w:pPr>
              <w:spacing w:line="360" w:lineRule="auto"/>
              <w:rPr>
                <w:rFonts w:hint="eastAsia"/>
                <w:color w:val="auto"/>
                <w:highlight w:val="none"/>
              </w:rPr>
            </w:pPr>
          </w:p>
        </w:tc>
        <w:tc>
          <w:tcPr>
            <w:tcW w:w="1225" w:type="dxa"/>
            <w:noWrap w:val="0"/>
            <w:vAlign w:val="top"/>
          </w:tcPr>
          <w:p w14:paraId="1463860C">
            <w:pPr>
              <w:spacing w:line="360" w:lineRule="auto"/>
              <w:rPr>
                <w:rFonts w:hint="eastAsia"/>
                <w:color w:val="auto"/>
                <w:highlight w:val="none"/>
              </w:rPr>
            </w:pPr>
          </w:p>
        </w:tc>
        <w:tc>
          <w:tcPr>
            <w:tcW w:w="1088" w:type="dxa"/>
            <w:noWrap w:val="0"/>
            <w:vAlign w:val="top"/>
          </w:tcPr>
          <w:p w14:paraId="22DC76BF">
            <w:pPr>
              <w:spacing w:line="360" w:lineRule="auto"/>
              <w:rPr>
                <w:rFonts w:hint="eastAsia"/>
                <w:color w:val="auto"/>
                <w:highlight w:val="none"/>
              </w:rPr>
            </w:pPr>
          </w:p>
        </w:tc>
        <w:tc>
          <w:tcPr>
            <w:tcW w:w="1012" w:type="dxa"/>
            <w:noWrap w:val="0"/>
            <w:vAlign w:val="top"/>
          </w:tcPr>
          <w:p w14:paraId="0FA78032">
            <w:pPr>
              <w:spacing w:line="360" w:lineRule="auto"/>
              <w:rPr>
                <w:rFonts w:hint="eastAsia"/>
                <w:color w:val="auto"/>
                <w:highlight w:val="none"/>
              </w:rPr>
            </w:pPr>
          </w:p>
        </w:tc>
        <w:tc>
          <w:tcPr>
            <w:tcW w:w="929" w:type="dxa"/>
            <w:noWrap w:val="0"/>
            <w:vAlign w:val="top"/>
          </w:tcPr>
          <w:p w14:paraId="1F651F07">
            <w:pPr>
              <w:spacing w:line="360" w:lineRule="auto"/>
              <w:rPr>
                <w:rFonts w:hint="eastAsia"/>
                <w:color w:val="auto"/>
                <w:highlight w:val="none"/>
              </w:rPr>
            </w:pPr>
          </w:p>
        </w:tc>
        <w:tc>
          <w:tcPr>
            <w:tcW w:w="571" w:type="dxa"/>
            <w:noWrap w:val="0"/>
            <w:vAlign w:val="top"/>
          </w:tcPr>
          <w:p w14:paraId="537A2C5E">
            <w:pPr>
              <w:spacing w:line="360" w:lineRule="auto"/>
              <w:rPr>
                <w:rFonts w:hint="eastAsia"/>
                <w:color w:val="auto"/>
                <w:highlight w:val="none"/>
              </w:rPr>
            </w:pPr>
          </w:p>
        </w:tc>
      </w:tr>
      <w:tr w14:paraId="5FBE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2909F844">
            <w:pPr>
              <w:spacing w:line="360" w:lineRule="auto"/>
              <w:rPr>
                <w:rFonts w:hint="eastAsia"/>
                <w:color w:val="auto"/>
                <w:highlight w:val="none"/>
              </w:rPr>
            </w:pPr>
          </w:p>
        </w:tc>
        <w:tc>
          <w:tcPr>
            <w:tcW w:w="762" w:type="dxa"/>
            <w:noWrap w:val="0"/>
            <w:vAlign w:val="top"/>
          </w:tcPr>
          <w:p w14:paraId="7FE88D3B">
            <w:pPr>
              <w:spacing w:line="360" w:lineRule="auto"/>
              <w:rPr>
                <w:rFonts w:hint="eastAsia"/>
                <w:color w:val="auto"/>
                <w:highlight w:val="none"/>
              </w:rPr>
            </w:pPr>
          </w:p>
        </w:tc>
        <w:tc>
          <w:tcPr>
            <w:tcW w:w="938" w:type="dxa"/>
            <w:noWrap w:val="0"/>
            <w:vAlign w:val="top"/>
          </w:tcPr>
          <w:p w14:paraId="3C3D9201">
            <w:pPr>
              <w:spacing w:line="360" w:lineRule="auto"/>
              <w:rPr>
                <w:rFonts w:hint="eastAsia"/>
                <w:color w:val="auto"/>
                <w:highlight w:val="none"/>
              </w:rPr>
            </w:pPr>
          </w:p>
        </w:tc>
        <w:tc>
          <w:tcPr>
            <w:tcW w:w="900" w:type="dxa"/>
            <w:noWrap w:val="0"/>
            <w:vAlign w:val="top"/>
          </w:tcPr>
          <w:p w14:paraId="4CB38BCD">
            <w:pPr>
              <w:spacing w:line="360" w:lineRule="auto"/>
              <w:rPr>
                <w:rFonts w:hint="eastAsia"/>
                <w:color w:val="auto"/>
                <w:highlight w:val="none"/>
              </w:rPr>
            </w:pPr>
          </w:p>
        </w:tc>
        <w:tc>
          <w:tcPr>
            <w:tcW w:w="862" w:type="dxa"/>
            <w:noWrap w:val="0"/>
            <w:vAlign w:val="top"/>
          </w:tcPr>
          <w:p w14:paraId="5363EB43">
            <w:pPr>
              <w:spacing w:line="360" w:lineRule="auto"/>
              <w:rPr>
                <w:rFonts w:hint="eastAsia"/>
                <w:color w:val="auto"/>
                <w:highlight w:val="none"/>
              </w:rPr>
            </w:pPr>
          </w:p>
        </w:tc>
        <w:tc>
          <w:tcPr>
            <w:tcW w:w="1225" w:type="dxa"/>
            <w:noWrap w:val="0"/>
            <w:vAlign w:val="top"/>
          </w:tcPr>
          <w:p w14:paraId="6966328D">
            <w:pPr>
              <w:spacing w:line="360" w:lineRule="auto"/>
              <w:rPr>
                <w:rFonts w:hint="eastAsia"/>
                <w:color w:val="auto"/>
                <w:highlight w:val="none"/>
              </w:rPr>
            </w:pPr>
          </w:p>
        </w:tc>
        <w:tc>
          <w:tcPr>
            <w:tcW w:w="1088" w:type="dxa"/>
            <w:noWrap w:val="0"/>
            <w:vAlign w:val="top"/>
          </w:tcPr>
          <w:p w14:paraId="2F59870E">
            <w:pPr>
              <w:spacing w:line="360" w:lineRule="auto"/>
              <w:rPr>
                <w:rFonts w:hint="eastAsia"/>
                <w:color w:val="auto"/>
                <w:highlight w:val="none"/>
              </w:rPr>
            </w:pPr>
          </w:p>
        </w:tc>
        <w:tc>
          <w:tcPr>
            <w:tcW w:w="1012" w:type="dxa"/>
            <w:noWrap w:val="0"/>
            <w:vAlign w:val="top"/>
          </w:tcPr>
          <w:p w14:paraId="0578CE38">
            <w:pPr>
              <w:spacing w:line="360" w:lineRule="auto"/>
              <w:rPr>
                <w:rFonts w:hint="eastAsia"/>
                <w:color w:val="auto"/>
                <w:highlight w:val="none"/>
              </w:rPr>
            </w:pPr>
          </w:p>
        </w:tc>
        <w:tc>
          <w:tcPr>
            <w:tcW w:w="929" w:type="dxa"/>
            <w:noWrap w:val="0"/>
            <w:vAlign w:val="top"/>
          </w:tcPr>
          <w:p w14:paraId="3B0F5141">
            <w:pPr>
              <w:spacing w:line="360" w:lineRule="auto"/>
              <w:rPr>
                <w:rFonts w:hint="eastAsia"/>
                <w:color w:val="auto"/>
                <w:highlight w:val="none"/>
              </w:rPr>
            </w:pPr>
          </w:p>
        </w:tc>
        <w:tc>
          <w:tcPr>
            <w:tcW w:w="571" w:type="dxa"/>
            <w:noWrap w:val="0"/>
            <w:vAlign w:val="top"/>
          </w:tcPr>
          <w:p w14:paraId="4BD87A0C">
            <w:pPr>
              <w:spacing w:line="360" w:lineRule="auto"/>
              <w:rPr>
                <w:rFonts w:hint="eastAsia"/>
                <w:color w:val="auto"/>
                <w:highlight w:val="none"/>
              </w:rPr>
            </w:pPr>
          </w:p>
        </w:tc>
      </w:tr>
      <w:tr w14:paraId="3795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16CC5E46">
            <w:pPr>
              <w:spacing w:line="360" w:lineRule="auto"/>
              <w:rPr>
                <w:rFonts w:hint="eastAsia"/>
                <w:color w:val="auto"/>
                <w:highlight w:val="none"/>
              </w:rPr>
            </w:pPr>
          </w:p>
        </w:tc>
        <w:tc>
          <w:tcPr>
            <w:tcW w:w="762" w:type="dxa"/>
            <w:noWrap w:val="0"/>
            <w:vAlign w:val="top"/>
          </w:tcPr>
          <w:p w14:paraId="1ED6C15D">
            <w:pPr>
              <w:spacing w:line="360" w:lineRule="auto"/>
              <w:rPr>
                <w:rFonts w:hint="eastAsia"/>
                <w:color w:val="auto"/>
                <w:highlight w:val="none"/>
              </w:rPr>
            </w:pPr>
          </w:p>
        </w:tc>
        <w:tc>
          <w:tcPr>
            <w:tcW w:w="938" w:type="dxa"/>
            <w:noWrap w:val="0"/>
            <w:vAlign w:val="top"/>
          </w:tcPr>
          <w:p w14:paraId="7BA55951">
            <w:pPr>
              <w:spacing w:line="360" w:lineRule="auto"/>
              <w:rPr>
                <w:rFonts w:hint="eastAsia"/>
                <w:color w:val="auto"/>
                <w:highlight w:val="none"/>
              </w:rPr>
            </w:pPr>
          </w:p>
        </w:tc>
        <w:tc>
          <w:tcPr>
            <w:tcW w:w="900" w:type="dxa"/>
            <w:noWrap w:val="0"/>
            <w:vAlign w:val="top"/>
          </w:tcPr>
          <w:p w14:paraId="540CBAC4">
            <w:pPr>
              <w:spacing w:line="360" w:lineRule="auto"/>
              <w:rPr>
                <w:rFonts w:hint="eastAsia"/>
                <w:color w:val="auto"/>
                <w:highlight w:val="none"/>
              </w:rPr>
            </w:pPr>
          </w:p>
        </w:tc>
        <w:tc>
          <w:tcPr>
            <w:tcW w:w="862" w:type="dxa"/>
            <w:noWrap w:val="0"/>
            <w:vAlign w:val="top"/>
          </w:tcPr>
          <w:p w14:paraId="05A5F3C1">
            <w:pPr>
              <w:spacing w:line="360" w:lineRule="auto"/>
              <w:rPr>
                <w:rFonts w:hint="eastAsia"/>
                <w:color w:val="auto"/>
                <w:highlight w:val="none"/>
              </w:rPr>
            </w:pPr>
          </w:p>
        </w:tc>
        <w:tc>
          <w:tcPr>
            <w:tcW w:w="1225" w:type="dxa"/>
            <w:noWrap w:val="0"/>
            <w:vAlign w:val="top"/>
          </w:tcPr>
          <w:p w14:paraId="7351506A">
            <w:pPr>
              <w:spacing w:line="360" w:lineRule="auto"/>
              <w:rPr>
                <w:rFonts w:hint="eastAsia"/>
                <w:color w:val="auto"/>
                <w:highlight w:val="none"/>
              </w:rPr>
            </w:pPr>
          </w:p>
        </w:tc>
        <w:tc>
          <w:tcPr>
            <w:tcW w:w="1088" w:type="dxa"/>
            <w:noWrap w:val="0"/>
            <w:vAlign w:val="top"/>
          </w:tcPr>
          <w:p w14:paraId="63F1BA59">
            <w:pPr>
              <w:spacing w:line="360" w:lineRule="auto"/>
              <w:rPr>
                <w:rFonts w:hint="eastAsia"/>
                <w:color w:val="auto"/>
                <w:highlight w:val="none"/>
              </w:rPr>
            </w:pPr>
          </w:p>
        </w:tc>
        <w:tc>
          <w:tcPr>
            <w:tcW w:w="1012" w:type="dxa"/>
            <w:noWrap w:val="0"/>
            <w:vAlign w:val="top"/>
          </w:tcPr>
          <w:p w14:paraId="1E988A49">
            <w:pPr>
              <w:spacing w:line="360" w:lineRule="auto"/>
              <w:rPr>
                <w:rFonts w:hint="eastAsia"/>
                <w:color w:val="auto"/>
                <w:highlight w:val="none"/>
              </w:rPr>
            </w:pPr>
          </w:p>
        </w:tc>
        <w:tc>
          <w:tcPr>
            <w:tcW w:w="929" w:type="dxa"/>
            <w:noWrap w:val="0"/>
            <w:vAlign w:val="top"/>
          </w:tcPr>
          <w:p w14:paraId="063DCDF5">
            <w:pPr>
              <w:spacing w:line="360" w:lineRule="auto"/>
              <w:rPr>
                <w:rFonts w:hint="eastAsia"/>
                <w:color w:val="auto"/>
                <w:highlight w:val="none"/>
              </w:rPr>
            </w:pPr>
          </w:p>
        </w:tc>
        <w:tc>
          <w:tcPr>
            <w:tcW w:w="571" w:type="dxa"/>
            <w:noWrap w:val="0"/>
            <w:vAlign w:val="top"/>
          </w:tcPr>
          <w:p w14:paraId="2E7E48FC">
            <w:pPr>
              <w:spacing w:line="360" w:lineRule="auto"/>
              <w:rPr>
                <w:rFonts w:hint="eastAsia"/>
                <w:color w:val="auto"/>
                <w:highlight w:val="none"/>
              </w:rPr>
            </w:pPr>
          </w:p>
        </w:tc>
      </w:tr>
      <w:tr w14:paraId="4BFD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397D675A">
            <w:pPr>
              <w:spacing w:line="360" w:lineRule="auto"/>
              <w:rPr>
                <w:rFonts w:hint="eastAsia"/>
                <w:color w:val="auto"/>
                <w:highlight w:val="none"/>
              </w:rPr>
            </w:pPr>
          </w:p>
        </w:tc>
        <w:tc>
          <w:tcPr>
            <w:tcW w:w="762" w:type="dxa"/>
            <w:noWrap w:val="0"/>
            <w:vAlign w:val="top"/>
          </w:tcPr>
          <w:p w14:paraId="486F4E44">
            <w:pPr>
              <w:spacing w:line="360" w:lineRule="auto"/>
              <w:rPr>
                <w:rFonts w:hint="eastAsia"/>
                <w:color w:val="auto"/>
                <w:highlight w:val="none"/>
              </w:rPr>
            </w:pPr>
          </w:p>
        </w:tc>
        <w:tc>
          <w:tcPr>
            <w:tcW w:w="938" w:type="dxa"/>
            <w:noWrap w:val="0"/>
            <w:vAlign w:val="top"/>
          </w:tcPr>
          <w:p w14:paraId="305F06E6">
            <w:pPr>
              <w:spacing w:line="360" w:lineRule="auto"/>
              <w:rPr>
                <w:rFonts w:hint="eastAsia"/>
                <w:color w:val="auto"/>
                <w:highlight w:val="none"/>
              </w:rPr>
            </w:pPr>
          </w:p>
        </w:tc>
        <w:tc>
          <w:tcPr>
            <w:tcW w:w="900" w:type="dxa"/>
            <w:noWrap w:val="0"/>
            <w:vAlign w:val="top"/>
          </w:tcPr>
          <w:p w14:paraId="627E442D">
            <w:pPr>
              <w:spacing w:line="360" w:lineRule="auto"/>
              <w:rPr>
                <w:rFonts w:hint="eastAsia"/>
                <w:color w:val="auto"/>
                <w:highlight w:val="none"/>
              </w:rPr>
            </w:pPr>
          </w:p>
        </w:tc>
        <w:tc>
          <w:tcPr>
            <w:tcW w:w="862" w:type="dxa"/>
            <w:noWrap w:val="0"/>
            <w:vAlign w:val="top"/>
          </w:tcPr>
          <w:p w14:paraId="7576E994">
            <w:pPr>
              <w:spacing w:line="360" w:lineRule="auto"/>
              <w:rPr>
                <w:rFonts w:hint="eastAsia"/>
                <w:color w:val="auto"/>
                <w:highlight w:val="none"/>
              </w:rPr>
            </w:pPr>
          </w:p>
        </w:tc>
        <w:tc>
          <w:tcPr>
            <w:tcW w:w="1225" w:type="dxa"/>
            <w:noWrap w:val="0"/>
            <w:vAlign w:val="top"/>
          </w:tcPr>
          <w:p w14:paraId="678AC7AA">
            <w:pPr>
              <w:spacing w:line="360" w:lineRule="auto"/>
              <w:rPr>
                <w:rFonts w:hint="eastAsia"/>
                <w:color w:val="auto"/>
                <w:highlight w:val="none"/>
              </w:rPr>
            </w:pPr>
          </w:p>
        </w:tc>
        <w:tc>
          <w:tcPr>
            <w:tcW w:w="1088" w:type="dxa"/>
            <w:noWrap w:val="0"/>
            <w:vAlign w:val="top"/>
          </w:tcPr>
          <w:p w14:paraId="5E851526">
            <w:pPr>
              <w:spacing w:line="360" w:lineRule="auto"/>
              <w:rPr>
                <w:rFonts w:hint="eastAsia"/>
                <w:color w:val="auto"/>
                <w:highlight w:val="none"/>
              </w:rPr>
            </w:pPr>
          </w:p>
        </w:tc>
        <w:tc>
          <w:tcPr>
            <w:tcW w:w="1012" w:type="dxa"/>
            <w:noWrap w:val="0"/>
            <w:vAlign w:val="top"/>
          </w:tcPr>
          <w:p w14:paraId="4D21229C">
            <w:pPr>
              <w:spacing w:line="360" w:lineRule="auto"/>
              <w:rPr>
                <w:rFonts w:hint="eastAsia"/>
                <w:color w:val="auto"/>
                <w:highlight w:val="none"/>
              </w:rPr>
            </w:pPr>
          </w:p>
        </w:tc>
        <w:tc>
          <w:tcPr>
            <w:tcW w:w="929" w:type="dxa"/>
            <w:noWrap w:val="0"/>
            <w:vAlign w:val="top"/>
          </w:tcPr>
          <w:p w14:paraId="3C5615A4">
            <w:pPr>
              <w:spacing w:line="360" w:lineRule="auto"/>
              <w:rPr>
                <w:rFonts w:hint="eastAsia"/>
                <w:color w:val="auto"/>
                <w:highlight w:val="none"/>
              </w:rPr>
            </w:pPr>
          </w:p>
        </w:tc>
        <w:tc>
          <w:tcPr>
            <w:tcW w:w="571" w:type="dxa"/>
            <w:noWrap w:val="0"/>
            <w:vAlign w:val="top"/>
          </w:tcPr>
          <w:p w14:paraId="13BD1219">
            <w:pPr>
              <w:spacing w:line="360" w:lineRule="auto"/>
              <w:rPr>
                <w:rFonts w:hint="eastAsia"/>
                <w:color w:val="auto"/>
                <w:highlight w:val="none"/>
              </w:rPr>
            </w:pPr>
          </w:p>
        </w:tc>
      </w:tr>
      <w:tr w14:paraId="49FB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40FF87B3">
            <w:pPr>
              <w:spacing w:line="360" w:lineRule="auto"/>
              <w:rPr>
                <w:rFonts w:hint="eastAsia"/>
                <w:color w:val="auto"/>
                <w:highlight w:val="none"/>
              </w:rPr>
            </w:pPr>
          </w:p>
        </w:tc>
        <w:tc>
          <w:tcPr>
            <w:tcW w:w="762" w:type="dxa"/>
            <w:noWrap w:val="0"/>
            <w:vAlign w:val="top"/>
          </w:tcPr>
          <w:p w14:paraId="1ACB3806">
            <w:pPr>
              <w:spacing w:line="360" w:lineRule="auto"/>
              <w:rPr>
                <w:rFonts w:hint="eastAsia"/>
                <w:color w:val="auto"/>
                <w:highlight w:val="none"/>
              </w:rPr>
            </w:pPr>
          </w:p>
        </w:tc>
        <w:tc>
          <w:tcPr>
            <w:tcW w:w="938" w:type="dxa"/>
            <w:noWrap w:val="0"/>
            <w:vAlign w:val="top"/>
          </w:tcPr>
          <w:p w14:paraId="74807149">
            <w:pPr>
              <w:spacing w:line="360" w:lineRule="auto"/>
              <w:rPr>
                <w:rFonts w:hint="eastAsia"/>
                <w:color w:val="auto"/>
                <w:highlight w:val="none"/>
              </w:rPr>
            </w:pPr>
          </w:p>
        </w:tc>
        <w:tc>
          <w:tcPr>
            <w:tcW w:w="900" w:type="dxa"/>
            <w:noWrap w:val="0"/>
            <w:vAlign w:val="top"/>
          </w:tcPr>
          <w:p w14:paraId="277A3B0D">
            <w:pPr>
              <w:spacing w:line="360" w:lineRule="auto"/>
              <w:rPr>
                <w:rFonts w:hint="eastAsia"/>
                <w:color w:val="auto"/>
                <w:highlight w:val="none"/>
              </w:rPr>
            </w:pPr>
          </w:p>
        </w:tc>
        <w:tc>
          <w:tcPr>
            <w:tcW w:w="862" w:type="dxa"/>
            <w:noWrap w:val="0"/>
            <w:vAlign w:val="top"/>
          </w:tcPr>
          <w:p w14:paraId="2E745EB0">
            <w:pPr>
              <w:spacing w:line="360" w:lineRule="auto"/>
              <w:rPr>
                <w:rFonts w:hint="eastAsia"/>
                <w:color w:val="auto"/>
                <w:highlight w:val="none"/>
              </w:rPr>
            </w:pPr>
          </w:p>
        </w:tc>
        <w:tc>
          <w:tcPr>
            <w:tcW w:w="1225" w:type="dxa"/>
            <w:noWrap w:val="0"/>
            <w:vAlign w:val="top"/>
          </w:tcPr>
          <w:p w14:paraId="5FA32023">
            <w:pPr>
              <w:spacing w:line="360" w:lineRule="auto"/>
              <w:rPr>
                <w:rFonts w:hint="eastAsia"/>
                <w:color w:val="auto"/>
                <w:highlight w:val="none"/>
              </w:rPr>
            </w:pPr>
          </w:p>
        </w:tc>
        <w:tc>
          <w:tcPr>
            <w:tcW w:w="1088" w:type="dxa"/>
            <w:noWrap w:val="0"/>
            <w:vAlign w:val="top"/>
          </w:tcPr>
          <w:p w14:paraId="51618144">
            <w:pPr>
              <w:spacing w:line="360" w:lineRule="auto"/>
              <w:rPr>
                <w:rFonts w:hint="eastAsia"/>
                <w:color w:val="auto"/>
                <w:highlight w:val="none"/>
              </w:rPr>
            </w:pPr>
          </w:p>
        </w:tc>
        <w:tc>
          <w:tcPr>
            <w:tcW w:w="1012" w:type="dxa"/>
            <w:noWrap w:val="0"/>
            <w:vAlign w:val="top"/>
          </w:tcPr>
          <w:p w14:paraId="47A935B6">
            <w:pPr>
              <w:spacing w:line="360" w:lineRule="auto"/>
              <w:rPr>
                <w:rFonts w:hint="eastAsia"/>
                <w:color w:val="auto"/>
                <w:highlight w:val="none"/>
              </w:rPr>
            </w:pPr>
          </w:p>
        </w:tc>
        <w:tc>
          <w:tcPr>
            <w:tcW w:w="929" w:type="dxa"/>
            <w:noWrap w:val="0"/>
            <w:vAlign w:val="top"/>
          </w:tcPr>
          <w:p w14:paraId="6BA644A2">
            <w:pPr>
              <w:spacing w:line="360" w:lineRule="auto"/>
              <w:rPr>
                <w:rFonts w:hint="eastAsia"/>
                <w:color w:val="auto"/>
                <w:highlight w:val="none"/>
              </w:rPr>
            </w:pPr>
          </w:p>
        </w:tc>
        <w:tc>
          <w:tcPr>
            <w:tcW w:w="571" w:type="dxa"/>
            <w:noWrap w:val="0"/>
            <w:vAlign w:val="top"/>
          </w:tcPr>
          <w:p w14:paraId="3AB7F756">
            <w:pPr>
              <w:spacing w:line="360" w:lineRule="auto"/>
              <w:rPr>
                <w:rFonts w:hint="eastAsia"/>
                <w:color w:val="auto"/>
                <w:highlight w:val="none"/>
              </w:rPr>
            </w:pPr>
          </w:p>
        </w:tc>
      </w:tr>
      <w:tr w14:paraId="3D67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6ADCF695">
            <w:pPr>
              <w:spacing w:line="360" w:lineRule="auto"/>
              <w:rPr>
                <w:rFonts w:hint="eastAsia"/>
                <w:color w:val="auto"/>
                <w:highlight w:val="none"/>
              </w:rPr>
            </w:pPr>
          </w:p>
        </w:tc>
        <w:tc>
          <w:tcPr>
            <w:tcW w:w="762" w:type="dxa"/>
            <w:noWrap w:val="0"/>
            <w:vAlign w:val="top"/>
          </w:tcPr>
          <w:p w14:paraId="3CAAD1E6">
            <w:pPr>
              <w:spacing w:line="360" w:lineRule="auto"/>
              <w:rPr>
                <w:rFonts w:hint="eastAsia"/>
                <w:color w:val="auto"/>
                <w:highlight w:val="none"/>
              </w:rPr>
            </w:pPr>
          </w:p>
        </w:tc>
        <w:tc>
          <w:tcPr>
            <w:tcW w:w="938" w:type="dxa"/>
            <w:noWrap w:val="0"/>
            <w:vAlign w:val="top"/>
          </w:tcPr>
          <w:p w14:paraId="1C64B8C0">
            <w:pPr>
              <w:spacing w:line="360" w:lineRule="auto"/>
              <w:rPr>
                <w:rFonts w:hint="eastAsia"/>
                <w:color w:val="auto"/>
                <w:highlight w:val="none"/>
              </w:rPr>
            </w:pPr>
          </w:p>
        </w:tc>
        <w:tc>
          <w:tcPr>
            <w:tcW w:w="900" w:type="dxa"/>
            <w:noWrap w:val="0"/>
            <w:vAlign w:val="top"/>
          </w:tcPr>
          <w:p w14:paraId="7D66D155">
            <w:pPr>
              <w:spacing w:line="360" w:lineRule="auto"/>
              <w:rPr>
                <w:rFonts w:hint="eastAsia"/>
                <w:color w:val="auto"/>
                <w:highlight w:val="none"/>
              </w:rPr>
            </w:pPr>
          </w:p>
        </w:tc>
        <w:tc>
          <w:tcPr>
            <w:tcW w:w="862" w:type="dxa"/>
            <w:noWrap w:val="0"/>
            <w:vAlign w:val="top"/>
          </w:tcPr>
          <w:p w14:paraId="1A184A34">
            <w:pPr>
              <w:spacing w:line="360" w:lineRule="auto"/>
              <w:rPr>
                <w:rFonts w:hint="eastAsia"/>
                <w:color w:val="auto"/>
                <w:highlight w:val="none"/>
              </w:rPr>
            </w:pPr>
          </w:p>
        </w:tc>
        <w:tc>
          <w:tcPr>
            <w:tcW w:w="1225" w:type="dxa"/>
            <w:noWrap w:val="0"/>
            <w:vAlign w:val="top"/>
          </w:tcPr>
          <w:p w14:paraId="01BD074B">
            <w:pPr>
              <w:spacing w:line="360" w:lineRule="auto"/>
              <w:rPr>
                <w:rFonts w:hint="eastAsia"/>
                <w:color w:val="auto"/>
                <w:highlight w:val="none"/>
              </w:rPr>
            </w:pPr>
          </w:p>
        </w:tc>
        <w:tc>
          <w:tcPr>
            <w:tcW w:w="1088" w:type="dxa"/>
            <w:noWrap w:val="0"/>
            <w:vAlign w:val="top"/>
          </w:tcPr>
          <w:p w14:paraId="47AF8652">
            <w:pPr>
              <w:spacing w:line="360" w:lineRule="auto"/>
              <w:rPr>
                <w:rFonts w:hint="eastAsia"/>
                <w:color w:val="auto"/>
                <w:highlight w:val="none"/>
              </w:rPr>
            </w:pPr>
          </w:p>
        </w:tc>
        <w:tc>
          <w:tcPr>
            <w:tcW w:w="1012" w:type="dxa"/>
            <w:noWrap w:val="0"/>
            <w:vAlign w:val="top"/>
          </w:tcPr>
          <w:p w14:paraId="6D2E7AF3">
            <w:pPr>
              <w:spacing w:line="360" w:lineRule="auto"/>
              <w:rPr>
                <w:rFonts w:hint="eastAsia"/>
                <w:color w:val="auto"/>
                <w:highlight w:val="none"/>
              </w:rPr>
            </w:pPr>
          </w:p>
        </w:tc>
        <w:tc>
          <w:tcPr>
            <w:tcW w:w="929" w:type="dxa"/>
            <w:noWrap w:val="0"/>
            <w:vAlign w:val="top"/>
          </w:tcPr>
          <w:p w14:paraId="3D6BEA10">
            <w:pPr>
              <w:spacing w:line="360" w:lineRule="auto"/>
              <w:rPr>
                <w:rFonts w:hint="eastAsia"/>
                <w:color w:val="auto"/>
                <w:highlight w:val="none"/>
              </w:rPr>
            </w:pPr>
          </w:p>
        </w:tc>
        <w:tc>
          <w:tcPr>
            <w:tcW w:w="571" w:type="dxa"/>
            <w:noWrap w:val="0"/>
            <w:vAlign w:val="top"/>
          </w:tcPr>
          <w:p w14:paraId="6D34ED8F">
            <w:pPr>
              <w:spacing w:line="360" w:lineRule="auto"/>
              <w:rPr>
                <w:rFonts w:hint="eastAsia"/>
                <w:color w:val="auto"/>
                <w:highlight w:val="none"/>
              </w:rPr>
            </w:pPr>
          </w:p>
        </w:tc>
      </w:tr>
      <w:tr w14:paraId="709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1BF0A601">
            <w:pPr>
              <w:spacing w:line="360" w:lineRule="auto"/>
              <w:rPr>
                <w:rFonts w:hint="eastAsia"/>
                <w:color w:val="auto"/>
                <w:highlight w:val="none"/>
              </w:rPr>
            </w:pPr>
          </w:p>
        </w:tc>
        <w:tc>
          <w:tcPr>
            <w:tcW w:w="762" w:type="dxa"/>
            <w:noWrap w:val="0"/>
            <w:vAlign w:val="top"/>
          </w:tcPr>
          <w:p w14:paraId="63688668">
            <w:pPr>
              <w:spacing w:line="360" w:lineRule="auto"/>
              <w:rPr>
                <w:rFonts w:hint="eastAsia"/>
                <w:color w:val="auto"/>
                <w:highlight w:val="none"/>
              </w:rPr>
            </w:pPr>
          </w:p>
        </w:tc>
        <w:tc>
          <w:tcPr>
            <w:tcW w:w="938" w:type="dxa"/>
            <w:noWrap w:val="0"/>
            <w:vAlign w:val="top"/>
          </w:tcPr>
          <w:p w14:paraId="19E679B1">
            <w:pPr>
              <w:spacing w:line="360" w:lineRule="auto"/>
              <w:rPr>
                <w:rFonts w:hint="eastAsia"/>
                <w:color w:val="auto"/>
                <w:highlight w:val="none"/>
              </w:rPr>
            </w:pPr>
          </w:p>
        </w:tc>
        <w:tc>
          <w:tcPr>
            <w:tcW w:w="900" w:type="dxa"/>
            <w:noWrap w:val="0"/>
            <w:vAlign w:val="top"/>
          </w:tcPr>
          <w:p w14:paraId="3F21E96C">
            <w:pPr>
              <w:spacing w:line="360" w:lineRule="auto"/>
              <w:rPr>
                <w:rFonts w:hint="eastAsia"/>
                <w:color w:val="auto"/>
                <w:highlight w:val="none"/>
              </w:rPr>
            </w:pPr>
          </w:p>
        </w:tc>
        <w:tc>
          <w:tcPr>
            <w:tcW w:w="862" w:type="dxa"/>
            <w:noWrap w:val="0"/>
            <w:vAlign w:val="top"/>
          </w:tcPr>
          <w:p w14:paraId="0C344A4C">
            <w:pPr>
              <w:spacing w:line="360" w:lineRule="auto"/>
              <w:rPr>
                <w:rFonts w:hint="eastAsia"/>
                <w:color w:val="auto"/>
                <w:highlight w:val="none"/>
              </w:rPr>
            </w:pPr>
          </w:p>
        </w:tc>
        <w:tc>
          <w:tcPr>
            <w:tcW w:w="1225" w:type="dxa"/>
            <w:noWrap w:val="0"/>
            <w:vAlign w:val="top"/>
          </w:tcPr>
          <w:p w14:paraId="2D6BFA1F">
            <w:pPr>
              <w:spacing w:line="360" w:lineRule="auto"/>
              <w:rPr>
                <w:rFonts w:hint="eastAsia"/>
                <w:color w:val="auto"/>
                <w:highlight w:val="none"/>
              </w:rPr>
            </w:pPr>
          </w:p>
        </w:tc>
        <w:tc>
          <w:tcPr>
            <w:tcW w:w="1088" w:type="dxa"/>
            <w:noWrap w:val="0"/>
            <w:vAlign w:val="top"/>
          </w:tcPr>
          <w:p w14:paraId="6BA6DD0E">
            <w:pPr>
              <w:spacing w:line="360" w:lineRule="auto"/>
              <w:rPr>
                <w:rFonts w:hint="eastAsia"/>
                <w:color w:val="auto"/>
                <w:highlight w:val="none"/>
              </w:rPr>
            </w:pPr>
          </w:p>
        </w:tc>
        <w:tc>
          <w:tcPr>
            <w:tcW w:w="1012" w:type="dxa"/>
            <w:noWrap w:val="0"/>
            <w:vAlign w:val="top"/>
          </w:tcPr>
          <w:p w14:paraId="5F33D0E9">
            <w:pPr>
              <w:spacing w:line="360" w:lineRule="auto"/>
              <w:rPr>
                <w:rFonts w:hint="eastAsia"/>
                <w:color w:val="auto"/>
                <w:highlight w:val="none"/>
              </w:rPr>
            </w:pPr>
          </w:p>
        </w:tc>
        <w:tc>
          <w:tcPr>
            <w:tcW w:w="929" w:type="dxa"/>
            <w:noWrap w:val="0"/>
            <w:vAlign w:val="top"/>
          </w:tcPr>
          <w:p w14:paraId="4AD7ACB6">
            <w:pPr>
              <w:spacing w:line="360" w:lineRule="auto"/>
              <w:rPr>
                <w:rFonts w:hint="eastAsia"/>
                <w:color w:val="auto"/>
                <w:highlight w:val="none"/>
              </w:rPr>
            </w:pPr>
          </w:p>
        </w:tc>
        <w:tc>
          <w:tcPr>
            <w:tcW w:w="571" w:type="dxa"/>
            <w:noWrap w:val="0"/>
            <w:vAlign w:val="top"/>
          </w:tcPr>
          <w:p w14:paraId="4D3A5742">
            <w:pPr>
              <w:spacing w:line="360" w:lineRule="auto"/>
              <w:rPr>
                <w:rFonts w:hint="eastAsia"/>
                <w:color w:val="auto"/>
                <w:highlight w:val="none"/>
              </w:rPr>
            </w:pPr>
          </w:p>
        </w:tc>
      </w:tr>
      <w:tr w14:paraId="263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noWrap w:val="0"/>
            <w:vAlign w:val="top"/>
          </w:tcPr>
          <w:p w14:paraId="77BA730D">
            <w:pPr>
              <w:spacing w:line="360" w:lineRule="auto"/>
              <w:rPr>
                <w:rFonts w:hint="eastAsia"/>
                <w:color w:val="auto"/>
                <w:highlight w:val="none"/>
              </w:rPr>
            </w:pPr>
          </w:p>
        </w:tc>
        <w:tc>
          <w:tcPr>
            <w:tcW w:w="762" w:type="dxa"/>
            <w:noWrap w:val="0"/>
            <w:vAlign w:val="top"/>
          </w:tcPr>
          <w:p w14:paraId="11C16AE9">
            <w:pPr>
              <w:spacing w:line="360" w:lineRule="auto"/>
              <w:rPr>
                <w:rFonts w:hint="eastAsia"/>
                <w:color w:val="auto"/>
                <w:highlight w:val="none"/>
              </w:rPr>
            </w:pPr>
          </w:p>
        </w:tc>
        <w:tc>
          <w:tcPr>
            <w:tcW w:w="938" w:type="dxa"/>
            <w:noWrap w:val="0"/>
            <w:vAlign w:val="top"/>
          </w:tcPr>
          <w:p w14:paraId="0E51B369">
            <w:pPr>
              <w:spacing w:line="360" w:lineRule="auto"/>
              <w:rPr>
                <w:rFonts w:hint="eastAsia"/>
                <w:color w:val="auto"/>
                <w:highlight w:val="none"/>
              </w:rPr>
            </w:pPr>
          </w:p>
        </w:tc>
        <w:tc>
          <w:tcPr>
            <w:tcW w:w="900" w:type="dxa"/>
            <w:noWrap w:val="0"/>
            <w:vAlign w:val="top"/>
          </w:tcPr>
          <w:p w14:paraId="51FC47C8">
            <w:pPr>
              <w:spacing w:line="360" w:lineRule="auto"/>
              <w:rPr>
                <w:rFonts w:hint="eastAsia"/>
                <w:color w:val="auto"/>
                <w:highlight w:val="none"/>
              </w:rPr>
            </w:pPr>
          </w:p>
        </w:tc>
        <w:tc>
          <w:tcPr>
            <w:tcW w:w="862" w:type="dxa"/>
            <w:noWrap w:val="0"/>
            <w:vAlign w:val="top"/>
          </w:tcPr>
          <w:p w14:paraId="2CA26BBB">
            <w:pPr>
              <w:spacing w:line="360" w:lineRule="auto"/>
              <w:rPr>
                <w:rFonts w:hint="eastAsia"/>
                <w:color w:val="auto"/>
                <w:highlight w:val="none"/>
              </w:rPr>
            </w:pPr>
          </w:p>
        </w:tc>
        <w:tc>
          <w:tcPr>
            <w:tcW w:w="1225" w:type="dxa"/>
            <w:noWrap w:val="0"/>
            <w:vAlign w:val="top"/>
          </w:tcPr>
          <w:p w14:paraId="3FBFD7F5">
            <w:pPr>
              <w:spacing w:line="360" w:lineRule="auto"/>
              <w:rPr>
                <w:rFonts w:hint="eastAsia"/>
                <w:color w:val="auto"/>
                <w:highlight w:val="none"/>
              </w:rPr>
            </w:pPr>
          </w:p>
        </w:tc>
        <w:tc>
          <w:tcPr>
            <w:tcW w:w="1088" w:type="dxa"/>
            <w:noWrap w:val="0"/>
            <w:vAlign w:val="top"/>
          </w:tcPr>
          <w:p w14:paraId="29CD2F74">
            <w:pPr>
              <w:spacing w:line="360" w:lineRule="auto"/>
              <w:rPr>
                <w:rFonts w:hint="eastAsia"/>
                <w:color w:val="auto"/>
                <w:highlight w:val="none"/>
              </w:rPr>
            </w:pPr>
          </w:p>
        </w:tc>
        <w:tc>
          <w:tcPr>
            <w:tcW w:w="1012" w:type="dxa"/>
            <w:noWrap w:val="0"/>
            <w:vAlign w:val="top"/>
          </w:tcPr>
          <w:p w14:paraId="77F525C1">
            <w:pPr>
              <w:spacing w:line="360" w:lineRule="auto"/>
              <w:rPr>
                <w:rFonts w:hint="eastAsia"/>
                <w:color w:val="auto"/>
                <w:highlight w:val="none"/>
              </w:rPr>
            </w:pPr>
          </w:p>
        </w:tc>
        <w:tc>
          <w:tcPr>
            <w:tcW w:w="929" w:type="dxa"/>
            <w:noWrap w:val="0"/>
            <w:vAlign w:val="top"/>
          </w:tcPr>
          <w:p w14:paraId="451A272E">
            <w:pPr>
              <w:spacing w:line="360" w:lineRule="auto"/>
              <w:rPr>
                <w:rFonts w:hint="eastAsia"/>
                <w:color w:val="auto"/>
                <w:highlight w:val="none"/>
              </w:rPr>
            </w:pPr>
          </w:p>
        </w:tc>
        <w:tc>
          <w:tcPr>
            <w:tcW w:w="571" w:type="dxa"/>
            <w:noWrap w:val="0"/>
            <w:vAlign w:val="top"/>
          </w:tcPr>
          <w:p w14:paraId="1E6A74B1">
            <w:pPr>
              <w:spacing w:line="360" w:lineRule="auto"/>
              <w:rPr>
                <w:rFonts w:hint="eastAsia"/>
                <w:color w:val="auto"/>
                <w:highlight w:val="none"/>
              </w:rPr>
            </w:pPr>
          </w:p>
        </w:tc>
      </w:tr>
      <w:tr w14:paraId="1E51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gridSpan w:val="3"/>
            <w:noWrap w:val="0"/>
            <w:vAlign w:val="top"/>
          </w:tcPr>
          <w:p w14:paraId="1149730C">
            <w:pPr>
              <w:spacing w:line="360" w:lineRule="auto"/>
              <w:rPr>
                <w:rFonts w:hint="eastAsia"/>
                <w:color w:val="auto"/>
                <w:highlight w:val="none"/>
              </w:rPr>
            </w:pPr>
            <w:r>
              <w:rPr>
                <w:rFonts w:hint="eastAsia"/>
                <w:color w:val="auto"/>
                <w:highlight w:val="none"/>
              </w:rPr>
              <w:t>最高投标限价：</w:t>
            </w:r>
          </w:p>
        </w:tc>
        <w:tc>
          <w:tcPr>
            <w:tcW w:w="900" w:type="dxa"/>
            <w:noWrap w:val="0"/>
            <w:vAlign w:val="top"/>
          </w:tcPr>
          <w:p w14:paraId="302A98EF">
            <w:pPr>
              <w:spacing w:line="360" w:lineRule="auto"/>
              <w:rPr>
                <w:rFonts w:hint="eastAsia"/>
                <w:color w:val="auto"/>
                <w:highlight w:val="none"/>
              </w:rPr>
            </w:pPr>
          </w:p>
        </w:tc>
        <w:tc>
          <w:tcPr>
            <w:tcW w:w="862" w:type="dxa"/>
            <w:noWrap w:val="0"/>
            <w:vAlign w:val="top"/>
          </w:tcPr>
          <w:p w14:paraId="7007F78D">
            <w:pPr>
              <w:spacing w:line="360" w:lineRule="auto"/>
              <w:rPr>
                <w:rFonts w:hint="eastAsia"/>
                <w:color w:val="auto"/>
                <w:highlight w:val="none"/>
              </w:rPr>
            </w:pPr>
          </w:p>
        </w:tc>
        <w:tc>
          <w:tcPr>
            <w:tcW w:w="1225" w:type="dxa"/>
            <w:noWrap w:val="0"/>
            <w:vAlign w:val="top"/>
          </w:tcPr>
          <w:p w14:paraId="20C23590">
            <w:pPr>
              <w:spacing w:line="360" w:lineRule="auto"/>
              <w:rPr>
                <w:rFonts w:hint="eastAsia"/>
                <w:color w:val="auto"/>
                <w:highlight w:val="none"/>
              </w:rPr>
            </w:pPr>
          </w:p>
        </w:tc>
        <w:tc>
          <w:tcPr>
            <w:tcW w:w="1088" w:type="dxa"/>
            <w:noWrap w:val="0"/>
            <w:vAlign w:val="top"/>
          </w:tcPr>
          <w:p w14:paraId="26CF2D2C">
            <w:pPr>
              <w:spacing w:line="360" w:lineRule="auto"/>
              <w:rPr>
                <w:rFonts w:hint="eastAsia"/>
                <w:color w:val="auto"/>
                <w:highlight w:val="none"/>
              </w:rPr>
            </w:pPr>
          </w:p>
        </w:tc>
        <w:tc>
          <w:tcPr>
            <w:tcW w:w="1012" w:type="dxa"/>
            <w:noWrap w:val="0"/>
            <w:vAlign w:val="top"/>
          </w:tcPr>
          <w:p w14:paraId="334C4C8B">
            <w:pPr>
              <w:spacing w:line="360" w:lineRule="auto"/>
              <w:rPr>
                <w:rFonts w:hint="eastAsia"/>
                <w:color w:val="auto"/>
                <w:highlight w:val="none"/>
              </w:rPr>
            </w:pPr>
          </w:p>
        </w:tc>
        <w:tc>
          <w:tcPr>
            <w:tcW w:w="929" w:type="dxa"/>
            <w:noWrap w:val="0"/>
            <w:vAlign w:val="top"/>
          </w:tcPr>
          <w:p w14:paraId="7D2390F2">
            <w:pPr>
              <w:spacing w:line="360" w:lineRule="auto"/>
              <w:rPr>
                <w:rFonts w:hint="eastAsia"/>
                <w:color w:val="auto"/>
                <w:highlight w:val="none"/>
              </w:rPr>
            </w:pPr>
          </w:p>
        </w:tc>
        <w:tc>
          <w:tcPr>
            <w:tcW w:w="571" w:type="dxa"/>
            <w:noWrap w:val="0"/>
            <w:vAlign w:val="top"/>
          </w:tcPr>
          <w:p w14:paraId="3675C82C">
            <w:pPr>
              <w:spacing w:line="360" w:lineRule="auto"/>
              <w:rPr>
                <w:rFonts w:hint="eastAsia"/>
                <w:color w:val="auto"/>
                <w:highlight w:val="none"/>
              </w:rPr>
            </w:pPr>
          </w:p>
        </w:tc>
      </w:tr>
    </w:tbl>
    <w:p w14:paraId="7226CD2C">
      <w:pPr>
        <w:spacing w:line="360" w:lineRule="auto"/>
        <w:rPr>
          <w:rFonts w:hint="eastAsia"/>
          <w:color w:val="auto"/>
          <w:highlight w:val="none"/>
        </w:rPr>
      </w:pPr>
    </w:p>
    <w:p w14:paraId="6A312A8A">
      <w:pPr>
        <w:spacing w:line="360" w:lineRule="auto"/>
        <w:rPr>
          <w:rFonts w:hint="eastAsia"/>
          <w:color w:val="auto"/>
          <w:highlight w:val="none"/>
        </w:rPr>
      </w:pPr>
      <w:r>
        <w:rPr>
          <w:rFonts w:hint="eastAsia"/>
          <w:color w:val="auto"/>
          <w:highlight w:val="none"/>
        </w:rPr>
        <w:t>招标人代表：</w:t>
      </w:r>
      <w:r>
        <w:rPr>
          <w:rFonts w:hint="eastAsia"/>
          <w:color w:val="auto"/>
          <w:highlight w:val="none"/>
          <w:u w:val="single"/>
        </w:rPr>
        <w:t xml:space="preserve">          </w:t>
      </w:r>
      <w:r>
        <w:rPr>
          <w:rFonts w:hint="eastAsia"/>
          <w:color w:val="auto"/>
          <w:highlight w:val="none"/>
        </w:rPr>
        <w:t xml:space="preserve">         记录人：</w:t>
      </w:r>
      <w:r>
        <w:rPr>
          <w:rFonts w:hint="eastAsia"/>
          <w:color w:val="auto"/>
          <w:highlight w:val="none"/>
          <w:u w:val="single"/>
        </w:rPr>
        <w:t xml:space="preserve">          </w:t>
      </w:r>
      <w:r>
        <w:rPr>
          <w:rFonts w:hint="eastAsia"/>
          <w:color w:val="auto"/>
          <w:highlight w:val="none"/>
        </w:rPr>
        <w:t xml:space="preserve">         监标人：</w:t>
      </w:r>
      <w:r>
        <w:rPr>
          <w:rFonts w:hint="eastAsia"/>
          <w:color w:val="auto"/>
          <w:highlight w:val="none"/>
          <w:u w:val="single"/>
        </w:rPr>
        <w:t xml:space="preserve">          </w:t>
      </w:r>
    </w:p>
    <w:p w14:paraId="41C9F8A4">
      <w:pPr>
        <w:spacing w:line="360" w:lineRule="auto"/>
        <w:ind w:firstLine="420" w:firstLineChars="200"/>
        <w:jc w:val="right"/>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36B77C7">
      <w:pPr>
        <w:spacing w:line="360" w:lineRule="auto"/>
        <w:ind w:firstLine="420" w:firstLineChars="200"/>
        <w:jc w:val="right"/>
        <w:rPr>
          <w:rFonts w:hint="eastAsia"/>
          <w:color w:val="auto"/>
          <w:highlight w:val="none"/>
        </w:rPr>
      </w:pPr>
    </w:p>
    <w:p w14:paraId="3D1DBA87">
      <w:pPr>
        <w:spacing w:line="360" w:lineRule="auto"/>
        <w:rPr>
          <w:rFonts w:hint="eastAsia"/>
          <w:color w:val="auto"/>
          <w:highlight w:val="none"/>
          <w:u w:val="single"/>
        </w:rPr>
      </w:pPr>
      <w:r>
        <w:rPr>
          <w:rFonts w:hint="eastAsia"/>
          <w:color w:val="auto"/>
          <w:highlight w:val="none"/>
          <w:u w:val="single"/>
        </w:rPr>
        <w:t>本表仅供参考，具体以开标时的开标记录表为准。</w:t>
      </w:r>
    </w:p>
    <w:p w14:paraId="3C193A40">
      <w:pPr>
        <w:ind w:firstLine="420" w:firstLineChars="200"/>
        <w:jc w:val="left"/>
        <w:rPr>
          <w:rFonts w:hint="eastAsia"/>
          <w:b/>
          <w:bCs/>
          <w:color w:val="auto"/>
          <w:sz w:val="32"/>
          <w:szCs w:val="32"/>
          <w:highlight w:val="none"/>
        </w:rPr>
      </w:pPr>
      <w:r>
        <w:rPr>
          <w:color w:val="auto"/>
          <w:highlight w:val="none"/>
        </w:rPr>
        <w:br w:type="page"/>
      </w:r>
      <w:r>
        <w:rPr>
          <w:rFonts w:hint="eastAsia"/>
          <w:b/>
          <w:bCs/>
          <w:color w:val="auto"/>
          <w:sz w:val="32"/>
          <w:szCs w:val="32"/>
          <w:highlight w:val="none"/>
        </w:rPr>
        <w:t>附件二：评标委员会成员声明</w:t>
      </w:r>
    </w:p>
    <w:p w14:paraId="2FD3B53F">
      <w:pPr>
        <w:ind w:firstLine="643" w:firstLineChars="200"/>
        <w:jc w:val="center"/>
        <w:rPr>
          <w:rFonts w:hint="eastAsia"/>
          <w:b/>
          <w:bCs/>
          <w:color w:val="auto"/>
          <w:sz w:val="32"/>
          <w:szCs w:val="32"/>
          <w:highlight w:val="none"/>
        </w:rPr>
      </w:pPr>
    </w:p>
    <w:p w14:paraId="272D8769">
      <w:pPr>
        <w:ind w:firstLine="643" w:firstLineChars="200"/>
        <w:jc w:val="center"/>
        <w:rPr>
          <w:rFonts w:hint="eastAsia"/>
          <w:b/>
          <w:bCs/>
          <w:color w:val="auto"/>
          <w:sz w:val="32"/>
          <w:szCs w:val="32"/>
          <w:highlight w:val="none"/>
        </w:rPr>
      </w:pPr>
    </w:p>
    <w:p w14:paraId="73D6391D">
      <w:pPr>
        <w:ind w:firstLine="643" w:firstLineChars="200"/>
        <w:jc w:val="center"/>
        <w:rPr>
          <w:rFonts w:hint="eastAsia"/>
          <w:b/>
          <w:bCs/>
          <w:color w:val="auto"/>
          <w:sz w:val="32"/>
          <w:szCs w:val="32"/>
          <w:highlight w:val="none"/>
        </w:rPr>
      </w:pPr>
      <w:r>
        <w:rPr>
          <w:rFonts w:hint="eastAsia"/>
          <w:b/>
          <w:bCs/>
          <w:color w:val="auto"/>
          <w:sz w:val="32"/>
          <w:szCs w:val="32"/>
          <w:highlight w:val="none"/>
        </w:rPr>
        <w:t>评标委员会成员声明</w:t>
      </w:r>
    </w:p>
    <w:p w14:paraId="57F12495">
      <w:pPr>
        <w:spacing w:line="360" w:lineRule="auto"/>
        <w:rPr>
          <w:rFonts w:hint="eastAsia"/>
          <w:color w:val="auto"/>
          <w:szCs w:val="21"/>
          <w:highlight w:val="none"/>
        </w:rPr>
      </w:pPr>
      <w:r>
        <w:rPr>
          <w:rFonts w:hint="eastAsia"/>
          <w:color w:val="auto"/>
          <w:szCs w:val="21"/>
          <w:highlight w:val="none"/>
          <w:u w:val="single"/>
        </w:rPr>
        <w:t xml:space="preserve">   本项目招标人  </w:t>
      </w:r>
      <w:r>
        <w:rPr>
          <w:rFonts w:hint="eastAsia"/>
          <w:color w:val="auto"/>
          <w:szCs w:val="21"/>
          <w:highlight w:val="none"/>
        </w:rPr>
        <w:t>：</w:t>
      </w:r>
    </w:p>
    <w:p w14:paraId="5C2236FA">
      <w:pPr>
        <w:spacing w:line="360" w:lineRule="auto"/>
        <w:ind w:firstLine="420" w:firstLineChars="200"/>
        <w:rPr>
          <w:rFonts w:hint="eastAsia"/>
          <w:color w:val="auto"/>
          <w:szCs w:val="21"/>
          <w:highlight w:val="none"/>
        </w:rPr>
      </w:pPr>
      <w:r>
        <w:rPr>
          <w:rFonts w:hint="eastAsia"/>
          <w:color w:val="auto"/>
          <w:szCs w:val="21"/>
          <w:highlight w:val="none"/>
        </w:rPr>
        <w:t>本人就参与</w:t>
      </w:r>
      <w:r>
        <w:rPr>
          <w:rFonts w:hint="eastAsia"/>
          <w:color w:val="auto"/>
          <w:szCs w:val="21"/>
          <w:highlight w:val="none"/>
          <w:u w:val="single"/>
        </w:rPr>
        <w:t xml:space="preserve">               </w:t>
      </w:r>
      <w:r>
        <w:rPr>
          <w:rFonts w:hint="eastAsia"/>
          <w:color w:val="auto"/>
          <w:szCs w:val="21"/>
          <w:highlight w:val="none"/>
        </w:rPr>
        <w:t>项目的评标工作，作出郑重声明：</w:t>
      </w:r>
    </w:p>
    <w:p w14:paraId="36A5B9BA">
      <w:pPr>
        <w:spacing w:line="360" w:lineRule="auto"/>
        <w:ind w:firstLine="420" w:firstLineChars="200"/>
        <w:rPr>
          <w:rFonts w:hint="eastAsia"/>
          <w:color w:val="auto"/>
          <w:szCs w:val="21"/>
          <w:highlight w:val="none"/>
        </w:rPr>
      </w:pPr>
      <w:r>
        <w:rPr>
          <w:rFonts w:hint="eastAsia"/>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F95F8DB">
      <w:pPr>
        <w:spacing w:line="360" w:lineRule="auto"/>
        <w:ind w:firstLine="420" w:firstLineChars="200"/>
        <w:rPr>
          <w:rFonts w:hint="eastAsia"/>
          <w:color w:val="auto"/>
          <w:szCs w:val="21"/>
          <w:highlight w:val="none"/>
        </w:rPr>
      </w:pPr>
      <w:r>
        <w:rPr>
          <w:rFonts w:hint="eastAsia"/>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D2E1D07">
      <w:pPr>
        <w:spacing w:line="360" w:lineRule="auto"/>
        <w:ind w:firstLine="420" w:firstLineChars="200"/>
        <w:rPr>
          <w:rFonts w:hint="eastAsia"/>
          <w:color w:val="auto"/>
          <w:szCs w:val="21"/>
          <w:highlight w:val="none"/>
        </w:rPr>
      </w:pPr>
      <w:r>
        <w:rPr>
          <w:rFonts w:hint="eastAsia"/>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8A09EE8">
      <w:pPr>
        <w:spacing w:line="360" w:lineRule="auto"/>
        <w:ind w:firstLine="420" w:firstLineChars="200"/>
        <w:rPr>
          <w:rFonts w:hint="eastAsia"/>
          <w:color w:val="auto"/>
          <w:szCs w:val="21"/>
          <w:highlight w:val="none"/>
        </w:rPr>
      </w:pPr>
      <w:r>
        <w:rPr>
          <w:rFonts w:hint="eastAsia"/>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2D87E0D">
      <w:pPr>
        <w:spacing w:line="360" w:lineRule="auto"/>
        <w:ind w:firstLine="420" w:firstLineChars="200"/>
        <w:rPr>
          <w:rFonts w:hint="eastAsia"/>
          <w:color w:val="auto"/>
          <w:szCs w:val="21"/>
          <w:highlight w:val="none"/>
        </w:rPr>
      </w:pPr>
      <w:r>
        <w:rPr>
          <w:rFonts w:hint="eastAsia"/>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294D709">
      <w:pPr>
        <w:spacing w:line="360" w:lineRule="auto"/>
        <w:ind w:firstLine="420" w:firstLineChars="200"/>
        <w:rPr>
          <w:rFonts w:hint="eastAsia"/>
          <w:color w:val="auto"/>
          <w:szCs w:val="21"/>
          <w:highlight w:val="none"/>
        </w:rPr>
      </w:pPr>
      <w:r>
        <w:rPr>
          <w:rFonts w:hint="eastAsia"/>
          <w:color w:val="auto"/>
          <w:szCs w:val="21"/>
          <w:highlight w:val="none"/>
        </w:rPr>
        <w:t>如果本人违反上述声明内容，造成的后果由本人自行承担。</w:t>
      </w:r>
    </w:p>
    <w:p w14:paraId="0C738A02">
      <w:pPr>
        <w:spacing w:line="360" w:lineRule="auto"/>
        <w:ind w:firstLine="420" w:firstLineChars="200"/>
        <w:rPr>
          <w:rFonts w:hint="eastAsia"/>
          <w:color w:val="auto"/>
          <w:szCs w:val="21"/>
          <w:highlight w:val="none"/>
        </w:rPr>
      </w:pPr>
    </w:p>
    <w:p w14:paraId="270EAF0F">
      <w:pPr>
        <w:spacing w:line="360" w:lineRule="auto"/>
        <w:ind w:firstLine="420" w:firstLineChars="200"/>
        <w:rPr>
          <w:rFonts w:hint="default" w:ascii="宋体" w:hAnsi="宋体" w:eastAsia="宋体" w:cs="宋体"/>
          <w:b/>
          <w:bCs/>
          <w:color w:val="auto"/>
          <w:kern w:val="44"/>
          <w:sz w:val="32"/>
          <w:szCs w:val="32"/>
          <w:highlight w:val="none"/>
          <w:lang w:val="en-US" w:eastAsia="zh-CN"/>
        </w:rPr>
      </w:pPr>
      <w:r>
        <w:rPr>
          <w:rFonts w:hint="eastAsia"/>
          <w:color w:val="auto"/>
          <w:szCs w:val="21"/>
          <w:highlight w:val="none"/>
        </w:rPr>
        <w:t xml:space="preserve">                                             声明人：</w:t>
      </w:r>
      <w:r>
        <w:rPr>
          <w:rFonts w:hint="eastAsia"/>
          <w:color w:val="auto"/>
          <w:szCs w:val="21"/>
          <w:highlight w:val="none"/>
          <w:u w:val="single"/>
        </w:rPr>
        <w:t xml:space="preserve">（签名）  </w:t>
      </w:r>
      <w:r>
        <w:rPr>
          <w:rFonts w:hint="eastAsia"/>
          <w:color w:val="auto"/>
          <w:szCs w:val="21"/>
          <w:highlight w:val="none"/>
          <w:u w:val="single"/>
          <w:lang w:val="en-US" w:eastAsia="zh-CN"/>
        </w:rPr>
        <w:t xml:space="preserve">  </w:t>
      </w:r>
    </w:p>
    <w:p w14:paraId="3BBE1678">
      <w:pPr>
        <w:keepNext/>
        <w:keepLines/>
        <w:spacing w:line="360" w:lineRule="auto"/>
        <w:rPr>
          <w:rFonts w:ascii="宋体" w:hAnsi="宋体" w:cs="宋体"/>
          <w:b/>
          <w:bCs/>
          <w:color w:val="auto"/>
          <w:kern w:val="44"/>
          <w:sz w:val="32"/>
          <w:szCs w:val="32"/>
          <w:highlight w:val="none"/>
        </w:rPr>
      </w:pPr>
    </w:p>
    <w:p w14:paraId="5D04DAA9">
      <w:pPr>
        <w:bidi w:val="0"/>
        <w:rPr>
          <w:rFonts w:hint="eastAsia"/>
        </w:rPr>
      </w:pPr>
      <w:bookmarkStart w:id="142" w:name="_Toc25981"/>
      <w:bookmarkStart w:id="143" w:name="_Toc532367882"/>
      <w:bookmarkStart w:id="144" w:name="_Toc19559"/>
      <w:bookmarkStart w:id="145" w:name="_Toc525063255"/>
      <w:bookmarkStart w:id="146" w:name="_Toc24355"/>
      <w:bookmarkStart w:id="147" w:name="_Toc5360"/>
      <w:bookmarkStart w:id="148" w:name="_Toc31115"/>
      <w:bookmarkStart w:id="149" w:name="_Toc10395"/>
      <w:bookmarkStart w:id="150" w:name="_Toc2287"/>
      <w:bookmarkStart w:id="151" w:name="_Toc30148"/>
    </w:p>
    <w:p w14:paraId="4014CADA">
      <w:pPr>
        <w:bidi w:val="0"/>
        <w:rPr>
          <w:rFonts w:hint="eastAsia"/>
        </w:rPr>
      </w:pPr>
    </w:p>
    <w:p w14:paraId="1B883EDF">
      <w:pPr>
        <w:bidi w:val="0"/>
        <w:rPr>
          <w:rFonts w:hint="eastAsia"/>
        </w:rPr>
      </w:pPr>
    </w:p>
    <w:p w14:paraId="199C83BB">
      <w:pPr>
        <w:pStyle w:val="2"/>
        <w:keepNext w:val="0"/>
        <w:keepLines w:val="0"/>
        <w:spacing w:line="360" w:lineRule="auto"/>
        <w:jc w:val="center"/>
        <w:rPr>
          <w:rFonts w:ascii="宋体" w:hAnsi="宋体" w:eastAsia="宋体" w:cs="宋体"/>
          <w:color w:val="auto"/>
          <w:highlight w:val="none"/>
        </w:rPr>
      </w:pPr>
      <w:bookmarkStart w:id="152" w:name="_Toc8068"/>
      <w:r>
        <w:rPr>
          <w:rFonts w:hint="eastAsia" w:ascii="宋体" w:hAnsi="宋体" w:eastAsia="宋体" w:cs="宋体"/>
          <w:color w:val="auto"/>
          <w:highlight w:val="none"/>
        </w:rPr>
        <w:t>第三章  评标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定标</w:t>
      </w:r>
      <w:r>
        <w:rPr>
          <w:rFonts w:hint="eastAsia" w:ascii="宋体" w:hAnsi="宋体" w:eastAsia="宋体" w:cs="宋体"/>
          <w:color w:val="auto"/>
          <w:highlight w:val="none"/>
        </w:rPr>
        <w:t>办法</w:t>
      </w:r>
      <w:bookmarkEnd w:id="142"/>
      <w:bookmarkEnd w:id="152"/>
    </w:p>
    <w:p w14:paraId="0333B7E7">
      <w:pPr>
        <w:rPr>
          <w:color w:val="auto"/>
          <w:highlight w:val="none"/>
        </w:rPr>
      </w:pPr>
    </w:p>
    <w:p w14:paraId="662ED02F">
      <w:pPr>
        <w:pStyle w:val="3"/>
        <w:keepNext w:val="0"/>
        <w:keepLines w:val="0"/>
        <w:spacing w:before="0" w:after="0" w:line="360" w:lineRule="auto"/>
        <w:jc w:val="center"/>
        <w:rPr>
          <w:rFonts w:hint="default" w:ascii="宋体" w:hAnsi="宋体" w:eastAsia="宋体" w:cs="宋体"/>
          <w:color w:val="auto"/>
          <w:sz w:val="36"/>
          <w:szCs w:val="36"/>
          <w:highlight w:val="none"/>
          <w:lang w:val="en-US" w:eastAsia="zh-CN"/>
        </w:rPr>
      </w:pPr>
      <w:bookmarkStart w:id="153" w:name="_Toc23954"/>
      <w:r>
        <w:rPr>
          <w:rFonts w:hint="eastAsia" w:ascii="宋体" w:hAnsi="宋体" w:eastAsia="宋体" w:cs="宋体"/>
          <w:color w:val="auto"/>
          <w:sz w:val="36"/>
          <w:szCs w:val="36"/>
          <w:highlight w:val="none"/>
        </w:rPr>
        <w:t>评标办法前附表</w:t>
      </w:r>
      <w:bookmarkEnd w:id="143"/>
      <w:bookmarkEnd w:id="144"/>
      <w:bookmarkEnd w:id="145"/>
      <w:bookmarkEnd w:id="146"/>
      <w:bookmarkEnd w:id="147"/>
      <w:bookmarkEnd w:id="148"/>
      <w:bookmarkEnd w:id="149"/>
      <w:bookmarkEnd w:id="150"/>
      <w:bookmarkEnd w:id="151"/>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综合评分法）</w:t>
      </w:r>
      <w:bookmarkEnd w:id="153"/>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636"/>
        <w:gridCol w:w="885"/>
        <w:gridCol w:w="1141"/>
        <w:gridCol w:w="5125"/>
      </w:tblGrid>
      <w:tr w14:paraId="3CCEE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07" w:type="pct"/>
            <w:gridSpan w:val="2"/>
            <w:tcBorders>
              <w:top w:val="single" w:color="auto" w:sz="4" w:space="0"/>
              <w:bottom w:val="single" w:color="auto" w:sz="4" w:space="0"/>
              <w:right w:val="single" w:color="auto" w:sz="4" w:space="0"/>
            </w:tcBorders>
            <w:vAlign w:val="center"/>
          </w:tcPr>
          <w:p w14:paraId="7FC01A5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6DCF64C">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004" w:type="pct"/>
            <w:tcBorders>
              <w:top w:val="single" w:color="auto" w:sz="4" w:space="0"/>
              <w:left w:val="single" w:color="auto" w:sz="4" w:space="0"/>
              <w:bottom w:val="single" w:color="auto" w:sz="4" w:space="0"/>
              <w:right w:val="single" w:color="auto" w:sz="4" w:space="0"/>
            </w:tcBorders>
            <w:vAlign w:val="center"/>
          </w:tcPr>
          <w:p w14:paraId="1107768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7B658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pct"/>
            <w:tcBorders>
              <w:top w:val="single" w:color="auto" w:sz="4" w:space="0"/>
              <w:left w:val="single" w:color="auto" w:sz="4" w:space="0"/>
              <w:bottom w:val="single" w:color="auto" w:sz="4" w:space="0"/>
              <w:right w:val="single" w:color="auto" w:sz="4" w:space="0"/>
            </w:tcBorders>
            <w:vAlign w:val="center"/>
          </w:tcPr>
          <w:p w14:paraId="2750AE8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72" w:type="pct"/>
            <w:tcBorders>
              <w:top w:val="single" w:color="auto" w:sz="4" w:space="0"/>
              <w:left w:val="single" w:color="auto" w:sz="4" w:space="0"/>
              <w:bottom w:val="single" w:color="auto" w:sz="4" w:space="0"/>
              <w:right w:val="single" w:color="auto" w:sz="4" w:space="0"/>
            </w:tcBorders>
            <w:vAlign w:val="center"/>
          </w:tcPr>
          <w:p w14:paraId="71DBDD53">
            <w:pPr>
              <w:spacing w:line="276" w:lineRule="auto"/>
              <w:jc w:val="both"/>
              <w:rPr>
                <w:rFonts w:ascii="宋体" w:hAnsi="宋体" w:cs="宋体"/>
                <w:color w:val="auto"/>
                <w:szCs w:val="21"/>
                <w:highlight w:val="none"/>
              </w:rPr>
            </w:pPr>
            <w:r>
              <w:rPr>
                <w:rFonts w:hint="eastAsia"/>
                <w:color w:val="auto"/>
                <w:sz w:val="21"/>
                <w:szCs w:val="21"/>
                <w:highlight w:val="none"/>
                <w:lang w:val="en-US" w:eastAsia="zh-CN"/>
              </w:rPr>
              <w:t>评</w:t>
            </w:r>
            <w:r>
              <w:rPr>
                <w:rFonts w:hint="eastAsia"/>
                <w:color w:val="auto"/>
                <w:sz w:val="21"/>
                <w:szCs w:val="21"/>
                <w:highlight w:val="none"/>
              </w:rPr>
              <w:t>标</w:t>
            </w:r>
            <w:r>
              <w:rPr>
                <w:rFonts w:hint="eastAsia"/>
                <w:color w:val="auto"/>
                <w:sz w:val="21"/>
                <w:szCs w:val="21"/>
                <w:highlight w:val="none"/>
                <w:u w:val="none"/>
              </w:rPr>
              <w:t>、</w:t>
            </w:r>
            <w:r>
              <w:rPr>
                <w:rFonts w:hint="eastAsia"/>
                <w:color w:val="auto"/>
                <w:sz w:val="21"/>
                <w:szCs w:val="21"/>
                <w:highlight w:val="none"/>
                <w:u w:val="single"/>
              </w:rPr>
              <w:t>定标</w:t>
            </w:r>
            <w:r>
              <w:rPr>
                <w:rFonts w:hint="eastAsia"/>
                <w:color w:val="auto"/>
                <w:sz w:val="21"/>
                <w:szCs w:val="21"/>
                <w:highlight w:val="none"/>
              </w:rPr>
              <w:t>方法</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00E3E5F7">
            <w:pPr>
              <w:spacing w:line="360" w:lineRule="auto"/>
              <w:jc w:val="center"/>
              <w:rPr>
                <w:rFonts w:ascii="宋体" w:hAnsi="宋体" w:cs="宋体"/>
                <w:color w:val="auto"/>
                <w:szCs w:val="21"/>
                <w:highlight w:val="none"/>
              </w:rPr>
            </w:pPr>
            <w:r>
              <w:rPr>
                <w:rFonts w:hint="eastAsia"/>
                <w:color w:val="auto"/>
                <w:sz w:val="21"/>
                <w:szCs w:val="21"/>
                <w:highlight w:val="none"/>
                <w:u w:val="single"/>
              </w:rPr>
              <w:t>合格中标候选人</w:t>
            </w:r>
            <w:r>
              <w:rPr>
                <w:rFonts w:hint="eastAsia"/>
                <w:color w:val="auto"/>
                <w:sz w:val="21"/>
                <w:szCs w:val="21"/>
                <w:highlight w:val="none"/>
              </w:rPr>
              <w:t>排序方法</w:t>
            </w:r>
          </w:p>
        </w:tc>
        <w:tc>
          <w:tcPr>
            <w:tcW w:w="5125" w:type="dxa"/>
            <w:tcBorders>
              <w:top w:val="single" w:color="auto" w:sz="4" w:space="0"/>
              <w:left w:val="single" w:color="auto" w:sz="4" w:space="0"/>
              <w:bottom w:val="single" w:color="auto" w:sz="4" w:space="0"/>
              <w:right w:val="single" w:color="auto" w:sz="4" w:space="0"/>
            </w:tcBorders>
            <w:vAlign w:val="center"/>
          </w:tcPr>
          <w:p w14:paraId="186DCD84">
            <w:pPr>
              <w:spacing w:line="360" w:lineRule="auto"/>
              <w:rPr>
                <w:rFonts w:ascii="宋体" w:hAnsi="宋体" w:cs="宋体"/>
                <w:color w:val="auto"/>
                <w:szCs w:val="21"/>
                <w:highlight w:val="none"/>
              </w:rPr>
            </w:pPr>
            <w:r>
              <w:rPr>
                <w:rFonts w:hint="eastAsia"/>
                <w:color w:val="auto"/>
                <w:sz w:val="21"/>
                <w:szCs w:val="21"/>
                <w:highlight w:val="none"/>
                <w:u w:val="single"/>
              </w:rPr>
              <w:t>详见本章第1和第4款规定</w:t>
            </w:r>
          </w:p>
        </w:tc>
      </w:tr>
      <w:tr w14:paraId="15BDA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434" w:type="pct"/>
            <w:vMerge w:val="restart"/>
            <w:tcBorders>
              <w:top w:val="single" w:color="auto" w:sz="4" w:space="0"/>
              <w:right w:val="single" w:color="auto" w:sz="4" w:space="0"/>
            </w:tcBorders>
            <w:vAlign w:val="center"/>
          </w:tcPr>
          <w:p w14:paraId="0C8AF2C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372" w:type="pct"/>
            <w:vMerge w:val="restart"/>
            <w:tcBorders>
              <w:top w:val="single" w:color="auto" w:sz="4" w:space="0"/>
              <w:right w:val="single" w:color="auto" w:sz="4" w:space="0"/>
            </w:tcBorders>
            <w:vAlign w:val="center"/>
          </w:tcPr>
          <w:p w14:paraId="3F26639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D07D22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3004" w:type="pct"/>
            <w:tcBorders>
              <w:top w:val="single" w:color="auto" w:sz="4" w:space="0"/>
              <w:left w:val="single" w:color="auto" w:sz="4" w:space="0"/>
              <w:bottom w:val="single" w:color="auto" w:sz="4" w:space="0"/>
              <w:right w:val="single" w:color="auto" w:sz="4" w:space="0"/>
            </w:tcBorders>
            <w:vAlign w:val="center"/>
          </w:tcPr>
          <w:p w14:paraId="3293DA06">
            <w:pPr>
              <w:spacing w:line="276" w:lineRule="auto"/>
              <w:rPr>
                <w:rFonts w:ascii="宋体" w:hAnsi="宋体" w:cs="宋体"/>
                <w:color w:val="auto"/>
                <w:szCs w:val="21"/>
                <w:highlight w:val="none"/>
              </w:rPr>
            </w:pPr>
            <w:r>
              <w:rPr>
                <w:rFonts w:hint="eastAsia" w:ascii="宋体" w:hAnsi="宋体"/>
                <w:color w:val="auto"/>
                <w:szCs w:val="21"/>
                <w:highlight w:val="none"/>
              </w:rPr>
              <w:t>与营业执照（或事业单位法人证书）、资质证书一致。</w:t>
            </w:r>
          </w:p>
        </w:tc>
      </w:tr>
      <w:tr w14:paraId="4D306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trPr>
        <w:tc>
          <w:tcPr>
            <w:tcW w:w="434" w:type="pct"/>
            <w:vMerge w:val="continue"/>
            <w:tcBorders>
              <w:right w:val="single" w:color="auto" w:sz="4" w:space="0"/>
            </w:tcBorders>
            <w:vAlign w:val="center"/>
          </w:tcPr>
          <w:p w14:paraId="50BB6FFE">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1AEEE761">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25029B7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投标函及附录签字盖章</w:t>
            </w:r>
          </w:p>
        </w:tc>
        <w:tc>
          <w:tcPr>
            <w:tcW w:w="3004" w:type="pct"/>
            <w:tcBorders>
              <w:top w:val="single" w:color="auto" w:sz="4" w:space="0"/>
              <w:left w:val="single" w:color="auto" w:sz="4" w:space="0"/>
              <w:bottom w:val="single" w:color="auto" w:sz="4" w:space="0"/>
              <w:right w:val="single" w:color="auto" w:sz="4" w:space="0"/>
            </w:tcBorders>
            <w:vAlign w:val="center"/>
          </w:tcPr>
          <w:p w14:paraId="27B978BD">
            <w:pPr>
              <w:spacing w:line="276" w:lineRule="auto"/>
              <w:rPr>
                <w:rFonts w:ascii="宋体" w:hAnsi="宋体" w:cs="宋体"/>
                <w:color w:val="auto"/>
                <w:szCs w:val="21"/>
                <w:highlight w:val="none"/>
              </w:rPr>
            </w:pPr>
            <w:r>
              <w:rPr>
                <w:rFonts w:hint="eastAsia" w:ascii="宋体" w:hAnsi="宋体"/>
                <w:color w:val="auto"/>
                <w:szCs w:val="21"/>
                <w:highlight w:val="none"/>
              </w:rPr>
              <w:t>投标函及附录格式及签字盖章符合招标文件要求，由法定代表人签字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的，应附法定代表人证明书，由代理人签字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的，应附法定代表人证明书及授权委托书。</w:t>
            </w:r>
          </w:p>
        </w:tc>
      </w:tr>
      <w:tr w14:paraId="4F006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right w:val="single" w:color="auto" w:sz="4" w:space="0"/>
            </w:tcBorders>
            <w:vAlign w:val="center"/>
          </w:tcPr>
          <w:p w14:paraId="3988956E">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4A78777F">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67CC94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3004" w:type="pct"/>
            <w:tcBorders>
              <w:top w:val="single" w:color="auto" w:sz="4" w:space="0"/>
              <w:left w:val="single" w:color="auto" w:sz="4" w:space="0"/>
              <w:bottom w:val="single" w:color="auto" w:sz="4" w:space="0"/>
              <w:right w:val="single" w:color="auto" w:sz="4" w:space="0"/>
            </w:tcBorders>
            <w:vAlign w:val="center"/>
          </w:tcPr>
          <w:p w14:paraId="784376E3">
            <w:pPr>
              <w:spacing w:line="276" w:lineRule="auto"/>
              <w:jc w:val="left"/>
              <w:rPr>
                <w:rFonts w:ascii="宋体" w:hAnsi="宋体" w:cs="宋体"/>
                <w:color w:val="auto"/>
                <w:szCs w:val="21"/>
                <w:highlight w:val="none"/>
              </w:rPr>
            </w:pPr>
            <w:r>
              <w:rPr>
                <w:rFonts w:hint="eastAsia" w:ascii="宋体" w:hAnsi="宋体"/>
                <w:color w:val="auto"/>
                <w:szCs w:val="21"/>
                <w:highlight w:val="none"/>
              </w:rPr>
              <w:t>符合第六章“投标文件格式”的规定。</w:t>
            </w:r>
          </w:p>
        </w:tc>
      </w:tr>
      <w:tr w14:paraId="42E6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right w:val="single" w:color="auto" w:sz="4" w:space="0"/>
            </w:tcBorders>
            <w:vAlign w:val="center"/>
          </w:tcPr>
          <w:p w14:paraId="43EBD2C5">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66A78DD8">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4C83D9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004" w:type="pct"/>
            <w:tcBorders>
              <w:top w:val="single" w:color="auto" w:sz="4" w:space="0"/>
              <w:left w:val="single" w:color="auto" w:sz="4" w:space="0"/>
              <w:bottom w:val="single" w:color="auto" w:sz="4" w:space="0"/>
              <w:right w:val="single" w:color="auto" w:sz="4" w:space="0"/>
            </w:tcBorders>
            <w:vAlign w:val="center"/>
          </w:tcPr>
          <w:p w14:paraId="65E045E2">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符合第二章“投标人须知”第 1.4.2 项规定</w:t>
            </w:r>
          </w:p>
        </w:tc>
      </w:tr>
      <w:tr w14:paraId="1C7F0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right w:val="single" w:color="auto" w:sz="4" w:space="0"/>
            </w:tcBorders>
            <w:vAlign w:val="center"/>
          </w:tcPr>
          <w:p w14:paraId="6392A28D">
            <w:pPr>
              <w:spacing w:line="276" w:lineRule="auto"/>
              <w:rPr>
                <w:rFonts w:ascii="宋体" w:hAnsi="宋体" w:cs="宋体"/>
                <w:color w:val="auto"/>
                <w:szCs w:val="21"/>
                <w:highlight w:val="none"/>
              </w:rPr>
            </w:pPr>
          </w:p>
        </w:tc>
        <w:tc>
          <w:tcPr>
            <w:tcW w:w="372" w:type="pct"/>
            <w:vMerge w:val="continue"/>
            <w:tcBorders>
              <w:right w:val="single" w:color="auto" w:sz="4" w:space="0"/>
            </w:tcBorders>
            <w:vAlign w:val="center"/>
          </w:tcPr>
          <w:p w14:paraId="7FB39302">
            <w:pPr>
              <w:spacing w:line="276" w:lineRule="auto"/>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00BD3B6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3004" w:type="pct"/>
            <w:tcBorders>
              <w:top w:val="single" w:color="auto" w:sz="4" w:space="0"/>
              <w:left w:val="single" w:color="auto" w:sz="4" w:space="0"/>
              <w:bottom w:val="single" w:color="auto" w:sz="4" w:space="0"/>
              <w:right w:val="single" w:color="auto" w:sz="4" w:space="0"/>
            </w:tcBorders>
            <w:vAlign w:val="center"/>
          </w:tcPr>
          <w:p w14:paraId="781072AF">
            <w:pPr>
              <w:spacing w:line="276" w:lineRule="auto"/>
              <w:jc w:val="left"/>
              <w:rPr>
                <w:rFonts w:ascii="宋体" w:hAnsi="宋体" w:cs="宋体"/>
                <w:color w:val="auto"/>
                <w:szCs w:val="21"/>
                <w:highlight w:val="none"/>
              </w:rPr>
            </w:pPr>
            <w:r>
              <w:rPr>
                <w:rFonts w:hint="eastAsia" w:ascii="宋体" w:hAnsi="宋体"/>
                <w:color w:val="auto"/>
                <w:szCs w:val="21"/>
                <w:highlight w:val="none"/>
              </w:rPr>
              <w:t>不允许。</w:t>
            </w:r>
          </w:p>
        </w:tc>
      </w:tr>
      <w:tr w14:paraId="1308E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bottom w:val="single" w:color="auto" w:sz="4" w:space="0"/>
              <w:right w:val="single" w:color="auto" w:sz="4" w:space="0"/>
            </w:tcBorders>
            <w:vAlign w:val="center"/>
          </w:tcPr>
          <w:p w14:paraId="600C061A">
            <w:pPr>
              <w:keepNext/>
              <w:keepLines/>
              <w:spacing w:line="276" w:lineRule="auto"/>
              <w:outlineLvl w:val="2"/>
              <w:rPr>
                <w:rFonts w:ascii="宋体" w:hAnsi="宋体" w:cs="宋体"/>
                <w:color w:val="auto"/>
                <w:szCs w:val="21"/>
                <w:highlight w:val="none"/>
              </w:rPr>
            </w:pPr>
          </w:p>
        </w:tc>
        <w:tc>
          <w:tcPr>
            <w:tcW w:w="372" w:type="pct"/>
            <w:vMerge w:val="continue"/>
            <w:tcBorders>
              <w:right w:val="single" w:color="auto" w:sz="4" w:space="0"/>
            </w:tcBorders>
            <w:vAlign w:val="center"/>
          </w:tcPr>
          <w:p w14:paraId="65F91940">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264CE46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3004" w:type="pct"/>
            <w:tcBorders>
              <w:top w:val="single" w:color="auto" w:sz="4" w:space="0"/>
              <w:left w:val="single" w:color="auto" w:sz="4" w:space="0"/>
              <w:bottom w:val="single" w:color="auto" w:sz="4" w:space="0"/>
              <w:right w:val="single" w:color="auto" w:sz="4" w:space="0"/>
            </w:tcBorders>
          </w:tcPr>
          <w:p w14:paraId="4AB8E83D">
            <w:pPr>
              <w:spacing w:line="276" w:lineRule="auto"/>
              <w:jc w:val="left"/>
              <w:rPr>
                <w:rFonts w:ascii="宋体" w:hAnsi="宋体" w:cs="宋体"/>
                <w:color w:val="auto"/>
                <w:szCs w:val="21"/>
                <w:highlight w:val="none"/>
              </w:rPr>
            </w:pPr>
            <w:r>
              <w:rPr>
                <w:rFonts w:ascii="宋体" w:hAnsi="宋体" w:cs="宋体"/>
                <w:color w:val="auto"/>
                <w:spacing w:val="6"/>
                <w:szCs w:val="21"/>
                <w:highlight w:val="none"/>
              </w:rPr>
              <w:t>投</w:t>
            </w:r>
            <w:r>
              <w:rPr>
                <w:rFonts w:ascii="宋体" w:hAnsi="宋体" w:cs="宋体"/>
                <w:color w:val="auto"/>
                <w:spacing w:val="5"/>
                <w:szCs w:val="21"/>
                <w:highlight w:val="none"/>
              </w:rPr>
              <w:t>标人与其他投标人加密打包投标文件电脑机器特征码一致</w:t>
            </w:r>
            <w:r>
              <w:rPr>
                <w:rFonts w:ascii="宋体" w:hAnsi="宋体" w:cs="宋体"/>
                <w:color w:val="auto"/>
                <w:spacing w:val="-1"/>
                <w:szCs w:val="21"/>
                <w:highlight w:val="none"/>
              </w:rPr>
              <w:t>的</w:t>
            </w:r>
            <w:r>
              <w:rPr>
                <w:rFonts w:hint="eastAsia" w:ascii="Times New Roman" w:hAnsi="Times New Roman"/>
                <w:color w:val="auto"/>
                <w:spacing w:val="-1"/>
                <w:szCs w:val="21"/>
                <w:highlight w:val="none"/>
              </w:rPr>
              <w:t>（</w:t>
            </w:r>
            <w:r>
              <w:rPr>
                <w:rFonts w:ascii="宋体" w:hAnsi="宋体" w:cs="宋体"/>
                <w:color w:val="auto"/>
                <w:spacing w:val="-1"/>
                <w:szCs w:val="21"/>
                <w:highlight w:val="none"/>
              </w:rPr>
              <w:t>以广州公共资源交</w:t>
            </w:r>
            <w:r>
              <w:rPr>
                <w:rFonts w:ascii="宋体" w:hAnsi="宋体" w:cs="宋体"/>
                <w:color w:val="auto"/>
                <w:szCs w:val="21"/>
                <w:highlight w:val="none"/>
              </w:rPr>
              <w:t>易中心评标系统的检索信息为准</w:t>
            </w:r>
            <w:r>
              <w:rPr>
                <w:rFonts w:hint="eastAsia" w:ascii="Times New Roman" w:hAnsi="Times New Roman"/>
                <w:color w:val="auto"/>
                <w:spacing w:val="-1"/>
                <w:szCs w:val="21"/>
                <w:highlight w:val="none"/>
              </w:rPr>
              <w:t>）</w:t>
            </w:r>
            <w:r>
              <w:rPr>
                <w:rFonts w:ascii="宋体" w:hAnsi="宋体" w:cs="宋体"/>
                <w:color w:val="auto"/>
                <w:szCs w:val="21"/>
                <w:highlight w:val="none"/>
              </w:rPr>
              <w:t>将被否</w:t>
            </w:r>
            <w:r>
              <w:rPr>
                <w:rFonts w:ascii="宋体" w:hAnsi="宋体" w:cs="宋体"/>
                <w:color w:val="auto"/>
                <w:spacing w:val="-12"/>
                <w:szCs w:val="21"/>
                <w:highlight w:val="none"/>
              </w:rPr>
              <w:t>决</w:t>
            </w:r>
            <w:r>
              <w:rPr>
                <w:rFonts w:ascii="宋体" w:hAnsi="宋体" w:cs="宋体"/>
                <w:color w:val="auto"/>
                <w:spacing w:val="-10"/>
                <w:szCs w:val="21"/>
                <w:highlight w:val="none"/>
              </w:rPr>
              <w:t>。</w:t>
            </w:r>
          </w:p>
        </w:tc>
      </w:tr>
      <w:tr w14:paraId="44304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trPr>
        <w:tc>
          <w:tcPr>
            <w:tcW w:w="434" w:type="pct"/>
            <w:vMerge w:val="restart"/>
            <w:tcBorders>
              <w:top w:val="single" w:color="auto" w:sz="4" w:space="0"/>
              <w:bottom w:val="single" w:color="auto" w:sz="4" w:space="0"/>
              <w:right w:val="single" w:color="auto" w:sz="4" w:space="0"/>
            </w:tcBorders>
            <w:vAlign w:val="center"/>
          </w:tcPr>
          <w:p w14:paraId="4B474AB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372" w:type="pct"/>
            <w:vMerge w:val="restart"/>
            <w:tcBorders>
              <w:top w:val="single" w:color="auto" w:sz="4" w:space="0"/>
              <w:left w:val="single" w:color="auto" w:sz="4" w:space="0"/>
              <w:bottom w:val="single" w:color="auto" w:sz="4" w:space="0"/>
              <w:right w:val="single" w:color="auto" w:sz="4" w:space="0"/>
            </w:tcBorders>
            <w:vAlign w:val="center"/>
          </w:tcPr>
          <w:p w14:paraId="5B4957C4">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1277CC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（或事业单位法人证书）</w:t>
            </w:r>
          </w:p>
        </w:tc>
        <w:tc>
          <w:tcPr>
            <w:tcW w:w="3004" w:type="pct"/>
            <w:tcBorders>
              <w:top w:val="single" w:color="auto" w:sz="4" w:space="0"/>
              <w:left w:val="single" w:color="auto" w:sz="4" w:space="0"/>
              <w:bottom w:val="single" w:color="auto" w:sz="4" w:space="0"/>
              <w:right w:val="single" w:color="auto" w:sz="4" w:space="0"/>
            </w:tcBorders>
            <w:vAlign w:val="center"/>
          </w:tcPr>
          <w:p w14:paraId="5EF229D6">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14:paraId="2FAA8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top w:val="single" w:color="auto" w:sz="4" w:space="0"/>
              <w:bottom w:val="single" w:color="auto" w:sz="4" w:space="0"/>
              <w:right w:val="single" w:color="auto" w:sz="4" w:space="0"/>
            </w:tcBorders>
            <w:vAlign w:val="center"/>
          </w:tcPr>
          <w:p w14:paraId="2ECB5F8E">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0FAB7E5D">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D32930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3004" w:type="pct"/>
            <w:tcBorders>
              <w:top w:val="single" w:color="auto" w:sz="4" w:space="0"/>
              <w:left w:val="single" w:color="auto" w:sz="4" w:space="0"/>
              <w:bottom w:val="single" w:color="auto" w:sz="4" w:space="0"/>
              <w:right w:val="single" w:color="auto" w:sz="4" w:space="0"/>
            </w:tcBorders>
            <w:vAlign w:val="center"/>
          </w:tcPr>
          <w:p w14:paraId="7CF02D35">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6BA05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top w:val="single" w:color="auto" w:sz="4" w:space="0"/>
              <w:bottom w:val="single" w:color="auto" w:sz="4" w:space="0"/>
              <w:right w:val="single" w:color="auto" w:sz="4" w:space="0"/>
            </w:tcBorders>
            <w:vAlign w:val="center"/>
          </w:tcPr>
          <w:p w14:paraId="44398FEE">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38BCB1ED">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492F14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004" w:type="pct"/>
            <w:tcBorders>
              <w:top w:val="single" w:color="auto" w:sz="4" w:space="0"/>
              <w:left w:val="single" w:color="auto" w:sz="4" w:space="0"/>
              <w:bottom w:val="single" w:color="auto" w:sz="4" w:space="0"/>
              <w:right w:val="single" w:color="auto" w:sz="4" w:space="0"/>
            </w:tcBorders>
            <w:vAlign w:val="center"/>
          </w:tcPr>
          <w:p w14:paraId="169A69C9">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069B8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34" w:type="pct"/>
            <w:vMerge w:val="continue"/>
            <w:tcBorders>
              <w:top w:val="single" w:color="auto" w:sz="4" w:space="0"/>
              <w:bottom w:val="single" w:color="auto" w:sz="4" w:space="0"/>
              <w:right w:val="single" w:color="auto" w:sz="4" w:space="0"/>
            </w:tcBorders>
            <w:vAlign w:val="center"/>
          </w:tcPr>
          <w:p w14:paraId="49E1AE20">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6557572F">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9D5367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3004" w:type="pct"/>
            <w:tcBorders>
              <w:top w:val="single" w:color="auto" w:sz="4" w:space="0"/>
              <w:left w:val="single" w:color="auto" w:sz="4" w:space="0"/>
              <w:bottom w:val="single" w:color="auto" w:sz="4" w:space="0"/>
              <w:right w:val="single" w:color="auto" w:sz="4" w:space="0"/>
            </w:tcBorders>
            <w:vAlign w:val="center"/>
          </w:tcPr>
          <w:p w14:paraId="58B6CEC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2DF2C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434" w:type="pct"/>
            <w:vMerge w:val="continue"/>
            <w:tcBorders>
              <w:top w:val="single" w:color="auto" w:sz="4" w:space="0"/>
              <w:bottom w:val="single" w:color="auto" w:sz="4" w:space="0"/>
              <w:right w:val="single" w:color="auto" w:sz="4" w:space="0"/>
            </w:tcBorders>
            <w:vAlign w:val="center"/>
          </w:tcPr>
          <w:p w14:paraId="4E414C0D">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3FAA68B0">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39C8E13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004" w:type="pct"/>
            <w:tcBorders>
              <w:top w:val="single" w:color="auto" w:sz="4" w:space="0"/>
              <w:left w:val="single" w:color="auto" w:sz="4" w:space="0"/>
              <w:bottom w:val="single" w:color="auto" w:sz="4" w:space="0"/>
              <w:right w:val="single" w:color="auto" w:sz="4" w:space="0"/>
            </w:tcBorders>
            <w:vAlign w:val="center"/>
          </w:tcPr>
          <w:p w14:paraId="261DE84C">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60082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34" w:type="pct"/>
            <w:vMerge w:val="continue"/>
            <w:tcBorders>
              <w:top w:val="single" w:color="auto" w:sz="4" w:space="0"/>
              <w:bottom w:val="single" w:color="auto" w:sz="4" w:space="0"/>
              <w:right w:val="single" w:color="auto" w:sz="4" w:space="0"/>
            </w:tcBorders>
            <w:vAlign w:val="center"/>
          </w:tcPr>
          <w:p w14:paraId="675C67C0">
            <w:pPr>
              <w:keepNext/>
              <w:keepLines/>
              <w:spacing w:line="276" w:lineRule="auto"/>
              <w:outlineLvl w:val="2"/>
              <w:rPr>
                <w:rFonts w:ascii="宋体" w:hAnsi="宋体" w:cs="宋体"/>
                <w:color w:val="auto"/>
                <w:szCs w:val="21"/>
                <w:highlight w:val="none"/>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14:paraId="689B44A6">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97D94D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3004" w:type="pct"/>
            <w:tcBorders>
              <w:top w:val="single" w:color="auto" w:sz="4" w:space="0"/>
              <w:left w:val="single" w:color="auto" w:sz="4" w:space="0"/>
              <w:bottom w:val="single" w:color="auto" w:sz="4" w:space="0"/>
              <w:right w:val="single" w:color="auto" w:sz="4" w:space="0"/>
            </w:tcBorders>
            <w:vAlign w:val="center"/>
          </w:tcPr>
          <w:p w14:paraId="2F86CD3F">
            <w:pPr>
              <w:spacing w:line="276"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 1.4.3 项规定的任何一种情形（以《投标申请人声明》为准）</w:t>
            </w:r>
          </w:p>
        </w:tc>
      </w:tr>
      <w:tr w14:paraId="1F326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434" w:type="pct"/>
            <w:vMerge w:val="restart"/>
            <w:tcBorders>
              <w:top w:val="single" w:color="auto" w:sz="4" w:space="0"/>
              <w:right w:val="single" w:color="auto" w:sz="4" w:space="0"/>
            </w:tcBorders>
            <w:vAlign w:val="center"/>
          </w:tcPr>
          <w:p w14:paraId="1290DCE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372" w:type="pct"/>
            <w:vMerge w:val="restart"/>
            <w:tcBorders>
              <w:top w:val="single" w:color="auto" w:sz="4" w:space="0"/>
              <w:left w:val="single" w:color="auto" w:sz="4" w:space="0"/>
              <w:right w:val="single" w:color="auto" w:sz="4" w:space="0"/>
            </w:tcBorders>
            <w:vAlign w:val="center"/>
          </w:tcPr>
          <w:p w14:paraId="6683D25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188" w:type="pct"/>
            <w:gridSpan w:val="2"/>
            <w:tcBorders>
              <w:top w:val="single" w:color="auto" w:sz="4" w:space="0"/>
              <w:left w:val="single" w:color="auto" w:sz="4" w:space="0"/>
              <w:right w:val="single" w:color="auto" w:sz="4" w:space="0"/>
            </w:tcBorders>
            <w:vAlign w:val="center"/>
          </w:tcPr>
          <w:p w14:paraId="12C0E66F">
            <w:pPr>
              <w:spacing w:line="276" w:lineRule="auto"/>
              <w:jc w:val="center"/>
              <w:rPr>
                <w:rFonts w:ascii="宋体" w:hAnsi="宋体" w:cs="宋体"/>
                <w:strike/>
                <w:color w:val="auto"/>
                <w:szCs w:val="21"/>
                <w:highlight w:val="none"/>
              </w:rPr>
            </w:pPr>
            <w:r>
              <w:rPr>
                <w:rFonts w:hint="eastAsia" w:ascii="宋体" w:hAnsi="宋体" w:cs="宋体"/>
                <w:color w:val="auto"/>
                <w:szCs w:val="21"/>
                <w:highlight w:val="none"/>
              </w:rPr>
              <w:t>投标总报价</w:t>
            </w:r>
          </w:p>
        </w:tc>
        <w:tc>
          <w:tcPr>
            <w:tcW w:w="3004" w:type="pct"/>
            <w:tcBorders>
              <w:top w:val="single" w:color="auto" w:sz="4" w:space="0"/>
              <w:left w:val="single" w:color="auto" w:sz="4" w:space="0"/>
            </w:tcBorders>
            <w:vAlign w:val="center"/>
          </w:tcPr>
          <w:p w14:paraId="3A291D8A">
            <w:pPr>
              <w:spacing w:line="276" w:lineRule="auto"/>
              <w:rPr>
                <w:rFonts w:ascii="宋体" w:hAnsi="宋体" w:cs="宋体"/>
                <w:strike/>
                <w:color w:val="auto"/>
                <w:szCs w:val="21"/>
                <w:highlight w:val="none"/>
              </w:rPr>
            </w:pPr>
            <w:r>
              <w:rPr>
                <w:rFonts w:hint="eastAsia" w:ascii="宋体" w:hAnsi="宋体" w:cs="宋体"/>
                <w:color w:val="auto"/>
                <w:szCs w:val="21"/>
                <w:highlight w:val="none"/>
              </w:rPr>
              <w:t>符合第二章“投标人须知”第3.2款规定进行投标报价；</w:t>
            </w:r>
          </w:p>
        </w:tc>
      </w:tr>
      <w:tr w14:paraId="196C4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34" w:type="pct"/>
            <w:vMerge w:val="continue"/>
            <w:tcBorders>
              <w:right w:val="single" w:color="auto" w:sz="4" w:space="0"/>
            </w:tcBorders>
            <w:vAlign w:val="center"/>
          </w:tcPr>
          <w:p w14:paraId="6F1FE7B9">
            <w:pPr>
              <w:keepNext/>
              <w:keepLines/>
              <w:spacing w:line="276" w:lineRule="auto"/>
              <w:jc w:val="center"/>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644E8D8C">
            <w:pPr>
              <w:keepNext/>
              <w:keepLines/>
              <w:spacing w:line="276" w:lineRule="auto"/>
              <w:jc w:val="center"/>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7A9F99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004" w:type="pct"/>
            <w:tcBorders>
              <w:top w:val="single" w:color="auto" w:sz="4" w:space="0"/>
              <w:left w:val="single" w:color="auto" w:sz="4" w:space="0"/>
              <w:bottom w:val="single" w:color="auto" w:sz="4" w:space="0"/>
            </w:tcBorders>
            <w:vAlign w:val="center"/>
          </w:tcPr>
          <w:p w14:paraId="70D83C5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 1.3.1项规定；</w:t>
            </w:r>
            <w:r>
              <w:rPr>
                <w:rFonts w:hint="eastAsia" w:ascii="宋体" w:hAnsi="宋体" w:cs="宋体"/>
                <w:color w:val="auto"/>
                <w:szCs w:val="21"/>
                <w:highlight w:val="none"/>
                <w:u w:val="single"/>
              </w:rPr>
              <w:t>投标文件按规定的格式填写，内容齐全或关键字迹清晰、容易辩认；</w:t>
            </w:r>
          </w:p>
        </w:tc>
      </w:tr>
      <w:tr w14:paraId="395F3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434" w:type="pct"/>
            <w:vMerge w:val="continue"/>
            <w:tcBorders>
              <w:right w:val="single" w:color="auto" w:sz="4" w:space="0"/>
            </w:tcBorders>
            <w:vAlign w:val="center"/>
          </w:tcPr>
          <w:p w14:paraId="6D73FA22">
            <w:pPr>
              <w:spacing w:line="276" w:lineRule="auto"/>
              <w:jc w:val="center"/>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41EB17F6">
            <w:pPr>
              <w:spacing w:line="276" w:lineRule="auto"/>
              <w:jc w:val="center"/>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6C8B6A2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004" w:type="pct"/>
            <w:tcBorders>
              <w:top w:val="single" w:color="auto" w:sz="4" w:space="0"/>
              <w:left w:val="single" w:color="auto" w:sz="4" w:space="0"/>
              <w:bottom w:val="single" w:color="auto" w:sz="4" w:space="0"/>
            </w:tcBorders>
            <w:vAlign w:val="center"/>
          </w:tcPr>
          <w:p w14:paraId="111CFDAE">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符合第二章“投标人须知前附表”第1.3.2项规定</w:t>
            </w:r>
          </w:p>
        </w:tc>
      </w:tr>
      <w:tr w14:paraId="49AE6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434" w:type="pct"/>
            <w:vMerge w:val="continue"/>
            <w:tcBorders>
              <w:right w:val="single" w:color="auto" w:sz="4" w:space="0"/>
            </w:tcBorders>
            <w:vAlign w:val="center"/>
          </w:tcPr>
          <w:p w14:paraId="494BE91E">
            <w:pPr>
              <w:keepNext/>
              <w:keepLines/>
              <w:spacing w:line="276" w:lineRule="auto"/>
              <w:jc w:val="center"/>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47EF7487">
            <w:pPr>
              <w:keepNext/>
              <w:keepLines/>
              <w:spacing w:line="276" w:lineRule="auto"/>
              <w:jc w:val="center"/>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544325D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3004" w:type="pct"/>
            <w:tcBorders>
              <w:top w:val="single" w:color="auto" w:sz="4" w:space="0"/>
              <w:left w:val="single" w:color="auto" w:sz="4" w:space="0"/>
              <w:bottom w:val="single" w:color="auto" w:sz="4" w:space="0"/>
            </w:tcBorders>
            <w:vAlign w:val="center"/>
          </w:tcPr>
          <w:p w14:paraId="536E4D23">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1.3.3 项规定</w:t>
            </w:r>
          </w:p>
        </w:tc>
      </w:tr>
      <w:tr w14:paraId="6DA1E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434" w:type="pct"/>
            <w:vMerge w:val="continue"/>
            <w:tcBorders>
              <w:right w:val="single" w:color="auto" w:sz="4" w:space="0"/>
            </w:tcBorders>
            <w:vAlign w:val="center"/>
          </w:tcPr>
          <w:p w14:paraId="5421EF8E">
            <w:pPr>
              <w:keepNext/>
              <w:keepLines/>
              <w:spacing w:line="276" w:lineRule="auto"/>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5912B7A5">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70A4C1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004" w:type="pct"/>
            <w:tcBorders>
              <w:top w:val="single" w:color="auto" w:sz="4" w:space="0"/>
              <w:left w:val="single" w:color="auto" w:sz="4" w:space="0"/>
              <w:bottom w:val="single" w:color="auto" w:sz="4" w:space="0"/>
            </w:tcBorders>
            <w:vAlign w:val="center"/>
          </w:tcPr>
          <w:p w14:paraId="40BF60B7">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3.3.1 项规定</w:t>
            </w:r>
          </w:p>
        </w:tc>
      </w:tr>
      <w:tr w14:paraId="5522B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 w:hRule="atLeast"/>
        </w:trPr>
        <w:tc>
          <w:tcPr>
            <w:tcW w:w="434" w:type="pct"/>
            <w:vMerge w:val="continue"/>
            <w:tcBorders>
              <w:right w:val="single" w:color="auto" w:sz="4" w:space="0"/>
            </w:tcBorders>
            <w:vAlign w:val="center"/>
          </w:tcPr>
          <w:p w14:paraId="1EC54213">
            <w:pPr>
              <w:keepNext/>
              <w:keepLines/>
              <w:spacing w:line="276" w:lineRule="auto"/>
              <w:outlineLvl w:val="2"/>
              <w:rPr>
                <w:rFonts w:ascii="宋体" w:hAnsi="宋体" w:cs="宋体"/>
                <w:color w:val="auto"/>
                <w:szCs w:val="21"/>
                <w:highlight w:val="none"/>
              </w:rPr>
            </w:pPr>
          </w:p>
        </w:tc>
        <w:tc>
          <w:tcPr>
            <w:tcW w:w="372" w:type="pct"/>
            <w:vMerge w:val="continue"/>
            <w:tcBorders>
              <w:left w:val="single" w:color="auto" w:sz="4" w:space="0"/>
              <w:right w:val="single" w:color="auto" w:sz="4" w:space="0"/>
            </w:tcBorders>
            <w:vAlign w:val="center"/>
          </w:tcPr>
          <w:p w14:paraId="478B8749">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tcPr>
          <w:p w14:paraId="53A50D60">
            <w:pPr>
              <w:spacing w:line="276" w:lineRule="auto"/>
              <w:jc w:val="center"/>
              <w:rPr>
                <w:rFonts w:ascii="宋体" w:hAnsi="宋体" w:cs="宋体"/>
                <w:color w:val="auto"/>
                <w:szCs w:val="21"/>
                <w:highlight w:val="none"/>
              </w:rPr>
            </w:pPr>
            <w:r>
              <w:rPr>
                <w:rFonts w:ascii="宋体" w:hAnsi="宋体"/>
                <w:color w:val="auto"/>
                <w:highlight w:val="none"/>
              </w:rPr>
              <w:t>投标保证金</w:t>
            </w:r>
          </w:p>
        </w:tc>
        <w:tc>
          <w:tcPr>
            <w:tcW w:w="3004" w:type="pct"/>
            <w:tcBorders>
              <w:top w:val="single" w:color="auto" w:sz="4" w:space="0"/>
              <w:left w:val="single" w:color="auto" w:sz="4" w:space="0"/>
              <w:bottom w:val="single" w:color="auto" w:sz="4" w:space="0"/>
            </w:tcBorders>
          </w:tcPr>
          <w:p w14:paraId="3FB868B1">
            <w:pPr>
              <w:spacing w:line="276" w:lineRule="auto"/>
              <w:rPr>
                <w:rFonts w:ascii="宋体" w:hAnsi="宋体" w:cs="宋体"/>
                <w:color w:val="auto"/>
                <w:szCs w:val="21"/>
                <w:highlight w:val="none"/>
              </w:rPr>
            </w:pPr>
            <w:r>
              <w:rPr>
                <w:rFonts w:hint="eastAsia" w:ascii="宋体" w:hAnsi="宋体" w:cs="宋体"/>
                <w:color w:val="auto"/>
                <w:highlight w:val="none"/>
                <w:u w:val="single"/>
              </w:rPr>
              <w:t>按规定的格式及内容要求签署《关于投标保证金的承诺》</w:t>
            </w:r>
          </w:p>
        </w:tc>
      </w:tr>
      <w:tr w14:paraId="1013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434" w:type="pct"/>
            <w:vMerge w:val="continue"/>
            <w:tcBorders>
              <w:bottom w:val="single" w:color="auto" w:sz="4" w:space="0"/>
              <w:right w:val="single" w:color="auto" w:sz="4" w:space="0"/>
            </w:tcBorders>
            <w:vAlign w:val="center"/>
          </w:tcPr>
          <w:p w14:paraId="4487FD76">
            <w:pPr>
              <w:keepNext/>
              <w:keepLines/>
              <w:spacing w:line="276" w:lineRule="auto"/>
              <w:outlineLvl w:val="2"/>
              <w:rPr>
                <w:rFonts w:ascii="宋体" w:hAnsi="宋体" w:cs="宋体"/>
                <w:color w:val="auto"/>
                <w:szCs w:val="21"/>
                <w:highlight w:val="none"/>
              </w:rPr>
            </w:pPr>
          </w:p>
        </w:tc>
        <w:tc>
          <w:tcPr>
            <w:tcW w:w="372" w:type="pct"/>
            <w:vMerge w:val="continue"/>
            <w:tcBorders>
              <w:left w:val="single" w:color="auto" w:sz="4" w:space="0"/>
              <w:bottom w:val="single" w:color="auto" w:sz="4" w:space="0"/>
              <w:right w:val="single" w:color="auto" w:sz="4" w:space="0"/>
            </w:tcBorders>
            <w:vAlign w:val="center"/>
          </w:tcPr>
          <w:p w14:paraId="3110E422">
            <w:pPr>
              <w:keepNext/>
              <w:keepLines/>
              <w:spacing w:line="276" w:lineRule="auto"/>
              <w:outlineLvl w:val="2"/>
              <w:rPr>
                <w:rFonts w:ascii="宋体" w:hAnsi="宋体"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4E7170E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3004" w:type="pct"/>
            <w:tcBorders>
              <w:top w:val="single" w:color="auto" w:sz="4" w:space="0"/>
              <w:left w:val="single" w:color="auto" w:sz="4" w:space="0"/>
              <w:bottom w:val="single" w:color="auto" w:sz="4" w:space="0"/>
            </w:tcBorders>
            <w:vAlign w:val="center"/>
          </w:tcPr>
          <w:p w14:paraId="216D6127">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投标人之间不存在《广东省实施&lt;中华人民共和国招标投标法&gt;办法》第十六条所禁止的情形的；</w:t>
            </w:r>
          </w:p>
        </w:tc>
      </w:tr>
      <w:tr w14:paraId="729F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07" w:type="pct"/>
            <w:gridSpan w:val="2"/>
            <w:tcBorders>
              <w:top w:val="single" w:color="auto" w:sz="4" w:space="0"/>
              <w:bottom w:val="single" w:color="auto" w:sz="4" w:space="0"/>
              <w:right w:val="single" w:color="auto" w:sz="4" w:space="0"/>
            </w:tcBorders>
            <w:vAlign w:val="center"/>
          </w:tcPr>
          <w:p w14:paraId="2B0EBB76">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9E57D24">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3004" w:type="pct"/>
            <w:tcBorders>
              <w:top w:val="single" w:color="auto" w:sz="4" w:space="0"/>
              <w:left w:val="single" w:color="auto" w:sz="4" w:space="0"/>
              <w:bottom w:val="single" w:color="auto" w:sz="4" w:space="0"/>
              <w:right w:val="single" w:color="auto" w:sz="4" w:space="0"/>
            </w:tcBorders>
            <w:vAlign w:val="center"/>
          </w:tcPr>
          <w:p w14:paraId="2AE3992B">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762B6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807" w:type="pct"/>
            <w:gridSpan w:val="2"/>
            <w:tcBorders>
              <w:bottom w:val="single" w:color="auto" w:sz="4" w:space="0"/>
              <w:right w:val="single" w:color="auto" w:sz="4" w:space="0"/>
            </w:tcBorders>
            <w:vAlign w:val="center"/>
          </w:tcPr>
          <w:p w14:paraId="405CCF3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1E2B53E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14:paraId="5E16AD6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004" w:type="pct"/>
            <w:tcBorders>
              <w:top w:val="single" w:color="auto" w:sz="4" w:space="0"/>
              <w:left w:val="single" w:color="auto" w:sz="4" w:space="0"/>
              <w:bottom w:val="single" w:color="auto" w:sz="4" w:space="0"/>
              <w:right w:val="single" w:color="auto" w:sz="4" w:space="0"/>
            </w:tcBorders>
            <w:vAlign w:val="center"/>
          </w:tcPr>
          <w:p w14:paraId="3E8E85F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1、资信业绩部分：</w:t>
            </w:r>
            <w:r>
              <w:rPr>
                <w:rFonts w:hint="eastAsia" w:ascii="宋体" w:hAnsi="宋体" w:cs="宋体"/>
                <w:color w:val="auto"/>
                <w:szCs w:val="21"/>
                <w:highlight w:val="none"/>
                <w:u w:val="single"/>
                <w:lang w:val="en-US" w:eastAsia="zh-CN"/>
              </w:rPr>
              <w:t>80</w:t>
            </w:r>
            <w:r>
              <w:rPr>
                <w:rFonts w:hint="eastAsia" w:ascii="宋体" w:hAnsi="宋体" w:cs="宋体"/>
                <w:color w:val="auto"/>
                <w:szCs w:val="21"/>
                <w:highlight w:val="none"/>
                <w:u w:val="single"/>
              </w:rPr>
              <w:t>分</w:t>
            </w:r>
          </w:p>
          <w:p w14:paraId="2A03D6F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2、检测设备和</w:t>
            </w:r>
            <w:r>
              <w:rPr>
                <w:rFonts w:hint="eastAsia" w:ascii="宋体" w:hAnsi="宋体" w:cs="宋体"/>
                <w:color w:val="auto"/>
                <w:szCs w:val="21"/>
                <w:highlight w:val="none"/>
                <w:u w:val="single"/>
                <w:lang w:val="en-US" w:eastAsia="zh-CN"/>
              </w:rPr>
              <w:t>检测监测</w:t>
            </w:r>
            <w:r>
              <w:rPr>
                <w:rFonts w:hint="eastAsia" w:ascii="宋体" w:hAnsi="宋体" w:cs="宋体"/>
                <w:color w:val="auto"/>
                <w:szCs w:val="21"/>
                <w:highlight w:val="none"/>
                <w:u w:val="single"/>
              </w:rPr>
              <w:t>技术方案部分：</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分</w:t>
            </w:r>
          </w:p>
          <w:p w14:paraId="6FD1D780">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3、投标报价：10分</w:t>
            </w:r>
          </w:p>
          <w:p w14:paraId="4276086C">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注:投标人总得分=资信业绩得分+检测设备和</w:t>
            </w:r>
            <w:r>
              <w:rPr>
                <w:rFonts w:hint="eastAsia" w:ascii="宋体" w:hAnsi="宋体" w:cs="宋体"/>
                <w:color w:val="auto"/>
                <w:szCs w:val="21"/>
                <w:highlight w:val="none"/>
                <w:u w:val="single"/>
                <w:lang w:val="en-US" w:eastAsia="zh-CN"/>
              </w:rPr>
              <w:t>检测监测</w:t>
            </w:r>
            <w:r>
              <w:rPr>
                <w:rFonts w:hint="eastAsia" w:ascii="宋体" w:hAnsi="宋体" w:cs="宋体"/>
                <w:color w:val="auto"/>
                <w:szCs w:val="21"/>
                <w:highlight w:val="none"/>
                <w:u w:val="single"/>
              </w:rPr>
              <w:t>技术方案得分+投标报价得分</w:t>
            </w:r>
          </w:p>
        </w:tc>
      </w:tr>
      <w:tr w14:paraId="4FD04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807" w:type="pct"/>
            <w:gridSpan w:val="2"/>
            <w:tcBorders>
              <w:top w:val="single" w:color="auto" w:sz="4" w:space="0"/>
              <w:bottom w:val="single" w:color="auto" w:sz="4" w:space="0"/>
              <w:right w:val="single" w:color="auto" w:sz="4" w:space="0"/>
            </w:tcBorders>
            <w:vAlign w:val="center"/>
          </w:tcPr>
          <w:p w14:paraId="1B3E653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DDE9BE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3004" w:type="pct"/>
            <w:tcBorders>
              <w:top w:val="single" w:color="auto" w:sz="4" w:space="0"/>
              <w:left w:val="single" w:color="auto" w:sz="4" w:space="0"/>
              <w:bottom w:val="single" w:color="auto" w:sz="4" w:space="0"/>
              <w:right w:val="single" w:color="auto" w:sz="4" w:space="0"/>
            </w:tcBorders>
            <w:vAlign w:val="center"/>
          </w:tcPr>
          <w:p w14:paraId="64380830">
            <w:pPr>
              <w:spacing w:line="276" w:lineRule="auto"/>
              <w:rPr>
                <w:rFonts w:ascii="宋体" w:hAnsi="宋体" w:cs="宋体"/>
                <w:color w:val="auto"/>
                <w:szCs w:val="21"/>
                <w:highlight w:val="none"/>
              </w:rPr>
            </w:pPr>
            <w:r>
              <w:rPr>
                <w:color w:val="auto"/>
                <w:spacing w:val="-3"/>
                <w:sz w:val="24"/>
                <w:szCs w:val="24"/>
                <w:highlight w:val="none"/>
              </w:rPr>
              <w:t>当</w:t>
            </w:r>
            <w:r>
              <w:rPr>
                <w:rFonts w:hint="eastAsia" w:ascii="宋体" w:hAnsi="宋体" w:cs="宋体"/>
                <w:color w:val="auto"/>
                <w:szCs w:val="21"/>
                <w:highlight w:val="none"/>
                <w:u w:val="single"/>
              </w:rPr>
              <w:t>通过形式评审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资格评审</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响应性评审在位于[招标控制价×90%，招标控制价] 区间的投标价中的有效投标人大于 5 名时，去掉一个最高价和一个最低价，取余下有效投标价的算术平均值作为评标基准价。当通过形式评审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资格评审</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响应性评审在位于[招标控制价× 90%，招标控制价]区间的投标价中的有效投标人小于或等于 5 名时，取所有入围的有效投标价的算术平均值作为评标基准价。若当通过形式评审</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资格评审</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响应性评审没有投标价位于[招标控制价×90%，招标控制价]区间的有效投标人，取招标控制价×90%作为评标基准价。</w:t>
            </w:r>
          </w:p>
        </w:tc>
      </w:tr>
      <w:tr w14:paraId="7DE48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07" w:type="pct"/>
            <w:gridSpan w:val="2"/>
            <w:tcBorders>
              <w:top w:val="single" w:color="auto" w:sz="4" w:space="0"/>
              <w:bottom w:val="single" w:color="auto" w:sz="4" w:space="0"/>
              <w:right w:val="single" w:color="auto" w:sz="4" w:space="0"/>
            </w:tcBorders>
            <w:vAlign w:val="center"/>
          </w:tcPr>
          <w:p w14:paraId="69356B3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20D9BFD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3004" w:type="pct"/>
            <w:tcBorders>
              <w:top w:val="single" w:color="auto" w:sz="4" w:space="0"/>
              <w:left w:val="single" w:color="auto" w:sz="4" w:space="0"/>
              <w:bottom w:val="single" w:color="auto" w:sz="4" w:space="0"/>
              <w:right w:val="single" w:color="auto" w:sz="4" w:space="0"/>
            </w:tcBorders>
            <w:vAlign w:val="center"/>
          </w:tcPr>
          <w:p w14:paraId="19EB490C">
            <w:pPr>
              <w:spacing w:line="276" w:lineRule="auto"/>
              <w:rPr>
                <w:rFonts w:ascii="宋体" w:hAnsi="宋体" w:cs="宋体"/>
                <w:color w:val="auto"/>
                <w:szCs w:val="21"/>
                <w:highlight w:val="none"/>
              </w:rPr>
            </w:pPr>
            <w:r>
              <w:rPr>
                <w:rFonts w:hint="eastAsia" w:ascii="宋体" w:hAnsi="宋体" w:cs="宋体"/>
                <w:color w:val="auto"/>
                <w:szCs w:val="21"/>
                <w:highlight w:val="none"/>
              </w:rPr>
              <w:t>偏差率=∣投标总报价—评标基准价∣/评标基准价*100%（偏差率四舍五入保留2位小数）</w:t>
            </w:r>
          </w:p>
        </w:tc>
      </w:tr>
      <w:tr w14:paraId="0B63F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34" w:type="pct"/>
            <w:vMerge w:val="restart"/>
            <w:tcBorders>
              <w:top w:val="single" w:color="auto" w:sz="4" w:space="0"/>
              <w:right w:val="single" w:color="auto" w:sz="4" w:space="0"/>
            </w:tcBorders>
            <w:vAlign w:val="center"/>
          </w:tcPr>
          <w:p w14:paraId="222EC6FE">
            <w:pPr>
              <w:spacing w:line="276" w:lineRule="auto"/>
              <w:jc w:val="center"/>
              <w:rPr>
                <w:rFonts w:ascii="宋体" w:hAnsi="宋体" w:cs="宋体"/>
                <w:color w:val="auto"/>
                <w:szCs w:val="21"/>
                <w:highlight w:val="none"/>
              </w:rPr>
            </w:pPr>
            <w:bookmarkStart w:id="154" w:name="_Toc525063256"/>
            <w:bookmarkStart w:id="155" w:name="_Toc25831"/>
            <w:bookmarkStart w:id="156" w:name="_Toc28853"/>
            <w:bookmarkStart w:id="157" w:name="_Toc27844"/>
            <w:bookmarkStart w:id="158" w:name="_Toc6317"/>
            <w:bookmarkStart w:id="159" w:name="_Toc532367883"/>
            <w:bookmarkStart w:id="160" w:name="_Toc16761"/>
            <w:bookmarkStart w:id="161" w:name="_Toc12458"/>
            <w:bookmarkStart w:id="162" w:name="_Toc26875"/>
            <w:r>
              <w:rPr>
                <w:rFonts w:hint="eastAsia" w:ascii="宋体" w:hAnsi="宋体" w:cs="宋体"/>
                <w:color w:val="auto"/>
                <w:szCs w:val="21"/>
                <w:highlight w:val="none"/>
              </w:rPr>
              <w:t>2.2.4</w:t>
            </w:r>
          </w:p>
          <w:p w14:paraId="2B1BC28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72" w:type="pct"/>
            <w:vMerge w:val="restart"/>
            <w:tcBorders>
              <w:top w:val="single" w:color="auto" w:sz="4" w:space="0"/>
              <w:right w:val="single" w:color="auto" w:sz="4" w:space="0"/>
            </w:tcBorders>
            <w:vAlign w:val="center"/>
          </w:tcPr>
          <w:p w14:paraId="4C07218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资信业绩部分评分标准（</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分）</w:t>
            </w:r>
          </w:p>
        </w:tc>
        <w:tc>
          <w:tcPr>
            <w:tcW w:w="1188" w:type="pct"/>
            <w:gridSpan w:val="2"/>
            <w:tcBorders>
              <w:top w:val="single" w:color="auto" w:sz="4" w:space="0"/>
              <w:left w:val="single" w:color="auto" w:sz="4" w:space="0"/>
              <w:right w:val="single" w:color="auto" w:sz="4" w:space="0"/>
            </w:tcBorders>
            <w:vAlign w:val="center"/>
          </w:tcPr>
          <w:p w14:paraId="38CB02E1">
            <w:pPr>
              <w:widowControl/>
              <w:spacing w:line="276"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类似项目业绩（</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004" w:type="pct"/>
            <w:tcBorders>
              <w:top w:val="single" w:color="auto" w:sz="4" w:space="0"/>
              <w:left w:val="single" w:color="auto" w:sz="4" w:space="0"/>
              <w:bottom w:val="single" w:color="auto" w:sz="4" w:space="0"/>
              <w:right w:val="single" w:color="auto" w:sz="4" w:space="0"/>
            </w:tcBorders>
            <w:vAlign w:val="center"/>
          </w:tcPr>
          <w:p w14:paraId="003617E7">
            <w:pPr>
              <w:widowControl/>
              <w:spacing w:line="276" w:lineRule="auto"/>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投标人自</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年1月1日至今承担过类似</w:t>
            </w:r>
            <w:r>
              <w:rPr>
                <w:rFonts w:hint="default" w:ascii="宋体" w:hAnsi="宋体" w:cs="宋体"/>
                <w:color w:val="auto"/>
                <w:szCs w:val="21"/>
                <w:highlight w:val="none"/>
                <w:lang w:val="en-US"/>
              </w:rPr>
              <w:t>工程</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合同金额大于或等于</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万元的，每项得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本项最多得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4640E0B4">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注:类似工程业绩是指：包含</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内容的</w:t>
            </w:r>
            <w:r>
              <w:rPr>
                <w:rFonts w:hint="eastAsia" w:ascii="宋体" w:hAnsi="宋体" w:cs="宋体"/>
                <w:color w:val="auto"/>
                <w:szCs w:val="21"/>
                <w:highlight w:val="none"/>
                <w:lang w:eastAsia="zh-CN"/>
              </w:rPr>
              <w:t>一项或多项业绩</w:t>
            </w:r>
            <w:r>
              <w:rPr>
                <w:rFonts w:hint="eastAsia" w:ascii="宋体" w:hAnsi="宋体" w:cs="宋体"/>
                <w:color w:val="auto"/>
                <w:szCs w:val="21"/>
                <w:highlight w:val="none"/>
              </w:rPr>
              <w:t>，业绩证明应提交合同文件和中标通知书（或免招标证明）等证明文件</w:t>
            </w:r>
            <w:r>
              <w:rPr>
                <w:rFonts w:hint="eastAsia" w:ascii="宋体" w:hAnsi="宋体" w:cs="宋体"/>
                <w:color w:val="auto"/>
                <w:szCs w:val="21"/>
                <w:highlight w:val="none"/>
                <w:lang w:eastAsia="zh-CN"/>
              </w:rPr>
              <w:t>并加盖</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公章</w:t>
            </w:r>
            <w:r>
              <w:rPr>
                <w:rFonts w:hint="eastAsia" w:ascii="宋体" w:hAnsi="宋体" w:cs="宋体"/>
                <w:color w:val="auto"/>
                <w:szCs w:val="21"/>
                <w:highlight w:val="none"/>
              </w:rPr>
              <w:t>，否则业绩无效，业绩时间和金额以合同文件为准。</w:t>
            </w:r>
          </w:p>
        </w:tc>
      </w:tr>
      <w:tr w14:paraId="4F824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4" w:hRule="atLeast"/>
        </w:trPr>
        <w:tc>
          <w:tcPr>
            <w:tcW w:w="434" w:type="pct"/>
            <w:vMerge w:val="continue"/>
            <w:tcBorders>
              <w:right w:val="single" w:color="auto" w:sz="4" w:space="0"/>
            </w:tcBorders>
            <w:vAlign w:val="center"/>
          </w:tcPr>
          <w:p w14:paraId="2C76C661">
            <w:pPr>
              <w:spacing w:line="276" w:lineRule="auto"/>
              <w:jc w:val="center"/>
              <w:rPr>
                <w:rFonts w:ascii="宋体" w:hAnsi="宋体" w:cs="宋体"/>
                <w:color w:val="auto"/>
                <w:szCs w:val="21"/>
                <w:highlight w:val="none"/>
              </w:rPr>
            </w:pPr>
          </w:p>
        </w:tc>
        <w:tc>
          <w:tcPr>
            <w:tcW w:w="372" w:type="pct"/>
            <w:vMerge w:val="continue"/>
            <w:tcBorders>
              <w:right w:val="single" w:color="auto" w:sz="4" w:space="0"/>
            </w:tcBorders>
            <w:vAlign w:val="center"/>
          </w:tcPr>
          <w:p w14:paraId="14495857">
            <w:pPr>
              <w:spacing w:line="276" w:lineRule="auto"/>
              <w:jc w:val="center"/>
              <w:rPr>
                <w:rFonts w:ascii="宋体" w:hAnsi="宋体" w:cs="宋体"/>
                <w:color w:val="auto"/>
                <w:szCs w:val="21"/>
                <w:highlight w:val="none"/>
              </w:rPr>
            </w:pPr>
          </w:p>
        </w:tc>
        <w:tc>
          <w:tcPr>
            <w:tcW w:w="1188" w:type="pct"/>
            <w:gridSpan w:val="2"/>
            <w:tcBorders>
              <w:top w:val="single" w:color="auto" w:sz="4" w:space="0"/>
              <w:left w:val="single" w:color="auto" w:sz="4" w:space="0"/>
              <w:right w:val="single" w:color="auto" w:sz="4" w:space="0"/>
            </w:tcBorders>
            <w:vAlign w:val="top"/>
          </w:tcPr>
          <w:p w14:paraId="3BF66D89">
            <w:pPr>
              <w:spacing w:line="248" w:lineRule="auto"/>
              <w:rPr>
                <w:rFonts w:ascii="Arial"/>
                <w:color w:val="auto"/>
                <w:sz w:val="24"/>
                <w:szCs w:val="24"/>
                <w:highlight w:val="none"/>
              </w:rPr>
            </w:pPr>
          </w:p>
          <w:p w14:paraId="3FA4146F">
            <w:pPr>
              <w:spacing w:line="248" w:lineRule="auto"/>
              <w:rPr>
                <w:rFonts w:ascii="Arial"/>
                <w:color w:val="auto"/>
                <w:sz w:val="24"/>
                <w:szCs w:val="24"/>
                <w:highlight w:val="none"/>
              </w:rPr>
            </w:pPr>
          </w:p>
          <w:p w14:paraId="3727C775">
            <w:pPr>
              <w:spacing w:line="248" w:lineRule="auto"/>
              <w:rPr>
                <w:rFonts w:ascii="Arial"/>
                <w:color w:val="auto"/>
                <w:sz w:val="24"/>
                <w:szCs w:val="24"/>
                <w:highlight w:val="none"/>
              </w:rPr>
            </w:pPr>
          </w:p>
          <w:p w14:paraId="27104C4A">
            <w:pPr>
              <w:spacing w:line="248" w:lineRule="auto"/>
              <w:rPr>
                <w:rFonts w:ascii="Arial"/>
                <w:color w:val="auto"/>
                <w:sz w:val="24"/>
                <w:szCs w:val="24"/>
                <w:highlight w:val="none"/>
              </w:rPr>
            </w:pPr>
          </w:p>
          <w:p w14:paraId="0425D54F">
            <w:pPr>
              <w:spacing w:line="248" w:lineRule="auto"/>
              <w:rPr>
                <w:rFonts w:ascii="Arial"/>
                <w:color w:val="auto"/>
                <w:sz w:val="24"/>
                <w:szCs w:val="24"/>
                <w:highlight w:val="none"/>
              </w:rPr>
            </w:pPr>
          </w:p>
          <w:p w14:paraId="6826D6CF">
            <w:pPr>
              <w:spacing w:line="248" w:lineRule="auto"/>
              <w:rPr>
                <w:rFonts w:ascii="Arial"/>
                <w:color w:val="auto"/>
                <w:sz w:val="24"/>
                <w:szCs w:val="24"/>
                <w:highlight w:val="none"/>
              </w:rPr>
            </w:pPr>
          </w:p>
          <w:p w14:paraId="15BCCE65">
            <w:pPr>
              <w:spacing w:line="248" w:lineRule="auto"/>
              <w:rPr>
                <w:rFonts w:ascii="Arial"/>
                <w:color w:val="auto"/>
                <w:sz w:val="24"/>
                <w:szCs w:val="24"/>
                <w:highlight w:val="none"/>
              </w:rPr>
            </w:pPr>
          </w:p>
          <w:p w14:paraId="1B13A17A">
            <w:pPr>
              <w:spacing w:line="248" w:lineRule="auto"/>
              <w:rPr>
                <w:rFonts w:ascii="Arial"/>
                <w:color w:val="auto"/>
                <w:sz w:val="24"/>
                <w:szCs w:val="24"/>
                <w:highlight w:val="none"/>
              </w:rPr>
            </w:pPr>
          </w:p>
          <w:p w14:paraId="6C40B6CE">
            <w:pPr>
              <w:spacing w:line="248" w:lineRule="auto"/>
              <w:rPr>
                <w:rFonts w:ascii="Arial"/>
                <w:color w:val="auto"/>
                <w:sz w:val="24"/>
                <w:szCs w:val="24"/>
                <w:highlight w:val="none"/>
              </w:rPr>
            </w:pPr>
          </w:p>
          <w:p w14:paraId="68219BEE">
            <w:pPr>
              <w:spacing w:line="248" w:lineRule="auto"/>
              <w:rPr>
                <w:rFonts w:ascii="Arial"/>
                <w:color w:val="auto"/>
                <w:sz w:val="24"/>
                <w:szCs w:val="24"/>
                <w:highlight w:val="none"/>
              </w:rPr>
            </w:pPr>
          </w:p>
          <w:p w14:paraId="0A607054">
            <w:pPr>
              <w:spacing w:line="248" w:lineRule="auto"/>
              <w:rPr>
                <w:rFonts w:ascii="Arial"/>
                <w:color w:val="auto"/>
                <w:sz w:val="24"/>
                <w:szCs w:val="24"/>
                <w:highlight w:val="none"/>
              </w:rPr>
            </w:pPr>
          </w:p>
          <w:p w14:paraId="50DAD48F">
            <w:pPr>
              <w:spacing w:line="248" w:lineRule="auto"/>
              <w:rPr>
                <w:rFonts w:ascii="Arial"/>
                <w:color w:val="auto"/>
                <w:sz w:val="24"/>
                <w:szCs w:val="24"/>
                <w:highlight w:val="none"/>
              </w:rPr>
            </w:pPr>
          </w:p>
          <w:p w14:paraId="25107BCA">
            <w:pPr>
              <w:spacing w:line="248" w:lineRule="auto"/>
              <w:rPr>
                <w:rFonts w:ascii="Arial"/>
                <w:color w:val="auto"/>
                <w:sz w:val="24"/>
                <w:szCs w:val="24"/>
                <w:highlight w:val="none"/>
              </w:rPr>
            </w:pPr>
          </w:p>
          <w:p w14:paraId="4477EF90">
            <w:pPr>
              <w:spacing w:line="248" w:lineRule="auto"/>
              <w:rPr>
                <w:rFonts w:ascii="Arial"/>
                <w:color w:val="auto"/>
                <w:sz w:val="24"/>
                <w:szCs w:val="24"/>
                <w:highlight w:val="none"/>
              </w:rPr>
            </w:pPr>
          </w:p>
          <w:p w14:paraId="31588D11">
            <w:pPr>
              <w:spacing w:line="248" w:lineRule="auto"/>
              <w:rPr>
                <w:rFonts w:ascii="Arial"/>
                <w:color w:val="auto"/>
                <w:sz w:val="24"/>
                <w:szCs w:val="24"/>
                <w:highlight w:val="none"/>
              </w:rPr>
            </w:pPr>
          </w:p>
          <w:p w14:paraId="4D8BB768">
            <w:pPr>
              <w:spacing w:line="248" w:lineRule="auto"/>
              <w:rPr>
                <w:rFonts w:ascii="Arial"/>
                <w:color w:val="auto"/>
                <w:sz w:val="24"/>
                <w:szCs w:val="24"/>
                <w:highlight w:val="none"/>
              </w:rPr>
            </w:pPr>
          </w:p>
          <w:p w14:paraId="6FD0714C">
            <w:pPr>
              <w:spacing w:line="248" w:lineRule="auto"/>
              <w:rPr>
                <w:rFonts w:ascii="Arial"/>
                <w:color w:val="auto"/>
                <w:sz w:val="24"/>
                <w:szCs w:val="24"/>
                <w:highlight w:val="none"/>
              </w:rPr>
            </w:pPr>
          </w:p>
          <w:p w14:paraId="5B5450AF">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综合实力（40分）</w:t>
            </w:r>
          </w:p>
        </w:tc>
        <w:tc>
          <w:tcPr>
            <w:tcW w:w="3004" w:type="pct"/>
            <w:tcBorders>
              <w:top w:val="single" w:color="auto" w:sz="4" w:space="0"/>
              <w:left w:val="single" w:color="auto" w:sz="4" w:space="0"/>
              <w:bottom w:val="single" w:color="auto" w:sz="4" w:space="0"/>
              <w:right w:val="single" w:color="auto" w:sz="4" w:space="0"/>
            </w:tcBorders>
            <w:vAlign w:val="top"/>
          </w:tcPr>
          <w:p w14:paraId="6BC7EB43">
            <w:pPr>
              <w:widowControl/>
              <w:numPr>
                <w:ilvl w:val="0"/>
                <w:numId w:val="1"/>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若为联合体投标，指联合体主办方）具有中国合格评定国家认可委员会颁发的实验室认可证书（CNAS）、中国合格评定国家认可委员会颁发的检验机构认可证书（CNAS），且证书在有效期内的，具备其中一项，得6分；具有两项，得12分。</w:t>
            </w:r>
          </w:p>
          <w:p w14:paraId="7FF9ECDF">
            <w:pPr>
              <w:widowControl/>
              <w:numPr>
                <w:ilvl w:val="0"/>
                <w:numId w:val="0"/>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本项最多得12分。</w:t>
            </w:r>
          </w:p>
          <w:p w14:paraId="3159F6B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注：须提供相关证书扫描件并加盖投标人公章。</w:t>
            </w:r>
          </w:p>
          <w:p w14:paraId="5DBE080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2、投标人（若为联合体投标，指联合体主办方）截止至2023年度（需含2023年度）获得税务部门评定的纳税信用等级情况：</w:t>
            </w:r>
          </w:p>
          <w:p w14:paraId="6B821FA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（1）连续3年或以上获得“A级纳税人”称号的，得13分；</w:t>
            </w:r>
          </w:p>
          <w:p w14:paraId="1C507624">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（2）连续2年获得“A 级纳税人”称号的，得9分；</w:t>
            </w:r>
          </w:p>
          <w:p w14:paraId="19247F4A">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（3）获得过“A 级纳税人”称号的，得5分；</w:t>
            </w:r>
          </w:p>
          <w:p w14:paraId="699EAE5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（4）不符合以上条件的，不得分。</w:t>
            </w:r>
          </w:p>
          <w:p w14:paraId="01A35610">
            <w:pPr>
              <w:widowControl/>
              <w:spacing w:line="276" w:lineRule="auto"/>
              <w:ind w:firstLine="210" w:firstLineChars="100"/>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本项最多得13分。</w:t>
            </w:r>
          </w:p>
          <w:p w14:paraId="653CE17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注：须提供“国家税务总局”官网（含地方政府税务局）（</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"http://www.chinatax.gov.cn/index.html"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http://www.chinatax.gov.cn/index.html</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lang w:val="en-US" w:eastAsia="zh-CN"/>
              </w:rPr>
              <w:t>）的查询结果网页截图（打印页）或税务部门颁发的证书或税务部门提供的相关证明文件并加盖投标人公章，连续获得年度必须包含2023年度。被评价单位必须为投标单位，关联公司（含上级公司、子公司、分公司、控股及管理关系）的评价结果不予认可。时间以国家税务总局官网公布的获奖年度（评价年度）或证书的评价年度或相关证明文件的评价年度为准。</w:t>
            </w:r>
          </w:p>
          <w:p w14:paraId="25F02269">
            <w:pPr>
              <w:widowControl/>
              <w:numPr>
                <w:ilvl w:val="0"/>
                <w:numId w:val="2"/>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投标人（若为联合体投标，指联合体主办方）获得 省级或以上科学技术类奖项，每项得3分；获得过市级科学技术类奖项，每项得1分，无则不得分。</w:t>
            </w:r>
          </w:p>
          <w:p w14:paraId="7217791B">
            <w:pPr>
              <w:widowControl/>
              <w:numPr>
                <w:ilvl w:val="0"/>
                <w:numId w:val="0"/>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本项最多得15分。</w:t>
            </w:r>
          </w:p>
          <w:p w14:paraId="5B38A3DD">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注：同一项目获得多个奖项的，按最高奖项计取，不重复计算，证书颁发部门为国务院、省、市人民政府。</w:t>
            </w:r>
          </w:p>
          <w:p w14:paraId="64172841">
            <w:pPr>
              <w:widowControl/>
              <w:spacing w:line="276" w:lineRule="auto"/>
              <w:jc w:val="left"/>
              <w:textAlignment w:val="center"/>
              <w:rPr>
                <w:color w:val="auto"/>
                <w:highlight w:val="none"/>
              </w:rPr>
            </w:pPr>
            <w:r>
              <w:rPr>
                <w:rFonts w:hint="eastAsia" w:ascii="宋体" w:hAnsi="宋体" w:cs="宋体"/>
                <w:color w:val="auto"/>
                <w:szCs w:val="21"/>
                <w:highlight w:val="none"/>
                <w:lang w:val="en-US" w:eastAsia="zh-CN"/>
              </w:rPr>
              <w:t>注：以上内容需提供相关证明材料扫描件，并加盖投标人电子印章。</w:t>
            </w:r>
          </w:p>
        </w:tc>
      </w:tr>
      <w:tr w14:paraId="1F907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4" w:type="pct"/>
            <w:vMerge w:val="continue"/>
            <w:tcBorders>
              <w:right w:val="single" w:color="auto" w:sz="4" w:space="0"/>
            </w:tcBorders>
            <w:vAlign w:val="center"/>
          </w:tcPr>
          <w:p w14:paraId="30FFCC00">
            <w:pPr>
              <w:spacing w:line="276" w:lineRule="auto"/>
              <w:jc w:val="center"/>
              <w:rPr>
                <w:rFonts w:ascii="宋体" w:hAnsi="宋体" w:cs="宋体"/>
                <w:color w:val="auto"/>
                <w:szCs w:val="21"/>
                <w:highlight w:val="none"/>
              </w:rPr>
            </w:pPr>
          </w:p>
        </w:tc>
        <w:tc>
          <w:tcPr>
            <w:tcW w:w="372" w:type="pct"/>
            <w:vMerge w:val="continue"/>
            <w:tcBorders>
              <w:right w:val="single" w:color="auto" w:sz="4" w:space="0"/>
            </w:tcBorders>
            <w:vAlign w:val="center"/>
          </w:tcPr>
          <w:p w14:paraId="29105213">
            <w:pPr>
              <w:spacing w:line="276" w:lineRule="auto"/>
              <w:jc w:val="center"/>
              <w:rPr>
                <w:rFonts w:ascii="宋体" w:hAnsi="宋体" w:cs="宋体"/>
                <w:color w:val="auto"/>
                <w:szCs w:val="21"/>
                <w:highlight w:val="none"/>
              </w:rPr>
            </w:pPr>
          </w:p>
        </w:tc>
        <w:tc>
          <w:tcPr>
            <w:tcW w:w="519" w:type="pct"/>
            <w:vMerge w:val="restart"/>
            <w:tcBorders>
              <w:top w:val="single" w:color="auto" w:sz="4" w:space="0"/>
              <w:left w:val="single" w:color="auto" w:sz="4" w:space="0"/>
              <w:right w:val="single" w:color="auto" w:sz="4" w:space="0"/>
            </w:tcBorders>
            <w:vAlign w:val="top"/>
          </w:tcPr>
          <w:p w14:paraId="60274A42">
            <w:pPr>
              <w:widowControl/>
              <w:spacing w:line="276" w:lineRule="auto"/>
              <w:jc w:val="left"/>
              <w:textAlignment w:val="center"/>
              <w:rPr>
                <w:rFonts w:hint="eastAsia" w:ascii="宋体" w:hAnsi="宋体" w:cs="宋体"/>
                <w:color w:val="auto"/>
                <w:szCs w:val="21"/>
                <w:highlight w:val="none"/>
                <w:lang w:val="en-US" w:eastAsia="zh-CN"/>
              </w:rPr>
            </w:pPr>
          </w:p>
          <w:p w14:paraId="695AA2E7">
            <w:pPr>
              <w:widowControl/>
              <w:spacing w:line="276" w:lineRule="auto"/>
              <w:jc w:val="left"/>
              <w:textAlignment w:val="center"/>
              <w:rPr>
                <w:rFonts w:hint="eastAsia" w:ascii="宋体" w:hAnsi="宋体" w:cs="宋体"/>
                <w:color w:val="auto"/>
                <w:szCs w:val="21"/>
                <w:highlight w:val="none"/>
                <w:lang w:val="en-US" w:eastAsia="zh-CN"/>
              </w:rPr>
            </w:pPr>
          </w:p>
          <w:p w14:paraId="130B4D41">
            <w:pPr>
              <w:pStyle w:val="24"/>
              <w:rPr>
                <w:rFonts w:hint="eastAsia"/>
                <w:color w:val="auto"/>
                <w:highlight w:val="none"/>
                <w:lang w:val="en-US" w:eastAsia="zh-CN"/>
              </w:rPr>
            </w:pPr>
          </w:p>
          <w:p w14:paraId="7CE37751">
            <w:pPr>
              <w:pStyle w:val="24"/>
              <w:rPr>
                <w:rFonts w:hint="eastAsia"/>
                <w:color w:val="auto"/>
                <w:highlight w:val="none"/>
                <w:lang w:val="en-US" w:eastAsia="zh-CN"/>
              </w:rPr>
            </w:pPr>
          </w:p>
          <w:p w14:paraId="5B30655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投入人员综合 水平（30分）</w:t>
            </w:r>
          </w:p>
        </w:tc>
        <w:tc>
          <w:tcPr>
            <w:tcW w:w="668" w:type="pct"/>
            <w:tcBorders>
              <w:top w:val="single" w:color="auto" w:sz="4" w:space="0"/>
              <w:left w:val="single" w:color="auto" w:sz="4" w:space="0"/>
              <w:bottom w:val="single" w:color="auto" w:sz="4" w:space="0"/>
              <w:right w:val="single" w:color="auto" w:sz="4" w:space="0"/>
            </w:tcBorders>
            <w:vAlign w:val="top"/>
          </w:tcPr>
          <w:p w14:paraId="19CD8896">
            <w:pPr>
              <w:widowControl/>
              <w:spacing w:line="276" w:lineRule="auto"/>
              <w:jc w:val="left"/>
              <w:textAlignment w:val="center"/>
              <w:rPr>
                <w:rFonts w:hint="eastAsia" w:ascii="宋体" w:hAnsi="宋体" w:cs="宋体"/>
                <w:color w:val="auto"/>
                <w:szCs w:val="21"/>
                <w:highlight w:val="none"/>
                <w:lang w:val="en-US" w:eastAsia="zh-CN"/>
              </w:rPr>
            </w:pPr>
          </w:p>
          <w:p w14:paraId="13FC2AF0">
            <w:pPr>
              <w:widowControl/>
              <w:spacing w:line="276" w:lineRule="auto"/>
              <w:jc w:val="left"/>
              <w:textAlignment w:val="center"/>
              <w:rPr>
                <w:rFonts w:hint="eastAsia" w:ascii="宋体" w:hAnsi="宋体" w:cs="宋体"/>
                <w:color w:val="auto"/>
                <w:szCs w:val="21"/>
                <w:highlight w:val="none"/>
                <w:lang w:val="en-US" w:eastAsia="zh-CN"/>
              </w:rPr>
            </w:pPr>
          </w:p>
          <w:p w14:paraId="6557E5E0">
            <w:pPr>
              <w:widowControl/>
              <w:spacing w:line="276" w:lineRule="auto"/>
              <w:jc w:val="left"/>
              <w:textAlignment w:val="center"/>
              <w:rPr>
                <w:rFonts w:hint="eastAsia" w:ascii="宋体" w:hAnsi="宋体" w:cs="宋体"/>
                <w:color w:val="auto"/>
                <w:szCs w:val="21"/>
                <w:highlight w:val="none"/>
                <w:lang w:val="en-US" w:eastAsia="zh-CN"/>
              </w:rPr>
            </w:pPr>
          </w:p>
          <w:p w14:paraId="33F5F6A8">
            <w:pPr>
              <w:widowControl/>
              <w:spacing w:line="276" w:lineRule="auto"/>
              <w:jc w:val="left"/>
              <w:textAlignment w:val="center"/>
              <w:rPr>
                <w:rFonts w:hint="eastAsia" w:ascii="宋体" w:hAnsi="宋体" w:cs="宋体"/>
                <w:color w:val="auto"/>
                <w:szCs w:val="21"/>
                <w:highlight w:val="none"/>
                <w:lang w:val="en-US" w:eastAsia="zh-CN"/>
              </w:rPr>
            </w:pPr>
          </w:p>
          <w:p w14:paraId="135874CA">
            <w:pPr>
              <w:widowControl/>
              <w:spacing w:line="276" w:lineRule="auto"/>
              <w:jc w:val="left"/>
              <w:textAlignment w:val="center"/>
              <w:rPr>
                <w:rFonts w:hint="eastAsia" w:ascii="宋体" w:hAnsi="宋体" w:cs="宋体"/>
                <w:color w:val="auto"/>
                <w:szCs w:val="21"/>
                <w:highlight w:val="none"/>
                <w:lang w:val="en-US" w:eastAsia="zh-CN"/>
              </w:rPr>
            </w:pPr>
          </w:p>
          <w:p w14:paraId="5C709161">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项目负责人（6分）</w:t>
            </w:r>
          </w:p>
        </w:tc>
        <w:tc>
          <w:tcPr>
            <w:tcW w:w="3004" w:type="pct"/>
            <w:tcBorders>
              <w:top w:val="single" w:color="auto" w:sz="4" w:space="0"/>
              <w:left w:val="single" w:color="auto" w:sz="4" w:space="0"/>
              <w:bottom w:val="single" w:color="auto" w:sz="4" w:space="0"/>
              <w:right w:val="single" w:color="auto" w:sz="4" w:space="0"/>
            </w:tcBorders>
            <w:vAlign w:val="top"/>
          </w:tcPr>
          <w:p w14:paraId="377A7A8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项目负责人（若为联合体投标，指联合体主办方）：</w:t>
            </w:r>
          </w:p>
          <w:p w14:paraId="34664157">
            <w:pPr>
              <w:widowControl/>
              <w:numPr>
                <w:ilvl w:val="0"/>
                <w:numId w:val="3"/>
              </w:numPr>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具有工程类正高（或教授）级职称的，得3分；具有工程类高级职称的，得1分。其他不得分。</w:t>
            </w:r>
          </w:p>
          <w:p w14:paraId="0AE2E8A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2、具有“注册土木工程师（岩土）”，得2分。</w:t>
            </w:r>
          </w:p>
          <w:p w14:paraId="6D1ED4E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3、具有省级（或以上）建设工程质量安全监督部门或其委托机构、行业协会颁发的检测鉴定培训合格证的，得1分。</w:t>
            </w:r>
          </w:p>
          <w:p w14:paraId="1A1D6F3E">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注：（1）须提供负责人职称证、注册证、检测资格证、 社保证明需提供投标截止前一个月（2025年5月）扫描件，加盖投标人公章，不提供不得分。</w:t>
            </w:r>
          </w:p>
          <w:p w14:paraId="4B5C0538">
            <w:pPr>
              <w:widowControl/>
              <w:spacing w:line="276" w:lineRule="auto"/>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（2）项目负责人、技术负责人、安全负责人应为不同人员，不得互相兼任，否则均不得分。</w:t>
            </w:r>
          </w:p>
        </w:tc>
      </w:tr>
      <w:tr w14:paraId="71D51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34" w:type="pct"/>
            <w:vMerge w:val="continue"/>
            <w:tcBorders>
              <w:right w:val="single" w:color="auto" w:sz="4" w:space="0"/>
            </w:tcBorders>
            <w:vAlign w:val="center"/>
          </w:tcPr>
          <w:p w14:paraId="4EAE2F4A">
            <w:pPr>
              <w:spacing w:line="276" w:lineRule="auto"/>
              <w:jc w:val="center"/>
              <w:rPr>
                <w:rFonts w:ascii="宋体" w:hAnsi="宋体" w:cs="宋体"/>
                <w:color w:val="auto"/>
                <w:szCs w:val="21"/>
                <w:highlight w:val="none"/>
              </w:rPr>
            </w:pPr>
          </w:p>
        </w:tc>
        <w:tc>
          <w:tcPr>
            <w:tcW w:w="372" w:type="pct"/>
            <w:vMerge w:val="continue"/>
            <w:tcBorders>
              <w:right w:val="single" w:color="auto" w:sz="4" w:space="0"/>
            </w:tcBorders>
            <w:vAlign w:val="center"/>
          </w:tcPr>
          <w:p w14:paraId="7EAC1A3B">
            <w:pPr>
              <w:spacing w:line="276" w:lineRule="auto"/>
              <w:jc w:val="center"/>
              <w:rPr>
                <w:rFonts w:ascii="宋体" w:hAnsi="宋体" w:cs="宋体"/>
                <w:color w:val="auto"/>
                <w:szCs w:val="21"/>
                <w:highlight w:val="none"/>
              </w:rPr>
            </w:pPr>
          </w:p>
        </w:tc>
        <w:tc>
          <w:tcPr>
            <w:tcW w:w="519" w:type="pct"/>
            <w:vMerge w:val="continue"/>
            <w:tcBorders>
              <w:left w:val="single" w:color="auto" w:sz="4" w:space="0"/>
              <w:right w:val="single" w:color="auto" w:sz="4" w:space="0"/>
            </w:tcBorders>
            <w:vAlign w:val="center"/>
          </w:tcPr>
          <w:p w14:paraId="6E51F13A">
            <w:pPr>
              <w:widowControl/>
              <w:spacing w:line="276" w:lineRule="auto"/>
              <w:contextualSpacing/>
              <w:jc w:val="center"/>
              <w:rPr>
                <w:rFonts w:ascii="宋体" w:hAnsi="宋体" w:cs="宋体"/>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top"/>
          </w:tcPr>
          <w:p w14:paraId="6DD4C345">
            <w:pPr>
              <w:widowControl/>
              <w:spacing w:line="276" w:lineRule="auto"/>
              <w:jc w:val="left"/>
              <w:textAlignment w:val="center"/>
              <w:rPr>
                <w:rFonts w:hint="eastAsia" w:ascii="宋体" w:hAnsi="宋体" w:cs="宋体"/>
                <w:color w:val="auto"/>
                <w:szCs w:val="21"/>
                <w:highlight w:val="none"/>
                <w:lang w:val="en-US" w:eastAsia="zh-CN"/>
              </w:rPr>
            </w:pPr>
          </w:p>
          <w:p w14:paraId="53495F92">
            <w:pPr>
              <w:widowControl/>
              <w:spacing w:line="276" w:lineRule="auto"/>
              <w:jc w:val="left"/>
              <w:textAlignment w:val="center"/>
              <w:rPr>
                <w:rFonts w:hint="eastAsia" w:ascii="宋体" w:hAnsi="宋体" w:cs="宋体"/>
                <w:color w:val="auto"/>
                <w:szCs w:val="21"/>
                <w:highlight w:val="none"/>
                <w:lang w:val="en-US" w:eastAsia="zh-CN"/>
              </w:rPr>
            </w:pPr>
          </w:p>
          <w:p w14:paraId="10F3F38B">
            <w:pPr>
              <w:widowControl/>
              <w:spacing w:line="276" w:lineRule="auto"/>
              <w:jc w:val="left"/>
              <w:textAlignment w:val="center"/>
              <w:rPr>
                <w:rFonts w:hint="eastAsia" w:ascii="宋体" w:hAnsi="宋体" w:cs="宋体"/>
                <w:color w:val="auto"/>
                <w:szCs w:val="21"/>
                <w:highlight w:val="none"/>
                <w:lang w:val="en-US" w:eastAsia="zh-CN"/>
              </w:rPr>
            </w:pPr>
          </w:p>
          <w:p w14:paraId="149C92EB">
            <w:pPr>
              <w:widowControl/>
              <w:spacing w:line="276" w:lineRule="auto"/>
              <w:jc w:val="left"/>
              <w:textAlignment w:val="center"/>
              <w:rPr>
                <w:rFonts w:hint="eastAsia" w:ascii="宋体" w:hAnsi="宋体" w:cs="宋体"/>
                <w:color w:val="auto"/>
                <w:szCs w:val="21"/>
                <w:highlight w:val="none"/>
                <w:lang w:val="en-US" w:eastAsia="zh-CN"/>
              </w:rPr>
            </w:pPr>
          </w:p>
          <w:p w14:paraId="4EF9697E">
            <w:pPr>
              <w:widowControl/>
              <w:spacing w:line="276" w:lineRule="auto"/>
              <w:jc w:val="left"/>
              <w:textAlignment w:val="center"/>
              <w:rPr>
                <w:rFonts w:hint="eastAsia" w:ascii="宋体" w:hAnsi="宋体" w:cs="宋体"/>
                <w:color w:val="auto"/>
                <w:szCs w:val="21"/>
                <w:highlight w:val="none"/>
                <w:lang w:val="en-US" w:eastAsia="zh-CN"/>
              </w:rPr>
            </w:pPr>
          </w:p>
          <w:p w14:paraId="4B8F36A8">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技术负责人（6分）</w:t>
            </w:r>
          </w:p>
        </w:tc>
        <w:tc>
          <w:tcPr>
            <w:tcW w:w="3004" w:type="pct"/>
            <w:tcBorders>
              <w:top w:val="single" w:color="auto" w:sz="4" w:space="0"/>
              <w:left w:val="single" w:color="auto" w:sz="4" w:space="0"/>
              <w:bottom w:val="single" w:color="auto" w:sz="4" w:space="0"/>
              <w:right w:val="single" w:color="auto" w:sz="4" w:space="0"/>
            </w:tcBorders>
            <w:vAlign w:val="top"/>
          </w:tcPr>
          <w:p w14:paraId="3398E0D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技术负责人（若为联合体投标，指联合体主办方）：</w:t>
            </w:r>
          </w:p>
          <w:p w14:paraId="1A95621B">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1、具有工程类正高（或教授）级职称的，得3分；具有工程类高级职称的，得1分。其他不得分。</w:t>
            </w:r>
          </w:p>
          <w:p w14:paraId="43EAAE0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2、具有“注册土木工程师（岩土）”，得2分。</w:t>
            </w:r>
          </w:p>
          <w:p w14:paraId="2A7253D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3、具有省级（或以上）建设工程质量安全监督部门或其委托机构、行业协会颁发的检测鉴定培训合格证的，得1分。</w:t>
            </w:r>
          </w:p>
          <w:p w14:paraId="71E53A7D">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注：（1）须提供负责人职称证、注册证、检测资格证、 社保证明需提供投标截止前一个月（2025年5月）扫描件，加盖投标人公章，不提供不得分。</w:t>
            </w:r>
          </w:p>
          <w:p w14:paraId="5E07BC8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（2）项目负责人、技术负责人、安全负责人应为不同人员，不得互相兼任，否则均不得分。</w:t>
            </w:r>
          </w:p>
        </w:tc>
      </w:tr>
      <w:tr w14:paraId="2CE1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34" w:type="pct"/>
            <w:vMerge w:val="continue"/>
            <w:tcBorders>
              <w:bottom w:val="single" w:color="auto" w:sz="4" w:space="0"/>
              <w:right w:val="single" w:color="auto" w:sz="4" w:space="0"/>
            </w:tcBorders>
            <w:vAlign w:val="center"/>
          </w:tcPr>
          <w:p w14:paraId="0901C4D5">
            <w:pPr>
              <w:spacing w:line="276" w:lineRule="auto"/>
              <w:jc w:val="center"/>
              <w:rPr>
                <w:rFonts w:ascii="宋体" w:hAnsi="宋体" w:cs="宋体"/>
                <w:color w:val="auto"/>
                <w:szCs w:val="21"/>
                <w:highlight w:val="none"/>
              </w:rPr>
            </w:pPr>
          </w:p>
        </w:tc>
        <w:tc>
          <w:tcPr>
            <w:tcW w:w="372" w:type="pct"/>
            <w:vMerge w:val="continue"/>
            <w:tcBorders>
              <w:bottom w:val="single" w:color="auto" w:sz="4" w:space="0"/>
              <w:right w:val="single" w:color="auto" w:sz="4" w:space="0"/>
            </w:tcBorders>
            <w:vAlign w:val="center"/>
          </w:tcPr>
          <w:p w14:paraId="49231E76">
            <w:pPr>
              <w:spacing w:line="276" w:lineRule="auto"/>
              <w:jc w:val="center"/>
              <w:rPr>
                <w:rFonts w:ascii="宋体" w:hAnsi="宋体" w:cs="宋体"/>
                <w:color w:val="auto"/>
                <w:szCs w:val="21"/>
                <w:highlight w:val="none"/>
              </w:rPr>
            </w:pPr>
          </w:p>
        </w:tc>
        <w:tc>
          <w:tcPr>
            <w:tcW w:w="519" w:type="pct"/>
            <w:vMerge w:val="continue"/>
            <w:tcBorders>
              <w:left w:val="single" w:color="auto" w:sz="4" w:space="0"/>
              <w:right w:val="single" w:color="auto" w:sz="4" w:space="0"/>
            </w:tcBorders>
            <w:vAlign w:val="center"/>
          </w:tcPr>
          <w:p w14:paraId="7ACEF64F">
            <w:pPr>
              <w:spacing w:line="276" w:lineRule="auto"/>
              <w:jc w:val="center"/>
              <w:rPr>
                <w:rFonts w:ascii="宋体" w:hAnsi="宋体" w:cs="宋体"/>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top"/>
          </w:tcPr>
          <w:p w14:paraId="78E613A8">
            <w:pPr>
              <w:widowControl/>
              <w:spacing w:line="276" w:lineRule="auto"/>
              <w:jc w:val="left"/>
              <w:textAlignment w:val="center"/>
              <w:rPr>
                <w:rFonts w:hint="eastAsia" w:ascii="宋体" w:hAnsi="宋体" w:cs="宋体"/>
                <w:color w:val="auto"/>
                <w:szCs w:val="21"/>
                <w:highlight w:val="none"/>
                <w:lang w:val="en-US" w:eastAsia="zh-CN"/>
              </w:rPr>
            </w:pPr>
          </w:p>
          <w:p w14:paraId="6606BB40">
            <w:pPr>
              <w:widowControl/>
              <w:spacing w:line="276" w:lineRule="auto"/>
              <w:jc w:val="left"/>
              <w:textAlignment w:val="center"/>
              <w:rPr>
                <w:rFonts w:hint="eastAsia" w:ascii="宋体" w:hAnsi="宋体" w:cs="宋体"/>
                <w:color w:val="auto"/>
                <w:szCs w:val="21"/>
                <w:highlight w:val="none"/>
                <w:lang w:val="en-US" w:eastAsia="zh-CN"/>
              </w:rPr>
            </w:pPr>
          </w:p>
          <w:p w14:paraId="36CB112F">
            <w:pPr>
              <w:widowControl/>
              <w:spacing w:line="276" w:lineRule="auto"/>
              <w:jc w:val="left"/>
              <w:textAlignment w:val="center"/>
              <w:rPr>
                <w:rFonts w:hint="eastAsia" w:ascii="宋体" w:hAnsi="宋体" w:cs="宋体"/>
                <w:color w:val="auto"/>
                <w:szCs w:val="21"/>
                <w:highlight w:val="none"/>
                <w:lang w:val="en-US" w:eastAsia="zh-CN"/>
              </w:rPr>
            </w:pPr>
          </w:p>
          <w:p w14:paraId="07809420">
            <w:pPr>
              <w:widowControl/>
              <w:spacing w:line="276" w:lineRule="auto"/>
              <w:jc w:val="left"/>
              <w:textAlignment w:val="center"/>
              <w:rPr>
                <w:rFonts w:hint="eastAsia" w:ascii="宋体" w:hAnsi="宋体" w:cs="宋体"/>
                <w:color w:val="auto"/>
                <w:szCs w:val="21"/>
                <w:highlight w:val="none"/>
                <w:lang w:val="en-US" w:eastAsia="zh-CN"/>
              </w:rPr>
            </w:pPr>
          </w:p>
          <w:p w14:paraId="476D7B18">
            <w:pPr>
              <w:widowControl/>
              <w:spacing w:line="276" w:lineRule="auto"/>
              <w:jc w:val="left"/>
              <w:textAlignment w:val="center"/>
              <w:rPr>
                <w:rFonts w:hint="eastAsia" w:ascii="宋体" w:hAnsi="宋体" w:cs="宋体"/>
                <w:color w:val="auto"/>
                <w:szCs w:val="21"/>
                <w:highlight w:val="none"/>
                <w:lang w:val="en-US" w:eastAsia="zh-CN"/>
              </w:rPr>
            </w:pPr>
          </w:p>
          <w:p w14:paraId="7D12B53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安全负责人（6分）</w:t>
            </w:r>
          </w:p>
        </w:tc>
        <w:tc>
          <w:tcPr>
            <w:tcW w:w="3004" w:type="pct"/>
            <w:tcBorders>
              <w:top w:val="single" w:color="auto" w:sz="4" w:space="0"/>
              <w:left w:val="single" w:color="auto" w:sz="4" w:space="0"/>
              <w:right w:val="single" w:color="auto" w:sz="4" w:space="0"/>
            </w:tcBorders>
            <w:vAlign w:val="top"/>
          </w:tcPr>
          <w:p w14:paraId="6F699D0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安全负责人（若为联合体投标，指联合体主办方）：</w:t>
            </w:r>
          </w:p>
          <w:p w14:paraId="6827CDA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1、具有安全类高级工程师或以上职称的，得3分；具有安全类工程师的，得1分。其他不得分。</w:t>
            </w:r>
          </w:p>
          <w:p w14:paraId="1A3D95C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2、具有“注册安全工程师 ”的，得2分。</w:t>
            </w:r>
          </w:p>
          <w:p w14:paraId="7DA83AE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3、具有安全类培训（考核）证书，得1分。</w:t>
            </w:r>
          </w:p>
          <w:p w14:paraId="776038B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注：（1）须提供负责人职称证、注册证、安全类培训（考核）证书、社保证明需提供投标截止前一个月（2025年5月）扫描件，加盖投标人公章，不提供不得分。</w:t>
            </w:r>
          </w:p>
          <w:p w14:paraId="22FE3EC1">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（2）项目负责人、技术负责人、安全负责人应为不同人员，不得互相兼任，否则均不得分。</w:t>
            </w:r>
          </w:p>
        </w:tc>
      </w:tr>
      <w:tr w14:paraId="4351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34" w:type="pct"/>
            <w:tcBorders>
              <w:bottom w:val="single" w:color="auto" w:sz="4" w:space="0"/>
              <w:right w:val="single" w:color="auto" w:sz="4" w:space="0"/>
            </w:tcBorders>
            <w:vAlign w:val="center"/>
          </w:tcPr>
          <w:p w14:paraId="75072BCF">
            <w:pPr>
              <w:spacing w:line="276" w:lineRule="auto"/>
              <w:jc w:val="center"/>
              <w:rPr>
                <w:rFonts w:ascii="宋体" w:hAnsi="宋体" w:cs="宋体"/>
                <w:color w:val="auto"/>
                <w:szCs w:val="21"/>
                <w:highlight w:val="none"/>
              </w:rPr>
            </w:pPr>
          </w:p>
        </w:tc>
        <w:tc>
          <w:tcPr>
            <w:tcW w:w="372" w:type="pct"/>
            <w:tcBorders>
              <w:bottom w:val="single" w:color="auto" w:sz="4" w:space="0"/>
              <w:right w:val="single" w:color="auto" w:sz="4" w:space="0"/>
            </w:tcBorders>
            <w:vAlign w:val="center"/>
          </w:tcPr>
          <w:p w14:paraId="4E7E8286">
            <w:pPr>
              <w:spacing w:line="276" w:lineRule="auto"/>
              <w:jc w:val="center"/>
              <w:rPr>
                <w:rFonts w:ascii="宋体" w:hAnsi="宋体" w:cs="宋体"/>
                <w:color w:val="auto"/>
                <w:szCs w:val="21"/>
                <w:highlight w:val="none"/>
              </w:rPr>
            </w:pPr>
          </w:p>
        </w:tc>
        <w:tc>
          <w:tcPr>
            <w:tcW w:w="519" w:type="pct"/>
            <w:vMerge w:val="continue"/>
            <w:tcBorders>
              <w:left w:val="single" w:color="auto" w:sz="4" w:space="0"/>
              <w:bottom w:val="single" w:color="auto" w:sz="4" w:space="0"/>
              <w:right w:val="single" w:color="auto" w:sz="4" w:space="0"/>
            </w:tcBorders>
            <w:vAlign w:val="center"/>
          </w:tcPr>
          <w:p w14:paraId="36AFEFEE">
            <w:pPr>
              <w:spacing w:line="276" w:lineRule="auto"/>
              <w:jc w:val="center"/>
              <w:rPr>
                <w:rFonts w:ascii="宋体" w:hAnsi="宋体" w:cs="宋体"/>
                <w:color w:val="auto"/>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top"/>
          </w:tcPr>
          <w:p w14:paraId="38D3CCF6">
            <w:pPr>
              <w:widowControl/>
              <w:spacing w:line="276" w:lineRule="auto"/>
              <w:jc w:val="left"/>
              <w:textAlignment w:val="center"/>
              <w:rPr>
                <w:rFonts w:hint="eastAsia" w:ascii="宋体" w:hAnsi="宋体" w:cs="宋体"/>
                <w:color w:val="auto"/>
                <w:szCs w:val="21"/>
                <w:highlight w:val="none"/>
                <w:lang w:val="en-US" w:eastAsia="zh-CN"/>
              </w:rPr>
            </w:pPr>
          </w:p>
          <w:p w14:paraId="4A15BCBF">
            <w:pPr>
              <w:widowControl/>
              <w:spacing w:line="276" w:lineRule="auto"/>
              <w:jc w:val="left"/>
              <w:textAlignment w:val="center"/>
              <w:rPr>
                <w:rFonts w:hint="eastAsia" w:ascii="宋体" w:hAnsi="宋体" w:cs="宋体"/>
                <w:color w:val="auto"/>
                <w:szCs w:val="21"/>
                <w:highlight w:val="none"/>
                <w:lang w:val="en-US" w:eastAsia="zh-CN"/>
              </w:rPr>
            </w:pPr>
          </w:p>
          <w:p w14:paraId="072787C8">
            <w:pPr>
              <w:widowControl/>
              <w:spacing w:line="276" w:lineRule="auto"/>
              <w:jc w:val="left"/>
              <w:textAlignment w:val="center"/>
              <w:rPr>
                <w:rFonts w:hint="eastAsia" w:ascii="宋体" w:hAnsi="宋体" w:cs="宋体"/>
                <w:color w:val="auto"/>
                <w:szCs w:val="21"/>
                <w:highlight w:val="none"/>
                <w:lang w:val="en-US" w:eastAsia="zh-CN"/>
              </w:rPr>
            </w:pPr>
          </w:p>
          <w:p w14:paraId="19510364">
            <w:pPr>
              <w:widowControl/>
              <w:spacing w:line="276" w:lineRule="auto"/>
              <w:jc w:val="left"/>
              <w:textAlignment w:val="center"/>
              <w:rPr>
                <w:rFonts w:hint="eastAsia" w:ascii="宋体" w:hAnsi="宋体" w:cs="宋体"/>
                <w:color w:val="auto"/>
                <w:szCs w:val="21"/>
                <w:highlight w:val="none"/>
                <w:lang w:val="en-US" w:eastAsia="zh-CN"/>
              </w:rPr>
            </w:pPr>
          </w:p>
          <w:p w14:paraId="419C6DA1">
            <w:pPr>
              <w:widowControl/>
              <w:spacing w:line="276" w:lineRule="auto"/>
              <w:jc w:val="left"/>
              <w:textAlignment w:val="center"/>
              <w:rPr>
                <w:rFonts w:hint="eastAsia" w:ascii="宋体" w:hAnsi="宋体" w:cs="宋体"/>
                <w:color w:val="auto"/>
                <w:szCs w:val="21"/>
                <w:highlight w:val="none"/>
                <w:lang w:val="en-US" w:eastAsia="zh-CN"/>
              </w:rPr>
            </w:pPr>
          </w:p>
          <w:p w14:paraId="2319DBD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主要人员配置</w:t>
            </w:r>
          </w:p>
          <w:p w14:paraId="7F38BB16">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（12分）</w:t>
            </w:r>
          </w:p>
        </w:tc>
        <w:tc>
          <w:tcPr>
            <w:tcW w:w="3004" w:type="pct"/>
            <w:tcBorders>
              <w:top w:val="single" w:color="auto" w:sz="4" w:space="0"/>
              <w:left w:val="single" w:color="auto" w:sz="4" w:space="0"/>
              <w:right w:val="single" w:color="auto" w:sz="4" w:space="0"/>
            </w:tcBorders>
            <w:vAlign w:val="top"/>
          </w:tcPr>
          <w:p w14:paraId="7C3CB221">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拟配备本项目的主要专业技术人员（项目负责人、技术负责人和安全负责人除外）：</w:t>
            </w:r>
          </w:p>
          <w:p w14:paraId="543EE08E">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1、配备的技术人员具有工程类工程师（或以上）职称的，每人得0.5分，本项最多得6分。</w:t>
            </w:r>
          </w:p>
          <w:p w14:paraId="6F5A8D0F">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2、配备的技术人员具有由省级或以上建设质量安全监督部门或其委托的机构、行业协会颁发的检测员证或检测上岗证或培训合格证的，每人得0.5分，本项最多得6分。</w:t>
            </w:r>
          </w:p>
          <w:p w14:paraId="1EAC1A14">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注：（1）须提供职称证、检测资格证、社保证明需提供投标截止前一个月（2025年5月）扫描件，加盖投标人公章，不提供不得分。</w:t>
            </w:r>
          </w:p>
          <w:p w14:paraId="6973C86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（2）如联合体投标的，可由联合体各方合并提供。</w:t>
            </w:r>
          </w:p>
        </w:tc>
      </w:tr>
      <w:tr w14:paraId="168E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34" w:type="pct"/>
            <w:vMerge w:val="restart"/>
            <w:tcBorders>
              <w:top w:val="single" w:color="auto" w:sz="4" w:space="0"/>
              <w:bottom w:val="single" w:color="auto" w:sz="4" w:space="0"/>
              <w:right w:val="single" w:color="auto" w:sz="4" w:space="0"/>
            </w:tcBorders>
            <w:vAlign w:val="center"/>
          </w:tcPr>
          <w:p w14:paraId="369C157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663446D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72" w:type="pct"/>
            <w:vMerge w:val="restart"/>
            <w:tcBorders>
              <w:top w:val="single" w:color="auto" w:sz="4" w:space="0"/>
              <w:bottom w:val="single" w:color="auto" w:sz="4" w:space="0"/>
              <w:right w:val="single" w:color="auto" w:sz="4" w:space="0"/>
            </w:tcBorders>
            <w:vAlign w:val="center"/>
          </w:tcPr>
          <w:p w14:paraId="0DD5FF94">
            <w:pPr>
              <w:widowControl/>
              <w:spacing w:line="276" w:lineRule="auto"/>
              <w:jc w:val="center"/>
              <w:textAlignment w:val="center"/>
              <w:rPr>
                <w:rFonts w:hint="eastAsia" w:ascii="宋体" w:hAnsi="宋体" w:cs="宋体"/>
                <w:color w:val="auto"/>
                <w:szCs w:val="21"/>
                <w:highlight w:val="none"/>
                <w:lang w:val="en-US" w:eastAsia="zh-CN"/>
              </w:rPr>
            </w:pPr>
          </w:p>
          <w:p w14:paraId="08B35792">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 测 设  备 和</w:t>
            </w:r>
          </w:p>
          <w:p w14:paraId="59D4FA7A">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w:t>
            </w:r>
          </w:p>
          <w:p w14:paraId="5BED7BEE">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测</w:t>
            </w:r>
          </w:p>
          <w:p w14:paraId="085EE265">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w:t>
            </w:r>
          </w:p>
          <w:p w14:paraId="49C70AEA">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测 技  术 方 案  （10分）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07C72400">
            <w:pPr>
              <w:widowControl/>
              <w:spacing w:line="276" w:lineRule="auto"/>
              <w:jc w:val="center"/>
              <w:textAlignment w:val="center"/>
              <w:rPr>
                <w:rFonts w:hint="eastAsia" w:ascii="宋体" w:hAnsi="宋体" w:cs="宋体"/>
                <w:color w:val="auto"/>
                <w:szCs w:val="21"/>
                <w:highlight w:val="none"/>
                <w:lang w:val="en-US" w:eastAsia="zh-CN"/>
              </w:rPr>
            </w:pPr>
          </w:p>
          <w:p w14:paraId="1DB4FEED">
            <w:pPr>
              <w:widowControl/>
              <w:spacing w:line="276" w:lineRule="auto"/>
              <w:jc w:val="center"/>
              <w:textAlignment w:val="center"/>
              <w:rPr>
                <w:rFonts w:hint="eastAsia" w:ascii="宋体" w:hAnsi="宋体" w:cs="宋体"/>
                <w:color w:val="auto"/>
                <w:szCs w:val="21"/>
                <w:highlight w:val="none"/>
                <w:lang w:val="en-US" w:eastAsia="zh-CN"/>
              </w:rPr>
            </w:pPr>
          </w:p>
          <w:p w14:paraId="578FDDCF">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拟投入检测设备配置（5分）</w:t>
            </w:r>
          </w:p>
        </w:tc>
        <w:tc>
          <w:tcPr>
            <w:tcW w:w="3004" w:type="pct"/>
            <w:tcBorders>
              <w:top w:val="single" w:color="auto" w:sz="4" w:space="0"/>
              <w:left w:val="single" w:color="auto" w:sz="4" w:space="0"/>
              <w:bottom w:val="single" w:color="auto" w:sz="4" w:space="0"/>
              <w:right w:val="single" w:color="auto" w:sz="4" w:space="0"/>
            </w:tcBorders>
            <w:vAlign w:val="top"/>
          </w:tcPr>
          <w:p w14:paraId="62E8BA30">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优：设备齐全、先进、现代化、满足工程需要，设备年 检合格，并且全部设备属于自有，得5分；</w:t>
            </w:r>
          </w:p>
          <w:p w14:paraId="54C3FC02">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良：设备齐全、满足工程需要，设备年检合格，90%（含 90%）以上设备属于自有，得4分；</w:t>
            </w:r>
          </w:p>
          <w:p w14:paraId="5BB710CC">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中：设备齐全、基本满足工程需要，设备年检合格。70%～90%(不含 90%）设备属于自有，得3分；</w:t>
            </w:r>
          </w:p>
          <w:p w14:paraId="3B3C0189">
            <w:pPr>
              <w:widowControl/>
              <w:spacing w:line="276" w:lineRule="auto"/>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差：设备不能满足工程需要。70%(不含70%）以下设备属于自有，得1分，没有不得分。</w:t>
            </w:r>
          </w:p>
          <w:p w14:paraId="14EC259B">
            <w:pPr>
              <w:widowControl/>
              <w:spacing w:line="276" w:lineRule="auto"/>
              <w:jc w:val="left"/>
              <w:textAlignment w:val="center"/>
              <w:rPr>
                <w:color w:val="auto"/>
                <w:highlight w:val="none"/>
              </w:rPr>
            </w:pPr>
            <w:r>
              <w:rPr>
                <w:rFonts w:hint="eastAsia" w:ascii="宋体" w:hAnsi="宋体" w:cs="宋体"/>
                <w:color w:val="auto"/>
                <w:szCs w:val="21"/>
                <w:highlight w:val="none"/>
                <w:lang w:val="en-US" w:eastAsia="zh-CN"/>
              </w:rPr>
              <w:t>注：需提供相关证明材料。如联合体投标，本项可由联合体各方合并提供。</w:t>
            </w:r>
          </w:p>
        </w:tc>
      </w:tr>
      <w:tr w14:paraId="36DE4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34" w:type="pct"/>
            <w:vMerge w:val="continue"/>
            <w:tcBorders>
              <w:top w:val="single" w:color="auto" w:sz="4" w:space="0"/>
              <w:bottom w:val="single" w:color="auto" w:sz="4" w:space="0"/>
              <w:right w:val="single" w:color="auto" w:sz="4" w:space="0"/>
            </w:tcBorders>
            <w:vAlign w:val="center"/>
          </w:tcPr>
          <w:p w14:paraId="24F23B2C">
            <w:pPr>
              <w:spacing w:line="276" w:lineRule="auto"/>
              <w:jc w:val="center"/>
              <w:rPr>
                <w:rFonts w:ascii="宋体" w:hAnsi="宋体" w:cs="宋体"/>
                <w:color w:val="auto"/>
                <w:szCs w:val="21"/>
                <w:highlight w:val="none"/>
              </w:rPr>
            </w:pPr>
          </w:p>
        </w:tc>
        <w:tc>
          <w:tcPr>
            <w:tcW w:w="372" w:type="pct"/>
            <w:vMerge w:val="continue"/>
            <w:tcBorders>
              <w:top w:val="single" w:color="auto" w:sz="4" w:space="0"/>
              <w:bottom w:val="single" w:color="auto" w:sz="4" w:space="0"/>
              <w:right w:val="single" w:color="auto" w:sz="4" w:space="0"/>
            </w:tcBorders>
            <w:vAlign w:val="center"/>
          </w:tcPr>
          <w:p w14:paraId="3BF06438">
            <w:pPr>
              <w:jc w:val="center"/>
              <w:rPr>
                <w:rFonts w:cs="宋体"/>
                <w:color w:val="auto"/>
                <w:szCs w:val="21"/>
                <w:highlight w:val="none"/>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6149B30C">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检测监测技术方案</w:t>
            </w:r>
          </w:p>
          <w:p w14:paraId="4E50328B">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3004" w:type="pct"/>
            <w:tcBorders>
              <w:top w:val="single" w:color="auto" w:sz="4" w:space="0"/>
              <w:left w:val="single" w:color="auto" w:sz="4" w:space="0"/>
              <w:bottom w:val="single" w:color="auto" w:sz="4" w:space="0"/>
              <w:right w:val="single" w:color="auto" w:sz="4" w:space="0"/>
            </w:tcBorders>
            <w:vAlign w:val="center"/>
          </w:tcPr>
          <w:p w14:paraId="13254257">
            <w:pPr>
              <w:widowControl/>
              <w:spacing w:line="276" w:lineRule="auto"/>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对投标人服务方案横向比较：</w:t>
            </w:r>
          </w:p>
          <w:p w14:paraId="09A1AA58">
            <w:pPr>
              <w:widowControl/>
              <w:spacing w:line="276" w:lineRule="auto"/>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优：投标人方案编制科学、合理、完善的，得[3-5]分； 良：投标人方案编制比较合理的，得[1-3）分；</w:t>
            </w:r>
          </w:p>
          <w:p w14:paraId="6E969FC0">
            <w:pPr>
              <w:widowControl/>
              <w:spacing w:line="276" w:lineRule="auto"/>
              <w:jc w:val="both"/>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差：投标人方案编制较差的，得[0-1)分。</w:t>
            </w:r>
          </w:p>
        </w:tc>
      </w:tr>
      <w:tr w14:paraId="3B764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434" w:type="pct"/>
            <w:tcBorders>
              <w:top w:val="single" w:color="auto" w:sz="4" w:space="0"/>
              <w:bottom w:val="single" w:color="auto" w:sz="4" w:space="0"/>
              <w:right w:val="single" w:color="auto" w:sz="4" w:space="0"/>
            </w:tcBorders>
            <w:vAlign w:val="center"/>
          </w:tcPr>
          <w:p w14:paraId="275582F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60AD079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72" w:type="pct"/>
            <w:tcBorders>
              <w:top w:val="single" w:color="auto" w:sz="4" w:space="0"/>
              <w:bottom w:val="single" w:color="auto" w:sz="4" w:space="0"/>
              <w:right w:val="single" w:color="auto" w:sz="4" w:space="0"/>
            </w:tcBorders>
            <w:vAlign w:val="center"/>
          </w:tcPr>
          <w:p w14:paraId="6C5418DC">
            <w:pPr>
              <w:widowControl/>
              <w:spacing w:line="276"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投标报 价评分</w:t>
            </w:r>
          </w:p>
          <w:p w14:paraId="6D14D6C8">
            <w:pPr>
              <w:widowControl/>
              <w:spacing w:line="276" w:lineRule="auto"/>
              <w:jc w:val="center"/>
              <w:textAlignment w:val="center"/>
              <w:rPr>
                <w:rFonts w:cs="宋体"/>
                <w:color w:val="auto"/>
                <w:szCs w:val="21"/>
                <w:highlight w:val="none"/>
              </w:rPr>
            </w:pPr>
            <w:r>
              <w:rPr>
                <w:rFonts w:hint="eastAsia" w:ascii="宋体" w:hAnsi="宋体" w:cs="宋体"/>
                <w:color w:val="auto"/>
                <w:szCs w:val="21"/>
                <w:highlight w:val="none"/>
                <w:lang w:val="en-US" w:eastAsia="zh-CN"/>
              </w:rPr>
              <w:t>标准（10 分）</w:t>
            </w:r>
          </w:p>
        </w:tc>
        <w:tc>
          <w:tcPr>
            <w:tcW w:w="1188" w:type="pct"/>
            <w:gridSpan w:val="2"/>
            <w:tcBorders>
              <w:top w:val="single" w:color="auto" w:sz="4" w:space="0"/>
              <w:left w:val="single" w:color="auto" w:sz="4" w:space="0"/>
              <w:bottom w:val="single" w:color="auto" w:sz="4" w:space="0"/>
              <w:right w:val="single" w:color="auto" w:sz="4" w:space="0"/>
            </w:tcBorders>
            <w:vAlign w:val="center"/>
          </w:tcPr>
          <w:p w14:paraId="79CB5332">
            <w:pPr>
              <w:widowControl/>
              <w:spacing w:line="276" w:lineRule="auto"/>
              <w:jc w:val="center"/>
              <w:textAlignment w:val="center"/>
              <w:rPr>
                <w:rFonts w:cs="宋体"/>
                <w:color w:val="auto"/>
                <w:szCs w:val="21"/>
                <w:highlight w:val="none"/>
              </w:rPr>
            </w:pPr>
            <w:r>
              <w:rPr>
                <w:rFonts w:hint="eastAsia" w:ascii="宋体" w:hAnsi="宋体" w:cs="宋体"/>
                <w:color w:val="auto"/>
                <w:szCs w:val="21"/>
                <w:highlight w:val="none"/>
                <w:lang w:val="en-US" w:eastAsia="zh-CN"/>
              </w:rPr>
              <w:t>报价得分（10分）</w:t>
            </w:r>
          </w:p>
        </w:tc>
        <w:tc>
          <w:tcPr>
            <w:tcW w:w="3004" w:type="pct"/>
            <w:tcBorders>
              <w:top w:val="single" w:color="auto" w:sz="4" w:space="0"/>
              <w:left w:val="single" w:color="auto" w:sz="4" w:space="0"/>
              <w:bottom w:val="single" w:color="auto" w:sz="4" w:space="0"/>
              <w:right w:val="single" w:color="auto" w:sz="4" w:space="0"/>
            </w:tcBorders>
            <w:vAlign w:val="center"/>
          </w:tcPr>
          <w:p w14:paraId="6F9B3928">
            <w:pPr>
              <w:widowControl/>
              <w:spacing w:line="276" w:lineRule="auto"/>
              <w:jc w:val="left"/>
              <w:textAlignment w:val="center"/>
              <w:rPr>
                <w:rFonts w:cs="宋体"/>
                <w:color w:val="auto"/>
                <w:szCs w:val="21"/>
                <w:highlight w:val="none"/>
              </w:rPr>
            </w:pPr>
            <w:r>
              <w:rPr>
                <w:rFonts w:hint="eastAsia" w:ascii="宋体" w:hAnsi="宋体" w:cs="宋体"/>
                <w:color w:val="auto"/>
                <w:szCs w:val="21"/>
                <w:highlight w:val="none"/>
                <w:lang w:val="en-US" w:eastAsia="zh-CN"/>
              </w:rPr>
              <w:t>当有效投标价（PT）等于评标基准价（PC）时，有效投标价得分I= 10分；有效投标价（PT）比评标基准价（PC）上偏差 1%减1分，下偏差 1%减0.5分。最多扣10分。（插入法计算，分数保留精确到小数点后两位、第三位四舍五入）</w:t>
            </w:r>
          </w:p>
        </w:tc>
      </w:tr>
    </w:tbl>
    <w:p w14:paraId="2ADB75ED">
      <w:pPr>
        <w:pStyle w:val="10"/>
        <w:spacing w:before="36" w:line="346" w:lineRule="auto"/>
        <w:ind w:left="442" w:right="469" w:hanging="9"/>
        <w:rPr>
          <w:color w:val="auto"/>
          <w:highlight w:val="none"/>
        </w:rPr>
      </w:pPr>
      <w:r>
        <w:rPr>
          <w:color w:val="auto"/>
          <w:sz w:val="22"/>
          <w:szCs w:val="22"/>
          <w:highlight w:val="none"/>
        </w:rPr>
        <w:t>注：评标委员会成员根据评分标准对各投标人进行评分，投标</w:t>
      </w:r>
      <w:r>
        <w:rPr>
          <w:color w:val="auto"/>
          <w:spacing w:val="-1"/>
          <w:sz w:val="22"/>
          <w:szCs w:val="22"/>
          <w:highlight w:val="none"/>
        </w:rPr>
        <w:t>人得分为评标委员会各成员对其评分合计的算术平均值，分数保留精确到小数点后两位、第三位四舍五入。</w:t>
      </w:r>
    </w:p>
    <w:p w14:paraId="4464E006">
      <w:pPr>
        <w:pStyle w:val="24"/>
        <w:rPr>
          <w:color w:val="auto"/>
          <w:highlight w:val="none"/>
        </w:rPr>
      </w:pPr>
    </w:p>
    <w:p w14:paraId="5B947DD2">
      <w:pPr>
        <w:pStyle w:val="24"/>
        <w:rPr>
          <w:color w:val="auto"/>
          <w:highlight w:val="none"/>
        </w:rPr>
      </w:pPr>
    </w:p>
    <w:p w14:paraId="477E8007">
      <w:pPr>
        <w:pStyle w:val="24"/>
        <w:rPr>
          <w:color w:val="auto"/>
          <w:highlight w:val="none"/>
        </w:rPr>
      </w:pPr>
    </w:p>
    <w:p w14:paraId="04A15483">
      <w:pPr>
        <w:pStyle w:val="24"/>
        <w:rPr>
          <w:color w:val="auto"/>
          <w:highlight w:val="none"/>
        </w:rPr>
      </w:pPr>
    </w:p>
    <w:p w14:paraId="594D9366">
      <w:pPr>
        <w:pStyle w:val="24"/>
        <w:rPr>
          <w:color w:val="auto"/>
          <w:highlight w:val="none"/>
        </w:rPr>
      </w:pPr>
    </w:p>
    <w:p w14:paraId="3883D739">
      <w:pPr>
        <w:pStyle w:val="24"/>
        <w:rPr>
          <w:color w:val="auto"/>
          <w:highlight w:val="none"/>
        </w:rPr>
      </w:pPr>
    </w:p>
    <w:p w14:paraId="32CFCC8E">
      <w:pPr>
        <w:pStyle w:val="24"/>
        <w:rPr>
          <w:color w:val="auto"/>
          <w:highlight w:val="none"/>
        </w:rPr>
      </w:pPr>
    </w:p>
    <w:p w14:paraId="181D6453">
      <w:pPr>
        <w:pStyle w:val="24"/>
        <w:rPr>
          <w:color w:val="auto"/>
          <w:highlight w:val="none"/>
        </w:rPr>
      </w:pPr>
    </w:p>
    <w:p w14:paraId="185DB691">
      <w:pPr>
        <w:pStyle w:val="24"/>
        <w:rPr>
          <w:color w:val="auto"/>
          <w:highlight w:val="none"/>
        </w:rPr>
      </w:pPr>
    </w:p>
    <w:p w14:paraId="543F51DA">
      <w:pPr>
        <w:pStyle w:val="24"/>
        <w:rPr>
          <w:color w:val="auto"/>
          <w:highlight w:val="none"/>
        </w:rPr>
      </w:pPr>
    </w:p>
    <w:p w14:paraId="506302B0">
      <w:pPr>
        <w:pStyle w:val="24"/>
        <w:rPr>
          <w:color w:val="auto"/>
          <w:highlight w:val="none"/>
        </w:rPr>
      </w:pPr>
    </w:p>
    <w:p w14:paraId="647BCE37">
      <w:pPr>
        <w:pStyle w:val="24"/>
        <w:rPr>
          <w:color w:val="auto"/>
          <w:highlight w:val="none"/>
        </w:rPr>
      </w:pPr>
    </w:p>
    <w:p w14:paraId="1B4991C5">
      <w:pPr>
        <w:pStyle w:val="24"/>
        <w:rPr>
          <w:color w:val="auto"/>
          <w:highlight w:val="none"/>
        </w:rPr>
      </w:pPr>
    </w:p>
    <w:p w14:paraId="24FFEBC9">
      <w:pPr>
        <w:pStyle w:val="24"/>
        <w:rPr>
          <w:color w:val="auto"/>
          <w:highlight w:val="none"/>
        </w:rPr>
      </w:pPr>
    </w:p>
    <w:p w14:paraId="1CC48A3F">
      <w:pPr>
        <w:pStyle w:val="24"/>
        <w:rPr>
          <w:color w:val="auto"/>
          <w:highlight w:val="none"/>
        </w:rPr>
      </w:pPr>
    </w:p>
    <w:p w14:paraId="2B3BBE57">
      <w:pPr>
        <w:pStyle w:val="24"/>
        <w:rPr>
          <w:color w:val="auto"/>
          <w:highlight w:val="none"/>
        </w:rPr>
      </w:pPr>
    </w:p>
    <w:p w14:paraId="5660D9EA">
      <w:pPr>
        <w:pStyle w:val="24"/>
        <w:rPr>
          <w:color w:val="auto"/>
          <w:highlight w:val="none"/>
        </w:rPr>
      </w:pPr>
    </w:p>
    <w:p w14:paraId="320A09F8">
      <w:pPr>
        <w:pStyle w:val="24"/>
        <w:rPr>
          <w:color w:val="auto"/>
          <w:highlight w:val="none"/>
        </w:rPr>
      </w:pPr>
    </w:p>
    <w:p w14:paraId="58632F55">
      <w:pPr>
        <w:pStyle w:val="24"/>
        <w:rPr>
          <w:color w:val="auto"/>
          <w:highlight w:val="none"/>
        </w:rPr>
      </w:pPr>
    </w:p>
    <w:p w14:paraId="32A62E7D">
      <w:pPr>
        <w:pStyle w:val="24"/>
        <w:rPr>
          <w:color w:val="auto"/>
          <w:highlight w:val="none"/>
        </w:rPr>
      </w:pPr>
    </w:p>
    <w:p w14:paraId="41528C2B">
      <w:pPr>
        <w:pStyle w:val="24"/>
        <w:rPr>
          <w:color w:val="auto"/>
          <w:highlight w:val="none"/>
        </w:rPr>
      </w:pPr>
    </w:p>
    <w:p w14:paraId="2930FF9D">
      <w:pPr>
        <w:pStyle w:val="24"/>
        <w:rPr>
          <w:color w:val="auto"/>
          <w:highlight w:val="none"/>
        </w:rPr>
      </w:pPr>
    </w:p>
    <w:p w14:paraId="6E07354C">
      <w:pPr>
        <w:pStyle w:val="24"/>
        <w:rPr>
          <w:color w:val="auto"/>
          <w:highlight w:val="none"/>
        </w:rPr>
      </w:pPr>
    </w:p>
    <w:p w14:paraId="5E7BD596">
      <w:pPr>
        <w:pStyle w:val="24"/>
        <w:rPr>
          <w:color w:val="auto"/>
          <w:highlight w:val="none"/>
        </w:rPr>
      </w:pPr>
    </w:p>
    <w:p w14:paraId="2AF9BCD5">
      <w:pPr>
        <w:pStyle w:val="24"/>
        <w:rPr>
          <w:color w:val="auto"/>
          <w:highlight w:val="none"/>
        </w:rPr>
      </w:pPr>
    </w:p>
    <w:p w14:paraId="46BB50E6">
      <w:pPr>
        <w:pStyle w:val="24"/>
        <w:rPr>
          <w:color w:val="auto"/>
          <w:highlight w:val="none"/>
        </w:rPr>
      </w:pPr>
    </w:p>
    <w:p w14:paraId="41C64AF6">
      <w:pPr>
        <w:pStyle w:val="24"/>
        <w:rPr>
          <w:color w:val="auto"/>
          <w:highlight w:val="none"/>
        </w:rPr>
      </w:pPr>
    </w:p>
    <w:p w14:paraId="72F8107A">
      <w:pPr>
        <w:pStyle w:val="24"/>
        <w:rPr>
          <w:color w:val="auto"/>
          <w:highlight w:val="none"/>
        </w:rPr>
      </w:pPr>
    </w:p>
    <w:p w14:paraId="338883B7">
      <w:pPr>
        <w:pStyle w:val="24"/>
        <w:rPr>
          <w:color w:val="auto"/>
          <w:highlight w:val="none"/>
        </w:rPr>
      </w:pPr>
    </w:p>
    <w:p w14:paraId="707E7532">
      <w:pPr>
        <w:pStyle w:val="24"/>
        <w:rPr>
          <w:color w:val="auto"/>
          <w:highlight w:val="none"/>
        </w:rPr>
      </w:pPr>
    </w:p>
    <w:p w14:paraId="71B59D20">
      <w:pPr>
        <w:spacing w:line="360" w:lineRule="auto"/>
        <w:rPr>
          <w:color w:val="auto"/>
          <w:highlight w:val="none"/>
        </w:rPr>
      </w:pPr>
    </w:p>
    <w:p w14:paraId="4779594A">
      <w:pPr>
        <w:pStyle w:val="3"/>
        <w:keepNext w:val="0"/>
        <w:keepLines w:val="0"/>
        <w:spacing w:before="0" w:after="0" w:line="360" w:lineRule="auto"/>
        <w:jc w:val="center"/>
        <w:rPr>
          <w:rFonts w:ascii="宋体" w:hAnsi="宋体" w:eastAsia="宋体" w:cs="宋体"/>
          <w:color w:val="auto"/>
          <w:sz w:val="36"/>
          <w:szCs w:val="36"/>
          <w:highlight w:val="none"/>
        </w:rPr>
      </w:pPr>
      <w:bookmarkStart w:id="163" w:name="_Toc4534"/>
      <w:bookmarkStart w:id="164" w:name="_Toc20848"/>
      <w:bookmarkStart w:id="165" w:name="_Toc20181"/>
      <w:r>
        <w:rPr>
          <w:rFonts w:hint="eastAsia" w:ascii="宋体" w:hAnsi="宋体" w:eastAsia="宋体" w:cs="宋体"/>
          <w:color w:val="auto"/>
          <w:sz w:val="36"/>
          <w:szCs w:val="36"/>
          <w:highlight w:val="none"/>
        </w:rPr>
        <w:t>评标</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定标</w:t>
      </w:r>
      <w:r>
        <w:rPr>
          <w:rFonts w:hint="eastAsia" w:ascii="宋体" w:hAnsi="宋体" w:eastAsia="宋体" w:cs="宋体"/>
          <w:color w:val="auto"/>
          <w:sz w:val="36"/>
          <w:szCs w:val="36"/>
          <w:highlight w:val="none"/>
        </w:rPr>
        <w:t>方法</w:t>
      </w:r>
      <w:bookmarkEnd w:id="154"/>
      <w:bookmarkEnd w:id="155"/>
      <w:bookmarkEnd w:id="156"/>
      <w:bookmarkEnd w:id="157"/>
      <w:bookmarkEnd w:id="158"/>
      <w:bookmarkEnd w:id="159"/>
      <w:bookmarkEnd w:id="160"/>
      <w:bookmarkEnd w:id="161"/>
      <w:bookmarkEnd w:id="162"/>
      <w:bookmarkEnd w:id="163"/>
      <w:bookmarkEnd w:id="164"/>
      <w:bookmarkEnd w:id="165"/>
    </w:p>
    <w:p w14:paraId="5E912F50">
      <w:pPr>
        <w:keepNext/>
        <w:keepLines/>
        <w:spacing w:line="360" w:lineRule="auto"/>
        <w:jc w:val="left"/>
        <w:outlineLvl w:val="1"/>
        <w:rPr>
          <w:rFonts w:ascii="宋体" w:hAnsi="宋体" w:cs="宋体"/>
          <w:b/>
          <w:bCs/>
          <w:color w:val="auto"/>
          <w:sz w:val="32"/>
          <w:szCs w:val="32"/>
          <w:highlight w:val="none"/>
        </w:rPr>
      </w:pPr>
      <w:bookmarkStart w:id="166" w:name="_Toc28530"/>
      <w:bookmarkStart w:id="167" w:name="_Toc5223"/>
      <w:r>
        <w:rPr>
          <w:rFonts w:hint="eastAsia" w:ascii="宋体" w:hAnsi="宋体" w:cs="宋体"/>
          <w:b/>
          <w:bCs/>
          <w:color w:val="auto"/>
          <w:sz w:val="32"/>
          <w:szCs w:val="32"/>
          <w:highlight w:val="none"/>
        </w:rPr>
        <w:t>1.评标方法</w:t>
      </w:r>
      <w:bookmarkEnd w:id="166"/>
      <w:bookmarkEnd w:id="167"/>
    </w:p>
    <w:p w14:paraId="02EBB1FB">
      <w:pPr>
        <w:spacing w:line="360" w:lineRule="auto"/>
        <w:ind w:firstLine="420" w:firstLineChars="200"/>
        <w:rPr>
          <w:rFonts w:hint="eastAsia"/>
          <w:color w:val="auto"/>
          <w:highlight w:val="none"/>
          <w:u w:val="single"/>
        </w:rPr>
      </w:pPr>
      <w:r>
        <w:rPr>
          <w:rFonts w:hint="eastAsia"/>
          <w:color w:val="auto"/>
          <w:highlight w:val="none"/>
          <w:u w:val="single"/>
        </w:rPr>
        <w:t>本项目采用评定分离方式，评标采用综合评估法，定标采用票决法。评标委员会按照综合得分由高至低进行排序，确定排名前</w:t>
      </w:r>
      <w:r>
        <w:rPr>
          <w:rFonts w:hint="eastAsia"/>
          <w:color w:val="auto"/>
          <w:highlight w:val="none"/>
          <w:u w:val="single"/>
          <w:lang w:val="en-US" w:eastAsia="zh-CN"/>
        </w:rPr>
        <w:t>10</w:t>
      </w:r>
      <w:r>
        <w:rPr>
          <w:rFonts w:hint="eastAsia"/>
          <w:color w:val="auto"/>
          <w:highlight w:val="none"/>
          <w:u w:val="single"/>
        </w:rPr>
        <w:t>名的投标人推荐为合格中标候选人进入定标阶段。合格投标人多于</w:t>
      </w:r>
      <w:r>
        <w:rPr>
          <w:rFonts w:hint="eastAsia"/>
          <w:color w:val="auto"/>
          <w:highlight w:val="none"/>
          <w:u w:val="single"/>
          <w:lang w:val="en-US" w:eastAsia="zh-CN"/>
        </w:rPr>
        <w:t>10</w:t>
      </w:r>
      <w:r>
        <w:rPr>
          <w:rFonts w:hint="eastAsia"/>
          <w:color w:val="auto"/>
          <w:highlight w:val="none"/>
          <w:u w:val="single"/>
        </w:rPr>
        <w:t>名的，推荐前</w:t>
      </w:r>
      <w:r>
        <w:rPr>
          <w:rFonts w:hint="eastAsia"/>
          <w:color w:val="auto"/>
          <w:highlight w:val="none"/>
          <w:u w:val="single"/>
          <w:lang w:val="en-US" w:eastAsia="zh-CN"/>
        </w:rPr>
        <w:t>10</w:t>
      </w:r>
      <w:r>
        <w:rPr>
          <w:rFonts w:hint="eastAsia"/>
          <w:color w:val="auto"/>
          <w:highlight w:val="none"/>
          <w:u w:val="single"/>
        </w:rPr>
        <w:t>名为合格中标候选人进入定标阶段。若合格投标人大于等于3家，少于等于</w:t>
      </w:r>
      <w:r>
        <w:rPr>
          <w:rFonts w:hint="eastAsia"/>
          <w:color w:val="auto"/>
          <w:highlight w:val="none"/>
          <w:u w:val="single"/>
          <w:lang w:eastAsia="zh-CN"/>
        </w:rPr>
        <w:t>10家</w:t>
      </w:r>
      <w:r>
        <w:rPr>
          <w:rFonts w:hint="eastAsia"/>
          <w:color w:val="auto"/>
          <w:highlight w:val="none"/>
          <w:u w:val="single"/>
        </w:rPr>
        <w:t>的，则全部推荐为合格中标候选人进入定标阶段。</w:t>
      </w:r>
      <w:r>
        <w:rPr>
          <w:rFonts w:hint="eastAsia"/>
          <w:color w:val="auto"/>
          <w:szCs w:val="21"/>
          <w:highlight w:val="none"/>
          <w:u w:val="single"/>
        </w:rPr>
        <w:t>若投标人总分相同的，则名次并列，占用名次，若最后第</w:t>
      </w:r>
      <w:r>
        <w:rPr>
          <w:rFonts w:hint="eastAsia"/>
          <w:color w:val="auto"/>
          <w:szCs w:val="21"/>
          <w:highlight w:val="none"/>
          <w:u w:val="single"/>
          <w:lang w:val="en-US" w:eastAsia="zh-CN"/>
        </w:rPr>
        <w:t>10</w:t>
      </w:r>
      <w:r>
        <w:rPr>
          <w:rFonts w:hint="eastAsia"/>
          <w:color w:val="auto"/>
          <w:szCs w:val="21"/>
          <w:highlight w:val="none"/>
          <w:u w:val="single"/>
        </w:rPr>
        <w:t>名名次发生并列的，则并列第</w:t>
      </w:r>
      <w:r>
        <w:rPr>
          <w:rFonts w:hint="eastAsia"/>
          <w:color w:val="auto"/>
          <w:szCs w:val="21"/>
          <w:highlight w:val="none"/>
          <w:u w:val="single"/>
          <w:lang w:val="en-US" w:eastAsia="zh-CN"/>
        </w:rPr>
        <w:t>10</w:t>
      </w:r>
      <w:r>
        <w:rPr>
          <w:rFonts w:hint="eastAsia"/>
          <w:color w:val="auto"/>
          <w:szCs w:val="21"/>
          <w:highlight w:val="none"/>
          <w:u w:val="single"/>
        </w:rPr>
        <w:t>名的所有投标人均进入定标阶段</w:t>
      </w:r>
      <w:r>
        <w:rPr>
          <w:rFonts w:hint="eastAsia"/>
          <w:color w:val="auto"/>
          <w:highlight w:val="none"/>
          <w:u w:val="single"/>
        </w:rPr>
        <w:t>。</w:t>
      </w:r>
    </w:p>
    <w:p w14:paraId="17D2B9EF">
      <w:pPr>
        <w:spacing w:line="360" w:lineRule="auto"/>
        <w:ind w:firstLine="420" w:firstLineChars="200"/>
        <w:rPr>
          <w:rFonts w:hint="eastAsia"/>
          <w:color w:val="auto"/>
          <w:highlight w:val="none"/>
          <w:u w:val="single"/>
        </w:rPr>
      </w:pPr>
      <w:r>
        <w:rPr>
          <w:rFonts w:hint="eastAsia"/>
          <w:color w:val="auto"/>
          <w:highlight w:val="none"/>
          <w:u w:val="single"/>
        </w:rPr>
        <w:t>评标委员会编写、签署评标报告，进入定标阶段的候选人按其统一社会信用代码后4位（除校验码外）大小排位，不排序，向招标人推荐进入定标阶段的候选人名单，评标报告由评标委员会全体成员签名，对评标结论持有异议的评标委员会成员可以书面方式阐述其不同意见和理由。</w:t>
      </w:r>
    </w:p>
    <w:p w14:paraId="1DB6C8A7">
      <w:pPr>
        <w:spacing w:line="360" w:lineRule="auto"/>
        <w:ind w:firstLine="420" w:firstLineChars="200"/>
        <w:rPr>
          <w:rFonts w:hint="eastAsia"/>
          <w:color w:val="auto"/>
          <w:highlight w:val="none"/>
          <w:u w:val="single"/>
        </w:rPr>
      </w:pPr>
      <w:r>
        <w:rPr>
          <w:rFonts w:hint="eastAsia"/>
          <w:color w:val="auto"/>
          <w:highlight w:val="none"/>
          <w:u w:val="single"/>
        </w:rPr>
        <w:t>若投标登记或递交投标文件的投标人数量、或通过初步评审的合格投标人家数不足3家的，则该招标失败。</w:t>
      </w:r>
    </w:p>
    <w:p w14:paraId="13922223">
      <w:pPr>
        <w:spacing w:line="360" w:lineRule="auto"/>
        <w:ind w:firstLine="420" w:firstLineChars="200"/>
        <w:rPr>
          <w:rFonts w:hint="eastAsia"/>
          <w:color w:val="auto"/>
          <w:highlight w:val="none"/>
        </w:rPr>
      </w:pPr>
      <w:r>
        <w:rPr>
          <w:rFonts w:hint="eastAsia"/>
          <w:color w:val="auto"/>
          <w:highlight w:val="none"/>
          <w:u w:val="single"/>
        </w:rPr>
        <w:t>评标委员会向招标人提交书面评标报告后即告解散，评标过程中使用的文件、表格以及其他资料应当即时归还招标人（或招标代理机构）。</w:t>
      </w:r>
    </w:p>
    <w:p w14:paraId="4F3AF521">
      <w:pPr>
        <w:keepNext/>
        <w:keepLines/>
        <w:spacing w:line="360" w:lineRule="auto"/>
        <w:jc w:val="left"/>
        <w:outlineLvl w:val="1"/>
        <w:rPr>
          <w:rFonts w:ascii="宋体" w:hAnsi="宋体" w:cs="宋体"/>
          <w:b/>
          <w:bCs/>
          <w:color w:val="auto"/>
          <w:sz w:val="32"/>
          <w:szCs w:val="32"/>
          <w:highlight w:val="none"/>
        </w:rPr>
      </w:pPr>
      <w:bookmarkStart w:id="168" w:name="_Toc3160"/>
      <w:r>
        <w:rPr>
          <w:rFonts w:hint="eastAsia" w:ascii="宋体" w:hAnsi="宋体" w:cs="宋体"/>
          <w:b/>
          <w:bCs/>
          <w:color w:val="auto"/>
          <w:sz w:val="32"/>
          <w:szCs w:val="32"/>
          <w:highlight w:val="none"/>
        </w:rPr>
        <w:t>2.评审标准</w:t>
      </w:r>
      <w:bookmarkEnd w:id="168"/>
    </w:p>
    <w:p w14:paraId="5EE7FC29">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2.1 初步评审标准</w:t>
      </w:r>
    </w:p>
    <w:p w14:paraId="6D3150A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332D0EE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285BF3C2">
      <w:pPr>
        <w:spacing w:line="360" w:lineRule="auto"/>
        <w:ind w:firstLine="484" w:firstLineChars="202"/>
        <w:jc w:val="left"/>
        <w:rPr>
          <w:rFonts w:ascii="宋体" w:hAnsi="宋体" w:cs="宋体"/>
          <w:color w:val="auto"/>
          <w:sz w:val="24"/>
          <w:szCs w:val="24"/>
          <w:highlight w:val="none"/>
        </w:rPr>
      </w:pPr>
      <w:bookmarkStart w:id="169" w:name="_Toc23335"/>
      <w:r>
        <w:rPr>
          <w:rFonts w:hint="eastAsia" w:ascii="宋体" w:hAnsi="宋体" w:cs="宋体"/>
          <w:color w:val="auto"/>
          <w:sz w:val="24"/>
          <w:szCs w:val="24"/>
          <w:highlight w:val="none"/>
        </w:rPr>
        <w:t xml:space="preserve">2.1.3 </w:t>
      </w:r>
      <w:bookmarkEnd w:id="169"/>
      <w:r>
        <w:rPr>
          <w:rFonts w:hint="eastAsia" w:ascii="宋体" w:hAnsi="宋体" w:cs="宋体"/>
          <w:color w:val="auto"/>
          <w:sz w:val="24"/>
          <w:szCs w:val="24"/>
          <w:highlight w:val="none"/>
        </w:rPr>
        <w:t>响应性评审标准：见评标办法前附表。</w:t>
      </w:r>
    </w:p>
    <w:p w14:paraId="3A4FC903">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2.2 分值构成与评分标准</w:t>
      </w:r>
    </w:p>
    <w:p w14:paraId="68F7932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14:paraId="42ABF4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5C1087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检测设备和</w:t>
      </w:r>
      <w:r>
        <w:rPr>
          <w:rFonts w:hint="eastAsia" w:ascii="宋体" w:hAnsi="宋体" w:cs="宋体"/>
          <w:color w:val="auto"/>
          <w:sz w:val="24"/>
          <w:szCs w:val="24"/>
          <w:highlight w:val="none"/>
          <w:u w:val="single"/>
          <w:lang w:val="en-US" w:eastAsia="zh-CN"/>
        </w:rPr>
        <w:t>检测监测</w:t>
      </w:r>
      <w:r>
        <w:rPr>
          <w:rFonts w:hint="eastAsia" w:ascii="宋体" w:hAnsi="宋体" w:cs="宋体"/>
          <w:color w:val="auto"/>
          <w:sz w:val="24"/>
          <w:szCs w:val="24"/>
          <w:highlight w:val="none"/>
          <w:u w:val="single"/>
        </w:rPr>
        <w:t>技术方案</w:t>
      </w:r>
      <w:r>
        <w:rPr>
          <w:rFonts w:hint="eastAsia" w:ascii="宋体" w:hAnsi="宋体" w:cs="宋体"/>
          <w:color w:val="auto"/>
          <w:sz w:val="24"/>
          <w:szCs w:val="24"/>
          <w:highlight w:val="none"/>
        </w:rPr>
        <w:t>部分：见评标办法前附表；</w:t>
      </w:r>
    </w:p>
    <w:p w14:paraId="56CD4E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14:paraId="62E3CE2E">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（4）其他评分因素：见评标办法前附表。</w:t>
      </w:r>
    </w:p>
    <w:p w14:paraId="373747E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50E1D2E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13B59B0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投标报价的计算</w:t>
      </w:r>
    </w:p>
    <w:p w14:paraId="2C5FB9D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投标报价的计算公式：见评标办法前附表。</w:t>
      </w:r>
    </w:p>
    <w:p w14:paraId="27CCD49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14:paraId="05E225AB">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3A4FEDA8">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检测设备和</w:t>
      </w:r>
      <w:r>
        <w:rPr>
          <w:rFonts w:hint="eastAsia" w:ascii="宋体" w:hAnsi="宋体" w:cs="宋体"/>
          <w:color w:val="auto"/>
          <w:sz w:val="24"/>
          <w:szCs w:val="24"/>
          <w:highlight w:val="none"/>
          <w:u w:val="single"/>
          <w:lang w:val="en-US" w:eastAsia="zh-CN"/>
        </w:rPr>
        <w:t>检测监测</w:t>
      </w:r>
      <w:r>
        <w:rPr>
          <w:rFonts w:hint="eastAsia" w:ascii="宋体" w:hAnsi="宋体" w:cs="宋体"/>
          <w:color w:val="auto"/>
          <w:sz w:val="24"/>
          <w:szCs w:val="24"/>
          <w:highlight w:val="none"/>
          <w:u w:val="single"/>
        </w:rPr>
        <w:t>技术方案</w:t>
      </w:r>
      <w:r>
        <w:rPr>
          <w:rFonts w:hint="eastAsia" w:ascii="宋体" w:hAnsi="宋体" w:cs="宋体"/>
          <w:color w:val="auto"/>
          <w:sz w:val="24"/>
          <w:szCs w:val="24"/>
          <w:highlight w:val="none"/>
        </w:rPr>
        <w:t>方案部分评分标准：见评标办法前附表；</w:t>
      </w:r>
    </w:p>
    <w:p w14:paraId="5576259A">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78D5F85B">
      <w:pPr>
        <w:spacing w:line="360" w:lineRule="auto"/>
        <w:ind w:left="780"/>
        <w:rPr>
          <w:rFonts w:ascii="宋体" w:hAnsi="宋体" w:cs="宋体"/>
          <w:strike/>
          <w:color w:val="auto"/>
          <w:sz w:val="24"/>
          <w:szCs w:val="24"/>
          <w:highlight w:val="none"/>
        </w:rPr>
      </w:pPr>
      <w:r>
        <w:rPr>
          <w:rFonts w:hint="eastAsia" w:ascii="宋体" w:hAnsi="宋体" w:cs="宋体"/>
          <w:strike/>
          <w:color w:val="auto"/>
          <w:sz w:val="24"/>
          <w:szCs w:val="24"/>
          <w:highlight w:val="none"/>
        </w:rPr>
        <w:t>（4）其他因素评分标准：见评标办法前附表。</w:t>
      </w:r>
    </w:p>
    <w:p w14:paraId="574D50D5">
      <w:pPr>
        <w:keepNext/>
        <w:keepLines/>
        <w:spacing w:line="360" w:lineRule="auto"/>
        <w:jc w:val="left"/>
        <w:outlineLvl w:val="1"/>
        <w:rPr>
          <w:rFonts w:ascii="宋体" w:hAnsi="宋体" w:cs="宋体"/>
          <w:b/>
          <w:bCs/>
          <w:color w:val="auto"/>
          <w:sz w:val="32"/>
          <w:szCs w:val="32"/>
          <w:highlight w:val="none"/>
        </w:rPr>
      </w:pPr>
      <w:bookmarkStart w:id="170" w:name="_Toc26014"/>
      <w:r>
        <w:rPr>
          <w:rFonts w:hint="eastAsia" w:ascii="宋体" w:hAnsi="宋体" w:cs="宋体"/>
          <w:b/>
          <w:bCs/>
          <w:color w:val="auto"/>
          <w:sz w:val="32"/>
          <w:szCs w:val="32"/>
          <w:highlight w:val="none"/>
        </w:rPr>
        <w:t>3. 评标程序</w:t>
      </w:r>
      <w:bookmarkEnd w:id="170"/>
    </w:p>
    <w:p w14:paraId="08D4F5DE">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3.1 初步评审</w:t>
      </w:r>
    </w:p>
    <w:p w14:paraId="2C18E2F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w:t>
      </w:r>
      <w:bookmarkStart w:id="171" w:name="_Toc25401"/>
      <w:r>
        <w:rPr>
          <w:rFonts w:hint="eastAsia" w:ascii="宋体" w:hAnsi="宋体" w:cs="宋体"/>
          <w:color w:val="auto"/>
          <w:sz w:val="24"/>
          <w:szCs w:val="24"/>
          <w:highlight w:val="none"/>
        </w:rPr>
        <w:t>验。评标委员会</w:t>
      </w:r>
      <w:bookmarkEnd w:id="171"/>
      <w:r>
        <w:rPr>
          <w:rFonts w:hint="eastAsia" w:ascii="宋体" w:hAnsi="宋体" w:cs="宋体"/>
          <w:color w:val="auto"/>
          <w:sz w:val="24"/>
          <w:szCs w:val="24"/>
          <w:highlight w:val="none"/>
        </w:rPr>
        <w:t>依据本章第 2.1 款规定的标准对投标文件进行初步评审。有一项不符合评审标准的，评标委员会应当否决其投标。</w:t>
      </w:r>
    </w:p>
    <w:p w14:paraId="7CD21F6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4F56045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5976B02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3D50C0C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B5FF58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6543880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4F9F35A1">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3.2 详细评审</w:t>
      </w:r>
    </w:p>
    <w:p w14:paraId="4C8890D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 2.2 款规定的量化因素和分值进行打分，并计算出综合评分得分。</w:t>
      </w:r>
    </w:p>
    <w:p w14:paraId="096E5BAD">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（1）按本章第2.2.4（1）目规定的评审因素和分值对企业资信业绩计算出得分A；</w:t>
      </w:r>
    </w:p>
    <w:p w14:paraId="66994F73">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（2）按本章第2.2.4（2）目规定的评审因素和分值对</w:t>
      </w:r>
      <w:r>
        <w:rPr>
          <w:rFonts w:hint="eastAsia" w:ascii="宋体" w:hAnsi="宋体" w:cs="宋体"/>
          <w:b/>
          <w:bCs/>
          <w:color w:val="auto"/>
          <w:sz w:val="24"/>
          <w:szCs w:val="24"/>
          <w:highlight w:val="none"/>
          <w:u w:val="single"/>
        </w:rPr>
        <w:t>检测设备和</w:t>
      </w:r>
      <w:r>
        <w:rPr>
          <w:rFonts w:hint="eastAsia" w:ascii="宋体" w:hAnsi="宋体" w:cs="宋体"/>
          <w:b/>
          <w:bCs/>
          <w:color w:val="auto"/>
          <w:sz w:val="24"/>
          <w:szCs w:val="24"/>
          <w:highlight w:val="none"/>
          <w:u w:val="single"/>
          <w:lang w:val="en-US" w:eastAsia="zh-CN"/>
        </w:rPr>
        <w:t>检测监测</w:t>
      </w:r>
      <w:r>
        <w:rPr>
          <w:rFonts w:hint="eastAsia" w:ascii="宋体" w:hAnsi="宋体" w:cs="宋体"/>
          <w:b/>
          <w:bCs/>
          <w:color w:val="auto"/>
          <w:sz w:val="24"/>
          <w:szCs w:val="24"/>
          <w:highlight w:val="none"/>
          <w:u w:val="single"/>
        </w:rPr>
        <w:t>技术方案</w:t>
      </w:r>
      <w:r>
        <w:rPr>
          <w:rFonts w:hint="eastAsia" w:ascii="宋体" w:hAnsi="宋体" w:cs="宋体"/>
          <w:b/>
          <w:bCs/>
          <w:color w:val="auto"/>
          <w:sz w:val="24"/>
          <w:szCs w:val="24"/>
          <w:highlight w:val="none"/>
        </w:rPr>
        <w:t>计算出得分B；</w:t>
      </w:r>
    </w:p>
    <w:p w14:paraId="7412F1E7">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（3）按本章第2.2.4（3）目规定的评审因素和分值对投标报价计算出得分C；</w:t>
      </w:r>
    </w:p>
    <w:p w14:paraId="579D8CE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615A846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p>
    <w:p w14:paraId="1F7FAE6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53356FF">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投标文件的澄清</w:t>
      </w:r>
    </w:p>
    <w:p w14:paraId="2689311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9787DD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3385598A">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6CB70195">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评标结果</w:t>
      </w:r>
    </w:p>
    <w:p w14:paraId="4CA225FB">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3.4.1 </w:t>
      </w:r>
      <w:r>
        <w:rPr>
          <w:rFonts w:hint="eastAsia" w:asciiTheme="majorEastAsia" w:hAnsiTheme="majorEastAsia" w:eastAsiaTheme="majorEastAsia" w:cstheme="majorEastAsia"/>
          <w:color w:val="auto"/>
          <w:sz w:val="24"/>
          <w:szCs w:val="24"/>
          <w:highlight w:val="none"/>
          <w:u w:val="single"/>
        </w:rPr>
        <w:t>评标委员会按照总得分由高至低进行排序，确定排名前</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名的投标人推荐为合格中标候选人进入定标阶段。合格投标人多于</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名的，推荐前</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名为合格中标候选人进入定标阶段。若合格投标人大于等于3家，少于等于</w:t>
      </w:r>
      <w:r>
        <w:rPr>
          <w:rFonts w:hint="eastAsia" w:asciiTheme="majorEastAsia" w:hAnsiTheme="majorEastAsia" w:eastAsiaTheme="majorEastAsia" w:cstheme="majorEastAsia"/>
          <w:color w:val="auto"/>
          <w:sz w:val="24"/>
          <w:szCs w:val="24"/>
          <w:highlight w:val="none"/>
          <w:u w:val="single"/>
          <w:lang w:eastAsia="zh-CN"/>
        </w:rPr>
        <w:t>10家</w:t>
      </w:r>
      <w:r>
        <w:rPr>
          <w:rFonts w:hint="eastAsia" w:asciiTheme="majorEastAsia" w:hAnsiTheme="majorEastAsia" w:eastAsiaTheme="majorEastAsia" w:cstheme="majorEastAsia"/>
          <w:color w:val="auto"/>
          <w:sz w:val="24"/>
          <w:szCs w:val="24"/>
          <w:highlight w:val="none"/>
          <w:u w:val="single"/>
        </w:rPr>
        <w:t>的，则全部推荐为合格中标候选人进入定标阶段。若投标人总分相同的，则名次并列，占用名次，若最后第</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名名次发生并列的，则并列第</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rPr>
        <w:t>名的所有投标人均进入定标阶段。</w:t>
      </w:r>
    </w:p>
    <w:p w14:paraId="09D490F8">
      <w:pPr>
        <w:pStyle w:val="10"/>
        <w:kinsoku w:val="0"/>
        <w:overflowPunct w:val="0"/>
        <w:spacing w:line="328" w:lineRule="auto"/>
        <w:ind w:right="108"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kern w:val="2"/>
          <w:sz w:val="24"/>
          <w:szCs w:val="24"/>
          <w:highlight w:val="none"/>
          <w:lang w:val="en-US" w:eastAsia="zh-CN" w:bidi="ar-SA"/>
        </w:rPr>
        <w:t xml:space="preserve">3.4.2 </w:t>
      </w:r>
      <w:r>
        <w:rPr>
          <w:rFonts w:hint="eastAsia" w:asciiTheme="majorEastAsia" w:hAnsiTheme="majorEastAsia" w:eastAsiaTheme="majorEastAsia" w:cstheme="majorEastAsia"/>
          <w:color w:val="auto"/>
          <w:sz w:val="24"/>
          <w:szCs w:val="24"/>
          <w:highlight w:val="none"/>
          <w:u w:val="single"/>
        </w:rPr>
        <w:t>评标委员会完成评标后，应当向招标人提交书面评标报告和合格中标候选人名单。</w:t>
      </w:r>
    </w:p>
    <w:p w14:paraId="37CE26A0">
      <w:pPr>
        <w:keepNext/>
        <w:keepLines/>
        <w:spacing w:line="360" w:lineRule="auto"/>
        <w:jc w:val="left"/>
        <w:outlineLvl w:val="1"/>
        <w:rPr>
          <w:rFonts w:hint="eastAsia" w:ascii="宋体" w:hAnsi="宋体" w:cs="宋体"/>
          <w:b/>
          <w:bCs/>
          <w:color w:val="auto"/>
          <w:sz w:val="28"/>
          <w:szCs w:val="32"/>
          <w:highlight w:val="none"/>
        </w:rPr>
      </w:pPr>
      <w:bookmarkStart w:id="172" w:name="_Toc1364"/>
      <w:r>
        <w:rPr>
          <w:rFonts w:hint="eastAsia" w:ascii="宋体" w:hAnsi="宋体" w:cs="宋体"/>
          <w:b/>
          <w:bCs/>
          <w:color w:val="auto"/>
          <w:sz w:val="28"/>
          <w:szCs w:val="32"/>
          <w:highlight w:val="none"/>
        </w:rPr>
        <w:t>4. 定标（定标办法采用票决法）</w:t>
      </w:r>
      <w:bookmarkEnd w:id="172"/>
    </w:p>
    <w:p w14:paraId="74FC16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定标由招标人依法组建的定标委员会负责，成员数量为5人或以上单数。</w:t>
      </w:r>
    </w:p>
    <w:p w14:paraId="67BB1E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招标人在收到评标报告后7日内在广州交易集团有限公司（广州公共资源交易中心）举行定标会议，定标委员会选定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个中标候选人。</w:t>
      </w:r>
    </w:p>
    <w:p w14:paraId="69B077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4.3定标规则及程序：</w:t>
      </w:r>
    </w:p>
    <w:p w14:paraId="204584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4.3.1本项目采用票决定标法+撰写评语。</w:t>
      </w:r>
    </w:p>
    <w:p w14:paraId="0BCFAD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4.3.2定标工作开始后，发放选票，由定标委员会参考定标因素及定标辅助资料进行投票排名。</w:t>
      </w:r>
    </w:p>
    <w:p w14:paraId="07B8CD17">
      <w:pPr>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定标辅助资料为评标阶段的评标报告、投标人提交的投标与定标文件。</w:t>
      </w:r>
    </w:p>
    <w:p w14:paraId="33C2A384">
      <w:pPr>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4.3.4定标委员会根据定标辅助资料，在同等条件下，定标因素的相对标准按以下几个方面进行：</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（1）方案因素；</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（2）团队因素；</w:t>
      </w:r>
    </w:p>
    <w:p w14:paraId="22CF52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（3）资信因素。</w:t>
      </w:r>
    </w:p>
    <w:p w14:paraId="0DCFC38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4.4投票规则：定标委员会根据定标因素对各投标人进行综合比较后，进行一次性票决，定标委员会成员</w:t>
      </w:r>
      <w:r>
        <w:rPr>
          <w:rFonts w:hint="eastAsia" w:ascii="宋体" w:hAnsi="宋体" w:cs="宋体"/>
          <w:color w:val="auto"/>
          <w:sz w:val="24"/>
          <w:szCs w:val="24"/>
          <w:highlight w:val="none"/>
          <w:lang w:val="en-US" w:eastAsia="zh-CN"/>
        </w:rPr>
        <w:t>分3轮</w:t>
      </w:r>
      <w:r>
        <w:rPr>
          <w:rFonts w:hint="eastAsia" w:ascii="宋体" w:hAnsi="宋体" w:eastAsia="宋体" w:cs="宋体"/>
          <w:color w:val="auto"/>
          <w:sz w:val="24"/>
          <w:szCs w:val="24"/>
          <w:highlight w:val="none"/>
          <w:lang w:val="en-US" w:eastAsia="zh-CN"/>
        </w:rPr>
        <w:t>分别对第一</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中标候选人</w:t>
      </w:r>
      <w:r>
        <w:rPr>
          <w:rFonts w:hint="eastAsia" w:ascii="宋体" w:hAnsi="宋体" w:cs="宋体"/>
          <w:color w:val="auto"/>
          <w:sz w:val="24"/>
          <w:szCs w:val="24"/>
          <w:highlight w:val="none"/>
          <w:lang w:val="en-US" w:eastAsia="zh-CN"/>
        </w:rPr>
        <w:t>进行票决，每位定标委员会成员每轮只有1票表决权（即每轮只能对其中一家投标人投票）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按每轮</w:t>
      </w:r>
      <w:r>
        <w:rPr>
          <w:rFonts w:hint="eastAsia" w:ascii="宋体" w:hAnsi="宋体" w:eastAsia="宋体" w:cs="宋体"/>
          <w:color w:val="auto"/>
          <w:sz w:val="24"/>
          <w:szCs w:val="24"/>
          <w:highlight w:val="none"/>
        </w:rPr>
        <w:t>得票数最多投标人为</w:t>
      </w:r>
      <w:r>
        <w:rPr>
          <w:rFonts w:hint="eastAsia" w:ascii="宋体" w:hAnsi="宋体" w:cs="宋体"/>
          <w:color w:val="auto"/>
          <w:sz w:val="24"/>
          <w:szCs w:val="24"/>
          <w:highlight w:val="none"/>
          <w:lang w:val="en-US" w:eastAsia="zh-CN"/>
        </w:rPr>
        <w:t>对应的</w:t>
      </w:r>
      <w:r>
        <w:rPr>
          <w:rFonts w:hint="eastAsia" w:ascii="宋体" w:hAnsi="宋体" w:eastAsia="宋体" w:cs="宋体"/>
          <w:color w:val="auto"/>
          <w:sz w:val="24"/>
          <w:szCs w:val="24"/>
          <w:highlight w:val="none"/>
        </w:rPr>
        <w:t>中标候选人，若出现票数相同且无法决出中标候选人时，票数相同的再进行一次性票决；若再次票决出现票数相同且无法决出中标候选人时，以投标报价低者为中标候选人。</w:t>
      </w:r>
    </w:p>
    <w:p w14:paraId="548F99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4.5定标委员会根据选票情况确定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个中标候选人。</w:t>
      </w:r>
    </w:p>
    <w:p w14:paraId="62AC39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 编写定标报告，定标委员会全体确认后签署定标报告。</w:t>
      </w:r>
    </w:p>
    <w:p w14:paraId="7E7E0A5B">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4.7 因质疑或投诉生效，需要重新评标或定标的，评标、定标信息（含业绩、奖项等）仍以投标截止时投标人的信息为准。因特殊原因需要延长投标有效期，投标人拒绝延长投标有效期的，其投标失效。</w:t>
      </w:r>
    </w:p>
    <w:p w14:paraId="5F25C41C">
      <w:pPr>
        <w:spacing w:line="360" w:lineRule="auto"/>
        <w:ind w:firstLine="484" w:firstLineChars="202"/>
        <w:jc w:val="left"/>
        <w:rPr>
          <w:rFonts w:hint="eastAsia" w:ascii="宋体" w:hAnsi="宋体" w:eastAsia="宋体" w:cs="宋体"/>
          <w:color w:val="auto"/>
          <w:sz w:val="24"/>
          <w:szCs w:val="24"/>
          <w:highlight w:val="none"/>
        </w:rPr>
      </w:pPr>
    </w:p>
    <w:p w14:paraId="505AAC1B">
      <w:pPr>
        <w:spacing w:line="360" w:lineRule="auto"/>
        <w:ind w:firstLine="484" w:firstLineChars="202"/>
        <w:jc w:val="left"/>
        <w:rPr>
          <w:rFonts w:hint="eastAsia" w:ascii="宋体" w:hAnsi="宋体" w:eastAsia="宋体" w:cs="宋体"/>
          <w:color w:val="auto"/>
          <w:sz w:val="24"/>
          <w:szCs w:val="24"/>
          <w:highlight w:val="none"/>
        </w:rPr>
      </w:pPr>
    </w:p>
    <w:p w14:paraId="7FC31D9B">
      <w:pPr>
        <w:spacing w:line="360" w:lineRule="auto"/>
        <w:ind w:firstLine="484" w:firstLineChars="202"/>
        <w:jc w:val="left"/>
        <w:rPr>
          <w:rFonts w:hint="eastAsia" w:ascii="宋体" w:hAnsi="宋体" w:eastAsia="宋体" w:cs="宋体"/>
          <w:color w:val="auto"/>
          <w:sz w:val="24"/>
          <w:szCs w:val="24"/>
          <w:highlight w:val="none"/>
        </w:rPr>
      </w:pPr>
    </w:p>
    <w:p w14:paraId="02CC7A0C">
      <w:pPr>
        <w:spacing w:line="360" w:lineRule="auto"/>
        <w:ind w:firstLine="484" w:firstLineChars="202"/>
        <w:jc w:val="left"/>
        <w:rPr>
          <w:rFonts w:hint="eastAsia" w:ascii="宋体" w:hAnsi="宋体" w:eastAsia="宋体" w:cs="宋体"/>
          <w:color w:val="auto"/>
          <w:sz w:val="24"/>
          <w:szCs w:val="24"/>
          <w:highlight w:val="none"/>
        </w:rPr>
      </w:pPr>
    </w:p>
    <w:p w14:paraId="61F06733">
      <w:pPr>
        <w:spacing w:line="360" w:lineRule="auto"/>
        <w:ind w:firstLine="484" w:firstLineChars="202"/>
        <w:jc w:val="left"/>
        <w:rPr>
          <w:rFonts w:hint="eastAsia" w:ascii="宋体" w:hAnsi="宋体" w:eastAsia="宋体" w:cs="宋体"/>
          <w:color w:val="auto"/>
          <w:sz w:val="24"/>
          <w:szCs w:val="24"/>
          <w:highlight w:val="none"/>
        </w:rPr>
      </w:pPr>
    </w:p>
    <w:p w14:paraId="3A53E3F7">
      <w:pPr>
        <w:spacing w:line="360" w:lineRule="auto"/>
        <w:ind w:firstLine="484" w:firstLineChars="202"/>
        <w:jc w:val="left"/>
        <w:rPr>
          <w:rFonts w:hint="eastAsia" w:ascii="宋体" w:hAnsi="宋体" w:eastAsia="宋体" w:cs="宋体"/>
          <w:color w:val="auto"/>
          <w:sz w:val="24"/>
          <w:szCs w:val="24"/>
          <w:highlight w:val="none"/>
        </w:rPr>
      </w:pPr>
    </w:p>
    <w:p w14:paraId="36F8E7BE">
      <w:pPr>
        <w:spacing w:line="360" w:lineRule="auto"/>
        <w:ind w:firstLine="484" w:firstLineChars="202"/>
        <w:jc w:val="left"/>
        <w:rPr>
          <w:rFonts w:hint="eastAsia" w:ascii="宋体" w:hAnsi="宋体" w:eastAsia="宋体" w:cs="宋体"/>
          <w:color w:val="auto"/>
          <w:sz w:val="24"/>
          <w:szCs w:val="24"/>
          <w:highlight w:val="none"/>
        </w:rPr>
      </w:pPr>
    </w:p>
    <w:p w14:paraId="5CFC272E">
      <w:pPr>
        <w:spacing w:line="360" w:lineRule="auto"/>
        <w:ind w:firstLine="484" w:firstLineChars="202"/>
        <w:jc w:val="left"/>
        <w:rPr>
          <w:rFonts w:hint="eastAsia" w:ascii="宋体" w:hAnsi="宋体" w:eastAsia="宋体" w:cs="宋体"/>
          <w:color w:val="auto"/>
          <w:sz w:val="24"/>
          <w:szCs w:val="24"/>
          <w:highlight w:val="none"/>
        </w:rPr>
      </w:pPr>
    </w:p>
    <w:p w14:paraId="2B54EE17">
      <w:pPr>
        <w:pStyle w:val="18"/>
        <w:ind w:firstLine="361" w:firstLineChars="100"/>
        <w:outlineLvl w:val="9"/>
        <w:rPr>
          <w:rFonts w:hint="eastAsia"/>
          <w:color w:val="auto"/>
          <w:sz w:val="36"/>
          <w:szCs w:val="36"/>
          <w:highlight w:val="none"/>
        </w:rPr>
      </w:pPr>
      <w:r>
        <w:rPr>
          <w:rFonts w:hint="eastAsia"/>
          <w:color w:val="auto"/>
          <w:sz w:val="36"/>
          <w:szCs w:val="36"/>
          <w:highlight w:val="none"/>
        </w:rPr>
        <w:t>定标因素表（定标阶段用表）</w:t>
      </w:r>
    </w:p>
    <w:tbl>
      <w:tblPr>
        <w:tblStyle w:val="21"/>
        <w:tblW w:w="9590"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10"/>
        <w:gridCol w:w="6630"/>
        <w:gridCol w:w="1425"/>
      </w:tblGrid>
      <w:tr w14:paraId="14DD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46D5A25">
            <w:pPr>
              <w:jc w:val="center"/>
              <w:rPr>
                <w:rFonts w:hint="eastAsia"/>
                <w:b/>
                <w:bCs/>
                <w:color w:val="auto"/>
                <w:highlight w:val="none"/>
              </w:rPr>
            </w:pPr>
            <w:r>
              <w:rPr>
                <w:rFonts w:hint="eastAsia"/>
                <w:b/>
                <w:bCs/>
                <w:color w:val="auto"/>
                <w:highlight w:val="none"/>
              </w:rPr>
              <w:t>序号</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C3E83E1">
            <w:pPr>
              <w:jc w:val="center"/>
              <w:rPr>
                <w:b/>
                <w:bCs/>
                <w:color w:val="auto"/>
                <w:highlight w:val="none"/>
              </w:rPr>
            </w:pPr>
            <w:r>
              <w:rPr>
                <w:rFonts w:hint="eastAsia"/>
                <w:b/>
                <w:bCs/>
                <w:color w:val="auto"/>
                <w:highlight w:val="none"/>
              </w:rPr>
              <w:t>评价项目</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7711F8">
            <w:pPr>
              <w:jc w:val="center"/>
              <w:rPr>
                <w:b/>
                <w:bCs/>
                <w:color w:val="auto"/>
                <w:highlight w:val="none"/>
              </w:rPr>
            </w:pPr>
            <w:r>
              <w:rPr>
                <w:rFonts w:hint="eastAsia"/>
                <w:b/>
                <w:bCs/>
                <w:color w:val="auto"/>
                <w:highlight w:val="none"/>
              </w:rPr>
              <w:t>定标评价的内容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900FCDE">
            <w:pPr>
              <w:pStyle w:val="6"/>
              <w:ind w:firstLine="0" w:firstLineChars="0"/>
              <w:jc w:val="center"/>
              <w:rPr>
                <w:rFonts w:hint="eastAsia"/>
                <w:color w:val="auto"/>
                <w:highlight w:val="none"/>
              </w:rPr>
            </w:pPr>
            <w:r>
              <w:rPr>
                <w:rFonts w:hint="eastAsia"/>
                <w:color w:val="auto"/>
                <w:szCs w:val="21"/>
                <w:highlight w:val="none"/>
              </w:rPr>
              <w:t>评价标准</w:t>
            </w:r>
          </w:p>
        </w:tc>
      </w:tr>
      <w:tr w14:paraId="2BBD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3545CB4">
            <w:pPr>
              <w:jc w:val="center"/>
              <w:rPr>
                <w:rFonts w:hint="eastAsia"/>
                <w:b/>
                <w:bCs/>
                <w:color w:val="auto"/>
                <w:highlight w:val="none"/>
              </w:rPr>
            </w:pPr>
            <w:r>
              <w:rPr>
                <w:rFonts w:hint="eastAsia"/>
                <w:b/>
                <w:bCs/>
                <w:color w:val="auto"/>
                <w:highlight w:val="none"/>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9DB035D">
            <w:pPr>
              <w:spacing w:line="360" w:lineRule="auto"/>
              <w:jc w:val="center"/>
              <w:rPr>
                <w:rFonts w:hint="eastAsia"/>
                <w:color w:val="auto"/>
                <w:highlight w:val="none"/>
              </w:rPr>
            </w:pPr>
            <w:r>
              <w:rPr>
                <w:rFonts w:hint="eastAsia"/>
                <w:color w:val="auto"/>
                <w:highlight w:val="none"/>
              </w:rPr>
              <w:t>方案</w:t>
            </w:r>
          </w:p>
          <w:p w14:paraId="63166A80">
            <w:pPr>
              <w:spacing w:line="360" w:lineRule="auto"/>
              <w:jc w:val="center"/>
              <w:rPr>
                <w:rFonts w:hint="eastAsia"/>
                <w:b/>
                <w:bCs/>
                <w:color w:val="auto"/>
                <w:highlight w:val="none"/>
              </w:rPr>
            </w:pPr>
            <w:r>
              <w:rPr>
                <w:rFonts w:hint="eastAsia"/>
                <w:color w:val="auto"/>
                <w:highlight w:val="none"/>
              </w:rPr>
              <w:t>因素</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43D6A77">
            <w:pPr>
              <w:spacing w:line="360" w:lineRule="auto"/>
              <w:rPr>
                <w:rFonts w:hint="eastAsia"/>
                <w:color w:val="auto"/>
                <w:highlight w:val="none"/>
              </w:rPr>
            </w:pPr>
            <w:r>
              <w:rPr>
                <w:rFonts w:hint="eastAsia"/>
                <w:color w:val="auto"/>
                <w:highlight w:val="none"/>
                <w:lang w:eastAsia="zh-CN"/>
              </w:rPr>
              <w:t>检测、监测</w:t>
            </w:r>
            <w:r>
              <w:rPr>
                <w:rFonts w:hint="eastAsia"/>
                <w:color w:val="auto"/>
                <w:highlight w:val="none"/>
              </w:rPr>
              <w:t>方案结合项目的实际情况，</w:t>
            </w:r>
            <w:r>
              <w:rPr>
                <w:rFonts w:hint="default"/>
                <w:color w:val="auto"/>
                <w:highlight w:val="none"/>
              </w:rPr>
              <w:t>技术性</w:t>
            </w:r>
            <w:r>
              <w:rPr>
                <w:rFonts w:hint="eastAsia"/>
                <w:color w:val="auto"/>
                <w:highlight w:val="none"/>
              </w:rPr>
              <w:t>检测目标明确</w:t>
            </w:r>
            <w:r>
              <w:rPr>
                <w:rFonts w:hint="eastAsia"/>
                <w:color w:val="auto"/>
                <w:highlight w:val="none"/>
                <w:lang w:eastAsia="zh-CN"/>
              </w:rPr>
              <w:t>、</w:t>
            </w:r>
            <w:r>
              <w:rPr>
                <w:rFonts w:hint="eastAsia"/>
                <w:color w:val="auto"/>
                <w:highlight w:val="none"/>
              </w:rPr>
              <w:t>方法适用</w:t>
            </w:r>
            <w:r>
              <w:rPr>
                <w:rFonts w:hint="eastAsia"/>
                <w:color w:val="auto"/>
                <w:highlight w:val="none"/>
                <w:lang w:eastAsia="zh-CN"/>
              </w:rPr>
              <w:t>、</w:t>
            </w:r>
            <w:r>
              <w:rPr>
                <w:rFonts w:hint="eastAsia"/>
                <w:color w:val="auto"/>
                <w:highlight w:val="none"/>
              </w:rPr>
              <w:t>精度控制要求</w:t>
            </w:r>
            <w:r>
              <w:rPr>
                <w:rFonts w:hint="eastAsia"/>
                <w:color w:val="auto"/>
                <w:highlight w:val="none"/>
                <w:lang w:eastAsia="zh-CN"/>
              </w:rPr>
              <w:t>，</w:t>
            </w:r>
            <w:r>
              <w:rPr>
                <w:rFonts w:hint="default"/>
                <w:color w:val="auto"/>
                <w:highlight w:val="none"/>
              </w:rPr>
              <w:t>实施条件</w:t>
            </w:r>
            <w:r>
              <w:rPr>
                <w:rFonts w:hint="eastAsia"/>
                <w:color w:val="auto"/>
                <w:highlight w:val="none"/>
                <w:lang w:val="en-US" w:eastAsia="zh-CN"/>
              </w:rPr>
              <w:t>确保</w:t>
            </w:r>
            <w:r>
              <w:rPr>
                <w:rFonts w:hint="eastAsia"/>
                <w:color w:val="auto"/>
                <w:highlight w:val="none"/>
              </w:rPr>
              <w:t>环境控制</w:t>
            </w:r>
            <w:r>
              <w:rPr>
                <w:rFonts w:hint="eastAsia"/>
                <w:color w:val="auto"/>
                <w:highlight w:val="none"/>
                <w:lang w:val="en-US" w:eastAsia="zh-CN"/>
              </w:rPr>
              <w:t>、</w:t>
            </w:r>
            <w:r>
              <w:rPr>
                <w:rFonts w:hint="eastAsia"/>
                <w:color w:val="auto"/>
                <w:highlight w:val="none"/>
              </w:rPr>
              <w:t>设备配置</w:t>
            </w:r>
            <w:r>
              <w:rPr>
                <w:rFonts w:hint="eastAsia"/>
                <w:color w:val="auto"/>
                <w:highlight w:val="none"/>
                <w:lang w:eastAsia="zh-CN"/>
              </w:rPr>
              <w:t>、</w:t>
            </w:r>
            <w:r>
              <w:rPr>
                <w:rFonts w:hint="eastAsia"/>
                <w:color w:val="auto"/>
                <w:highlight w:val="none"/>
              </w:rPr>
              <w:t>‌</w:t>
            </w:r>
            <w:r>
              <w:rPr>
                <w:rFonts w:hint="default"/>
                <w:color w:val="auto"/>
                <w:highlight w:val="none"/>
              </w:rPr>
              <w:t>样本管理</w:t>
            </w:r>
            <w:r>
              <w:rPr>
                <w:rFonts w:hint="eastAsia"/>
                <w:color w:val="auto"/>
                <w:highlight w:val="none"/>
                <w:lang w:val="en-US" w:eastAsia="zh-CN"/>
              </w:rPr>
              <w:t>，</w:t>
            </w:r>
            <w:r>
              <w:rPr>
                <w:rFonts w:hint="default"/>
                <w:color w:val="auto"/>
                <w:highlight w:val="none"/>
              </w:rPr>
              <w:t>质量控制要素</w:t>
            </w:r>
            <w:r>
              <w:rPr>
                <w:rFonts w:hint="eastAsia"/>
                <w:color w:val="auto"/>
                <w:highlight w:val="none"/>
              </w:rPr>
              <w:t>过程监控</w:t>
            </w:r>
            <w:r>
              <w:rPr>
                <w:rFonts w:hint="eastAsia"/>
                <w:color w:val="auto"/>
                <w:highlight w:val="none"/>
                <w:lang w:eastAsia="zh-CN"/>
              </w:rPr>
              <w:t>、</w:t>
            </w:r>
            <w:r>
              <w:rPr>
                <w:rFonts w:hint="eastAsia"/>
                <w:color w:val="auto"/>
                <w:highlight w:val="none"/>
              </w:rPr>
              <w:t>结果验证。从</w:t>
            </w:r>
            <w:r>
              <w:rPr>
                <w:rFonts w:hint="eastAsia"/>
                <w:color w:val="auto"/>
                <w:highlight w:val="none"/>
                <w:lang w:eastAsia="zh-CN"/>
              </w:rPr>
              <w:t>检测、监测</w:t>
            </w:r>
            <w:r>
              <w:rPr>
                <w:rFonts w:hint="eastAsia"/>
                <w:color w:val="auto"/>
                <w:highlight w:val="none"/>
              </w:rPr>
              <w:t>人员专业配备、各专业之间的配合、统筹管理等方面，就如何避免自身原因引起的错漏、如何减少控制投资等方面提出切实可行的</w:t>
            </w:r>
            <w:r>
              <w:rPr>
                <w:rFonts w:hint="eastAsia"/>
                <w:color w:val="auto"/>
                <w:highlight w:val="none"/>
                <w:lang w:eastAsia="zh-CN"/>
              </w:rPr>
              <w:t>检测、监测</w:t>
            </w:r>
            <w:r>
              <w:rPr>
                <w:rFonts w:hint="eastAsia"/>
                <w:color w:val="auto"/>
                <w:highlight w:val="none"/>
              </w:rPr>
              <w:t>保证措施。同时应根据项目建设工期要求，结合自身的管理经验及实际情况提出相应的进度保证措施，并制定</w:t>
            </w:r>
            <w:r>
              <w:rPr>
                <w:rFonts w:hint="eastAsia"/>
                <w:color w:val="auto"/>
                <w:highlight w:val="none"/>
                <w:lang w:eastAsia="zh-CN"/>
              </w:rPr>
              <w:t>检测、监测</w:t>
            </w:r>
            <w:r>
              <w:rPr>
                <w:rFonts w:hint="eastAsia"/>
                <w:color w:val="auto"/>
                <w:highlight w:val="none"/>
              </w:rPr>
              <w:t>工作计划安排及人员投入计划等。</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0AB204C">
            <w:pPr>
              <w:spacing w:line="360" w:lineRule="auto"/>
              <w:jc w:val="center"/>
              <w:rPr>
                <w:rFonts w:hint="eastAsia"/>
                <w:color w:val="auto"/>
                <w:highlight w:val="none"/>
              </w:rPr>
            </w:pPr>
            <w:r>
              <w:rPr>
                <w:rFonts w:hint="eastAsia"/>
                <w:color w:val="auto"/>
                <w:highlight w:val="none"/>
              </w:rPr>
              <w:t>分为【优】、【良】</w:t>
            </w:r>
          </w:p>
          <w:p w14:paraId="17AB6B3D">
            <w:pPr>
              <w:spacing w:line="360" w:lineRule="auto"/>
              <w:jc w:val="center"/>
              <w:rPr>
                <w:rFonts w:hint="eastAsia"/>
                <w:color w:val="auto"/>
                <w:highlight w:val="none"/>
              </w:rPr>
            </w:pPr>
            <w:r>
              <w:rPr>
                <w:rFonts w:hint="eastAsia"/>
                <w:color w:val="auto"/>
                <w:highlight w:val="none"/>
              </w:rPr>
              <w:t>【中】三档。</w:t>
            </w:r>
          </w:p>
        </w:tc>
      </w:tr>
      <w:tr w14:paraId="71D9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AA3F321">
            <w:pPr>
              <w:spacing w:line="360" w:lineRule="auto"/>
              <w:jc w:val="center"/>
              <w:rPr>
                <w:b/>
                <w:bCs/>
                <w:color w:val="auto"/>
                <w:highlight w:val="none"/>
              </w:rPr>
            </w:pPr>
            <w:r>
              <w:rPr>
                <w:rFonts w:hint="eastAsia"/>
                <w:b/>
                <w:bCs/>
                <w:color w:val="auto"/>
                <w:highlight w:val="none"/>
              </w:rPr>
              <w:t>2</w:t>
            </w:r>
          </w:p>
        </w:tc>
        <w:tc>
          <w:tcPr>
            <w:tcW w:w="810" w:type="dxa"/>
            <w:tcBorders>
              <w:top w:val="single" w:color="auto" w:sz="4" w:space="0"/>
              <w:left w:val="single" w:color="auto" w:sz="4" w:space="0"/>
              <w:right w:val="single" w:color="auto" w:sz="4" w:space="0"/>
            </w:tcBorders>
            <w:noWrap w:val="0"/>
            <w:vAlign w:val="center"/>
          </w:tcPr>
          <w:p w14:paraId="2492AA3F">
            <w:pPr>
              <w:spacing w:line="360" w:lineRule="auto"/>
              <w:jc w:val="center"/>
              <w:rPr>
                <w:rFonts w:hint="eastAsia"/>
                <w:color w:val="auto"/>
                <w:highlight w:val="none"/>
              </w:rPr>
            </w:pPr>
            <w:r>
              <w:rPr>
                <w:rFonts w:hint="eastAsia"/>
                <w:color w:val="auto"/>
                <w:highlight w:val="none"/>
              </w:rPr>
              <w:t>团队因素</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F9A756E">
            <w:pPr>
              <w:spacing w:line="360" w:lineRule="auto"/>
              <w:rPr>
                <w:color w:val="auto"/>
                <w:highlight w:val="none"/>
              </w:rPr>
            </w:pPr>
            <w:r>
              <w:rPr>
                <w:rFonts w:hint="eastAsia"/>
                <w:bCs/>
                <w:color w:val="auto"/>
                <w:szCs w:val="21"/>
                <w:highlight w:val="none"/>
              </w:rPr>
              <w:t>企业经营实力好</w:t>
            </w:r>
            <w:r>
              <w:rPr>
                <w:rFonts w:hint="eastAsia"/>
                <w:bCs/>
                <w:color w:val="auto"/>
                <w:highlight w:val="none"/>
              </w:rPr>
              <w:t>，以</w:t>
            </w:r>
            <w:r>
              <w:rPr>
                <w:rFonts w:hint="eastAsia"/>
                <w:bCs/>
                <w:color w:val="auto"/>
                <w:szCs w:val="21"/>
                <w:highlight w:val="none"/>
              </w:rPr>
              <w:t>企业规模、企业诚信评价情况、资质等级、专业人员规模、财务状况、承接过类似项目业绩等情况综合比较。</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3DB6634">
            <w:pPr>
              <w:spacing w:line="360" w:lineRule="auto"/>
              <w:jc w:val="center"/>
              <w:rPr>
                <w:rFonts w:hint="eastAsia"/>
                <w:color w:val="auto"/>
                <w:highlight w:val="none"/>
              </w:rPr>
            </w:pPr>
            <w:r>
              <w:rPr>
                <w:rFonts w:hint="eastAsia"/>
                <w:color w:val="auto"/>
                <w:highlight w:val="none"/>
              </w:rPr>
              <w:t>分为【优】、【良】</w:t>
            </w:r>
          </w:p>
          <w:p w14:paraId="7A714008">
            <w:pPr>
              <w:spacing w:line="360" w:lineRule="auto"/>
              <w:jc w:val="center"/>
              <w:rPr>
                <w:rFonts w:hint="eastAsia"/>
                <w:color w:val="auto"/>
                <w:highlight w:val="none"/>
              </w:rPr>
            </w:pPr>
            <w:r>
              <w:rPr>
                <w:rFonts w:hint="eastAsia"/>
                <w:color w:val="auto"/>
                <w:highlight w:val="none"/>
              </w:rPr>
              <w:t>【中】三档。</w:t>
            </w:r>
          </w:p>
        </w:tc>
      </w:tr>
      <w:tr w14:paraId="352F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51E5E98A">
            <w:pPr>
              <w:spacing w:line="360" w:lineRule="auto"/>
              <w:jc w:val="center"/>
              <w:rPr>
                <w:b/>
                <w:bCs/>
                <w:color w:val="auto"/>
                <w:highlight w:val="none"/>
              </w:rPr>
            </w:pPr>
            <w:r>
              <w:rPr>
                <w:rFonts w:hint="eastAsia"/>
                <w:b/>
                <w:bCs/>
                <w:color w:val="auto"/>
                <w:highlight w:val="none"/>
              </w:rPr>
              <w:t>3</w:t>
            </w:r>
          </w:p>
        </w:tc>
        <w:tc>
          <w:tcPr>
            <w:tcW w:w="810" w:type="dxa"/>
            <w:tcBorders>
              <w:left w:val="single" w:color="auto" w:sz="4" w:space="0"/>
              <w:right w:val="single" w:color="auto" w:sz="4" w:space="0"/>
            </w:tcBorders>
            <w:noWrap w:val="0"/>
            <w:vAlign w:val="center"/>
          </w:tcPr>
          <w:p w14:paraId="32134A6C">
            <w:pPr>
              <w:spacing w:line="360" w:lineRule="auto"/>
              <w:jc w:val="center"/>
              <w:rPr>
                <w:rFonts w:hint="eastAsia"/>
                <w:color w:val="auto"/>
                <w:highlight w:val="none"/>
              </w:rPr>
            </w:pPr>
            <w:r>
              <w:rPr>
                <w:rFonts w:hint="eastAsia"/>
                <w:color w:val="auto"/>
                <w:highlight w:val="none"/>
              </w:rPr>
              <w:t>资信因素</w:t>
            </w:r>
          </w:p>
        </w:tc>
        <w:tc>
          <w:tcPr>
            <w:tcW w:w="6630" w:type="dxa"/>
            <w:tcBorders>
              <w:top w:val="single" w:color="auto" w:sz="4" w:space="0"/>
              <w:left w:val="single" w:color="auto" w:sz="4" w:space="0"/>
              <w:bottom w:val="single" w:color="auto" w:sz="4" w:space="0"/>
              <w:right w:val="single" w:color="auto" w:sz="4" w:space="0"/>
            </w:tcBorders>
            <w:noWrap w:val="0"/>
            <w:vAlign w:val="top"/>
          </w:tcPr>
          <w:p w14:paraId="58EA87D7">
            <w:pPr>
              <w:spacing w:line="360" w:lineRule="auto"/>
              <w:rPr>
                <w:color w:val="auto"/>
                <w:highlight w:val="none"/>
              </w:rPr>
            </w:pPr>
            <w:r>
              <w:rPr>
                <w:rFonts w:hint="eastAsia"/>
                <w:bCs/>
                <w:color w:val="auto"/>
                <w:szCs w:val="21"/>
                <w:highlight w:val="none"/>
              </w:rPr>
              <w:t>履约能力强，信用情况好，社会评价好，公司管理人员、职称人员、专业技术人员配备、人员技术水平和类似工作经历、管理人员履职到位情况好，服务响应及时高效有保障，过往业绩履约情况好。</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E968676">
            <w:pPr>
              <w:jc w:val="center"/>
              <w:rPr>
                <w:rFonts w:hint="eastAsia"/>
                <w:color w:val="auto"/>
                <w:highlight w:val="none"/>
              </w:rPr>
            </w:pPr>
            <w:r>
              <w:rPr>
                <w:rFonts w:hint="eastAsia"/>
                <w:color w:val="auto"/>
                <w:highlight w:val="none"/>
              </w:rPr>
              <w:t>分为【优】、 【良】</w:t>
            </w:r>
          </w:p>
          <w:p w14:paraId="253BEE00">
            <w:pPr>
              <w:spacing w:line="360" w:lineRule="auto"/>
              <w:jc w:val="center"/>
              <w:rPr>
                <w:rFonts w:hint="eastAsia"/>
                <w:color w:val="auto"/>
                <w:highlight w:val="none"/>
              </w:rPr>
            </w:pPr>
            <w:r>
              <w:rPr>
                <w:rFonts w:hint="eastAsia"/>
                <w:color w:val="auto"/>
                <w:highlight w:val="none"/>
              </w:rPr>
              <w:t>【中】</w:t>
            </w:r>
          </w:p>
          <w:p w14:paraId="7667E4EA">
            <w:pPr>
              <w:spacing w:line="360" w:lineRule="auto"/>
              <w:jc w:val="center"/>
              <w:rPr>
                <w:rFonts w:hint="eastAsia"/>
                <w:color w:val="auto"/>
                <w:highlight w:val="none"/>
              </w:rPr>
            </w:pPr>
            <w:r>
              <w:rPr>
                <w:rFonts w:hint="eastAsia"/>
                <w:color w:val="auto"/>
                <w:highlight w:val="none"/>
              </w:rPr>
              <w:t>三档。</w:t>
            </w:r>
          </w:p>
        </w:tc>
      </w:tr>
    </w:tbl>
    <w:p w14:paraId="06A6A13F">
      <w:pPr>
        <w:bidi w:val="0"/>
        <w:rPr>
          <w:rFonts w:hint="eastAsia"/>
        </w:rPr>
      </w:pPr>
    </w:p>
    <w:p w14:paraId="02C4FC92">
      <w:pPr>
        <w:bidi w:val="0"/>
        <w:rPr>
          <w:rFonts w:hint="eastAsia"/>
        </w:rPr>
      </w:pPr>
    </w:p>
    <w:p w14:paraId="50DCE054">
      <w:pPr>
        <w:bidi w:val="0"/>
        <w:rPr>
          <w:rFonts w:hint="eastAsia"/>
        </w:rPr>
      </w:pPr>
    </w:p>
    <w:p w14:paraId="076779F6">
      <w:pPr>
        <w:bidi w:val="0"/>
        <w:rPr>
          <w:rFonts w:hint="eastAsia"/>
        </w:rPr>
      </w:pPr>
    </w:p>
    <w:p w14:paraId="3A5718D5">
      <w:pPr>
        <w:bidi w:val="0"/>
        <w:rPr>
          <w:rFonts w:hint="eastAsia"/>
        </w:rPr>
      </w:pPr>
    </w:p>
    <w:p w14:paraId="391BB865">
      <w:pPr>
        <w:bidi w:val="0"/>
        <w:rPr>
          <w:rFonts w:hint="eastAsia"/>
        </w:rPr>
      </w:pPr>
    </w:p>
    <w:p w14:paraId="04798766">
      <w:pPr>
        <w:bidi w:val="0"/>
        <w:rPr>
          <w:rFonts w:hint="eastAsia"/>
        </w:rPr>
      </w:pPr>
    </w:p>
    <w:p w14:paraId="16261942">
      <w:pPr>
        <w:bidi w:val="0"/>
        <w:rPr>
          <w:rFonts w:hint="eastAsia"/>
        </w:rPr>
      </w:pPr>
    </w:p>
    <w:p w14:paraId="5423E89A">
      <w:pPr>
        <w:bidi w:val="0"/>
        <w:rPr>
          <w:rFonts w:hint="eastAsia"/>
        </w:rPr>
      </w:pPr>
    </w:p>
    <w:p w14:paraId="4FE9A5B7">
      <w:pPr>
        <w:bidi w:val="0"/>
        <w:rPr>
          <w:rFonts w:hint="eastAsia"/>
        </w:rPr>
      </w:pPr>
    </w:p>
    <w:p w14:paraId="4C98657A">
      <w:pPr>
        <w:bidi w:val="0"/>
        <w:rPr>
          <w:rFonts w:hint="eastAsia"/>
        </w:rPr>
      </w:pPr>
    </w:p>
    <w:p w14:paraId="7FD0F142">
      <w:pPr>
        <w:bidi w:val="0"/>
        <w:rPr>
          <w:rFonts w:hint="eastAsia"/>
        </w:rPr>
      </w:pPr>
    </w:p>
    <w:p w14:paraId="18619178">
      <w:pPr>
        <w:bidi w:val="0"/>
        <w:rPr>
          <w:rFonts w:hint="eastAsia"/>
        </w:rPr>
      </w:pPr>
    </w:p>
    <w:p w14:paraId="00EA5197">
      <w:pPr>
        <w:bidi w:val="0"/>
        <w:rPr>
          <w:rFonts w:hint="eastAsia"/>
        </w:rPr>
      </w:pPr>
    </w:p>
    <w:p w14:paraId="47EB898F">
      <w:pPr>
        <w:bidi w:val="0"/>
        <w:rPr>
          <w:rFonts w:hint="eastAsia"/>
        </w:rPr>
      </w:pPr>
    </w:p>
    <w:p w14:paraId="781237F2">
      <w:pPr>
        <w:bidi w:val="0"/>
        <w:rPr>
          <w:rFonts w:hint="eastAsia"/>
        </w:rPr>
      </w:pPr>
    </w:p>
    <w:p w14:paraId="429EDCCC">
      <w:pPr>
        <w:bidi w:val="0"/>
        <w:rPr>
          <w:rFonts w:hint="eastAsia"/>
        </w:rPr>
      </w:pPr>
    </w:p>
    <w:p w14:paraId="26B6F3C0">
      <w:pPr>
        <w:bidi w:val="0"/>
        <w:rPr>
          <w:rFonts w:hint="eastAsia"/>
        </w:rPr>
      </w:pPr>
    </w:p>
    <w:p w14:paraId="5E96D496">
      <w:pPr>
        <w:bidi w:val="0"/>
        <w:rPr>
          <w:rFonts w:hint="eastAsia"/>
        </w:rPr>
      </w:pPr>
    </w:p>
    <w:p w14:paraId="62EF51C3">
      <w:pPr>
        <w:bidi w:val="0"/>
        <w:rPr>
          <w:rFonts w:hint="eastAsia"/>
        </w:rPr>
      </w:pPr>
    </w:p>
    <w:p w14:paraId="031F449D">
      <w:pPr>
        <w:bidi w:val="0"/>
        <w:rPr>
          <w:rFonts w:hint="eastAsia"/>
        </w:rPr>
      </w:pPr>
    </w:p>
    <w:p w14:paraId="56C9E451">
      <w:pPr>
        <w:bidi w:val="0"/>
        <w:rPr>
          <w:rFonts w:hint="eastAsia"/>
        </w:rPr>
      </w:pPr>
    </w:p>
    <w:p w14:paraId="293D281F">
      <w:pPr>
        <w:bidi w:val="0"/>
        <w:rPr>
          <w:rFonts w:hint="eastAsia"/>
        </w:rPr>
      </w:pPr>
    </w:p>
    <w:p w14:paraId="0112F5EC">
      <w:pPr>
        <w:bidi w:val="0"/>
        <w:rPr>
          <w:rFonts w:hint="eastAsia"/>
        </w:rPr>
      </w:pPr>
    </w:p>
    <w:p w14:paraId="36BFAFC5">
      <w:pPr>
        <w:bidi w:val="0"/>
        <w:rPr>
          <w:rFonts w:hint="eastAsia"/>
        </w:rPr>
      </w:pPr>
    </w:p>
    <w:p w14:paraId="6F4AFD51">
      <w:pPr>
        <w:bidi w:val="0"/>
        <w:rPr>
          <w:rFonts w:hint="eastAsia"/>
        </w:rPr>
      </w:pPr>
    </w:p>
    <w:p w14:paraId="4F67A4FE">
      <w:pPr>
        <w:bidi w:val="0"/>
        <w:rPr>
          <w:rFonts w:hint="eastAsia"/>
        </w:rPr>
      </w:pPr>
    </w:p>
    <w:p w14:paraId="519C4C93">
      <w:pPr>
        <w:spacing w:line="360" w:lineRule="auto"/>
        <w:jc w:val="center"/>
        <w:rPr>
          <w:rFonts w:hint="default" w:eastAsia="宋体"/>
          <w:b/>
          <w:bCs/>
          <w:color w:val="auto"/>
          <w:sz w:val="28"/>
          <w:szCs w:val="28"/>
          <w:highlight w:val="none"/>
          <w:lang w:val="en-US" w:eastAsia="zh-CN"/>
        </w:rPr>
      </w:pPr>
      <w:r>
        <w:rPr>
          <w:rFonts w:hint="eastAsia"/>
          <w:b/>
          <w:bCs/>
          <w:color w:val="auto"/>
          <w:sz w:val="28"/>
          <w:szCs w:val="28"/>
          <w:highlight w:val="none"/>
        </w:rPr>
        <w:t>票决定标选票表（定标阶段）</w:t>
      </w:r>
      <w:r>
        <w:rPr>
          <w:rFonts w:hint="eastAsia"/>
          <w:b/>
          <w:bCs/>
          <w:color w:val="auto"/>
          <w:sz w:val="28"/>
          <w:szCs w:val="28"/>
          <w:highlight w:val="none"/>
          <w:lang w:val="en-US" w:eastAsia="zh-CN"/>
        </w:rPr>
        <w:t>第一中标候选人</w:t>
      </w:r>
    </w:p>
    <w:p w14:paraId="2FDD53DA">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780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638DF30F">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支持的投标人名称</w:t>
            </w:r>
          </w:p>
        </w:tc>
        <w:tc>
          <w:tcPr>
            <w:tcW w:w="2990" w:type="dxa"/>
            <w:tcBorders>
              <w:top w:val="single" w:color="auto" w:sz="4" w:space="0"/>
              <w:left w:val="nil"/>
              <w:bottom w:val="single" w:color="auto" w:sz="4" w:space="0"/>
              <w:right w:val="single" w:color="auto" w:sz="4" w:space="0"/>
            </w:tcBorders>
            <w:noWrap w:val="0"/>
            <w:vAlign w:val="center"/>
          </w:tcPr>
          <w:p w14:paraId="7D7D372F">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268F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0B6F7509">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607F695E">
            <w:pPr>
              <w:adjustRightInd w:val="0"/>
              <w:snapToGrid w:val="0"/>
              <w:spacing w:line="360" w:lineRule="auto"/>
              <w:jc w:val="center"/>
              <w:rPr>
                <w:rFonts w:hint="eastAsia"/>
                <w:color w:val="auto"/>
                <w:szCs w:val="21"/>
                <w:highlight w:val="none"/>
              </w:rPr>
            </w:pPr>
          </w:p>
        </w:tc>
      </w:tr>
    </w:tbl>
    <w:p w14:paraId="4563B017">
      <w:pPr>
        <w:pStyle w:val="26"/>
        <w:rPr>
          <w:rFonts w:hint="eastAsia" w:ascii="宋体" w:hAnsi="宋体" w:eastAsia="宋体" w:cs="宋体"/>
          <w:color w:val="auto"/>
          <w:kern w:val="0"/>
          <w:szCs w:val="21"/>
          <w:highlight w:val="none"/>
        </w:rPr>
      </w:pPr>
    </w:p>
    <w:p w14:paraId="2ADD5550">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2E43D786">
      <w:pPr>
        <w:adjustRightInd w:val="0"/>
        <w:snapToGrid w:val="0"/>
        <w:spacing w:line="360" w:lineRule="auto"/>
        <w:rPr>
          <w:rFonts w:hint="eastAsia"/>
          <w:color w:val="auto"/>
          <w:highlight w:val="none"/>
        </w:rPr>
      </w:pPr>
    </w:p>
    <w:p w14:paraId="5ACD72B8">
      <w:pPr>
        <w:adjustRightInd w:val="0"/>
        <w:snapToGrid w:val="0"/>
        <w:spacing w:line="360" w:lineRule="auto"/>
        <w:rPr>
          <w:rFonts w:hint="eastAsia"/>
          <w:b/>
          <w:color w:val="auto"/>
          <w:highlight w:val="none"/>
        </w:rPr>
      </w:pPr>
      <w:r>
        <w:rPr>
          <w:rFonts w:hint="eastAsia"/>
          <w:b/>
          <w:color w:val="auto"/>
          <w:highlight w:val="none"/>
        </w:rPr>
        <w:t>注：</w:t>
      </w:r>
      <w:r>
        <w:rPr>
          <w:rFonts w:hint="eastAsia"/>
          <w:b/>
          <w:color w:val="auto"/>
          <w:highlight w:val="none"/>
          <w:lang w:val="en-US" w:eastAsia="zh-CN"/>
        </w:rPr>
        <w:t>1、</w:t>
      </w:r>
      <w:r>
        <w:rPr>
          <w:rFonts w:hint="eastAsia"/>
          <w:b/>
          <w:color w:val="auto"/>
          <w:highlight w:val="none"/>
        </w:rPr>
        <w:t>由定标委员会成员进行投票，每轮各定标委员会成员只能支持一家投标人。</w:t>
      </w:r>
    </w:p>
    <w:p w14:paraId="3D0CDDD6">
      <w:pPr>
        <w:adjustRightInd w:val="0"/>
        <w:snapToGrid w:val="0"/>
        <w:spacing w:line="360" w:lineRule="auto"/>
        <w:ind w:firstLine="422" w:firstLineChars="200"/>
        <w:rPr>
          <w:rFonts w:hint="eastAsia" w:eastAsia="宋体"/>
          <w:b/>
          <w:color w:val="auto"/>
          <w:highlight w:val="none"/>
          <w:lang w:val="en-US" w:eastAsia="zh-CN"/>
        </w:rPr>
      </w:pPr>
      <w:r>
        <w:rPr>
          <w:rFonts w:hint="eastAsia"/>
          <w:b/>
          <w:color w:val="auto"/>
          <w:highlight w:val="none"/>
          <w:lang w:val="en-US" w:eastAsia="zh-CN"/>
        </w:rPr>
        <w:t>2、</w:t>
      </w:r>
      <w:r>
        <w:rPr>
          <w:rFonts w:hint="eastAsia" w:ascii="宋体" w:hAnsi="宋体" w:cs="宋体"/>
          <w:b/>
          <w:bCs/>
          <w:color w:val="auto"/>
          <w:sz w:val="24"/>
          <w:szCs w:val="24"/>
          <w:highlight w:val="none"/>
          <w:lang w:val="en-US" w:eastAsia="zh-CN"/>
        </w:rPr>
        <w:t>定标委员会成员3轮投票不能重复投票支持同一家投标人。</w:t>
      </w:r>
    </w:p>
    <w:p w14:paraId="55B135C4">
      <w:pPr>
        <w:spacing w:line="360" w:lineRule="auto"/>
        <w:rPr>
          <w:rFonts w:hint="eastAsia"/>
          <w:color w:val="auto"/>
          <w:highlight w:val="none"/>
        </w:rPr>
      </w:pPr>
    </w:p>
    <w:p w14:paraId="1B29AA88">
      <w:pPr>
        <w:spacing w:line="360" w:lineRule="auto"/>
        <w:ind w:left="314" w:right="960" w:hanging="275" w:hangingChars="131"/>
        <w:jc w:val="center"/>
        <w:rPr>
          <w:rFonts w:hint="eastAsia"/>
          <w:color w:val="auto"/>
          <w:highlight w:val="none"/>
        </w:rPr>
      </w:pPr>
      <w:r>
        <w:rPr>
          <w:rFonts w:hint="eastAsia"/>
          <w:color w:val="auto"/>
          <w:highlight w:val="none"/>
        </w:rPr>
        <w:t>日期：  年  月   日</w:t>
      </w:r>
    </w:p>
    <w:p w14:paraId="0A0F01AD">
      <w:pPr>
        <w:spacing w:line="360" w:lineRule="auto"/>
        <w:ind w:left="314" w:right="960" w:hanging="275" w:hangingChars="131"/>
        <w:jc w:val="center"/>
        <w:rPr>
          <w:rFonts w:hint="eastAsia"/>
          <w:color w:val="auto"/>
          <w:highlight w:val="none"/>
        </w:rPr>
      </w:pPr>
    </w:p>
    <w:p w14:paraId="2D83E360">
      <w:pPr>
        <w:spacing w:line="360" w:lineRule="auto"/>
        <w:ind w:left="314" w:right="960" w:hanging="275" w:hangingChars="131"/>
        <w:jc w:val="center"/>
        <w:rPr>
          <w:rFonts w:hint="eastAsia"/>
          <w:color w:val="auto"/>
          <w:highlight w:val="none"/>
        </w:rPr>
      </w:pPr>
    </w:p>
    <w:p w14:paraId="7FB5B498">
      <w:pPr>
        <w:spacing w:line="360" w:lineRule="auto"/>
        <w:ind w:left="314" w:right="960" w:hanging="275" w:hangingChars="131"/>
        <w:jc w:val="center"/>
        <w:rPr>
          <w:rFonts w:hint="eastAsia"/>
          <w:color w:val="auto"/>
          <w:highlight w:val="none"/>
        </w:rPr>
      </w:pPr>
    </w:p>
    <w:p w14:paraId="0DBC8C8F">
      <w:pPr>
        <w:spacing w:line="360" w:lineRule="auto"/>
        <w:ind w:left="314" w:right="960" w:hanging="275" w:hangingChars="131"/>
        <w:jc w:val="center"/>
        <w:rPr>
          <w:rFonts w:hint="eastAsia"/>
          <w:color w:val="auto"/>
          <w:highlight w:val="none"/>
        </w:rPr>
      </w:pPr>
    </w:p>
    <w:p w14:paraId="7788F466">
      <w:pPr>
        <w:spacing w:line="360" w:lineRule="auto"/>
        <w:ind w:left="314" w:right="960" w:hanging="275" w:hangingChars="131"/>
        <w:jc w:val="center"/>
        <w:rPr>
          <w:rFonts w:hint="eastAsia"/>
          <w:color w:val="auto"/>
          <w:highlight w:val="none"/>
        </w:rPr>
      </w:pPr>
    </w:p>
    <w:p w14:paraId="1D779B11">
      <w:pPr>
        <w:spacing w:line="360" w:lineRule="auto"/>
        <w:ind w:left="314" w:right="960" w:hanging="275" w:hangingChars="131"/>
        <w:jc w:val="center"/>
        <w:rPr>
          <w:rFonts w:hint="eastAsia"/>
          <w:color w:val="auto"/>
          <w:highlight w:val="none"/>
        </w:rPr>
      </w:pPr>
    </w:p>
    <w:p w14:paraId="598C534F">
      <w:pPr>
        <w:spacing w:line="360" w:lineRule="auto"/>
        <w:ind w:left="314" w:right="960" w:hanging="275" w:hangingChars="131"/>
        <w:jc w:val="center"/>
        <w:rPr>
          <w:rFonts w:hint="eastAsia"/>
          <w:color w:val="auto"/>
          <w:highlight w:val="none"/>
        </w:rPr>
      </w:pPr>
    </w:p>
    <w:p w14:paraId="5C67C8A0">
      <w:pPr>
        <w:spacing w:line="360" w:lineRule="auto"/>
        <w:ind w:left="314" w:right="960" w:hanging="275" w:hangingChars="131"/>
        <w:jc w:val="center"/>
        <w:rPr>
          <w:rFonts w:hint="eastAsia"/>
          <w:color w:val="auto"/>
          <w:highlight w:val="none"/>
        </w:rPr>
      </w:pPr>
    </w:p>
    <w:p w14:paraId="7877D3AC">
      <w:pPr>
        <w:spacing w:line="360" w:lineRule="auto"/>
        <w:ind w:left="314" w:right="960" w:hanging="275" w:hangingChars="131"/>
        <w:jc w:val="center"/>
        <w:rPr>
          <w:rFonts w:hint="eastAsia"/>
          <w:color w:val="auto"/>
          <w:highlight w:val="none"/>
        </w:rPr>
      </w:pPr>
    </w:p>
    <w:p w14:paraId="627B30D7">
      <w:pPr>
        <w:spacing w:line="360" w:lineRule="auto"/>
        <w:ind w:left="314" w:right="960" w:hanging="275" w:hangingChars="131"/>
        <w:jc w:val="center"/>
        <w:rPr>
          <w:rFonts w:hint="eastAsia"/>
          <w:color w:val="auto"/>
          <w:highlight w:val="none"/>
        </w:rPr>
      </w:pPr>
    </w:p>
    <w:p w14:paraId="388D70C6">
      <w:pPr>
        <w:spacing w:line="360" w:lineRule="auto"/>
        <w:ind w:left="314" w:right="960" w:hanging="275" w:hangingChars="131"/>
        <w:jc w:val="center"/>
        <w:rPr>
          <w:rFonts w:hint="eastAsia"/>
          <w:color w:val="auto"/>
          <w:highlight w:val="none"/>
        </w:rPr>
      </w:pPr>
    </w:p>
    <w:p w14:paraId="7EFFEA01">
      <w:pPr>
        <w:spacing w:line="360" w:lineRule="auto"/>
        <w:ind w:left="314" w:right="960" w:hanging="275" w:hangingChars="131"/>
        <w:jc w:val="center"/>
        <w:rPr>
          <w:rFonts w:hint="eastAsia"/>
          <w:color w:val="auto"/>
          <w:highlight w:val="none"/>
        </w:rPr>
      </w:pPr>
    </w:p>
    <w:p w14:paraId="6FCDF962">
      <w:pPr>
        <w:spacing w:line="360" w:lineRule="auto"/>
        <w:ind w:left="314" w:right="960" w:hanging="275" w:hangingChars="131"/>
        <w:jc w:val="center"/>
        <w:rPr>
          <w:rFonts w:hint="eastAsia"/>
          <w:color w:val="auto"/>
          <w:highlight w:val="none"/>
        </w:rPr>
      </w:pPr>
    </w:p>
    <w:p w14:paraId="756B658A">
      <w:pPr>
        <w:spacing w:line="360" w:lineRule="auto"/>
        <w:ind w:left="314" w:right="960" w:hanging="275" w:hangingChars="131"/>
        <w:jc w:val="center"/>
        <w:rPr>
          <w:rFonts w:hint="eastAsia"/>
          <w:color w:val="auto"/>
          <w:highlight w:val="none"/>
        </w:rPr>
      </w:pPr>
    </w:p>
    <w:p w14:paraId="34B06410">
      <w:pPr>
        <w:spacing w:line="360" w:lineRule="auto"/>
        <w:ind w:left="314" w:right="960" w:hanging="275" w:hangingChars="131"/>
        <w:jc w:val="center"/>
        <w:rPr>
          <w:rFonts w:hint="eastAsia"/>
          <w:color w:val="auto"/>
          <w:highlight w:val="none"/>
        </w:rPr>
      </w:pPr>
    </w:p>
    <w:p w14:paraId="345AC0B7">
      <w:pPr>
        <w:spacing w:line="360" w:lineRule="auto"/>
        <w:ind w:left="314" w:right="960" w:hanging="275" w:hangingChars="131"/>
        <w:jc w:val="center"/>
        <w:rPr>
          <w:rFonts w:hint="eastAsia"/>
          <w:color w:val="auto"/>
          <w:highlight w:val="none"/>
        </w:rPr>
      </w:pPr>
    </w:p>
    <w:p w14:paraId="4AD80C04">
      <w:pPr>
        <w:spacing w:line="360" w:lineRule="auto"/>
        <w:ind w:left="314" w:right="960" w:hanging="275" w:hangingChars="131"/>
        <w:jc w:val="center"/>
        <w:rPr>
          <w:rFonts w:hint="eastAsia"/>
          <w:color w:val="auto"/>
          <w:highlight w:val="none"/>
        </w:rPr>
      </w:pPr>
    </w:p>
    <w:p w14:paraId="7861AD7D">
      <w:pPr>
        <w:spacing w:line="360" w:lineRule="auto"/>
        <w:ind w:left="314" w:right="960" w:hanging="275" w:hangingChars="131"/>
        <w:jc w:val="center"/>
        <w:rPr>
          <w:rFonts w:hint="eastAsia"/>
          <w:color w:val="auto"/>
          <w:highlight w:val="none"/>
        </w:rPr>
      </w:pPr>
    </w:p>
    <w:p w14:paraId="0755F814">
      <w:pPr>
        <w:spacing w:line="360" w:lineRule="auto"/>
        <w:ind w:left="314" w:right="960" w:hanging="275" w:hangingChars="131"/>
        <w:jc w:val="center"/>
        <w:rPr>
          <w:rFonts w:hint="eastAsia"/>
          <w:color w:val="auto"/>
          <w:highlight w:val="none"/>
        </w:rPr>
      </w:pPr>
    </w:p>
    <w:p w14:paraId="6A6993CB">
      <w:pPr>
        <w:spacing w:line="360" w:lineRule="auto"/>
        <w:ind w:left="314" w:right="960" w:hanging="275" w:hangingChars="131"/>
        <w:jc w:val="center"/>
        <w:rPr>
          <w:rFonts w:hint="eastAsia"/>
          <w:color w:val="auto"/>
          <w:highlight w:val="none"/>
        </w:rPr>
      </w:pPr>
    </w:p>
    <w:p w14:paraId="2DA0A92E">
      <w:pPr>
        <w:spacing w:line="360" w:lineRule="auto"/>
        <w:ind w:left="314" w:right="960" w:hanging="275" w:hangingChars="131"/>
        <w:jc w:val="center"/>
        <w:rPr>
          <w:rFonts w:hint="eastAsia"/>
          <w:color w:val="auto"/>
          <w:highlight w:val="none"/>
        </w:rPr>
      </w:pPr>
    </w:p>
    <w:p w14:paraId="7F9906B6">
      <w:pPr>
        <w:spacing w:line="360" w:lineRule="auto"/>
        <w:ind w:left="314" w:right="960" w:hanging="275" w:hangingChars="131"/>
        <w:jc w:val="center"/>
        <w:rPr>
          <w:rFonts w:hint="eastAsia"/>
          <w:color w:val="auto"/>
          <w:highlight w:val="none"/>
        </w:rPr>
      </w:pPr>
    </w:p>
    <w:p w14:paraId="3D3FB54A">
      <w:pPr>
        <w:spacing w:line="360" w:lineRule="auto"/>
        <w:ind w:left="314" w:right="960" w:hanging="275" w:hangingChars="131"/>
        <w:jc w:val="center"/>
        <w:rPr>
          <w:rFonts w:hint="eastAsia"/>
          <w:color w:val="auto"/>
          <w:highlight w:val="none"/>
        </w:rPr>
      </w:pPr>
    </w:p>
    <w:p w14:paraId="68D318E4">
      <w:pPr>
        <w:spacing w:line="360" w:lineRule="auto"/>
        <w:jc w:val="center"/>
        <w:rPr>
          <w:rFonts w:hint="default" w:eastAsia="宋体"/>
          <w:b/>
          <w:bCs/>
          <w:color w:val="auto"/>
          <w:sz w:val="28"/>
          <w:szCs w:val="28"/>
          <w:highlight w:val="none"/>
          <w:lang w:val="en-US" w:eastAsia="zh-CN"/>
        </w:rPr>
      </w:pPr>
      <w:r>
        <w:rPr>
          <w:rFonts w:hint="eastAsia"/>
          <w:b/>
          <w:bCs/>
          <w:color w:val="auto"/>
          <w:sz w:val="28"/>
          <w:szCs w:val="28"/>
          <w:highlight w:val="none"/>
        </w:rPr>
        <w:t>票决定标选票表（定标阶段）</w:t>
      </w:r>
      <w:r>
        <w:rPr>
          <w:rFonts w:hint="eastAsia"/>
          <w:b/>
          <w:bCs/>
          <w:color w:val="auto"/>
          <w:sz w:val="28"/>
          <w:szCs w:val="28"/>
          <w:highlight w:val="none"/>
          <w:lang w:val="en-US" w:eastAsia="zh-CN"/>
        </w:rPr>
        <w:t>第二中标候选人</w:t>
      </w:r>
    </w:p>
    <w:p w14:paraId="10B94AC6">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76AD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0E0A100D">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支持的投标人名称</w:t>
            </w:r>
          </w:p>
        </w:tc>
        <w:tc>
          <w:tcPr>
            <w:tcW w:w="2990" w:type="dxa"/>
            <w:tcBorders>
              <w:top w:val="single" w:color="auto" w:sz="4" w:space="0"/>
              <w:left w:val="nil"/>
              <w:bottom w:val="single" w:color="auto" w:sz="4" w:space="0"/>
              <w:right w:val="single" w:color="auto" w:sz="4" w:space="0"/>
            </w:tcBorders>
            <w:noWrap w:val="0"/>
            <w:vAlign w:val="center"/>
          </w:tcPr>
          <w:p w14:paraId="6357A006">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7D41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780AE0A6">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011C0D88">
            <w:pPr>
              <w:adjustRightInd w:val="0"/>
              <w:snapToGrid w:val="0"/>
              <w:spacing w:line="360" w:lineRule="auto"/>
              <w:jc w:val="center"/>
              <w:rPr>
                <w:rFonts w:hint="eastAsia"/>
                <w:color w:val="auto"/>
                <w:szCs w:val="21"/>
                <w:highlight w:val="none"/>
              </w:rPr>
            </w:pPr>
          </w:p>
        </w:tc>
      </w:tr>
    </w:tbl>
    <w:p w14:paraId="2C3F7061">
      <w:pPr>
        <w:pStyle w:val="26"/>
        <w:rPr>
          <w:rFonts w:hint="eastAsia" w:ascii="宋体" w:hAnsi="宋体" w:eastAsia="宋体" w:cs="宋体"/>
          <w:color w:val="auto"/>
          <w:kern w:val="0"/>
          <w:szCs w:val="21"/>
          <w:highlight w:val="none"/>
        </w:rPr>
      </w:pPr>
    </w:p>
    <w:p w14:paraId="131C3C7B">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082C6424">
      <w:pPr>
        <w:adjustRightInd w:val="0"/>
        <w:snapToGrid w:val="0"/>
        <w:spacing w:line="360" w:lineRule="auto"/>
        <w:rPr>
          <w:rFonts w:hint="eastAsia"/>
          <w:color w:val="auto"/>
          <w:highlight w:val="none"/>
        </w:rPr>
      </w:pPr>
    </w:p>
    <w:p w14:paraId="42508855">
      <w:pPr>
        <w:adjustRightInd w:val="0"/>
        <w:snapToGrid w:val="0"/>
        <w:spacing w:line="360" w:lineRule="auto"/>
        <w:rPr>
          <w:rFonts w:hint="eastAsia"/>
          <w:b/>
          <w:color w:val="auto"/>
          <w:highlight w:val="none"/>
        </w:rPr>
      </w:pPr>
      <w:r>
        <w:rPr>
          <w:rFonts w:hint="eastAsia"/>
          <w:b/>
          <w:color w:val="auto"/>
          <w:highlight w:val="none"/>
        </w:rPr>
        <w:t>注：</w:t>
      </w:r>
      <w:r>
        <w:rPr>
          <w:rFonts w:hint="eastAsia"/>
          <w:b/>
          <w:color w:val="auto"/>
          <w:highlight w:val="none"/>
          <w:lang w:val="en-US" w:eastAsia="zh-CN"/>
        </w:rPr>
        <w:t>1、</w:t>
      </w:r>
      <w:r>
        <w:rPr>
          <w:rFonts w:hint="eastAsia"/>
          <w:b/>
          <w:color w:val="auto"/>
          <w:highlight w:val="none"/>
        </w:rPr>
        <w:t>由定标委员会成员进行投票，每轮各定标委员会成员只能支持一家投标人。</w:t>
      </w:r>
    </w:p>
    <w:p w14:paraId="13692F16">
      <w:pPr>
        <w:spacing w:line="360" w:lineRule="auto"/>
        <w:ind w:firstLine="422" w:firstLineChars="200"/>
        <w:rPr>
          <w:rFonts w:hint="eastAsia"/>
          <w:color w:val="auto"/>
          <w:highlight w:val="none"/>
        </w:rPr>
      </w:pPr>
      <w:r>
        <w:rPr>
          <w:rFonts w:hint="eastAsia"/>
          <w:b/>
          <w:color w:val="auto"/>
          <w:highlight w:val="none"/>
          <w:lang w:val="en-US" w:eastAsia="zh-CN"/>
        </w:rPr>
        <w:t>2、</w:t>
      </w:r>
      <w:r>
        <w:rPr>
          <w:rFonts w:hint="eastAsia" w:ascii="宋体" w:hAnsi="宋体" w:cs="宋体"/>
          <w:b/>
          <w:bCs/>
          <w:color w:val="auto"/>
          <w:sz w:val="24"/>
          <w:szCs w:val="24"/>
          <w:highlight w:val="none"/>
          <w:lang w:val="en-US" w:eastAsia="zh-CN"/>
        </w:rPr>
        <w:t>定标委员会成员3轮投票不能重复投票支持同一家投标人。</w:t>
      </w:r>
    </w:p>
    <w:p w14:paraId="3D19BCA8">
      <w:pPr>
        <w:spacing w:line="360" w:lineRule="auto"/>
        <w:ind w:left="314" w:right="960" w:hanging="275" w:hangingChars="131"/>
        <w:jc w:val="center"/>
        <w:rPr>
          <w:rFonts w:hint="eastAsia"/>
          <w:color w:val="auto"/>
          <w:highlight w:val="none"/>
        </w:rPr>
      </w:pPr>
      <w:r>
        <w:rPr>
          <w:rFonts w:hint="eastAsia"/>
          <w:color w:val="auto"/>
          <w:highlight w:val="none"/>
        </w:rPr>
        <w:t>日期：  年  月   日</w:t>
      </w:r>
    </w:p>
    <w:p w14:paraId="1B33AE55">
      <w:pPr>
        <w:spacing w:line="360" w:lineRule="auto"/>
        <w:ind w:left="314" w:right="960" w:hanging="275" w:hangingChars="131"/>
        <w:jc w:val="center"/>
        <w:rPr>
          <w:rFonts w:hint="eastAsia"/>
          <w:color w:val="auto"/>
          <w:highlight w:val="none"/>
        </w:rPr>
      </w:pPr>
    </w:p>
    <w:p w14:paraId="0F4696EF">
      <w:pPr>
        <w:spacing w:line="360" w:lineRule="auto"/>
        <w:ind w:left="314" w:right="960" w:hanging="275" w:hangingChars="131"/>
        <w:jc w:val="center"/>
        <w:rPr>
          <w:rFonts w:hint="eastAsia"/>
          <w:color w:val="auto"/>
          <w:highlight w:val="none"/>
        </w:rPr>
      </w:pPr>
    </w:p>
    <w:p w14:paraId="453ADB06">
      <w:pPr>
        <w:spacing w:line="360" w:lineRule="auto"/>
        <w:ind w:left="314" w:right="960" w:hanging="275" w:hangingChars="131"/>
        <w:jc w:val="center"/>
        <w:rPr>
          <w:rFonts w:hint="eastAsia"/>
          <w:color w:val="auto"/>
          <w:highlight w:val="none"/>
        </w:rPr>
      </w:pPr>
    </w:p>
    <w:p w14:paraId="2B3FE609">
      <w:pPr>
        <w:spacing w:line="360" w:lineRule="auto"/>
        <w:ind w:left="314" w:right="960" w:hanging="275" w:hangingChars="131"/>
        <w:jc w:val="center"/>
        <w:rPr>
          <w:rFonts w:hint="eastAsia"/>
          <w:color w:val="auto"/>
          <w:highlight w:val="none"/>
        </w:rPr>
      </w:pPr>
    </w:p>
    <w:p w14:paraId="6A94B4ED">
      <w:pPr>
        <w:spacing w:line="360" w:lineRule="auto"/>
        <w:ind w:left="314" w:right="960" w:hanging="275" w:hangingChars="131"/>
        <w:jc w:val="center"/>
        <w:rPr>
          <w:rFonts w:hint="eastAsia"/>
          <w:color w:val="auto"/>
          <w:highlight w:val="none"/>
        </w:rPr>
      </w:pPr>
    </w:p>
    <w:p w14:paraId="56B256EB">
      <w:pPr>
        <w:spacing w:line="360" w:lineRule="auto"/>
        <w:ind w:left="314" w:right="960" w:hanging="275" w:hangingChars="131"/>
        <w:jc w:val="center"/>
        <w:rPr>
          <w:rFonts w:hint="eastAsia"/>
          <w:color w:val="auto"/>
          <w:highlight w:val="none"/>
        </w:rPr>
      </w:pPr>
    </w:p>
    <w:p w14:paraId="057C51D5">
      <w:pPr>
        <w:spacing w:line="360" w:lineRule="auto"/>
        <w:ind w:left="314" w:right="960" w:hanging="275" w:hangingChars="131"/>
        <w:jc w:val="center"/>
        <w:rPr>
          <w:rFonts w:hint="eastAsia"/>
          <w:color w:val="auto"/>
          <w:highlight w:val="none"/>
        </w:rPr>
      </w:pPr>
    </w:p>
    <w:p w14:paraId="1D1C7576">
      <w:pPr>
        <w:spacing w:line="360" w:lineRule="auto"/>
        <w:ind w:left="314" w:right="960" w:hanging="275" w:hangingChars="131"/>
        <w:jc w:val="center"/>
        <w:rPr>
          <w:rFonts w:hint="eastAsia"/>
          <w:color w:val="auto"/>
          <w:highlight w:val="none"/>
        </w:rPr>
      </w:pPr>
    </w:p>
    <w:p w14:paraId="24CE27B3">
      <w:pPr>
        <w:spacing w:line="360" w:lineRule="auto"/>
        <w:ind w:left="314" w:right="960" w:hanging="275" w:hangingChars="131"/>
        <w:jc w:val="center"/>
        <w:rPr>
          <w:rFonts w:hint="eastAsia"/>
          <w:color w:val="auto"/>
          <w:highlight w:val="none"/>
        </w:rPr>
      </w:pPr>
    </w:p>
    <w:p w14:paraId="0069EBBC">
      <w:pPr>
        <w:spacing w:line="360" w:lineRule="auto"/>
        <w:ind w:left="314" w:right="960" w:hanging="275" w:hangingChars="131"/>
        <w:jc w:val="center"/>
        <w:rPr>
          <w:rFonts w:hint="eastAsia"/>
          <w:color w:val="auto"/>
          <w:highlight w:val="none"/>
        </w:rPr>
      </w:pPr>
    </w:p>
    <w:p w14:paraId="3DA4CC3F">
      <w:pPr>
        <w:spacing w:line="360" w:lineRule="auto"/>
        <w:ind w:left="314" w:right="960" w:hanging="275" w:hangingChars="131"/>
        <w:jc w:val="center"/>
        <w:rPr>
          <w:rFonts w:hint="eastAsia"/>
          <w:color w:val="auto"/>
          <w:highlight w:val="none"/>
        </w:rPr>
      </w:pPr>
    </w:p>
    <w:p w14:paraId="4AEE001D">
      <w:pPr>
        <w:spacing w:line="360" w:lineRule="auto"/>
        <w:ind w:left="314" w:right="960" w:hanging="275" w:hangingChars="131"/>
        <w:jc w:val="center"/>
        <w:rPr>
          <w:rFonts w:hint="eastAsia"/>
          <w:color w:val="auto"/>
          <w:highlight w:val="none"/>
        </w:rPr>
      </w:pPr>
    </w:p>
    <w:p w14:paraId="1B9DF5B9">
      <w:pPr>
        <w:spacing w:line="360" w:lineRule="auto"/>
        <w:ind w:left="314" w:right="960" w:hanging="275" w:hangingChars="131"/>
        <w:jc w:val="center"/>
        <w:rPr>
          <w:rFonts w:hint="eastAsia"/>
          <w:color w:val="auto"/>
          <w:highlight w:val="none"/>
        </w:rPr>
      </w:pPr>
    </w:p>
    <w:p w14:paraId="767FDAC2">
      <w:pPr>
        <w:spacing w:line="360" w:lineRule="auto"/>
        <w:ind w:left="314" w:right="960" w:hanging="275" w:hangingChars="131"/>
        <w:jc w:val="center"/>
        <w:rPr>
          <w:rFonts w:hint="eastAsia"/>
          <w:color w:val="auto"/>
          <w:highlight w:val="none"/>
        </w:rPr>
      </w:pPr>
    </w:p>
    <w:p w14:paraId="39DBE1F5">
      <w:pPr>
        <w:spacing w:line="360" w:lineRule="auto"/>
        <w:ind w:left="314" w:right="960" w:hanging="275" w:hangingChars="131"/>
        <w:jc w:val="center"/>
        <w:rPr>
          <w:rFonts w:hint="eastAsia"/>
          <w:color w:val="auto"/>
          <w:highlight w:val="none"/>
        </w:rPr>
      </w:pPr>
    </w:p>
    <w:p w14:paraId="4A0F4EB1">
      <w:pPr>
        <w:spacing w:line="360" w:lineRule="auto"/>
        <w:ind w:left="314" w:right="960" w:hanging="275" w:hangingChars="131"/>
        <w:jc w:val="center"/>
        <w:rPr>
          <w:rFonts w:hint="eastAsia"/>
          <w:color w:val="auto"/>
          <w:highlight w:val="none"/>
        </w:rPr>
      </w:pPr>
    </w:p>
    <w:p w14:paraId="7F22F47D">
      <w:pPr>
        <w:spacing w:line="360" w:lineRule="auto"/>
        <w:ind w:left="314" w:right="960" w:hanging="275" w:hangingChars="131"/>
        <w:jc w:val="center"/>
        <w:rPr>
          <w:rFonts w:hint="eastAsia"/>
          <w:color w:val="auto"/>
          <w:highlight w:val="none"/>
        </w:rPr>
      </w:pPr>
    </w:p>
    <w:p w14:paraId="4F57FD3E">
      <w:pPr>
        <w:spacing w:line="360" w:lineRule="auto"/>
        <w:ind w:left="314" w:right="960" w:hanging="275" w:hangingChars="131"/>
        <w:jc w:val="center"/>
        <w:rPr>
          <w:rFonts w:hint="eastAsia"/>
          <w:color w:val="auto"/>
          <w:highlight w:val="none"/>
        </w:rPr>
      </w:pPr>
    </w:p>
    <w:p w14:paraId="5C41DC3C">
      <w:pPr>
        <w:spacing w:line="360" w:lineRule="auto"/>
        <w:ind w:left="314" w:right="960" w:hanging="275" w:hangingChars="131"/>
        <w:jc w:val="center"/>
        <w:rPr>
          <w:rFonts w:hint="eastAsia"/>
          <w:color w:val="auto"/>
          <w:highlight w:val="none"/>
        </w:rPr>
      </w:pPr>
    </w:p>
    <w:p w14:paraId="107995FA">
      <w:pPr>
        <w:spacing w:line="360" w:lineRule="auto"/>
        <w:ind w:left="314" w:right="960" w:hanging="275" w:hangingChars="131"/>
        <w:jc w:val="center"/>
        <w:rPr>
          <w:rFonts w:hint="eastAsia"/>
          <w:color w:val="auto"/>
          <w:highlight w:val="none"/>
        </w:rPr>
      </w:pPr>
    </w:p>
    <w:p w14:paraId="65C2C788">
      <w:pPr>
        <w:spacing w:line="360" w:lineRule="auto"/>
        <w:ind w:left="314" w:right="960" w:hanging="275" w:hangingChars="131"/>
        <w:jc w:val="center"/>
        <w:rPr>
          <w:rFonts w:hint="eastAsia"/>
          <w:color w:val="auto"/>
          <w:highlight w:val="none"/>
        </w:rPr>
      </w:pPr>
    </w:p>
    <w:p w14:paraId="26700C84">
      <w:pPr>
        <w:spacing w:line="360" w:lineRule="auto"/>
        <w:ind w:left="314" w:right="960" w:hanging="275" w:hangingChars="131"/>
        <w:jc w:val="center"/>
        <w:rPr>
          <w:rFonts w:hint="eastAsia"/>
          <w:color w:val="auto"/>
          <w:highlight w:val="none"/>
        </w:rPr>
      </w:pPr>
    </w:p>
    <w:p w14:paraId="47A8BEE4">
      <w:pPr>
        <w:spacing w:line="360" w:lineRule="auto"/>
        <w:ind w:left="314" w:right="960" w:hanging="275" w:hangingChars="131"/>
        <w:jc w:val="center"/>
        <w:rPr>
          <w:rFonts w:hint="eastAsia"/>
          <w:color w:val="auto"/>
          <w:highlight w:val="none"/>
        </w:rPr>
      </w:pPr>
    </w:p>
    <w:p w14:paraId="1B35717F">
      <w:pPr>
        <w:spacing w:line="360" w:lineRule="auto"/>
        <w:jc w:val="center"/>
        <w:rPr>
          <w:rFonts w:hint="default" w:eastAsia="宋体"/>
          <w:b/>
          <w:bCs/>
          <w:color w:val="auto"/>
          <w:sz w:val="28"/>
          <w:szCs w:val="28"/>
          <w:highlight w:val="none"/>
          <w:lang w:val="en-US" w:eastAsia="zh-CN"/>
        </w:rPr>
      </w:pPr>
      <w:r>
        <w:rPr>
          <w:rFonts w:hint="eastAsia"/>
          <w:b/>
          <w:bCs/>
          <w:color w:val="auto"/>
          <w:sz w:val="28"/>
          <w:szCs w:val="28"/>
          <w:highlight w:val="none"/>
        </w:rPr>
        <w:t>票决定标选票表（定标阶段）</w:t>
      </w:r>
      <w:r>
        <w:rPr>
          <w:rFonts w:hint="eastAsia"/>
          <w:b/>
          <w:bCs/>
          <w:color w:val="auto"/>
          <w:sz w:val="28"/>
          <w:szCs w:val="28"/>
          <w:highlight w:val="none"/>
          <w:lang w:val="en-US" w:eastAsia="zh-CN"/>
        </w:rPr>
        <w:t>第三中标候选人</w:t>
      </w:r>
    </w:p>
    <w:p w14:paraId="482411C7">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42F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2711CDCA">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支持的投标人名称</w:t>
            </w:r>
          </w:p>
        </w:tc>
        <w:tc>
          <w:tcPr>
            <w:tcW w:w="2990" w:type="dxa"/>
            <w:tcBorders>
              <w:top w:val="single" w:color="auto" w:sz="4" w:space="0"/>
              <w:left w:val="nil"/>
              <w:bottom w:val="single" w:color="auto" w:sz="4" w:space="0"/>
              <w:right w:val="single" w:color="auto" w:sz="4" w:space="0"/>
            </w:tcBorders>
            <w:noWrap w:val="0"/>
            <w:vAlign w:val="center"/>
          </w:tcPr>
          <w:p w14:paraId="53C3CCC0">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07A5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337A3B20">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74B0AEEF">
            <w:pPr>
              <w:adjustRightInd w:val="0"/>
              <w:snapToGrid w:val="0"/>
              <w:spacing w:line="360" w:lineRule="auto"/>
              <w:jc w:val="center"/>
              <w:rPr>
                <w:rFonts w:hint="eastAsia"/>
                <w:color w:val="auto"/>
                <w:szCs w:val="21"/>
                <w:highlight w:val="none"/>
              </w:rPr>
            </w:pPr>
          </w:p>
        </w:tc>
      </w:tr>
    </w:tbl>
    <w:p w14:paraId="3B995827">
      <w:pPr>
        <w:pStyle w:val="26"/>
        <w:rPr>
          <w:rFonts w:hint="eastAsia" w:ascii="宋体" w:hAnsi="宋体" w:eastAsia="宋体" w:cs="宋体"/>
          <w:color w:val="auto"/>
          <w:kern w:val="0"/>
          <w:szCs w:val="21"/>
          <w:highlight w:val="none"/>
        </w:rPr>
      </w:pPr>
    </w:p>
    <w:p w14:paraId="4667BF98">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24447D61">
      <w:pPr>
        <w:adjustRightInd w:val="0"/>
        <w:snapToGrid w:val="0"/>
        <w:spacing w:line="360" w:lineRule="auto"/>
        <w:rPr>
          <w:rFonts w:hint="eastAsia"/>
          <w:color w:val="auto"/>
          <w:highlight w:val="none"/>
        </w:rPr>
      </w:pPr>
    </w:p>
    <w:p w14:paraId="5B9EA88C">
      <w:pPr>
        <w:adjustRightInd w:val="0"/>
        <w:snapToGrid w:val="0"/>
        <w:spacing w:line="360" w:lineRule="auto"/>
        <w:rPr>
          <w:rFonts w:hint="eastAsia"/>
          <w:b/>
          <w:color w:val="auto"/>
          <w:highlight w:val="none"/>
        </w:rPr>
      </w:pPr>
      <w:r>
        <w:rPr>
          <w:rFonts w:hint="eastAsia"/>
          <w:b/>
          <w:color w:val="auto"/>
          <w:highlight w:val="none"/>
        </w:rPr>
        <w:t>注：</w:t>
      </w:r>
      <w:r>
        <w:rPr>
          <w:rFonts w:hint="eastAsia"/>
          <w:b/>
          <w:color w:val="auto"/>
          <w:highlight w:val="none"/>
          <w:lang w:val="en-US" w:eastAsia="zh-CN"/>
        </w:rPr>
        <w:t>1、</w:t>
      </w:r>
      <w:r>
        <w:rPr>
          <w:rFonts w:hint="eastAsia"/>
          <w:b/>
          <w:color w:val="auto"/>
          <w:highlight w:val="none"/>
        </w:rPr>
        <w:t>由定标委员会成员进行投票，每轮各定标委员会成员只能支持一家投标人。</w:t>
      </w:r>
    </w:p>
    <w:p w14:paraId="7A98E46B">
      <w:pPr>
        <w:adjustRightInd w:val="0"/>
        <w:snapToGrid w:val="0"/>
        <w:spacing w:line="360" w:lineRule="auto"/>
        <w:ind w:firstLine="422" w:firstLineChars="200"/>
        <w:rPr>
          <w:rFonts w:hint="eastAsia"/>
          <w:b/>
          <w:color w:val="auto"/>
          <w:highlight w:val="none"/>
        </w:rPr>
      </w:pPr>
      <w:r>
        <w:rPr>
          <w:rFonts w:hint="eastAsia"/>
          <w:b/>
          <w:color w:val="auto"/>
          <w:highlight w:val="none"/>
          <w:lang w:val="en-US" w:eastAsia="zh-CN"/>
        </w:rPr>
        <w:t>2、</w:t>
      </w:r>
      <w:r>
        <w:rPr>
          <w:rFonts w:hint="eastAsia" w:ascii="宋体" w:hAnsi="宋体" w:cs="宋体"/>
          <w:b/>
          <w:bCs/>
          <w:color w:val="auto"/>
          <w:sz w:val="24"/>
          <w:szCs w:val="24"/>
          <w:highlight w:val="none"/>
          <w:lang w:val="en-US" w:eastAsia="zh-CN"/>
        </w:rPr>
        <w:t>定标委员会成员3轮投票不能重复投票支持同一家投标人。</w:t>
      </w:r>
    </w:p>
    <w:p w14:paraId="2728E467">
      <w:pPr>
        <w:spacing w:line="360" w:lineRule="auto"/>
        <w:rPr>
          <w:rFonts w:hint="eastAsia"/>
          <w:color w:val="auto"/>
          <w:highlight w:val="none"/>
        </w:rPr>
      </w:pPr>
    </w:p>
    <w:p w14:paraId="5D066BDF">
      <w:pPr>
        <w:spacing w:line="360" w:lineRule="auto"/>
        <w:ind w:left="314" w:right="960" w:hanging="275" w:hangingChars="131"/>
        <w:jc w:val="center"/>
        <w:rPr>
          <w:rFonts w:hint="eastAsia"/>
          <w:color w:val="auto"/>
          <w:highlight w:val="none"/>
        </w:rPr>
      </w:pPr>
      <w:r>
        <w:rPr>
          <w:rFonts w:hint="eastAsia"/>
          <w:color w:val="auto"/>
          <w:highlight w:val="none"/>
        </w:rPr>
        <w:t>日期：  年  月   日</w:t>
      </w:r>
    </w:p>
    <w:p w14:paraId="68A59AE4">
      <w:pPr>
        <w:jc w:val="center"/>
        <w:rPr>
          <w:rFonts w:hint="eastAsia"/>
          <w:b/>
          <w:color w:val="auto"/>
          <w:sz w:val="28"/>
          <w:szCs w:val="28"/>
          <w:highlight w:val="none"/>
        </w:rPr>
      </w:pPr>
      <w:r>
        <w:rPr>
          <w:rFonts w:hint="eastAsia"/>
          <w:color w:val="auto"/>
          <w:highlight w:val="none"/>
        </w:rPr>
        <w:br w:type="page"/>
      </w:r>
      <w:r>
        <w:rPr>
          <w:rFonts w:hint="eastAsia"/>
          <w:b/>
          <w:bCs/>
          <w:color w:val="auto"/>
          <w:sz w:val="28"/>
          <w:szCs w:val="28"/>
          <w:highlight w:val="none"/>
        </w:rPr>
        <w:t>票决定标选票汇总表</w:t>
      </w:r>
      <w:r>
        <w:rPr>
          <w:rFonts w:hint="eastAsia"/>
          <w:b/>
          <w:color w:val="auto"/>
          <w:sz w:val="28"/>
          <w:szCs w:val="28"/>
          <w:highlight w:val="none"/>
        </w:rPr>
        <w:t>（定标阶段）</w:t>
      </w:r>
    </w:p>
    <w:p w14:paraId="27BE671A">
      <w:pPr>
        <w:pStyle w:val="26"/>
        <w:rPr>
          <w:rFonts w:hint="eastAsia" w:ascii="宋体" w:hAnsi="宋体" w:eastAsia="宋体" w:cs="宋体"/>
          <w:color w:val="auto"/>
          <w:highlight w:val="none"/>
        </w:rPr>
      </w:pPr>
    </w:p>
    <w:p w14:paraId="0A82AD78">
      <w:pPr>
        <w:adjustRightInd w:val="0"/>
        <w:snapToGrid w:val="0"/>
        <w:spacing w:line="360" w:lineRule="auto"/>
        <w:rPr>
          <w:rFonts w:hint="eastAsia"/>
          <w:color w:val="auto"/>
          <w:szCs w:val="21"/>
          <w:highlight w:val="none"/>
        </w:rPr>
      </w:pPr>
      <w:r>
        <w:rPr>
          <w:rFonts w:hint="eastAsia"/>
          <w:color w:val="auto"/>
          <w:szCs w:val="21"/>
          <w:highlight w:val="none"/>
        </w:rPr>
        <w:t>工程名称：</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254"/>
        <w:gridCol w:w="1388"/>
        <w:gridCol w:w="1429"/>
        <w:gridCol w:w="1291"/>
      </w:tblGrid>
      <w:tr w14:paraId="523C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05A04BED">
            <w:pPr>
              <w:adjustRightInd w:val="0"/>
              <w:snapToGrid w:val="0"/>
              <w:spacing w:line="360" w:lineRule="auto"/>
              <w:jc w:val="center"/>
              <w:rPr>
                <w:rFonts w:hint="eastAsia"/>
                <w:b/>
                <w:color w:val="auto"/>
                <w:szCs w:val="21"/>
                <w:highlight w:val="none"/>
              </w:rPr>
            </w:pPr>
            <w:r>
              <w:rPr>
                <w:rFonts w:hint="eastAsia"/>
                <w:b/>
                <w:color w:val="auto"/>
                <w:szCs w:val="21"/>
                <w:highlight w:val="none"/>
              </w:rPr>
              <w:t>序号</w:t>
            </w:r>
          </w:p>
        </w:tc>
        <w:tc>
          <w:tcPr>
            <w:tcW w:w="1908" w:type="pct"/>
            <w:tcBorders>
              <w:top w:val="single" w:color="auto" w:sz="4" w:space="0"/>
              <w:left w:val="single" w:color="auto" w:sz="4" w:space="0"/>
              <w:bottom w:val="single" w:color="auto" w:sz="6" w:space="0"/>
              <w:right w:val="single" w:color="auto" w:sz="6" w:space="0"/>
            </w:tcBorders>
            <w:noWrap w:val="0"/>
            <w:vAlign w:val="center"/>
          </w:tcPr>
          <w:p w14:paraId="366A5E74">
            <w:pPr>
              <w:adjustRightInd w:val="0"/>
              <w:snapToGrid w:val="0"/>
              <w:spacing w:line="360" w:lineRule="auto"/>
              <w:jc w:val="center"/>
              <w:rPr>
                <w:rFonts w:hint="eastAsia"/>
                <w:b/>
                <w:color w:val="auto"/>
                <w:szCs w:val="21"/>
                <w:highlight w:val="none"/>
              </w:rPr>
            </w:pPr>
            <w:r>
              <w:rPr>
                <w:rFonts w:hint="eastAsia"/>
                <w:b/>
                <w:color w:val="auto"/>
                <w:szCs w:val="21"/>
                <w:highlight w:val="none"/>
              </w:rPr>
              <w:t>投标人名称</w:t>
            </w:r>
          </w:p>
        </w:tc>
        <w:tc>
          <w:tcPr>
            <w:tcW w:w="814" w:type="pct"/>
            <w:tcBorders>
              <w:top w:val="single" w:color="auto" w:sz="4" w:space="0"/>
              <w:left w:val="single" w:color="auto" w:sz="6" w:space="0"/>
              <w:bottom w:val="single" w:color="auto" w:sz="6" w:space="0"/>
              <w:right w:val="single" w:color="auto" w:sz="4" w:space="0"/>
            </w:tcBorders>
            <w:noWrap w:val="0"/>
            <w:vAlign w:val="center"/>
          </w:tcPr>
          <w:p w14:paraId="7413461A">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第一中标候选人</w:t>
            </w:r>
            <w:r>
              <w:rPr>
                <w:rFonts w:hint="eastAsia"/>
                <w:b/>
                <w:color w:val="auto"/>
                <w:szCs w:val="21"/>
                <w:highlight w:val="none"/>
              </w:rPr>
              <w:t>得票数</w:t>
            </w:r>
          </w:p>
        </w:tc>
        <w:tc>
          <w:tcPr>
            <w:tcW w:w="838" w:type="pct"/>
            <w:tcBorders>
              <w:top w:val="single" w:color="auto" w:sz="4" w:space="0"/>
              <w:left w:val="single" w:color="auto" w:sz="4" w:space="0"/>
              <w:bottom w:val="single" w:color="auto" w:sz="6" w:space="0"/>
              <w:right w:val="single" w:color="auto" w:sz="4" w:space="0"/>
            </w:tcBorders>
            <w:noWrap w:val="0"/>
            <w:vAlign w:val="center"/>
          </w:tcPr>
          <w:p w14:paraId="084085EC">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第二中标候选人</w:t>
            </w:r>
            <w:r>
              <w:rPr>
                <w:rFonts w:hint="eastAsia"/>
                <w:b/>
                <w:color w:val="auto"/>
                <w:szCs w:val="21"/>
                <w:highlight w:val="none"/>
              </w:rPr>
              <w:t>得票数</w:t>
            </w:r>
          </w:p>
        </w:tc>
        <w:tc>
          <w:tcPr>
            <w:tcW w:w="757" w:type="pct"/>
            <w:tcBorders>
              <w:top w:val="single" w:color="auto" w:sz="4" w:space="0"/>
              <w:left w:val="single" w:color="auto" w:sz="4" w:space="0"/>
              <w:bottom w:val="single" w:color="auto" w:sz="6" w:space="0"/>
              <w:right w:val="single" w:color="auto" w:sz="6" w:space="0"/>
            </w:tcBorders>
            <w:noWrap w:val="0"/>
            <w:vAlign w:val="center"/>
          </w:tcPr>
          <w:p w14:paraId="297A89C7">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第三中标候选人</w:t>
            </w:r>
            <w:r>
              <w:rPr>
                <w:rFonts w:hint="eastAsia"/>
                <w:b/>
                <w:color w:val="auto"/>
                <w:szCs w:val="21"/>
                <w:highlight w:val="none"/>
              </w:rPr>
              <w:t>得票数</w:t>
            </w:r>
          </w:p>
        </w:tc>
      </w:tr>
      <w:tr w14:paraId="2E3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32228603">
            <w:pPr>
              <w:adjustRightInd w:val="0"/>
              <w:snapToGrid w:val="0"/>
              <w:spacing w:line="360" w:lineRule="auto"/>
              <w:jc w:val="center"/>
              <w:rPr>
                <w:rFonts w:hint="eastAsia"/>
                <w:color w:val="auto"/>
                <w:szCs w:val="21"/>
                <w:highlight w:val="none"/>
              </w:rPr>
            </w:pPr>
            <w:r>
              <w:rPr>
                <w:rFonts w:hint="eastAsia"/>
                <w:color w:val="auto"/>
                <w:szCs w:val="21"/>
                <w:highlight w:val="none"/>
              </w:rPr>
              <w:t>1</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1E6AA689">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34901C77">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07B747FB">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34227853">
            <w:pPr>
              <w:adjustRightInd w:val="0"/>
              <w:snapToGrid w:val="0"/>
              <w:spacing w:line="360" w:lineRule="auto"/>
              <w:jc w:val="center"/>
              <w:rPr>
                <w:rFonts w:hint="eastAsia"/>
                <w:color w:val="auto"/>
                <w:szCs w:val="21"/>
                <w:highlight w:val="none"/>
              </w:rPr>
            </w:pPr>
          </w:p>
        </w:tc>
      </w:tr>
      <w:tr w14:paraId="59A2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63CE0699">
            <w:pPr>
              <w:adjustRightInd w:val="0"/>
              <w:snapToGrid w:val="0"/>
              <w:spacing w:line="360" w:lineRule="auto"/>
              <w:jc w:val="center"/>
              <w:rPr>
                <w:rFonts w:hint="eastAsia"/>
                <w:color w:val="auto"/>
                <w:szCs w:val="21"/>
                <w:highlight w:val="none"/>
              </w:rPr>
            </w:pPr>
            <w:r>
              <w:rPr>
                <w:rFonts w:hint="eastAsia"/>
                <w:color w:val="auto"/>
                <w:szCs w:val="21"/>
                <w:highlight w:val="none"/>
              </w:rPr>
              <w:t>2</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0F42ADCE">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789DC83B">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1B9E939B">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360DF58E">
            <w:pPr>
              <w:adjustRightInd w:val="0"/>
              <w:snapToGrid w:val="0"/>
              <w:spacing w:line="360" w:lineRule="auto"/>
              <w:jc w:val="center"/>
              <w:rPr>
                <w:rFonts w:hint="eastAsia"/>
                <w:color w:val="auto"/>
                <w:szCs w:val="21"/>
                <w:highlight w:val="none"/>
              </w:rPr>
            </w:pPr>
          </w:p>
        </w:tc>
      </w:tr>
      <w:tr w14:paraId="31A4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335AF542">
            <w:pPr>
              <w:adjustRightInd w:val="0"/>
              <w:snapToGrid w:val="0"/>
              <w:spacing w:line="360" w:lineRule="auto"/>
              <w:jc w:val="center"/>
              <w:rPr>
                <w:rFonts w:hint="eastAsia"/>
                <w:color w:val="auto"/>
                <w:szCs w:val="21"/>
                <w:highlight w:val="none"/>
              </w:rPr>
            </w:pPr>
            <w:r>
              <w:rPr>
                <w:rFonts w:hint="eastAsia"/>
                <w:color w:val="auto"/>
                <w:szCs w:val="21"/>
                <w:highlight w:val="none"/>
              </w:rPr>
              <w:t>3</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1D86EE6C">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6A05E61F">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0767C4C8">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36B938A6">
            <w:pPr>
              <w:adjustRightInd w:val="0"/>
              <w:snapToGrid w:val="0"/>
              <w:spacing w:line="360" w:lineRule="auto"/>
              <w:jc w:val="center"/>
              <w:rPr>
                <w:rFonts w:hint="eastAsia"/>
                <w:color w:val="auto"/>
                <w:szCs w:val="21"/>
                <w:highlight w:val="none"/>
              </w:rPr>
            </w:pPr>
          </w:p>
        </w:tc>
      </w:tr>
      <w:tr w14:paraId="04E7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4DD48E0A">
            <w:pPr>
              <w:adjustRightInd w:val="0"/>
              <w:snapToGrid w:val="0"/>
              <w:spacing w:line="360" w:lineRule="auto"/>
              <w:jc w:val="center"/>
              <w:rPr>
                <w:rFonts w:hint="eastAsia"/>
                <w:color w:val="auto"/>
                <w:szCs w:val="21"/>
                <w:highlight w:val="none"/>
              </w:rPr>
            </w:pPr>
            <w:r>
              <w:rPr>
                <w:rFonts w:hint="eastAsia"/>
                <w:color w:val="auto"/>
                <w:szCs w:val="21"/>
                <w:highlight w:val="none"/>
              </w:rPr>
              <w:t>4</w:t>
            </w:r>
          </w:p>
        </w:tc>
        <w:tc>
          <w:tcPr>
            <w:tcW w:w="1908" w:type="pct"/>
            <w:tcBorders>
              <w:top w:val="single" w:color="auto" w:sz="6" w:space="0"/>
              <w:left w:val="single" w:color="auto" w:sz="4" w:space="0"/>
              <w:bottom w:val="single" w:color="auto" w:sz="6" w:space="0"/>
              <w:right w:val="single" w:color="auto" w:sz="6" w:space="0"/>
            </w:tcBorders>
            <w:noWrap w:val="0"/>
            <w:vAlign w:val="center"/>
          </w:tcPr>
          <w:p w14:paraId="51C0170C">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6" w:space="0"/>
              <w:right w:val="single" w:color="auto" w:sz="4" w:space="0"/>
            </w:tcBorders>
            <w:noWrap w:val="0"/>
            <w:vAlign w:val="center"/>
          </w:tcPr>
          <w:p w14:paraId="1FCDE8D4">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6" w:space="0"/>
              <w:right w:val="single" w:color="auto" w:sz="4" w:space="0"/>
            </w:tcBorders>
            <w:noWrap w:val="0"/>
            <w:vAlign w:val="center"/>
          </w:tcPr>
          <w:p w14:paraId="2EC971AE">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6" w:space="0"/>
              <w:right w:val="single" w:color="auto" w:sz="6" w:space="0"/>
            </w:tcBorders>
            <w:noWrap w:val="0"/>
            <w:vAlign w:val="center"/>
          </w:tcPr>
          <w:p w14:paraId="018E1B56">
            <w:pPr>
              <w:adjustRightInd w:val="0"/>
              <w:snapToGrid w:val="0"/>
              <w:spacing w:line="360" w:lineRule="auto"/>
              <w:jc w:val="center"/>
              <w:rPr>
                <w:rFonts w:hint="eastAsia"/>
                <w:color w:val="auto"/>
                <w:szCs w:val="21"/>
                <w:highlight w:val="none"/>
              </w:rPr>
            </w:pPr>
          </w:p>
        </w:tc>
      </w:tr>
      <w:tr w14:paraId="1DE9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1" w:type="pct"/>
            <w:tcBorders>
              <w:top w:val="single" w:color="auto" w:sz="4" w:space="0"/>
              <w:left w:val="single" w:color="auto" w:sz="4" w:space="0"/>
              <w:bottom w:val="single" w:color="auto" w:sz="4" w:space="0"/>
              <w:right w:val="single" w:color="auto" w:sz="4" w:space="0"/>
            </w:tcBorders>
            <w:noWrap w:val="0"/>
            <w:vAlign w:val="center"/>
          </w:tcPr>
          <w:p w14:paraId="61EA7B13">
            <w:pPr>
              <w:adjustRightInd w:val="0"/>
              <w:snapToGrid w:val="0"/>
              <w:spacing w:line="360" w:lineRule="auto"/>
              <w:jc w:val="center"/>
              <w:rPr>
                <w:rFonts w:hint="eastAsia"/>
                <w:color w:val="auto"/>
                <w:szCs w:val="21"/>
                <w:highlight w:val="none"/>
              </w:rPr>
            </w:pPr>
            <w:r>
              <w:rPr>
                <w:rFonts w:hint="eastAsia"/>
                <w:color w:val="auto"/>
                <w:szCs w:val="21"/>
                <w:highlight w:val="none"/>
              </w:rPr>
              <w:t>……</w:t>
            </w:r>
          </w:p>
        </w:tc>
        <w:tc>
          <w:tcPr>
            <w:tcW w:w="1908" w:type="pct"/>
            <w:tcBorders>
              <w:top w:val="single" w:color="auto" w:sz="6" w:space="0"/>
              <w:left w:val="single" w:color="auto" w:sz="4" w:space="0"/>
              <w:bottom w:val="single" w:color="auto" w:sz="4" w:space="0"/>
              <w:right w:val="single" w:color="auto" w:sz="6" w:space="0"/>
            </w:tcBorders>
            <w:noWrap w:val="0"/>
            <w:vAlign w:val="center"/>
          </w:tcPr>
          <w:p w14:paraId="770C811A">
            <w:pPr>
              <w:adjustRightInd w:val="0"/>
              <w:snapToGrid w:val="0"/>
              <w:spacing w:line="360" w:lineRule="auto"/>
              <w:jc w:val="center"/>
              <w:rPr>
                <w:rFonts w:hint="eastAsia"/>
                <w:color w:val="auto"/>
                <w:szCs w:val="21"/>
                <w:highlight w:val="none"/>
              </w:rPr>
            </w:pPr>
          </w:p>
        </w:tc>
        <w:tc>
          <w:tcPr>
            <w:tcW w:w="814" w:type="pct"/>
            <w:tcBorders>
              <w:top w:val="single" w:color="auto" w:sz="6" w:space="0"/>
              <w:left w:val="single" w:color="auto" w:sz="6" w:space="0"/>
              <w:bottom w:val="single" w:color="auto" w:sz="4" w:space="0"/>
              <w:right w:val="single" w:color="auto" w:sz="4" w:space="0"/>
            </w:tcBorders>
            <w:noWrap w:val="0"/>
            <w:vAlign w:val="center"/>
          </w:tcPr>
          <w:p w14:paraId="78DF09C6">
            <w:pPr>
              <w:adjustRightInd w:val="0"/>
              <w:snapToGrid w:val="0"/>
              <w:spacing w:line="360" w:lineRule="auto"/>
              <w:jc w:val="center"/>
              <w:rPr>
                <w:rFonts w:hint="eastAsia"/>
                <w:color w:val="auto"/>
                <w:szCs w:val="21"/>
                <w:highlight w:val="none"/>
              </w:rPr>
            </w:pPr>
          </w:p>
        </w:tc>
        <w:tc>
          <w:tcPr>
            <w:tcW w:w="838" w:type="pct"/>
            <w:tcBorders>
              <w:top w:val="single" w:color="auto" w:sz="6" w:space="0"/>
              <w:left w:val="single" w:color="auto" w:sz="4" w:space="0"/>
              <w:bottom w:val="single" w:color="auto" w:sz="4" w:space="0"/>
              <w:right w:val="single" w:color="auto" w:sz="4" w:space="0"/>
            </w:tcBorders>
            <w:noWrap w:val="0"/>
            <w:vAlign w:val="center"/>
          </w:tcPr>
          <w:p w14:paraId="2460B871">
            <w:pPr>
              <w:adjustRightInd w:val="0"/>
              <w:snapToGrid w:val="0"/>
              <w:spacing w:line="360" w:lineRule="auto"/>
              <w:jc w:val="center"/>
              <w:rPr>
                <w:rFonts w:hint="eastAsia"/>
                <w:color w:val="auto"/>
                <w:szCs w:val="21"/>
                <w:highlight w:val="none"/>
              </w:rPr>
            </w:pPr>
          </w:p>
        </w:tc>
        <w:tc>
          <w:tcPr>
            <w:tcW w:w="757" w:type="pct"/>
            <w:tcBorders>
              <w:top w:val="single" w:color="auto" w:sz="6" w:space="0"/>
              <w:left w:val="single" w:color="auto" w:sz="4" w:space="0"/>
              <w:bottom w:val="single" w:color="auto" w:sz="4" w:space="0"/>
              <w:right w:val="single" w:color="auto" w:sz="6" w:space="0"/>
            </w:tcBorders>
            <w:noWrap w:val="0"/>
            <w:vAlign w:val="center"/>
          </w:tcPr>
          <w:p w14:paraId="268A83EA">
            <w:pPr>
              <w:adjustRightInd w:val="0"/>
              <w:snapToGrid w:val="0"/>
              <w:spacing w:line="360" w:lineRule="auto"/>
              <w:jc w:val="center"/>
              <w:rPr>
                <w:rFonts w:hint="eastAsia"/>
                <w:color w:val="auto"/>
                <w:szCs w:val="21"/>
                <w:highlight w:val="none"/>
              </w:rPr>
            </w:pPr>
          </w:p>
        </w:tc>
      </w:tr>
    </w:tbl>
    <w:p w14:paraId="636097A1">
      <w:pPr>
        <w:rPr>
          <w:rFonts w:hint="eastAsia"/>
          <w:color w:val="auto"/>
          <w:szCs w:val="21"/>
          <w:highlight w:val="none"/>
        </w:rPr>
      </w:pPr>
    </w:p>
    <w:p w14:paraId="45301EF1">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16AAD77D">
      <w:pPr>
        <w:pStyle w:val="35"/>
        <w:ind w:firstLine="720"/>
        <w:jc w:val="center"/>
        <w:rPr>
          <w:rFonts w:hint="eastAsia" w:ascii="宋体" w:hAnsi="宋体" w:cs="宋体"/>
          <w:color w:val="auto"/>
          <w:sz w:val="36"/>
          <w:szCs w:val="36"/>
          <w:highlight w:val="none"/>
        </w:rPr>
      </w:pPr>
    </w:p>
    <w:p w14:paraId="3F57D97A">
      <w:pPr>
        <w:pStyle w:val="35"/>
        <w:ind w:firstLine="720"/>
        <w:jc w:val="center"/>
        <w:rPr>
          <w:rFonts w:hint="eastAsia" w:ascii="宋体" w:hAnsi="宋体" w:cs="宋体"/>
          <w:color w:val="auto"/>
          <w:sz w:val="36"/>
          <w:szCs w:val="36"/>
          <w:highlight w:val="none"/>
        </w:rPr>
      </w:pPr>
    </w:p>
    <w:p w14:paraId="0A7D06B7">
      <w:pPr>
        <w:pStyle w:val="35"/>
        <w:ind w:firstLine="720"/>
        <w:jc w:val="center"/>
        <w:rPr>
          <w:rFonts w:hint="eastAsia" w:ascii="宋体" w:hAnsi="宋体" w:cs="宋体"/>
          <w:color w:val="auto"/>
          <w:sz w:val="36"/>
          <w:szCs w:val="36"/>
          <w:highlight w:val="none"/>
        </w:rPr>
      </w:pPr>
    </w:p>
    <w:p w14:paraId="1F9E7352">
      <w:pPr>
        <w:pStyle w:val="35"/>
        <w:ind w:firstLine="720"/>
        <w:jc w:val="center"/>
        <w:rPr>
          <w:rFonts w:hint="eastAsia" w:ascii="宋体" w:hAnsi="宋体" w:cs="宋体"/>
          <w:color w:val="auto"/>
          <w:sz w:val="36"/>
          <w:szCs w:val="36"/>
          <w:highlight w:val="none"/>
        </w:rPr>
      </w:pPr>
    </w:p>
    <w:p w14:paraId="6B2C0A00">
      <w:pPr>
        <w:pStyle w:val="35"/>
        <w:ind w:firstLine="720"/>
        <w:jc w:val="center"/>
        <w:rPr>
          <w:rFonts w:hint="eastAsia" w:ascii="宋体" w:hAnsi="宋体" w:cs="宋体"/>
          <w:color w:val="auto"/>
          <w:sz w:val="36"/>
          <w:szCs w:val="36"/>
          <w:highlight w:val="none"/>
        </w:rPr>
      </w:pPr>
    </w:p>
    <w:p w14:paraId="5DC8842F">
      <w:pPr>
        <w:rPr>
          <w:rFonts w:hint="eastAsia"/>
          <w:color w:val="auto"/>
          <w:highlight w:val="none"/>
        </w:rPr>
      </w:pPr>
    </w:p>
    <w:p w14:paraId="4553459A">
      <w:pPr>
        <w:rPr>
          <w:rFonts w:hint="eastAsia"/>
          <w:color w:val="auto"/>
          <w:highlight w:val="none"/>
        </w:rPr>
      </w:pPr>
    </w:p>
    <w:p w14:paraId="7EAE3864">
      <w:pPr>
        <w:rPr>
          <w:rFonts w:hint="eastAsia"/>
          <w:color w:val="auto"/>
          <w:highlight w:val="none"/>
        </w:rPr>
      </w:pPr>
    </w:p>
    <w:p w14:paraId="02C3FDEE">
      <w:pPr>
        <w:rPr>
          <w:rFonts w:hint="eastAsia"/>
          <w:color w:val="auto"/>
          <w:highlight w:val="none"/>
        </w:rPr>
      </w:pPr>
    </w:p>
    <w:p w14:paraId="4F902342">
      <w:pPr>
        <w:rPr>
          <w:rFonts w:hint="eastAsia"/>
          <w:color w:val="auto"/>
          <w:highlight w:val="none"/>
        </w:rPr>
      </w:pPr>
    </w:p>
    <w:p w14:paraId="223C812E">
      <w:pPr>
        <w:rPr>
          <w:rFonts w:hint="eastAsia"/>
          <w:color w:val="auto"/>
          <w:highlight w:val="none"/>
        </w:rPr>
      </w:pPr>
    </w:p>
    <w:p w14:paraId="57F39927">
      <w:pPr>
        <w:rPr>
          <w:rFonts w:hint="eastAsia"/>
          <w:color w:val="auto"/>
          <w:highlight w:val="none"/>
        </w:rPr>
      </w:pPr>
    </w:p>
    <w:p w14:paraId="257DDA53">
      <w:pPr>
        <w:rPr>
          <w:rFonts w:hint="eastAsia"/>
          <w:color w:val="auto"/>
          <w:highlight w:val="none"/>
        </w:rPr>
      </w:pPr>
    </w:p>
    <w:p w14:paraId="02556B4F">
      <w:pPr>
        <w:rPr>
          <w:rFonts w:hint="eastAsia"/>
          <w:color w:val="auto"/>
          <w:highlight w:val="none"/>
        </w:rPr>
      </w:pPr>
    </w:p>
    <w:p w14:paraId="439F0BC7">
      <w:pPr>
        <w:rPr>
          <w:rFonts w:hint="eastAsia"/>
          <w:color w:val="auto"/>
          <w:highlight w:val="none"/>
        </w:rPr>
      </w:pPr>
    </w:p>
    <w:p w14:paraId="25A7353E">
      <w:pPr>
        <w:rPr>
          <w:rFonts w:hint="eastAsia"/>
          <w:color w:val="auto"/>
          <w:highlight w:val="none"/>
        </w:rPr>
      </w:pPr>
    </w:p>
    <w:p w14:paraId="2FD00A77">
      <w:pPr>
        <w:rPr>
          <w:rFonts w:hint="eastAsia"/>
          <w:color w:val="auto"/>
          <w:highlight w:val="none"/>
        </w:rPr>
      </w:pPr>
    </w:p>
    <w:p w14:paraId="3C790B3D">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r>
        <w:rPr>
          <w:rFonts w:hint="eastAsia" w:ascii="宋体" w:hAnsi="宋体" w:eastAsia="宋体" w:cs="宋体"/>
          <w:b/>
          <w:bCs/>
          <w:color w:val="auto"/>
          <w:kern w:val="0"/>
          <w:sz w:val="28"/>
          <w:szCs w:val="28"/>
          <w:highlight w:val="none"/>
        </w:rPr>
        <w:t>票决定标选票</w:t>
      </w:r>
      <w:r>
        <w:rPr>
          <w:rFonts w:hint="eastAsia" w:ascii="宋体" w:hAnsi="宋体" w:eastAsia="宋体" w:cs="宋体"/>
          <w:b/>
          <w:color w:val="auto"/>
          <w:sz w:val="28"/>
          <w:szCs w:val="28"/>
          <w:highlight w:val="none"/>
        </w:rPr>
        <w:t>表</w:t>
      </w:r>
    </w:p>
    <w:p w14:paraId="74728300">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（定标阶段-票数相同时定标委员会个人用表）</w:t>
      </w:r>
    </w:p>
    <w:p w14:paraId="3761068A">
      <w:pPr>
        <w:pStyle w:val="26"/>
        <w:jc w:val="center"/>
        <w:rPr>
          <w:rFonts w:hint="eastAsia" w:ascii="宋体" w:hAnsi="宋体" w:eastAsia="宋体" w:cs="宋体"/>
          <w:b/>
          <w:color w:val="auto"/>
          <w:sz w:val="28"/>
          <w:szCs w:val="28"/>
          <w:highlight w:val="none"/>
        </w:rPr>
      </w:pPr>
    </w:p>
    <w:p w14:paraId="42F92B7A">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38C3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77CCEC40">
            <w:pPr>
              <w:spacing w:line="600" w:lineRule="exact"/>
              <w:jc w:val="center"/>
              <w:rPr>
                <w:rFonts w:hint="eastAsia"/>
                <w:color w:val="auto"/>
                <w:highlight w:val="none"/>
              </w:rPr>
            </w:pPr>
            <w:r>
              <w:rPr>
                <w:rFonts w:hint="eastAsia"/>
                <w:color w:val="auto"/>
                <w:highlight w:val="none"/>
              </w:rPr>
              <w:t>投标人名称</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8CEE9C0">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659406D4">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874094A">
            <w:pPr>
              <w:spacing w:line="600" w:lineRule="exact"/>
              <w:jc w:val="center"/>
              <w:rPr>
                <w:rFonts w:hint="default" w:eastAsia="宋体"/>
                <w:color w:val="auto"/>
                <w:highlight w:val="none"/>
                <w:lang w:val="en-US" w:eastAsia="zh-CN"/>
              </w:rPr>
            </w:pPr>
            <w:r>
              <w:rPr>
                <w:rFonts w:hint="eastAsia"/>
                <w:color w:val="auto"/>
                <w:highlight w:val="none"/>
                <w:lang w:val="en-US" w:eastAsia="zh-CN"/>
              </w:rPr>
              <w:t>备注</w:t>
            </w:r>
          </w:p>
        </w:tc>
      </w:tr>
      <w:tr w14:paraId="2E2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2A2B06C3">
            <w:pPr>
              <w:spacing w:line="600" w:lineRule="exact"/>
              <w:jc w:val="center"/>
              <w:rPr>
                <w:rFonts w:hint="eastAsia"/>
                <w:color w:val="auto"/>
                <w:szCs w:val="21"/>
                <w:highlight w:val="none"/>
              </w:rPr>
            </w:pPr>
            <w:r>
              <w:rPr>
                <w:rFonts w:hint="eastAsia"/>
                <w:color w:val="auto"/>
                <w:highlight w:val="none"/>
              </w:rPr>
              <w:t>票决意见</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D6EF2C3">
            <w:pPr>
              <w:spacing w:line="600" w:lineRule="exact"/>
              <w:jc w:val="center"/>
              <w:rPr>
                <w:rFonts w:hint="eastAsia"/>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B356B9F">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93D240C">
            <w:pPr>
              <w:spacing w:line="600" w:lineRule="exact"/>
              <w:jc w:val="center"/>
              <w:rPr>
                <w:rFonts w:hint="eastAsia"/>
                <w:color w:val="auto"/>
                <w:highlight w:val="none"/>
              </w:rPr>
            </w:pPr>
          </w:p>
        </w:tc>
      </w:tr>
    </w:tbl>
    <w:p w14:paraId="20298E03">
      <w:pPr>
        <w:pStyle w:val="26"/>
        <w:rPr>
          <w:rFonts w:hint="eastAsia" w:ascii="宋体" w:hAnsi="宋体" w:eastAsia="宋体" w:cs="宋体"/>
          <w:color w:val="auto"/>
          <w:kern w:val="0"/>
          <w:szCs w:val="21"/>
          <w:highlight w:val="none"/>
        </w:rPr>
      </w:pPr>
    </w:p>
    <w:p w14:paraId="3EB77787">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2CE0ADA8">
      <w:pPr>
        <w:pStyle w:val="26"/>
        <w:rPr>
          <w:rFonts w:hint="eastAsia" w:ascii="宋体" w:hAnsi="宋体" w:eastAsia="宋体" w:cs="宋体"/>
          <w:color w:val="auto"/>
          <w:highlight w:val="none"/>
        </w:rPr>
      </w:pPr>
    </w:p>
    <w:p w14:paraId="59EE7689">
      <w:pPr>
        <w:pStyle w:val="26"/>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2627B13B">
      <w:pPr>
        <w:pStyle w:val="26"/>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1、本表用于投票出现票数相同的情况。</w:t>
      </w:r>
    </w:p>
    <w:p w14:paraId="345956FC">
      <w:pPr>
        <w:pStyle w:val="26"/>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由定标委员会成员进行附加投票，票决意见分别为“投票”或“不投票”，各定标委员会成员只有1票表决权（即只能对其中一名投标人“投票”），票决意见为“投票”的，用“○”表示；票决意见为“不投票”，用“×”表示。</w:t>
      </w:r>
    </w:p>
    <w:p w14:paraId="266604AD">
      <w:pPr>
        <w:pStyle w:val="26"/>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FC4704">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bookmarkStart w:id="173" w:name="突出显示"/>
      <w:r>
        <w:rPr>
          <w:rFonts w:hint="eastAsia" w:ascii="宋体" w:hAnsi="宋体" w:eastAsia="宋体" w:cs="宋体"/>
          <w:b/>
          <w:bCs/>
          <w:color w:val="auto"/>
          <w:kern w:val="0"/>
          <w:sz w:val="28"/>
          <w:szCs w:val="28"/>
          <w:highlight w:val="none"/>
        </w:rPr>
        <w:t>票决</w:t>
      </w:r>
      <w:bookmarkEnd w:id="173"/>
      <w:r>
        <w:rPr>
          <w:rFonts w:hint="eastAsia" w:ascii="宋体" w:hAnsi="宋体" w:eastAsia="宋体" w:cs="宋体"/>
          <w:b/>
          <w:bCs/>
          <w:color w:val="auto"/>
          <w:kern w:val="0"/>
          <w:sz w:val="28"/>
          <w:szCs w:val="28"/>
          <w:highlight w:val="none"/>
        </w:rPr>
        <w:t>定标选票汇总</w:t>
      </w:r>
      <w:r>
        <w:rPr>
          <w:rFonts w:hint="eastAsia" w:ascii="宋体" w:hAnsi="宋体" w:eastAsia="宋体" w:cs="宋体"/>
          <w:b/>
          <w:color w:val="auto"/>
          <w:sz w:val="28"/>
          <w:szCs w:val="28"/>
          <w:highlight w:val="none"/>
        </w:rPr>
        <w:t>表</w:t>
      </w:r>
    </w:p>
    <w:p w14:paraId="3B29F4C7">
      <w:pPr>
        <w:pStyle w:val="2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（定标阶段-票数相同时定标委员会汇总用表）</w:t>
      </w:r>
    </w:p>
    <w:p w14:paraId="5901F08A">
      <w:pPr>
        <w:pStyle w:val="26"/>
        <w:jc w:val="center"/>
        <w:rPr>
          <w:rFonts w:hint="eastAsia" w:ascii="宋体" w:hAnsi="宋体" w:eastAsia="宋体" w:cs="宋体"/>
          <w:b/>
          <w:color w:val="auto"/>
          <w:sz w:val="28"/>
          <w:szCs w:val="28"/>
          <w:highlight w:val="none"/>
        </w:rPr>
      </w:pPr>
    </w:p>
    <w:p w14:paraId="18E4EEF4">
      <w:pPr>
        <w:adjustRightInd w:val="0"/>
        <w:snapToGrid w:val="0"/>
        <w:spacing w:line="360" w:lineRule="auto"/>
        <w:rPr>
          <w:rFonts w:hint="eastAsia"/>
          <w:color w:val="auto"/>
          <w:highlight w:val="none"/>
        </w:rPr>
      </w:pPr>
      <w:r>
        <w:rPr>
          <w:rFonts w:hint="eastAsia"/>
          <w:color w:val="auto"/>
          <w:highlight w:val="none"/>
        </w:rPr>
        <w:t>工程名称：</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4814"/>
        <w:gridCol w:w="2093"/>
      </w:tblGrid>
      <w:tr w14:paraId="2F6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18FBF94">
            <w:pPr>
              <w:jc w:val="center"/>
              <w:rPr>
                <w:rFonts w:hint="eastAsia"/>
                <w:color w:val="auto"/>
                <w:highlight w:val="none"/>
              </w:rPr>
            </w:pPr>
            <w:r>
              <w:rPr>
                <w:rFonts w:hint="eastAsia"/>
                <w:color w:val="auto"/>
                <w:highlight w:val="none"/>
              </w:rPr>
              <w:t>序号</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732ED041">
            <w:pPr>
              <w:jc w:val="center"/>
              <w:rPr>
                <w:rFonts w:hint="eastAsia"/>
                <w:color w:val="auto"/>
                <w:highlight w:val="none"/>
              </w:rPr>
            </w:pPr>
            <w:r>
              <w:rPr>
                <w:rFonts w:hint="eastAsia"/>
                <w:color w:val="auto"/>
                <w:highlight w:val="none"/>
              </w:rPr>
              <w:t>投标人名称</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37B1F39B">
            <w:pPr>
              <w:jc w:val="center"/>
              <w:rPr>
                <w:rFonts w:hint="eastAsia"/>
                <w:color w:val="auto"/>
                <w:szCs w:val="21"/>
                <w:highlight w:val="none"/>
              </w:rPr>
            </w:pPr>
            <w:r>
              <w:rPr>
                <w:rFonts w:hint="eastAsia"/>
                <w:color w:val="auto"/>
                <w:szCs w:val="21"/>
                <w:highlight w:val="none"/>
              </w:rPr>
              <w:t>得票数</w:t>
            </w:r>
          </w:p>
        </w:tc>
      </w:tr>
      <w:tr w14:paraId="3437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74A760F6">
            <w:pPr>
              <w:jc w:val="center"/>
              <w:rPr>
                <w:rFonts w:hint="eastAsia"/>
                <w:color w:val="auto"/>
                <w:highlight w:val="none"/>
              </w:rPr>
            </w:pPr>
            <w:r>
              <w:rPr>
                <w:rFonts w:hint="eastAsia"/>
                <w:color w:val="auto"/>
                <w:highlight w:val="none"/>
              </w:rPr>
              <w:t>1</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21A23D6A">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3D8EC327">
            <w:pPr>
              <w:jc w:val="center"/>
              <w:rPr>
                <w:rFonts w:hint="eastAsia"/>
                <w:color w:val="auto"/>
                <w:highlight w:val="none"/>
              </w:rPr>
            </w:pPr>
          </w:p>
        </w:tc>
      </w:tr>
      <w:tr w14:paraId="6C5D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01B492CF">
            <w:pPr>
              <w:jc w:val="center"/>
              <w:rPr>
                <w:rFonts w:hint="eastAsia"/>
                <w:color w:val="auto"/>
                <w:highlight w:val="none"/>
              </w:rPr>
            </w:pPr>
            <w:r>
              <w:rPr>
                <w:rFonts w:hint="eastAsia"/>
                <w:color w:val="auto"/>
                <w:highlight w:val="none"/>
              </w:rPr>
              <w:t>2</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01046F0E">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1C5DBFE5">
            <w:pPr>
              <w:jc w:val="center"/>
              <w:rPr>
                <w:rFonts w:hint="eastAsia"/>
                <w:color w:val="auto"/>
                <w:highlight w:val="none"/>
              </w:rPr>
            </w:pPr>
          </w:p>
        </w:tc>
      </w:tr>
      <w:tr w14:paraId="7EB7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18241E0">
            <w:pPr>
              <w:jc w:val="center"/>
              <w:rPr>
                <w:rFonts w:hint="eastAsia"/>
                <w:color w:val="auto"/>
                <w:highlight w:val="none"/>
              </w:rPr>
            </w:pPr>
            <w:r>
              <w:rPr>
                <w:rFonts w:hint="eastAsia"/>
                <w:color w:val="auto"/>
                <w:highlight w:val="none"/>
              </w:rPr>
              <w:t>3</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ADE9223">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6CDB1551">
            <w:pPr>
              <w:jc w:val="center"/>
              <w:rPr>
                <w:rFonts w:hint="eastAsia"/>
                <w:color w:val="auto"/>
                <w:highlight w:val="none"/>
              </w:rPr>
            </w:pPr>
          </w:p>
        </w:tc>
      </w:tr>
      <w:tr w14:paraId="3D37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153109A1">
            <w:pPr>
              <w:jc w:val="center"/>
              <w:rPr>
                <w:rFonts w:hint="eastAsia"/>
                <w:color w:val="auto"/>
                <w:highlight w:val="none"/>
              </w:rPr>
            </w:pPr>
            <w:r>
              <w:rPr>
                <w:rFonts w:hint="eastAsia"/>
                <w:color w:val="auto"/>
                <w:highlight w:val="none"/>
              </w:rPr>
              <w:t>4</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D5B03DB">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85D0040">
            <w:pPr>
              <w:jc w:val="center"/>
              <w:rPr>
                <w:rFonts w:hint="eastAsia"/>
                <w:color w:val="auto"/>
                <w:highlight w:val="none"/>
              </w:rPr>
            </w:pPr>
          </w:p>
        </w:tc>
      </w:tr>
      <w:tr w14:paraId="7ACC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E09A83E">
            <w:pPr>
              <w:jc w:val="center"/>
              <w:rPr>
                <w:rFonts w:hint="eastAsia"/>
                <w:color w:val="auto"/>
                <w:highlight w:val="none"/>
              </w:rPr>
            </w:pPr>
            <w:r>
              <w:rPr>
                <w:rFonts w:hint="eastAsia"/>
                <w:color w:val="auto"/>
                <w:highlight w:val="none"/>
              </w:rPr>
              <w:t>……</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96829DC">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53686190">
            <w:pPr>
              <w:jc w:val="center"/>
              <w:rPr>
                <w:rFonts w:hint="eastAsia"/>
                <w:color w:val="auto"/>
                <w:highlight w:val="none"/>
              </w:rPr>
            </w:pPr>
          </w:p>
        </w:tc>
      </w:tr>
    </w:tbl>
    <w:p w14:paraId="6422B39A">
      <w:pPr>
        <w:pStyle w:val="26"/>
        <w:rPr>
          <w:rFonts w:hint="eastAsia" w:ascii="宋体" w:hAnsi="宋体" w:eastAsia="宋体" w:cs="宋体"/>
          <w:color w:val="auto"/>
          <w:kern w:val="0"/>
          <w:szCs w:val="21"/>
          <w:highlight w:val="none"/>
        </w:rPr>
      </w:pPr>
    </w:p>
    <w:p w14:paraId="5BDABB89">
      <w:pPr>
        <w:adjustRightInd w:val="0"/>
        <w:snapToGrid w:val="0"/>
        <w:spacing w:line="360" w:lineRule="auto"/>
        <w:rPr>
          <w:rFonts w:hint="eastAsia"/>
          <w:color w:val="auto"/>
          <w:szCs w:val="21"/>
          <w:highlight w:val="none"/>
        </w:rPr>
      </w:pPr>
      <w:r>
        <w:rPr>
          <w:rFonts w:hint="eastAsia"/>
          <w:color w:val="auto"/>
          <w:szCs w:val="21"/>
          <w:highlight w:val="none"/>
        </w:rPr>
        <w:t>定标委员签名：                                            日期：</w:t>
      </w:r>
    </w:p>
    <w:p w14:paraId="57EABA06">
      <w:pPr>
        <w:spacing w:line="360" w:lineRule="auto"/>
        <w:rPr>
          <w:rFonts w:hint="eastAsia"/>
          <w:color w:val="auto"/>
          <w:highlight w:val="none"/>
        </w:rPr>
      </w:pPr>
    </w:p>
    <w:p w14:paraId="7AE7EDAB">
      <w:pPr>
        <w:spacing w:line="360" w:lineRule="auto"/>
        <w:ind w:right="420"/>
        <w:rPr>
          <w:rFonts w:hint="eastAsia"/>
          <w:color w:val="auto"/>
          <w:highlight w:val="none"/>
        </w:rPr>
      </w:pPr>
    </w:p>
    <w:p w14:paraId="24DEE093">
      <w:pPr>
        <w:spacing w:line="360" w:lineRule="auto"/>
        <w:ind w:right="420"/>
        <w:rPr>
          <w:rFonts w:hint="eastAsia"/>
          <w:color w:val="auto"/>
          <w:highlight w:val="none"/>
        </w:rPr>
      </w:pPr>
    </w:p>
    <w:p w14:paraId="2D4DD1F7">
      <w:pPr>
        <w:pStyle w:val="35"/>
        <w:ind w:firstLine="720"/>
        <w:jc w:val="center"/>
        <w:rPr>
          <w:rFonts w:hint="eastAsia" w:ascii="宋体" w:hAnsi="宋体" w:cs="宋体"/>
          <w:color w:val="auto"/>
          <w:sz w:val="36"/>
          <w:szCs w:val="36"/>
          <w:highlight w:val="none"/>
        </w:rPr>
      </w:pPr>
    </w:p>
    <w:p w14:paraId="70C02786">
      <w:pPr>
        <w:rPr>
          <w:rFonts w:hint="eastAsia"/>
          <w:color w:val="auto"/>
          <w:sz w:val="36"/>
          <w:szCs w:val="36"/>
          <w:highlight w:val="none"/>
        </w:rPr>
      </w:pPr>
    </w:p>
    <w:p w14:paraId="41CE85D4">
      <w:pPr>
        <w:rPr>
          <w:rFonts w:hint="eastAsia"/>
          <w:color w:val="auto"/>
          <w:sz w:val="36"/>
          <w:szCs w:val="36"/>
          <w:highlight w:val="none"/>
        </w:rPr>
      </w:pPr>
    </w:p>
    <w:p w14:paraId="43E2C158">
      <w:pPr>
        <w:rPr>
          <w:rFonts w:hint="eastAsia"/>
          <w:color w:val="auto"/>
          <w:sz w:val="36"/>
          <w:szCs w:val="36"/>
          <w:highlight w:val="none"/>
        </w:rPr>
      </w:pPr>
    </w:p>
    <w:p w14:paraId="035C2F55">
      <w:pPr>
        <w:rPr>
          <w:rFonts w:hint="eastAsia"/>
          <w:color w:val="auto"/>
          <w:sz w:val="36"/>
          <w:szCs w:val="36"/>
          <w:highlight w:val="none"/>
        </w:rPr>
      </w:pPr>
    </w:p>
    <w:p w14:paraId="60EC82FA">
      <w:pPr>
        <w:rPr>
          <w:rFonts w:hint="eastAsia"/>
          <w:color w:val="auto"/>
          <w:sz w:val="36"/>
          <w:szCs w:val="36"/>
          <w:highlight w:val="none"/>
        </w:rPr>
      </w:pPr>
    </w:p>
    <w:p w14:paraId="088578FD">
      <w:pPr>
        <w:rPr>
          <w:rFonts w:hint="eastAsia"/>
          <w:color w:val="auto"/>
          <w:sz w:val="36"/>
          <w:szCs w:val="36"/>
          <w:highlight w:val="none"/>
        </w:rPr>
      </w:pPr>
    </w:p>
    <w:p w14:paraId="00616E79">
      <w:pPr>
        <w:rPr>
          <w:rFonts w:hint="eastAsia"/>
          <w:color w:val="auto"/>
          <w:sz w:val="36"/>
          <w:szCs w:val="36"/>
          <w:highlight w:val="none"/>
        </w:rPr>
      </w:pPr>
    </w:p>
    <w:p w14:paraId="38738E2D">
      <w:pPr>
        <w:rPr>
          <w:rFonts w:hint="eastAsia"/>
          <w:color w:val="auto"/>
          <w:sz w:val="36"/>
          <w:szCs w:val="36"/>
          <w:highlight w:val="none"/>
        </w:rPr>
      </w:pPr>
    </w:p>
    <w:p w14:paraId="1E83EE92">
      <w:pPr>
        <w:rPr>
          <w:rFonts w:hint="eastAsia"/>
          <w:color w:val="auto"/>
          <w:sz w:val="36"/>
          <w:szCs w:val="36"/>
          <w:highlight w:val="none"/>
        </w:rPr>
      </w:pPr>
    </w:p>
    <w:p w14:paraId="643C92AF">
      <w:pPr>
        <w:rPr>
          <w:rFonts w:hint="eastAsia"/>
          <w:color w:val="auto"/>
          <w:sz w:val="36"/>
          <w:szCs w:val="36"/>
          <w:highlight w:val="none"/>
        </w:rPr>
      </w:pPr>
    </w:p>
    <w:p w14:paraId="6D068D04">
      <w:pPr>
        <w:rPr>
          <w:rFonts w:hint="eastAsia"/>
          <w:color w:val="auto"/>
          <w:sz w:val="36"/>
          <w:szCs w:val="36"/>
          <w:highlight w:val="none"/>
        </w:rPr>
      </w:pPr>
    </w:p>
    <w:p w14:paraId="1CDBC38F">
      <w:pPr>
        <w:rPr>
          <w:rFonts w:hint="eastAsia"/>
          <w:color w:val="auto"/>
          <w:sz w:val="36"/>
          <w:szCs w:val="36"/>
          <w:highlight w:val="none"/>
        </w:rPr>
      </w:pPr>
    </w:p>
    <w:p w14:paraId="051DF033">
      <w:pPr>
        <w:jc w:val="center"/>
        <w:rPr>
          <w:rFonts w:hint="eastAsia"/>
          <w:color w:val="auto"/>
          <w:highlight w:val="none"/>
        </w:rPr>
      </w:pPr>
      <w:r>
        <w:rPr>
          <w:rFonts w:hint="eastAsia"/>
          <w:b/>
          <w:bCs/>
          <w:color w:val="auto"/>
          <w:sz w:val="32"/>
          <w:highlight w:val="none"/>
        </w:rPr>
        <w:t>定标阶段各投标人评语</w:t>
      </w:r>
    </w:p>
    <w:p w14:paraId="2C4BC557">
      <w:pPr>
        <w:rPr>
          <w:rFonts w:hint="eastAsia"/>
          <w:color w:val="auto"/>
          <w:highlight w:val="none"/>
          <w:u w:val="single"/>
        </w:rPr>
      </w:pPr>
      <w:r>
        <w:rPr>
          <w:rFonts w:hint="eastAsia"/>
          <w:color w:val="auto"/>
          <w:highlight w:val="none"/>
          <w:u w:val="single"/>
        </w:rPr>
        <w:t>项目名称：</w:t>
      </w:r>
    </w:p>
    <w:tbl>
      <w:tblPr>
        <w:tblStyle w:val="21"/>
        <w:tblW w:w="83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4820"/>
      </w:tblGrid>
      <w:tr w14:paraId="0AE6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52EF8DD3">
            <w:pPr>
              <w:jc w:val="center"/>
              <w:rPr>
                <w:rFonts w:hint="eastAsia"/>
                <w:b/>
                <w:color w:val="auto"/>
                <w:highlight w:val="none"/>
                <w:u w:val="single"/>
              </w:rPr>
            </w:pPr>
            <w:r>
              <w:rPr>
                <w:rFonts w:hint="eastAsia"/>
                <w:b/>
                <w:color w:val="auto"/>
                <w:highlight w:val="none"/>
                <w:u w:val="single"/>
              </w:rPr>
              <w:t>投标人名称</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9813DC0">
            <w:pPr>
              <w:jc w:val="center"/>
              <w:rPr>
                <w:rFonts w:hint="eastAsia"/>
                <w:b/>
                <w:color w:val="auto"/>
                <w:highlight w:val="none"/>
                <w:u w:val="single"/>
              </w:rPr>
            </w:pPr>
            <w:r>
              <w:rPr>
                <w:rFonts w:hint="eastAsia"/>
                <w:b/>
                <w:color w:val="auto"/>
                <w:highlight w:val="none"/>
                <w:u w:val="single"/>
              </w:rPr>
              <w:t>评    语</w:t>
            </w:r>
          </w:p>
        </w:tc>
      </w:tr>
      <w:tr w14:paraId="4403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2965C47F">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78D924FC">
            <w:pPr>
              <w:rPr>
                <w:rFonts w:hint="eastAsia"/>
                <w:color w:val="auto"/>
                <w:highlight w:val="none"/>
                <w:u w:val="single"/>
              </w:rPr>
            </w:pPr>
          </w:p>
        </w:tc>
      </w:tr>
      <w:tr w14:paraId="57F0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2C9BE2E6">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677B5C35">
            <w:pPr>
              <w:rPr>
                <w:rFonts w:hint="eastAsia"/>
                <w:color w:val="auto"/>
                <w:highlight w:val="none"/>
                <w:u w:val="single"/>
              </w:rPr>
            </w:pPr>
          </w:p>
        </w:tc>
      </w:tr>
      <w:tr w14:paraId="75F2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B6B60C6">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203C3866">
            <w:pPr>
              <w:rPr>
                <w:rFonts w:hint="eastAsia"/>
                <w:color w:val="auto"/>
                <w:highlight w:val="none"/>
                <w:u w:val="single"/>
              </w:rPr>
            </w:pPr>
          </w:p>
        </w:tc>
      </w:tr>
      <w:tr w14:paraId="4DDC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66B91599">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7F9C0149">
            <w:pPr>
              <w:rPr>
                <w:rFonts w:hint="eastAsia"/>
                <w:color w:val="auto"/>
                <w:highlight w:val="none"/>
                <w:u w:val="single"/>
              </w:rPr>
            </w:pPr>
          </w:p>
        </w:tc>
      </w:tr>
      <w:tr w14:paraId="42DA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5E91E319">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D5B27C6">
            <w:pPr>
              <w:rPr>
                <w:rFonts w:hint="eastAsia"/>
                <w:color w:val="auto"/>
                <w:highlight w:val="none"/>
                <w:u w:val="single"/>
              </w:rPr>
            </w:pPr>
          </w:p>
        </w:tc>
      </w:tr>
      <w:tr w14:paraId="1853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7CAC290">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4257FA13">
            <w:pPr>
              <w:rPr>
                <w:rFonts w:hint="eastAsia"/>
                <w:color w:val="auto"/>
                <w:highlight w:val="none"/>
                <w:u w:val="single"/>
              </w:rPr>
            </w:pPr>
          </w:p>
        </w:tc>
      </w:tr>
      <w:tr w14:paraId="585C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7CF659B4">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65837492">
            <w:pPr>
              <w:rPr>
                <w:rFonts w:hint="eastAsia"/>
                <w:color w:val="auto"/>
                <w:highlight w:val="none"/>
                <w:u w:val="single"/>
              </w:rPr>
            </w:pPr>
          </w:p>
        </w:tc>
      </w:tr>
      <w:tr w14:paraId="7BFD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550B050A">
            <w:pPr>
              <w:rPr>
                <w:rFonts w:hint="eastAsia"/>
                <w:color w:val="auto"/>
                <w:highlight w:val="none"/>
                <w:u w:val="single"/>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14:paraId="17FA2E79">
            <w:pPr>
              <w:rPr>
                <w:rFonts w:hint="eastAsia"/>
                <w:color w:val="auto"/>
                <w:highlight w:val="none"/>
                <w:u w:val="single"/>
              </w:rPr>
            </w:pPr>
          </w:p>
        </w:tc>
      </w:tr>
    </w:tbl>
    <w:p w14:paraId="681A68A0">
      <w:pPr>
        <w:adjustRightInd w:val="0"/>
        <w:snapToGrid w:val="0"/>
        <w:spacing w:line="360" w:lineRule="auto"/>
        <w:ind w:right="624" w:rightChars="297" w:firstLine="420" w:firstLineChars="200"/>
        <w:rPr>
          <w:rFonts w:hint="eastAsia"/>
          <w:b/>
          <w:bCs/>
          <w:color w:val="auto"/>
          <w:sz w:val="28"/>
          <w:szCs w:val="28"/>
          <w:highlight w:val="none"/>
        </w:rPr>
      </w:pPr>
      <w:r>
        <w:rPr>
          <w:rFonts w:hint="eastAsia"/>
          <w:color w:val="auto"/>
          <w:highlight w:val="none"/>
        </w:rPr>
        <w:t xml:space="preserve">定标委员签名：                                 日期：     </w:t>
      </w:r>
    </w:p>
    <w:p w14:paraId="0B16B449">
      <w:pPr>
        <w:pStyle w:val="26"/>
        <w:rPr>
          <w:rFonts w:hint="eastAsia" w:ascii="宋体" w:hAnsi="宋体" w:eastAsia="宋体" w:cs="宋体"/>
          <w:color w:val="auto"/>
          <w:highlight w:val="none"/>
        </w:rPr>
      </w:pPr>
    </w:p>
    <w:p w14:paraId="15F8CE17">
      <w:pPr>
        <w:pStyle w:val="26"/>
        <w:rPr>
          <w:rFonts w:hint="eastAsia" w:ascii="宋体" w:hAnsi="宋体" w:eastAsia="宋体" w:cs="宋体"/>
          <w:color w:val="auto"/>
          <w:highlight w:val="none"/>
        </w:rPr>
      </w:pPr>
      <w:r>
        <w:rPr>
          <w:rFonts w:hint="eastAsia" w:ascii="宋体" w:hAnsi="宋体" w:eastAsia="宋体" w:cs="宋体"/>
          <w:color w:val="auto"/>
          <w:highlight w:val="none"/>
        </w:rPr>
        <w:t>注：由定标委员会各成员依据招标文件中列出的各定标因素，给予进入定标环节的各投标人客观实际的评语，并作为投票依据。</w:t>
      </w:r>
    </w:p>
    <w:p w14:paraId="3AE1D472">
      <w:pPr>
        <w:pStyle w:val="26"/>
        <w:rPr>
          <w:rFonts w:hint="eastAsia" w:ascii="宋体" w:hAnsi="宋体" w:eastAsia="宋体" w:cs="宋体"/>
          <w:color w:val="auto"/>
          <w:highlight w:val="none"/>
        </w:rPr>
      </w:pPr>
    </w:p>
    <w:p w14:paraId="41C1C297">
      <w:pPr>
        <w:rPr>
          <w:rFonts w:hint="eastAsia"/>
          <w:color w:val="auto"/>
          <w:sz w:val="36"/>
          <w:szCs w:val="36"/>
          <w:highlight w:val="none"/>
        </w:rPr>
      </w:pPr>
      <w:r>
        <w:rPr>
          <w:rFonts w:hint="eastAsia"/>
          <w:color w:val="auto"/>
          <w:highlight w:val="none"/>
        </w:rPr>
        <w:br w:type="page"/>
      </w:r>
    </w:p>
    <w:p w14:paraId="2850FEE9">
      <w:pPr>
        <w:pStyle w:val="35"/>
        <w:ind w:firstLine="72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定标委员评语表</w:t>
      </w:r>
    </w:p>
    <w:p w14:paraId="0BA4F59F">
      <w:pPr>
        <w:pStyle w:val="36"/>
        <w:rPr>
          <w:rFonts w:hint="eastAsia"/>
          <w:color w:val="auto"/>
          <w:highlight w:val="none"/>
        </w:rPr>
      </w:pPr>
    </w:p>
    <w:p w14:paraId="40BBA6C9">
      <w:pPr>
        <w:pStyle w:val="36"/>
        <w:spacing w:line="360" w:lineRule="auto"/>
        <w:jc w:val="left"/>
        <w:rPr>
          <w:rFonts w:hint="eastAsia"/>
          <w:b w:val="0"/>
          <w:color w:val="auto"/>
          <w:highlight w:val="none"/>
        </w:rPr>
      </w:pPr>
      <w:r>
        <w:rPr>
          <w:rFonts w:hint="eastAsia"/>
          <w:b w:val="0"/>
          <w:color w:val="auto"/>
          <w:highlight w:val="none"/>
        </w:rPr>
        <w:t>项目名称：</w:t>
      </w:r>
    </w:p>
    <w:p w14:paraId="14002DD0">
      <w:pPr>
        <w:pStyle w:val="36"/>
        <w:spacing w:line="360" w:lineRule="auto"/>
        <w:jc w:val="left"/>
        <w:rPr>
          <w:rFonts w:hint="eastAsia"/>
          <w:b w:val="0"/>
          <w:color w:val="auto"/>
          <w:highlight w:val="none"/>
        </w:rPr>
      </w:pPr>
      <w:r>
        <w:rPr>
          <w:rFonts w:hint="eastAsia"/>
          <w:b w:val="0"/>
          <w:color w:val="auto"/>
          <w:highlight w:val="none"/>
        </w:rPr>
        <w:t>定标中标候选人名称：</w:t>
      </w:r>
    </w:p>
    <w:tbl>
      <w:tblPr>
        <w:tblStyle w:val="21"/>
        <w:tblW w:w="855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205"/>
        <w:gridCol w:w="2091"/>
        <w:gridCol w:w="2384"/>
      </w:tblGrid>
      <w:tr w14:paraId="4D2B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50B25A65">
            <w:pPr>
              <w:jc w:val="center"/>
              <w:rPr>
                <w:rFonts w:hint="eastAsia"/>
                <w:b/>
                <w:bCs/>
                <w:color w:val="auto"/>
                <w:highlight w:val="none"/>
              </w:rPr>
            </w:pPr>
            <w:r>
              <w:rPr>
                <w:rFonts w:hint="eastAsia"/>
                <w:b/>
                <w:bCs/>
                <w:color w:val="auto"/>
                <w:highlight w:val="none"/>
              </w:rPr>
              <w:t>序号</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1665088E">
            <w:pPr>
              <w:jc w:val="center"/>
              <w:rPr>
                <w:rFonts w:hint="eastAsia"/>
                <w:b/>
                <w:bCs/>
                <w:color w:val="auto"/>
                <w:highlight w:val="none"/>
              </w:rPr>
            </w:pPr>
            <w:r>
              <w:rPr>
                <w:rFonts w:hint="eastAsia"/>
                <w:b/>
                <w:bCs/>
                <w:color w:val="auto"/>
                <w:highlight w:val="none"/>
              </w:rPr>
              <w:t>定标因素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7988641">
            <w:pPr>
              <w:jc w:val="center"/>
              <w:rPr>
                <w:rFonts w:hint="eastAsia"/>
                <w:b/>
                <w:bCs/>
                <w:color w:val="auto"/>
                <w:highlight w:val="none"/>
              </w:rPr>
            </w:pPr>
            <w:r>
              <w:rPr>
                <w:rFonts w:hint="eastAsia"/>
                <w:b/>
                <w:bCs/>
                <w:color w:val="auto"/>
                <w:highlight w:val="none"/>
              </w:rPr>
              <w:t>定标因素结论</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559D2612">
            <w:pPr>
              <w:jc w:val="center"/>
              <w:rPr>
                <w:rFonts w:hint="eastAsia"/>
                <w:b/>
                <w:bCs/>
                <w:color w:val="auto"/>
                <w:highlight w:val="none"/>
              </w:rPr>
            </w:pPr>
            <w:r>
              <w:rPr>
                <w:rFonts w:hint="eastAsia"/>
                <w:b/>
                <w:bCs/>
                <w:color w:val="auto"/>
                <w:highlight w:val="none"/>
              </w:rPr>
              <w:t>定标委员评语</w:t>
            </w:r>
          </w:p>
        </w:tc>
      </w:tr>
      <w:tr w14:paraId="3BF4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03052A99">
            <w:pPr>
              <w:jc w:val="center"/>
              <w:rPr>
                <w:rFonts w:hint="eastAsia"/>
                <w:b/>
                <w:bCs/>
                <w:color w:val="auto"/>
                <w:highlight w:val="none"/>
              </w:rPr>
            </w:pPr>
            <w:r>
              <w:rPr>
                <w:rFonts w:hint="eastAsia"/>
                <w:b/>
                <w:bCs/>
                <w:color w:val="auto"/>
                <w:highlight w:val="none"/>
              </w:rPr>
              <w:t>1</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6D50142A">
            <w:pPr>
              <w:spacing w:line="360" w:lineRule="auto"/>
              <w:jc w:val="center"/>
              <w:rPr>
                <w:rFonts w:hint="eastAsia"/>
                <w:color w:val="auto"/>
                <w:highlight w:val="none"/>
              </w:rPr>
            </w:pPr>
            <w:r>
              <w:rPr>
                <w:rFonts w:hint="eastAsia"/>
                <w:color w:val="auto"/>
                <w:highlight w:val="none"/>
              </w:rPr>
              <w:t>方案因素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91D152D">
            <w:pPr>
              <w:spacing w:line="360" w:lineRule="auto"/>
              <w:jc w:val="center"/>
              <w:rPr>
                <w:rFonts w:hint="eastAsia"/>
                <w:b/>
                <w:bCs/>
                <w:color w:val="auto"/>
                <w:highlight w:val="none"/>
              </w:rPr>
            </w:pPr>
            <w:r>
              <w:rPr>
                <w:rFonts w:hint="eastAsia"/>
                <w:b/>
                <w:bCs/>
                <w:color w:val="auto"/>
                <w:highlight w:val="none"/>
              </w:rPr>
              <w:t>□优</w:t>
            </w:r>
          </w:p>
          <w:p w14:paraId="7DE008E9">
            <w:pPr>
              <w:spacing w:line="360" w:lineRule="auto"/>
              <w:jc w:val="center"/>
              <w:rPr>
                <w:rFonts w:hint="eastAsia"/>
                <w:b/>
                <w:bCs/>
                <w:color w:val="auto"/>
                <w:highlight w:val="none"/>
              </w:rPr>
            </w:pPr>
            <w:r>
              <w:rPr>
                <w:rFonts w:hint="eastAsia"/>
                <w:b/>
                <w:bCs/>
                <w:color w:val="auto"/>
                <w:highlight w:val="none"/>
              </w:rPr>
              <w:t>□良</w:t>
            </w:r>
          </w:p>
          <w:p w14:paraId="3D60E89D">
            <w:pPr>
              <w:spacing w:line="360" w:lineRule="auto"/>
              <w:jc w:val="center"/>
              <w:rPr>
                <w:rFonts w:hint="eastAsia"/>
                <w:b/>
                <w:bCs/>
                <w:color w:val="auto"/>
                <w:highlight w:val="none"/>
              </w:rPr>
            </w:pPr>
            <w:r>
              <w:rPr>
                <w:rFonts w:hint="eastAsia"/>
                <w:b/>
                <w:bCs/>
                <w:color w:val="auto"/>
                <w:highlight w:val="none"/>
              </w:rPr>
              <w:t>□中</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76907CDA">
            <w:pPr>
              <w:spacing w:line="360" w:lineRule="auto"/>
              <w:rPr>
                <w:rFonts w:hint="eastAsia"/>
                <w:b/>
                <w:bCs/>
                <w:color w:val="auto"/>
                <w:highlight w:val="none"/>
              </w:rPr>
            </w:pPr>
          </w:p>
        </w:tc>
      </w:tr>
      <w:tr w14:paraId="0C6D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2ED143E9">
            <w:pPr>
              <w:jc w:val="center"/>
              <w:rPr>
                <w:rFonts w:hint="eastAsia"/>
                <w:b/>
                <w:bCs/>
                <w:color w:val="auto"/>
                <w:highlight w:val="none"/>
              </w:rPr>
            </w:pPr>
            <w:r>
              <w:rPr>
                <w:rFonts w:hint="eastAsia"/>
                <w:b/>
                <w:bCs/>
                <w:color w:val="auto"/>
                <w:highlight w:val="none"/>
              </w:rPr>
              <w:t>2</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42B5F1BF">
            <w:pPr>
              <w:spacing w:line="360" w:lineRule="auto"/>
              <w:jc w:val="center"/>
              <w:rPr>
                <w:rFonts w:hint="eastAsia"/>
                <w:color w:val="auto"/>
                <w:highlight w:val="none"/>
              </w:rPr>
            </w:pPr>
            <w:r>
              <w:rPr>
                <w:rFonts w:hint="eastAsia"/>
                <w:color w:val="auto"/>
                <w:highlight w:val="none"/>
              </w:rPr>
              <w:t>团队因素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2C9F33C7">
            <w:pPr>
              <w:spacing w:line="360" w:lineRule="auto"/>
              <w:jc w:val="center"/>
              <w:rPr>
                <w:rFonts w:hint="eastAsia"/>
                <w:b/>
                <w:bCs/>
                <w:color w:val="auto"/>
                <w:highlight w:val="none"/>
              </w:rPr>
            </w:pPr>
            <w:r>
              <w:rPr>
                <w:rFonts w:hint="eastAsia"/>
                <w:b/>
                <w:bCs/>
                <w:color w:val="auto"/>
                <w:highlight w:val="none"/>
              </w:rPr>
              <w:t>□优</w:t>
            </w:r>
          </w:p>
          <w:p w14:paraId="49F6038B">
            <w:pPr>
              <w:spacing w:line="360" w:lineRule="auto"/>
              <w:jc w:val="center"/>
              <w:rPr>
                <w:rFonts w:hint="eastAsia"/>
                <w:b/>
                <w:bCs/>
                <w:color w:val="auto"/>
                <w:highlight w:val="none"/>
              </w:rPr>
            </w:pPr>
            <w:r>
              <w:rPr>
                <w:rFonts w:hint="eastAsia"/>
                <w:b/>
                <w:bCs/>
                <w:color w:val="auto"/>
                <w:highlight w:val="none"/>
              </w:rPr>
              <w:t>□良</w:t>
            </w:r>
          </w:p>
          <w:p w14:paraId="70AE94B4">
            <w:pPr>
              <w:spacing w:line="360" w:lineRule="auto"/>
              <w:jc w:val="center"/>
              <w:rPr>
                <w:rFonts w:hint="eastAsia"/>
                <w:color w:val="auto"/>
                <w:highlight w:val="none"/>
              </w:rPr>
            </w:pPr>
            <w:r>
              <w:rPr>
                <w:rFonts w:hint="eastAsia"/>
                <w:b/>
                <w:bCs/>
                <w:color w:val="auto"/>
                <w:highlight w:val="none"/>
              </w:rPr>
              <w:t>□中</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06F85DAD">
            <w:pPr>
              <w:spacing w:line="360" w:lineRule="auto"/>
              <w:rPr>
                <w:rFonts w:hint="eastAsia"/>
                <w:color w:val="auto"/>
                <w:highlight w:val="none"/>
              </w:rPr>
            </w:pPr>
          </w:p>
        </w:tc>
      </w:tr>
      <w:tr w14:paraId="05AD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030EBA19">
            <w:pPr>
              <w:jc w:val="center"/>
              <w:rPr>
                <w:rFonts w:hint="eastAsia"/>
                <w:b/>
                <w:bCs/>
                <w:color w:val="auto"/>
                <w:highlight w:val="none"/>
              </w:rPr>
            </w:pPr>
            <w:r>
              <w:rPr>
                <w:rFonts w:hint="eastAsia"/>
                <w:b/>
                <w:bCs/>
                <w:color w:val="auto"/>
                <w:highlight w:val="none"/>
              </w:rPr>
              <w:t>3</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63780EA9">
            <w:pPr>
              <w:spacing w:line="360" w:lineRule="auto"/>
              <w:jc w:val="center"/>
              <w:rPr>
                <w:rFonts w:hint="eastAsia"/>
                <w:color w:val="auto"/>
                <w:highlight w:val="none"/>
              </w:rPr>
            </w:pPr>
            <w:r>
              <w:rPr>
                <w:rFonts w:hint="eastAsia"/>
                <w:color w:val="auto"/>
                <w:highlight w:val="none"/>
              </w:rPr>
              <w:t>资信因素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33C90DD5">
            <w:pPr>
              <w:spacing w:line="360" w:lineRule="auto"/>
              <w:jc w:val="center"/>
              <w:rPr>
                <w:rFonts w:hint="eastAsia"/>
                <w:b/>
                <w:bCs/>
                <w:color w:val="auto"/>
                <w:highlight w:val="none"/>
              </w:rPr>
            </w:pPr>
            <w:r>
              <w:rPr>
                <w:rFonts w:hint="eastAsia"/>
                <w:b/>
                <w:bCs/>
                <w:color w:val="auto"/>
                <w:highlight w:val="none"/>
              </w:rPr>
              <w:t>□优</w:t>
            </w:r>
          </w:p>
          <w:p w14:paraId="7737F810">
            <w:pPr>
              <w:spacing w:line="360" w:lineRule="auto"/>
              <w:jc w:val="center"/>
              <w:rPr>
                <w:rFonts w:hint="eastAsia"/>
                <w:b/>
                <w:bCs/>
                <w:color w:val="auto"/>
                <w:highlight w:val="none"/>
              </w:rPr>
            </w:pPr>
            <w:r>
              <w:rPr>
                <w:rFonts w:hint="eastAsia"/>
                <w:b/>
                <w:bCs/>
                <w:color w:val="auto"/>
                <w:highlight w:val="none"/>
              </w:rPr>
              <w:t>□良</w:t>
            </w:r>
          </w:p>
          <w:p w14:paraId="5D0BE687">
            <w:pPr>
              <w:spacing w:line="360" w:lineRule="auto"/>
              <w:jc w:val="center"/>
              <w:rPr>
                <w:rFonts w:hint="eastAsia"/>
                <w:color w:val="auto"/>
                <w:highlight w:val="none"/>
              </w:rPr>
            </w:pPr>
            <w:r>
              <w:rPr>
                <w:rFonts w:hint="eastAsia"/>
                <w:b/>
                <w:bCs/>
                <w:color w:val="auto"/>
                <w:highlight w:val="none"/>
              </w:rPr>
              <w:t>□中</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7DA0F23B">
            <w:pPr>
              <w:spacing w:line="360" w:lineRule="auto"/>
              <w:rPr>
                <w:rFonts w:hint="eastAsia"/>
                <w:color w:val="auto"/>
                <w:highlight w:val="none"/>
              </w:rPr>
            </w:pPr>
          </w:p>
        </w:tc>
      </w:tr>
      <w:tr w14:paraId="769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FB81D9E">
            <w:pPr>
              <w:jc w:val="center"/>
              <w:rPr>
                <w:rFonts w:hint="eastAsia"/>
                <w:b/>
                <w:bCs/>
                <w:color w:val="auto"/>
                <w:highlight w:val="none"/>
              </w:rPr>
            </w:pPr>
            <w:r>
              <w:rPr>
                <w:rFonts w:hint="eastAsia"/>
                <w:b/>
                <w:bCs/>
                <w:color w:val="auto"/>
                <w:highlight w:val="none"/>
              </w:rPr>
              <w:t>4</w:t>
            </w:r>
          </w:p>
        </w:tc>
        <w:tc>
          <w:tcPr>
            <w:tcW w:w="5296" w:type="dxa"/>
            <w:gridSpan w:val="2"/>
            <w:tcBorders>
              <w:top w:val="single" w:color="auto" w:sz="4" w:space="0"/>
              <w:left w:val="single" w:color="auto" w:sz="4" w:space="0"/>
              <w:bottom w:val="single" w:color="auto" w:sz="4" w:space="0"/>
              <w:right w:val="single" w:color="auto" w:sz="4" w:space="0"/>
            </w:tcBorders>
            <w:noWrap w:val="0"/>
            <w:vAlign w:val="center"/>
          </w:tcPr>
          <w:p w14:paraId="4226FC25">
            <w:pPr>
              <w:pStyle w:val="6"/>
              <w:ind w:firstLine="2530" w:firstLineChars="1200"/>
              <w:rPr>
                <w:rFonts w:hint="eastAsia"/>
                <w:bCs/>
                <w:color w:val="auto"/>
                <w:highlight w:val="none"/>
              </w:rPr>
            </w:pPr>
            <w:r>
              <w:rPr>
                <w:rFonts w:hint="eastAsia"/>
                <w:color w:val="auto"/>
                <w:highlight w:val="none"/>
              </w:rPr>
              <w:t>结论</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1F8BADD5">
            <w:pPr>
              <w:spacing w:line="360" w:lineRule="auto"/>
              <w:rPr>
                <w:rFonts w:hint="eastAsia"/>
                <w:bCs/>
                <w:color w:val="auto"/>
                <w:highlight w:val="none"/>
              </w:rPr>
            </w:pPr>
          </w:p>
        </w:tc>
      </w:tr>
    </w:tbl>
    <w:p w14:paraId="44A04AFB">
      <w:pPr>
        <w:spacing w:line="360" w:lineRule="auto"/>
        <w:ind w:left="361" w:hanging="316" w:hangingChars="150"/>
        <w:rPr>
          <w:b/>
          <w:bCs/>
          <w:color w:val="auto"/>
          <w:highlight w:val="none"/>
        </w:rPr>
      </w:pPr>
      <w:r>
        <w:rPr>
          <w:rFonts w:hint="eastAsia"/>
          <w:b/>
          <w:bCs/>
          <w:color w:val="auto"/>
          <w:highlight w:val="none"/>
        </w:rPr>
        <w:t>注：1、定标委员根据合格中标候选人的定标文件在定标因素评语中勾选相应的评语，并在各定标因素总评价中勾选对应的评价。</w:t>
      </w:r>
    </w:p>
    <w:p w14:paraId="0CA31D78">
      <w:pPr>
        <w:jc w:val="center"/>
        <w:rPr>
          <w:rFonts w:hint="eastAsia"/>
          <w:color w:val="auto"/>
          <w:highlight w:val="none"/>
        </w:rPr>
      </w:pPr>
    </w:p>
    <w:p w14:paraId="2F4CCA35">
      <w:pPr>
        <w:jc w:val="center"/>
        <w:rPr>
          <w:rFonts w:hint="eastAsia"/>
          <w:color w:val="auto"/>
          <w:highlight w:val="none"/>
        </w:rPr>
      </w:pPr>
    </w:p>
    <w:p w14:paraId="57EC0ABB">
      <w:pPr>
        <w:spacing w:line="360" w:lineRule="auto"/>
        <w:rPr>
          <w:rFonts w:ascii="宋体" w:hAnsi="宋体" w:cs="宋体"/>
          <w:color w:val="auto"/>
          <w:highlight w:val="none"/>
        </w:rPr>
      </w:pPr>
      <w:r>
        <w:rPr>
          <w:rFonts w:hint="eastAsia"/>
          <w:color w:val="auto"/>
          <w:highlight w:val="none"/>
        </w:rPr>
        <w:t>定标委员签名：                               日   期：</w:t>
      </w:r>
    </w:p>
    <w:p w14:paraId="358DD566">
      <w:pPr>
        <w:pStyle w:val="24"/>
        <w:rPr>
          <w:rFonts w:ascii="宋体" w:hAnsi="宋体" w:cs="宋体"/>
          <w:color w:val="auto"/>
          <w:highlight w:val="none"/>
        </w:rPr>
      </w:pPr>
    </w:p>
    <w:p w14:paraId="747C5026">
      <w:pPr>
        <w:pStyle w:val="24"/>
        <w:rPr>
          <w:rFonts w:ascii="宋体" w:hAnsi="宋体" w:cs="宋体"/>
          <w:color w:val="auto"/>
          <w:highlight w:val="none"/>
        </w:rPr>
      </w:pPr>
    </w:p>
    <w:p w14:paraId="3F054122">
      <w:pPr>
        <w:pStyle w:val="24"/>
        <w:rPr>
          <w:rFonts w:ascii="宋体" w:hAnsi="宋体" w:cs="宋体"/>
          <w:color w:val="auto"/>
          <w:highlight w:val="none"/>
        </w:rPr>
      </w:pPr>
    </w:p>
    <w:p w14:paraId="7108C025">
      <w:pPr>
        <w:pStyle w:val="24"/>
        <w:rPr>
          <w:rFonts w:ascii="宋体" w:hAnsi="宋体" w:cs="宋体"/>
          <w:color w:val="auto"/>
          <w:highlight w:val="none"/>
        </w:rPr>
      </w:pPr>
    </w:p>
    <w:p w14:paraId="3D94A61E">
      <w:pPr>
        <w:pStyle w:val="24"/>
        <w:rPr>
          <w:rFonts w:ascii="宋体" w:hAnsi="宋体" w:cs="宋体"/>
          <w:color w:val="auto"/>
          <w:highlight w:val="none"/>
        </w:rPr>
      </w:pPr>
    </w:p>
    <w:p w14:paraId="55BF2C18">
      <w:pPr>
        <w:pStyle w:val="24"/>
        <w:rPr>
          <w:rFonts w:ascii="宋体" w:hAnsi="宋体" w:cs="宋体"/>
          <w:color w:val="auto"/>
          <w:highlight w:val="none"/>
        </w:rPr>
      </w:pPr>
    </w:p>
    <w:p w14:paraId="7E4E9055">
      <w:pPr>
        <w:pStyle w:val="24"/>
        <w:rPr>
          <w:rFonts w:ascii="宋体" w:hAnsi="宋体" w:cs="宋体"/>
          <w:color w:val="auto"/>
          <w:highlight w:val="none"/>
        </w:rPr>
      </w:pPr>
    </w:p>
    <w:p w14:paraId="51DCC53D">
      <w:pPr>
        <w:pStyle w:val="24"/>
        <w:rPr>
          <w:rFonts w:ascii="宋体" w:hAnsi="宋体" w:cs="宋体"/>
          <w:color w:val="auto"/>
          <w:highlight w:val="none"/>
        </w:rPr>
      </w:pPr>
    </w:p>
    <w:p w14:paraId="78E89B98">
      <w:pPr>
        <w:pStyle w:val="24"/>
        <w:rPr>
          <w:rFonts w:ascii="宋体" w:hAnsi="宋体" w:cs="宋体"/>
          <w:color w:val="auto"/>
          <w:highlight w:val="none"/>
        </w:rPr>
      </w:pPr>
    </w:p>
    <w:p w14:paraId="170E61D9">
      <w:pPr>
        <w:pStyle w:val="24"/>
        <w:rPr>
          <w:rFonts w:ascii="宋体" w:hAnsi="宋体" w:cs="宋体"/>
          <w:color w:val="auto"/>
          <w:highlight w:val="none"/>
        </w:rPr>
      </w:pPr>
    </w:p>
    <w:p w14:paraId="4831A709">
      <w:pPr>
        <w:pStyle w:val="24"/>
        <w:rPr>
          <w:rFonts w:ascii="宋体" w:hAnsi="宋体" w:cs="宋体"/>
          <w:color w:val="auto"/>
          <w:highlight w:val="none"/>
        </w:rPr>
      </w:pPr>
    </w:p>
    <w:p w14:paraId="7AC48675">
      <w:pPr>
        <w:pStyle w:val="24"/>
        <w:rPr>
          <w:rFonts w:ascii="宋体" w:hAnsi="宋体" w:cs="宋体"/>
          <w:color w:val="auto"/>
          <w:highlight w:val="none"/>
        </w:rPr>
      </w:pPr>
    </w:p>
    <w:p w14:paraId="1726FBEA">
      <w:pPr>
        <w:pStyle w:val="24"/>
        <w:rPr>
          <w:rFonts w:ascii="宋体" w:hAnsi="宋体" w:cs="宋体"/>
          <w:color w:val="auto"/>
          <w:highlight w:val="none"/>
        </w:rPr>
      </w:pPr>
    </w:p>
    <w:p w14:paraId="00D030D9">
      <w:pPr>
        <w:keepNext/>
        <w:keepLines/>
        <w:adjustRightInd w:val="0"/>
        <w:snapToGrid w:val="0"/>
        <w:spacing w:before="312" w:beforeLines="100" w:after="312" w:afterLines="100" w:line="360" w:lineRule="auto"/>
        <w:ind w:firstLine="1767" w:firstLineChars="400"/>
        <w:textAlignment w:val="center"/>
        <w:outlineLvl w:val="0"/>
        <w:rPr>
          <w:rFonts w:ascii="宋体" w:hAnsi="宋体" w:cs="宋体"/>
          <w:color w:val="auto"/>
          <w:sz w:val="44"/>
          <w:szCs w:val="44"/>
          <w:highlight w:val="none"/>
        </w:rPr>
      </w:pPr>
      <w:bookmarkStart w:id="174" w:name="_Toc12620"/>
      <w:r>
        <w:rPr>
          <w:rFonts w:hint="eastAsia" w:ascii="宋体" w:hAnsi="宋体" w:cs="宋体"/>
          <w:b/>
          <w:bCs/>
          <w:color w:val="auto"/>
          <w:sz w:val="44"/>
          <w:szCs w:val="44"/>
          <w:highlight w:val="none"/>
        </w:rPr>
        <w:t>第四章  合同条款及格式</w:t>
      </w:r>
      <w:bookmarkEnd w:id="174"/>
    </w:p>
    <w:p w14:paraId="682BCF33">
      <w:pPr>
        <w:keepNext/>
        <w:keepLines/>
        <w:tabs>
          <w:tab w:val="center" w:pos="0"/>
        </w:tabs>
        <w:adjustRightInd w:val="0"/>
        <w:snapToGrid w:val="0"/>
        <w:spacing w:before="312" w:beforeLines="100" w:after="312" w:afterLines="100" w:line="360" w:lineRule="auto"/>
        <w:jc w:val="center"/>
        <w:textAlignment w:val="center"/>
        <w:outlineLvl w:val="9"/>
        <w:rPr>
          <w:rFonts w:hint="eastAsia" w:ascii="宋体" w:hAnsi="宋体" w:cs="宋体"/>
          <w:color w:val="auto"/>
          <w:sz w:val="32"/>
          <w:szCs w:val="32"/>
          <w:highlight w:val="none"/>
        </w:rPr>
      </w:pPr>
      <w:r>
        <w:rPr>
          <w:rFonts w:hint="eastAsia" w:ascii="宋体" w:hAnsi="宋体" w:cs="宋体"/>
          <w:color w:val="auto"/>
          <w:sz w:val="32"/>
          <w:szCs w:val="32"/>
          <w:highlight w:val="none"/>
        </w:rPr>
        <w:t>（另册）</w:t>
      </w:r>
    </w:p>
    <w:p w14:paraId="612D7C1C">
      <w:pPr>
        <w:keepNext/>
        <w:keepLines/>
        <w:tabs>
          <w:tab w:val="center" w:pos="0"/>
        </w:tabs>
        <w:adjustRightInd w:val="0"/>
        <w:snapToGrid w:val="0"/>
        <w:spacing w:before="312" w:beforeLines="100" w:after="312" w:afterLines="100" w:line="360" w:lineRule="auto"/>
        <w:jc w:val="center"/>
        <w:textAlignment w:val="center"/>
        <w:outlineLvl w:val="0"/>
        <w:rPr>
          <w:rFonts w:ascii="宋体" w:hAnsi="宋体" w:cs="宋体"/>
          <w:color w:val="auto"/>
          <w:sz w:val="44"/>
          <w:szCs w:val="44"/>
          <w:highlight w:val="none"/>
        </w:rPr>
      </w:pPr>
      <w:r>
        <w:rPr>
          <w:rFonts w:hint="eastAsia" w:ascii="宋体" w:hAnsi="宋体" w:cs="宋体"/>
          <w:color w:val="auto"/>
          <w:sz w:val="32"/>
          <w:szCs w:val="32"/>
          <w:highlight w:val="none"/>
        </w:rPr>
        <w:br w:type="page"/>
      </w:r>
      <w:bookmarkStart w:id="175" w:name="_Toc8969"/>
      <w:r>
        <w:rPr>
          <w:rFonts w:hint="eastAsia" w:ascii="宋体" w:hAnsi="宋体" w:cs="宋体"/>
          <w:b/>
          <w:bCs/>
          <w:color w:val="auto"/>
          <w:sz w:val="44"/>
          <w:szCs w:val="44"/>
          <w:highlight w:val="none"/>
        </w:rPr>
        <w:t>第五章  招标人要求</w:t>
      </w:r>
      <w:bookmarkEnd w:id="175"/>
    </w:p>
    <w:p w14:paraId="3EE28EC0">
      <w:pPr>
        <w:adjustRightInd w:val="0"/>
        <w:snapToGrid w:val="0"/>
        <w:spacing w:line="360" w:lineRule="auto"/>
        <w:ind w:firstLine="643" w:firstLineChars="200"/>
        <w:jc w:val="center"/>
        <w:textAlignment w:val="baseline"/>
        <w:rPr>
          <w:rFonts w:ascii="宋体" w:hAnsi="宋体" w:cs="宋体"/>
          <w:color w:val="auto"/>
          <w:sz w:val="28"/>
          <w:szCs w:val="28"/>
          <w:highlight w:val="none"/>
        </w:rPr>
      </w:pPr>
      <w:r>
        <w:rPr>
          <w:rFonts w:hint="eastAsia" w:ascii="宋体" w:hAnsi="宋体" w:cs="宋体"/>
          <w:b/>
          <w:color w:val="auto"/>
          <w:sz w:val="32"/>
          <w:szCs w:val="32"/>
          <w:highlight w:val="none"/>
        </w:rPr>
        <w:t>（按国家、广东省、广州市相关规范执行）</w:t>
      </w:r>
    </w:p>
    <w:p w14:paraId="09C5FF92">
      <w:pPr>
        <w:keepNext/>
        <w:keepLines/>
        <w:numPr>
          <w:ilvl w:val="0"/>
          <w:numId w:val="4"/>
        </w:numPr>
        <w:tabs>
          <w:tab w:val="center" w:pos="0"/>
        </w:tabs>
        <w:adjustRightInd w:val="0"/>
        <w:snapToGrid w:val="0"/>
        <w:spacing w:before="312" w:beforeLines="100" w:after="312" w:afterLines="100" w:line="360" w:lineRule="auto"/>
        <w:jc w:val="center"/>
        <w:textAlignment w:val="center"/>
        <w:outlineLvl w:val="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r>
        <w:rPr>
          <w:rFonts w:hint="eastAsia" w:ascii="宋体" w:hAnsi="宋体" w:cs="宋体"/>
          <w:b/>
          <w:bCs/>
          <w:color w:val="auto"/>
          <w:sz w:val="44"/>
          <w:szCs w:val="44"/>
          <w:highlight w:val="none"/>
          <w:lang w:val="en-US" w:eastAsia="zh-CN"/>
        </w:rPr>
        <w:t xml:space="preserve"> </w:t>
      </w:r>
      <w:bookmarkStart w:id="176" w:name="_Toc26644"/>
      <w:r>
        <w:rPr>
          <w:rFonts w:hint="eastAsia" w:ascii="宋体" w:hAnsi="宋体" w:cs="宋体"/>
          <w:b/>
          <w:bCs/>
          <w:color w:val="auto"/>
          <w:sz w:val="44"/>
          <w:szCs w:val="44"/>
          <w:highlight w:val="none"/>
        </w:rPr>
        <w:t>工程量清单项目计量计价原则</w:t>
      </w:r>
      <w:bookmarkEnd w:id="176"/>
    </w:p>
    <w:p w14:paraId="65D2692C">
      <w:pPr>
        <w:pStyle w:val="26"/>
        <w:spacing w:line="360" w:lineRule="auto"/>
        <w:jc w:val="left"/>
        <w:rPr>
          <w:rFonts w:ascii="宋体" w:hAnsi="宋体" w:cs="宋体"/>
          <w:b/>
          <w:color w:val="auto"/>
          <w:sz w:val="30"/>
          <w:szCs w:val="30"/>
          <w:highlight w:val="none"/>
        </w:rPr>
      </w:pPr>
      <w:r>
        <w:rPr>
          <w:rFonts w:hint="eastAsia" w:ascii="宋体" w:hAnsi="宋体" w:cs="宋体"/>
          <w:b/>
          <w:color w:val="auto"/>
          <w:sz w:val="30"/>
          <w:szCs w:val="30"/>
          <w:highlight w:val="none"/>
        </w:rPr>
        <w:t>一、工程量</w:t>
      </w:r>
      <w:bookmarkStart w:id="177" w:name="_Toc525063257"/>
      <w:r>
        <w:rPr>
          <w:rFonts w:hint="eastAsia" w:ascii="宋体" w:hAnsi="宋体" w:cs="宋体"/>
          <w:b/>
          <w:color w:val="auto"/>
          <w:sz w:val="30"/>
          <w:szCs w:val="30"/>
          <w:highlight w:val="none"/>
        </w:rPr>
        <w:t>清</w:t>
      </w:r>
      <w:bookmarkStart w:id="178" w:name="_Toc24053"/>
      <w:bookmarkStart w:id="179" w:name="_Toc17141"/>
      <w:bookmarkStart w:id="180" w:name="_Toc32167"/>
      <w:bookmarkStart w:id="181" w:name="_Toc25859"/>
      <w:bookmarkStart w:id="182" w:name="_Toc695"/>
      <w:bookmarkStart w:id="183" w:name="_Toc532367884"/>
      <w:bookmarkStart w:id="184" w:name="_Toc22323"/>
      <w:bookmarkStart w:id="185" w:name="_Toc7907"/>
      <w:r>
        <w:rPr>
          <w:rFonts w:hint="eastAsia" w:ascii="宋体" w:hAnsi="宋体" w:cs="宋体"/>
          <w:b/>
          <w:color w:val="auto"/>
          <w:sz w:val="30"/>
          <w:szCs w:val="30"/>
          <w:highlight w:val="none"/>
        </w:rPr>
        <w:t>单项目计量计价原则</w:t>
      </w:r>
    </w:p>
    <w:bookmarkEnd w:id="177"/>
    <w:bookmarkEnd w:id="178"/>
    <w:bookmarkEnd w:id="179"/>
    <w:bookmarkEnd w:id="180"/>
    <w:bookmarkEnd w:id="181"/>
    <w:bookmarkEnd w:id="182"/>
    <w:bookmarkEnd w:id="183"/>
    <w:bookmarkEnd w:id="184"/>
    <w:bookmarkEnd w:id="185"/>
    <w:p w14:paraId="48A922D1">
      <w:pPr>
        <w:spacing w:line="360" w:lineRule="auto"/>
        <w:ind w:left="1" w:firstLine="480" w:firstLineChars="200"/>
        <w:rPr>
          <w:rFonts w:ascii="宋体" w:hAnsi="宋体" w:cs="宋体"/>
          <w:color w:val="auto"/>
          <w:sz w:val="24"/>
          <w:szCs w:val="24"/>
          <w:highlight w:val="none"/>
        </w:rPr>
      </w:pPr>
      <w:bookmarkStart w:id="186" w:name="_Toc332631175"/>
      <w:bookmarkStart w:id="187" w:name="_Toc518374713"/>
      <w:r>
        <w:rPr>
          <w:rFonts w:hint="eastAsia" w:ascii="宋体" w:hAnsi="宋体" w:cs="宋体"/>
          <w:color w:val="auto"/>
          <w:sz w:val="24"/>
          <w:szCs w:val="24"/>
          <w:highlight w:val="none"/>
        </w:rPr>
        <w:t>1.投标人应充分分析市场的价格变动风险及本单位的承受能力，并不得低于成本报价竞价。</w:t>
      </w:r>
    </w:p>
    <w:p w14:paraId="194B55A7">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2.报价为投标人的报价文件中提出的各项支付金额的总和。应是完成本次招标范围及工期的全部费用，不得以任何理由予以重复，并作为投标人计算单价或总价的依据。</w:t>
      </w:r>
    </w:p>
    <w:p w14:paraId="39D3598E">
      <w:pPr>
        <w:spacing w:line="360" w:lineRule="auto"/>
        <w:ind w:left="1" w:firstLine="477" w:firstLineChars="199"/>
        <w:rPr>
          <w:rFonts w:ascii="宋体" w:hAnsi="宋体" w:cs="宋体"/>
          <w:color w:val="auto"/>
          <w:sz w:val="24"/>
          <w:szCs w:val="24"/>
          <w:highlight w:val="none"/>
        </w:rPr>
      </w:pPr>
      <w:r>
        <w:rPr>
          <w:rFonts w:hint="eastAsia" w:ascii="宋体" w:hAnsi="宋体" w:cs="宋体"/>
          <w:color w:val="auto"/>
          <w:sz w:val="24"/>
          <w:szCs w:val="24"/>
          <w:highlight w:val="none"/>
        </w:rPr>
        <w:t>3.除非招标人对招标文件予以修改，投标人应按招标人提供的工程量清单执行。</w:t>
      </w:r>
    </w:p>
    <w:p w14:paraId="3CB7DB52">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71E04402">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5.采用单价包干，工程量以实际发生（按业主、监理人、中标人确认）进行计算，但最终结算价不得超过概算审定的检测费总价。</w:t>
      </w:r>
    </w:p>
    <w:p w14:paraId="02378FD7">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5181865D">
      <w:pPr>
        <w:spacing w:line="360" w:lineRule="auto"/>
        <w:ind w:left="1" w:firstLine="480" w:firstLineChars="200"/>
        <w:rPr>
          <w:rFonts w:hint="eastAsia" w:ascii="宋体" w:hAnsi="宋体" w:eastAsia="宋体" w:cs="宋体"/>
          <w:bCs/>
          <w:color w:val="auto"/>
          <w:spacing w:val="4"/>
          <w:sz w:val="24"/>
          <w:highlight w:val="none"/>
          <w:lang w:bidi="ar"/>
        </w:rPr>
      </w:pPr>
      <w:r>
        <w:rPr>
          <w:rFonts w:hint="eastAsia" w:ascii="宋体" w:hAnsi="宋体" w:cs="宋体"/>
          <w:color w:val="auto"/>
          <w:sz w:val="24"/>
          <w:szCs w:val="24"/>
          <w:highlight w:val="none"/>
        </w:rPr>
        <w:t>6.</w:t>
      </w:r>
      <w:r>
        <w:rPr>
          <w:rFonts w:hint="eastAsia" w:ascii="宋体" w:hAnsi="宋体" w:cs="宋体"/>
          <w:bCs/>
          <w:color w:val="auto"/>
          <w:spacing w:val="4"/>
          <w:sz w:val="24"/>
          <w:highlight w:val="none"/>
          <w:lang w:bidi="ar"/>
        </w:rPr>
        <w:t>项目实际发生的工程量单价按不超过《广东省房屋建筑和市政工程质量安全检测收费指导价（第一批）》（粤建检协〔2015〕8号）、《广东省既有房屋建筑安全性鉴定收费指导价》的通知（粤建检协〔2015〕8号）、</w:t>
      </w:r>
      <w:r>
        <w:rPr>
          <w:rFonts w:hint="eastAsia" w:ascii="Times New Roman" w:hAnsi="Times New Roman" w:cs="宋体"/>
          <w:bCs/>
          <w:color w:val="auto"/>
          <w:spacing w:val="4"/>
          <w:sz w:val="24"/>
          <w:szCs w:val="24"/>
          <w:highlight w:val="none"/>
          <w:lang w:eastAsia="zh-CN" w:bidi="ar"/>
        </w:rPr>
        <w:t>《</w:t>
      </w:r>
      <w:r>
        <w:rPr>
          <w:rFonts w:hint="eastAsia" w:ascii="Times New Roman" w:hAnsi="Times New Roman" w:cs="宋体"/>
          <w:bCs/>
          <w:color w:val="auto"/>
          <w:spacing w:val="4"/>
          <w:sz w:val="24"/>
          <w:szCs w:val="24"/>
          <w:highlight w:val="none"/>
          <w:lang w:val="en-US" w:eastAsia="zh-CN" w:bidi="ar"/>
        </w:rPr>
        <w:t>广东省绿色建筑计价指引》（</w:t>
      </w:r>
      <w:r>
        <w:rPr>
          <w:rFonts w:hint="eastAsia" w:ascii="Times New Roman" w:hAnsi="Times New Roman" w:cs="宋体"/>
          <w:bCs/>
          <w:color w:val="auto"/>
          <w:spacing w:val="4"/>
          <w:sz w:val="24"/>
          <w:szCs w:val="24"/>
          <w:highlight w:val="none"/>
          <w:lang w:bidi="ar"/>
        </w:rPr>
        <w:t>粤建</w:t>
      </w:r>
      <w:r>
        <w:rPr>
          <w:rFonts w:hint="eastAsia" w:ascii="Times New Roman" w:hAnsi="Times New Roman" w:cs="宋体"/>
          <w:bCs/>
          <w:color w:val="auto"/>
          <w:spacing w:val="4"/>
          <w:sz w:val="24"/>
          <w:szCs w:val="24"/>
          <w:highlight w:val="none"/>
          <w:lang w:val="en-US" w:eastAsia="zh-CN" w:bidi="ar"/>
        </w:rPr>
        <w:t>标</w:t>
      </w:r>
      <w:r>
        <w:rPr>
          <w:rFonts w:hint="eastAsia" w:ascii="Times New Roman" w:hAnsi="Times New Roman" w:cs="宋体"/>
          <w:bCs/>
          <w:color w:val="auto"/>
          <w:spacing w:val="4"/>
          <w:sz w:val="24"/>
          <w:szCs w:val="24"/>
          <w:highlight w:val="none"/>
          <w:lang w:bidi="ar"/>
        </w:rPr>
        <w:t>〔20</w:t>
      </w:r>
      <w:r>
        <w:rPr>
          <w:rFonts w:hint="eastAsia" w:ascii="Times New Roman" w:hAnsi="Times New Roman" w:cs="宋体"/>
          <w:bCs/>
          <w:color w:val="auto"/>
          <w:spacing w:val="4"/>
          <w:sz w:val="24"/>
          <w:szCs w:val="24"/>
          <w:highlight w:val="none"/>
          <w:lang w:val="en-US" w:eastAsia="zh-CN" w:bidi="ar"/>
        </w:rPr>
        <w:t>23</w:t>
      </w:r>
      <w:r>
        <w:rPr>
          <w:rFonts w:hint="eastAsia" w:ascii="Times New Roman" w:hAnsi="Times New Roman" w:cs="宋体"/>
          <w:bCs/>
          <w:color w:val="auto"/>
          <w:spacing w:val="4"/>
          <w:sz w:val="24"/>
          <w:szCs w:val="24"/>
          <w:highlight w:val="none"/>
          <w:lang w:bidi="ar"/>
        </w:rPr>
        <w:t>〕</w:t>
      </w:r>
      <w:r>
        <w:rPr>
          <w:rFonts w:hint="eastAsia" w:ascii="Times New Roman" w:hAnsi="Times New Roman" w:cs="宋体"/>
          <w:bCs/>
          <w:color w:val="auto"/>
          <w:spacing w:val="4"/>
          <w:sz w:val="24"/>
          <w:szCs w:val="24"/>
          <w:highlight w:val="none"/>
          <w:lang w:val="en-US" w:eastAsia="zh-CN" w:bidi="ar"/>
        </w:rPr>
        <w:t>29</w:t>
      </w:r>
      <w:r>
        <w:rPr>
          <w:rFonts w:hint="eastAsia" w:ascii="Times New Roman" w:hAnsi="Times New Roman" w:cs="宋体"/>
          <w:bCs/>
          <w:color w:val="auto"/>
          <w:spacing w:val="4"/>
          <w:sz w:val="24"/>
          <w:szCs w:val="24"/>
          <w:highlight w:val="none"/>
          <w:lang w:bidi="ar"/>
        </w:rPr>
        <w:t>号</w:t>
      </w:r>
      <w:r>
        <w:rPr>
          <w:rFonts w:hint="eastAsia" w:ascii="Times New Roman" w:hAnsi="Times New Roman" w:cs="宋体"/>
          <w:bCs/>
          <w:color w:val="auto"/>
          <w:spacing w:val="4"/>
          <w:sz w:val="24"/>
          <w:szCs w:val="24"/>
          <w:highlight w:val="none"/>
          <w:lang w:val="en-US" w:eastAsia="zh-CN" w:bidi="ar"/>
        </w:rPr>
        <w:t>）、</w:t>
      </w:r>
      <w:r>
        <w:rPr>
          <w:rFonts w:hint="eastAsia" w:ascii="宋体" w:hAnsi="宋体" w:cs="宋体"/>
          <w:bCs/>
          <w:color w:val="auto"/>
          <w:spacing w:val="4"/>
          <w:sz w:val="24"/>
          <w:highlight w:val="none"/>
          <w:lang w:bidi="ar"/>
        </w:rPr>
        <w:t>《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w:t>
      </w:r>
      <w:r>
        <w:rPr>
          <w:rFonts w:hint="eastAsia" w:ascii="宋体" w:hAnsi="宋体" w:eastAsia="宋体" w:cs="宋体"/>
          <w:bCs/>
          <w:color w:val="auto"/>
          <w:spacing w:val="4"/>
          <w:sz w:val="24"/>
          <w:highlight w:val="none"/>
          <w:lang w:bidi="ar"/>
        </w:rPr>
        <w:t>，上述计费文件均没有的单价，按由甲乙双方参照市场价格协商确定，</w:t>
      </w:r>
      <w:r>
        <w:rPr>
          <w:rFonts w:hint="eastAsia" w:ascii="宋体" w:hAnsi="宋体" w:cs="宋体"/>
          <w:bCs/>
          <w:color w:val="auto"/>
          <w:spacing w:val="4"/>
          <w:sz w:val="24"/>
          <w:highlight w:val="none"/>
          <w:lang w:bidi="ar"/>
        </w:rPr>
        <w:t>最终以评审审定为准，结算时按中标人投标时的下浮率结合合同相关条款进行结算，</w:t>
      </w:r>
      <w:r>
        <w:rPr>
          <w:rFonts w:hint="eastAsia" w:ascii="宋体" w:hAnsi="宋体" w:eastAsia="宋体" w:cs="宋体"/>
          <w:bCs/>
          <w:color w:val="auto"/>
          <w:spacing w:val="4"/>
          <w:sz w:val="24"/>
          <w:highlight w:val="none"/>
          <w:lang w:bidi="ar"/>
        </w:rPr>
        <w:t>如结算价超过合同暂定价的，则按合同暂定价为最终结算价。</w:t>
      </w:r>
    </w:p>
    <w:p w14:paraId="135BD171">
      <w:pPr>
        <w:spacing w:line="360" w:lineRule="auto"/>
        <w:ind w:left="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监测服务的工作量根据经招标人批准的检测方案，并结合工程量清单、现场实际情况由招标人、监理人、中标人三方进行签证确认，中标人自行增加的额外工作量将不被承认，最终以番禺区财政评审机构审定为准结算。</w:t>
      </w:r>
    </w:p>
    <w:p w14:paraId="3874F297">
      <w:pPr>
        <w:spacing w:line="360" w:lineRule="auto"/>
        <w:ind w:left="1" w:firstLine="480" w:firstLineChars="200"/>
        <w:rPr>
          <w:rFonts w:ascii="宋体" w:hAnsi="宋体" w:cs="宋体"/>
          <w:color w:val="auto"/>
          <w:sz w:val="24"/>
          <w:szCs w:val="24"/>
          <w:highlight w:val="none"/>
        </w:rPr>
      </w:pPr>
    </w:p>
    <w:p w14:paraId="40DACA54">
      <w:pPr>
        <w:spacing w:line="360" w:lineRule="auto"/>
        <w:rPr>
          <w:color w:val="auto"/>
          <w:highlight w:val="none"/>
        </w:rPr>
      </w:pPr>
    </w:p>
    <w:p w14:paraId="7F88FE39">
      <w:pPr>
        <w:pStyle w:val="17"/>
        <w:spacing w:line="360" w:lineRule="auto"/>
        <w:rPr>
          <w:color w:val="auto"/>
          <w:highlight w:val="none"/>
        </w:rPr>
      </w:pPr>
    </w:p>
    <w:p w14:paraId="53E86C5B">
      <w:pPr>
        <w:spacing w:line="360" w:lineRule="auto"/>
        <w:rPr>
          <w:color w:val="auto"/>
          <w:highlight w:val="none"/>
        </w:rPr>
      </w:pPr>
    </w:p>
    <w:p w14:paraId="60FA66F5">
      <w:pPr>
        <w:widowControl/>
        <w:spacing w:line="360" w:lineRule="auto"/>
        <w:jc w:val="left"/>
        <w:rPr>
          <w:rFonts w:ascii="宋体" w:hAnsi="宋体" w:cs="宋体"/>
          <w:color w:val="auto"/>
          <w:szCs w:val="24"/>
          <w:highlight w:val="none"/>
        </w:rPr>
      </w:pPr>
      <w:r>
        <w:rPr>
          <w:rFonts w:hint="eastAsia"/>
          <w:color w:val="auto"/>
          <w:highlight w:val="none"/>
        </w:rPr>
        <w:br w:type="page"/>
      </w:r>
    </w:p>
    <w:p w14:paraId="44E5BA27">
      <w:pPr>
        <w:pStyle w:val="2"/>
        <w:keepNext w:val="0"/>
        <w:keepLines w:val="0"/>
        <w:spacing w:line="360" w:lineRule="auto"/>
        <w:jc w:val="center"/>
        <w:rPr>
          <w:rFonts w:ascii="宋体" w:hAnsi="宋体" w:eastAsia="宋体" w:cs="宋体"/>
          <w:color w:val="auto"/>
          <w:highlight w:val="none"/>
        </w:rPr>
      </w:pPr>
      <w:bookmarkStart w:id="188" w:name="_Toc6304"/>
      <w:r>
        <w:rPr>
          <w:rFonts w:hint="eastAsia" w:ascii="宋体" w:hAnsi="宋体" w:eastAsia="宋体" w:cs="宋体"/>
          <w:color w:val="auto"/>
          <w:kern w:val="2"/>
          <w:highlight w:val="none"/>
        </w:rPr>
        <w:t>第七章  投标文件格式</w:t>
      </w:r>
      <w:bookmarkEnd w:id="188"/>
    </w:p>
    <w:bookmarkEnd w:id="186"/>
    <w:bookmarkEnd w:id="187"/>
    <w:p w14:paraId="7E1A55A7">
      <w:pPr>
        <w:spacing w:line="360" w:lineRule="auto"/>
        <w:jc w:val="center"/>
        <w:rPr>
          <w:rFonts w:ascii="宋体" w:hAnsi="宋体" w:cs="宋体"/>
          <w:b/>
          <w:color w:val="auto"/>
          <w:sz w:val="44"/>
          <w:szCs w:val="44"/>
          <w:highlight w:val="none"/>
        </w:rPr>
      </w:pPr>
    </w:p>
    <w:p w14:paraId="1A31B1E1">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智造创新园石碁镇225亩前锋西地块配套道路检测、监测服务</w:t>
      </w:r>
    </w:p>
    <w:p w14:paraId="3B307591">
      <w:pPr>
        <w:spacing w:line="360" w:lineRule="auto"/>
        <w:rPr>
          <w:rFonts w:ascii="宋体" w:hAnsi="宋体" w:cs="宋体"/>
          <w:color w:val="auto"/>
          <w:sz w:val="20"/>
          <w:highlight w:val="none"/>
        </w:rPr>
      </w:pPr>
    </w:p>
    <w:p w14:paraId="53DAF903">
      <w:pPr>
        <w:spacing w:line="360" w:lineRule="auto"/>
        <w:rPr>
          <w:rFonts w:ascii="宋体" w:hAnsi="宋体" w:cs="宋体"/>
          <w:color w:val="auto"/>
          <w:sz w:val="20"/>
          <w:highlight w:val="none"/>
        </w:rPr>
      </w:pPr>
    </w:p>
    <w:p w14:paraId="4941D94B">
      <w:pPr>
        <w:spacing w:line="360" w:lineRule="auto"/>
        <w:rPr>
          <w:rFonts w:ascii="宋体" w:hAnsi="宋体" w:cs="宋体"/>
          <w:color w:val="auto"/>
          <w:sz w:val="20"/>
          <w:highlight w:val="none"/>
        </w:rPr>
      </w:pPr>
    </w:p>
    <w:p w14:paraId="2CE51351">
      <w:pPr>
        <w:spacing w:line="360" w:lineRule="auto"/>
        <w:rPr>
          <w:rFonts w:ascii="宋体" w:hAnsi="宋体" w:cs="宋体"/>
          <w:color w:val="auto"/>
          <w:sz w:val="20"/>
          <w:highlight w:val="none"/>
        </w:rPr>
      </w:pPr>
    </w:p>
    <w:p w14:paraId="4EA05DD4">
      <w:pPr>
        <w:spacing w:line="360" w:lineRule="auto"/>
        <w:rPr>
          <w:rFonts w:ascii="宋体" w:hAnsi="宋体" w:cs="宋体"/>
          <w:color w:val="auto"/>
          <w:sz w:val="20"/>
          <w:highlight w:val="none"/>
        </w:rPr>
      </w:pPr>
    </w:p>
    <w:p w14:paraId="701DA8C3">
      <w:pPr>
        <w:spacing w:line="360" w:lineRule="auto"/>
        <w:rPr>
          <w:rFonts w:ascii="宋体" w:hAnsi="宋体" w:cs="宋体"/>
          <w:color w:val="auto"/>
          <w:sz w:val="20"/>
          <w:highlight w:val="none"/>
        </w:rPr>
      </w:pPr>
    </w:p>
    <w:p w14:paraId="08075914">
      <w:pPr>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投标文件</w:t>
      </w:r>
    </w:p>
    <w:p w14:paraId="0FB03BAF">
      <w:pPr>
        <w:spacing w:line="360" w:lineRule="auto"/>
        <w:rPr>
          <w:rFonts w:ascii="宋体" w:hAnsi="宋体" w:cs="宋体"/>
          <w:color w:val="auto"/>
          <w:sz w:val="28"/>
          <w:highlight w:val="none"/>
        </w:rPr>
      </w:pPr>
    </w:p>
    <w:p w14:paraId="072A4BB2">
      <w:pPr>
        <w:spacing w:line="360" w:lineRule="auto"/>
        <w:rPr>
          <w:rFonts w:ascii="宋体" w:hAnsi="宋体" w:cs="宋体"/>
          <w:color w:val="auto"/>
          <w:sz w:val="28"/>
          <w:highlight w:val="none"/>
        </w:rPr>
      </w:pPr>
    </w:p>
    <w:p w14:paraId="31784F38">
      <w:pPr>
        <w:spacing w:line="360" w:lineRule="auto"/>
        <w:rPr>
          <w:rFonts w:ascii="宋体" w:hAnsi="宋体" w:cs="宋体"/>
          <w:color w:val="auto"/>
          <w:sz w:val="28"/>
          <w:highlight w:val="none"/>
        </w:rPr>
      </w:pPr>
    </w:p>
    <w:p w14:paraId="791656E4">
      <w:pPr>
        <w:spacing w:line="360" w:lineRule="auto"/>
        <w:rPr>
          <w:rFonts w:ascii="宋体" w:hAnsi="宋体" w:cs="宋体"/>
          <w:color w:val="auto"/>
          <w:sz w:val="28"/>
          <w:highlight w:val="none"/>
        </w:rPr>
      </w:pPr>
    </w:p>
    <w:p w14:paraId="02A4A61E">
      <w:pPr>
        <w:spacing w:line="360" w:lineRule="auto"/>
        <w:rPr>
          <w:rFonts w:ascii="宋体" w:hAnsi="宋体" w:cs="宋体"/>
          <w:color w:val="auto"/>
          <w:sz w:val="28"/>
          <w:highlight w:val="none"/>
        </w:rPr>
      </w:pPr>
    </w:p>
    <w:p w14:paraId="5D3CE185">
      <w:pPr>
        <w:pStyle w:val="24"/>
        <w:rPr>
          <w:rFonts w:ascii="宋体" w:hAnsi="宋体" w:cs="宋体"/>
          <w:color w:val="auto"/>
          <w:sz w:val="28"/>
          <w:highlight w:val="none"/>
        </w:rPr>
      </w:pPr>
    </w:p>
    <w:p w14:paraId="5CA67C23">
      <w:pPr>
        <w:pStyle w:val="24"/>
        <w:rPr>
          <w:rFonts w:ascii="宋体" w:hAnsi="宋体" w:cs="宋体"/>
          <w:color w:val="auto"/>
          <w:sz w:val="28"/>
          <w:highlight w:val="none"/>
        </w:rPr>
      </w:pPr>
    </w:p>
    <w:p w14:paraId="6BA81660">
      <w:pPr>
        <w:spacing w:line="360" w:lineRule="auto"/>
        <w:rPr>
          <w:rFonts w:ascii="宋体" w:hAnsi="宋体" w:cs="宋体"/>
          <w:color w:val="auto"/>
          <w:sz w:val="28"/>
          <w:highlight w:val="none"/>
        </w:rPr>
      </w:pPr>
    </w:p>
    <w:p w14:paraId="7D0C0580">
      <w:pPr>
        <w:spacing w:line="360" w:lineRule="auto"/>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投标人：（盖章）</w:t>
      </w:r>
    </w:p>
    <w:p w14:paraId="0630E485">
      <w:pPr>
        <w:spacing w:line="360" w:lineRule="auto"/>
        <w:ind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法定代表人或其委托代理人：（签字或盖章）</w:t>
      </w:r>
    </w:p>
    <w:p w14:paraId="65431E85">
      <w:pPr>
        <w:spacing w:line="360" w:lineRule="auto"/>
        <w:jc w:val="center"/>
        <w:rPr>
          <w:rFonts w:ascii="宋体" w:hAnsi="宋体" w:cs="宋体"/>
          <w:color w:val="auto"/>
          <w:highlight w:val="none"/>
        </w:rPr>
      </w:pPr>
      <w:r>
        <w:rPr>
          <w:rFonts w:hint="eastAsia" w:ascii="宋体" w:hAnsi="宋体" w:cs="宋体"/>
          <w:color w:val="auto"/>
          <w:sz w:val="28"/>
          <w:highlight w:val="none"/>
        </w:rPr>
        <w:t>年  月  日</w:t>
      </w:r>
    </w:p>
    <w:p w14:paraId="6823EA5D">
      <w:pPr>
        <w:spacing w:line="360" w:lineRule="auto"/>
        <w:rPr>
          <w:rFonts w:ascii="宋体" w:hAnsi="宋体" w:cs="宋体"/>
          <w:color w:val="auto"/>
          <w:highlight w:val="none"/>
        </w:rPr>
      </w:pPr>
    </w:p>
    <w:p w14:paraId="37B9A303">
      <w:pPr>
        <w:spacing w:line="360" w:lineRule="auto"/>
        <w:rPr>
          <w:rFonts w:ascii="宋体" w:hAnsi="宋体" w:cs="宋体"/>
          <w:color w:val="auto"/>
          <w:highlight w:val="none"/>
        </w:rPr>
      </w:pPr>
    </w:p>
    <w:p w14:paraId="325257FF">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目录</w:t>
      </w:r>
    </w:p>
    <w:p w14:paraId="519468CF">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一、投标函及投标函附录</w:t>
      </w:r>
      <w:r>
        <w:rPr>
          <w:rFonts w:hint="eastAsia" w:ascii="宋体" w:hAnsi="宋体" w:cs="宋体"/>
          <w:color w:val="auto"/>
          <w:sz w:val="28"/>
          <w:szCs w:val="28"/>
          <w:highlight w:val="none"/>
        </w:rPr>
        <w:tab/>
      </w:r>
    </w:p>
    <w:p w14:paraId="07746F4D">
      <w:pP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二、法定代表人证明书及授权委托书</w:t>
      </w:r>
      <w:r>
        <w:rPr>
          <w:rFonts w:hint="eastAsia" w:ascii="宋体" w:hAnsi="宋体" w:cs="宋体"/>
          <w:color w:val="auto"/>
          <w:sz w:val="28"/>
          <w:szCs w:val="28"/>
          <w:highlight w:val="none"/>
        </w:rPr>
        <w:tab/>
      </w:r>
    </w:p>
    <w:p w14:paraId="39CC4933">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、关于投标保证金的承诺</w:t>
      </w:r>
    </w:p>
    <w:p w14:paraId="73530B20">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、联合体协议书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（如有）</w:t>
      </w:r>
    </w:p>
    <w:p w14:paraId="55CE5445">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五、资格审查资料</w:t>
      </w:r>
      <w:r>
        <w:rPr>
          <w:rFonts w:hint="eastAsia" w:ascii="宋体" w:hAnsi="宋体" w:cs="宋体"/>
          <w:color w:val="auto"/>
          <w:sz w:val="28"/>
          <w:szCs w:val="28"/>
          <w:highlight w:val="none"/>
        </w:rPr>
        <w:tab/>
      </w:r>
    </w:p>
    <w:p w14:paraId="130DE83B">
      <w:pPr>
        <w:spacing w:line="360" w:lineRule="auto"/>
        <w:jc w:val="left"/>
        <w:rPr>
          <w:rFonts w:ascii="宋体" w:hAnsi="宋体" w:cs="宋体"/>
          <w:color w:val="auto"/>
          <w:sz w:val="28"/>
          <w:szCs w:val="28"/>
          <w:highlight w:val="none"/>
        </w:rPr>
      </w:pPr>
      <w:bookmarkStart w:id="189" w:name="_Toc525063272"/>
      <w:bookmarkStart w:id="190" w:name="_Toc14300"/>
      <w:bookmarkStart w:id="191" w:name="_Toc759"/>
      <w:bookmarkStart w:id="192" w:name="_Toc7672"/>
      <w:bookmarkStart w:id="193" w:name="_Toc20192"/>
      <w:bookmarkStart w:id="194" w:name="_Toc15847"/>
      <w:r>
        <w:rPr>
          <w:rFonts w:hint="eastAsia" w:ascii="宋体" w:hAnsi="宋体" w:cs="宋体"/>
          <w:color w:val="auto"/>
          <w:sz w:val="28"/>
          <w:szCs w:val="28"/>
          <w:highlight w:val="none"/>
        </w:rPr>
        <w:t>六、类似项目业绩表</w:t>
      </w:r>
    </w:p>
    <w:p w14:paraId="2B226C28">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七、拟投入本项目的人员一览表</w:t>
      </w:r>
    </w:p>
    <w:p w14:paraId="63F451DE">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八、拟投入本项目的人员简历表</w:t>
      </w:r>
    </w:p>
    <w:p w14:paraId="5401E449">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九、拟投入本项目的主要仪器设备一览表</w:t>
      </w:r>
    </w:p>
    <w:p w14:paraId="48FDFBAF">
      <w:pPr>
        <w:spacing w:line="360" w:lineRule="auto"/>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十、</w:t>
      </w:r>
      <w:r>
        <w:rPr>
          <w:rFonts w:hint="eastAsia" w:ascii="宋体" w:hAnsi="宋体" w:cs="宋体"/>
          <w:color w:val="auto"/>
          <w:sz w:val="28"/>
          <w:szCs w:val="28"/>
          <w:highlight w:val="none"/>
          <w:lang w:val="en-US" w:eastAsia="zh-CN"/>
        </w:rPr>
        <w:t>检测监测</w:t>
      </w:r>
      <w:r>
        <w:rPr>
          <w:rFonts w:hint="eastAsia" w:ascii="宋体" w:hAnsi="宋体" w:cs="宋体"/>
          <w:color w:val="auto"/>
          <w:sz w:val="28"/>
          <w:szCs w:val="28"/>
          <w:highlight w:val="none"/>
        </w:rPr>
        <w:t>技术方案</w:t>
      </w:r>
      <w:r>
        <w:rPr>
          <w:rFonts w:hint="eastAsia" w:ascii="宋体" w:hAnsi="宋体" w:eastAsia="宋体" w:cs="宋体"/>
          <w:color w:val="auto"/>
          <w:sz w:val="28"/>
          <w:szCs w:val="28"/>
          <w:highlight w:val="none"/>
        </w:rPr>
        <w:tab/>
      </w:r>
    </w:p>
    <w:p w14:paraId="3A6A6B55">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w:t>
      </w:r>
      <w:r>
        <w:rPr>
          <w:rFonts w:hint="eastAsia" w:ascii="宋体" w:hAnsi="宋体" w:cs="宋体"/>
          <w:color w:val="auto"/>
          <w:sz w:val="28"/>
          <w:szCs w:val="28"/>
          <w:highlight w:val="none"/>
          <w:lang w:val="en-US" w:eastAsia="zh-CN"/>
        </w:rPr>
        <w:t>一</w:t>
      </w:r>
      <w:r>
        <w:rPr>
          <w:rFonts w:hint="eastAsia" w:ascii="宋体" w:hAnsi="宋体" w:eastAsia="宋体" w:cs="宋体"/>
          <w:color w:val="auto"/>
          <w:sz w:val="28"/>
          <w:szCs w:val="28"/>
          <w:highlight w:val="none"/>
        </w:rPr>
        <w:t>、投标人认为应该提供的其他资料</w:t>
      </w:r>
    </w:p>
    <w:p w14:paraId="1C6EE1FA">
      <w:pPr>
        <w:spacing w:line="360" w:lineRule="auto"/>
        <w:rPr>
          <w:rFonts w:ascii="宋体" w:hAnsi="宋体" w:cs="宋体"/>
          <w:color w:val="auto"/>
          <w:sz w:val="20"/>
          <w:highlight w:val="none"/>
        </w:rPr>
      </w:pPr>
    </w:p>
    <w:p w14:paraId="1D4119F5">
      <w:pPr>
        <w:keepNext/>
        <w:keepLines/>
        <w:spacing w:line="360" w:lineRule="auto"/>
        <w:jc w:val="center"/>
        <w:outlineLvl w:val="1"/>
        <w:rPr>
          <w:rFonts w:ascii="宋体" w:hAnsi="宋体" w:cs="宋体"/>
          <w:color w:val="auto"/>
          <w:sz w:val="32"/>
          <w:highlight w:val="none"/>
        </w:rPr>
      </w:pPr>
      <w:r>
        <w:rPr>
          <w:rFonts w:hint="eastAsia" w:ascii="宋体" w:hAnsi="宋体" w:cs="宋体"/>
          <w:color w:val="auto"/>
          <w:highlight w:val="none"/>
        </w:rPr>
        <w:br w:type="page"/>
      </w:r>
      <w:bookmarkStart w:id="195" w:name="_Toc23717"/>
      <w:r>
        <w:rPr>
          <w:rFonts w:hint="eastAsia" w:ascii="宋体" w:hAnsi="宋体" w:cs="宋体"/>
          <w:color w:val="auto"/>
          <w:sz w:val="32"/>
          <w:highlight w:val="none"/>
        </w:rPr>
        <w:t>一、</w:t>
      </w:r>
      <w:r>
        <w:rPr>
          <w:rFonts w:hint="eastAsia" w:ascii="宋体" w:hAnsi="宋体" w:cs="宋体"/>
          <w:b/>
          <w:bCs/>
          <w:color w:val="auto"/>
          <w:sz w:val="32"/>
          <w:szCs w:val="32"/>
          <w:highlight w:val="none"/>
        </w:rPr>
        <w:t>投标函及投标函附录</w:t>
      </w:r>
      <w:bookmarkEnd w:id="195"/>
    </w:p>
    <w:p w14:paraId="49416FD3">
      <w:pPr>
        <w:spacing w:line="360" w:lineRule="auto"/>
        <w:jc w:val="center"/>
        <w:rPr>
          <w:rFonts w:ascii="宋体" w:hAnsi="宋体" w:cs="宋体"/>
          <w:color w:val="auto"/>
          <w:sz w:val="30"/>
          <w:szCs w:val="24"/>
          <w:highlight w:val="none"/>
        </w:rPr>
      </w:pPr>
      <w:r>
        <w:rPr>
          <w:rFonts w:hint="eastAsia" w:ascii="宋体" w:hAnsi="宋体" w:cs="宋体"/>
          <w:color w:val="auto"/>
          <w:sz w:val="30"/>
          <w:szCs w:val="24"/>
          <w:highlight w:val="none"/>
        </w:rPr>
        <w:t>（一）投标函</w:t>
      </w:r>
    </w:p>
    <w:p w14:paraId="10BD3738">
      <w:pPr>
        <w:spacing w:line="360" w:lineRule="auto"/>
        <w:rPr>
          <w:rFonts w:ascii="宋体" w:hAnsi="宋体" w:cs="宋体"/>
          <w:color w:val="auto"/>
          <w:szCs w:val="24"/>
          <w:highlight w:val="none"/>
        </w:rPr>
      </w:pPr>
    </w:p>
    <w:bookmarkEnd w:id="189"/>
    <w:bookmarkEnd w:id="190"/>
    <w:bookmarkEnd w:id="191"/>
    <w:bookmarkEnd w:id="192"/>
    <w:bookmarkEnd w:id="193"/>
    <w:bookmarkEnd w:id="194"/>
    <w:p w14:paraId="50CA1F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000D099C">
      <w:pPr>
        <w:pStyle w:val="10"/>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在仔细分析研究了贵单位提供的</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hint="eastAsia" w:ascii="宋体" w:hAnsi="宋体"/>
          <w:color w:val="auto"/>
          <w:sz w:val="24"/>
          <w:highlight w:val="none"/>
        </w:rPr>
        <w:t>招标文件后，我方愿意以总价为人民币（大写）</w:t>
      </w:r>
      <w:r>
        <w:rPr>
          <w:rFonts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）作为</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olor w:val="auto"/>
          <w:sz w:val="24"/>
          <w:highlight w:val="none"/>
          <w:u w:val="single"/>
        </w:rPr>
        <w:t xml:space="preserve">         </w:t>
      </w:r>
      <w:r>
        <w:rPr>
          <w:rFonts w:hint="eastAsia" w:ascii="宋体" w:hAnsi="宋体"/>
          <w:color w:val="auto"/>
          <w:sz w:val="24"/>
          <w:highlight w:val="none"/>
        </w:rPr>
        <w:t>服务费的总价，并遵照招标文件的有关规定要求，承担全部服务任务工作。</w:t>
      </w:r>
    </w:p>
    <w:p w14:paraId="4805A44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0E84A37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如果贵单位接受我方的投标，我方保证按合同规定的期限内开始本工程的检测监测工作并按投标书中规定的期限内完成合同规定的全部任务。</w:t>
      </w:r>
    </w:p>
    <w:p w14:paraId="42BA4CB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4E721D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333F0D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4F27000B">
      <w:pPr>
        <w:spacing w:line="360" w:lineRule="auto"/>
        <w:rPr>
          <w:rFonts w:ascii="宋体" w:hAnsi="宋体"/>
          <w:color w:val="auto"/>
          <w:highlight w:val="none"/>
        </w:rPr>
      </w:pPr>
    </w:p>
    <w:p w14:paraId="7C4FDE8A">
      <w:pPr>
        <w:spacing w:line="360" w:lineRule="auto"/>
        <w:ind w:firstLine="2520" w:firstLineChars="1200"/>
        <w:jc w:val="left"/>
        <w:rPr>
          <w:rFonts w:ascii="宋体" w:hAnsi="宋体"/>
          <w:color w:val="auto"/>
          <w:szCs w:val="21"/>
          <w:highlight w:val="none"/>
        </w:rPr>
      </w:pPr>
    </w:p>
    <w:p w14:paraId="28188DFD">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47AC4B72">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1A359F8C">
      <w:pPr>
        <w:spacing w:line="360" w:lineRule="auto"/>
        <w:ind w:firstLine="5400" w:firstLineChars="2250"/>
        <w:jc w:val="right"/>
        <w:rPr>
          <w:rFonts w:ascii="宋体" w:hAnsi="宋体"/>
          <w:color w:val="auto"/>
          <w:szCs w:val="21"/>
          <w:highlight w:val="none"/>
        </w:rPr>
      </w:pPr>
      <w:r>
        <w:rPr>
          <w:rFonts w:hint="eastAsia" w:ascii="Times New Roman" w:hAnsi="Times New Roman"/>
          <w:color w:val="auto"/>
          <w:sz w:val="24"/>
          <w:highlight w:val="none"/>
        </w:rPr>
        <w:t>2025年  月  日</w:t>
      </w:r>
    </w:p>
    <w:p w14:paraId="74A57106">
      <w:pPr>
        <w:spacing w:line="360" w:lineRule="auto"/>
        <w:jc w:val="left"/>
        <w:rPr>
          <w:rFonts w:ascii="宋体" w:hAnsi="宋体" w:cs="宋体"/>
          <w:color w:val="auto"/>
          <w:highlight w:val="none"/>
        </w:rPr>
      </w:pPr>
    </w:p>
    <w:p w14:paraId="4B24F30F">
      <w:pPr>
        <w:spacing w:line="360" w:lineRule="auto"/>
        <w:jc w:val="center"/>
        <w:rPr>
          <w:rFonts w:ascii="宋体" w:hAnsi="宋体" w:cs="宋体"/>
          <w:color w:val="auto"/>
          <w:sz w:val="30"/>
          <w:szCs w:val="24"/>
          <w:highlight w:val="none"/>
        </w:rPr>
      </w:pPr>
      <w:r>
        <w:rPr>
          <w:rFonts w:ascii="宋体" w:hAnsi="宋体" w:cs="宋体"/>
          <w:color w:val="auto"/>
          <w:sz w:val="30"/>
          <w:szCs w:val="24"/>
          <w:highlight w:val="none"/>
        </w:rPr>
        <w:br w:type="page"/>
      </w:r>
      <w:r>
        <w:rPr>
          <w:rFonts w:hint="eastAsia" w:ascii="宋体" w:hAnsi="宋体" w:cs="宋体"/>
          <w:color w:val="auto"/>
          <w:sz w:val="30"/>
          <w:szCs w:val="24"/>
          <w:highlight w:val="none"/>
        </w:rPr>
        <w:t>（二）投标函附录</w:t>
      </w:r>
    </w:p>
    <w:p w14:paraId="5DD246A1">
      <w:pPr>
        <w:spacing w:line="360" w:lineRule="auto"/>
        <w:rPr>
          <w:rFonts w:ascii="宋体" w:hAnsi="宋体" w:cs="宋体"/>
          <w:color w:val="auto"/>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72"/>
        <w:gridCol w:w="3943"/>
        <w:gridCol w:w="1654"/>
      </w:tblGrid>
      <w:tr w14:paraId="66EA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F9B773F">
            <w:pPr>
              <w:jc w:val="center"/>
              <w:rPr>
                <w:rFonts w:ascii="宋体" w:hAnsi="宋体"/>
                <w:b/>
                <w:color w:val="auto"/>
                <w:sz w:val="24"/>
                <w:szCs w:val="28"/>
                <w:highlight w:val="none"/>
              </w:rPr>
            </w:pPr>
            <w:bookmarkStart w:id="196" w:name="_Toc352691661"/>
            <w:bookmarkStart w:id="197" w:name="_Toc300835209"/>
            <w:bookmarkStart w:id="198" w:name="_Toc247514246"/>
            <w:bookmarkStart w:id="199" w:name="_Toc369531697"/>
            <w:bookmarkStart w:id="200" w:name="_Toc17960"/>
            <w:bookmarkStart w:id="201" w:name="_Toc384308375"/>
            <w:bookmarkStart w:id="202" w:name="_Toc152045787"/>
            <w:bookmarkStart w:id="203" w:name="_Toc247527827"/>
            <w:bookmarkStart w:id="204" w:name="_Toc361508752"/>
            <w:bookmarkStart w:id="205" w:name="_Toc152042576"/>
            <w:bookmarkStart w:id="206" w:name="_Toc144974856"/>
            <w:r>
              <w:rPr>
                <w:rFonts w:hint="eastAsia" w:ascii="宋体" w:hAnsi="宋体"/>
                <w:b/>
                <w:color w:val="auto"/>
                <w:sz w:val="24"/>
                <w:szCs w:val="28"/>
                <w:highlight w:val="none"/>
              </w:rPr>
              <w:t>序号</w:t>
            </w:r>
          </w:p>
        </w:tc>
        <w:tc>
          <w:tcPr>
            <w:tcW w:w="2072" w:type="dxa"/>
            <w:tcBorders>
              <w:top w:val="single" w:color="auto" w:sz="4" w:space="0"/>
              <w:left w:val="single" w:color="auto" w:sz="4" w:space="0"/>
              <w:bottom w:val="single" w:color="auto" w:sz="4" w:space="0"/>
              <w:right w:val="single" w:color="auto" w:sz="4" w:space="0"/>
            </w:tcBorders>
            <w:vAlign w:val="center"/>
          </w:tcPr>
          <w:p w14:paraId="6260E1E7">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3943" w:type="dxa"/>
            <w:tcBorders>
              <w:top w:val="single" w:color="auto" w:sz="4" w:space="0"/>
              <w:left w:val="single" w:color="auto" w:sz="4" w:space="0"/>
              <w:bottom w:val="single" w:color="auto" w:sz="4" w:space="0"/>
              <w:right w:val="single" w:color="auto" w:sz="4" w:space="0"/>
            </w:tcBorders>
            <w:vAlign w:val="center"/>
          </w:tcPr>
          <w:p w14:paraId="5324798E">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6666BBDA">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1F4A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9278754">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072" w:type="dxa"/>
            <w:tcBorders>
              <w:top w:val="single" w:color="auto" w:sz="4" w:space="0"/>
              <w:left w:val="single" w:color="auto" w:sz="4" w:space="0"/>
              <w:bottom w:val="single" w:color="auto" w:sz="4" w:space="0"/>
              <w:right w:val="single" w:color="auto" w:sz="4" w:space="0"/>
            </w:tcBorders>
            <w:vAlign w:val="center"/>
          </w:tcPr>
          <w:p w14:paraId="17E3AA27">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3943" w:type="dxa"/>
            <w:tcBorders>
              <w:top w:val="single" w:color="auto" w:sz="4" w:space="0"/>
              <w:left w:val="single" w:color="auto" w:sz="4" w:space="0"/>
              <w:bottom w:val="single" w:color="auto" w:sz="4" w:space="0"/>
              <w:right w:val="single" w:color="auto" w:sz="4" w:space="0"/>
            </w:tcBorders>
            <w:vAlign w:val="center"/>
          </w:tcPr>
          <w:p w14:paraId="2C78FD6E">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268AD04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378E4CE7">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28D70EEB">
            <w:pPr>
              <w:jc w:val="center"/>
              <w:rPr>
                <w:rFonts w:ascii="宋体" w:hAnsi="宋体"/>
                <w:b/>
                <w:color w:val="auto"/>
                <w:szCs w:val="21"/>
                <w:highlight w:val="none"/>
              </w:rPr>
            </w:pPr>
          </w:p>
        </w:tc>
      </w:tr>
      <w:tr w14:paraId="0247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2BAC9A8">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072" w:type="dxa"/>
            <w:tcBorders>
              <w:top w:val="single" w:color="auto" w:sz="4" w:space="0"/>
              <w:left w:val="single" w:color="auto" w:sz="4" w:space="0"/>
              <w:bottom w:val="single" w:color="auto" w:sz="4" w:space="0"/>
              <w:right w:val="single" w:color="auto" w:sz="4" w:space="0"/>
            </w:tcBorders>
            <w:vAlign w:val="center"/>
          </w:tcPr>
          <w:p w14:paraId="68D3114B">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3943" w:type="dxa"/>
            <w:tcBorders>
              <w:top w:val="single" w:color="auto" w:sz="4" w:space="0"/>
              <w:left w:val="single" w:color="auto" w:sz="4" w:space="0"/>
              <w:bottom w:val="single" w:color="auto" w:sz="4" w:space="0"/>
              <w:right w:val="single" w:color="auto" w:sz="4" w:space="0"/>
            </w:tcBorders>
            <w:vAlign w:val="center"/>
          </w:tcPr>
          <w:p w14:paraId="0F71EFE4">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BCA036B">
            <w:pPr>
              <w:jc w:val="center"/>
              <w:rPr>
                <w:rFonts w:ascii="宋体" w:hAnsi="宋体"/>
                <w:b/>
                <w:color w:val="auto"/>
                <w:szCs w:val="21"/>
                <w:highlight w:val="none"/>
              </w:rPr>
            </w:pPr>
          </w:p>
        </w:tc>
      </w:tr>
      <w:tr w14:paraId="109A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680129B">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072" w:type="dxa"/>
            <w:tcBorders>
              <w:top w:val="single" w:color="auto" w:sz="4" w:space="0"/>
              <w:left w:val="single" w:color="auto" w:sz="4" w:space="0"/>
              <w:bottom w:val="single" w:color="auto" w:sz="4" w:space="0"/>
              <w:right w:val="single" w:color="auto" w:sz="4" w:space="0"/>
            </w:tcBorders>
            <w:vAlign w:val="center"/>
          </w:tcPr>
          <w:p w14:paraId="23C20E87">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3943" w:type="dxa"/>
            <w:tcBorders>
              <w:top w:val="single" w:color="auto" w:sz="4" w:space="0"/>
              <w:left w:val="single" w:color="auto" w:sz="4" w:space="0"/>
              <w:bottom w:val="single" w:color="auto" w:sz="4" w:space="0"/>
              <w:right w:val="single" w:color="auto" w:sz="4" w:space="0"/>
            </w:tcBorders>
            <w:vAlign w:val="center"/>
          </w:tcPr>
          <w:p w14:paraId="7B8C42B2">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4734DB48">
            <w:pPr>
              <w:jc w:val="center"/>
              <w:rPr>
                <w:rFonts w:ascii="宋体" w:hAnsi="宋体"/>
                <w:b/>
                <w:color w:val="auto"/>
                <w:szCs w:val="21"/>
                <w:highlight w:val="none"/>
              </w:rPr>
            </w:pPr>
          </w:p>
        </w:tc>
      </w:tr>
      <w:tr w14:paraId="7E7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11E53212">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072" w:type="dxa"/>
            <w:vMerge w:val="restart"/>
            <w:tcBorders>
              <w:top w:val="single" w:color="auto" w:sz="4" w:space="0"/>
              <w:left w:val="single" w:color="auto" w:sz="4" w:space="0"/>
              <w:bottom w:val="single" w:color="auto" w:sz="4" w:space="0"/>
              <w:right w:val="single" w:color="auto" w:sz="4" w:space="0"/>
            </w:tcBorders>
            <w:vAlign w:val="center"/>
          </w:tcPr>
          <w:p w14:paraId="52BEB29B">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3943" w:type="dxa"/>
            <w:tcBorders>
              <w:top w:val="single" w:color="auto" w:sz="4" w:space="0"/>
              <w:left w:val="single" w:color="auto" w:sz="4" w:space="0"/>
              <w:bottom w:val="single" w:color="auto" w:sz="4" w:space="0"/>
              <w:right w:val="single" w:color="auto" w:sz="4" w:space="0"/>
            </w:tcBorders>
            <w:vAlign w:val="center"/>
          </w:tcPr>
          <w:p w14:paraId="3672403B">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407D2A36">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2BCFF3A">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5B7F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59AB051">
            <w:pPr>
              <w:widowControl/>
              <w:jc w:val="center"/>
              <w:rPr>
                <w:rFonts w:ascii="宋体" w:hAnsi="宋体" w:cs="宋体"/>
                <w:color w:val="auto"/>
                <w:sz w:val="24"/>
                <w:szCs w:val="24"/>
                <w:highlight w:val="none"/>
              </w:rPr>
            </w:pPr>
          </w:p>
        </w:tc>
        <w:tc>
          <w:tcPr>
            <w:tcW w:w="2072" w:type="dxa"/>
            <w:vMerge w:val="continue"/>
            <w:tcBorders>
              <w:top w:val="single" w:color="auto" w:sz="4" w:space="0"/>
              <w:left w:val="single" w:color="auto" w:sz="4" w:space="0"/>
              <w:bottom w:val="single" w:color="auto" w:sz="4" w:space="0"/>
              <w:right w:val="single" w:color="auto" w:sz="4" w:space="0"/>
            </w:tcBorders>
            <w:vAlign w:val="center"/>
          </w:tcPr>
          <w:p w14:paraId="159D5076">
            <w:pPr>
              <w:widowControl/>
              <w:jc w:val="left"/>
              <w:rPr>
                <w:rFonts w:ascii="宋体" w:hAnsi="宋体" w:cs="宋体"/>
                <w:color w:val="auto"/>
                <w:sz w:val="24"/>
                <w:szCs w:val="24"/>
                <w:highlight w:val="none"/>
              </w:rPr>
            </w:pPr>
          </w:p>
        </w:tc>
        <w:tc>
          <w:tcPr>
            <w:tcW w:w="3943" w:type="dxa"/>
            <w:tcBorders>
              <w:top w:val="single" w:color="auto" w:sz="4" w:space="0"/>
              <w:left w:val="single" w:color="auto" w:sz="4" w:space="0"/>
              <w:bottom w:val="single" w:color="auto" w:sz="4" w:space="0"/>
              <w:right w:val="single" w:color="auto" w:sz="4" w:space="0"/>
            </w:tcBorders>
            <w:vAlign w:val="center"/>
          </w:tcPr>
          <w:p w14:paraId="502ADEE0">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2EBCA59B">
            <w:pPr>
              <w:jc w:val="center"/>
              <w:rPr>
                <w:rFonts w:ascii="宋体" w:hAnsi="宋体"/>
                <w:b/>
                <w:color w:val="auto"/>
                <w:szCs w:val="21"/>
                <w:highlight w:val="none"/>
              </w:rPr>
            </w:pPr>
            <w:r>
              <w:rPr>
                <w:rFonts w:hint="eastAsia" w:ascii="宋体" w:hAnsi="宋体"/>
                <w:b/>
                <w:color w:val="auto"/>
                <w:szCs w:val="21"/>
                <w:highlight w:val="none"/>
              </w:rPr>
              <w:t>投标下浮率=（1-投标报价/</w:t>
            </w:r>
            <w:r>
              <w:rPr>
                <w:rFonts w:hint="eastAsia" w:ascii="宋体" w:hAnsi="宋体" w:cs="宋体"/>
                <w:b/>
                <w:color w:val="auto"/>
                <w:szCs w:val="21"/>
                <w:highlight w:val="none"/>
              </w:rPr>
              <w:t>最高投标限价</w:t>
            </w:r>
            <w:r>
              <w:rPr>
                <w:rFonts w:hint="eastAsia" w:ascii="宋体" w:hAnsi="宋体"/>
                <w:b/>
                <w:color w:val="auto"/>
                <w:szCs w:val="21"/>
                <w:highlight w:val="none"/>
              </w:rPr>
              <w:t>）*100%</w:t>
            </w:r>
          </w:p>
        </w:tc>
      </w:tr>
      <w:tr w14:paraId="4CDC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AB5063A">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072" w:type="dxa"/>
            <w:tcBorders>
              <w:top w:val="single" w:color="auto" w:sz="4" w:space="0"/>
              <w:left w:val="single" w:color="auto" w:sz="4" w:space="0"/>
              <w:bottom w:val="single" w:color="auto" w:sz="4" w:space="0"/>
              <w:right w:val="single" w:color="auto" w:sz="4" w:space="0"/>
            </w:tcBorders>
            <w:vAlign w:val="center"/>
          </w:tcPr>
          <w:p w14:paraId="211F299E">
            <w:pPr>
              <w:widowControl/>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其中：</w:t>
            </w:r>
            <w:r>
              <w:rPr>
                <w:rFonts w:hint="eastAsia" w:ascii="宋体" w:hAnsi="宋体" w:cs="仿宋"/>
                <w:color w:val="auto"/>
                <w:sz w:val="24"/>
                <w:szCs w:val="24"/>
                <w:highlight w:val="none"/>
              </w:rPr>
              <w:t>检测费</w:t>
            </w:r>
            <w:r>
              <w:rPr>
                <w:rFonts w:hint="eastAsia" w:ascii="宋体" w:hAnsi="宋体" w:cs="仿宋"/>
                <w:color w:val="auto"/>
                <w:sz w:val="24"/>
                <w:szCs w:val="24"/>
                <w:highlight w:val="none"/>
                <w:lang w:val="en-US" w:eastAsia="zh-CN"/>
              </w:rPr>
              <w:t>报价</w:t>
            </w:r>
          </w:p>
        </w:tc>
        <w:tc>
          <w:tcPr>
            <w:tcW w:w="3943" w:type="dxa"/>
            <w:tcBorders>
              <w:top w:val="single" w:color="auto" w:sz="4" w:space="0"/>
              <w:left w:val="single" w:color="auto" w:sz="4" w:space="0"/>
              <w:bottom w:val="single" w:color="auto" w:sz="4" w:space="0"/>
              <w:right w:val="single" w:color="auto" w:sz="4" w:space="0"/>
            </w:tcBorders>
            <w:vAlign w:val="center"/>
          </w:tcPr>
          <w:p w14:paraId="13713691">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4F33D18D">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678D8A9">
            <w:pPr>
              <w:jc w:val="center"/>
              <w:rPr>
                <w:rFonts w:hint="eastAsia" w:ascii="宋体" w:hAnsi="宋体"/>
                <w:b/>
                <w:color w:val="auto"/>
                <w:szCs w:val="21"/>
                <w:highlight w:val="none"/>
              </w:rPr>
            </w:pPr>
            <w:r>
              <w:rPr>
                <w:rFonts w:hint="eastAsia" w:ascii="宋体" w:hAnsi="宋体"/>
                <w:b/>
                <w:color w:val="auto"/>
                <w:szCs w:val="21"/>
                <w:highlight w:val="none"/>
              </w:rPr>
              <w:t>以“元”为单位，精确到小数点后2位。</w:t>
            </w:r>
          </w:p>
        </w:tc>
      </w:tr>
      <w:tr w14:paraId="39B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F06881A">
            <w:pPr>
              <w:widowControl/>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072" w:type="dxa"/>
            <w:tcBorders>
              <w:top w:val="single" w:color="auto" w:sz="4" w:space="0"/>
              <w:left w:val="single" w:color="auto" w:sz="4" w:space="0"/>
              <w:bottom w:val="single" w:color="auto" w:sz="4" w:space="0"/>
              <w:right w:val="single" w:color="auto" w:sz="4" w:space="0"/>
            </w:tcBorders>
            <w:vAlign w:val="center"/>
          </w:tcPr>
          <w:p w14:paraId="01729A83">
            <w:pPr>
              <w:widowControl/>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其中：</w:t>
            </w:r>
            <w:r>
              <w:rPr>
                <w:rFonts w:hint="eastAsia" w:ascii="宋体" w:hAnsi="宋体" w:cs="仿宋"/>
                <w:color w:val="auto"/>
                <w:sz w:val="24"/>
                <w:szCs w:val="24"/>
                <w:highlight w:val="none"/>
                <w:lang w:val="en-US" w:eastAsia="zh-CN"/>
              </w:rPr>
              <w:t>监测</w:t>
            </w:r>
            <w:r>
              <w:rPr>
                <w:rFonts w:hint="eastAsia" w:ascii="宋体" w:hAnsi="宋体" w:cs="仿宋"/>
                <w:color w:val="auto"/>
                <w:sz w:val="24"/>
                <w:szCs w:val="24"/>
                <w:highlight w:val="none"/>
              </w:rPr>
              <w:t>费</w:t>
            </w:r>
            <w:r>
              <w:rPr>
                <w:rFonts w:hint="eastAsia" w:ascii="宋体" w:hAnsi="宋体" w:cs="仿宋"/>
                <w:color w:val="auto"/>
                <w:sz w:val="24"/>
                <w:szCs w:val="24"/>
                <w:highlight w:val="none"/>
                <w:lang w:val="en-US" w:eastAsia="zh-CN"/>
              </w:rPr>
              <w:t>报价</w:t>
            </w:r>
          </w:p>
        </w:tc>
        <w:tc>
          <w:tcPr>
            <w:tcW w:w="3943" w:type="dxa"/>
            <w:tcBorders>
              <w:top w:val="single" w:color="auto" w:sz="4" w:space="0"/>
              <w:left w:val="single" w:color="auto" w:sz="4" w:space="0"/>
              <w:bottom w:val="single" w:color="auto" w:sz="4" w:space="0"/>
              <w:right w:val="single" w:color="auto" w:sz="4" w:space="0"/>
            </w:tcBorders>
            <w:vAlign w:val="center"/>
          </w:tcPr>
          <w:p w14:paraId="5977C59A">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40D282B3">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50421EB5">
            <w:pPr>
              <w:jc w:val="center"/>
              <w:rPr>
                <w:rFonts w:hint="eastAsia" w:ascii="宋体" w:hAnsi="宋体"/>
                <w:b/>
                <w:color w:val="auto"/>
                <w:szCs w:val="21"/>
                <w:highlight w:val="none"/>
              </w:rPr>
            </w:pPr>
            <w:r>
              <w:rPr>
                <w:rFonts w:hint="eastAsia" w:ascii="宋体" w:hAnsi="宋体"/>
                <w:b/>
                <w:color w:val="auto"/>
                <w:szCs w:val="21"/>
                <w:highlight w:val="none"/>
              </w:rPr>
              <w:t>以“元”为单位，精确到小数点后2位。</w:t>
            </w:r>
          </w:p>
        </w:tc>
      </w:tr>
      <w:tr w14:paraId="1860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284AB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072" w:type="dxa"/>
            <w:tcBorders>
              <w:top w:val="single" w:color="auto" w:sz="4" w:space="0"/>
              <w:left w:val="single" w:color="auto" w:sz="4" w:space="0"/>
              <w:bottom w:val="single" w:color="auto" w:sz="4" w:space="0"/>
              <w:right w:val="single" w:color="auto" w:sz="4" w:space="0"/>
            </w:tcBorders>
            <w:vAlign w:val="center"/>
          </w:tcPr>
          <w:p w14:paraId="6928FF04">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3943" w:type="dxa"/>
            <w:tcBorders>
              <w:top w:val="single" w:color="auto" w:sz="4" w:space="0"/>
              <w:left w:val="single" w:color="auto" w:sz="4" w:space="0"/>
              <w:bottom w:val="single" w:color="auto" w:sz="4" w:space="0"/>
              <w:right w:val="single" w:color="auto" w:sz="4" w:space="0"/>
            </w:tcBorders>
            <w:vAlign w:val="center"/>
          </w:tcPr>
          <w:p w14:paraId="290F4B37">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30D6A210">
            <w:pPr>
              <w:jc w:val="center"/>
              <w:rPr>
                <w:rFonts w:ascii="宋体" w:hAnsi="宋体"/>
                <w:b/>
                <w:color w:val="auto"/>
                <w:szCs w:val="21"/>
                <w:highlight w:val="none"/>
              </w:rPr>
            </w:pPr>
          </w:p>
        </w:tc>
      </w:tr>
    </w:tbl>
    <w:p w14:paraId="37B0C63A">
      <w:pPr>
        <w:spacing w:line="360" w:lineRule="auto"/>
        <w:ind w:firstLine="2520" w:firstLineChars="1200"/>
        <w:jc w:val="left"/>
        <w:rPr>
          <w:rFonts w:ascii="宋体" w:hAnsi="宋体"/>
          <w:color w:val="auto"/>
          <w:szCs w:val="21"/>
          <w:highlight w:val="none"/>
        </w:rPr>
      </w:pPr>
    </w:p>
    <w:p w14:paraId="5D0F9B00">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3CFA2063">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61A6497A">
      <w:pPr>
        <w:spacing w:line="360" w:lineRule="auto"/>
        <w:ind w:firstLine="5280" w:firstLineChars="2200"/>
        <w:rPr>
          <w:rFonts w:ascii="宋体" w:hAnsi="宋体"/>
          <w:color w:val="auto"/>
          <w:highlight w:val="none"/>
        </w:rPr>
      </w:pPr>
      <w:r>
        <w:rPr>
          <w:rFonts w:hint="eastAsia" w:ascii="Times New Roman" w:hAnsi="Times New Roman"/>
          <w:color w:val="auto"/>
          <w:sz w:val="24"/>
          <w:highlight w:val="none"/>
        </w:rPr>
        <w:t>2025年  月  日</w:t>
      </w:r>
    </w:p>
    <w:p w14:paraId="719ED46F">
      <w:pPr>
        <w:spacing w:line="360" w:lineRule="auto"/>
        <w:rPr>
          <w:rFonts w:ascii="宋体" w:hAnsi="宋体" w:cs="宋体"/>
          <w:b/>
          <w:bCs/>
          <w:color w:val="auto"/>
          <w:sz w:val="32"/>
          <w:szCs w:val="32"/>
          <w:highlight w:val="none"/>
        </w:rPr>
      </w:pPr>
    </w:p>
    <w:p w14:paraId="64BE525A">
      <w:pPr>
        <w:keepNext/>
        <w:keepLines/>
        <w:spacing w:line="360" w:lineRule="auto"/>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207" w:name="_Toc20877"/>
      <w:r>
        <w:rPr>
          <w:rFonts w:hint="eastAsia" w:ascii="宋体" w:hAnsi="宋体" w:cs="宋体"/>
          <w:b/>
          <w:bCs/>
          <w:color w:val="auto"/>
          <w:sz w:val="32"/>
          <w:szCs w:val="32"/>
          <w:highlight w:val="none"/>
        </w:rPr>
        <w:t>二、法定代表人证明书及授权委托书</w:t>
      </w:r>
      <w:bookmarkEnd w:id="207"/>
    </w:p>
    <w:bookmarkEnd w:id="196"/>
    <w:bookmarkEnd w:id="197"/>
    <w:bookmarkEnd w:id="198"/>
    <w:bookmarkEnd w:id="199"/>
    <w:bookmarkEnd w:id="200"/>
    <w:bookmarkEnd w:id="201"/>
    <w:bookmarkEnd w:id="202"/>
    <w:bookmarkEnd w:id="203"/>
    <w:bookmarkEnd w:id="204"/>
    <w:bookmarkEnd w:id="205"/>
    <w:bookmarkEnd w:id="206"/>
    <w:p w14:paraId="77C1A39F">
      <w:pPr>
        <w:spacing w:before="156" w:beforeLines="50" w:line="360" w:lineRule="auto"/>
        <w:ind w:firstLine="482" w:firstLineChars="200"/>
        <w:jc w:val="center"/>
        <w:rPr>
          <w:rFonts w:ascii="宋体" w:hAnsi="宋体" w:cs="宋体"/>
          <w:b/>
          <w:color w:val="auto"/>
          <w:sz w:val="24"/>
          <w:szCs w:val="24"/>
          <w:highlight w:val="none"/>
        </w:rPr>
      </w:pPr>
      <w:bookmarkStart w:id="208" w:name="_Toc28597"/>
      <w:bookmarkStart w:id="209" w:name="_Toc24490"/>
      <w:bookmarkStart w:id="210" w:name="_Toc787"/>
      <w:bookmarkStart w:id="211" w:name="_Toc3626"/>
      <w:bookmarkStart w:id="212" w:name="_Toc9391"/>
      <w:bookmarkStart w:id="213" w:name="_Toc525063283"/>
      <w:bookmarkStart w:id="214" w:name="_Toc532367891"/>
      <w:r>
        <w:rPr>
          <w:rFonts w:hint="eastAsia" w:ascii="宋体" w:hAnsi="宋体" w:cs="宋体"/>
          <w:b/>
          <w:color w:val="auto"/>
          <w:sz w:val="24"/>
          <w:szCs w:val="24"/>
          <w:highlight w:val="none"/>
        </w:rPr>
        <w:t>法定代表人证明书</w:t>
      </w:r>
    </w:p>
    <w:p w14:paraId="73E4CEFF">
      <w:pPr>
        <w:spacing w:line="360" w:lineRule="auto"/>
        <w:jc w:val="center"/>
        <w:rPr>
          <w:rFonts w:ascii="宋体" w:hAnsi="宋体"/>
          <w:color w:val="auto"/>
          <w:sz w:val="30"/>
          <w:szCs w:val="30"/>
          <w:highlight w:val="none"/>
        </w:rPr>
      </w:pPr>
      <w:r>
        <w:rPr>
          <w:color w:val="auto"/>
          <w:highlight w:val="none"/>
        </w:rPr>
        <mc:AlternateContent>
          <mc:Choice Requires="wpg">
            <w:drawing>
              <wp:inline distT="0" distB="0" distL="114300" distR="114300">
                <wp:extent cx="5800725" cy="2639060"/>
                <wp:effectExtent l="4445" t="4445" r="5080" b="23495"/>
                <wp:docPr id="5" name="组合 5"/>
                <wp:cNvGraphicFramePr/>
                <a:graphic xmlns:a="http://schemas.openxmlformats.org/drawingml/2006/main">
                  <a:graphicData uri="http://schemas.microsoft.com/office/word/2010/wordprocessingGroup">
                    <wpg:wgp>
                      <wpg:cNvGrpSpPr>
                        <a:grpSpLocks noRot="1"/>
                      </wpg:cNvGrpSpPr>
                      <wpg:grpSpPr>
                        <a:xfrm>
                          <a:off x="0" y="0"/>
                          <a:ext cx="5800725" cy="2639060"/>
                          <a:chOff x="0" y="0"/>
                          <a:chExt cx="7140" cy="3468"/>
                        </a:xfrm>
                        <a:effectLst/>
                      </wpg:grpSpPr>
                      <wps:wsp>
                        <wps:cNvPr id="6" name="图片 4"/>
                        <wps:cNvSpPr>
                          <a:spLocks noChangeAspect="1" noChangeArrowheads="1" noTextEdit="1"/>
                        </wps:cNvSpPr>
                        <wps:spPr bwMode="auto">
                          <a:xfrm>
                            <a:off x="0" y="0"/>
                            <a:ext cx="7140" cy="3468"/>
                          </a:xfrm>
                          <a:prstGeom prst="rect">
                            <a:avLst/>
                          </a:prstGeom>
                          <a:noFill/>
                          <a:ln>
                            <a:noFill/>
                          </a:ln>
                          <a:effectLst/>
                        </wps:spPr>
                        <wps:bodyPr rot="0" vert="horz" wrap="square" lIns="91440" tIns="45720" rIns="91440" bIns="45720" anchor="t" anchorCtr="0" upright="1">
                          <a:noAutofit/>
                        </wps:bodyPr>
                      </wps:wsp>
                      <wps:wsp>
                        <wps:cNvPr id="7"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a:effectLst/>
                        </wps:spPr>
                        <wps:txbx>
                          <w:txbxContent>
                            <w:p w14:paraId="5DCE3843">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00CD21D5">
                              <w:pPr>
                                <w:snapToGrid w:val="0"/>
                                <w:spacing w:line="480" w:lineRule="atLeast"/>
                                <w:rPr>
                                  <w:sz w:val="24"/>
                                  <w:szCs w:val="24"/>
                                </w:rPr>
                              </w:pPr>
                              <w:r>
                                <w:rPr>
                                  <w:rFonts w:hint="eastAsia" w:cs="宋体"/>
                                  <w:sz w:val="24"/>
                                  <w:szCs w:val="24"/>
                                </w:rPr>
                                <w:t>特此证明。</w:t>
                              </w:r>
                            </w:p>
                            <w:p w14:paraId="5532C095">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0E790F9F">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7EA02AB3">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51FD0EF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72650CF7">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7ED18613">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zCVt8NcAAAAFAQAA&#10;DwAAAAAAAAABACAAAAAiAAAAZHJzL2Rvd25yZXYueG1sUEsBAhQAFAAAAAgAh07iQP0CPXj+AgAA&#10;RwgAAA4AAAAAAAAAAQAgAAAAJgEAAGRycy9lMm9Eb2MueG1sUEsFBgAAAAAGAAYAWQEAAJYGAAAA&#10;AA==&#10;">
                <o:lock v:ext="edit" rotation="t" aspectratio="f"/>
                <v:rect id="图片 4" o:spid="_x0000_s1026" o:spt="1" style="position:absolute;left:0;top:0;height:3468;width:714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文本框 5" o:spid="_x0000_s1026" o:spt="202" type="#_x0000_t202" style="position:absolute;left:0;top:0;height:3468;width:71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5DCE3843">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00CD21D5">
                        <w:pPr>
                          <w:snapToGrid w:val="0"/>
                          <w:spacing w:line="480" w:lineRule="atLeast"/>
                          <w:rPr>
                            <w:sz w:val="24"/>
                            <w:szCs w:val="24"/>
                          </w:rPr>
                        </w:pPr>
                        <w:r>
                          <w:rPr>
                            <w:rFonts w:hint="eastAsia" w:cs="宋体"/>
                            <w:sz w:val="24"/>
                            <w:szCs w:val="24"/>
                          </w:rPr>
                          <w:t>特此证明。</w:t>
                        </w:r>
                      </w:p>
                      <w:p w14:paraId="5532C095">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0E790F9F">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7EA02AB3">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51FD0EF2">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72650CF7">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7ED18613">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010CB41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按提供的该表格格式填写，或使用工商管理部门的格式填写。</w:t>
      </w:r>
    </w:p>
    <w:p w14:paraId="2FF6A3CE">
      <w:pPr>
        <w:spacing w:line="360" w:lineRule="auto"/>
        <w:rPr>
          <w:rFonts w:ascii="宋体" w:hAns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联合体投标的，仅须提供联合体主办方出具的法定代表人证明书。</w:t>
      </w:r>
    </w:p>
    <w:p w14:paraId="52081396">
      <w:pPr>
        <w:spacing w:before="156" w:beforeLines="50" w:line="360" w:lineRule="auto"/>
        <w:ind w:firstLine="482" w:firstLineChars="200"/>
        <w:jc w:val="center"/>
        <w:rPr>
          <w:rFonts w:ascii="宋体" w:hAnsi="宋体" w:cs="宋体"/>
          <w:b/>
          <w:color w:val="auto"/>
          <w:sz w:val="24"/>
          <w:szCs w:val="24"/>
          <w:highlight w:val="none"/>
        </w:rPr>
      </w:pPr>
    </w:p>
    <w:p w14:paraId="0FE462DF">
      <w:pPr>
        <w:spacing w:before="156" w:beforeLines="50"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2200CB06">
      <w:pPr>
        <w:widowControl/>
        <w:spacing w:line="360" w:lineRule="auto"/>
        <w:ind w:right="1542"/>
        <w:jc w:val="center"/>
        <w:rPr>
          <w:rFonts w:ascii="宋体" w:hAnsi="宋体" w:cs="宋体"/>
          <w:b/>
          <w:bCs/>
          <w:color w:val="auto"/>
          <w:kern w:val="0"/>
          <w:sz w:val="32"/>
          <w:szCs w:val="32"/>
          <w:highlight w:val="none"/>
        </w:rPr>
      </w:pPr>
      <w:r>
        <w:rPr>
          <w:color w:val="auto"/>
          <w:highlight w:val="none"/>
        </w:rPr>
        <mc:AlternateContent>
          <mc:Choice Requires="wps">
            <w:drawing>
              <wp:inline distT="0" distB="0" distL="114300" distR="114300">
                <wp:extent cx="5734685" cy="2946400"/>
                <wp:effectExtent l="4445" t="4445" r="13970" b="20955"/>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6129020" cy="2946400"/>
                        </a:xfrm>
                        <a:prstGeom prst="rect">
                          <a:avLst/>
                        </a:prstGeom>
                        <a:solidFill>
                          <a:srgbClr val="FFFFFF"/>
                        </a:solidFill>
                        <a:ln w="9525" cmpd="sng">
                          <a:solidFill>
                            <a:srgbClr val="000000"/>
                          </a:solidFill>
                          <a:miter lim="800000"/>
                        </a:ln>
                        <a:effectLst/>
                      </wps:spPr>
                      <wps:txbx>
                        <w:txbxContent>
                          <w:p w14:paraId="59589D8D">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20B9E8BE">
                            <w:pPr>
                              <w:snapToGrid w:val="0"/>
                              <w:spacing w:line="480" w:lineRule="atLeast"/>
                              <w:rPr>
                                <w:sz w:val="24"/>
                                <w:szCs w:val="24"/>
                                <w:u w:val="single"/>
                              </w:rPr>
                            </w:pPr>
                            <w:r>
                              <w:rPr>
                                <w:sz w:val="24"/>
                                <w:szCs w:val="24"/>
                                <w:u w:val="single"/>
                              </w:rPr>
                              <w:t xml:space="preserve">                                                                        </w:t>
                            </w:r>
                          </w:p>
                          <w:p w14:paraId="3888617E">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B266B05">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4E397364">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2BF6CF9">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38529856">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rFonts w:hint="eastAsia" w:cs="宋体"/>
                                <w:sz w:val="24"/>
                                <w:szCs w:val="24"/>
                                <w:highlight w:val="none"/>
                                <w:u w:val="single"/>
                              </w:rPr>
                              <w:t>　</w:t>
                            </w:r>
                            <w:r>
                              <w:rPr>
                                <w:sz w:val="24"/>
                                <w:szCs w:val="24"/>
                                <w:highlight w:val="none"/>
                                <w:u w:val="single"/>
                              </w:rPr>
                              <w:t xml:space="preserve">          </w:t>
                            </w:r>
                            <w:r>
                              <w:rPr>
                                <w:rFonts w:hint="eastAsia" w:cs="宋体"/>
                                <w:sz w:val="24"/>
                                <w:szCs w:val="24"/>
                                <w:highlight w:val="none"/>
                              </w:rPr>
                              <w:t>（</w:t>
                            </w:r>
                            <w:r>
                              <w:rPr>
                                <w:rFonts w:hint="eastAsia" w:ascii="Times New Roman" w:hAnsi="Times New Roman"/>
                                <w:spacing w:val="18"/>
                                <w:sz w:val="24"/>
                                <w:highlight w:val="none"/>
                              </w:rPr>
                              <w:t>签字或盖章</w:t>
                            </w:r>
                            <w:r>
                              <w:rPr>
                                <w:rFonts w:hint="eastAsia" w:cs="宋体"/>
                                <w:sz w:val="24"/>
                                <w:szCs w:val="24"/>
                                <w:highlight w:val="none"/>
                              </w:rPr>
                              <w:t>）</w:t>
                            </w:r>
                          </w:p>
                          <w:p w14:paraId="7A64F7FB">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72C08941">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51.55pt;" fillcolor="#FFFFFF" filled="t" stroked="t" coordsize="21600,21600" o:gfxdata="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XPiX9YAAAAF&#10;AQAADwAAAAAAAAABACAAAAAiAAAAZHJzL2Rvd25yZXYueG1sUEsBAhQAFAAAAAgAh07iQGvjoIFX&#10;AgAAqwQAAA4AAAAAAAAAAQAgAAAAJQEAAGRycy9lMm9Eb2MueG1sUEsFBgAAAAAGAAYAWQEAAO4F&#10;AAAAAA==&#10;">
                <v:fill on="t" focussize="0,0"/>
                <v:stroke color="#000000" miterlimit="8" joinstyle="miter"/>
                <v:imagedata o:title=""/>
                <o:lock v:ext="edit" rotation="t" aspectratio="f"/>
                <v:textbox>
                  <w:txbxContent>
                    <w:p w14:paraId="59589D8D">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20B9E8BE">
                      <w:pPr>
                        <w:snapToGrid w:val="0"/>
                        <w:spacing w:line="480" w:lineRule="atLeast"/>
                        <w:rPr>
                          <w:sz w:val="24"/>
                          <w:szCs w:val="24"/>
                          <w:u w:val="single"/>
                        </w:rPr>
                      </w:pPr>
                      <w:r>
                        <w:rPr>
                          <w:sz w:val="24"/>
                          <w:szCs w:val="24"/>
                          <w:u w:val="single"/>
                        </w:rPr>
                        <w:t xml:space="preserve">                                                                        </w:t>
                      </w:r>
                    </w:p>
                    <w:p w14:paraId="3888617E">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4B266B05">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4E397364">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2BF6CF9">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38529856">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rFonts w:hint="eastAsia" w:cs="宋体"/>
                          <w:sz w:val="24"/>
                          <w:szCs w:val="24"/>
                          <w:highlight w:val="none"/>
                          <w:u w:val="single"/>
                        </w:rPr>
                        <w:t>　</w:t>
                      </w:r>
                      <w:r>
                        <w:rPr>
                          <w:sz w:val="24"/>
                          <w:szCs w:val="24"/>
                          <w:highlight w:val="none"/>
                          <w:u w:val="single"/>
                        </w:rPr>
                        <w:t xml:space="preserve">          </w:t>
                      </w:r>
                      <w:r>
                        <w:rPr>
                          <w:rFonts w:hint="eastAsia" w:cs="宋体"/>
                          <w:sz w:val="24"/>
                          <w:szCs w:val="24"/>
                          <w:highlight w:val="none"/>
                        </w:rPr>
                        <w:t>（</w:t>
                      </w:r>
                      <w:r>
                        <w:rPr>
                          <w:rFonts w:hint="eastAsia" w:ascii="Times New Roman" w:hAnsi="Times New Roman"/>
                          <w:spacing w:val="18"/>
                          <w:sz w:val="24"/>
                          <w:highlight w:val="none"/>
                        </w:rPr>
                        <w:t>签字或盖章</w:t>
                      </w:r>
                      <w:r>
                        <w:rPr>
                          <w:rFonts w:hint="eastAsia" w:cs="宋体"/>
                          <w:sz w:val="24"/>
                          <w:szCs w:val="24"/>
                          <w:highlight w:val="none"/>
                        </w:rPr>
                        <w:t>）</w:t>
                      </w:r>
                    </w:p>
                    <w:p w14:paraId="7A64F7FB">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72C08941">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4C00BC7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按提供的该表格格式填写，或使用工商管理部门的格式填写。</w:t>
      </w:r>
    </w:p>
    <w:p w14:paraId="458F2A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联合体投标的，仅须提供联合体主办方出具的授权委托书。</w:t>
      </w:r>
    </w:p>
    <w:bookmarkEnd w:id="208"/>
    <w:bookmarkEnd w:id="209"/>
    <w:bookmarkEnd w:id="210"/>
    <w:bookmarkEnd w:id="211"/>
    <w:bookmarkEnd w:id="212"/>
    <w:bookmarkEnd w:id="213"/>
    <w:bookmarkEnd w:id="214"/>
    <w:p w14:paraId="634E91B5">
      <w:pPr>
        <w:spacing w:line="360" w:lineRule="auto"/>
        <w:rPr>
          <w:rFonts w:ascii="宋体" w:hAnsi="宋体" w:cs="宋体"/>
          <w:color w:val="auto"/>
          <w:highlight w:val="none"/>
        </w:rPr>
      </w:pPr>
      <w:bookmarkStart w:id="215" w:name="_Toc525063284"/>
      <w:bookmarkStart w:id="216" w:name="_Toc29040"/>
      <w:bookmarkStart w:id="217" w:name="_Toc8221"/>
      <w:bookmarkStart w:id="218" w:name="_Toc532367892"/>
      <w:bookmarkStart w:id="219" w:name="_Toc25035"/>
      <w:bookmarkStart w:id="220" w:name="_Toc23444"/>
      <w:bookmarkStart w:id="221" w:name="_Toc15147"/>
    </w:p>
    <w:p w14:paraId="025CC512">
      <w:pPr>
        <w:keepNext/>
        <w:keepLines/>
        <w:spacing w:line="360" w:lineRule="auto"/>
        <w:jc w:val="center"/>
        <w:outlineLvl w:val="1"/>
        <w:rPr>
          <w:rFonts w:ascii="宋体" w:hAnsi="宋体" w:cs="宋体"/>
          <w:color w:val="auto"/>
          <w:highlight w:val="none"/>
        </w:rPr>
      </w:pPr>
      <w:r>
        <w:rPr>
          <w:rFonts w:hint="eastAsia" w:ascii="宋体" w:hAnsi="宋体" w:cs="宋体"/>
          <w:color w:val="auto"/>
          <w:highlight w:val="none"/>
        </w:rPr>
        <w:br w:type="page"/>
      </w:r>
      <w:bookmarkStart w:id="222" w:name="_Toc10778"/>
      <w:r>
        <w:rPr>
          <w:rFonts w:hint="eastAsia" w:ascii="宋体" w:hAnsi="宋体" w:cs="宋体"/>
          <w:b/>
          <w:bCs/>
          <w:color w:val="auto"/>
          <w:sz w:val="32"/>
          <w:szCs w:val="32"/>
          <w:highlight w:val="none"/>
        </w:rPr>
        <w:t>三、关于投标保证金的承诺</w:t>
      </w:r>
      <w:bookmarkEnd w:id="222"/>
    </w:p>
    <w:p w14:paraId="1136C0F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53B04F7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项目的投标工作，作出郑重声明：</w:t>
      </w:r>
    </w:p>
    <w:p w14:paraId="37A8465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color w:val="auto"/>
          <w:kern w:val="0"/>
          <w:sz w:val="24"/>
          <w:szCs w:val="24"/>
          <w:highlight w:val="none"/>
          <w:lang w:val="zh-CN"/>
        </w:rPr>
        <w:t>一旦发生符合招标文件规定的不予退还投标保证金情形的，将</w:t>
      </w:r>
      <w:r>
        <w:rPr>
          <w:rFonts w:hint="eastAsia" w:ascii="宋体" w:hAnsi="宋体" w:cs="宋体"/>
          <w:color w:val="auto"/>
          <w:sz w:val="24"/>
          <w:szCs w:val="24"/>
          <w:highlight w:val="none"/>
        </w:rPr>
        <w:t>按照招标人的要求，在规定的时间内向招标人足额补交投标保证金。</w:t>
      </w:r>
    </w:p>
    <w:p w14:paraId="0C99B03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本公司违反上述保证的，将被视为虚假承诺，按相关规定进行信用记录。本公司对失信行为产生的一切后果已知悉，并承担由此产生的相应责任。</w:t>
      </w:r>
    </w:p>
    <w:p w14:paraId="2368FFB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7ED55656">
      <w:pPr>
        <w:spacing w:line="360" w:lineRule="auto"/>
        <w:ind w:firstLine="480" w:firstLineChars="200"/>
        <w:jc w:val="left"/>
        <w:rPr>
          <w:rFonts w:ascii="宋体" w:hAnsi="宋体" w:cs="宋体"/>
          <w:color w:val="auto"/>
          <w:sz w:val="24"/>
          <w:szCs w:val="24"/>
          <w:highlight w:val="none"/>
        </w:rPr>
      </w:pPr>
    </w:p>
    <w:p w14:paraId="0513BD48">
      <w:pPr>
        <w:spacing w:line="360" w:lineRule="auto"/>
        <w:ind w:firstLine="4320" w:firstLineChars="18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（盖章）</w:t>
      </w:r>
    </w:p>
    <w:p w14:paraId="57A40699">
      <w:pPr>
        <w:spacing w:line="360" w:lineRule="auto"/>
        <w:rPr>
          <w:rFonts w:ascii="宋体" w:hAnsi="宋体"/>
          <w:color w:val="auto"/>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555141CF">
      <w:pPr>
        <w:bidi w:val="0"/>
      </w:pPr>
    </w:p>
    <w:p w14:paraId="59616193">
      <w:pPr>
        <w:keepNext/>
        <w:keepLines/>
        <w:spacing w:line="360" w:lineRule="auto"/>
        <w:jc w:val="center"/>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223" w:name="_Toc19476"/>
      <w:r>
        <w:rPr>
          <w:rFonts w:hint="eastAsia" w:ascii="宋体" w:hAnsi="宋体" w:cs="宋体"/>
          <w:b/>
          <w:bCs/>
          <w:color w:val="auto"/>
          <w:sz w:val="32"/>
          <w:szCs w:val="32"/>
          <w:highlight w:val="none"/>
        </w:rPr>
        <w:t>四、联合体协议书（如有）</w:t>
      </w:r>
      <w:bookmarkEnd w:id="223"/>
    </w:p>
    <w:p w14:paraId="272DE59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（可参考本项目招标公告附件格式）</w:t>
      </w:r>
      <w:r>
        <w:rPr>
          <w:rFonts w:hint="eastAsia" w:ascii="宋体" w:hAnsi="宋体" w:cs="宋体"/>
          <w:color w:val="auto"/>
          <w:sz w:val="24"/>
          <w:szCs w:val="24"/>
          <w:highlight w:val="none"/>
        </w:rPr>
        <w:br w:type="page"/>
      </w:r>
    </w:p>
    <w:p w14:paraId="0E1ABDAE">
      <w:pPr>
        <w:keepNext/>
        <w:keepLines/>
        <w:spacing w:line="360" w:lineRule="auto"/>
        <w:jc w:val="center"/>
        <w:outlineLvl w:val="1"/>
        <w:rPr>
          <w:rFonts w:ascii="宋体" w:hAnsi="宋体" w:cs="宋体"/>
          <w:b/>
          <w:bCs/>
          <w:color w:val="auto"/>
          <w:sz w:val="32"/>
          <w:szCs w:val="32"/>
          <w:highlight w:val="none"/>
        </w:rPr>
      </w:pPr>
      <w:bookmarkStart w:id="224" w:name="_Toc12023"/>
      <w:r>
        <w:rPr>
          <w:rFonts w:hint="eastAsia" w:ascii="宋体" w:hAnsi="宋体" w:cs="宋体"/>
          <w:b/>
          <w:bCs/>
          <w:color w:val="auto"/>
          <w:sz w:val="32"/>
          <w:szCs w:val="32"/>
          <w:highlight w:val="none"/>
        </w:rPr>
        <w:t>五、</w:t>
      </w:r>
      <w:bookmarkEnd w:id="215"/>
      <w:bookmarkEnd w:id="216"/>
      <w:bookmarkEnd w:id="217"/>
      <w:bookmarkEnd w:id="218"/>
      <w:bookmarkEnd w:id="219"/>
      <w:bookmarkEnd w:id="220"/>
      <w:bookmarkEnd w:id="221"/>
      <w:r>
        <w:rPr>
          <w:rFonts w:hint="eastAsia" w:ascii="宋体" w:hAnsi="宋体" w:cs="宋体"/>
          <w:b/>
          <w:bCs/>
          <w:color w:val="auto"/>
          <w:sz w:val="32"/>
          <w:szCs w:val="32"/>
          <w:highlight w:val="none"/>
        </w:rPr>
        <w:t>资格审查资料</w:t>
      </w:r>
      <w:bookmarkEnd w:id="224"/>
    </w:p>
    <w:p w14:paraId="07543167">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21"/>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1FFB7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39E3CB6">
            <w:pPr>
              <w:topLinePunct/>
              <w:spacing w:line="360" w:lineRule="auto"/>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641EDFDF">
            <w:pPr>
              <w:topLinePunct/>
              <w:spacing w:line="360" w:lineRule="auto"/>
              <w:jc w:val="center"/>
              <w:rPr>
                <w:rFonts w:ascii="宋体" w:hAnsi="宋体"/>
                <w:color w:val="auto"/>
                <w:highlight w:val="none"/>
              </w:rPr>
            </w:pPr>
          </w:p>
        </w:tc>
      </w:tr>
      <w:tr w14:paraId="4FFB6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0CFF0CC">
            <w:pPr>
              <w:topLinePunct/>
              <w:spacing w:line="360" w:lineRule="auto"/>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C519E5">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01B34E4">
            <w:pPr>
              <w:topLinePunct/>
              <w:spacing w:line="360" w:lineRule="auto"/>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2C9A7F59">
            <w:pPr>
              <w:topLinePunct/>
              <w:spacing w:line="360" w:lineRule="auto"/>
              <w:jc w:val="center"/>
              <w:rPr>
                <w:rFonts w:ascii="宋体" w:hAnsi="宋体"/>
                <w:color w:val="auto"/>
                <w:highlight w:val="none"/>
              </w:rPr>
            </w:pPr>
          </w:p>
        </w:tc>
      </w:tr>
      <w:tr w14:paraId="560D4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3EC49B14">
            <w:pPr>
              <w:topLinePunct/>
              <w:spacing w:line="360" w:lineRule="auto"/>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28C1A90">
            <w:pPr>
              <w:topLinePunct/>
              <w:spacing w:line="360" w:lineRule="auto"/>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DABD482">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66080F6">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6CDAEB9C">
            <w:pPr>
              <w:topLinePunct/>
              <w:spacing w:line="360" w:lineRule="auto"/>
              <w:jc w:val="center"/>
              <w:rPr>
                <w:rFonts w:ascii="宋体" w:hAnsi="宋体"/>
                <w:color w:val="auto"/>
                <w:highlight w:val="none"/>
              </w:rPr>
            </w:pPr>
          </w:p>
        </w:tc>
      </w:tr>
      <w:tr w14:paraId="6E10B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7D81491B">
            <w:pPr>
              <w:spacing w:line="360" w:lineRule="auto"/>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127C516">
            <w:pPr>
              <w:topLinePunct/>
              <w:spacing w:line="360" w:lineRule="auto"/>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C23A2BC">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16623A5">
            <w:pPr>
              <w:topLinePunct/>
              <w:spacing w:line="360" w:lineRule="auto"/>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0376D6E1">
            <w:pPr>
              <w:topLinePunct/>
              <w:spacing w:line="360" w:lineRule="auto"/>
              <w:jc w:val="center"/>
              <w:rPr>
                <w:rFonts w:ascii="宋体" w:hAnsi="宋体"/>
                <w:color w:val="auto"/>
                <w:highlight w:val="none"/>
              </w:rPr>
            </w:pPr>
          </w:p>
        </w:tc>
      </w:tr>
      <w:tr w14:paraId="59BB3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20BA0DE">
            <w:pPr>
              <w:topLinePunct/>
              <w:spacing w:line="360" w:lineRule="auto"/>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052B7EB">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4BED400">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D1A3978">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AEFBBDD">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7079AE9">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0210AF91">
            <w:pPr>
              <w:topLinePunct/>
              <w:spacing w:line="360" w:lineRule="auto"/>
              <w:jc w:val="center"/>
              <w:rPr>
                <w:rFonts w:ascii="宋体" w:hAnsi="宋体"/>
                <w:color w:val="auto"/>
                <w:highlight w:val="none"/>
              </w:rPr>
            </w:pPr>
          </w:p>
        </w:tc>
      </w:tr>
      <w:tr w14:paraId="101E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6899185">
            <w:pPr>
              <w:topLinePunct/>
              <w:spacing w:line="360" w:lineRule="auto"/>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85D705C">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72EED35">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33D9BAB">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B7CA079">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1FB4EF1">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206180BB">
            <w:pPr>
              <w:topLinePunct/>
              <w:spacing w:line="360" w:lineRule="auto"/>
              <w:jc w:val="center"/>
              <w:rPr>
                <w:rFonts w:ascii="宋体" w:hAnsi="宋体"/>
                <w:color w:val="auto"/>
                <w:highlight w:val="none"/>
              </w:rPr>
            </w:pPr>
          </w:p>
        </w:tc>
      </w:tr>
      <w:tr w14:paraId="79FDF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3252707">
            <w:pPr>
              <w:topLinePunct/>
              <w:spacing w:line="360" w:lineRule="auto"/>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761512A0">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41846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4A39E6E">
            <w:pPr>
              <w:topLinePunct/>
              <w:spacing w:line="360" w:lineRule="auto"/>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3979CAD5">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ECF8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7FC6277">
            <w:pPr>
              <w:topLinePunct/>
              <w:spacing w:line="360" w:lineRule="auto"/>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C2357F2">
            <w:pPr>
              <w:topLinePunct/>
              <w:spacing w:line="360" w:lineRule="auto"/>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02BC3DEC">
            <w:pPr>
              <w:topLinePunct/>
              <w:spacing w:line="360" w:lineRule="auto"/>
              <w:jc w:val="center"/>
              <w:rPr>
                <w:rFonts w:ascii="宋体" w:hAnsi="宋体"/>
                <w:color w:val="auto"/>
                <w:highlight w:val="none"/>
              </w:rPr>
            </w:pPr>
            <w:r>
              <w:rPr>
                <w:rFonts w:hint="eastAsia" w:ascii="宋体" w:hAnsi="宋体"/>
                <w:color w:val="auto"/>
                <w:highlight w:val="none"/>
              </w:rPr>
              <w:t>员工总人数：</w:t>
            </w:r>
          </w:p>
        </w:tc>
      </w:tr>
      <w:tr w14:paraId="39A01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D9373B6">
            <w:pPr>
              <w:topLinePunct/>
              <w:spacing w:line="360" w:lineRule="auto"/>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AC379A3">
            <w:pPr>
              <w:topLinePunct/>
              <w:spacing w:line="360" w:lineRule="auto"/>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369DFE14">
            <w:pPr>
              <w:topLinePunct/>
              <w:spacing w:line="360" w:lineRule="auto"/>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15955E">
            <w:pPr>
              <w:topLinePunct/>
              <w:spacing w:line="360" w:lineRule="auto"/>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0A30C8C5">
            <w:pPr>
              <w:topLinePunct/>
              <w:spacing w:line="360" w:lineRule="auto"/>
              <w:jc w:val="center"/>
              <w:rPr>
                <w:rFonts w:ascii="宋体" w:hAnsi="宋体"/>
                <w:color w:val="auto"/>
                <w:highlight w:val="none"/>
              </w:rPr>
            </w:pPr>
          </w:p>
        </w:tc>
      </w:tr>
      <w:tr w14:paraId="0284D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EBF8424">
            <w:pPr>
              <w:topLinePunct/>
              <w:spacing w:line="360" w:lineRule="auto"/>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E87752B">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70A1BFF7">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F1AD685">
            <w:pPr>
              <w:topLinePunct/>
              <w:spacing w:line="360" w:lineRule="auto"/>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2DDE57F3">
            <w:pPr>
              <w:topLinePunct/>
              <w:spacing w:line="360" w:lineRule="auto"/>
              <w:jc w:val="center"/>
              <w:rPr>
                <w:rFonts w:ascii="宋体" w:hAnsi="宋体"/>
                <w:color w:val="auto"/>
                <w:highlight w:val="none"/>
              </w:rPr>
            </w:pPr>
          </w:p>
        </w:tc>
      </w:tr>
      <w:tr w14:paraId="6A04C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19815043">
            <w:pPr>
              <w:topLinePunct/>
              <w:spacing w:line="360" w:lineRule="auto"/>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1BC8B0C">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037C40F4">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3FE4553">
            <w:pPr>
              <w:topLinePunct/>
              <w:spacing w:line="360" w:lineRule="auto"/>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15110BE9">
            <w:pPr>
              <w:topLinePunct/>
              <w:spacing w:line="360" w:lineRule="auto"/>
              <w:jc w:val="center"/>
              <w:rPr>
                <w:rFonts w:ascii="宋体" w:hAnsi="宋体"/>
                <w:color w:val="auto"/>
                <w:highlight w:val="none"/>
              </w:rPr>
            </w:pPr>
          </w:p>
        </w:tc>
      </w:tr>
      <w:tr w14:paraId="2945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28C8CDA">
            <w:pPr>
              <w:topLinePunct/>
              <w:spacing w:line="360" w:lineRule="auto"/>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2351FE0">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00558AFA">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CFF03A">
            <w:pPr>
              <w:topLinePunct/>
              <w:spacing w:line="360" w:lineRule="auto"/>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C623961">
            <w:pPr>
              <w:topLinePunct/>
              <w:spacing w:line="360" w:lineRule="auto"/>
              <w:jc w:val="center"/>
              <w:rPr>
                <w:rFonts w:ascii="宋体" w:hAnsi="宋体"/>
                <w:color w:val="auto"/>
                <w:highlight w:val="none"/>
              </w:rPr>
            </w:pPr>
          </w:p>
        </w:tc>
      </w:tr>
      <w:tr w14:paraId="14167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5567226E">
            <w:pPr>
              <w:topLinePunct/>
              <w:spacing w:line="360" w:lineRule="auto"/>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0E9FF8FF">
            <w:pPr>
              <w:topLinePunct/>
              <w:spacing w:line="360" w:lineRule="auto"/>
              <w:jc w:val="center"/>
              <w:rPr>
                <w:rFonts w:ascii="宋体" w:hAnsi="宋体"/>
                <w:color w:val="auto"/>
                <w:highlight w:val="none"/>
              </w:rPr>
            </w:pPr>
          </w:p>
        </w:tc>
      </w:tr>
      <w:tr w14:paraId="13DF3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3056629D">
            <w:pPr>
              <w:topLinePunct/>
              <w:spacing w:line="360" w:lineRule="auto"/>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36FF7050">
            <w:pPr>
              <w:topLinePunct/>
              <w:spacing w:line="360" w:lineRule="auto"/>
              <w:jc w:val="center"/>
              <w:rPr>
                <w:rFonts w:ascii="宋体" w:hAnsi="宋体"/>
                <w:color w:val="auto"/>
                <w:highlight w:val="none"/>
              </w:rPr>
            </w:pPr>
          </w:p>
        </w:tc>
      </w:tr>
      <w:tr w14:paraId="7B188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2AC1568D">
            <w:pPr>
              <w:topLinePunct/>
              <w:spacing w:line="360" w:lineRule="auto"/>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189782EF">
            <w:pPr>
              <w:topLinePunct/>
              <w:spacing w:line="360" w:lineRule="auto"/>
              <w:jc w:val="center"/>
              <w:rPr>
                <w:rFonts w:ascii="宋体" w:hAnsi="宋体"/>
                <w:color w:val="auto"/>
                <w:highlight w:val="none"/>
              </w:rPr>
            </w:pPr>
          </w:p>
        </w:tc>
      </w:tr>
    </w:tbl>
    <w:p w14:paraId="1190E401">
      <w:pPr>
        <w:snapToGrid w:val="0"/>
        <w:spacing w:line="360" w:lineRule="auto"/>
        <w:rPr>
          <w:rFonts w:ascii="宋体" w:hAnsi="宋体"/>
          <w:color w:val="auto"/>
          <w:spacing w:val="-5"/>
          <w:szCs w:val="21"/>
          <w:highlight w:val="none"/>
        </w:rPr>
      </w:pPr>
      <w:r>
        <w:rPr>
          <w:rFonts w:hint="eastAsia" w:ascii="宋体" w:hAnsi="宋体"/>
          <w:color w:val="auto"/>
          <w:spacing w:val="-5"/>
          <w:szCs w:val="21"/>
          <w:highlight w:val="none"/>
        </w:rPr>
        <w:t>注：投标人应附投标人事业单位登记管理部门核发的事业单位法人证书或工商行政管理部门核发的企业法人营业执照、投标人资质证书等材料的扫描件</w:t>
      </w:r>
    </w:p>
    <w:p w14:paraId="6E42D765">
      <w:pPr>
        <w:widowControl/>
        <w:spacing w:line="360" w:lineRule="auto"/>
        <w:jc w:val="center"/>
        <w:rPr>
          <w:rFonts w:ascii="宋体" w:hAnsi="宋体" w:cs="宋体"/>
          <w:b/>
          <w:bCs/>
          <w:color w:val="auto"/>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kern w:val="0"/>
          <w:sz w:val="28"/>
          <w:szCs w:val="28"/>
          <w:highlight w:val="none"/>
        </w:rPr>
        <w:t>（二）投标人声明</w:t>
      </w:r>
    </w:p>
    <w:p w14:paraId="50DF958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51D28C45">
      <w:pPr>
        <w:spacing w:line="360" w:lineRule="auto"/>
        <w:jc w:val="center"/>
        <w:rPr>
          <w:rFonts w:ascii="宋体" w:hAnsi="宋体" w:cs="宋体"/>
          <w:color w:val="auto"/>
          <w:sz w:val="28"/>
          <w:szCs w:val="28"/>
          <w:highlight w:val="none"/>
        </w:rPr>
      </w:pPr>
    </w:p>
    <w:p w14:paraId="63C062AB">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（三）投标承诺函</w:t>
      </w:r>
    </w:p>
    <w:p w14:paraId="243E5834">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09BC6FBE">
      <w:pPr>
        <w:bidi w:val="0"/>
      </w:pPr>
    </w:p>
    <w:p w14:paraId="5C448E02">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（四）其他符合第二章“投标人须知”第1.4.1项规定的资料</w:t>
      </w:r>
    </w:p>
    <w:p w14:paraId="235C5107">
      <w:pPr>
        <w:keepNext/>
        <w:keepLines/>
        <w:spacing w:line="360" w:lineRule="auto"/>
        <w:jc w:val="center"/>
        <w:outlineLvl w:val="1"/>
        <w:rPr>
          <w:rFonts w:ascii="宋体" w:hAnsi="宋体" w:cs="宋体"/>
          <w:color w:val="auto"/>
          <w:szCs w:val="24"/>
          <w:highlight w:val="none"/>
        </w:rPr>
      </w:pPr>
      <w:r>
        <w:rPr>
          <w:rFonts w:ascii="宋体" w:hAnsi="宋体" w:cs="宋体"/>
          <w:color w:val="auto"/>
          <w:sz w:val="28"/>
          <w:szCs w:val="28"/>
          <w:highlight w:val="none"/>
        </w:rPr>
        <w:br w:type="page"/>
      </w:r>
      <w:bookmarkStart w:id="225" w:name="_Toc2248"/>
      <w:r>
        <w:rPr>
          <w:rFonts w:hint="eastAsia" w:ascii="宋体" w:hAnsi="宋体" w:cs="宋体"/>
          <w:b/>
          <w:bCs/>
          <w:color w:val="auto"/>
          <w:sz w:val="32"/>
          <w:szCs w:val="32"/>
          <w:highlight w:val="none"/>
        </w:rPr>
        <w:t>六、类似项目业绩表</w:t>
      </w:r>
      <w:bookmarkEnd w:id="22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292"/>
        <w:gridCol w:w="1388"/>
        <w:gridCol w:w="1786"/>
        <w:gridCol w:w="1226"/>
        <w:gridCol w:w="1145"/>
      </w:tblGrid>
      <w:tr w14:paraId="0D82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405" w:type="pct"/>
            <w:vAlign w:val="center"/>
          </w:tcPr>
          <w:p w14:paraId="74A5308C">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344" w:type="pct"/>
            <w:vAlign w:val="center"/>
          </w:tcPr>
          <w:p w14:paraId="18BF392A">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工程名称</w:t>
            </w:r>
          </w:p>
        </w:tc>
        <w:tc>
          <w:tcPr>
            <w:tcW w:w="814" w:type="pct"/>
            <w:vAlign w:val="center"/>
          </w:tcPr>
          <w:p w14:paraId="458D43F6">
            <w:pPr>
              <w:snapToGrid w:val="0"/>
              <w:spacing w:line="360" w:lineRule="auto"/>
              <w:jc w:val="center"/>
              <w:rPr>
                <w:rFonts w:ascii="宋体" w:hAnsi="宋体"/>
                <w:color w:val="auto"/>
                <w:sz w:val="24"/>
                <w:highlight w:val="none"/>
              </w:rPr>
            </w:pPr>
            <w:r>
              <w:rPr>
                <w:rFonts w:hint="eastAsia" w:ascii="宋体" w:hAnsi="宋体"/>
                <w:color w:val="auto"/>
                <w:sz w:val="24"/>
                <w:highlight w:val="none"/>
              </w:rPr>
              <w:t>建设单位</w:t>
            </w:r>
          </w:p>
        </w:tc>
        <w:tc>
          <w:tcPr>
            <w:tcW w:w="1047" w:type="pct"/>
            <w:vAlign w:val="center"/>
          </w:tcPr>
          <w:p w14:paraId="492B5D35">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合同价（万元）</w:t>
            </w:r>
          </w:p>
        </w:tc>
        <w:tc>
          <w:tcPr>
            <w:tcW w:w="719" w:type="pct"/>
            <w:vAlign w:val="center"/>
          </w:tcPr>
          <w:p w14:paraId="6D5B3779">
            <w:pPr>
              <w:snapToGrid w:val="0"/>
              <w:spacing w:line="360" w:lineRule="auto"/>
              <w:jc w:val="center"/>
              <w:rPr>
                <w:rFonts w:ascii="宋体" w:hAnsi="宋体"/>
                <w:color w:val="auto"/>
                <w:sz w:val="24"/>
                <w:highlight w:val="none"/>
              </w:rPr>
            </w:pPr>
            <w:r>
              <w:rPr>
                <w:rFonts w:hint="eastAsia" w:ascii="宋体" w:hAnsi="宋体"/>
                <w:color w:val="auto"/>
                <w:sz w:val="24"/>
                <w:highlight w:val="none"/>
              </w:rPr>
              <w:t>起止时间</w:t>
            </w:r>
          </w:p>
        </w:tc>
        <w:tc>
          <w:tcPr>
            <w:tcW w:w="672" w:type="pct"/>
            <w:vAlign w:val="center"/>
          </w:tcPr>
          <w:p w14:paraId="1F44B494">
            <w:pPr>
              <w:snapToGrid w:val="0"/>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317E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05" w:type="pct"/>
            <w:vAlign w:val="center"/>
          </w:tcPr>
          <w:p w14:paraId="2652A9C8">
            <w:pPr>
              <w:spacing w:line="360" w:lineRule="auto"/>
              <w:jc w:val="center"/>
              <w:rPr>
                <w:rFonts w:ascii="宋体" w:hAnsi="宋体"/>
                <w:color w:val="auto"/>
                <w:sz w:val="24"/>
                <w:highlight w:val="none"/>
              </w:rPr>
            </w:pPr>
          </w:p>
        </w:tc>
        <w:tc>
          <w:tcPr>
            <w:tcW w:w="1344" w:type="pct"/>
            <w:vAlign w:val="center"/>
          </w:tcPr>
          <w:p w14:paraId="7739F962">
            <w:pPr>
              <w:spacing w:line="360" w:lineRule="auto"/>
              <w:jc w:val="center"/>
              <w:rPr>
                <w:rFonts w:ascii="宋体" w:hAnsi="宋体"/>
                <w:color w:val="auto"/>
                <w:sz w:val="24"/>
                <w:highlight w:val="none"/>
              </w:rPr>
            </w:pPr>
          </w:p>
        </w:tc>
        <w:tc>
          <w:tcPr>
            <w:tcW w:w="814" w:type="pct"/>
            <w:vAlign w:val="center"/>
          </w:tcPr>
          <w:p w14:paraId="0C309B57">
            <w:pPr>
              <w:spacing w:line="360" w:lineRule="auto"/>
              <w:jc w:val="center"/>
              <w:rPr>
                <w:rFonts w:ascii="宋体" w:hAnsi="宋体"/>
                <w:color w:val="auto"/>
                <w:sz w:val="24"/>
                <w:highlight w:val="none"/>
              </w:rPr>
            </w:pPr>
          </w:p>
        </w:tc>
        <w:tc>
          <w:tcPr>
            <w:tcW w:w="1047" w:type="pct"/>
            <w:vAlign w:val="center"/>
          </w:tcPr>
          <w:p w14:paraId="4F32C660">
            <w:pPr>
              <w:spacing w:line="360" w:lineRule="auto"/>
              <w:jc w:val="center"/>
              <w:rPr>
                <w:rFonts w:ascii="宋体" w:hAnsi="宋体"/>
                <w:color w:val="auto"/>
                <w:sz w:val="24"/>
                <w:highlight w:val="none"/>
              </w:rPr>
            </w:pPr>
          </w:p>
        </w:tc>
        <w:tc>
          <w:tcPr>
            <w:tcW w:w="719" w:type="pct"/>
            <w:vAlign w:val="center"/>
          </w:tcPr>
          <w:p w14:paraId="5DB303C1">
            <w:pPr>
              <w:spacing w:line="360" w:lineRule="auto"/>
              <w:jc w:val="center"/>
              <w:rPr>
                <w:rFonts w:ascii="宋体" w:hAnsi="宋体"/>
                <w:color w:val="auto"/>
                <w:sz w:val="24"/>
                <w:highlight w:val="none"/>
              </w:rPr>
            </w:pPr>
          </w:p>
        </w:tc>
        <w:tc>
          <w:tcPr>
            <w:tcW w:w="672" w:type="pct"/>
            <w:vAlign w:val="center"/>
          </w:tcPr>
          <w:p w14:paraId="6D773B34">
            <w:pPr>
              <w:spacing w:line="360" w:lineRule="auto"/>
              <w:jc w:val="center"/>
              <w:rPr>
                <w:rFonts w:ascii="宋体" w:hAnsi="宋体"/>
                <w:color w:val="auto"/>
                <w:sz w:val="24"/>
                <w:highlight w:val="none"/>
              </w:rPr>
            </w:pPr>
          </w:p>
        </w:tc>
      </w:tr>
      <w:tr w14:paraId="3455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442E078C">
            <w:pPr>
              <w:spacing w:line="360" w:lineRule="auto"/>
              <w:jc w:val="center"/>
              <w:rPr>
                <w:rFonts w:ascii="宋体" w:hAnsi="宋体"/>
                <w:color w:val="auto"/>
                <w:sz w:val="24"/>
                <w:highlight w:val="none"/>
              </w:rPr>
            </w:pPr>
          </w:p>
        </w:tc>
        <w:tc>
          <w:tcPr>
            <w:tcW w:w="1344" w:type="pct"/>
            <w:vAlign w:val="center"/>
          </w:tcPr>
          <w:p w14:paraId="382B255D">
            <w:pPr>
              <w:spacing w:line="360" w:lineRule="auto"/>
              <w:jc w:val="center"/>
              <w:rPr>
                <w:rFonts w:ascii="宋体" w:hAnsi="宋体"/>
                <w:color w:val="auto"/>
                <w:sz w:val="24"/>
                <w:highlight w:val="none"/>
              </w:rPr>
            </w:pPr>
          </w:p>
        </w:tc>
        <w:tc>
          <w:tcPr>
            <w:tcW w:w="814" w:type="pct"/>
            <w:vAlign w:val="center"/>
          </w:tcPr>
          <w:p w14:paraId="7DD093B8">
            <w:pPr>
              <w:spacing w:line="360" w:lineRule="auto"/>
              <w:jc w:val="center"/>
              <w:rPr>
                <w:rFonts w:ascii="宋体" w:hAnsi="宋体"/>
                <w:color w:val="auto"/>
                <w:sz w:val="24"/>
                <w:highlight w:val="none"/>
              </w:rPr>
            </w:pPr>
          </w:p>
        </w:tc>
        <w:tc>
          <w:tcPr>
            <w:tcW w:w="1047" w:type="pct"/>
            <w:vAlign w:val="center"/>
          </w:tcPr>
          <w:p w14:paraId="766CF932">
            <w:pPr>
              <w:spacing w:line="360" w:lineRule="auto"/>
              <w:jc w:val="center"/>
              <w:rPr>
                <w:rFonts w:ascii="宋体" w:hAnsi="宋体"/>
                <w:color w:val="auto"/>
                <w:sz w:val="24"/>
                <w:highlight w:val="none"/>
              </w:rPr>
            </w:pPr>
          </w:p>
        </w:tc>
        <w:tc>
          <w:tcPr>
            <w:tcW w:w="719" w:type="pct"/>
            <w:vAlign w:val="center"/>
          </w:tcPr>
          <w:p w14:paraId="311BAAA5">
            <w:pPr>
              <w:spacing w:line="360" w:lineRule="auto"/>
              <w:jc w:val="center"/>
              <w:rPr>
                <w:rFonts w:ascii="宋体" w:hAnsi="宋体"/>
                <w:color w:val="auto"/>
                <w:sz w:val="24"/>
                <w:highlight w:val="none"/>
              </w:rPr>
            </w:pPr>
          </w:p>
        </w:tc>
        <w:tc>
          <w:tcPr>
            <w:tcW w:w="672" w:type="pct"/>
            <w:vAlign w:val="center"/>
          </w:tcPr>
          <w:p w14:paraId="1CD8FAEC">
            <w:pPr>
              <w:spacing w:line="360" w:lineRule="auto"/>
              <w:jc w:val="center"/>
              <w:rPr>
                <w:rFonts w:ascii="宋体" w:hAnsi="宋体"/>
                <w:color w:val="auto"/>
                <w:sz w:val="24"/>
                <w:highlight w:val="none"/>
              </w:rPr>
            </w:pPr>
          </w:p>
        </w:tc>
      </w:tr>
      <w:tr w14:paraId="48FA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8A7CFEA">
            <w:pPr>
              <w:spacing w:line="360" w:lineRule="auto"/>
              <w:jc w:val="center"/>
              <w:rPr>
                <w:rFonts w:ascii="宋体" w:hAnsi="宋体"/>
                <w:color w:val="auto"/>
                <w:sz w:val="24"/>
                <w:highlight w:val="none"/>
              </w:rPr>
            </w:pPr>
          </w:p>
        </w:tc>
        <w:tc>
          <w:tcPr>
            <w:tcW w:w="1344" w:type="pct"/>
            <w:vAlign w:val="center"/>
          </w:tcPr>
          <w:p w14:paraId="3CCFF08C">
            <w:pPr>
              <w:spacing w:line="360" w:lineRule="auto"/>
              <w:jc w:val="center"/>
              <w:rPr>
                <w:rFonts w:ascii="宋体" w:hAnsi="宋体"/>
                <w:color w:val="auto"/>
                <w:sz w:val="24"/>
                <w:highlight w:val="none"/>
              </w:rPr>
            </w:pPr>
          </w:p>
        </w:tc>
        <w:tc>
          <w:tcPr>
            <w:tcW w:w="814" w:type="pct"/>
            <w:vAlign w:val="center"/>
          </w:tcPr>
          <w:p w14:paraId="5BDBCB67">
            <w:pPr>
              <w:spacing w:line="360" w:lineRule="auto"/>
              <w:jc w:val="center"/>
              <w:rPr>
                <w:rFonts w:ascii="宋体" w:hAnsi="宋体"/>
                <w:color w:val="auto"/>
                <w:sz w:val="24"/>
                <w:highlight w:val="none"/>
              </w:rPr>
            </w:pPr>
          </w:p>
        </w:tc>
        <w:tc>
          <w:tcPr>
            <w:tcW w:w="1047" w:type="pct"/>
            <w:vAlign w:val="center"/>
          </w:tcPr>
          <w:p w14:paraId="3035DA0E">
            <w:pPr>
              <w:spacing w:line="360" w:lineRule="auto"/>
              <w:jc w:val="center"/>
              <w:rPr>
                <w:rFonts w:ascii="宋体" w:hAnsi="宋体"/>
                <w:color w:val="auto"/>
                <w:sz w:val="24"/>
                <w:highlight w:val="none"/>
              </w:rPr>
            </w:pPr>
          </w:p>
        </w:tc>
        <w:tc>
          <w:tcPr>
            <w:tcW w:w="719" w:type="pct"/>
            <w:vAlign w:val="center"/>
          </w:tcPr>
          <w:p w14:paraId="03C87D6B">
            <w:pPr>
              <w:spacing w:line="360" w:lineRule="auto"/>
              <w:jc w:val="center"/>
              <w:rPr>
                <w:rFonts w:ascii="宋体" w:hAnsi="宋体"/>
                <w:color w:val="auto"/>
                <w:sz w:val="24"/>
                <w:highlight w:val="none"/>
              </w:rPr>
            </w:pPr>
          </w:p>
        </w:tc>
        <w:tc>
          <w:tcPr>
            <w:tcW w:w="672" w:type="pct"/>
            <w:vAlign w:val="center"/>
          </w:tcPr>
          <w:p w14:paraId="2F54C161">
            <w:pPr>
              <w:spacing w:line="360" w:lineRule="auto"/>
              <w:jc w:val="center"/>
              <w:rPr>
                <w:rFonts w:ascii="宋体" w:hAnsi="宋体"/>
                <w:color w:val="auto"/>
                <w:sz w:val="24"/>
                <w:highlight w:val="none"/>
              </w:rPr>
            </w:pPr>
          </w:p>
        </w:tc>
      </w:tr>
      <w:tr w14:paraId="3251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B64DC13">
            <w:pPr>
              <w:spacing w:line="360" w:lineRule="auto"/>
              <w:jc w:val="center"/>
              <w:rPr>
                <w:rFonts w:ascii="宋体" w:hAnsi="宋体"/>
                <w:color w:val="auto"/>
                <w:sz w:val="24"/>
                <w:highlight w:val="none"/>
              </w:rPr>
            </w:pPr>
          </w:p>
        </w:tc>
        <w:tc>
          <w:tcPr>
            <w:tcW w:w="1344" w:type="pct"/>
            <w:vAlign w:val="center"/>
          </w:tcPr>
          <w:p w14:paraId="3FFF49B6">
            <w:pPr>
              <w:spacing w:line="360" w:lineRule="auto"/>
              <w:jc w:val="center"/>
              <w:rPr>
                <w:rFonts w:ascii="宋体" w:hAnsi="宋体"/>
                <w:color w:val="auto"/>
                <w:sz w:val="24"/>
                <w:highlight w:val="none"/>
              </w:rPr>
            </w:pPr>
          </w:p>
        </w:tc>
        <w:tc>
          <w:tcPr>
            <w:tcW w:w="814" w:type="pct"/>
            <w:vAlign w:val="center"/>
          </w:tcPr>
          <w:p w14:paraId="5EA9EFE6">
            <w:pPr>
              <w:spacing w:line="360" w:lineRule="auto"/>
              <w:jc w:val="center"/>
              <w:rPr>
                <w:rFonts w:ascii="宋体" w:hAnsi="宋体"/>
                <w:color w:val="auto"/>
                <w:sz w:val="24"/>
                <w:highlight w:val="none"/>
              </w:rPr>
            </w:pPr>
          </w:p>
        </w:tc>
        <w:tc>
          <w:tcPr>
            <w:tcW w:w="1047" w:type="pct"/>
            <w:vAlign w:val="center"/>
          </w:tcPr>
          <w:p w14:paraId="56C46DDD">
            <w:pPr>
              <w:spacing w:line="360" w:lineRule="auto"/>
              <w:jc w:val="center"/>
              <w:rPr>
                <w:rFonts w:ascii="宋体" w:hAnsi="宋体"/>
                <w:color w:val="auto"/>
                <w:sz w:val="24"/>
                <w:highlight w:val="none"/>
              </w:rPr>
            </w:pPr>
          </w:p>
        </w:tc>
        <w:tc>
          <w:tcPr>
            <w:tcW w:w="719" w:type="pct"/>
            <w:vAlign w:val="center"/>
          </w:tcPr>
          <w:p w14:paraId="528CDDFD">
            <w:pPr>
              <w:spacing w:line="360" w:lineRule="auto"/>
              <w:jc w:val="center"/>
              <w:rPr>
                <w:rFonts w:ascii="宋体" w:hAnsi="宋体"/>
                <w:color w:val="auto"/>
                <w:sz w:val="24"/>
                <w:highlight w:val="none"/>
              </w:rPr>
            </w:pPr>
          </w:p>
        </w:tc>
        <w:tc>
          <w:tcPr>
            <w:tcW w:w="672" w:type="pct"/>
            <w:vAlign w:val="center"/>
          </w:tcPr>
          <w:p w14:paraId="21EFC497">
            <w:pPr>
              <w:spacing w:line="360" w:lineRule="auto"/>
              <w:jc w:val="center"/>
              <w:rPr>
                <w:rFonts w:ascii="宋体" w:hAnsi="宋体"/>
                <w:color w:val="auto"/>
                <w:sz w:val="24"/>
                <w:highlight w:val="none"/>
              </w:rPr>
            </w:pPr>
          </w:p>
        </w:tc>
      </w:tr>
      <w:tr w14:paraId="59E0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1062E01D">
            <w:pPr>
              <w:spacing w:line="360" w:lineRule="auto"/>
              <w:jc w:val="center"/>
              <w:rPr>
                <w:rFonts w:ascii="宋体" w:hAnsi="宋体"/>
                <w:color w:val="auto"/>
                <w:sz w:val="24"/>
                <w:highlight w:val="none"/>
              </w:rPr>
            </w:pPr>
          </w:p>
        </w:tc>
        <w:tc>
          <w:tcPr>
            <w:tcW w:w="1344" w:type="pct"/>
            <w:vAlign w:val="center"/>
          </w:tcPr>
          <w:p w14:paraId="04258347">
            <w:pPr>
              <w:spacing w:line="360" w:lineRule="auto"/>
              <w:jc w:val="center"/>
              <w:rPr>
                <w:rFonts w:ascii="宋体" w:hAnsi="宋体"/>
                <w:color w:val="auto"/>
                <w:sz w:val="24"/>
                <w:highlight w:val="none"/>
              </w:rPr>
            </w:pPr>
          </w:p>
        </w:tc>
        <w:tc>
          <w:tcPr>
            <w:tcW w:w="814" w:type="pct"/>
            <w:vAlign w:val="center"/>
          </w:tcPr>
          <w:p w14:paraId="30BFA9C9">
            <w:pPr>
              <w:spacing w:line="360" w:lineRule="auto"/>
              <w:jc w:val="center"/>
              <w:rPr>
                <w:rFonts w:ascii="宋体" w:hAnsi="宋体"/>
                <w:color w:val="auto"/>
                <w:sz w:val="24"/>
                <w:highlight w:val="none"/>
              </w:rPr>
            </w:pPr>
          </w:p>
        </w:tc>
        <w:tc>
          <w:tcPr>
            <w:tcW w:w="1047" w:type="pct"/>
            <w:vAlign w:val="center"/>
          </w:tcPr>
          <w:p w14:paraId="3A493223">
            <w:pPr>
              <w:spacing w:line="360" w:lineRule="auto"/>
              <w:jc w:val="center"/>
              <w:rPr>
                <w:rFonts w:ascii="宋体" w:hAnsi="宋体"/>
                <w:color w:val="auto"/>
                <w:sz w:val="24"/>
                <w:highlight w:val="none"/>
              </w:rPr>
            </w:pPr>
          </w:p>
        </w:tc>
        <w:tc>
          <w:tcPr>
            <w:tcW w:w="719" w:type="pct"/>
            <w:vAlign w:val="center"/>
          </w:tcPr>
          <w:p w14:paraId="42990104">
            <w:pPr>
              <w:spacing w:line="360" w:lineRule="auto"/>
              <w:jc w:val="center"/>
              <w:rPr>
                <w:rFonts w:ascii="宋体" w:hAnsi="宋体"/>
                <w:color w:val="auto"/>
                <w:sz w:val="24"/>
                <w:highlight w:val="none"/>
              </w:rPr>
            </w:pPr>
          </w:p>
        </w:tc>
        <w:tc>
          <w:tcPr>
            <w:tcW w:w="672" w:type="pct"/>
            <w:vAlign w:val="center"/>
          </w:tcPr>
          <w:p w14:paraId="2E39F5F4">
            <w:pPr>
              <w:spacing w:line="360" w:lineRule="auto"/>
              <w:jc w:val="center"/>
              <w:rPr>
                <w:rFonts w:ascii="宋体" w:hAnsi="宋体"/>
                <w:color w:val="auto"/>
                <w:sz w:val="24"/>
                <w:highlight w:val="none"/>
              </w:rPr>
            </w:pPr>
          </w:p>
        </w:tc>
      </w:tr>
      <w:tr w14:paraId="4FE6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19B902B2">
            <w:pPr>
              <w:spacing w:line="360" w:lineRule="auto"/>
              <w:jc w:val="center"/>
              <w:rPr>
                <w:rFonts w:ascii="宋体" w:hAnsi="宋体"/>
                <w:color w:val="auto"/>
                <w:sz w:val="24"/>
                <w:highlight w:val="none"/>
              </w:rPr>
            </w:pPr>
          </w:p>
        </w:tc>
        <w:tc>
          <w:tcPr>
            <w:tcW w:w="1344" w:type="pct"/>
            <w:vAlign w:val="center"/>
          </w:tcPr>
          <w:p w14:paraId="5C13CA00">
            <w:pPr>
              <w:spacing w:line="360" w:lineRule="auto"/>
              <w:jc w:val="center"/>
              <w:rPr>
                <w:rFonts w:ascii="宋体" w:hAnsi="宋体"/>
                <w:color w:val="auto"/>
                <w:sz w:val="24"/>
                <w:highlight w:val="none"/>
              </w:rPr>
            </w:pPr>
          </w:p>
        </w:tc>
        <w:tc>
          <w:tcPr>
            <w:tcW w:w="814" w:type="pct"/>
            <w:vAlign w:val="center"/>
          </w:tcPr>
          <w:p w14:paraId="73DDAC09">
            <w:pPr>
              <w:spacing w:line="360" w:lineRule="auto"/>
              <w:jc w:val="center"/>
              <w:rPr>
                <w:rFonts w:ascii="宋体" w:hAnsi="宋体"/>
                <w:color w:val="auto"/>
                <w:sz w:val="24"/>
                <w:highlight w:val="none"/>
              </w:rPr>
            </w:pPr>
          </w:p>
        </w:tc>
        <w:tc>
          <w:tcPr>
            <w:tcW w:w="1047" w:type="pct"/>
            <w:vAlign w:val="center"/>
          </w:tcPr>
          <w:p w14:paraId="2476DF17">
            <w:pPr>
              <w:spacing w:line="360" w:lineRule="auto"/>
              <w:jc w:val="center"/>
              <w:rPr>
                <w:rFonts w:ascii="宋体" w:hAnsi="宋体"/>
                <w:color w:val="auto"/>
                <w:sz w:val="24"/>
                <w:highlight w:val="none"/>
              </w:rPr>
            </w:pPr>
          </w:p>
        </w:tc>
        <w:tc>
          <w:tcPr>
            <w:tcW w:w="719" w:type="pct"/>
            <w:vAlign w:val="center"/>
          </w:tcPr>
          <w:p w14:paraId="1074D0CC">
            <w:pPr>
              <w:spacing w:line="360" w:lineRule="auto"/>
              <w:jc w:val="center"/>
              <w:rPr>
                <w:rFonts w:ascii="宋体" w:hAnsi="宋体"/>
                <w:color w:val="auto"/>
                <w:sz w:val="24"/>
                <w:highlight w:val="none"/>
              </w:rPr>
            </w:pPr>
          </w:p>
        </w:tc>
        <w:tc>
          <w:tcPr>
            <w:tcW w:w="672" w:type="pct"/>
            <w:vAlign w:val="center"/>
          </w:tcPr>
          <w:p w14:paraId="01B10DC4">
            <w:pPr>
              <w:spacing w:line="360" w:lineRule="auto"/>
              <w:jc w:val="center"/>
              <w:rPr>
                <w:rFonts w:ascii="宋体" w:hAnsi="宋体"/>
                <w:color w:val="auto"/>
                <w:sz w:val="24"/>
                <w:highlight w:val="none"/>
              </w:rPr>
            </w:pPr>
          </w:p>
        </w:tc>
      </w:tr>
      <w:tr w14:paraId="5993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524F2A7">
            <w:pPr>
              <w:spacing w:line="360" w:lineRule="auto"/>
              <w:jc w:val="center"/>
              <w:rPr>
                <w:rFonts w:ascii="宋体" w:hAnsi="宋体"/>
                <w:color w:val="auto"/>
                <w:sz w:val="24"/>
                <w:highlight w:val="none"/>
              </w:rPr>
            </w:pPr>
          </w:p>
        </w:tc>
        <w:tc>
          <w:tcPr>
            <w:tcW w:w="1344" w:type="pct"/>
            <w:vAlign w:val="center"/>
          </w:tcPr>
          <w:p w14:paraId="5D62CC03">
            <w:pPr>
              <w:spacing w:line="360" w:lineRule="auto"/>
              <w:jc w:val="center"/>
              <w:rPr>
                <w:rFonts w:ascii="宋体" w:hAnsi="宋体"/>
                <w:color w:val="auto"/>
                <w:sz w:val="24"/>
                <w:highlight w:val="none"/>
              </w:rPr>
            </w:pPr>
          </w:p>
        </w:tc>
        <w:tc>
          <w:tcPr>
            <w:tcW w:w="814" w:type="pct"/>
            <w:vAlign w:val="center"/>
          </w:tcPr>
          <w:p w14:paraId="5FCFE872">
            <w:pPr>
              <w:spacing w:line="360" w:lineRule="auto"/>
              <w:jc w:val="center"/>
              <w:rPr>
                <w:rFonts w:ascii="宋体" w:hAnsi="宋体"/>
                <w:color w:val="auto"/>
                <w:sz w:val="24"/>
                <w:highlight w:val="none"/>
              </w:rPr>
            </w:pPr>
          </w:p>
        </w:tc>
        <w:tc>
          <w:tcPr>
            <w:tcW w:w="1047" w:type="pct"/>
            <w:vAlign w:val="center"/>
          </w:tcPr>
          <w:p w14:paraId="1D2E079F">
            <w:pPr>
              <w:spacing w:line="360" w:lineRule="auto"/>
              <w:jc w:val="center"/>
              <w:rPr>
                <w:rFonts w:ascii="宋体" w:hAnsi="宋体"/>
                <w:color w:val="auto"/>
                <w:sz w:val="24"/>
                <w:highlight w:val="none"/>
              </w:rPr>
            </w:pPr>
          </w:p>
        </w:tc>
        <w:tc>
          <w:tcPr>
            <w:tcW w:w="719" w:type="pct"/>
            <w:vAlign w:val="center"/>
          </w:tcPr>
          <w:p w14:paraId="083942C8">
            <w:pPr>
              <w:spacing w:line="360" w:lineRule="auto"/>
              <w:jc w:val="center"/>
              <w:rPr>
                <w:rFonts w:ascii="宋体" w:hAnsi="宋体"/>
                <w:color w:val="auto"/>
                <w:sz w:val="24"/>
                <w:highlight w:val="none"/>
              </w:rPr>
            </w:pPr>
          </w:p>
        </w:tc>
        <w:tc>
          <w:tcPr>
            <w:tcW w:w="672" w:type="pct"/>
            <w:vAlign w:val="center"/>
          </w:tcPr>
          <w:p w14:paraId="179171F2">
            <w:pPr>
              <w:spacing w:line="360" w:lineRule="auto"/>
              <w:jc w:val="center"/>
              <w:rPr>
                <w:rFonts w:ascii="宋体" w:hAnsi="宋体"/>
                <w:color w:val="auto"/>
                <w:sz w:val="24"/>
                <w:highlight w:val="none"/>
              </w:rPr>
            </w:pPr>
          </w:p>
        </w:tc>
      </w:tr>
      <w:tr w14:paraId="733C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29E9192">
            <w:pPr>
              <w:spacing w:line="360" w:lineRule="auto"/>
              <w:jc w:val="center"/>
              <w:rPr>
                <w:rFonts w:ascii="宋体" w:hAnsi="宋体"/>
                <w:color w:val="auto"/>
                <w:sz w:val="24"/>
                <w:highlight w:val="none"/>
              </w:rPr>
            </w:pPr>
          </w:p>
        </w:tc>
        <w:tc>
          <w:tcPr>
            <w:tcW w:w="1344" w:type="pct"/>
            <w:vAlign w:val="center"/>
          </w:tcPr>
          <w:p w14:paraId="06B01570">
            <w:pPr>
              <w:spacing w:line="360" w:lineRule="auto"/>
              <w:jc w:val="center"/>
              <w:rPr>
                <w:rFonts w:ascii="宋体" w:hAnsi="宋体"/>
                <w:color w:val="auto"/>
                <w:sz w:val="24"/>
                <w:highlight w:val="none"/>
              </w:rPr>
            </w:pPr>
          </w:p>
        </w:tc>
        <w:tc>
          <w:tcPr>
            <w:tcW w:w="814" w:type="pct"/>
            <w:vAlign w:val="center"/>
          </w:tcPr>
          <w:p w14:paraId="054960F5">
            <w:pPr>
              <w:spacing w:line="360" w:lineRule="auto"/>
              <w:jc w:val="center"/>
              <w:rPr>
                <w:rFonts w:ascii="宋体" w:hAnsi="宋体"/>
                <w:color w:val="auto"/>
                <w:sz w:val="24"/>
                <w:highlight w:val="none"/>
              </w:rPr>
            </w:pPr>
          </w:p>
        </w:tc>
        <w:tc>
          <w:tcPr>
            <w:tcW w:w="1047" w:type="pct"/>
            <w:vAlign w:val="center"/>
          </w:tcPr>
          <w:p w14:paraId="039923A9">
            <w:pPr>
              <w:spacing w:line="360" w:lineRule="auto"/>
              <w:jc w:val="center"/>
              <w:rPr>
                <w:rFonts w:ascii="宋体" w:hAnsi="宋体"/>
                <w:color w:val="auto"/>
                <w:sz w:val="24"/>
                <w:highlight w:val="none"/>
              </w:rPr>
            </w:pPr>
          </w:p>
        </w:tc>
        <w:tc>
          <w:tcPr>
            <w:tcW w:w="719" w:type="pct"/>
            <w:vAlign w:val="center"/>
          </w:tcPr>
          <w:p w14:paraId="45B2B18D">
            <w:pPr>
              <w:spacing w:line="360" w:lineRule="auto"/>
              <w:jc w:val="center"/>
              <w:rPr>
                <w:rFonts w:ascii="宋体" w:hAnsi="宋体"/>
                <w:color w:val="auto"/>
                <w:sz w:val="24"/>
                <w:highlight w:val="none"/>
              </w:rPr>
            </w:pPr>
          </w:p>
        </w:tc>
        <w:tc>
          <w:tcPr>
            <w:tcW w:w="672" w:type="pct"/>
            <w:vAlign w:val="center"/>
          </w:tcPr>
          <w:p w14:paraId="2D472F9F">
            <w:pPr>
              <w:spacing w:line="360" w:lineRule="auto"/>
              <w:jc w:val="center"/>
              <w:rPr>
                <w:rFonts w:ascii="宋体" w:hAnsi="宋体"/>
                <w:color w:val="auto"/>
                <w:sz w:val="24"/>
                <w:highlight w:val="none"/>
              </w:rPr>
            </w:pPr>
          </w:p>
        </w:tc>
      </w:tr>
      <w:tr w14:paraId="6C19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654D1D5">
            <w:pPr>
              <w:spacing w:line="360" w:lineRule="auto"/>
              <w:jc w:val="center"/>
              <w:rPr>
                <w:rFonts w:ascii="宋体" w:hAnsi="宋体"/>
                <w:color w:val="auto"/>
                <w:sz w:val="24"/>
                <w:highlight w:val="none"/>
              </w:rPr>
            </w:pPr>
          </w:p>
        </w:tc>
        <w:tc>
          <w:tcPr>
            <w:tcW w:w="1344" w:type="pct"/>
            <w:vAlign w:val="center"/>
          </w:tcPr>
          <w:p w14:paraId="4AD2FCD9">
            <w:pPr>
              <w:spacing w:line="360" w:lineRule="auto"/>
              <w:jc w:val="center"/>
              <w:rPr>
                <w:rFonts w:ascii="宋体" w:hAnsi="宋体"/>
                <w:color w:val="auto"/>
                <w:sz w:val="24"/>
                <w:highlight w:val="none"/>
              </w:rPr>
            </w:pPr>
          </w:p>
        </w:tc>
        <w:tc>
          <w:tcPr>
            <w:tcW w:w="814" w:type="pct"/>
            <w:vAlign w:val="center"/>
          </w:tcPr>
          <w:p w14:paraId="143B12DF">
            <w:pPr>
              <w:spacing w:line="360" w:lineRule="auto"/>
              <w:jc w:val="center"/>
              <w:rPr>
                <w:rFonts w:ascii="宋体" w:hAnsi="宋体"/>
                <w:color w:val="auto"/>
                <w:sz w:val="24"/>
                <w:highlight w:val="none"/>
              </w:rPr>
            </w:pPr>
          </w:p>
        </w:tc>
        <w:tc>
          <w:tcPr>
            <w:tcW w:w="1047" w:type="pct"/>
            <w:vAlign w:val="center"/>
          </w:tcPr>
          <w:p w14:paraId="788F4E85">
            <w:pPr>
              <w:spacing w:line="360" w:lineRule="auto"/>
              <w:jc w:val="center"/>
              <w:rPr>
                <w:rFonts w:ascii="宋体" w:hAnsi="宋体"/>
                <w:color w:val="auto"/>
                <w:sz w:val="24"/>
                <w:highlight w:val="none"/>
              </w:rPr>
            </w:pPr>
          </w:p>
        </w:tc>
        <w:tc>
          <w:tcPr>
            <w:tcW w:w="719" w:type="pct"/>
            <w:vAlign w:val="center"/>
          </w:tcPr>
          <w:p w14:paraId="381E06FD">
            <w:pPr>
              <w:spacing w:line="360" w:lineRule="auto"/>
              <w:jc w:val="center"/>
              <w:rPr>
                <w:rFonts w:ascii="宋体" w:hAnsi="宋体"/>
                <w:color w:val="auto"/>
                <w:sz w:val="24"/>
                <w:highlight w:val="none"/>
              </w:rPr>
            </w:pPr>
          </w:p>
        </w:tc>
        <w:tc>
          <w:tcPr>
            <w:tcW w:w="672" w:type="pct"/>
            <w:vAlign w:val="center"/>
          </w:tcPr>
          <w:p w14:paraId="3D806A99">
            <w:pPr>
              <w:spacing w:line="360" w:lineRule="auto"/>
              <w:jc w:val="center"/>
              <w:rPr>
                <w:rFonts w:ascii="宋体" w:hAnsi="宋体"/>
                <w:color w:val="auto"/>
                <w:sz w:val="24"/>
                <w:highlight w:val="none"/>
              </w:rPr>
            </w:pPr>
          </w:p>
        </w:tc>
      </w:tr>
    </w:tbl>
    <w:p w14:paraId="2F312834">
      <w:pPr>
        <w:spacing w:line="360" w:lineRule="auto"/>
        <w:rPr>
          <w:rFonts w:ascii="宋体" w:hAnsi="宋体" w:cs="宋体"/>
          <w:color w:val="auto"/>
          <w:szCs w:val="24"/>
          <w:highlight w:val="none"/>
        </w:rPr>
      </w:pPr>
    </w:p>
    <w:p w14:paraId="3199016E">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6907F7F7">
      <w:pPr>
        <w:spacing w:line="360" w:lineRule="auto"/>
        <w:jc w:val="center"/>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25BD4805">
      <w:pPr>
        <w:pStyle w:val="3"/>
        <w:spacing w:before="0" w:after="0" w:line="360" w:lineRule="auto"/>
        <w:ind w:firstLine="119"/>
        <w:jc w:val="center"/>
        <w:rPr>
          <w:rFonts w:ascii="宋体" w:hAnsi="宋体" w:cs="宋体"/>
          <w:b w:val="0"/>
          <w:bCs w:val="0"/>
          <w:color w:val="auto"/>
          <w:sz w:val="32"/>
          <w:highlight w:val="none"/>
        </w:rPr>
      </w:pPr>
      <w:r>
        <w:rPr>
          <w:rFonts w:hint="eastAsia" w:ascii="宋体" w:hAnsi="宋体" w:cs="宋体"/>
          <w:b w:val="0"/>
          <w:bCs w:val="0"/>
          <w:color w:val="auto"/>
          <w:highlight w:val="none"/>
        </w:rPr>
        <w:br w:type="page"/>
      </w:r>
      <w:bookmarkStart w:id="226" w:name="_Toc7450"/>
      <w:r>
        <w:rPr>
          <w:rFonts w:hint="eastAsia" w:ascii="宋体" w:hAnsi="宋体" w:eastAsia="宋体" w:cs="宋体"/>
          <w:color w:val="auto"/>
          <w:sz w:val="32"/>
          <w:highlight w:val="none"/>
        </w:rPr>
        <w:t>七、</w:t>
      </w:r>
      <w:bookmarkStart w:id="227" w:name="_Hlk171603198"/>
      <w:r>
        <w:rPr>
          <w:rFonts w:hint="eastAsia" w:ascii="宋体" w:hAnsi="宋体" w:eastAsia="宋体" w:cs="宋体"/>
          <w:color w:val="auto"/>
          <w:sz w:val="32"/>
          <w:highlight w:val="none"/>
        </w:rPr>
        <w:t>拟投入本项目的人员</w:t>
      </w:r>
      <w:bookmarkEnd w:id="227"/>
      <w:r>
        <w:rPr>
          <w:rFonts w:hint="eastAsia" w:ascii="宋体" w:hAnsi="宋体" w:eastAsia="宋体" w:cs="宋体"/>
          <w:color w:val="auto"/>
          <w:sz w:val="32"/>
          <w:highlight w:val="none"/>
        </w:rPr>
        <w:t>一览表</w:t>
      </w:r>
      <w:bookmarkEnd w:id="226"/>
    </w:p>
    <w:p w14:paraId="6A9C667A">
      <w:pPr>
        <w:spacing w:line="360" w:lineRule="auto"/>
        <w:jc w:val="left"/>
        <w:rPr>
          <w:rFonts w:ascii="宋体" w:hAnsi="宋体" w:cs="宋体"/>
          <w:color w:val="auto"/>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14:paraId="70BD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14:paraId="1408B111">
            <w:pPr>
              <w:snapToGrid w:val="0"/>
              <w:spacing w:line="360" w:lineRule="auto"/>
              <w:jc w:val="center"/>
              <w:rPr>
                <w:rFonts w:ascii="宋体" w:hAnsi="宋体" w:cs="宋体"/>
                <w:color w:val="auto"/>
                <w:sz w:val="24"/>
                <w:highlight w:val="none"/>
              </w:rPr>
            </w:pPr>
            <w:bookmarkStart w:id="228" w:name="_Hlk171603204"/>
            <w:r>
              <w:rPr>
                <w:rFonts w:hint="eastAsia" w:ascii="宋体" w:hAnsi="宋体" w:cs="宋体"/>
                <w:color w:val="auto"/>
                <w:sz w:val="24"/>
                <w:highlight w:val="none"/>
              </w:rPr>
              <w:t>序号</w:t>
            </w:r>
          </w:p>
        </w:tc>
        <w:tc>
          <w:tcPr>
            <w:tcW w:w="939" w:type="dxa"/>
            <w:vAlign w:val="center"/>
          </w:tcPr>
          <w:p w14:paraId="27FFC2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4" w:type="dxa"/>
            <w:vAlign w:val="center"/>
          </w:tcPr>
          <w:p w14:paraId="47D26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484" w:type="dxa"/>
            <w:vAlign w:val="center"/>
          </w:tcPr>
          <w:p w14:paraId="00D4FD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拟在本项目任职职位</w:t>
            </w:r>
          </w:p>
        </w:tc>
        <w:tc>
          <w:tcPr>
            <w:tcW w:w="1885" w:type="dxa"/>
            <w:vAlign w:val="center"/>
          </w:tcPr>
          <w:p w14:paraId="2FFF30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bookmarkStart w:id="229" w:name="_Toc377719916"/>
            <w:bookmarkStart w:id="230" w:name="_Toc32483"/>
            <w:r>
              <w:rPr>
                <w:rFonts w:hint="eastAsia" w:ascii="宋体" w:hAnsi="宋体" w:cs="宋体"/>
                <w:color w:val="auto"/>
                <w:sz w:val="24"/>
                <w:highlight w:val="none"/>
              </w:rPr>
              <w:t>专</w:t>
            </w:r>
            <w:bookmarkStart w:id="231" w:name="_Toc7316"/>
            <w:bookmarkStart w:id="232" w:name="_Toc29731"/>
            <w:bookmarkStart w:id="233" w:name="_Toc24823"/>
            <w:bookmarkStart w:id="234" w:name="_Toc532367896"/>
            <w:bookmarkStart w:id="235" w:name="_Toc12800"/>
            <w:bookmarkStart w:id="236" w:name="_Toc23762"/>
            <w:bookmarkStart w:id="237" w:name="_Toc38224866"/>
            <w:bookmarkStart w:id="238" w:name="_Toc21254"/>
            <w:bookmarkStart w:id="239" w:name="_Toc18456"/>
            <w:bookmarkStart w:id="240" w:name="_Toc17600"/>
            <w:r>
              <w:rPr>
                <w:rFonts w:hint="eastAsia" w:ascii="宋体" w:hAnsi="宋体" w:cs="宋体"/>
                <w:color w:val="auto"/>
                <w:sz w:val="24"/>
                <w:highlight w:val="none"/>
              </w:rPr>
              <w:t>业</w:t>
            </w:r>
          </w:p>
          <w:bookmarkEnd w:id="229"/>
          <w:bookmarkEnd w:id="230"/>
          <w:bookmarkEnd w:id="231"/>
          <w:bookmarkEnd w:id="232"/>
          <w:bookmarkEnd w:id="233"/>
          <w:bookmarkEnd w:id="234"/>
          <w:bookmarkEnd w:id="235"/>
          <w:bookmarkEnd w:id="236"/>
        </w:tc>
        <w:tc>
          <w:tcPr>
            <w:tcW w:w="883" w:type="dxa"/>
            <w:vAlign w:val="center"/>
          </w:tcPr>
          <w:p w14:paraId="7B86D2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992" w:type="dxa"/>
            <w:vAlign w:val="center"/>
          </w:tcPr>
          <w:p w14:paraId="140FF3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bookmarkEnd w:id="237"/>
            <w:bookmarkEnd w:id="238"/>
            <w:bookmarkEnd w:id="239"/>
            <w:bookmarkEnd w:id="240"/>
            <w:r>
              <w:rPr>
                <w:rFonts w:hint="eastAsia" w:ascii="宋体" w:hAnsi="宋体" w:cs="宋体"/>
                <w:color w:val="auto"/>
                <w:sz w:val="24"/>
                <w:highlight w:val="none"/>
              </w:rPr>
              <w:t>及专业</w:t>
            </w:r>
          </w:p>
        </w:tc>
        <w:tc>
          <w:tcPr>
            <w:tcW w:w="1276" w:type="dxa"/>
            <w:vAlign w:val="center"/>
          </w:tcPr>
          <w:p w14:paraId="28EEEC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从事检测/监测工作年限</w:t>
            </w:r>
          </w:p>
        </w:tc>
        <w:bookmarkStart w:id="241" w:name="_Toc9140"/>
        <w:bookmarkStart w:id="242" w:name="_Toc31785"/>
        <w:bookmarkStart w:id="243" w:name="_Toc38224867"/>
        <w:bookmarkStart w:id="244" w:name="_Toc532367897"/>
        <w:bookmarkStart w:id="245" w:name="_Toc13214"/>
        <w:bookmarkStart w:id="246" w:name="_Toc29747"/>
        <w:bookmarkStart w:id="247" w:name="_Toc18694"/>
        <w:bookmarkStart w:id="248" w:name="_Toc377719917"/>
        <w:bookmarkStart w:id="249" w:name="_Toc25406"/>
        <w:bookmarkStart w:id="250" w:name="_Toc12738"/>
        <w:bookmarkStart w:id="251" w:name="_Toc17488"/>
      </w:tr>
      <w:tr w14:paraId="4B9D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142CD08">
            <w:pPr>
              <w:spacing w:line="360" w:lineRule="auto"/>
              <w:jc w:val="center"/>
              <w:rPr>
                <w:rFonts w:ascii="宋体" w:hAnsi="宋体" w:cs="宋体"/>
                <w:color w:val="auto"/>
                <w:sz w:val="22"/>
                <w:highlight w:val="none"/>
              </w:rPr>
            </w:pPr>
          </w:p>
        </w:tc>
        <w:tc>
          <w:tcPr>
            <w:tcW w:w="939" w:type="dxa"/>
            <w:vAlign w:val="center"/>
          </w:tcPr>
          <w:p w14:paraId="065976E0">
            <w:pPr>
              <w:spacing w:line="360" w:lineRule="auto"/>
              <w:jc w:val="center"/>
              <w:rPr>
                <w:rFonts w:ascii="宋体" w:hAnsi="宋体" w:cs="宋体"/>
                <w:color w:val="auto"/>
                <w:sz w:val="22"/>
                <w:highlight w:val="none"/>
              </w:rPr>
            </w:pPr>
          </w:p>
        </w:tc>
        <w:tc>
          <w:tcPr>
            <w:tcW w:w="904" w:type="dxa"/>
            <w:vAlign w:val="center"/>
          </w:tcPr>
          <w:p w14:paraId="66015091">
            <w:pPr>
              <w:spacing w:line="360" w:lineRule="auto"/>
              <w:jc w:val="center"/>
              <w:rPr>
                <w:rFonts w:ascii="宋体" w:hAnsi="宋体" w:cs="宋体"/>
                <w:color w:val="auto"/>
                <w:sz w:val="22"/>
                <w:highlight w:val="none"/>
              </w:rPr>
            </w:pPr>
          </w:p>
        </w:tc>
        <w:tc>
          <w:tcPr>
            <w:tcW w:w="1484" w:type="dxa"/>
            <w:vAlign w:val="center"/>
          </w:tcPr>
          <w:p w14:paraId="6757E202">
            <w:pPr>
              <w:spacing w:line="360" w:lineRule="auto"/>
              <w:jc w:val="center"/>
              <w:rPr>
                <w:rFonts w:ascii="宋体" w:hAnsi="宋体" w:cs="宋体"/>
                <w:color w:val="auto"/>
                <w:sz w:val="22"/>
                <w:highlight w:val="none"/>
              </w:rPr>
            </w:pPr>
          </w:p>
        </w:tc>
        <w:tc>
          <w:tcPr>
            <w:tcW w:w="1885" w:type="dxa"/>
            <w:vAlign w:val="center"/>
          </w:tcPr>
          <w:p w14:paraId="37300303">
            <w:pPr>
              <w:spacing w:line="360" w:lineRule="auto"/>
              <w:jc w:val="center"/>
              <w:rPr>
                <w:rFonts w:ascii="宋体" w:hAnsi="宋体" w:cs="宋体"/>
                <w:color w:val="auto"/>
                <w:sz w:val="22"/>
                <w:highlight w:val="none"/>
              </w:rPr>
            </w:pPr>
          </w:p>
        </w:tc>
        <w:tc>
          <w:tcPr>
            <w:tcW w:w="883" w:type="dxa"/>
            <w:vAlign w:val="center"/>
          </w:tcPr>
          <w:p w14:paraId="499A16C5">
            <w:pPr>
              <w:spacing w:line="360" w:lineRule="auto"/>
              <w:jc w:val="center"/>
              <w:rPr>
                <w:rFonts w:ascii="宋体" w:hAnsi="宋体" w:cs="宋体"/>
                <w:color w:val="auto"/>
                <w:sz w:val="22"/>
                <w:highlight w:val="none"/>
              </w:rPr>
            </w:pPr>
          </w:p>
        </w:tc>
        <w:tc>
          <w:tcPr>
            <w:tcW w:w="992" w:type="dxa"/>
            <w:vAlign w:val="center"/>
          </w:tcPr>
          <w:p w14:paraId="3931F189">
            <w:pPr>
              <w:spacing w:line="360" w:lineRule="auto"/>
              <w:jc w:val="center"/>
              <w:rPr>
                <w:rFonts w:ascii="宋体" w:hAnsi="宋体" w:cs="宋体"/>
                <w:color w:val="auto"/>
                <w:sz w:val="22"/>
                <w:highlight w:val="none"/>
              </w:rPr>
            </w:pPr>
          </w:p>
        </w:tc>
        <w:tc>
          <w:tcPr>
            <w:tcW w:w="1276" w:type="dxa"/>
            <w:vAlign w:val="center"/>
          </w:tcPr>
          <w:p w14:paraId="6ECDE36B">
            <w:pPr>
              <w:spacing w:line="360" w:lineRule="auto"/>
              <w:jc w:val="center"/>
              <w:rPr>
                <w:rFonts w:ascii="宋体" w:hAnsi="宋体" w:cs="宋体"/>
                <w:color w:val="auto"/>
                <w:sz w:val="22"/>
                <w:highlight w:val="none"/>
              </w:rPr>
            </w:pPr>
          </w:p>
        </w:tc>
      </w:tr>
      <w:tr w14:paraId="69D9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C945713">
            <w:pPr>
              <w:spacing w:line="360" w:lineRule="auto"/>
              <w:jc w:val="center"/>
              <w:rPr>
                <w:rFonts w:ascii="宋体" w:hAnsi="宋体" w:cs="宋体"/>
                <w:color w:val="auto"/>
                <w:sz w:val="22"/>
                <w:highlight w:val="none"/>
              </w:rPr>
            </w:pPr>
          </w:p>
        </w:tc>
        <w:tc>
          <w:tcPr>
            <w:tcW w:w="939" w:type="dxa"/>
            <w:vAlign w:val="center"/>
          </w:tcPr>
          <w:p w14:paraId="17B0009E">
            <w:pPr>
              <w:spacing w:line="360" w:lineRule="auto"/>
              <w:jc w:val="center"/>
              <w:rPr>
                <w:rFonts w:ascii="宋体" w:hAnsi="宋体" w:cs="宋体"/>
                <w:color w:val="auto"/>
                <w:sz w:val="22"/>
                <w:highlight w:val="none"/>
              </w:rPr>
            </w:pPr>
          </w:p>
        </w:tc>
        <w:tc>
          <w:tcPr>
            <w:tcW w:w="904" w:type="dxa"/>
            <w:vAlign w:val="center"/>
          </w:tcPr>
          <w:p w14:paraId="0F8CF92E">
            <w:pPr>
              <w:spacing w:line="360" w:lineRule="auto"/>
              <w:jc w:val="center"/>
              <w:rPr>
                <w:rFonts w:ascii="宋体" w:hAnsi="宋体" w:cs="宋体"/>
                <w:color w:val="auto"/>
                <w:sz w:val="22"/>
                <w:highlight w:val="none"/>
              </w:rPr>
            </w:pPr>
          </w:p>
        </w:tc>
        <w:tc>
          <w:tcPr>
            <w:tcW w:w="1484" w:type="dxa"/>
            <w:vAlign w:val="center"/>
          </w:tcPr>
          <w:p w14:paraId="50C9A421">
            <w:pPr>
              <w:spacing w:line="360" w:lineRule="auto"/>
              <w:jc w:val="center"/>
              <w:rPr>
                <w:rFonts w:ascii="宋体" w:hAnsi="宋体" w:cs="宋体"/>
                <w:color w:val="auto"/>
                <w:sz w:val="22"/>
                <w:highlight w:val="none"/>
              </w:rPr>
            </w:pPr>
          </w:p>
          <w:bookmarkEnd w:id="241"/>
          <w:bookmarkEnd w:id="242"/>
          <w:bookmarkEnd w:id="243"/>
        </w:tc>
        <w:tc>
          <w:tcPr>
            <w:tcW w:w="1885" w:type="dxa"/>
            <w:vAlign w:val="center"/>
          </w:tcPr>
          <w:p w14:paraId="7B46D83B">
            <w:pPr>
              <w:spacing w:line="360" w:lineRule="auto"/>
              <w:jc w:val="center"/>
              <w:rPr>
                <w:rFonts w:ascii="宋体" w:hAnsi="宋体" w:cs="宋体"/>
                <w:color w:val="auto"/>
                <w:sz w:val="22"/>
                <w:highlight w:val="none"/>
              </w:rPr>
            </w:pPr>
          </w:p>
          <w:bookmarkEnd w:id="244"/>
          <w:bookmarkEnd w:id="245"/>
          <w:bookmarkEnd w:id="246"/>
          <w:bookmarkEnd w:id="247"/>
          <w:bookmarkEnd w:id="248"/>
          <w:bookmarkEnd w:id="249"/>
          <w:bookmarkEnd w:id="250"/>
          <w:bookmarkEnd w:id="251"/>
        </w:tc>
        <w:tc>
          <w:tcPr>
            <w:tcW w:w="883" w:type="dxa"/>
            <w:vAlign w:val="center"/>
          </w:tcPr>
          <w:p w14:paraId="00894353">
            <w:pPr>
              <w:spacing w:line="360" w:lineRule="auto"/>
              <w:jc w:val="center"/>
              <w:rPr>
                <w:rFonts w:ascii="宋体" w:hAnsi="宋体" w:cs="宋体"/>
                <w:color w:val="auto"/>
                <w:sz w:val="22"/>
                <w:highlight w:val="none"/>
              </w:rPr>
            </w:pPr>
          </w:p>
        </w:tc>
        <w:tc>
          <w:tcPr>
            <w:tcW w:w="992" w:type="dxa"/>
            <w:vAlign w:val="center"/>
          </w:tcPr>
          <w:p w14:paraId="194EAD81">
            <w:pPr>
              <w:spacing w:line="360" w:lineRule="auto"/>
              <w:jc w:val="center"/>
              <w:rPr>
                <w:rFonts w:ascii="宋体" w:hAnsi="宋体" w:cs="宋体"/>
                <w:color w:val="auto"/>
                <w:sz w:val="22"/>
                <w:highlight w:val="none"/>
              </w:rPr>
            </w:pPr>
          </w:p>
        </w:tc>
        <w:tc>
          <w:tcPr>
            <w:tcW w:w="1276" w:type="dxa"/>
            <w:vAlign w:val="center"/>
          </w:tcPr>
          <w:p w14:paraId="1E09F89C">
            <w:pPr>
              <w:spacing w:line="360" w:lineRule="auto"/>
              <w:jc w:val="center"/>
              <w:rPr>
                <w:rFonts w:ascii="宋体" w:hAnsi="宋体" w:cs="宋体"/>
                <w:color w:val="auto"/>
                <w:sz w:val="22"/>
                <w:highlight w:val="none"/>
              </w:rPr>
            </w:pPr>
          </w:p>
        </w:tc>
      </w:tr>
      <w:tr w14:paraId="5816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B0C70CA">
            <w:pPr>
              <w:spacing w:line="360" w:lineRule="auto"/>
              <w:jc w:val="center"/>
              <w:rPr>
                <w:rFonts w:ascii="宋体" w:hAnsi="宋体" w:cs="宋体"/>
                <w:color w:val="auto"/>
                <w:sz w:val="22"/>
                <w:highlight w:val="none"/>
              </w:rPr>
            </w:pPr>
          </w:p>
        </w:tc>
        <w:tc>
          <w:tcPr>
            <w:tcW w:w="939" w:type="dxa"/>
            <w:vAlign w:val="center"/>
          </w:tcPr>
          <w:p w14:paraId="6864EF9B">
            <w:pPr>
              <w:spacing w:line="360" w:lineRule="auto"/>
              <w:jc w:val="center"/>
              <w:rPr>
                <w:rFonts w:ascii="宋体" w:hAnsi="宋体" w:cs="宋体"/>
                <w:color w:val="auto"/>
                <w:sz w:val="22"/>
                <w:highlight w:val="none"/>
              </w:rPr>
            </w:pPr>
          </w:p>
        </w:tc>
        <w:tc>
          <w:tcPr>
            <w:tcW w:w="904" w:type="dxa"/>
            <w:vAlign w:val="center"/>
          </w:tcPr>
          <w:p w14:paraId="49CF6DEC">
            <w:pPr>
              <w:spacing w:line="360" w:lineRule="auto"/>
              <w:jc w:val="center"/>
              <w:rPr>
                <w:rFonts w:ascii="宋体" w:hAnsi="宋体" w:cs="宋体"/>
                <w:color w:val="auto"/>
                <w:sz w:val="22"/>
                <w:highlight w:val="none"/>
              </w:rPr>
            </w:pPr>
          </w:p>
        </w:tc>
        <w:tc>
          <w:tcPr>
            <w:tcW w:w="1484" w:type="dxa"/>
            <w:vAlign w:val="center"/>
          </w:tcPr>
          <w:p w14:paraId="1CE5C611">
            <w:pPr>
              <w:spacing w:line="360" w:lineRule="auto"/>
              <w:jc w:val="center"/>
              <w:rPr>
                <w:rFonts w:ascii="宋体" w:hAnsi="宋体" w:cs="宋体"/>
                <w:color w:val="auto"/>
                <w:sz w:val="22"/>
                <w:highlight w:val="none"/>
              </w:rPr>
            </w:pPr>
          </w:p>
        </w:tc>
        <w:tc>
          <w:tcPr>
            <w:tcW w:w="1885" w:type="dxa"/>
            <w:vAlign w:val="center"/>
          </w:tcPr>
          <w:p w14:paraId="4207B215">
            <w:pPr>
              <w:spacing w:line="360" w:lineRule="auto"/>
              <w:jc w:val="center"/>
              <w:rPr>
                <w:rFonts w:ascii="宋体" w:hAnsi="宋体" w:cs="宋体"/>
                <w:color w:val="auto"/>
                <w:sz w:val="22"/>
                <w:highlight w:val="none"/>
              </w:rPr>
            </w:pPr>
          </w:p>
        </w:tc>
        <w:tc>
          <w:tcPr>
            <w:tcW w:w="883" w:type="dxa"/>
            <w:vAlign w:val="center"/>
          </w:tcPr>
          <w:p w14:paraId="52BF66D2">
            <w:pPr>
              <w:spacing w:line="360" w:lineRule="auto"/>
              <w:jc w:val="center"/>
              <w:rPr>
                <w:rFonts w:ascii="宋体" w:hAnsi="宋体" w:cs="宋体"/>
                <w:color w:val="auto"/>
                <w:sz w:val="22"/>
                <w:highlight w:val="none"/>
              </w:rPr>
            </w:pPr>
          </w:p>
        </w:tc>
        <w:tc>
          <w:tcPr>
            <w:tcW w:w="992" w:type="dxa"/>
            <w:vAlign w:val="center"/>
          </w:tcPr>
          <w:p w14:paraId="47E4DE73">
            <w:pPr>
              <w:spacing w:line="360" w:lineRule="auto"/>
              <w:jc w:val="center"/>
              <w:rPr>
                <w:rFonts w:ascii="宋体" w:hAnsi="宋体" w:cs="宋体"/>
                <w:color w:val="auto"/>
                <w:sz w:val="22"/>
                <w:highlight w:val="none"/>
              </w:rPr>
            </w:pPr>
          </w:p>
        </w:tc>
        <w:tc>
          <w:tcPr>
            <w:tcW w:w="1276" w:type="dxa"/>
            <w:vAlign w:val="center"/>
          </w:tcPr>
          <w:p w14:paraId="534DE8ED">
            <w:pPr>
              <w:spacing w:line="360" w:lineRule="auto"/>
              <w:jc w:val="center"/>
              <w:rPr>
                <w:rFonts w:ascii="宋体" w:hAnsi="宋体" w:cs="宋体"/>
                <w:color w:val="auto"/>
                <w:sz w:val="22"/>
                <w:highlight w:val="none"/>
              </w:rPr>
            </w:pPr>
          </w:p>
        </w:tc>
      </w:tr>
      <w:tr w14:paraId="271E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6BA2160">
            <w:pPr>
              <w:spacing w:line="360" w:lineRule="auto"/>
              <w:jc w:val="center"/>
              <w:rPr>
                <w:rFonts w:ascii="宋体" w:hAnsi="宋体" w:cs="宋体"/>
                <w:color w:val="auto"/>
                <w:sz w:val="22"/>
                <w:highlight w:val="none"/>
              </w:rPr>
            </w:pPr>
          </w:p>
        </w:tc>
        <w:tc>
          <w:tcPr>
            <w:tcW w:w="939" w:type="dxa"/>
            <w:vAlign w:val="center"/>
          </w:tcPr>
          <w:p w14:paraId="32FA8491">
            <w:pPr>
              <w:spacing w:line="360" w:lineRule="auto"/>
              <w:jc w:val="center"/>
              <w:rPr>
                <w:rFonts w:ascii="宋体" w:hAnsi="宋体" w:cs="宋体"/>
                <w:color w:val="auto"/>
                <w:sz w:val="22"/>
                <w:highlight w:val="none"/>
              </w:rPr>
            </w:pPr>
          </w:p>
        </w:tc>
        <w:tc>
          <w:tcPr>
            <w:tcW w:w="904" w:type="dxa"/>
            <w:vAlign w:val="center"/>
          </w:tcPr>
          <w:p w14:paraId="23CC3C6C">
            <w:pPr>
              <w:spacing w:line="360" w:lineRule="auto"/>
              <w:jc w:val="center"/>
              <w:rPr>
                <w:rFonts w:ascii="宋体" w:hAnsi="宋体" w:cs="宋体"/>
                <w:color w:val="auto"/>
                <w:sz w:val="22"/>
                <w:highlight w:val="none"/>
              </w:rPr>
            </w:pPr>
          </w:p>
        </w:tc>
        <w:tc>
          <w:tcPr>
            <w:tcW w:w="1484" w:type="dxa"/>
            <w:vAlign w:val="center"/>
          </w:tcPr>
          <w:p w14:paraId="2BC6227E">
            <w:pPr>
              <w:spacing w:line="360" w:lineRule="auto"/>
              <w:jc w:val="center"/>
              <w:rPr>
                <w:rFonts w:ascii="宋体" w:hAnsi="宋体" w:cs="宋体"/>
                <w:color w:val="auto"/>
                <w:sz w:val="22"/>
                <w:highlight w:val="none"/>
              </w:rPr>
            </w:pPr>
          </w:p>
        </w:tc>
        <w:tc>
          <w:tcPr>
            <w:tcW w:w="1885" w:type="dxa"/>
            <w:vAlign w:val="center"/>
          </w:tcPr>
          <w:p w14:paraId="1E424087">
            <w:pPr>
              <w:spacing w:line="360" w:lineRule="auto"/>
              <w:jc w:val="center"/>
              <w:rPr>
                <w:rFonts w:ascii="宋体" w:hAnsi="宋体" w:cs="宋体"/>
                <w:color w:val="auto"/>
                <w:sz w:val="22"/>
                <w:highlight w:val="none"/>
              </w:rPr>
            </w:pPr>
          </w:p>
        </w:tc>
        <w:tc>
          <w:tcPr>
            <w:tcW w:w="883" w:type="dxa"/>
            <w:vAlign w:val="center"/>
          </w:tcPr>
          <w:p w14:paraId="17B7215A">
            <w:pPr>
              <w:spacing w:line="360" w:lineRule="auto"/>
              <w:jc w:val="center"/>
              <w:rPr>
                <w:rFonts w:ascii="宋体" w:hAnsi="宋体" w:cs="宋体"/>
                <w:color w:val="auto"/>
                <w:sz w:val="22"/>
                <w:highlight w:val="none"/>
              </w:rPr>
            </w:pPr>
          </w:p>
        </w:tc>
        <w:tc>
          <w:tcPr>
            <w:tcW w:w="992" w:type="dxa"/>
            <w:vAlign w:val="center"/>
          </w:tcPr>
          <w:p w14:paraId="2FBCB366">
            <w:pPr>
              <w:spacing w:line="360" w:lineRule="auto"/>
              <w:jc w:val="center"/>
              <w:rPr>
                <w:rFonts w:ascii="宋体" w:hAnsi="宋体" w:cs="宋体"/>
                <w:color w:val="auto"/>
                <w:sz w:val="22"/>
                <w:highlight w:val="none"/>
              </w:rPr>
            </w:pPr>
          </w:p>
        </w:tc>
        <w:tc>
          <w:tcPr>
            <w:tcW w:w="1276" w:type="dxa"/>
            <w:vAlign w:val="center"/>
          </w:tcPr>
          <w:p w14:paraId="64649148">
            <w:pPr>
              <w:spacing w:line="360" w:lineRule="auto"/>
              <w:jc w:val="center"/>
              <w:rPr>
                <w:rFonts w:ascii="宋体" w:hAnsi="宋体" w:cs="宋体"/>
                <w:color w:val="auto"/>
                <w:sz w:val="22"/>
                <w:highlight w:val="none"/>
              </w:rPr>
            </w:pPr>
          </w:p>
        </w:tc>
      </w:tr>
      <w:tr w14:paraId="61B2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F8F3986">
            <w:pPr>
              <w:spacing w:line="360" w:lineRule="auto"/>
              <w:jc w:val="center"/>
              <w:rPr>
                <w:rFonts w:ascii="宋体" w:hAnsi="宋体" w:cs="宋体"/>
                <w:color w:val="auto"/>
                <w:sz w:val="22"/>
                <w:highlight w:val="none"/>
              </w:rPr>
            </w:pPr>
          </w:p>
        </w:tc>
        <w:tc>
          <w:tcPr>
            <w:tcW w:w="939" w:type="dxa"/>
            <w:vAlign w:val="center"/>
          </w:tcPr>
          <w:p w14:paraId="2203582F">
            <w:pPr>
              <w:spacing w:line="360" w:lineRule="auto"/>
              <w:jc w:val="center"/>
              <w:rPr>
                <w:rFonts w:ascii="宋体" w:hAnsi="宋体" w:cs="宋体"/>
                <w:color w:val="auto"/>
                <w:sz w:val="22"/>
                <w:highlight w:val="none"/>
              </w:rPr>
            </w:pPr>
          </w:p>
        </w:tc>
        <w:tc>
          <w:tcPr>
            <w:tcW w:w="904" w:type="dxa"/>
            <w:vAlign w:val="center"/>
          </w:tcPr>
          <w:p w14:paraId="553B11F6">
            <w:pPr>
              <w:spacing w:line="360" w:lineRule="auto"/>
              <w:jc w:val="center"/>
              <w:rPr>
                <w:rFonts w:ascii="宋体" w:hAnsi="宋体" w:cs="宋体"/>
                <w:color w:val="auto"/>
                <w:sz w:val="22"/>
                <w:highlight w:val="none"/>
              </w:rPr>
            </w:pPr>
          </w:p>
        </w:tc>
        <w:tc>
          <w:tcPr>
            <w:tcW w:w="1484" w:type="dxa"/>
            <w:vAlign w:val="center"/>
          </w:tcPr>
          <w:p w14:paraId="0E8858D9">
            <w:pPr>
              <w:spacing w:line="360" w:lineRule="auto"/>
              <w:jc w:val="center"/>
              <w:rPr>
                <w:rFonts w:ascii="宋体" w:hAnsi="宋体" w:cs="宋体"/>
                <w:color w:val="auto"/>
                <w:sz w:val="22"/>
                <w:highlight w:val="none"/>
              </w:rPr>
            </w:pPr>
          </w:p>
        </w:tc>
        <w:tc>
          <w:tcPr>
            <w:tcW w:w="1885" w:type="dxa"/>
            <w:vAlign w:val="center"/>
          </w:tcPr>
          <w:p w14:paraId="0F9BFDDC">
            <w:pPr>
              <w:spacing w:line="360" w:lineRule="auto"/>
              <w:jc w:val="center"/>
              <w:rPr>
                <w:rFonts w:ascii="宋体" w:hAnsi="宋体" w:cs="宋体"/>
                <w:color w:val="auto"/>
                <w:sz w:val="22"/>
                <w:highlight w:val="none"/>
              </w:rPr>
            </w:pPr>
          </w:p>
        </w:tc>
        <w:tc>
          <w:tcPr>
            <w:tcW w:w="883" w:type="dxa"/>
            <w:vAlign w:val="center"/>
          </w:tcPr>
          <w:p w14:paraId="35EF016A">
            <w:pPr>
              <w:spacing w:line="360" w:lineRule="auto"/>
              <w:jc w:val="center"/>
              <w:rPr>
                <w:rFonts w:ascii="宋体" w:hAnsi="宋体" w:cs="宋体"/>
                <w:color w:val="auto"/>
                <w:sz w:val="22"/>
                <w:highlight w:val="none"/>
              </w:rPr>
            </w:pPr>
          </w:p>
        </w:tc>
        <w:tc>
          <w:tcPr>
            <w:tcW w:w="992" w:type="dxa"/>
            <w:vAlign w:val="center"/>
          </w:tcPr>
          <w:p w14:paraId="067CB61B">
            <w:pPr>
              <w:spacing w:line="360" w:lineRule="auto"/>
              <w:jc w:val="center"/>
              <w:rPr>
                <w:rFonts w:ascii="宋体" w:hAnsi="宋体" w:cs="宋体"/>
                <w:color w:val="auto"/>
                <w:sz w:val="22"/>
                <w:highlight w:val="none"/>
              </w:rPr>
            </w:pPr>
          </w:p>
        </w:tc>
        <w:tc>
          <w:tcPr>
            <w:tcW w:w="1276" w:type="dxa"/>
            <w:vAlign w:val="center"/>
          </w:tcPr>
          <w:p w14:paraId="4C95F5FF">
            <w:pPr>
              <w:spacing w:line="360" w:lineRule="auto"/>
              <w:jc w:val="center"/>
              <w:rPr>
                <w:rFonts w:ascii="宋体" w:hAnsi="宋体" w:cs="宋体"/>
                <w:color w:val="auto"/>
                <w:sz w:val="22"/>
                <w:highlight w:val="none"/>
              </w:rPr>
            </w:pPr>
          </w:p>
        </w:tc>
      </w:tr>
      <w:tr w14:paraId="204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0CA74B1">
            <w:pPr>
              <w:spacing w:line="360" w:lineRule="auto"/>
              <w:jc w:val="center"/>
              <w:rPr>
                <w:rFonts w:ascii="宋体" w:hAnsi="宋体" w:cs="宋体"/>
                <w:color w:val="auto"/>
                <w:sz w:val="22"/>
                <w:highlight w:val="none"/>
              </w:rPr>
            </w:pPr>
          </w:p>
        </w:tc>
        <w:tc>
          <w:tcPr>
            <w:tcW w:w="939" w:type="dxa"/>
            <w:vAlign w:val="center"/>
          </w:tcPr>
          <w:p w14:paraId="2C911C31">
            <w:pPr>
              <w:spacing w:line="360" w:lineRule="auto"/>
              <w:jc w:val="center"/>
              <w:rPr>
                <w:rFonts w:ascii="宋体" w:hAnsi="宋体" w:cs="宋体"/>
                <w:color w:val="auto"/>
                <w:sz w:val="22"/>
                <w:highlight w:val="none"/>
              </w:rPr>
            </w:pPr>
          </w:p>
        </w:tc>
        <w:tc>
          <w:tcPr>
            <w:tcW w:w="904" w:type="dxa"/>
            <w:vAlign w:val="center"/>
          </w:tcPr>
          <w:p w14:paraId="3E071710">
            <w:pPr>
              <w:spacing w:line="360" w:lineRule="auto"/>
              <w:jc w:val="center"/>
              <w:rPr>
                <w:rFonts w:ascii="宋体" w:hAnsi="宋体" w:cs="宋体"/>
                <w:color w:val="auto"/>
                <w:sz w:val="22"/>
                <w:highlight w:val="none"/>
              </w:rPr>
            </w:pPr>
          </w:p>
        </w:tc>
        <w:tc>
          <w:tcPr>
            <w:tcW w:w="1484" w:type="dxa"/>
            <w:vAlign w:val="center"/>
          </w:tcPr>
          <w:p w14:paraId="42754FF0">
            <w:pPr>
              <w:spacing w:line="360" w:lineRule="auto"/>
              <w:jc w:val="center"/>
              <w:rPr>
                <w:rFonts w:ascii="宋体" w:hAnsi="宋体" w:cs="宋体"/>
                <w:color w:val="auto"/>
                <w:sz w:val="22"/>
                <w:highlight w:val="none"/>
              </w:rPr>
            </w:pPr>
          </w:p>
        </w:tc>
        <w:tc>
          <w:tcPr>
            <w:tcW w:w="1885" w:type="dxa"/>
            <w:vAlign w:val="center"/>
          </w:tcPr>
          <w:p w14:paraId="7C772B2D">
            <w:pPr>
              <w:spacing w:line="360" w:lineRule="auto"/>
              <w:jc w:val="center"/>
              <w:rPr>
                <w:rFonts w:ascii="宋体" w:hAnsi="宋体" w:cs="宋体"/>
                <w:color w:val="auto"/>
                <w:sz w:val="22"/>
                <w:highlight w:val="none"/>
              </w:rPr>
            </w:pPr>
          </w:p>
        </w:tc>
        <w:tc>
          <w:tcPr>
            <w:tcW w:w="883" w:type="dxa"/>
            <w:vAlign w:val="center"/>
          </w:tcPr>
          <w:p w14:paraId="58579736">
            <w:pPr>
              <w:spacing w:line="360" w:lineRule="auto"/>
              <w:jc w:val="center"/>
              <w:rPr>
                <w:rFonts w:ascii="宋体" w:hAnsi="宋体" w:cs="宋体"/>
                <w:color w:val="auto"/>
                <w:sz w:val="22"/>
                <w:highlight w:val="none"/>
              </w:rPr>
            </w:pPr>
          </w:p>
        </w:tc>
        <w:tc>
          <w:tcPr>
            <w:tcW w:w="992" w:type="dxa"/>
            <w:vAlign w:val="center"/>
          </w:tcPr>
          <w:p w14:paraId="3386F0CC">
            <w:pPr>
              <w:spacing w:line="360" w:lineRule="auto"/>
              <w:jc w:val="center"/>
              <w:rPr>
                <w:rFonts w:ascii="宋体" w:hAnsi="宋体" w:cs="宋体"/>
                <w:color w:val="auto"/>
                <w:sz w:val="22"/>
                <w:highlight w:val="none"/>
              </w:rPr>
            </w:pPr>
          </w:p>
        </w:tc>
        <w:tc>
          <w:tcPr>
            <w:tcW w:w="1276" w:type="dxa"/>
            <w:vAlign w:val="center"/>
          </w:tcPr>
          <w:p w14:paraId="57BCB234">
            <w:pPr>
              <w:spacing w:line="360" w:lineRule="auto"/>
              <w:jc w:val="center"/>
              <w:rPr>
                <w:rFonts w:ascii="宋体" w:hAnsi="宋体" w:cs="宋体"/>
                <w:color w:val="auto"/>
                <w:sz w:val="22"/>
                <w:highlight w:val="none"/>
              </w:rPr>
            </w:pPr>
          </w:p>
        </w:tc>
      </w:tr>
      <w:tr w14:paraId="55A7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5FB82AB">
            <w:pPr>
              <w:spacing w:line="360" w:lineRule="auto"/>
              <w:jc w:val="center"/>
              <w:rPr>
                <w:rFonts w:ascii="宋体" w:hAnsi="宋体" w:cs="宋体"/>
                <w:color w:val="auto"/>
                <w:sz w:val="22"/>
                <w:highlight w:val="none"/>
              </w:rPr>
            </w:pPr>
          </w:p>
        </w:tc>
        <w:tc>
          <w:tcPr>
            <w:tcW w:w="939" w:type="dxa"/>
            <w:vAlign w:val="center"/>
          </w:tcPr>
          <w:p w14:paraId="764872B4">
            <w:pPr>
              <w:spacing w:line="360" w:lineRule="auto"/>
              <w:jc w:val="center"/>
              <w:rPr>
                <w:rFonts w:ascii="宋体" w:hAnsi="宋体" w:cs="宋体"/>
                <w:color w:val="auto"/>
                <w:sz w:val="22"/>
                <w:highlight w:val="none"/>
              </w:rPr>
            </w:pPr>
          </w:p>
        </w:tc>
        <w:tc>
          <w:tcPr>
            <w:tcW w:w="904" w:type="dxa"/>
            <w:vAlign w:val="center"/>
          </w:tcPr>
          <w:p w14:paraId="54E180DE">
            <w:pPr>
              <w:spacing w:line="360" w:lineRule="auto"/>
              <w:jc w:val="center"/>
              <w:rPr>
                <w:rFonts w:ascii="宋体" w:hAnsi="宋体" w:cs="宋体"/>
                <w:color w:val="auto"/>
                <w:sz w:val="22"/>
                <w:highlight w:val="none"/>
              </w:rPr>
            </w:pPr>
          </w:p>
        </w:tc>
        <w:tc>
          <w:tcPr>
            <w:tcW w:w="1484" w:type="dxa"/>
            <w:vAlign w:val="center"/>
          </w:tcPr>
          <w:p w14:paraId="6D918AF5">
            <w:pPr>
              <w:spacing w:line="360" w:lineRule="auto"/>
              <w:jc w:val="center"/>
              <w:rPr>
                <w:rFonts w:ascii="宋体" w:hAnsi="宋体" w:cs="宋体"/>
                <w:color w:val="auto"/>
                <w:sz w:val="22"/>
                <w:highlight w:val="none"/>
              </w:rPr>
            </w:pPr>
          </w:p>
        </w:tc>
        <w:tc>
          <w:tcPr>
            <w:tcW w:w="1885" w:type="dxa"/>
            <w:vAlign w:val="center"/>
          </w:tcPr>
          <w:p w14:paraId="19B45012">
            <w:pPr>
              <w:spacing w:line="360" w:lineRule="auto"/>
              <w:jc w:val="center"/>
              <w:rPr>
                <w:rFonts w:ascii="宋体" w:hAnsi="宋体" w:cs="宋体"/>
                <w:color w:val="auto"/>
                <w:sz w:val="22"/>
                <w:highlight w:val="none"/>
              </w:rPr>
            </w:pPr>
          </w:p>
        </w:tc>
        <w:tc>
          <w:tcPr>
            <w:tcW w:w="883" w:type="dxa"/>
            <w:vAlign w:val="center"/>
          </w:tcPr>
          <w:p w14:paraId="5DBDB852">
            <w:pPr>
              <w:spacing w:line="360" w:lineRule="auto"/>
              <w:jc w:val="center"/>
              <w:rPr>
                <w:rFonts w:ascii="宋体" w:hAnsi="宋体" w:cs="宋体"/>
                <w:color w:val="auto"/>
                <w:sz w:val="22"/>
                <w:highlight w:val="none"/>
              </w:rPr>
            </w:pPr>
          </w:p>
        </w:tc>
        <w:tc>
          <w:tcPr>
            <w:tcW w:w="992" w:type="dxa"/>
            <w:vAlign w:val="center"/>
          </w:tcPr>
          <w:p w14:paraId="53E47F58">
            <w:pPr>
              <w:spacing w:line="360" w:lineRule="auto"/>
              <w:jc w:val="center"/>
              <w:rPr>
                <w:rFonts w:ascii="宋体" w:hAnsi="宋体" w:cs="宋体"/>
                <w:color w:val="auto"/>
                <w:sz w:val="22"/>
                <w:highlight w:val="none"/>
              </w:rPr>
            </w:pPr>
          </w:p>
        </w:tc>
        <w:tc>
          <w:tcPr>
            <w:tcW w:w="1276" w:type="dxa"/>
            <w:vAlign w:val="center"/>
          </w:tcPr>
          <w:p w14:paraId="516CBFAC">
            <w:pPr>
              <w:spacing w:line="360" w:lineRule="auto"/>
              <w:jc w:val="center"/>
              <w:rPr>
                <w:rFonts w:ascii="宋体" w:hAnsi="宋体" w:cs="宋体"/>
                <w:color w:val="auto"/>
                <w:sz w:val="22"/>
                <w:highlight w:val="none"/>
              </w:rPr>
            </w:pPr>
          </w:p>
        </w:tc>
      </w:tr>
      <w:tr w14:paraId="0C9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87B376D">
            <w:pPr>
              <w:spacing w:line="360" w:lineRule="auto"/>
              <w:jc w:val="center"/>
              <w:rPr>
                <w:rFonts w:ascii="宋体" w:hAnsi="宋体" w:cs="宋体"/>
                <w:color w:val="auto"/>
                <w:sz w:val="22"/>
                <w:highlight w:val="none"/>
              </w:rPr>
            </w:pPr>
          </w:p>
        </w:tc>
        <w:tc>
          <w:tcPr>
            <w:tcW w:w="939" w:type="dxa"/>
            <w:vAlign w:val="center"/>
          </w:tcPr>
          <w:p w14:paraId="570F26C9">
            <w:pPr>
              <w:spacing w:line="360" w:lineRule="auto"/>
              <w:jc w:val="center"/>
              <w:rPr>
                <w:rFonts w:ascii="宋体" w:hAnsi="宋体" w:cs="宋体"/>
                <w:color w:val="auto"/>
                <w:sz w:val="22"/>
                <w:highlight w:val="none"/>
              </w:rPr>
            </w:pPr>
          </w:p>
        </w:tc>
        <w:tc>
          <w:tcPr>
            <w:tcW w:w="904" w:type="dxa"/>
            <w:vAlign w:val="center"/>
          </w:tcPr>
          <w:p w14:paraId="3DF53872">
            <w:pPr>
              <w:spacing w:line="360" w:lineRule="auto"/>
              <w:jc w:val="center"/>
              <w:rPr>
                <w:rFonts w:ascii="宋体" w:hAnsi="宋体" w:cs="宋体"/>
                <w:color w:val="auto"/>
                <w:sz w:val="22"/>
                <w:highlight w:val="none"/>
              </w:rPr>
            </w:pPr>
          </w:p>
        </w:tc>
        <w:tc>
          <w:tcPr>
            <w:tcW w:w="1484" w:type="dxa"/>
            <w:vAlign w:val="center"/>
          </w:tcPr>
          <w:p w14:paraId="3D3D3860">
            <w:pPr>
              <w:spacing w:line="360" w:lineRule="auto"/>
              <w:jc w:val="center"/>
              <w:rPr>
                <w:rFonts w:ascii="宋体" w:hAnsi="宋体" w:cs="宋体"/>
                <w:color w:val="auto"/>
                <w:sz w:val="22"/>
                <w:highlight w:val="none"/>
              </w:rPr>
            </w:pPr>
          </w:p>
        </w:tc>
        <w:tc>
          <w:tcPr>
            <w:tcW w:w="1885" w:type="dxa"/>
            <w:vAlign w:val="center"/>
          </w:tcPr>
          <w:p w14:paraId="351CE40E">
            <w:pPr>
              <w:spacing w:line="360" w:lineRule="auto"/>
              <w:jc w:val="center"/>
              <w:rPr>
                <w:rFonts w:ascii="宋体" w:hAnsi="宋体" w:cs="宋体"/>
                <w:color w:val="auto"/>
                <w:sz w:val="22"/>
                <w:highlight w:val="none"/>
              </w:rPr>
            </w:pPr>
          </w:p>
        </w:tc>
        <w:tc>
          <w:tcPr>
            <w:tcW w:w="883" w:type="dxa"/>
            <w:vAlign w:val="center"/>
          </w:tcPr>
          <w:p w14:paraId="64D6ECD8">
            <w:pPr>
              <w:spacing w:line="360" w:lineRule="auto"/>
              <w:jc w:val="center"/>
              <w:rPr>
                <w:rFonts w:ascii="宋体" w:hAnsi="宋体" w:cs="宋体"/>
                <w:color w:val="auto"/>
                <w:sz w:val="22"/>
                <w:highlight w:val="none"/>
              </w:rPr>
            </w:pPr>
          </w:p>
        </w:tc>
        <w:tc>
          <w:tcPr>
            <w:tcW w:w="992" w:type="dxa"/>
            <w:vAlign w:val="center"/>
          </w:tcPr>
          <w:p w14:paraId="1A059115">
            <w:pPr>
              <w:spacing w:line="360" w:lineRule="auto"/>
              <w:jc w:val="center"/>
              <w:rPr>
                <w:rFonts w:ascii="宋体" w:hAnsi="宋体" w:cs="宋体"/>
                <w:color w:val="auto"/>
                <w:sz w:val="22"/>
                <w:highlight w:val="none"/>
              </w:rPr>
            </w:pPr>
          </w:p>
        </w:tc>
        <w:tc>
          <w:tcPr>
            <w:tcW w:w="1276" w:type="dxa"/>
            <w:vAlign w:val="center"/>
          </w:tcPr>
          <w:p w14:paraId="2D2DE8F0">
            <w:pPr>
              <w:spacing w:line="360" w:lineRule="auto"/>
              <w:jc w:val="center"/>
              <w:rPr>
                <w:rFonts w:ascii="宋体" w:hAnsi="宋体" w:cs="宋体"/>
                <w:color w:val="auto"/>
                <w:sz w:val="22"/>
                <w:highlight w:val="none"/>
              </w:rPr>
            </w:pPr>
          </w:p>
        </w:tc>
      </w:tr>
      <w:tr w14:paraId="2AE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9FAFAC0">
            <w:pPr>
              <w:spacing w:line="360" w:lineRule="auto"/>
              <w:jc w:val="center"/>
              <w:rPr>
                <w:rFonts w:ascii="宋体" w:hAnsi="宋体" w:cs="宋体"/>
                <w:color w:val="auto"/>
                <w:sz w:val="22"/>
                <w:highlight w:val="none"/>
              </w:rPr>
            </w:pPr>
          </w:p>
        </w:tc>
        <w:tc>
          <w:tcPr>
            <w:tcW w:w="939" w:type="dxa"/>
            <w:vAlign w:val="center"/>
          </w:tcPr>
          <w:p w14:paraId="45294FD2">
            <w:pPr>
              <w:spacing w:line="360" w:lineRule="auto"/>
              <w:jc w:val="center"/>
              <w:rPr>
                <w:rFonts w:ascii="宋体" w:hAnsi="宋体" w:cs="宋体"/>
                <w:color w:val="auto"/>
                <w:sz w:val="22"/>
                <w:highlight w:val="none"/>
              </w:rPr>
            </w:pPr>
          </w:p>
        </w:tc>
        <w:tc>
          <w:tcPr>
            <w:tcW w:w="904" w:type="dxa"/>
            <w:vAlign w:val="center"/>
          </w:tcPr>
          <w:p w14:paraId="6E0BDF62">
            <w:pPr>
              <w:spacing w:line="360" w:lineRule="auto"/>
              <w:jc w:val="center"/>
              <w:rPr>
                <w:rFonts w:ascii="宋体" w:hAnsi="宋体" w:cs="宋体"/>
                <w:color w:val="auto"/>
                <w:sz w:val="22"/>
                <w:highlight w:val="none"/>
              </w:rPr>
            </w:pPr>
          </w:p>
        </w:tc>
        <w:tc>
          <w:tcPr>
            <w:tcW w:w="1484" w:type="dxa"/>
            <w:vAlign w:val="center"/>
          </w:tcPr>
          <w:p w14:paraId="596E9FDC">
            <w:pPr>
              <w:spacing w:line="360" w:lineRule="auto"/>
              <w:jc w:val="center"/>
              <w:rPr>
                <w:rFonts w:ascii="宋体" w:hAnsi="宋体" w:cs="宋体"/>
                <w:color w:val="auto"/>
                <w:sz w:val="22"/>
                <w:highlight w:val="none"/>
              </w:rPr>
            </w:pPr>
          </w:p>
        </w:tc>
        <w:tc>
          <w:tcPr>
            <w:tcW w:w="1885" w:type="dxa"/>
            <w:vAlign w:val="center"/>
          </w:tcPr>
          <w:p w14:paraId="09D3EABE">
            <w:pPr>
              <w:spacing w:line="360" w:lineRule="auto"/>
              <w:jc w:val="center"/>
              <w:rPr>
                <w:rFonts w:ascii="宋体" w:hAnsi="宋体" w:cs="宋体"/>
                <w:color w:val="auto"/>
                <w:sz w:val="22"/>
                <w:highlight w:val="none"/>
              </w:rPr>
            </w:pPr>
          </w:p>
        </w:tc>
        <w:tc>
          <w:tcPr>
            <w:tcW w:w="883" w:type="dxa"/>
            <w:vAlign w:val="center"/>
          </w:tcPr>
          <w:p w14:paraId="73861734">
            <w:pPr>
              <w:spacing w:line="360" w:lineRule="auto"/>
              <w:jc w:val="center"/>
              <w:rPr>
                <w:rFonts w:ascii="宋体" w:hAnsi="宋体" w:cs="宋体"/>
                <w:color w:val="auto"/>
                <w:sz w:val="22"/>
                <w:highlight w:val="none"/>
              </w:rPr>
            </w:pPr>
          </w:p>
        </w:tc>
        <w:tc>
          <w:tcPr>
            <w:tcW w:w="992" w:type="dxa"/>
            <w:vAlign w:val="center"/>
          </w:tcPr>
          <w:p w14:paraId="116E8E30">
            <w:pPr>
              <w:spacing w:line="360" w:lineRule="auto"/>
              <w:jc w:val="center"/>
              <w:rPr>
                <w:rFonts w:ascii="宋体" w:hAnsi="宋体" w:cs="宋体"/>
                <w:color w:val="auto"/>
                <w:sz w:val="22"/>
                <w:highlight w:val="none"/>
              </w:rPr>
            </w:pPr>
          </w:p>
        </w:tc>
        <w:tc>
          <w:tcPr>
            <w:tcW w:w="1276" w:type="dxa"/>
            <w:vAlign w:val="center"/>
          </w:tcPr>
          <w:p w14:paraId="037CA0C8">
            <w:pPr>
              <w:spacing w:line="360" w:lineRule="auto"/>
              <w:jc w:val="center"/>
              <w:rPr>
                <w:rFonts w:ascii="宋体" w:hAnsi="宋体" w:cs="宋体"/>
                <w:color w:val="auto"/>
                <w:sz w:val="22"/>
                <w:highlight w:val="none"/>
              </w:rPr>
            </w:pPr>
          </w:p>
        </w:tc>
      </w:tr>
      <w:tr w14:paraId="20EF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05446CC5">
            <w:pPr>
              <w:spacing w:line="360" w:lineRule="auto"/>
              <w:jc w:val="center"/>
              <w:rPr>
                <w:rFonts w:ascii="宋体" w:hAnsi="宋体" w:cs="宋体"/>
                <w:color w:val="auto"/>
                <w:sz w:val="22"/>
                <w:highlight w:val="none"/>
              </w:rPr>
            </w:pPr>
          </w:p>
        </w:tc>
        <w:tc>
          <w:tcPr>
            <w:tcW w:w="939" w:type="dxa"/>
            <w:vAlign w:val="center"/>
          </w:tcPr>
          <w:p w14:paraId="5025B687">
            <w:pPr>
              <w:spacing w:line="360" w:lineRule="auto"/>
              <w:jc w:val="center"/>
              <w:rPr>
                <w:rFonts w:ascii="宋体" w:hAnsi="宋体" w:cs="宋体"/>
                <w:color w:val="auto"/>
                <w:sz w:val="22"/>
                <w:highlight w:val="none"/>
              </w:rPr>
            </w:pPr>
          </w:p>
        </w:tc>
        <w:tc>
          <w:tcPr>
            <w:tcW w:w="904" w:type="dxa"/>
            <w:vAlign w:val="center"/>
          </w:tcPr>
          <w:p w14:paraId="53E743D5">
            <w:pPr>
              <w:spacing w:line="360" w:lineRule="auto"/>
              <w:jc w:val="center"/>
              <w:rPr>
                <w:rFonts w:ascii="宋体" w:hAnsi="宋体" w:cs="宋体"/>
                <w:color w:val="auto"/>
                <w:sz w:val="22"/>
                <w:highlight w:val="none"/>
              </w:rPr>
            </w:pPr>
          </w:p>
        </w:tc>
        <w:tc>
          <w:tcPr>
            <w:tcW w:w="1484" w:type="dxa"/>
            <w:vAlign w:val="center"/>
          </w:tcPr>
          <w:p w14:paraId="69854F01">
            <w:pPr>
              <w:spacing w:line="360" w:lineRule="auto"/>
              <w:jc w:val="center"/>
              <w:rPr>
                <w:rFonts w:ascii="宋体" w:hAnsi="宋体" w:cs="宋体"/>
                <w:color w:val="auto"/>
                <w:sz w:val="22"/>
                <w:highlight w:val="none"/>
              </w:rPr>
            </w:pPr>
          </w:p>
        </w:tc>
        <w:tc>
          <w:tcPr>
            <w:tcW w:w="1885" w:type="dxa"/>
            <w:vAlign w:val="center"/>
          </w:tcPr>
          <w:p w14:paraId="76F0D38C">
            <w:pPr>
              <w:spacing w:line="360" w:lineRule="auto"/>
              <w:jc w:val="center"/>
              <w:rPr>
                <w:rFonts w:ascii="宋体" w:hAnsi="宋体" w:cs="宋体"/>
                <w:color w:val="auto"/>
                <w:sz w:val="22"/>
                <w:highlight w:val="none"/>
              </w:rPr>
            </w:pPr>
          </w:p>
        </w:tc>
        <w:tc>
          <w:tcPr>
            <w:tcW w:w="883" w:type="dxa"/>
            <w:vAlign w:val="center"/>
          </w:tcPr>
          <w:p w14:paraId="7F2AEED7">
            <w:pPr>
              <w:spacing w:line="360" w:lineRule="auto"/>
              <w:jc w:val="center"/>
              <w:rPr>
                <w:rFonts w:ascii="宋体" w:hAnsi="宋体" w:cs="宋体"/>
                <w:color w:val="auto"/>
                <w:sz w:val="22"/>
                <w:highlight w:val="none"/>
              </w:rPr>
            </w:pPr>
          </w:p>
        </w:tc>
        <w:tc>
          <w:tcPr>
            <w:tcW w:w="992" w:type="dxa"/>
            <w:vAlign w:val="center"/>
          </w:tcPr>
          <w:p w14:paraId="362B6BC0">
            <w:pPr>
              <w:spacing w:line="360" w:lineRule="auto"/>
              <w:jc w:val="center"/>
              <w:rPr>
                <w:rFonts w:ascii="宋体" w:hAnsi="宋体" w:cs="宋体"/>
                <w:color w:val="auto"/>
                <w:sz w:val="22"/>
                <w:highlight w:val="none"/>
              </w:rPr>
            </w:pPr>
          </w:p>
        </w:tc>
        <w:tc>
          <w:tcPr>
            <w:tcW w:w="1276" w:type="dxa"/>
            <w:vAlign w:val="center"/>
          </w:tcPr>
          <w:p w14:paraId="27CFFF16">
            <w:pPr>
              <w:spacing w:line="360" w:lineRule="auto"/>
              <w:jc w:val="center"/>
              <w:rPr>
                <w:rFonts w:ascii="宋体" w:hAnsi="宋体" w:cs="宋体"/>
                <w:color w:val="auto"/>
                <w:sz w:val="22"/>
                <w:highlight w:val="none"/>
              </w:rPr>
            </w:pPr>
          </w:p>
        </w:tc>
      </w:tr>
      <w:tr w14:paraId="3AE4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4003C11">
            <w:pPr>
              <w:spacing w:line="360" w:lineRule="auto"/>
              <w:jc w:val="center"/>
              <w:rPr>
                <w:rFonts w:ascii="宋体" w:hAnsi="宋体" w:cs="宋体"/>
                <w:color w:val="auto"/>
                <w:sz w:val="22"/>
                <w:highlight w:val="none"/>
              </w:rPr>
            </w:pPr>
          </w:p>
        </w:tc>
        <w:tc>
          <w:tcPr>
            <w:tcW w:w="939" w:type="dxa"/>
            <w:vAlign w:val="center"/>
          </w:tcPr>
          <w:p w14:paraId="311E1BB0">
            <w:pPr>
              <w:spacing w:line="360" w:lineRule="auto"/>
              <w:jc w:val="center"/>
              <w:rPr>
                <w:rFonts w:ascii="宋体" w:hAnsi="宋体" w:cs="宋体"/>
                <w:color w:val="auto"/>
                <w:sz w:val="22"/>
                <w:highlight w:val="none"/>
              </w:rPr>
            </w:pPr>
          </w:p>
        </w:tc>
        <w:tc>
          <w:tcPr>
            <w:tcW w:w="904" w:type="dxa"/>
            <w:vAlign w:val="center"/>
          </w:tcPr>
          <w:p w14:paraId="08D6E5EF">
            <w:pPr>
              <w:spacing w:line="360" w:lineRule="auto"/>
              <w:jc w:val="center"/>
              <w:rPr>
                <w:rFonts w:ascii="宋体" w:hAnsi="宋体" w:cs="宋体"/>
                <w:color w:val="auto"/>
                <w:sz w:val="22"/>
                <w:highlight w:val="none"/>
              </w:rPr>
            </w:pPr>
          </w:p>
        </w:tc>
        <w:tc>
          <w:tcPr>
            <w:tcW w:w="1484" w:type="dxa"/>
            <w:vAlign w:val="center"/>
          </w:tcPr>
          <w:p w14:paraId="0D2702CB">
            <w:pPr>
              <w:spacing w:line="360" w:lineRule="auto"/>
              <w:jc w:val="center"/>
              <w:rPr>
                <w:rFonts w:ascii="宋体" w:hAnsi="宋体" w:cs="宋体"/>
                <w:color w:val="auto"/>
                <w:sz w:val="22"/>
                <w:highlight w:val="none"/>
              </w:rPr>
            </w:pPr>
          </w:p>
        </w:tc>
        <w:tc>
          <w:tcPr>
            <w:tcW w:w="1885" w:type="dxa"/>
            <w:vAlign w:val="center"/>
          </w:tcPr>
          <w:p w14:paraId="4462DAD5">
            <w:pPr>
              <w:spacing w:line="360" w:lineRule="auto"/>
              <w:jc w:val="center"/>
              <w:rPr>
                <w:rFonts w:ascii="宋体" w:hAnsi="宋体" w:cs="宋体"/>
                <w:color w:val="auto"/>
                <w:sz w:val="22"/>
                <w:highlight w:val="none"/>
              </w:rPr>
            </w:pPr>
          </w:p>
        </w:tc>
        <w:tc>
          <w:tcPr>
            <w:tcW w:w="883" w:type="dxa"/>
            <w:vAlign w:val="center"/>
          </w:tcPr>
          <w:p w14:paraId="321EBD78">
            <w:pPr>
              <w:spacing w:line="360" w:lineRule="auto"/>
              <w:jc w:val="center"/>
              <w:rPr>
                <w:rFonts w:ascii="宋体" w:hAnsi="宋体" w:cs="宋体"/>
                <w:color w:val="auto"/>
                <w:sz w:val="22"/>
                <w:highlight w:val="none"/>
              </w:rPr>
            </w:pPr>
          </w:p>
        </w:tc>
        <w:tc>
          <w:tcPr>
            <w:tcW w:w="992" w:type="dxa"/>
            <w:vAlign w:val="center"/>
          </w:tcPr>
          <w:p w14:paraId="4C853272">
            <w:pPr>
              <w:spacing w:line="360" w:lineRule="auto"/>
              <w:jc w:val="center"/>
              <w:rPr>
                <w:rFonts w:ascii="宋体" w:hAnsi="宋体" w:cs="宋体"/>
                <w:color w:val="auto"/>
                <w:sz w:val="22"/>
                <w:highlight w:val="none"/>
              </w:rPr>
            </w:pPr>
          </w:p>
        </w:tc>
        <w:tc>
          <w:tcPr>
            <w:tcW w:w="1276" w:type="dxa"/>
            <w:vAlign w:val="center"/>
          </w:tcPr>
          <w:p w14:paraId="48BC7E97">
            <w:pPr>
              <w:spacing w:line="360" w:lineRule="auto"/>
              <w:jc w:val="center"/>
              <w:rPr>
                <w:rFonts w:ascii="宋体" w:hAnsi="宋体" w:cs="宋体"/>
                <w:color w:val="auto"/>
                <w:sz w:val="22"/>
                <w:highlight w:val="none"/>
              </w:rPr>
            </w:pPr>
          </w:p>
        </w:tc>
      </w:tr>
      <w:tr w14:paraId="40EF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D7637BC">
            <w:pPr>
              <w:spacing w:line="360" w:lineRule="auto"/>
              <w:jc w:val="center"/>
              <w:rPr>
                <w:rFonts w:ascii="宋体" w:hAnsi="宋体" w:cs="宋体"/>
                <w:color w:val="auto"/>
                <w:sz w:val="22"/>
                <w:highlight w:val="none"/>
              </w:rPr>
            </w:pPr>
          </w:p>
        </w:tc>
        <w:tc>
          <w:tcPr>
            <w:tcW w:w="939" w:type="dxa"/>
            <w:vAlign w:val="center"/>
          </w:tcPr>
          <w:p w14:paraId="6F6A968F">
            <w:pPr>
              <w:spacing w:line="360" w:lineRule="auto"/>
              <w:jc w:val="center"/>
              <w:rPr>
                <w:rFonts w:ascii="宋体" w:hAnsi="宋体" w:cs="宋体"/>
                <w:color w:val="auto"/>
                <w:sz w:val="22"/>
                <w:highlight w:val="none"/>
              </w:rPr>
            </w:pPr>
          </w:p>
        </w:tc>
        <w:tc>
          <w:tcPr>
            <w:tcW w:w="904" w:type="dxa"/>
            <w:vAlign w:val="center"/>
          </w:tcPr>
          <w:p w14:paraId="7653E342">
            <w:pPr>
              <w:spacing w:line="360" w:lineRule="auto"/>
              <w:jc w:val="center"/>
              <w:rPr>
                <w:rFonts w:ascii="宋体" w:hAnsi="宋体" w:cs="宋体"/>
                <w:color w:val="auto"/>
                <w:sz w:val="22"/>
                <w:highlight w:val="none"/>
              </w:rPr>
            </w:pPr>
          </w:p>
        </w:tc>
        <w:tc>
          <w:tcPr>
            <w:tcW w:w="1484" w:type="dxa"/>
            <w:vAlign w:val="center"/>
          </w:tcPr>
          <w:p w14:paraId="3BF715B9">
            <w:pPr>
              <w:spacing w:line="360" w:lineRule="auto"/>
              <w:jc w:val="center"/>
              <w:rPr>
                <w:rFonts w:ascii="宋体" w:hAnsi="宋体" w:cs="宋体"/>
                <w:color w:val="auto"/>
                <w:sz w:val="22"/>
                <w:highlight w:val="none"/>
              </w:rPr>
            </w:pPr>
          </w:p>
        </w:tc>
        <w:tc>
          <w:tcPr>
            <w:tcW w:w="1885" w:type="dxa"/>
            <w:vAlign w:val="center"/>
          </w:tcPr>
          <w:p w14:paraId="483B19CD">
            <w:pPr>
              <w:spacing w:line="360" w:lineRule="auto"/>
              <w:jc w:val="center"/>
              <w:rPr>
                <w:rFonts w:ascii="宋体" w:hAnsi="宋体" w:cs="宋体"/>
                <w:color w:val="auto"/>
                <w:sz w:val="22"/>
                <w:highlight w:val="none"/>
              </w:rPr>
            </w:pPr>
          </w:p>
        </w:tc>
        <w:tc>
          <w:tcPr>
            <w:tcW w:w="883" w:type="dxa"/>
            <w:vAlign w:val="center"/>
          </w:tcPr>
          <w:p w14:paraId="5D62EC0E">
            <w:pPr>
              <w:spacing w:line="360" w:lineRule="auto"/>
              <w:jc w:val="center"/>
              <w:rPr>
                <w:rFonts w:ascii="宋体" w:hAnsi="宋体" w:cs="宋体"/>
                <w:color w:val="auto"/>
                <w:sz w:val="22"/>
                <w:highlight w:val="none"/>
              </w:rPr>
            </w:pPr>
          </w:p>
        </w:tc>
        <w:tc>
          <w:tcPr>
            <w:tcW w:w="992" w:type="dxa"/>
            <w:vAlign w:val="center"/>
          </w:tcPr>
          <w:p w14:paraId="01DFAB33">
            <w:pPr>
              <w:spacing w:line="360" w:lineRule="auto"/>
              <w:jc w:val="center"/>
              <w:rPr>
                <w:rFonts w:ascii="宋体" w:hAnsi="宋体" w:cs="宋体"/>
                <w:color w:val="auto"/>
                <w:sz w:val="22"/>
                <w:highlight w:val="none"/>
              </w:rPr>
            </w:pPr>
          </w:p>
        </w:tc>
        <w:tc>
          <w:tcPr>
            <w:tcW w:w="1276" w:type="dxa"/>
            <w:vAlign w:val="center"/>
          </w:tcPr>
          <w:p w14:paraId="7715BB76">
            <w:pPr>
              <w:spacing w:line="360" w:lineRule="auto"/>
              <w:jc w:val="center"/>
              <w:rPr>
                <w:rFonts w:ascii="宋体" w:hAnsi="宋体" w:cs="宋体"/>
                <w:color w:val="auto"/>
                <w:sz w:val="22"/>
                <w:highlight w:val="none"/>
              </w:rPr>
            </w:pPr>
          </w:p>
        </w:tc>
      </w:tr>
      <w:tr w14:paraId="7105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50ADE679">
            <w:pPr>
              <w:spacing w:line="360" w:lineRule="auto"/>
              <w:jc w:val="center"/>
              <w:rPr>
                <w:rFonts w:ascii="宋体" w:hAnsi="宋体" w:cs="宋体"/>
                <w:color w:val="auto"/>
                <w:sz w:val="22"/>
                <w:highlight w:val="none"/>
              </w:rPr>
            </w:pPr>
          </w:p>
        </w:tc>
        <w:tc>
          <w:tcPr>
            <w:tcW w:w="939" w:type="dxa"/>
            <w:vAlign w:val="center"/>
          </w:tcPr>
          <w:p w14:paraId="6940B063">
            <w:pPr>
              <w:spacing w:line="360" w:lineRule="auto"/>
              <w:jc w:val="center"/>
              <w:rPr>
                <w:rFonts w:ascii="宋体" w:hAnsi="宋体" w:cs="宋体"/>
                <w:color w:val="auto"/>
                <w:sz w:val="22"/>
                <w:highlight w:val="none"/>
              </w:rPr>
            </w:pPr>
          </w:p>
        </w:tc>
        <w:tc>
          <w:tcPr>
            <w:tcW w:w="904" w:type="dxa"/>
            <w:vAlign w:val="center"/>
          </w:tcPr>
          <w:p w14:paraId="3E7182E2">
            <w:pPr>
              <w:spacing w:line="360" w:lineRule="auto"/>
              <w:jc w:val="center"/>
              <w:rPr>
                <w:rFonts w:ascii="宋体" w:hAnsi="宋体" w:cs="宋体"/>
                <w:color w:val="auto"/>
                <w:sz w:val="22"/>
                <w:highlight w:val="none"/>
              </w:rPr>
            </w:pPr>
          </w:p>
        </w:tc>
        <w:tc>
          <w:tcPr>
            <w:tcW w:w="1484" w:type="dxa"/>
            <w:vAlign w:val="center"/>
          </w:tcPr>
          <w:p w14:paraId="26426B0D">
            <w:pPr>
              <w:spacing w:line="360" w:lineRule="auto"/>
              <w:jc w:val="center"/>
              <w:rPr>
                <w:rFonts w:ascii="宋体" w:hAnsi="宋体" w:cs="宋体"/>
                <w:color w:val="auto"/>
                <w:sz w:val="22"/>
                <w:highlight w:val="none"/>
              </w:rPr>
            </w:pPr>
          </w:p>
        </w:tc>
        <w:tc>
          <w:tcPr>
            <w:tcW w:w="1885" w:type="dxa"/>
            <w:vAlign w:val="center"/>
          </w:tcPr>
          <w:p w14:paraId="02E4EF59">
            <w:pPr>
              <w:spacing w:line="360" w:lineRule="auto"/>
              <w:jc w:val="center"/>
              <w:rPr>
                <w:rFonts w:ascii="宋体" w:hAnsi="宋体" w:cs="宋体"/>
                <w:color w:val="auto"/>
                <w:sz w:val="22"/>
                <w:highlight w:val="none"/>
              </w:rPr>
            </w:pPr>
          </w:p>
        </w:tc>
        <w:tc>
          <w:tcPr>
            <w:tcW w:w="883" w:type="dxa"/>
            <w:vAlign w:val="center"/>
          </w:tcPr>
          <w:p w14:paraId="24F89B91">
            <w:pPr>
              <w:spacing w:line="360" w:lineRule="auto"/>
              <w:jc w:val="center"/>
              <w:rPr>
                <w:rFonts w:ascii="宋体" w:hAnsi="宋体" w:cs="宋体"/>
                <w:color w:val="auto"/>
                <w:sz w:val="22"/>
                <w:highlight w:val="none"/>
              </w:rPr>
            </w:pPr>
          </w:p>
        </w:tc>
        <w:tc>
          <w:tcPr>
            <w:tcW w:w="992" w:type="dxa"/>
            <w:vAlign w:val="center"/>
          </w:tcPr>
          <w:p w14:paraId="67382B8A">
            <w:pPr>
              <w:spacing w:line="360" w:lineRule="auto"/>
              <w:jc w:val="center"/>
              <w:rPr>
                <w:rFonts w:ascii="宋体" w:hAnsi="宋体" w:cs="宋体"/>
                <w:color w:val="auto"/>
                <w:sz w:val="22"/>
                <w:highlight w:val="none"/>
              </w:rPr>
            </w:pPr>
          </w:p>
        </w:tc>
        <w:tc>
          <w:tcPr>
            <w:tcW w:w="1276" w:type="dxa"/>
            <w:vAlign w:val="center"/>
          </w:tcPr>
          <w:p w14:paraId="22BE7C8C">
            <w:pPr>
              <w:spacing w:line="360" w:lineRule="auto"/>
              <w:jc w:val="center"/>
              <w:rPr>
                <w:rFonts w:ascii="宋体" w:hAnsi="宋体" w:cs="宋体"/>
                <w:color w:val="auto"/>
                <w:sz w:val="22"/>
                <w:highlight w:val="none"/>
              </w:rPr>
            </w:pPr>
          </w:p>
        </w:tc>
      </w:tr>
      <w:bookmarkEnd w:id="228"/>
    </w:tbl>
    <w:p w14:paraId="43D56601">
      <w:pPr>
        <w:spacing w:line="360" w:lineRule="auto"/>
        <w:ind w:firstLine="480" w:firstLineChars="200"/>
        <w:rPr>
          <w:rFonts w:ascii="宋体" w:hAnsi="宋体" w:cs="宋体"/>
          <w:color w:val="auto"/>
          <w:sz w:val="24"/>
          <w:highlight w:val="none"/>
        </w:rPr>
      </w:pPr>
    </w:p>
    <w:p w14:paraId="56A59EC8">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739E0752">
      <w:pPr>
        <w:spacing w:line="360" w:lineRule="auto"/>
        <w:jc w:val="left"/>
        <w:rPr>
          <w:rFonts w:ascii="宋体" w:hAnsi="宋体" w:cs="宋体"/>
          <w:color w:val="auto"/>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5545B387">
      <w:pPr>
        <w:spacing w:line="360" w:lineRule="auto"/>
        <w:jc w:val="left"/>
        <w:rPr>
          <w:rFonts w:ascii="宋体" w:hAnsi="宋体" w:cs="宋体"/>
          <w:color w:val="auto"/>
          <w:szCs w:val="24"/>
          <w:highlight w:val="none"/>
        </w:rPr>
      </w:pPr>
      <w:r>
        <w:rPr>
          <w:rFonts w:hint="eastAsia" w:ascii="宋体" w:hAnsi="宋体" w:cs="宋体"/>
          <w:color w:val="auto"/>
          <w:highlight w:val="none"/>
        </w:rPr>
        <w:br w:type="page"/>
      </w:r>
    </w:p>
    <w:p w14:paraId="208D8149">
      <w:pPr>
        <w:pStyle w:val="3"/>
        <w:spacing w:before="0" w:after="0" w:line="360" w:lineRule="auto"/>
        <w:ind w:firstLine="119"/>
        <w:jc w:val="center"/>
        <w:rPr>
          <w:rFonts w:ascii="宋体" w:hAnsi="宋体" w:eastAsia="宋体" w:cs="宋体"/>
          <w:color w:val="auto"/>
          <w:sz w:val="32"/>
          <w:highlight w:val="none"/>
        </w:rPr>
      </w:pPr>
      <w:bookmarkStart w:id="252" w:name="_Toc16194"/>
      <w:r>
        <w:rPr>
          <w:rFonts w:hint="eastAsia" w:ascii="宋体" w:hAnsi="宋体" w:eastAsia="宋体" w:cs="宋体"/>
          <w:color w:val="auto"/>
          <w:sz w:val="32"/>
          <w:highlight w:val="none"/>
        </w:rPr>
        <w:t>八、拟投入本项目的人员简历表</w:t>
      </w:r>
      <w:bookmarkEnd w:id="252"/>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4D0C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367" w:type="dxa"/>
            <w:gridSpan w:val="2"/>
            <w:vAlign w:val="center"/>
          </w:tcPr>
          <w:p w14:paraId="64326D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95" w:type="dxa"/>
            <w:vAlign w:val="center"/>
          </w:tcPr>
          <w:p w14:paraId="35CFBD5E">
            <w:pPr>
              <w:snapToGrid w:val="0"/>
              <w:spacing w:line="360" w:lineRule="auto"/>
              <w:jc w:val="center"/>
              <w:rPr>
                <w:rFonts w:ascii="宋体" w:hAnsi="宋体" w:cs="宋体"/>
                <w:color w:val="auto"/>
                <w:sz w:val="24"/>
                <w:highlight w:val="none"/>
              </w:rPr>
            </w:pPr>
          </w:p>
        </w:tc>
        <w:tc>
          <w:tcPr>
            <w:tcW w:w="1044" w:type="dxa"/>
            <w:gridSpan w:val="2"/>
            <w:vAlign w:val="center"/>
          </w:tcPr>
          <w:p w14:paraId="2B30A3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364" w:type="dxa"/>
            <w:gridSpan w:val="2"/>
            <w:vAlign w:val="center"/>
          </w:tcPr>
          <w:p w14:paraId="4F444CBE">
            <w:pPr>
              <w:snapToGrid w:val="0"/>
              <w:spacing w:line="360" w:lineRule="auto"/>
              <w:jc w:val="center"/>
              <w:rPr>
                <w:rFonts w:ascii="宋体" w:hAnsi="宋体" w:cs="宋体"/>
                <w:color w:val="auto"/>
                <w:sz w:val="24"/>
                <w:highlight w:val="none"/>
              </w:rPr>
            </w:pPr>
          </w:p>
        </w:tc>
        <w:tc>
          <w:tcPr>
            <w:tcW w:w="1830" w:type="dxa"/>
            <w:gridSpan w:val="2"/>
            <w:vAlign w:val="center"/>
          </w:tcPr>
          <w:p w14:paraId="178158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27" w:type="dxa"/>
          </w:tcPr>
          <w:p w14:paraId="60E75199">
            <w:pPr>
              <w:snapToGrid w:val="0"/>
              <w:spacing w:line="360" w:lineRule="auto"/>
              <w:jc w:val="center"/>
              <w:rPr>
                <w:rFonts w:ascii="宋体" w:hAnsi="宋体" w:cs="宋体"/>
                <w:color w:val="auto"/>
                <w:sz w:val="24"/>
                <w:highlight w:val="none"/>
              </w:rPr>
            </w:pPr>
          </w:p>
        </w:tc>
      </w:tr>
      <w:tr w14:paraId="79A5F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1367" w:type="dxa"/>
            <w:gridSpan w:val="2"/>
            <w:vAlign w:val="center"/>
          </w:tcPr>
          <w:p w14:paraId="5C7932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295" w:type="dxa"/>
            <w:vAlign w:val="center"/>
          </w:tcPr>
          <w:p w14:paraId="01E0BAA0">
            <w:pPr>
              <w:snapToGrid w:val="0"/>
              <w:spacing w:line="360" w:lineRule="auto"/>
              <w:jc w:val="center"/>
              <w:rPr>
                <w:rFonts w:ascii="宋体" w:hAnsi="宋体" w:cs="宋体"/>
                <w:color w:val="auto"/>
                <w:sz w:val="24"/>
                <w:highlight w:val="none"/>
              </w:rPr>
            </w:pPr>
          </w:p>
        </w:tc>
        <w:tc>
          <w:tcPr>
            <w:tcW w:w="1044" w:type="dxa"/>
            <w:gridSpan w:val="2"/>
            <w:vAlign w:val="center"/>
          </w:tcPr>
          <w:p w14:paraId="16EADC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364" w:type="dxa"/>
            <w:gridSpan w:val="2"/>
            <w:vAlign w:val="center"/>
          </w:tcPr>
          <w:p w14:paraId="096530AD">
            <w:pPr>
              <w:snapToGrid w:val="0"/>
              <w:spacing w:line="360" w:lineRule="auto"/>
              <w:jc w:val="center"/>
              <w:rPr>
                <w:rFonts w:ascii="宋体" w:hAnsi="宋体" w:cs="宋体"/>
                <w:color w:val="auto"/>
                <w:sz w:val="24"/>
                <w:highlight w:val="none"/>
              </w:rPr>
            </w:pPr>
          </w:p>
        </w:tc>
        <w:tc>
          <w:tcPr>
            <w:tcW w:w="1830" w:type="dxa"/>
            <w:gridSpan w:val="2"/>
            <w:vAlign w:val="center"/>
          </w:tcPr>
          <w:p w14:paraId="740390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在本项目担任职务</w:t>
            </w:r>
          </w:p>
        </w:tc>
        <w:tc>
          <w:tcPr>
            <w:tcW w:w="2027" w:type="dxa"/>
          </w:tcPr>
          <w:p w14:paraId="173AA743">
            <w:pPr>
              <w:snapToGrid w:val="0"/>
              <w:spacing w:line="360" w:lineRule="auto"/>
              <w:jc w:val="center"/>
              <w:rPr>
                <w:rFonts w:ascii="宋体" w:hAnsi="宋体" w:cs="宋体"/>
                <w:color w:val="auto"/>
                <w:sz w:val="24"/>
                <w:highlight w:val="none"/>
              </w:rPr>
            </w:pPr>
          </w:p>
        </w:tc>
      </w:tr>
      <w:tr w14:paraId="191CF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7" w:type="dxa"/>
            <w:gridSpan w:val="2"/>
            <w:vAlign w:val="center"/>
          </w:tcPr>
          <w:p w14:paraId="5E75D4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3703" w:type="dxa"/>
            <w:gridSpan w:val="5"/>
            <w:vAlign w:val="center"/>
          </w:tcPr>
          <w:p w14:paraId="6C85B5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毕业于      学校 </w:t>
            </w:r>
            <w:bookmarkStart w:id="253" w:name="_Toc12140"/>
            <w:bookmarkStart w:id="254" w:name="_Toc11072"/>
            <w:bookmarkStart w:id="255" w:name="_Toc27070"/>
            <w:bookmarkStart w:id="256" w:name="_Toc16786"/>
            <w:bookmarkStart w:id="257" w:name="_Toc17534"/>
            <w:bookmarkStart w:id="258" w:name="_Toc4156"/>
            <w:r>
              <w:rPr>
                <w:rFonts w:hint="eastAsia" w:ascii="宋体" w:hAnsi="宋体" w:cs="宋体"/>
                <w:color w:val="auto"/>
                <w:sz w:val="24"/>
                <w:highlight w:val="none"/>
              </w:rPr>
              <w:t xml:space="preserve">    专业</w:t>
            </w:r>
          </w:p>
        </w:tc>
        <w:tc>
          <w:tcPr>
            <w:tcW w:w="1830" w:type="dxa"/>
            <w:gridSpan w:val="2"/>
            <w:vAlign w:val="center"/>
          </w:tcPr>
          <w:p w14:paraId="09DF8ECC">
            <w:pPr>
              <w:snapToGrid w:val="0"/>
              <w:spacing w:line="360" w:lineRule="auto"/>
              <w:jc w:val="center"/>
              <w:rPr>
                <w:rFonts w:ascii="宋体" w:hAnsi="宋体" w:cs="宋体"/>
                <w:color w:val="auto"/>
                <w:sz w:val="24"/>
                <w:highlight w:val="none"/>
              </w:rPr>
            </w:pPr>
            <w:r>
              <w:rPr>
                <w:rFonts w:hint="eastAsia" w:ascii="宋体" w:hAnsi="宋体" w:cs="宋体"/>
                <w:color w:val="auto"/>
                <w:position w:val="-30"/>
                <w:sz w:val="24"/>
                <w:highlight w:val="none"/>
              </w:rPr>
              <w:t>从事检测/监测工作年限</w:t>
            </w:r>
          </w:p>
        </w:tc>
        <w:tc>
          <w:tcPr>
            <w:tcW w:w="2027" w:type="dxa"/>
          </w:tcPr>
          <w:p w14:paraId="0864046F">
            <w:pPr>
              <w:snapToGrid w:val="0"/>
              <w:spacing w:line="360" w:lineRule="auto"/>
              <w:jc w:val="center"/>
              <w:rPr>
                <w:rFonts w:ascii="宋体" w:hAnsi="宋体" w:cs="宋体"/>
                <w:color w:val="auto"/>
                <w:sz w:val="24"/>
                <w:highlight w:val="none"/>
              </w:rPr>
            </w:pPr>
          </w:p>
        </w:tc>
      </w:tr>
      <w:tr w14:paraId="53555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7F7C99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执业资格证号或注册证号</w:t>
            </w:r>
          </w:p>
        </w:tc>
        <w:tc>
          <w:tcPr>
            <w:tcW w:w="5984" w:type="dxa"/>
            <w:gridSpan w:val="6"/>
          </w:tcPr>
          <w:p w14:paraId="4755B460">
            <w:pPr>
              <w:snapToGrid w:val="0"/>
              <w:spacing w:line="360" w:lineRule="auto"/>
              <w:rPr>
                <w:rFonts w:ascii="宋体" w:hAnsi="宋体" w:cs="宋体"/>
                <w:color w:val="auto"/>
                <w:sz w:val="24"/>
                <w:highlight w:val="none"/>
              </w:rPr>
            </w:pPr>
          </w:p>
        </w:tc>
      </w:tr>
      <w:tr w14:paraId="09C8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416A60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检测员证或检测鉴定培训合格证（证书状态正常或有效）</w:t>
            </w:r>
          </w:p>
        </w:tc>
        <w:tc>
          <w:tcPr>
            <w:tcW w:w="5984" w:type="dxa"/>
            <w:gridSpan w:val="6"/>
          </w:tcPr>
          <w:p w14:paraId="7D6DD16D">
            <w:pPr>
              <w:snapToGrid w:val="0"/>
              <w:spacing w:line="360" w:lineRule="auto"/>
              <w:rPr>
                <w:rFonts w:ascii="宋体" w:hAnsi="宋体" w:cs="宋体"/>
                <w:color w:val="auto"/>
                <w:sz w:val="24"/>
                <w:highlight w:val="none"/>
              </w:rPr>
            </w:pPr>
          </w:p>
        </w:tc>
      </w:tr>
      <w:tr w14:paraId="574C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8927" w:type="dxa"/>
            <w:gridSpan w:val="10"/>
            <w:vAlign w:val="center"/>
          </w:tcPr>
          <w:p w14:paraId="35E36D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主要业绩经历</w:t>
            </w:r>
          </w:p>
        </w:tc>
      </w:tr>
      <w:tr w14:paraId="2944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187" w:type="dxa"/>
            <w:vAlign w:val="center"/>
          </w:tcPr>
          <w:p w14:paraId="707A7F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时间</w:t>
            </w:r>
          </w:p>
        </w:tc>
        <w:tc>
          <w:tcPr>
            <w:tcW w:w="3476" w:type="dxa"/>
            <w:gridSpan w:val="5"/>
            <w:vAlign w:val="center"/>
          </w:tcPr>
          <w:p w14:paraId="2AF96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参加过的主要工作</w:t>
            </w:r>
          </w:p>
        </w:tc>
        <w:tc>
          <w:tcPr>
            <w:tcW w:w="1607" w:type="dxa"/>
            <w:gridSpan w:val="2"/>
            <w:vAlign w:val="center"/>
          </w:tcPr>
          <w:p w14:paraId="2FB7FC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担任何职</w:t>
            </w:r>
          </w:p>
        </w:tc>
        <w:tc>
          <w:tcPr>
            <w:tcW w:w="2657" w:type="dxa"/>
            <w:gridSpan w:val="2"/>
            <w:vAlign w:val="center"/>
          </w:tcPr>
          <w:p w14:paraId="7BF780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获得的奖励情况</w:t>
            </w:r>
          </w:p>
        </w:tc>
      </w:tr>
      <w:tr w14:paraId="722C3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11E4246E">
            <w:pPr>
              <w:snapToGrid w:val="0"/>
              <w:spacing w:line="360" w:lineRule="auto"/>
              <w:rPr>
                <w:rFonts w:ascii="宋体" w:hAnsi="宋体" w:cs="宋体"/>
                <w:color w:val="auto"/>
                <w:sz w:val="24"/>
                <w:highlight w:val="none"/>
              </w:rPr>
            </w:pPr>
          </w:p>
        </w:tc>
        <w:tc>
          <w:tcPr>
            <w:tcW w:w="3476" w:type="dxa"/>
            <w:gridSpan w:val="5"/>
          </w:tcPr>
          <w:p w14:paraId="2F6A1C6B">
            <w:pPr>
              <w:snapToGrid w:val="0"/>
              <w:spacing w:line="360" w:lineRule="auto"/>
              <w:rPr>
                <w:rFonts w:ascii="宋体" w:hAnsi="宋体" w:cs="宋体"/>
                <w:color w:val="auto"/>
                <w:sz w:val="24"/>
                <w:highlight w:val="none"/>
              </w:rPr>
            </w:pPr>
          </w:p>
        </w:tc>
        <w:tc>
          <w:tcPr>
            <w:tcW w:w="1607" w:type="dxa"/>
            <w:gridSpan w:val="2"/>
          </w:tcPr>
          <w:p w14:paraId="4C6DCCAA">
            <w:pPr>
              <w:snapToGrid w:val="0"/>
              <w:spacing w:line="360" w:lineRule="auto"/>
              <w:rPr>
                <w:rFonts w:ascii="宋体" w:hAnsi="宋体" w:cs="宋体"/>
                <w:color w:val="auto"/>
                <w:sz w:val="24"/>
                <w:highlight w:val="none"/>
              </w:rPr>
            </w:pPr>
          </w:p>
        </w:tc>
        <w:tc>
          <w:tcPr>
            <w:tcW w:w="2657" w:type="dxa"/>
            <w:gridSpan w:val="2"/>
          </w:tcPr>
          <w:p w14:paraId="6FD0B346">
            <w:pPr>
              <w:snapToGrid w:val="0"/>
              <w:spacing w:line="360" w:lineRule="auto"/>
              <w:rPr>
                <w:rFonts w:ascii="宋体" w:hAnsi="宋体" w:cs="宋体"/>
                <w:color w:val="auto"/>
                <w:sz w:val="24"/>
                <w:highlight w:val="none"/>
              </w:rPr>
            </w:pPr>
          </w:p>
        </w:tc>
      </w:tr>
      <w:tr w14:paraId="148E9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AB69FCA">
            <w:pPr>
              <w:snapToGrid w:val="0"/>
              <w:spacing w:line="360" w:lineRule="auto"/>
              <w:rPr>
                <w:rFonts w:ascii="宋体" w:hAnsi="宋体" w:cs="宋体"/>
                <w:color w:val="auto"/>
                <w:sz w:val="24"/>
                <w:highlight w:val="none"/>
              </w:rPr>
            </w:pPr>
          </w:p>
        </w:tc>
        <w:tc>
          <w:tcPr>
            <w:tcW w:w="3476" w:type="dxa"/>
            <w:gridSpan w:val="5"/>
          </w:tcPr>
          <w:p w14:paraId="5B865A30">
            <w:pPr>
              <w:snapToGrid w:val="0"/>
              <w:spacing w:line="360" w:lineRule="auto"/>
              <w:rPr>
                <w:rFonts w:ascii="宋体" w:hAnsi="宋体" w:cs="宋体"/>
                <w:color w:val="auto"/>
                <w:sz w:val="24"/>
                <w:highlight w:val="none"/>
              </w:rPr>
            </w:pPr>
          </w:p>
        </w:tc>
        <w:tc>
          <w:tcPr>
            <w:tcW w:w="1607" w:type="dxa"/>
            <w:gridSpan w:val="2"/>
          </w:tcPr>
          <w:p w14:paraId="3F2B6258">
            <w:pPr>
              <w:snapToGrid w:val="0"/>
              <w:spacing w:line="360" w:lineRule="auto"/>
              <w:rPr>
                <w:rFonts w:ascii="宋体" w:hAnsi="宋体" w:cs="宋体"/>
                <w:color w:val="auto"/>
                <w:sz w:val="24"/>
                <w:highlight w:val="none"/>
              </w:rPr>
            </w:pPr>
          </w:p>
        </w:tc>
        <w:tc>
          <w:tcPr>
            <w:tcW w:w="2657" w:type="dxa"/>
            <w:gridSpan w:val="2"/>
          </w:tcPr>
          <w:p w14:paraId="28FDD9C7">
            <w:pPr>
              <w:snapToGrid w:val="0"/>
              <w:spacing w:line="360" w:lineRule="auto"/>
              <w:rPr>
                <w:rFonts w:ascii="宋体" w:hAnsi="宋体" w:cs="宋体"/>
                <w:color w:val="auto"/>
                <w:sz w:val="24"/>
                <w:highlight w:val="none"/>
              </w:rPr>
            </w:pPr>
          </w:p>
        </w:tc>
      </w:tr>
      <w:tr w14:paraId="138F6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22F6AC8">
            <w:pPr>
              <w:snapToGrid w:val="0"/>
              <w:spacing w:line="360" w:lineRule="auto"/>
              <w:rPr>
                <w:rFonts w:ascii="宋体" w:hAnsi="宋体" w:cs="宋体"/>
                <w:color w:val="auto"/>
                <w:sz w:val="24"/>
                <w:highlight w:val="none"/>
              </w:rPr>
            </w:pPr>
          </w:p>
        </w:tc>
        <w:tc>
          <w:tcPr>
            <w:tcW w:w="3476" w:type="dxa"/>
            <w:gridSpan w:val="5"/>
          </w:tcPr>
          <w:p w14:paraId="50D900C2">
            <w:pPr>
              <w:snapToGrid w:val="0"/>
              <w:spacing w:line="360" w:lineRule="auto"/>
              <w:rPr>
                <w:rFonts w:ascii="宋体" w:hAnsi="宋体" w:cs="宋体"/>
                <w:color w:val="auto"/>
                <w:sz w:val="24"/>
                <w:highlight w:val="none"/>
              </w:rPr>
            </w:pPr>
          </w:p>
        </w:tc>
        <w:tc>
          <w:tcPr>
            <w:tcW w:w="1607" w:type="dxa"/>
            <w:gridSpan w:val="2"/>
          </w:tcPr>
          <w:p w14:paraId="7A8BCF9A">
            <w:pPr>
              <w:snapToGrid w:val="0"/>
              <w:spacing w:line="360" w:lineRule="auto"/>
              <w:rPr>
                <w:rFonts w:ascii="宋体" w:hAnsi="宋体" w:cs="宋体"/>
                <w:color w:val="auto"/>
                <w:sz w:val="24"/>
                <w:highlight w:val="none"/>
              </w:rPr>
            </w:pPr>
          </w:p>
        </w:tc>
        <w:tc>
          <w:tcPr>
            <w:tcW w:w="2657" w:type="dxa"/>
            <w:gridSpan w:val="2"/>
          </w:tcPr>
          <w:p w14:paraId="15FCEFF6">
            <w:pPr>
              <w:snapToGrid w:val="0"/>
              <w:spacing w:line="360" w:lineRule="auto"/>
              <w:rPr>
                <w:rFonts w:ascii="宋体" w:hAnsi="宋体" w:cs="宋体"/>
                <w:color w:val="auto"/>
                <w:sz w:val="24"/>
                <w:highlight w:val="none"/>
              </w:rPr>
            </w:pPr>
          </w:p>
        </w:tc>
      </w:tr>
      <w:tr w14:paraId="409A9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7D3D895">
            <w:pPr>
              <w:snapToGrid w:val="0"/>
              <w:spacing w:line="360" w:lineRule="auto"/>
              <w:rPr>
                <w:rFonts w:ascii="宋体" w:hAnsi="宋体" w:cs="宋体"/>
                <w:color w:val="auto"/>
                <w:sz w:val="24"/>
                <w:highlight w:val="none"/>
              </w:rPr>
            </w:pPr>
          </w:p>
        </w:tc>
        <w:tc>
          <w:tcPr>
            <w:tcW w:w="3476" w:type="dxa"/>
            <w:gridSpan w:val="5"/>
          </w:tcPr>
          <w:p w14:paraId="33155CDC">
            <w:pPr>
              <w:snapToGrid w:val="0"/>
              <w:spacing w:line="360" w:lineRule="auto"/>
              <w:rPr>
                <w:rFonts w:ascii="宋体" w:hAnsi="宋体" w:cs="宋体"/>
                <w:color w:val="auto"/>
                <w:sz w:val="24"/>
                <w:highlight w:val="none"/>
              </w:rPr>
            </w:pPr>
          </w:p>
        </w:tc>
        <w:tc>
          <w:tcPr>
            <w:tcW w:w="1607" w:type="dxa"/>
            <w:gridSpan w:val="2"/>
          </w:tcPr>
          <w:p w14:paraId="0DFA7E8E">
            <w:pPr>
              <w:snapToGrid w:val="0"/>
              <w:spacing w:line="360" w:lineRule="auto"/>
              <w:rPr>
                <w:rFonts w:ascii="宋体" w:hAnsi="宋体" w:cs="宋体"/>
                <w:color w:val="auto"/>
                <w:sz w:val="24"/>
                <w:highlight w:val="none"/>
              </w:rPr>
            </w:pPr>
          </w:p>
        </w:tc>
        <w:tc>
          <w:tcPr>
            <w:tcW w:w="2657" w:type="dxa"/>
            <w:gridSpan w:val="2"/>
          </w:tcPr>
          <w:p w14:paraId="5669680C">
            <w:pPr>
              <w:snapToGrid w:val="0"/>
              <w:spacing w:line="360" w:lineRule="auto"/>
              <w:rPr>
                <w:rFonts w:ascii="宋体" w:hAnsi="宋体" w:cs="宋体"/>
                <w:color w:val="auto"/>
                <w:sz w:val="24"/>
                <w:highlight w:val="none"/>
              </w:rPr>
            </w:pPr>
          </w:p>
        </w:tc>
      </w:tr>
      <w:tr w14:paraId="1142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611E344">
            <w:pPr>
              <w:snapToGrid w:val="0"/>
              <w:spacing w:line="360" w:lineRule="auto"/>
              <w:rPr>
                <w:rFonts w:ascii="宋体" w:hAnsi="宋体" w:cs="宋体"/>
                <w:color w:val="auto"/>
                <w:sz w:val="24"/>
                <w:highlight w:val="none"/>
              </w:rPr>
            </w:pPr>
          </w:p>
        </w:tc>
        <w:tc>
          <w:tcPr>
            <w:tcW w:w="3476" w:type="dxa"/>
            <w:gridSpan w:val="5"/>
          </w:tcPr>
          <w:p w14:paraId="2B220DB9">
            <w:pPr>
              <w:snapToGrid w:val="0"/>
              <w:spacing w:line="360" w:lineRule="auto"/>
              <w:rPr>
                <w:rFonts w:ascii="宋体" w:hAnsi="宋体" w:cs="宋体"/>
                <w:color w:val="auto"/>
                <w:sz w:val="24"/>
                <w:highlight w:val="none"/>
              </w:rPr>
            </w:pPr>
          </w:p>
        </w:tc>
        <w:tc>
          <w:tcPr>
            <w:tcW w:w="1607" w:type="dxa"/>
            <w:gridSpan w:val="2"/>
          </w:tcPr>
          <w:p w14:paraId="0A0809CA">
            <w:pPr>
              <w:snapToGrid w:val="0"/>
              <w:spacing w:line="360" w:lineRule="auto"/>
              <w:rPr>
                <w:rFonts w:ascii="宋体" w:hAnsi="宋体" w:cs="宋体"/>
                <w:color w:val="auto"/>
                <w:sz w:val="24"/>
                <w:highlight w:val="none"/>
              </w:rPr>
            </w:pPr>
          </w:p>
        </w:tc>
        <w:tc>
          <w:tcPr>
            <w:tcW w:w="2657" w:type="dxa"/>
            <w:gridSpan w:val="2"/>
          </w:tcPr>
          <w:p w14:paraId="188EAD84">
            <w:pPr>
              <w:snapToGrid w:val="0"/>
              <w:spacing w:line="360" w:lineRule="auto"/>
              <w:rPr>
                <w:rFonts w:ascii="宋体" w:hAnsi="宋体" w:cs="宋体"/>
                <w:color w:val="auto"/>
                <w:sz w:val="24"/>
                <w:highlight w:val="none"/>
              </w:rPr>
            </w:pPr>
          </w:p>
        </w:tc>
      </w:tr>
      <w:tr w14:paraId="32CF2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C6EB807">
            <w:pPr>
              <w:snapToGrid w:val="0"/>
              <w:spacing w:line="360" w:lineRule="auto"/>
              <w:rPr>
                <w:rFonts w:ascii="宋体" w:hAnsi="宋体" w:cs="宋体"/>
                <w:color w:val="auto"/>
                <w:sz w:val="24"/>
                <w:highlight w:val="none"/>
              </w:rPr>
            </w:pPr>
          </w:p>
        </w:tc>
        <w:tc>
          <w:tcPr>
            <w:tcW w:w="3476" w:type="dxa"/>
            <w:gridSpan w:val="5"/>
          </w:tcPr>
          <w:p w14:paraId="00C7E64A">
            <w:pPr>
              <w:snapToGrid w:val="0"/>
              <w:spacing w:line="360" w:lineRule="auto"/>
              <w:rPr>
                <w:rFonts w:ascii="宋体" w:hAnsi="宋体" w:cs="宋体"/>
                <w:color w:val="auto"/>
                <w:sz w:val="24"/>
                <w:highlight w:val="none"/>
              </w:rPr>
            </w:pPr>
          </w:p>
        </w:tc>
        <w:tc>
          <w:tcPr>
            <w:tcW w:w="1607" w:type="dxa"/>
            <w:gridSpan w:val="2"/>
          </w:tcPr>
          <w:p w14:paraId="44B1D89F">
            <w:pPr>
              <w:snapToGrid w:val="0"/>
              <w:spacing w:line="360" w:lineRule="auto"/>
              <w:rPr>
                <w:rFonts w:ascii="宋体" w:hAnsi="宋体" w:cs="宋体"/>
                <w:color w:val="auto"/>
                <w:sz w:val="24"/>
                <w:highlight w:val="none"/>
              </w:rPr>
            </w:pPr>
          </w:p>
        </w:tc>
        <w:tc>
          <w:tcPr>
            <w:tcW w:w="2657" w:type="dxa"/>
            <w:gridSpan w:val="2"/>
          </w:tcPr>
          <w:p w14:paraId="2784C737">
            <w:pPr>
              <w:snapToGrid w:val="0"/>
              <w:spacing w:line="360" w:lineRule="auto"/>
              <w:rPr>
                <w:rFonts w:ascii="宋体" w:hAnsi="宋体" w:cs="宋体"/>
                <w:color w:val="auto"/>
                <w:sz w:val="24"/>
                <w:highlight w:val="none"/>
              </w:rPr>
            </w:pPr>
          </w:p>
        </w:tc>
      </w:tr>
      <w:tr w14:paraId="39B07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02ED5A0">
            <w:pPr>
              <w:snapToGrid w:val="0"/>
              <w:spacing w:line="360" w:lineRule="auto"/>
              <w:rPr>
                <w:rFonts w:ascii="宋体" w:hAnsi="宋体" w:cs="宋体"/>
                <w:color w:val="auto"/>
                <w:sz w:val="24"/>
                <w:highlight w:val="none"/>
              </w:rPr>
            </w:pPr>
          </w:p>
        </w:tc>
        <w:tc>
          <w:tcPr>
            <w:tcW w:w="3476" w:type="dxa"/>
            <w:gridSpan w:val="5"/>
          </w:tcPr>
          <w:p w14:paraId="716354BF">
            <w:pPr>
              <w:snapToGrid w:val="0"/>
              <w:spacing w:line="360" w:lineRule="auto"/>
              <w:rPr>
                <w:rFonts w:ascii="宋体" w:hAnsi="宋体" w:cs="宋体"/>
                <w:color w:val="auto"/>
                <w:sz w:val="24"/>
                <w:highlight w:val="none"/>
              </w:rPr>
            </w:pPr>
          </w:p>
        </w:tc>
        <w:tc>
          <w:tcPr>
            <w:tcW w:w="1607" w:type="dxa"/>
            <w:gridSpan w:val="2"/>
          </w:tcPr>
          <w:p w14:paraId="0B0455D6">
            <w:pPr>
              <w:snapToGrid w:val="0"/>
              <w:spacing w:line="360" w:lineRule="auto"/>
              <w:rPr>
                <w:rFonts w:ascii="宋体" w:hAnsi="宋体" w:cs="宋体"/>
                <w:color w:val="auto"/>
                <w:sz w:val="24"/>
                <w:highlight w:val="none"/>
              </w:rPr>
            </w:pPr>
          </w:p>
        </w:tc>
        <w:tc>
          <w:tcPr>
            <w:tcW w:w="2657" w:type="dxa"/>
            <w:gridSpan w:val="2"/>
          </w:tcPr>
          <w:p w14:paraId="07935B22">
            <w:pPr>
              <w:snapToGrid w:val="0"/>
              <w:spacing w:line="360" w:lineRule="auto"/>
              <w:rPr>
                <w:rFonts w:ascii="宋体" w:hAnsi="宋体" w:cs="宋体"/>
                <w:color w:val="auto"/>
                <w:sz w:val="24"/>
                <w:highlight w:val="none"/>
              </w:rPr>
            </w:pPr>
          </w:p>
        </w:tc>
      </w:tr>
      <w:tr w14:paraId="41E5D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A14D668">
            <w:pPr>
              <w:snapToGrid w:val="0"/>
              <w:spacing w:line="360" w:lineRule="auto"/>
              <w:rPr>
                <w:rFonts w:ascii="宋体" w:hAnsi="宋体" w:cs="宋体"/>
                <w:color w:val="auto"/>
                <w:sz w:val="24"/>
                <w:highlight w:val="none"/>
              </w:rPr>
            </w:pPr>
          </w:p>
        </w:tc>
        <w:tc>
          <w:tcPr>
            <w:tcW w:w="3476" w:type="dxa"/>
            <w:gridSpan w:val="5"/>
          </w:tcPr>
          <w:p w14:paraId="599789C4">
            <w:pPr>
              <w:snapToGrid w:val="0"/>
              <w:spacing w:line="360" w:lineRule="auto"/>
              <w:rPr>
                <w:rFonts w:ascii="宋体" w:hAnsi="宋体" w:cs="宋体"/>
                <w:color w:val="auto"/>
                <w:sz w:val="24"/>
                <w:highlight w:val="none"/>
              </w:rPr>
            </w:pPr>
          </w:p>
        </w:tc>
        <w:tc>
          <w:tcPr>
            <w:tcW w:w="1607" w:type="dxa"/>
            <w:gridSpan w:val="2"/>
          </w:tcPr>
          <w:p w14:paraId="42CA76C3">
            <w:pPr>
              <w:snapToGrid w:val="0"/>
              <w:spacing w:line="360" w:lineRule="auto"/>
              <w:rPr>
                <w:rFonts w:ascii="宋体" w:hAnsi="宋体" w:cs="宋体"/>
                <w:color w:val="auto"/>
                <w:sz w:val="24"/>
                <w:highlight w:val="none"/>
              </w:rPr>
            </w:pPr>
          </w:p>
        </w:tc>
        <w:tc>
          <w:tcPr>
            <w:tcW w:w="2657" w:type="dxa"/>
            <w:gridSpan w:val="2"/>
          </w:tcPr>
          <w:p w14:paraId="37E34E67">
            <w:pPr>
              <w:snapToGrid w:val="0"/>
              <w:spacing w:line="360" w:lineRule="auto"/>
              <w:rPr>
                <w:rFonts w:ascii="宋体" w:hAnsi="宋体" w:cs="宋体"/>
                <w:color w:val="auto"/>
                <w:sz w:val="24"/>
                <w:highlight w:val="none"/>
              </w:rPr>
            </w:pPr>
          </w:p>
        </w:tc>
      </w:tr>
      <w:tr w14:paraId="10A77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0F0DEBD4">
            <w:pPr>
              <w:snapToGrid w:val="0"/>
              <w:spacing w:line="360" w:lineRule="auto"/>
              <w:rPr>
                <w:rFonts w:ascii="宋体" w:hAnsi="宋体" w:cs="宋体"/>
                <w:color w:val="auto"/>
                <w:sz w:val="24"/>
                <w:highlight w:val="none"/>
              </w:rPr>
            </w:pPr>
          </w:p>
        </w:tc>
        <w:tc>
          <w:tcPr>
            <w:tcW w:w="3476" w:type="dxa"/>
            <w:gridSpan w:val="5"/>
          </w:tcPr>
          <w:p w14:paraId="07C6CF61">
            <w:pPr>
              <w:snapToGrid w:val="0"/>
              <w:spacing w:line="360" w:lineRule="auto"/>
              <w:rPr>
                <w:rFonts w:ascii="宋体" w:hAnsi="宋体" w:cs="宋体"/>
                <w:color w:val="auto"/>
                <w:sz w:val="24"/>
                <w:highlight w:val="none"/>
              </w:rPr>
            </w:pPr>
          </w:p>
        </w:tc>
        <w:tc>
          <w:tcPr>
            <w:tcW w:w="1607" w:type="dxa"/>
            <w:gridSpan w:val="2"/>
          </w:tcPr>
          <w:p w14:paraId="5C3F4FC6">
            <w:pPr>
              <w:snapToGrid w:val="0"/>
              <w:spacing w:line="360" w:lineRule="auto"/>
              <w:rPr>
                <w:rFonts w:ascii="宋体" w:hAnsi="宋体" w:cs="宋体"/>
                <w:color w:val="auto"/>
                <w:sz w:val="24"/>
                <w:highlight w:val="none"/>
              </w:rPr>
            </w:pPr>
          </w:p>
        </w:tc>
        <w:tc>
          <w:tcPr>
            <w:tcW w:w="2657" w:type="dxa"/>
            <w:gridSpan w:val="2"/>
          </w:tcPr>
          <w:p w14:paraId="4A718752">
            <w:pPr>
              <w:snapToGrid w:val="0"/>
              <w:spacing w:line="360" w:lineRule="auto"/>
              <w:rPr>
                <w:rFonts w:ascii="宋体" w:hAnsi="宋体" w:cs="宋体"/>
                <w:color w:val="auto"/>
                <w:sz w:val="24"/>
                <w:highlight w:val="none"/>
              </w:rPr>
            </w:pPr>
          </w:p>
        </w:tc>
      </w:tr>
    </w:tbl>
    <w:p w14:paraId="16D74AA9">
      <w:pPr>
        <w:widowControl/>
        <w:spacing w:line="360" w:lineRule="auto"/>
        <w:jc w:val="left"/>
        <w:rPr>
          <w:rFonts w:ascii="宋体" w:hAnsi="宋体" w:cs="宋体"/>
          <w:color w:val="auto"/>
          <w:sz w:val="24"/>
          <w:highlight w:val="none"/>
        </w:rPr>
      </w:pPr>
    </w:p>
    <w:p w14:paraId="045F599F">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F877407">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1025116B">
      <w:pPr>
        <w:bidi w:val="0"/>
      </w:pPr>
      <w:r>
        <w:rPr>
          <w:rFonts w:hint="eastAsia"/>
        </w:rPr>
        <w:br w:type="page"/>
      </w:r>
      <w:bookmarkEnd w:id="253"/>
      <w:bookmarkEnd w:id="254"/>
      <w:bookmarkEnd w:id="255"/>
      <w:bookmarkEnd w:id="256"/>
      <w:bookmarkEnd w:id="257"/>
      <w:bookmarkEnd w:id="258"/>
    </w:p>
    <w:p w14:paraId="06F00CD2">
      <w:pPr>
        <w:pStyle w:val="3"/>
        <w:spacing w:before="0" w:after="0" w:line="360" w:lineRule="auto"/>
        <w:jc w:val="center"/>
        <w:rPr>
          <w:rFonts w:ascii="宋体" w:hAnsi="宋体" w:eastAsia="宋体" w:cs="宋体"/>
          <w:color w:val="auto"/>
          <w:highlight w:val="none"/>
        </w:rPr>
      </w:pPr>
      <w:bookmarkStart w:id="259" w:name="_Toc11810"/>
      <w:r>
        <w:rPr>
          <w:rFonts w:hint="eastAsia" w:ascii="宋体" w:hAnsi="宋体" w:eastAsia="宋体" w:cs="宋体"/>
          <w:color w:val="auto"/>
          <w:sz w:val="32"/>
          <w:highlight w:val="none"/>
        </w:rPr>
        <w:t>九、拟投入本项目的主要仪器设备一览表</w:t>
      </w:r>
      <w:bookmarkEnd w:id="259"/>
    </w:p>
    <w:tbl>
      <w:tblPr>
        <w:tblStyle w:val="21"/>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66EE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6" w:type="dxa"/>
            <w:vMerge w:val="restart"/>
            <w:vAlign w:val="center"/>
          </w:tcPr>
          <w:p w14:paraId="13C337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93" w:type="dxa"/>
            <w:vMerge w:val="restart"/>
            <w:vAlign w:val="center"/>
          </w:tcPr>
          <w:p w14:paraId="27C9A1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900" w:type="dxa"/>
            <w:vMerge w:val="restart"/>
            <w:vAlign w:val="center"/>
          </w:tcPr>
          <w:p w14:paraId="2C9BF8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w:t>
            </w:r>
          </w:p>
          <w:p w14:paraId="383D9E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数量基本要求</w:t>
            </w:r>
          </w:p>
        </w:tc>
        <w:tc>
          <w:tcPr>
            <w:tcW w:w="6314" w:type="dxa"/>
            <w:gridSpan w:val="5"/>
            <w:vAlign w:val="center"/>
          </w:tcPr>
          <w:p w14:paraId="00E443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投标人填写</w:t>
            </w:r>
          </w:p>
        </w:tc>
      </w:tr>
      <w:tr w14:paraId="4CE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50FFB353">
            <w:pPr>
              <w:spacing w:line="360" w:lineRule="auto"/>
              <w:jc w:val="center"/>
              <w:rPr>
                <w:rFonts w:ascii="宋体" w:hAnsi="宋体" w:cs="宋体"/>
                <w:color w:val="auto"/>
                <w:szCs w:val="21"/>
                <w:highlight w:val="none"/>
              </w:rPr>
            </w:pPr>
          </w:p>
        </w:tc>
        <w:tc>
          <w:tcPr>
            <w:tcW w:w="1793" w:type="dxa"/>
            <w:vMerge w:val="continue"/>
            <w:vAlign w:val="center"/>
          </w:tcPr>
          <w:p w14:paraId="0AEBFE37">
            <w:pPr>
              <w:spacing w:line="360" w:lineRule="auto"/>
              <w:jc w:val="center"/>
              <w:rPr>
                <w:rFonts w:ascii="宋体" w:hAnsi="宋体" w:cs="宋体"/>
                <w:color w:val="auto"/>
                <w:szCs w:val="21"/>
                <w:highlight w:val="none"/>
              </w:rPr>
            </w:pPr>
          </w:p>
        </w:tc>
        <w:tc>
          <w:tcPr>
            <w:tcW w:w="900" w:type="dxa"/>
            <w:vMerge w:val="continue"/>
            <w:vAlign w:val="center"/>
          </w:tcPr>
          <w:p w14:paraId="21AD915A">
            <w:pPr>
              <w:spacing w:line="360" w:lineRule="auto"/>
              <w:jc w:val="center"/>
              <w:rPr>
                <w:rFonts w:ascii="宋体" w:hAnsi="宋体" w:cs="宋体"/>
                <w:color w:val="auto"/>
                <w:szCs w:val="21"/>
                <w:highlight w:val="none"/>
              </w:rPr>
            </w:pPr>
          </w:p>
        </w:tc>
        <w:tc>
          <w:tcPr>
            <w:tcW w:w="992" w:type="dxa"/>
            <w:vAlign w:val="center"/>
          </w:tcPr>
          <w:p w14:paraId="31CB6C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785" w:type="dxa"/>
            <w:vAlign w:val="center"/>
          </w:tcPr>
          <w:p w14:paraId="69CE52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检定/校准机构</w:t>
            </w:r>
          </w:p>
        </w:tc>
        <w:tc>
          <w:tcPr>
            <w:tcW w:w="1116" w:type="dxa"/>
            <w:vAlign w:val="center"/>
          </w:tcPr>
          <w:p w14:paraId="385459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有效期</w:t>
            </w:r>
          </w:p>
        </w:tc>
        <w:tc>
          <w:tcPr>
            <w:tcW w:w="1341" w:type="dxa"/>
            <w:vAlign w:val="center"/>
          </w:tcPr>
          <w:p w14:paraId="7A781A78">
            <w:pPr>
              <w:spacing w:line="360" w:lineRule="auto"/>
              <w:jc w:val="center"/>
              <w:rPr>
                <w:rFonts w:ascii="宋体" w:hAnsi="宋体" w:cs="宋体"/>
                <w:color w:val="auto"/>
                <w:szCs w:val="21"/>
                <w:highlight w:val="none"/>
              </w:rPr>
            </w:pPr>
            <w:bookmarkStart w:id="260" w:name="_Toc76"/>
            <w:bookmarkStart w:id="261" w:name="_Toc168"/>
            <w:bookmarkStart w:id="262" w:name="_Toc532367899"/>
            <w:bookmarkStart w:id="263" w:name="_Toc30833"/>
            <w:bookmarkStart w:id="264" w:name="_Toc31367"/>
            <w:bookmarkStart w:id="265" w:name="_Toc377719919"/>
            <w:bookmarkStart w:id="266" w:name="_Toc25992"/>
            <w:bookmarkStart w:id="267" w:name="_Toc23148"/>
            <w:bookmarkStart w:id="268" w:name="_Toc12595"/>
            <w:bookmarkStart w:id="269" w:name="_Toc13512"/>
            <w:r>
              <w:rPr>
                <w:rFonts w:hint="eastAsia" w:ascii="宋体" w:hAnsi="宋体" w:cs="宋体"/>
                <w:color w:val="auto"/>
                <w:szCs w:val="21"/>
                <w:highlight w:val="none"/>
              </w:rPr>
              <w:t>检定/</w:t>
            </w:r>
            <w:bookmarkEnd w:id="260"/>
            <w:bookmarkEnd w:id="261"/>
            <w:bookmarkEnd w:id="262"/>
            <w:bookmarkEnd w:id="263"/>
            <w:bookmarkEnd w:id="264"/>
            <w:bookmarkEnd w:id="265"/>
            <w:bookmarkEnd w:id="266"/>
            <w:bookmarkEnd w:id="267"/>
            <w:r>
              <w:rPr>
                <w:rFonts w:hint="eastAsia" w:ascii="宋体" w:hAnsi="宋体" w:cs="宋体"/>
                <w:color w:val="auto"/>
                <w:szCs w:val="21"/>
                <w:highlight w:val="none"/>
              </w:rPr>
              <w:t>校准周期</w:t>
            </w:r>
          </w:p>
        </w:tc>
        <w:tc>
          <w:tcPr>
            <w:tcW w:w="1080" w:type="dxa"/>
            <w:vAlign w:val="center"/>
          </w:tcPr>
          <w:p w14:paraId="2BDD31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B3C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F52F8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93" w:type="dxa"/>
            <w:vAlign w:val="center"/>
          </w:tcPr>
          <w:p w14:paraId="6E6047B7">
            <w:pPr>
              <w:spacing w:line="360" w:lineRule="auto"/>
              <w:jc w:val="center"/>
              <w:rPr>
                <w:rFonts w:ascii="宋体" w:hAnsi="宋体" w:cs="宋体"/>
                <w:color w:val="auto"/>
                <w:szCs w:val="21"/>
                <w:highlight w:val="none"/>
              </w:rPr>
            </w:pPr>
          </w:p>
        </w:tc>
        <w:tc>
          <w:tcPr>
            <w:tcW w:w="900" w:type="dxa"/>
            <w:vAlign w:val="center"/>
          </w:tcPr>
          <w:p w14:paraId="72CDA9B2">
            <w:pPr>
              <w:spacing w:line="360" w:lineRule="auto"/>
              <w:jc w:val="center"/>
              <w:rPr>
                <w:rFonts w:ascii="宋体" w:hAnsi="宋体" w:cs="宋体"/>
                <w:color w:val="auto"/>
                <w:szCs w:val="21"/>
                <w:highlight w:val="none"/>
              </w:rPr>
            </w:pPr>
          </w:p>
        </w:tc>
        <w:tc>
          <w:tcPr>
            <w:tcW w:w="992" w:type="dxa"/>
            <w:vAlign w:val="center"/>
          </w:tcPr>
          <w:p w14:paraId="30C6AEC0">
            <w:pPr>
              <w:spacing w:line="360" w:lineRule="auto"/>
              <w:jc w:val="center"/>
              <w:rPr>
                <w:rFonts w:ascii="宋体" w:hAnsi="宋体" w:cs="宋体"/>
                <w:color w:val="auto"/>
                <w:szCs w:val="21"/>
                <w:highlight w:val="none"/>
              </w:rPr>
            </w:pPr>
          </w:p>
        </w:tc>
        <w:tc>
          <w:tcPr>
            <w:tcW w:w="1785" w:type="dxa"/>
            <w:vAlign w:val="center"/>
          </w:tcPr>
          <w:p w14:paraId="75703246">
            <w:pPr>
              <w:spacing w:line="360" w:lineRule="auto"/>
              <w:jc w:val="center"/>
              <w:rPr>
                <w:rFonts w:ascii="宋体" w:hAnsi="宋体" w:cs="宋体"/>
                <w:color w:val="auto"/>
                <w:szCs w:val="21"/>
                <w:highlight w:val="none"/>
              </w:rPr>
            </w:pPr>
          </w:p>
        </w:tc>
        <w:tc>
          <w:tcPr>
            <w:tcW w:w="1116" w:type="dxa"/>
            <w:vAlign w:val="center"/>
          </w:tcPr>
          <w:p w14:paraId="4F7656F6">
            <w:pPr>
              <w:spacing w:line="360" w:lineRule="auto"/>
              <w:jc w:val="center"/>
              <w:rPr>
                <w:rFonts w:ascii="宋体" w:hAnsi="宋体" w:cs="宋体"/>
                <w:color w:val="auto"/>
                <w:szCs w:val="21"/>
                <w:highlight w:val="none"/>
              </w:rPr>
            </w:pPr>
          </w:p>
        </w:tc>
        <w:tc>
          <w:tcPr>
            <w:tcW w:w="1341" w:type="dxa"/>
            <w:vAlign w:val="center"/>
          </w:tcPr>
          <w:p w14:paraId="45E634EA">
            <w:pPr>
              <w:spacing w:line="360" w:lineRule="auto"/>
              <w:jc w:val="center"/>
              <w:rPr>
                <w:rFonts w:ascii="宋体" w:hAnsi="宋体" w:cs="宋体"/>
                <w:color w:val="auto"/>
                <w:szCs w:val="21"/>
                <w:highlight w:val="none"/>
              </w:rPr>
            </w:pPr>
          </w:p>
        </w:tc>
        <w:tc>
          <w:tcPr>
            <w:tcW w:w="1080" w:type="dxa"/>
            <w:vAlign w:val="center"/>
          </w:tcPr>
          <w:p w14:paraId="7254E82F">
            <w:pPr>
              <w:spacing w:line="360" w:lineRule="auto"/>
              <w:jc w:val="center"/>
              <w:rPr>
                <w:rFonts w:ascii="宋体" w:hAnsi="宋体" w:cs="宋体"/>
                <w:color w:val="auto"/>
                <w:szCs w:val="21"/>
                <w:highlight w:val="none"/>
              </w:rPr>
            </w:pPr>
          </w:p>
        </w:tc>
      </w:tr>
      <w:tr w14:paraId="3853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29CDE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793" w:type="dxa"/>
            <w:vAlign w:val="center"/>
          </w:tcPr>
          <w:p w14:paraId="0540DA9D">
            <w:pPr>
              <w:spacing w:line="360" w:lineRule="auto"/>
              <w:jc w:val="center"/>
              <w:rPr>
                <w:rFonts w:ascii="宋体" w:hAnsi="宋体" w:cs="宋体"/>
                <w:color w:val="auto"/>
                <w:szCs w:val="21"/>
                <w:highlight w:val="none"/>
              </w:rPr>
            </w:pPr>
          </w:p>
        </w:tc>
        <w:tc>
          <w:tcPr>
            <w:tcW w:w="900" w:type="dxa"/>
            <w:vAlign w:val="center"/>
          </w:tcPr>
          <w:p w14:paraId="650D76DA">
            <w:pPr>
              <w:spacing w:line="360" w:lineRule="auto"/>
              <w:jc w:val="center"/>
              <w:rPr>
                <w:rFonts w:ascii="宋体" w:hAnsi="宋体" w:cs="宋体"/>
                <w:color w:val="auto"/>
                <w:szCs w:val="21"/>
                <w:highlight w:val="none"/>
              </w:rPr>
            </w:pPr>
          </w:p>
        </w:tc>
        <w:tc>
          <w:tcPr>
            <w:tcW w:w="992" w:type="dxa"/>
            <w:vAlign w:val="center"/>
          </w:tcPr>
          <w:p w14:paraId="4CA72455">
            <w:pPr>
              <w:spacing w:line="360" w:lineRule="auto"/>
              <w:jc w:val="center"/>
              <w:rPr>
                <w:rFonts w:ascii="宋体" w:hAnsi="宋体" w:cs="宋体"/>
                <w:color w:val="auto"/>
                <w:szCs w:val="21"/>
                <w:highlight w:val="none"/>
              </w:rPr>
            </w:pPr>
          </w:p>
        </w:tc>
        <w:tc>
          <w:tcPr>
            <w:tcW w:w="1785" w:type="dxa"/>
            <w:vAlign w:val="center"/>
          </w:tcPr>
          <w:p w14:paraId="32EFBA1A">
            <w:pPr>
              <w:spacing w:line="360" w:lineRule="auto"/>
              <w:jc w:val="center"/>
              <w:rPr>
                <w:rFonts w:ascii="宋体" w:hAnsi="宋体" w:cs="宋体"/>
                <w:color w:val="auto"/>
                <w:szCs w:val="21"/>
                <w:highlight w:val="none"/>
              </w:rPr>
            </w:pPr>
          </w:p>
        </w:tc>
        <w:tc>
          <w:tcPr>
            <w:tcW w:w="1116" w:type="dxa"/>
            <w:vAlign w:val="center"/>
          </w:tcPr>
          <w:p w14:paraId="30ABCB25">
            <w:pPr>
              <w:spacing w:line="360" w:lineRule="auto"/>
              <w:jc w:val="center"/>
              <w:rPr>
                <w:rFonts w:ascii="宋体" w:hAnsi="宋体" w:cs="宋体"/>
                <w:color w:val="auto"/>
                <w:szCs w:val="21"/>
                <w:highlight w:val="none"/>
              </w:rPr>
            </w:pPr>
          </w:p>
        </w:tc>
        <w:tc>
          <w:tcPr>
            <w:tcW w:w="1341" w:type="dxa"/>
            <w:vAlign w:val="center"/>
          </w:tcPr>
          <w:p w14:paraId="6D181E19">
            <w:pPr>
              <w:spacing w:line="360" w:lineRule="auto"/>
              <w:jc w:val="center"/>
              <w:rPr>
                <w:rFonts w:ascii="宋体" w:hAnsi="宋体" w:cs="宋体"/>
                <w:color w:val="auto"/>
                <w:szCs w:val="21"/>
                <w:highlight w:val="none"/>
              </w:rPr>
            </w:pPr>
          </w:p>
        </w:tc>
        <w:tc>
          <w:tcPr>
            <w:tcW w:w="1080" w:type="dxa"/>
            <w:vAlign w:val="center"/>
          </w:tcPr>
          <w:p w14:paraId="6A924CFE">
            <w:pPr>
              <w:spacing w:line="360" w:lineRule="auto"/>
              <w:jc w:val="center"/>
              <w:rPr>
                <w:rFonts w:ascii="宋体" w:hAnsi="宋体" w:cs="宋体"/>
                <w:i/>
                <w:color w:val="auto"/>
                <w:szCs w:val="21"/>
                <w:highlight w:val="none"/>
              </w:rPr>
            </w:pPr>
          </w:p>
        </w:tc>
      </w:tr>
      <w:tr w14:paraId="2504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E0CD7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93" w:type="dxa"/>
            <w:vAlign w:val="center"/>
          </w:tcPr>
          <w:p w14:paraId="2CD7D1E9">
            <w:pPr>
              <w:spacing w:line="360" w:lineRule="auto"/>
              <w:jc w:val="center"/>
              <w:rPr>
                <w:rFonts w:ascii="宋体" w:hAnsi="宋体" w:cs="宋体"/>
                <w:color w:val="auto"/>
                <w:szCs w:val="21"/>
                <w:highlight w:val="none"/>
              </w:rPr>
            </w:pPr>
          </w:p>
        </w:tc>
        <w:tc>
          <w:tcPr>
            <w:tcW w:w="900" w:type="dxa"/>
            <w:vAlign w:val="center"/>
          </w:tcPr>
          <w:p w14:paraId="174A95B2">
            <w:pPr>
              <w:spacing w:line="360" w:lineRule="auto"/>
              <w:jc w:val="center"/>
              <w:rPr>
                <w:rFonts w:ascii="宋体" w:hAnsi="宋体" w:cs="宋体"/>
                <w:color w:val="auto"/>
                <w:szCs w:val="21"/>
                <w:highlight w:val="none"/>
              </w:rPr>
            </w:pPr>
          </w:p>
        </w:tc>
        <w:tc>
          <w:tcPr>
            <w:tcW w:w="992" w:type="dxa"/>
            <w:vAlign w:val="center"/>
          </w:tcPr>
          <w:p w14:paraId="22D6B3EC">
            <w:pPr>
              <w:spacing w:line="360" w:lineRule="auto"/>
              <w:jc w:val="center"/>
              <w:rPr>
                <w:rFonts w:ascii="宋体" w:hAnsi="宋体" w:cs="宋体"/>
                <w:color w:val="auto"/>
                <w:szCs w:val="21"/>
                <w:highlight w:val="none"/>
              </w:rPr>
            </w:pPr>
          </w:p>
        </w:tc>
        <w:tc>
          <w:tcPr>
            <w:tcW w:w="1785" w:type="dxa"/>
            <w:vAlign w:val="center"/>
          </w:tcPr>
          <w:p w14:paraId="15C78D87">
            <w:pPr>
              <w:spacing w:line="360" w:lineRule="auto"/>
              <w:jc w:val="center"/>
              <w:rPr>
                <w:rFonts w:ascii="宋体" w:hAnsi="宋体" w:cs="宋体"/>
                <w:color w:val="auto"/>
                <w:szCs w:val="21"/>
                <w:highlight w:val="none"/>
              </w:rPr>
            </w:pPr>
          </w:p>
        </w:tc>
        <w:tc>
          <w:tcPr>
            <w:tcW w:w="1116" w:type="dxa"/>
            <w:vAlign w:val="center"/>
          </w:tcPr>
          <w:p w14:paraId="3662BA3B">
            <w:pPr>
              <w:spacing w:line="360" w:lineRule="auto"/>
              <w:jc w:val="center"/>
              <w:rPr>
                <w:rFonts w:ascii="宋体" w:hAnsi="宋体" w:cs="宋体"/>
                <w:color w:val="auto"/>
                <w:szCs w:val="21"/>
                <w:highlight w:val="none"/>
              </w:rPr>
            </w:pPr>
          </w:p>
        </w:tc>
        <w:tc>
          <w:tcPr>
            <w:tcW w:w="1341" w:type="dxa"/>
            <w:vAlign w:val="center"/>
          </w:tcPr>
          <w:p w14:paraId="4CBC8526">
            <w:pPr>
              <w:spacing w:line="360" w:lineRule="auto"/>
              <w:jc w:val="center"/>
              <w:rPr>
                <w:rFonts w:ascii="宋体" w:hAnsi="宋体" w:cs="宋体"/>
                <w:color w:val="auto"/>
                <w:szCs w:val="21"/>
                <w:highlight w:val="none"/>
              </w:rPr>
            </w:pPr>
          </w:p>
        </w:tc>
        <w:tc>
          <w:tcPr>
            <w:tcW w:w="1080" w:type="dxa"/>
            <w:vAlign w:val="center"/>
          </w:tcPr>
          <w:p w14:paraId="5FC4197F">
            <w:pPr>
              <w:spacing w:line="360" w:lineRule="auto"/>
              <w:jc w:val="center"/>
              <w:rPr>
                <w:rFonts w:ascii="宋体" w:hAnsi="宋体" w:cs="宋体"/>
                <w:color w:val="auto"/>
                <w:szCs w:val="21"/>
                <w:highlight w:val="none"/>
              </w:rPr>
            </w:pPr>
          </w:p>
        </w:tc>
      </w:tr>
      <w:tr w14:paraId="1BE5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8DFCC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93" w:type="dxa"/>
            <w:vAlign w:val="center"/>
          </w:tcPr>
          <w:p w14:paraId="73EA53EB">
            <w:pPr>
              <w:spacing w:line="360" w:lineRule="auto"/>
              <w:jc w:val="center"/>
              <w:rPr>
                <w:rFonts w:ascii="宋体" w:hAnsi="宋体" w:cs="宋体"/>
                <w:color w:val="auto"/>
                <w:szCs w:val="21"/>
                <w:highlight w:val="none"/>
              </w:rPr>
            </w:pPr>
          </w:p>
        </w:tc>
        <w:tc>
          <w:tcPr>
            <w:tcW w:w="900" w:type="dxa"/>
            <w:vAlign w:val="center"/>
          </w:tcPr>
          <w:p w14:paraId="020BED0B">
            <w:pPr>
              <w:spacing w:line="360" w:lineRule="auto"/>
              <w:jc w:val="center"/>
              <w:rPr>
                <w:rFonts w:ascii="宋体" w:hAnsi="宋体" w:cs="宋体"/>
                <w:color w:val="auto"/>
                <w:szCs w:val="21"/>
                <w:highlight w:val="none"/>
              </w:rPr>
            </w:pPr>
          </w:p>
        </w:tc>
        <w:tc>
          <w:tcPr>
            <w:tcW w:w="992" w:type="dxa"/>
            <w:vAlign w:val="center"/>
          </w:tcPr>
          <w:p w14:paraId="0EB854F7">
            <w:pPr>
              <w:spacing w:line="360" w:lineRule="auto"/>
              <w:jc w:val="center"/>
              <w:rPr>
                <w:rFonts w:ascii="宋体" w:hAnsi="宋体" w:cs="宋体"/>
                <w:color w:val="auto"/>
                <w:szCs w:val="21"/>
                <w:highlight w:val="none"/>
              </w:rPr>
            </w:pPr>
          </w:p>
        </w:tc>
        <w:tc>
          <w:tcPr>
            <w:tcW w:w="1785" w:type="dxa"/>
            <w:vAlign w:val="center"/>
          </w:tcPr>
          <w:p w14:paraId="368DA528">
            <w:pPr>
              <w:spacing w:line="360" w:lineRule="auto"/>
              <w:jc w:val="center"/>
              <w:rPr>
                <w:rFonts w:ascii="宋体" w:hAnsi="宋体" w:cs="宋体"/>
                <w:color w:val="auto"/>
                <w:szCs w:val="21"/>
                <w:highlight w:val="none"/>
              </w:rPr>
            </w:pPr>
          </w:p>
        </w:tc>
        <w:tc>
          <w:tcPr>
            <w:tcW w:w="1116" w:type="dxa"/>
            <w:vAlign w:val="center"/>
          </w:tcPr>
          <w:p w14:paraId="7CED5AE0">
            <w:pPr>
              <w:spacing w:line="360" w:lineRule="auto"/>
              <w:jc w:val="center"/>
              <w:rPr>
                <w:rFonts w:ascii="宋体" w:hAnsi="宋体" w:cs="宋体"/>
                <w:color w:val="auto"/>
                <w:szCs w:val="21"/>
                <w:highlight w:val="none"/>
              </w:rPr>
            </w:pPr>
          </w:p>
        </w:tc>
        <w:tc>
          <w:tcPr>
            <w:tcW w:w="1341" w:type="dxa"/>
            <w:vAlign w:val="center"/>
          </w:tcPr>
          <w:p w14:paraId="7EC4F3E7">
            <w:pPr>
              <w:spacing w:line="360" w:lineRule="auto"/>
              <w:jc w:val="center"/>
              <w:rPr>
                <w:rFonts w:ascii="宋体" w:hAnsi="宋体" w:cs="宋体"/>
                <w:color w:val="auto"/>
                <w:szCs w:val="21"/>
                <w:highlight w:val="none"/>
              </w:rPr>
            </w:pPr>
          </w:p>
        </w:tc>
        <w:tc>
          <w:tcPr>
            <w:tcW w:w="1080" w:type="dxa"/>
            <w:vAlign w:val="center"/>
          </w:tcPr>
          <w:p w14:paraId="6E00215F">
            <w:pPr>
              <w:spacing w:line="360" w:lineRule="auto"/>
              <w:jc w:val="center"/>
              <w:rPr>
                <w:rFonts w:ascii="宋体" w:hAnsi="宋体" w:cs="宋体"/>
                <w:color w:val="auto"/>
                <w:szCs w:val="21"/>
                <w:highlight w:val="none"/>
              </w:rPr>
            </w:pPr>
          </w:p>
        </w:tc>
      </w:tr>
      <w:tr w14:paraId="6F33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7C34A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793" w:type="dxa"/>
            <w:vAlign w:val="center"/>
          </w:tcPr>
          <w:p w14:paraId="62903498">
            <w:pPr>
              <w:spacing w:line="360" w:lineRule="auto"/>
              <w:jc w:val="center"/>
              <w:rPr>
                <w:rFonts w:ascii="宋体" w:hAnsi="宋体" w:cs="宋体"/>
                <w:color w:val="auto"/>
                <w:szCs w:val="21"/>
                <w:highlight w:val="none"/>
              </w:rPr>
            </w:pPr>
          </w:p>
        </w:tc>
        <w:tc>
          <w:tcPr>
            <w:tcW w:w="900" w:type="dxa"/>
            <w:vAlign w:val="center"/>
          </w:tcPr>
          <w:p w14:paraId="1D812673">
            <w:pPr>
              <w:spacing w:line="360" w:lineRule="auto"/>
              <w:jc w:val="center"/>
              <w:rPr>
                <w:rFonts w:ascii="宋体" w:hAnsi="宋体" w:cs="宋体"/>
                <w:color w:val="auto"/>
                <w:szCs w:val="21"/>
                <w:highlight w:val="none"/>
              </w:rPr>
            </w:pPr>
          </w:p>
        </w:tc>
        <w:tc>
          <w:tcPr>
            <w:tcW w:w="992" w:type="dxa"/>
            <w:vAlign w:val="center"/>
          </w:tcPr>
          <w:p w14:paraId="4268E9BC">
            <w:pPr>
              <w:spacing w:line="360" w:lineRule="auto"/>
              <w:jc w:val="center"/>
              <w:rPr>
                <w:rFonts w:ascii="宋体" w:hAnsi="宋体" w:cs="宋体"/>
                <w:color w:val="auto"/>
                <w:szCs w:val="21"/>
                <w:highlight w:val="none"/>
              </w:rPr>
            </w:pPr>
          </w:p>
        </w:tc>
        <w:tc>
          <w:tcPr>
            <w:tcW w:w="1785" w:type="dxa"/>
            <w:vAlign w:val="center"/>
          </w:tcPr>
          <w:p w14:paraId="680E71D3">
            <w:pPr>
              <w:spacing w:line="360" w:lineRule="auto"/>
              <w:jc w:val="center"/>
              <w:rPr>
                <w:rFonts w:ascii="宋体" w:hAnsi="宋体" w:cs="宋体"/>
                <w:color w:val="auto"/>
                <w:szCs w:val="21"/>
                <w:highlight w:val="none"/>
              </w:rPr>
            </w:pPr>
          </w:p>
        </w:tc>
        <w:tc>
          <w:tcPr>
            <w:tcW w:w="1116" w:type="dxa"/>
            <w:vAlign w:val="center"/>
          </w:tcPr>
          <w:p w14:paraId="1BD961F5">
            <w:pPr>
              <w:spacing w:line="360" w:lineRule="auto"/>
              <w:jc w:val="center"/>
              <w:rPr>
                <w:rFonts w:ascii="宋体" w:hAnsi="宋体" w:cs="宋体"/>
                <w:color w:val="auto"/>
                <w:szCs w:val="21"/>
                <w:highlight w:val="none"/>
              </w:rPr>
            </w:pPr>
          </w:p>
        </w:tc>
        <w:tc>
          <w:tcPr>
            <w:tcW w:w="1341" w:type="dxa"/>
            <w:vAlign w:val="center"/>
          </w:tcPr>
          <w:p w14:paraId="4E3D7634">
            <w:pPr>
              <w:spacing w:line="360" w:lineRule="auto"/>
              <w:jc w:val="center"/>
              <w:rPr>
                <w:rFonts w:ascii="宋体" w:hAnsi="宋体" w:cs="宋体"/>
                <w:color w:val="auto"/>
                <w:szCs w:val="21"/>
                <w:highlight w:val="none"/>
              </w:rPr>
            </w:pPr>
          </w:p>
        </w:tc>
        <w:tc>
          <w:tcPr>
            <w:tcW w:w="1080" w:type="dxa"/>
            <w:vAlign w:val="center"/>
          </w:tcPr>
          <w:p w14:paraId="74C19E05">
            <w:pPr>
              <w:spacing w:line="360" w:lineRule="auto"/>
              <w:jc w:val="center"/>
              <w:rPr>
                <w:rFonts w:ascii="宋体" w:hAnsi="宋体" w:cs="宋体"/>
                <w:color w:val="auto"/>
                <w:szCs w:val="21"/>
                <w:highlight w:val="none"/>
              </w:rPr>
            </w:pPr>
          </w:p>
        </w:tc>
      </w:tr>
      <w:tr w14:paraId="71E9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D28F9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793" w:type="dxa"/>
            <w:vAlign w:val="center"/>
          </w:tcPr>
          <w:p w14:paraId="57DBB9DB">
            <w:pPr>
              <w:spacing w:line="360" w:lineRule="auto"/>
              <w:jc w:val="center"/>
              <w:rPr>
                <w:rFonts w:ascii="宋体" w:hAnsi="宋体" w:cs="宋体"/>
                <w:color w:val="auto"/>
                <w:szCs w:val="21"/>
                <w:highlight w:val="none"/>
              </w:rPr>
            </w:pPr>
          </w:p>
        </w:tc>
        <w:tc>
          <w:tcPr>
            <w:tcW w:w="900" w:type="dxa"/>
            <w:vAlign w:val="center"/>
          </w:tcPr>
          <w:p w14:paraId="0050A2C1">
            <w:pPr>
              <w:spacing w:line="360" w:lineRule="auto"/>
              <w:jc w:val="center"/>
              <w:rPr>
                <w:rFonts w:ascii="宋体" w:hAnsi="宋体" w:cs="宋体"/>
                <w:color w:val="auto"/>
                <w:szCs w:val="21"/>
                <w:highlight w:val="none"/>
              </w:rPr>
            </w:pPr>
          </w:p>
        </w:tc>
        <w:tc>
          <w:tcPr>
            <w:tcW w:w="992" w:type="dxa"/>
            <w:vAlign w:val="center"/>
          </w:tcPr>
          <w:p w14:paraId="736C8545">
            <w:pPr>
              <w:spacing w:line="360" w:lineRule="auto"/>
              <w:jc w:val="center"/>
              <w:rPr>
                <w:rFonts w:ascii="宋体" w:hAnsi="宋体" w:cs="宋体"/>
                <w:color w:val="auto"/>
                <w:szCs w:val="21"/>
                <w:highlight w:val="none"/>
              </w:rPr>
            </w:pPr>
          </w:p>
        </w:tc>
        <w:tc>
          <w:tcPr>
            <w:tcW w:w="1785" w:type="dxa"/>
            <w:vAlign w:val="center"/>
          </w:tcPr>
          <w:p w14:paraId="1DDE013E">
            <w:pPr>
              <w:spacing w:line="360" w:lineRule="auto"/>
              <w:jc w:val="center"/>
              <w:rPr>
                <w:rFonts w:ascii="宋体" w:hAnsi="宋体" w:cs="宋体"/>
                <w:color w:val="auto"/>
                <w:szCs w:val="21"/>
                <w:highlight w:val="none"/>
              </w:rPr>
            </w:pPr>
          </w:p>
        </w:tc>
        <w:tc>
          <w:tcPr>
            <w:tcW w:w="1116" w:type="dxa"/>
            <w:vAlign w:val="center"/>
          </w:tcPr>
          <w:p w14:paraId="63A7CAC5">
            <w:pPr>
              <w:spacing w:line="360" w:lineRule="auto"/>
              <w:jc w:val="center"/>
              <w:rPr>
                <w:rFonts w:ascii="宋体" w:hAnsi="宋体" w:cs="宋体"/>
                <w:color w:val="auto"/>
                <w:szCs w:val="21"/>
                <w:highlight w:val="none"/>
              </w:rPr>
            </w:pPr>
          </w:p>
        </w:tc>
        <w:tc>
          <w:tcPr>
            <w:tcW w:w="1341" w:type="dxa"/>
            <w:vAlign w:val="center"/>
          </w:tcPr>
          <w:p w14:paraId="02EDEFB1">
            <w:pPr>
              <w:spacing w:line="360" w:lineRule="auto"/>
              <w:jc w:val="center"/>
              <w:rPr>
                <w:rFonts w:ascii="宋体" w:hAnsi="宋体" w:cs="宋体"/>
                <w:color w:val="auto"/>
                <w:szCs w:val="21"/>
                <w:highlight w:val="none"/>
              </w:rPr>
            </w:pPr>
          </w:p>
        </w:tc>
        <w:tc>
          <w:tcPr>
            <w:tcW w:w="1080" w:type="dxa"/>
            <w:vAlign w:val="center"/>
          </w:tcPr>
          <w:p w14:paraId="55D0E9A6">
            <w:pPr>
              <w:spacing w:line="360" w:lineRule="auto"/>
              <w:jc w:val="center"/>
              <w:rPr>
                <w:rFonts w:ascii="宋体" w:hAnsi="宋体" w:cs="宋体"/>
                <w:color w:val="auto"/>
                <w:szCs w:val="21"/>
                <w:highlight w:val="none"/>
              </w:rPr>
            </w:pPr>
          </w:p>
        </w:tc>
      </w:tr>
      <w:tr w14:paraId="0B59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E9130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793" w:type="dxa"/>
            <w:vAlign w:val="center"/>
          </w:tcPr>
          <w:p w14:paraId="14A717A3">
            <w:pPr>
              <w:spacing w:line="360" w:lineRule="auto"/>
              <w:jc w:val="center"/>
              <w:rPr>
                <w:rFonts w:ascii="宋体" w:hAnsi="宋体" w:cs="宋体"/>
                <w:color w:val="auto"/>
                <w:szCs w:val="21"/>
                <w:highlight w:val="none"/>
              </w:rPr>
            </w:pPr>
          </w:p>
        </w:tc>
        <w:tc>
          <w:tcPr>
            <w:tcW w:w="900" w:type="dxa"/>
            <w:vAlign w:val="center"/>
          </w:tcPr>
          <w:p w14:paraId="5EBAD413">
            <w:pPr>
              <w:spacing w:line="360" w:lineRule="auto"/>
              <w:jc w:val="center"/>
              <w:rPr>
                <w:rFonts w:ascii="宋体" w:hAnsi="宋体" w:cs="宋体"/>
                <w:color w:val="auto"/>
                <w:szCs w:val="21"/>
                <w:highlight w:val="none"/>
              </w:rPr>
            </w:pPr>
          </w:p>
        </w:tc>
        <w:tc>
          <w:tcPr>
            <w:tcW w:w="992" w:type="dxa"/>
            <w:vAlign w:val="center"/>
          </w:tcPr>
          <w:p w14:paraId="143ED23A">
            <w:pPr>
              <w:spacing w:line="360" w:lineRule="auto"/>
              <w:jc w:val="center"/>
              <w:rPr>
                <w:rFonts w:ascii="宋体" w:hAnsi="宋体" w:cs="宋体"/>
                <w:color w:val="auto"/>
                <w:szCs w:val="21"/>
                <w:highlight w:val="none"/>
              </w:rPr>
            </w:pPr>
          </w:p>
        </w:tc>
        <w:tc>
          <w:tcPr>
            <w:tcW w:w="1785" w:type="dxa"/>
            <w:vAlign w:val="center"/>
          </w:tcPr>
          <w:p w14:paraId="40A4543B">
            <w:pPr>
              <w:spacing w:line="360" w:lineRule="auto"/>
              <w:jc w:val="center"/>
              <w:rPr>
                <w:rFonts w:ascii="宋体" w:hAnsi="宋体" w:cs="宋体"/>
                <w:color w:val="auto"/>
                <w:szCs w:val="21"/>
                <w:highlight w:val="none"/>
              </w:rPr>
            </w:pPr>
          </w:p>
        </w:tc>
        <w:tc>
          <w:tcPr>
            <w:tcW w:w="1116" w:type="dxa"/>
            <w:vAlign w:val="center"/>
          </w:tcPr>
          <w:p w14:paraId="1CD65051">
            <w:pPr>
              <w:spacing w:line="360" w:lineRule="auto"/>
              <w:jc w:val="center"/>
              <w:rPr>
                <w:rFonts w:ascii="宋体" w:hAnsi="宋体" w:cs="宋体"/>
                <w:color w:val="auto"/>
                <w:szCs w:val="21"/>
                <w:highlight w:val="none"/>
              </w:rPr>
            </w:pPr>
          </w:p>
        </w:tc>
        <w:tc>
          <w:tcPr>
            <w:tcW w:w="1341" w:type="dxa"/>
            <w:vAlign w:val="center"/>
          </w:tcPr>
          <w:p w14:paraId="7D2370C9">
            <w:pPr>
              <w:spacing w:line="360" w:lineRule="auto"/>
              <w:jc w:val="center"/>
              <w:rPr>
                <w:rFonts w:ascii="宋体" w:hAnsi="宋体" w:cs="宋体"/>
                <w:color w:val="auto"/>
                <w:szCs w:val="21"/>
                <w:highlight w:val="none"/>
              </w:rPr>
            </w:pPr>
          </w:p>
        </w:tc>
        <w:tc>
          <w:tcPr>
            <w:tcW w:w="1080" w:type="dxa"/>
            <w:vAlign w:val="center"/>
          </w:tcPr>
          <w:p w14:paraId="66F01E67">
            <w:pPr>
              <w:spacing w:line="360" w:lineRule="auto"/>
              <w:jc w:val="center"/>
              <w:rPr>
                <w:rFonts w:ascii="宋体" w:hAnsi="宋体" w:cs="宋体"/>
                <w:color w:val="auto"/>
                <w:szCs w:val="21"/>
                <w:highlight w:val="none"/>
              </w:rPr>
            </w:pPr>
          </w:p>
        </w:tc>
      </w:tr>
      <w:tr w14:paraId="54E3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36B96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93" w:type="dxa"/>
            <w:vAlign w:val="center"/>
          </w:tcPr>
          <w:p w14:paraId="153CC786">
            <w:pPr>
              <w:spacing w:line="360" w:lineRule="auto"/>
              <w:jc w:val="center"/>
              <w:rPr>
                <w:rFonts w:ascii="宋体" w:hAnsi="宋体" w:cs="宋体"/>
                <w:color w:val="auto"/>
                <w:szCs w:val="21"/>
                <w:highlight w:val="none"/>
              </w:rPr>
            </w:pPr>
          </w:p>
        </w:tc>
        <w:tc>
          <w:tcPr>
            <w:tcW w:w="900" w:type="dxa"/>
            <w:vAlign w:val="center"/>
          </w:tcPr>
          <w:p w14:paraId="33D6EF7D">
            <w:pPr>
              <w:spacing w:line="360" w:lineRule="auto"/>
              <w:jc w:val="center"/>
              <w:rPr>
                <w:rFonts w:ascii="宋体" w:hAnsi="宋体" w:cs="宋体"/>
                <w:color w:val="auto"/>
                <w:szCs w:val="21"/>
                <w:highlight w:val="none"/>
              </w:rPr>
            </w:pPr>
          </w:p>
        </w:tc>
        <w:tc>
          <w:tcPr>
            <w:tcW w:w="992" w:type="dxa"/>
            <w:vAlign w:val="center"/>
          </w:tcPr>
          <w:p w14:paraId="7B70B6F8">
            <w:pPr>
              <w:spacing w:line="360" w:lineRule="auto"/>
              <w:jc w:val="center"/>
              <w:rPr>
                <w:rFonts w:ascii="宋体" w:hAnsi="宋体" w:cs="宋体"/>
                <w:color w:val="auto"/>
                <w:szCs w:val="21"/>
                <w:highlight w:val="none"/>
              </w:rPr>
            </w:pPr>
          </w:p>
        </w:tc>
        <w:tc>
          <w:tcPr>
            <w:tcW w:w="1785" w:type="dxa"/>
            <w:vAlign w:val="center"/>
          </w:tcPr>
          <w:p w14:paraId="73BD9A8C">
            <w:pPr>
              <w:spacing w:line="360" w:lineRule="auto"/>
              <w:jc w:val="center"/>
              <w:rPr>
                <w:rFonts w:ascii="宋体" w:hAnsi="宋体" w:cs="宋体"/>
                <w:color w:val="auto"/>
                <w:szCs w:val="21"/>
                <w:highlight w:val="none"/>
              </w:rPr>
            </w:pPr>
          </w:p>
        </w:tc>
        <w:tc>
          <w:tcPr>
            <w:tcW w:w="1116" w:type="dxa"/>
            <w:vAlign w:val="center"/>
          </w:tcPr>
          <w:p w14:paraId="591CB058">
            <w:pPr>
              <w:spacing w:line="360" w:lineRule="auto"/>
              <w:jc w:val="center"/>
              <w:rPr>
                <w:rFonts w:ascii="宋体" w:hAnsi="宋体" w:cs="宋体"/>
                <w:color w:val="auto"/>
                <w:szCs w:val="21"/>
                <w:highlight w:val="none"/>
              </w:rPr>
            </w:pPr>
          </w:p>
        </w:tc>
        <w:tc>
          <w:tcPr>
            <w:tcW w:w="1341" w:type="dxa"/>
            <w:vAlign w:val="center"/>
          </w:tcPr>
          <w:p w14:paraId="6831D72F">
            <w:pPr>
              <w:spacing w:line="360" w:lineRule="auto"/>
              <w:jc w:val="center"/>
              <w:rPr>
                <w:rFonts w:ascii="宋体" w:hAnsi="宋体" w:cs="宋体"/>
                <w:color w:val="auto"/>
                <w:szCs w:val="21"/>
                <w:highlight w:val="none"/>
              </w:rPr>
            </w:pPr>
          </w:p>
        </w:tc>
        <w:tc>
          <w:tcPr>
            <w:tcW w:w="1080" w:type="dxa"/>
            <w:vAlign w:val="center"/>
          </w:tcPr>
          <w:p w14:paraId="22C640C4">
            <w:pPr>
              <w:spacing w:line="360" w:lineRule="auto"/>
              <w:jc w:val="center"/>
              <w:rPr>
                <w:rFonts w:ascii="宋体" w:hAnsi="宋体" w:cs="宋体"/>
                <w:color w:val="auto"/>
                <w:szCs w:val="21"/>
                <w:highlight w:val="none"/>
              </w:rPr>
            </w:pPr>
          </w:p>
        </w:tc>
      </w:tr>
      <w:tr w14:paraId="6FE0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B427C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793" w:type="dxa"/>
            <w:vAlign w:val="center"/>
          </w:tcPr>
          <w:p w14:paraId="6919D7D8">
            <w:pPr>
              <w:spacing w:line="360" w:lineRule="auto"/>
              <w:jc w:val="center"/>
              <w:rPr>
                <w:rFonts w:ascii="宋体" w:hAnsi="宋体" w:cs="宋体"/>
                <w:color w:val="auto"/>
                <w:szCs w:val="21"/>
                <w:highlight w:val="none"/>
              </w:rPr>
            </w:pPr>
          </w:p>
        </w:tc>
        <w:tc>
          <w:tcPr>
            <w:tcW w:w="900" w:type="dxa"/>
            <w:vAlign w:val="center"/>
          </w:tcPr>
          <w:p w14:paraId="3E6E1FED">
            <w:pPr>
              <w:spacing w:line="360" w:lineRule="auto"/>
              <w:jc w:val="center"/>
              <w:rPr>
                <w:rFonts w:ascii="宋体" w:hAnsi="宋体" w:cs="宋体"/>
                <w:color w:val="auto"/>
                <w:szCs w:val="21"/>
                <w:highlight w:val="none"/>
              </w:rPr>
            </w:pPr>
          </w:p>
        </w:tc>
        <w:tc>
          <w:tcPr>
            <w:tcW w:w="992" w:type="dxa"/>
            <w:vAlign w:val="center"/>
          </w:tcPr>
          <w:p w14:paraId="1F08A33C">
            <w:pPr>
              <w:spacing w:line="360" w:lineRule="auto"/>
              <w:jc w:val="center"/>
              <w:rPr>
                <w:rFonts w:ascii="宋体" w:hAnsi="宋体" w:cs="宋体"/>
                <w:color w:val="auto"/>
                <w:szCs w:val="21"/>
                <w:highlight w:val="none"/>
              </w:rPr>
            </w:pPr>
          </w:p>
        </w:tc>
        <w:tc>
          <w:tcPr>
            <w:tcW w:w="1785" w:type="dxa"/>
            <w:vAlign w:val="center"/>
          </w:tcPr>
          <w:p w14:paraId="5013E135">
            <w:pPr>
              <w:spacing w:line="360" w:lineRule="auto"/>
              <w:jc w:val="center"/>
              <w:rPr>
                <w:rFonts w:ascii="宋体" w:hAnsi="宋体" w:cs="宋体"/>
                <w:color w:val="auto"/>
                <w:szCs w:val="21"/>
                <w:highlight w:val="none"/>
              </w:rPr>
            </w:pPr>
          </w:p>
        </w:tc>
        <w:tc>
          <w:tcPr>
            <w:tcW w:w="1116" w:type="dxa"/>
            <w:vAlign w:val="center"/>
          </w:tcPr>
          <w:p w14:paraId="5D562304">
            <w:pPr>
              <w:spacing w:line="360" w:lineRule="auto"/>
              <w:jc w:val="center"/>
              <w:rPr>
                <w:rFonts w:ascii="宋体" w:hAnsi="宋体" w:cs="宋体"/>
                <w:color w:val="auto"/>
                <w:szCs w:val="21"/>
                <w:highlight w:val="none"/>
              </w:rPr>
            </w:pPr>
          </w:p>
        </w:tc>
        <w:tc>
          <w:tcPr>
            <w:tcW w:w="1341" w:type="dxa"/>
            <w:vAlign w:val="center"/>
          </w:tcPr>
          <w:p w14:paraId="7E370556">
            <w:pPr>
              <w:spacing w:line="360" w:lineRule="auto"/>
              <w:jc w:val="center"/>
              <w:rPr>
                <w:rFonts w:ascii="宋体" w:hAnsi="宋体" w:cs="宋体"/>
                <w:color w:val="auto"/>
                <w:szCs w:val="21"/>
                <w:highlight w:val="none"/>
              </w:rPr>
            </w:pPr>
          </w:p>
        </w:tc>
        <w:tc>
          <w:tcPr>
            <w:tcW w:w="1080" w:type="dxa"/>
            <w:vAlign w:val="center"/>
          </w:tcPr>
          <w:p w14:paraId="45A6359F">
            <w:pPr>
              <w:spacing w:line="360" w:lineRule="auto"/>
              <w:jc w:val="center"/>
              <w:rPr>
                <w:rFonts w:ascii="宋体" w:hAnsi="宋体" w:cs="宋体"/>
                <w:color w:val="auto"/>
                <w:szCs w:val="21"/>
                <w:highlight w:val="none"/>
              </w:rPr>
            </w:pPr>
          </w:p>
        </w:tc>
      </w:tr>
      <w:tr w14:paraId="3921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2BD2CC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93" w:type="dxa"/>
            <w:vAlign w:val="center"/>
          </w:tcPr>
          <w:p w14:paraId="3D5A2827">
            <w:pPr>
              <w:spacing w:line="360" w:lineRule="auto"/>
              <w:jc w:val="center"/>
              <w:rPr>
                <w:rFonts w:ascii="宋体" w:hAnsi="宋体" w:cs="宋体"/>
                <w:color w:val="auto"/>
                <w:szCs w:val="21"/>
                <w:highlight w:val="none"/>
              </w:rPr>
            </w:pPr>
          </w:p>
        </w:tc>
        <w:tc>
          <w:tcPr>
            <w:tcW w:w="900" w:type="dxa"/>
            <w:vAlign w:val="center"/>
          </w:tcPr>
          <w:p w14:paraId="507B2C8C">
            <w:pPr>
              <w:spacing w:line="360" w:lineRule="auto"/>
              <w:jc w:val="center"/>
              <w:rPr>
                <w:rFonts w:ascii="宋体" w:hAnsi="宋体" w:cs="宋体"/>
                <w:color w:val="auto"/>
                <w:szCs w:val="21"/>
                <w:highlight w:val="none"/>
              </w:rPr>
            </w:pPr>
          </w:p>
        </w:tc>
        <w:tc>
          <w:tcPr>
            <w:tcW w:w="992" w:type="dxa"/>
            <w:vAlign w:val="center"/>
          </w:tcPr>
          <w:p w14:paraId="5B60F8AF">
            <w:pPr>
              <w:spacing w:line="360" w:lineRule="auto"/>
              <w:jc w:val="center"/>
              <w:rPr>
                <w:rFonts w:ascii="宋体" w:hAnsi="宋体" w:cs="宋体"/>
                <w:color w:val="auto"/>
                <w:szCs w:val="21"/>
                <w:highlight w:val="none"/>
              </w:rPr>
            </w:pPr>
          </w:p>
        </w:tc>
        <w:tc>
          <w:tcPr>
            <w:tcW w:w="1785" w:type="dxa"/>
            <w:vAlign w:val="center"/>
          </w:tcPr>
          <w:p w14:paraId="6952139B">
            <w:pPr>
              <w:spacing w:line="360" w:lineRule="auto"/>
              <w:jc w:val="center"/>
              <w:rPr>
                <w:rFonts w:ascii="宋体" w:hAnsi="宋体" w:cs="宋体"/>
                <w:color w:val="auto"/>
                <w:szCs w:val="21"/>
                <w:highlight w:val="none"/>
              </w:rPr>
            </w:pPr>
          </w:p>
        </w:tc>
        <w:tc>
          <w:tcPr>
            <w:tcW w:w="1116" w:type="dxa"/>
            <w:vAlign w:val="center"/>
          </w:tcPr>
          <w:p w14:paraId="512C4631">
            <w:pPr>
              <w:spacing w:line="360" w:lineRule="auto"/>
              <w:jc w:val="center"/>
              <w:rPr>
                <w:rFonts w:ascii="宋体" w:hAnsi="宋体" w:cs="宋体"/>
                <w:color w:val="auto"/>
                <w:szCs w:val="21"/>
                <w:highlight w:val="none"/>
              </w:rPr>
            </w:pPr>
          </w:p>
        </w:tc>
        <w:tc>
          <w:tcPr>
            <w:tcW w:w="1341" w:type="dxa"/>
            <w:vAlign w:val="center"/>
          </w:tcPr>
          <w:p w14:paraId="3CA3C915">
            <w:pPr>
              <w:spacing w:line="360" w:lineRule="auto"/>
              <w:jc w:val="center"/>
              <w:rPr>
                <w:rFonts w:ascii="宋体" w:hAnsi="宋体" w:cs="宋体"/>
                <w:color w:val="auto"/>
                <w:szCs w:val="21"/>
                <w:highlight w:val="none"/>
              </w:rPr>
            </w:pPr>
          </w:p>
        </w:tc>
        <w:tc>
          <w:tcPr>
            <w:tcW w:w="1080" w:type="dxa"/>
            <w:vAlign w:val="center"/>
          </w:tcPr>
          <w:p w14:paraId="0D5106EC">
            <w:pPr>
              <w:spacing w:line="360" w:lineRule="auto"/>
              <w:jc w:val="center"/>
              <w:rPr>
                <w:rFonts w:ascii="宋体" w:hAnsi="宋体" w:cs="宋体"/>
                <w:color w:val="auto"/>
                <w:szCs w:val="21"/>
                <w:highlight w:val="none"/>
              </w:rPr>
            </w:pPr>
          </w:p>
        </w:tc>
      </w:tr>
    </w:tbl>
    <w:p w14:paraId="210197C9">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75B76BE">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36F0E75D">
      <w:pPr>
        <w:spacing w:line="360" w:lineRule="auto"/>
        <w:ind w:firstLine="565" w:firstLineChars="202"/>
        <w:jc w:val="left"/>
        <w:rPr>
          <w:rFonts w:ascii="宋体" w:hAnsi="宋体" w:cs="宋体"/>
          <w:color w:val="auto"/>
          <w:sz w:val="28"/>
          <w:szCs w:val="28"/>
          <w:highlight w:val="none"/>
        </w:rPr>
      </w:pPr>
    </w:p>
    <w:p w14:paraId="1E9FDC4B">
      <w:pPr>
        <w:spacing w:line="360" w:lineRule="auto"/>
        <w:ind w:firstLine="565" w:firstLineChars="202"/>
        <w:jc w:val="left"/>
        <w:rPr>
          <w:rFonts w:ascii="宋体" w:hAnsi="宋体" w:cs="宋体"/>
          <w:color w:val="auto"/>
          <w:sz w:val="28"/>
          <w:szCs w:val="28"/>
          <w:highlight w:val="none"/>
        </w:rPr>
      </w:pPr>
    </w:p>
    <w:p w14:paraId="615015CA">
      <w:pPr>
        <w:keepNext/>
        <w:keepLines/>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70" w:name="_Toc18792"/>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检测监测</w:t>
      </w:r>
      <w:r>
        <w:rPr>
          <w:rFonts w:hint="eastAsia" w:ascii="宋体" w:hAnsi="宋体" w:cs="宋体"/>
          <w:b/>
          <w:bCs/>
          <w:color w:val="auto"/>
          <w:sz w:val="32"/>
          <w:szCs w:val="32"/>
          <w:highlight w:val="none"/>
        </w:rPr>
        <w:t>技术方案</w:t>
      </w:r>
      <w:bookmarkEnd w:id="270"/>
    </w:p>
    <w:p w14:paraId="277DBEED">
      <w:pPr>
        <w:spacing w:line="360" w:lineRule="auto"/>
        <w:jc w:val="center"/>
        <w:rPr>
          <w:rFonts w:ascii="宋体" w:hAnsi="宋体" w:cs="宋体"/>
          <w:color w:val="auto"/>
          <w:highlight w:val="none"/>
        </w:rPr>
      </w:pPr>
      <w:r>
        <w:rPr>
          <w:rFonts w:hint="eastAsia" w:ascii="宋体" w:hAnsi="宋体" w:cs="宋体"/>
          <w:b/>
          <w:color w:val="auto"/>
          <w:sz w:val="28"/>
          <w:szCs w:val="28"/>
          <w:highlight w:val="none"/>
        </w:rPr>
        <w:t>（格式自定）</w:t>
      </w:r>
      <w:bookmarkEnd w:id="268"/>
      <w:bookmarkEnd w:id="269"/>
    </w:p>
    <w:p w14:paraId="57141519">
      <w:pPr>
        <w:bidi w:val="0"/>
        <w:rPr>
          <w:rFonts w:hint="eastAsia"/>
        </w:rPr>
      </w:pPr>
      <w:r>
        <w:rPr>
          <w:rFonts w:hint="eastAsia"/>
        </w:rPr>
        <w:br w:type="page"/>
      </w:r>
    </w:p>
    <w:p w14:paraId="6DC74D73">
      <w:pPr>
        <w:spacing w:line="360" w:lineRule="auto"/>
        <w:jc w:val="center"/>
        <w:outlineLvl w:val="1"/>
        <w:rPr>
          <w:rFonts w:hint="eastAsia" w:ascii="黑体" w:hAnsi="宋体" w:eastAsia="黑体"/>
          <w:color w:val="auto"/>
          <w:sz w:val="32"/>
          <w:szCs w:val="32"/>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94C1FA7">
      <w:pPr>
        <w:bidi w:val="0"/>
        <w:rPr>
          <w:rFonts w:hint="eastAsia"/>
        </w:rPr>
      </w:pPr>
    </w:p>
    <w:p w14:paraId="4589578D">
      <w:pPr>
        <w:keepNext/>
        <w:keepLines/>
        <w:spacing w:line="360" w:lineRule="auto"/>
        <w:jc w:val="center"/>
        <w:outlineLvl w:val="1"/>
        <w:rPr>
          <w:rFonts w:ascii="宋体" w:hAnsi="宋体" w:cs="宋体"/>
          <w:b/>
          <w:bCs/>
          <w:color w:val="auto"/>
          <w:sz w:val="32"/>
          <w:highlight w:val="none"/>
        </w:rPr>
      </w:pPr>
      <w:bookmarkStart w:id="271" w:name="_Toc18455"/>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、投标人认为应该提供的其他资料</w:t>
      </w:r>
      <w:bookmarkEnd w:id="271"/>
    </w:p>
    <w:p w14:paraId="2D04B2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投标人须知前附表规定的其他资料，投标人认为有必要提交的其他资料，格式自定。</w:t>
      </w:r>
    </w:p>
    <w:p w14:paraId="5AF15308">
      <w:pPr>
        <w:rPr>
          <w:color w:val="auto"/>
          <w:highlight w:val="none"/>
        </w:rPr>
      </w:pPr>
    </w:p>
    <w:sectPr>
      <w:pgSz w:w="11905" w:h="16838"/>
      <w:pgMar w:top="1418" w:right="1701" w:bottom="1418" w:left="170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BF9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DDE9C">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4BDDE9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FEAEC">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78A8D">
                          <w:pPr>
                            <w:pStyle w:val="15"/>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AC78A8D">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F565">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604E3">
                          <w:pPr>
                            <w:pStyle w:val="15"/>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48604E3">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A8000"/>
    <w:multiLevelType w:val="singleLevel"/>
    <w:tmpl w:val="C42A8000"/>
    <w:lvl w:ilvl="0" w:tentative="0">
      <w:start w:val="1"/>
      <w:numFmt w:val="decimal"/>
      <w:suff w:val="nothing"/>
      <w:lvlText w:val="%1、"/>
      <w:lvlJc w:val="left"/>
    </w:lvl>
  </w:abstractNum>
  <w:abstractNum w:abstractNumId="1">
    <w:nsid w:val="C8106208"/>
    <w:multiLevelType w:val="singleLevel"/>
    <w:tmpl w:val="C8106208"/>
    <w:lvl w:ilvl="0" w:tentative="0">
      <w:start w:val="3"/>
      <w:numFmt w:val="decimal"/>
      <w:suff w:val="nothing"/>
      <w:lvlText w:val="%1、"/>
      <w:lvlJc w:val="left"/>
    </w:lvl>
  </w:abstractNum>
  <w:abstractNum w:abstractNumId="2">
    <w:nsid w:val="D8297831"/>
    <w:multiLevelType w:val="singleLevel"/>
    <w:tmpl w:val="D8297831"/>
    <w:lvl w:ilvl="0" w:tentative="0">
      <w:start w:val="1"/>
      <w:numFmt w:val="decimal"/>
      <w:suff w:val="nothing"/>
      <w:lvlText w:val="%1、"/>
      <w:lvlJc w:val="left"/>
    </w:lvl>
  </w:abstractNum>
  <w:abstractNum w:abstractNumId="3">
    <w:nsid w:val="E05BEA92"/>
    <w:multiLevelType w:val="singleLevel"/>
    <w:tmpl w:val="E05BEA92"/>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429C3596"/>
    <w:rsid w:val="00250730"/>
    <w:rsid w:val="002C161A"/>
    <w:rsid w:val="00372648"/>
    <w:rsid w:val="003A125E"/>
    <w:rsid w:val="003F4FA3"/>
    <w:rsid w:val="004C3812"/>
    <w:rsid w:val="00510CE0"/>
    <w:rsid w:val="005623BB"/>
    <w:rsid w:val="005E26F1"/>
    <w:rsid w:val="00606F4A"/>
    <w:rsid w:val="007268BE"/>
    <w:rsid w:val="007577B8"/>
    <w:rsid w:val="00925E38"/>
    <w:rsid w:val="00B278BD"/>
    <w:rsid w:val="00BB69D3"/>
    <w:rsid w:val="00BD0CE6"/>
    <w:rsid w:val="00CE77D0"/>
    <w:rsid w:val="00D540DC"/>
    <w:rsid w:val="00DB7A2C"/>
    <w:rsid w:val="00E25961"/>
    <w:rsid w:val="00E57F7C"/>
    <w:rsid w:val="00E65CBB"/>
    <w:rsid w:val="00F52FD8"/>
    <w:rsid w:val="00F5401F"/>
    <w:rsid w:val="00F74078"/>
    <w:rsid w:val="00FE7385"/>
    <w:rsid w:val="03083A13"/>
    <w:rsid w:val="031A5554"/>
    <w:rsid w:val="03EB5271"/>
    <w:rsid w:val="08B02111"/>
    <w:rsid w:val="09741A2E"/>
    <w:rsid w:val="0A610844"/>
    <w:rsid w:val="0AB31712"/>
    <w:rsid w:val="0AE82A66"/>
    <w:rsid w:val="0D1D6B9E"/>
    <w:rsid w:val="0DE46364"/>
    <w:rsid w:val="103B394D"/>
    <w:rsid w:val="10BE7B84"/>
    <w:rsid w:val="129B513F"/>
    <w:rsid w:val="13D81942"/>
    <w:rsid w:val="14283863"/>
    <w:rsid w:val="14D0166A"/>
    <w:rsid w:val="15490A9C"/>
    <w:rsid w:val="17233804"/>
    <w:rsid w:val="195B37A8"/>
    <w:rsid w:val="1A85028A"/>
    <w:rsid w:val="1B013CB7"/>
    <w:rsid w:val="1B245DDE"/>
    <w:rsid w:val="1C4619FB"/>
    <w:rsid w:val="1D036EAB"/>
    <w:rsid w:val="1ED04E2F"/>
    <w:rsid w:val="21111A70"/>
    <w:rsid w:val="25D20ADD"/>
    <w:rsid w:val="26152594"/>
    <w:rsid w:val="276B2E80"/>
    <w:rsid w:val="2820363B"/>
    <w:rsid w:val="2AB74D6A"/>
    <w:rsid w:val="2C5865F5"/>
    <w:rsid w:val="2E2671E3"/>
    <w:rsid w:val="2FCE3D70"/>
    <w:rsid w:val="312C6B83"/>
    <w:rsid w:val="35AD3819"/>
    <w:rsid w:val="360C15C8"/>
    <w:rsid w:val="375B16F8"/>
    <w:rsid w:val="397B0973"/>
    <w:rsid w:val="3BD82BA6"/>
    <w:rsid w:val="3C196B5E"/>
    <w:rsid w:val="3CCA6C49"/>
    <w:rsid w:val="3E9428A3"/>
    <w:rsid w:val="405A40B4"/>
    <w:rsid w:val="40EF7C62"/>
    <w:rsid w:val="429C3596"/>
    <w:rsid w:val="4496535B"/>
    <w:rsid w:val="478A6D63"/>
    <w:rsid w:val="4A8E5FA5"/>
    <w:rsid w:val="511E613F"/>
    <w:rsid w:val="536F72A7"/>
    <w:rsid w:val="558275C0"/>
    <w:rsid w:val="5A046BDB"/>
    <w:rsid w:val="5A0C7CAD"/>
    <w:rsid w:val="5A3932C6"/>
    <w:rsid w:val="5A6831D8"/>
    <w:rsid w:val="5D1B7B18"/>
    <w:rsid w:val="5D311076"/>
    <w:rsid w:val="5E7C1D97"/>
    <w:rsid w:val="5F2C3BB4"/>
    <w:rsid w:val="5F3063E0"/>
    <w:rsid w:val="5F562B8D"/>
    <w:rsid w:val="619F73C4"/>
    <w:rsid w:val="6260512D"/>
    <w:rsid w:val="6460175B"/>
    <w:rsid w:val="678D23C4"/>
    <w:rsid w:val="68C87588"/>
    <w:rsid w:val="6BCA34C9"/>
    <w:rsid w:val="6BDF77DC"/>
    <w:rsid w:val="6C300DB3"/>
    <w:rsid w:val="6CC2700A"/>
    <w:rsid w:val="6E177947"/>
    <w:rsid w:val="6E427D29"/>
    <w:rsid w:val="6F6E713D"/>
    <w:rsid w:val="6F7C722A"/>
    <w:rsid w:val="6FFF69BB"/>
    <w:rsid w:val="70B11649"/>
    <w:rsid w:val="73966AB0"/>
    <w:rsid w:val="73BE506A"/>
    <w:rsid w:val="771019C9"/>
    <w:rsid w:val="77750427"/>
    <w:rsid w:val="78DE3623"/>
    <w:rsid w:val="7A5B1AAD"/>
    <w:rsid w:val="7A9B0C20"/>
    <w:rsid w:val="7B5940A5"/>
    <w:rsid w:val="7C2E0782"/>
    <w:rsid w:val="7CC320EC"/>
    <w:rsid w:val="7DEB6F8A"/>
    <w:rsid w:val="7E6F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line="578" w:lineRule="auto"/>
      <w:jc w:val="both"/>
      <w:outlineLvl w:val="0"/>
    </w:pPr>
    <w:rPr>
      <w:rFonts w:ascii="Calibri" w:hAnsi="Calibri" w:eastAsia="黑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40" w:after="240" w:line="416" w:lineRule="auto"/>
      <w:jc w:val="both"/>
      <w:outlineLvl w:val="1"/>
    </w:pPr>
    <w:rPr>
      <w:rFonts w:ascii="Cambria" w:hAnsi="Cambria" w:eastAsia="仿宋" w:cs="Times New Roman"/>
      <w:b/>
      <w:bCs/>
      <w:sz w:val="40"/>
      <w:szCs w:val="32"/>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7"/>
    <w:next w:val="1"/>
    <w:qFormat/>
    <w:uiPriority w:val="0"/>
    <w:pPr>
      <w:keepNext/>
      <w:keepLines/>
      <w:widowControl w:val="0"/>
      <w:spacing w:before="240" w:after="64" w:line="317" w:lineRule="auto"/>
      <w:jc w:val="both"/>
      <w:outlineLvl w:val="6"/>
    </w:pPr>
    <w:rPr>
      <w:rFonts w:ascii="Times New Roman" w:hAnsi="Times New Roman" w:eastAsia="宋体" w:cs="Times New Roman"/>
      <w:b/>
      <w:sz w:val="24"/>
      <w:lang w:val="en-US" w:eastAsia="zh-CN" w:bidi="ar-SA"/>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snapToGrid w:val="0"/>
      <w:spacing w:line="320" w:lineRule="exact"/>
      <w:ind w:firstLine="413" w:firstLineChars="200"/>
    </w:pPr>
    <w:rPr>
      <w:rFonts w:ascii="宋体" w:hAnsi="宋体"/>
      <w:b/>
      <w:color w:val="000000"/>
    </w:rPr>
  </w:style>
  <w:style w:type="paragraph" w:styleId="7">
    <w:name w:val="Normal Indent"/>
    <w:basedOn w:val="1"/>
    <w:qFormat/>
    <w:uiPriority w:val="0"/>
    <w:pPr>
      <w:ind w:firstLine="420"/>
      <w:jc w:val="both"/>
    </w:pPr>
    <w:rPr>
      <w:rFonts w:ascii="仿宋_GB2312" w:hAnsi="Times New Roman" w:eastAsia="宋体"/>
      <w:b/>
      <w:kern w:val="2"/>
      <w:sz w:val="32"/>
      <w:szCs w:val="20"/>
      <w:lang w:eastAsia="zh-CN"/>
    </w:rPr>
  </w:style>
  <w:style w:type="paragraph" w:styleId="8">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9">
    <w:name w:val="Body Text 3"/>
    <w:qFormat/>
    <w:uiPriority w:val="0"/>
    <w:pPr>
      <w:widowControl w:val="0"/>
      <w:jc w:val="both"/>
    </w:pPr>
    <w:rPr>
      <w:rFonts w:ascii="宋体" w:hAnsi="Calibri" w:eastAsia="宋体" w:cs="Times New Roman"/>
      <w:kern w:val="2"/>
      <w:sz w:val="24"/>
      <w:lang w:val="en-US" w:eastAsia="zh-CN" w:bidi="ar-SA"/>
    </w:rPr>
  </w:style>
  <w:style w:type="paragraph" w:styleId="10">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next w:val="12"/>
    <w:unhideWhenUsed/>
    <w:qFormat/>
    <w:uiPriority w:val="0"/>
    <w:pPr>
      <w:widowControl w:val="0"/>
      <w:spacing w:after="120"/>
      <w:ind w:left="420" w:leftChars="200"/>
      <w:jc w:val="both"/>
    </w:pPr>
    <w:rPr>
      <w:rFonts w:ascii="Calibri" w:hAnsi="Calibri" w:eastAsia="宋体" w:cs="Times New Roman"/>
      <w:lang w:val="en-US" w:eastAsia="zh-CN" w:bidi="ar-SA"/>
    </w:rPr>
  </w:style>
  <w:style w:type="paragraph" w:styleId="12">
    <w:name w:val="envelope return"/>
    <w:qFormat/>
    <w:uiPriority w:val="0"/>
    <w:pPr>
      <w:widowControl w:val="0"/>
      <w:snapToGrid w:val="0"/>
      <w:jc w:val="both"/>
    </w:pPr>
    <w:rPr>
      <w:rFonts w:ascii="Arial" w:hAnsi="Arial" w:eastAsia="宋体" w:cs="Arial"/>
      <w:kern w:val="2"/>
      <w:sz w:val="21"/>
      <w:szCs w:val="22"/>
      <w:lang w:val="en-US" w:eastAsia="zh-CN" w:bidi="ar-SA"/>
    </w:rPr>
  </w:style>
  <w:style w:type="paragraph" w:styleId="13">
    <w:name w:val="Plain Text"/>
    <w:basedOn w:val="1"/>
    <w:next w:val="1"/>
    <w:qFormat/>
    <w:uiPriority w:val="99"/>
    <w:rPr>
      <w:rFonts w:ascii="宋体" w:hAnsi="Courier New" w:eastAsia="楷体_GB2312"/>
      <w:kern w:val="0"/>
      <w:sz w:val="20"/>
      <w:szCs w:val="24"/>
    </w:rPr>
  </w:style>
  <w:style w:type="paragraph" w:styleId="14">
    <w:name w:val="Balloon Text"/>
    <w:basedOn w:val="1"/>
    <w:link w:val="27"/>
    <w:qFormat/>
    <w:uiPriority w:val="0"/>
    <w:rPr>
      <w:sz w:val="18"/>
      <w:szCs w:val="18"/>
    </w:rPr>
  </w:style>
  <w:style w:type="paragraph" w:styleId="15">
    <w:name w:val="footer"/>
    <w:unhideWhenUsed/>
    <w:qFormat/>
    <w:uiPriority w:val="99"/>
    <w:pPr>
      <w:widowControl w:val="0"/>
      <w:tabs>
        <w:tab w:val="center" w:pos="4153"/>
        <w:tab w:val="right" w:pos="8306"/>
      </w:tabs>
      <w:snapToGrid w:val="0"/>
    </w:pPr>
    <w:rPr>
      <w:rFonts w:ascii="Calibri" w:hAnsi="Calibri" w:eastAsia="宋体" w:cs="Times New Roman"/>
      <w:sz w:val="18"/>
      <w:szCs w:val="18"/>
      <w:lang w:val="en-US" w:eastAsia="zh-CN" w:bidi="ar-SA"/>
    </w:rPr>
  </w:style>
  <w:style w:type="paragraph" w:styleId="16">
    <w:name w:val="toc 1"/>
    <w:next w:val="1"/>
    <w:unhideWhenUsed/>
    <w:qFormat/>
    <w:uiPriority w:val="39"/>
    <w:pPr>
      <w:widowControl w:val="0"/>
      <w:spacing w:before="120" w:after="120"/>
    </w:pPr>
    <w:rPr>
      <w:rFonts w:ascii="Calibri" w:hAnsi="Calibri" w:eastAsia="宋体" w:cs="Times New Roman"/>
      <w:b/>
      <w:bCs/>
      <w:caps/>
      <w:kern w:val="2"/>
      <w:lang w:val="en-US" w:eastAsia="zh-CN" w:bidi="ar-SA"/>
    </w:rPr>
  </w:style>
  <w:style w:type="paragraph" w:styleId="17">
    <w:name w:val="toc 2"/>
    <w:next w:val="1"/>
    <w:unhideWhenUsed/>
    <w:qFormat/>
    <w:uiPriority w:val="39"/>
    <w:pPr>
      <w:widowControl w:val="0"/>
      <w:ind w:left="210"/>
    </w:pPr>
    <w:rPr>
      <w:rFonts w:ascii="Calibri" w:hAnsi="Calibri" w:eastAsia="宋体" w:cs="Times New Roman"/>
      <w:smallCaps/>
      <w:kern w:val="2"/>
      <w:lang w:val="en-US" w:eastAsia="zh-CN" w:bidi="ar-SA"/>
    </w:rPr>
  </w:style>
  <w:style w:type="paragraph" w:styleId="18">
    <w:name w:val="Title"/>
    <w:basedOn w:val="1"/>
    <w:qFormat/>
    <w:uiPriority w:val="0"/>
    <w:pPr>
      <w:spacing w:before="240" w:after="60"/>
      <w:jc w:val="center"/>
      <w:outlineLvl w:val="0"/>
    </w:pPr>
    <w:rPr>
      <w:rFonts w:ascii="Arial" w:hAnsi="Arial"/>
      <w:b/>
      <w:bCs/>
      <w:kern w:val="0"/>
      <w:sz w:val="32"/>
      <w:szCs w:val="32"/>
    </w:rPr>
  </w:style>
  <w:style w:type="paragraph" w:styleId="19">
    <w:name w:val="Body Text First Indent"/>
    <w:next w:val="20"/>
    <w:link w:val="28"/>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20">
    <w:name w:val="Body Text First Indent 2"/>
    <w:link w:val="29"/>
    <w:unhideWhenUsed/>
    <w:qFormat/>
    <w:uiPriority w:val="99"/>
    <w:pPr>
      <w:spacing w:after="120" w:line="256" w:lineRule="auto"/>
      <w:ind w:left="420" w:leftChars="200" w:firstLine="420" w:firstLineChars="200"/>
    </w:pPr>
    <w:rPr>
      <w:rFonts w:ascii="Calibri" w:hAnsi="Calibri" w:eastAsia="Calibri" w:cs="Times New Roman"/>
      <w:color w:val="000000"/>
      <w:sz w:val="22"/>
      <w:lang w:val="en-US" w:eastAsia="zh-CN" w:bidi="ar-SA"/>
    </w:rPr>
  </w:style>
  <w:style w:type="character" w:styleId="23">
    <w:name w:val="Strong"/>
    <w:basedOn w:val="22"/>
    <w:qFormat/>
    <w:uiPriority w:val="0"/>
    <w:rPr>
      <w:b/>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自定表格内容"/>
    <w:qFormat/>
    <w:uiPriority w:val="0"/>
    <w:pPr>
      <w:widowControl w:val="0"/>
      <w:spacing w:line="360" w:lineRule="auto"/>
    </w:pPr>
    <w:rPr>
      <w:rFonts w:ascii="Calibri" w:hAnsi="Calibri" w:eastAsia="宋体" w:cs="Times New Roman"/>
      <w:kern w:val="2"/>
      <w:sz w:val="21"/>
      <w:szCs w:val="24"/>
      <w:lang w:val="en-US" w:eastAsia="zh-CN" w:bidi="ar-SA"/>
    </w:rPr>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7">
    <w:name w:val="批注框文本 Char"/>
    <w:basedOn w:val="22"/>
    <w:link w:val="14"/>
    <w:qFormat/>
    <w:uiPriority w:val="0"/>
    <w:rPr>
      <w:rFonts w:ascii="Calibri" w:hAnsi="Calibri" w:eastAsia="宋体" w:cs="Times New Roman"/>
      <w:kern w:val="2"/>
      <w:sz w:val="18"/>
      <w:szCs w:val="18"/>
    </w:rPr>
  </w:style>
  <w:style w:type="character" w:customStyle="1" w:styleId="28">
    <w:name w:val="正文首行缩进 Char"/>
    <w:link w:val="19"/>
    <w:qFormat/>
    <w:uiPriority w:val="0"/>
    <w:rPr>
      <w:rFonts w:ascii="Times New Roman" w:hAnsi="Times New Roman" w:eastAsia="宋体" w:cs="Times New Roman"/>
      <w:kern w:val="2"/>
      <w:sz w:val="21"/>
      <w:szCs w:val="24"/>
    </w:rPr>
  </w:style>
  <w:style w:type="character" w:customStyle="1" w:styleId="29">
    <w:name w:val="正文首行缩进 2 Char"/>
    <w:basedOn w:val="22"/>
    <w:link w:val="20"/>
    <w:qFormat/>
    <w:uiPriority w:val="99"/>
    <w:rPr>
      <w:rFonts w:ascii="Calibri" w:hAnsi="Calibri" w:eastAsia="Calibri" w:cs="Times New Roman"/>
      <w:color w:val="000000"/>
      <w:sz w:val="22"/>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4">
    <w:name w:val="null3"/>
    <w:qFormat/>
    <w:uiPriority w:val="0"/>
    <w:rPr>
      <w:rFonts w:hint="eastAsia" w:ascii="Calibri" w:hAnsi="Calibri" w:eastAsia="宋体" w:cs="Times New Roman"/>
      <w:lang w:val="en-US" w:eastAsia="zh-Hans"/>
    </w:rPr>
  </w:style>
  <w:style w:type="paragraph" w:customStyle="1" w:styleId="35">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customStyle="1" w:styleId="36">
    <w:name w:val="样式 宋体 行距: 1.5 倍行距"/>
    <w:basedOn w:val="1"/>
    <w:qFormat/>
    <w:uiPriority w:val="0"/>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098A9-073B-4291-9AFE-AA7CE701A6A2}">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16390</Words>
  <Characters>17432</Characters>
  <Lines>208</Lines>
  <Paragraphs>58</Paragraphs>
  <TotalTime>2</TotalTime>
  <ScaleCrop>false</ScaleCrop>
  <LinksUpToDate>false</LinksUpToDate>
  <CharactersWithSpaces>17709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2025-03-18T02:52:00Z</dcterms:created>
  <dc:creator>Administrator</dc:creator>
  <cp:lastModifiedBy>小娴</cp:lastModifiedBy>
  <cp:lastPrinted>2025-07-01T03:28:00Z</cp:lastPrinted>
  <dcterms:modified xsi:type="dcterms:W3CDTF">2025-07-02T07:23:18Z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5695F12F44AE4FA9BEC92B440305C859_13</vt:lpwstr>
  </property>
  <property fmtid="{D5CDD505-2E9C-101B-9397-08002B2CF9AE}" pid="4" name="KSOTemplateDocerSaveRecord">
    <vt:lpwstr>eyJoZGlkIjoiYjNkOGQwY2ZiYWY0ZTJmZTkwMDZlNmYwYzczYWZjMGEiLCJ1c2VySWQiOiI1MTk3MDM5MTAifQ==</vt:lpwstr>
  </property>
</Properties>
</file>