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82D849">
      <w:pPr>
        <w:spacing w:line="360" w:lineRule="auto"/>
        <w:jc w:val="center"/>
        <w:rPr>
          <w:rFonts w:hint="eastAsia" w:ascii="宋体" w:hAnsi="宋体" w:eastAsia="宋体" w:cs="宋体"/>
          <w:b/>
          <w:bCs/>
          <w:color w:val="auto"/>
          <w:sz w:val="48"/>
          <w:szCs w:val="48"/>
          <w:highlight w:val="none"/>
          <w:lang w:eastAsia="zh-CN"/>
        </w:rPr>
      </w:pPr>
      <w:r>
        <w:rPr>
          <w:rFonts w:hint="eastAsia" w:ascii="宋体" w:hAnsi="宋体" w:eastAsia="黑体" w:cs="宋体"/>
          <w:b/>
          <w:bCs/>
          <w:color w:val="auto"/>
          <w:sz w:val="48"/>
          <w:szCs w:val="48"/>
          <w:highlight w:val="none"/>
          <w:lang w:eastAsia="zh-CN"/>
        </w:rPr>
        <w:t>智造创新园石碁镇225亩前锋西地块配套道路检测、监测服务</w:t>
      </w:r>
    </w:p>
    <w:p w14:paraId="0C1D942C">
      <w:pPr>
        <w:spacing w:line="360" w:lineRule="auto"/>
        <w:rPr>
          <w:rFonts w:ascii="宋体" w:hAnsi="宋体" w:cs="宋体"/>
          <w:color w:val="auto"/>
          <w:sz w:val="28"/>
          <w:szCs w:val="28"/>
          <w:highlight w:val="none"/>
        </w:rPr>
      </w:pPr>
    </w:p>
    <w:p w14:paraId="426CC9D1">
      <w:pPr>
        <w:spacing w:line="360" w:lineRule="auto"/>
        <w:rPr>
          <w:rFonts w:ascii="宋体" w:hAnsi="宋体" w:cs="宋体"/>
          <w:color w:val="auto"/>
          <w:sz w:val="36"/>
          <w:szCs w:val="36"/>
          <w:highlight w:val="none"/>
        </w:rPr>
      </w:pPr>
    </w:p>
    <w:p w14:paraId="65BE2DE1">
      <w:pPr>
        <w:spacing w:line="360" w:lineRule="auto"/>
        <w:rPr>
          <w:rFonts w:ascii="宋体" w:hAnsi="宋体" w:cs="宋体"/>
          <w:color w:val="auto"/>
          <w:highlight w:val="none"/>
        </w:rPr>
      </w:pPr>
    </w:p>
    <w:p w14:paraId="38072ECF">
      <w:pPr>
        <w:spacing w:line="360" w:lineRule="auto"/>
        <w:rPr>
          <w:rFonts w:ascii="宋体" w:hAnsi="宋体" w:cs="宋体"/>
          <w:color w:val="auto"/>
          <w:highlight w:val="none"/>
        </w:rPr>
      </w:pPr>
    </w:p>
    <w:p w14:paraId="589B1AA1">
      <w:pPr>
        <w:spacing w:line="360" w:lineRule="auto"/>
        <w:rPr>
          <w:rFonts w:ascii="宋体" w:hAnsi="宋体" w:cs="宋体"/>
          <w:color w:val="auto"/>
          <w:sz w:val="28"/>
          <w:szCs w:val="28"/>
          <w:highlight w:val="none"/>
        </w:rPr>
      </w:pPr>
    </w:p>
    <w:p w14:paraId="30A64A80">
      <w:pPr>
        <w:pStyle w:val="8"/>
        <w:spacing w:line="360" w:lineRule="auto"/>
        <w:rPr>
          <w:rFonts w:hAnsi="宋体" w:cs="宋体"/>
          <w:color w:val="auto"/>
          <w:sz w:val="28"/>
          <w:szCs w:val="28"/>
          <w:highlight w:val="none"/>
        </w:rPr>
      </w:pPr>
    </w:p>
    <w:p w14:paraId="77A1231D">
      <w:pPr>
        <w:spacing w:line="360" w:lineRule="auto"/>
        <w:rPr>
          <w:rFonts w:ascii="宋体" w:hAnsi="宋体" w:cs="宋体"/>
          <w:color w:val="auto"/>
          <w:sz w:val="28"/>
          <w:highlight w:val="none"/>
        </w:rPr>
      </w:pPr>
    </w:p>
    <w:p w14:paraId="467FF085">
      <w:pPr>
        <w:spacing w:line="360" w:lineRule="auto"/>
        <w:jc w:val="center"/>
        <w:rPr>
          <w:rFonts w:ascii="宋体" w:hAnsi="宋体" w:cs="宋体"/>
          <w:b/>
          <w:bCs/>
          <w:color w:val="auto"/>
          <w:sz w:val="84"/>
          <w:szCs w:val="84"/>
          <w:highlight w:val="none"/>
        </w:rPr>
      </w:pPr>
      <w:r>
        <w:rPr>
          <w:rFonts w:hint="eastAsia" w:ascii="宋体" w:hAnsi="宋体" w:cs="宋体"/>
          <w:b/>
          <w:bCs/>
          <w:color w:val="auto"/>
          <w:sz w:val="84"/>
          <w:szCs w:val="84"/>
          <w:highlight w:val="none"/>
        </w:rPr>
        <w:t>招标公告</w:t>
      </w:r>
    </w:p>
    <w:p w14:paraId="23B5E3DD">
      <w:pPr>
        <w:spacing w:line="360" w:lineRule="auto"/>
        <w:rPr>
          <w:rFonts w:ascii="宋体" w:hAnsi="宋体" w:cs="宋体"/>
          <w:color w:val="auto"/>
          <w:highlight w:val="none"/>
        </w:rPr>
      </w:pPr>
    </w:p>
    <w:p w14:paraId="42603310">
      <w:pPr>
        <w:spacing w:line="360" w:lineRule="auto"/>
        <w:rPr>
          <w:rFonts w:ascii="宋体" w:hAnsi="宋体" w:cs="宋体"/>
          <w:color w:val="auto"/>
          <w:highlight w:val="none"/>
        </w:rPr>
      </w:pPr>
    </w:p>
    <w:p w14:paraId="08E662AC">
      <w:pPr>
        <w:spacing w:line="360" w:lineRule="auto"/>
        <w:rPr>
          <w:rFonts w:ascii="宋体" w:hAnsi="宋体" w:cs="宋体"/>
          <w:color w:val="auto"/>
          <w:highlight w:val="none"/>
        </w:rPr>
      </w:pPr>
    </w:p>
    <w:p w14:paraId="192120A9">
      <w:pPr>
        <w:spacing w:line="360" w:lineRule="auto"/>
        <w:rPr>
          <w:rFonts w:ascii="宋体" w:hAnsi="宋体" w:cs="宋体"/>
          <w:color w:val="auto"/>
          <w:highlight w:val="none"/>
        </w:rPr>
      </w:pPr>
    </w:p>
    <w:p w14:paraId="53B64CE1">
      <w:pPr>
        <w:pStyle w:val="12"/>
        <w:spacing w:line="360" w:lineRule="auto"/>
        <w:ind w:firstLine="210"/>
        <w:rPr>
          <w:rFonts w:ascii="宋体" w:hAnsi="宋体"/>
          <w:color w:val="auto"/>
          <w:highlight w:val="none"/>
        </w:rPr>
      </w:pPr>
    </w:p>
    <w:p w14:paraId="1C71F02D">
      <w:pPr>
        <w:pStyle w:val="12"/>
        <w:spacing w:line="360" w:lineRule="auto"/>
        <w:ind w:firstLine="210"/>
        <w:rPr>
          <w:rFonts w:ascii="宋体" w:hAnsi="宋体"/>
          <w:color w:val="auto"/>
          <w:highlight w:val="none"/>
        </w:rPr>
      </w:pPr>
    </w:p>
    <w:p w14:paraId="199D2B79">
      <w:pPr>
        <w:spacing w:line="360" w:lineRule="auto"/>
        <w:rPr>
          <w:rFonts w:ascii="宋体" w:hAnsi="宋体" w:cs="宋体"/>
          <w:color w:val="auto"/>
          <w:highlight w:val="none"/>
        </w:rPr>
      </w:pPr>
    </w:p>
    <w:p w14:paraId="2341E576">
      <w:pPr>
        <w:spacing w:line="360" w:lineRule="auto"/>
        <w:ind w:left="2564" w:leftChars="456" w:hanging="1606" w:hangingChars="500"/>
        <w:rPr>
          <w:rFonts w:hint="eastAsia" w:ascii="宋体" w:hAnsi="宋体" w:cs="宋体"/>
          <w:b/>
          <w:bCs/>
          <w:color w:val="auto"/>
          <w:sz w:val="32"/>
          <w:szCs w:val="32"/>
          <w:highlight w:val="none"/>
          <w:lang w:eastAsia="zh-CN"/>
        </w:rPr>
      </w:pPr>
      <w:r>
        <w:rPr>
          <w:rFonts w:hint="eastAsia" w:ascii="宋体" w:hAnsi="宋体" w:cs="宋体"/>
          <w:b/>
          <w:bCs/>
          <w:color w:val="auto"/>
          <w:sz w:val="32"/>
          <w:szCs w:val="32"/>
          <w:highlight w:val="none"/>
        </w:rPr>
        <w:t>招标单位：</w:t>
      </w:r>
      <w:r>
        <w:rPr>
          <w:rFonts w:hint="eastAsia" w:ascii="宋体" w:hAnsi="宋体" w:cs="宋体"/>
          <w:b/>
          <w:bCs/>
          <w:color w:val="auto"/>
          <w:sz w:val="32"/>
          <w:szCs w:val="32"/>
          <w:highlight w:val="none"/>
          <w:lang w:eastAsia="zh-CN"/>
        </w:rPr>
        <w:t>(主)广州番禺产投建设管理有限公司</w:t>
      </w:r>
    </w:p>
    <w:p w14:paraId="50570167">
      <w:pPr>
        <w:spacing w:line="360" w:lineRule="auto"/>
        <w:ind w:left="2554" w:leftChars="1216" w:firstLine="0" w:firstLineChars="0"/>
        <w:rPr>
          <w:rFonts w:hint="eastAsia" w:ascii="宋体" w:hAnsi="宋体" w:eastAsia="宋体" w:cs="宋体"/>
          <w:b/>
          <w:bCs/>
          <w:color w:val="auto"/>
          <w:sz w:val="32"/>
          <w:szCs w:val="32"/>
          <w:highlight w:val="none"/>
          <w:u w:val="single"/>
          <w:lang w:eastAsia="zh-CN"/>
        </w:rPr>
      </w:pPr>
      <w:r>
        <w:rPr>
          <w:rFonts w:hint="eastAsia" w:ascii="宋体" w:hAnsi="宋体" w:cs="宋体"/>
          <w:b/>
          <w:bCs/>
          <w:color w:val="auto"/>
          <w:sz w:val="32"/>
          <w:szCs w:val="32"/>
          <w:highlight w:val="none"/>
          <w:lang w:eastAsia="zh-CN"/>
        </w:rPr>
        <w:t>(成)广州市盈泰房地产有限公司</w:t>
      </w:r>
    </w:p>
    <w:p w14:paraId="633175F6">
      <w:pPr>
        <w:spacing w:line="360" w:lineRule="auto"/>
        <w:ind w:firstLine="945"/>
        <w:rPr>
          <w:rFonts w:hint="eastAsia" w:ascii="宋体" w:hAnsi="宋体" w:eastAsia="宋体" w:cs="宋体"/>
          <w:b/>
          <w:bCs/>
          <w:color w:val="auto"/>
          <w:sz w:val="32"/>
          <w:szCs w:val="32"/>
          <w:highlight w:val="none"/>
          <w:u w:val="single"/>
          <w:lang w:eastAsia="zh-CN"/>
        </w:rPr>
      </w:pPr>
      <w:r>
        <w:rPr>
          <w:rFonts w:hint="eastAsia" w:ascii="宋体" w:hAnsi="宋体" w:cs="宋体"/>
          <w:b/>
          <w:bCs/>
          <w:color w:val="auto"/>
          <w:sz w:val="32"/>
          <w:szCs w:val="32"/>
          <w:highlight w:val="none"/>
        </w:rPr>
        <w:t>招标代理单位：</w:t>
      </w:r>
      <w:r>
        <w:rPr>
          <w:rFonts w:hint="eastAsia" w:ascii="宋体" w:hAnsi="宋体" w:cs="宋体"/>
          <w:b/>
          <w:color w:val="auto"/>
          <w:kern w:val="0"/>
          <w:sz w:val="32"/>
          <w:szCs w:val="32"/>
          <w:highlight w:val="none"/>
          <w:lang w:eastAsia="zh-CN"/>
        </w:rPr>
        <w:t>广东华建兴工程管理有限公司</w:t>
      </w:r>
    </w:p>
    <w:p w14:paraId="64C8E594">
      <w:pPr>
        <w:spacing w:line="360" w:lineRule="auto"/>
        <w:ind w:firstLine="945"/>
        <w:rPr>
          <w:rFonts w:ascii="宋体" w:hAnsi="宋体" w:cs="宋体"/>
          <w:b/>
          <w:bCs/>
          <w:color w:val="auto"/>
          <w:sz w:val="32"/>
          <w:szCs w:val="32"/>
          <w:highlight w:val="none"/>
        </w:rPr>
      </w:pPr>
      <w:r>
        <w:rPr>
          <w:rFonts w:hint="eastAsia" w:ascii="宋体" w:hAnsi="宋体" w:cs="宋体"/>
          <w:b/>
          <w:bCs/>
          <w:color w:val="auto"/>
          <w:sz w:val="32"/>
          <w:szCs w:val="32"/>
          <w:highlight w:val="none"/>
        </w:rPr>
        <w:t>日期：</w:t>
      </w:r>
      <w:r>
        <w:rPr>
          <w:rFonts w:ascii="宋体" w:hAnsi="宋体" w:cs="宋体"/>
          <w:b/>
          <w:bCs/>
          <w:color w:val="auto"/>
          <w:sz w:val="32"/>
          <w:szCs w:val="32"/>
          <w:highlight w:val="none"/>
        </w:rPr>
        <w:t>20</w:t>
      </w:r>
      <w:r>
        <w:rPr>
          <w:rFonts w:hint="eastAsia" w:ascii="宋体" w:hAnsi="宋体" w:cs="宋体"/>
          <w:b/>
          <w:bCs/>
          <w:color w:val="auto"/>
          <w:sz w:val="32"/>
          <w:szCs w:val="32"/>
          <w:highlight w:val="none"/>
        </w:rPr>
        <w:t>25年</w:t>
      </w:r>
      <w:r>
        <w:rPr>
          <w:rFonts w:hint="eastAsia" w:ascii="宋体" w:hAnsi="宋体" w:cs="宋体"/>
          <w:b/>
          <w:bCs/>
          <w:color w:val="auto"/>
          <w:sz w:val="32"/>
          <w:szCs w:val="32"/>
          <w:highlight w:val="none"/>
          <w:lang w:val="en-US" w:eastAsia="zh-CN"/>
        </w:rPr>
        <w:t>7</w:t>
      </w:r>
      <w:r>
        <w:rPr>
          <w:rFonts w:hint="eastAsia" w:ascii="宋体" w:hAnsi="宋体" w:cs="宋体"/>
          <w:b/>
          <w:bCs/>
          <w:color w:val="auto"/>
          <w:sz w:val="32"/>
          <w:szCs w:val="32"/>
          <w:highlight w:val="none"/>
        </w:rPr>
        <w:t>月</w:t>
      </w:r>
    </w:p>
    <w:p w14:paraId="26C35669">
      <w:pPr>
        <w:spacing w:line="360" w:lineRule="auto"/>
        <w:jc w:val="center"/>
        <w:rPr>
          <w:rFonts w:ascii="宋体" w:hAnsi="宋体" w:cs="宋体"/>
          <w:color w:val="auto"/>
          <w:sz w:val="28"/>
          <w:highlight w:val="none"/>
        </w:rPr>
      </w:pPr>
    </w:p>
    <w:p w14:paraId="06B9F951">
      <w:pPr>
        <w:tabs>
          <w:tab w:val="left" w:pos="2130"/>
        </w:tabs>
        <w:spacing w:line="360" w:lineRule="auto"/>
        <w:rPr>
          <w:rFonts w:eastAsia="黑体"/>
          <w:color w:val="auto"/>
          <w:sz w:val="32"/>
          <w:szCs w:val="32"/>
          <w:highlight w:val="none"/>
        </w:rPr>
      </w:pPr>
    </w:p>
    <w:p w14:paraId="1E44AD4D">
      <w:pPr>
        <w:spacing w:line="360" w:lineRule="auto"/>
        <w:jc w:val="center"/>
        <w:rPr>
          <w:rFonts w:eastAsia="黑体"/>
          <w:color w:val="auto"/>
          <w:sz w:val="32"/>
          <w:szCs w:val="32"/>
          <w:highlight w:val="none"/>
          <w:u w:val="single"/>
        </w:rPr>
      </w:pPr>
      <w:r>
        <w:rPr>
          <w:rFonts w:eastAsia="黑体"/>
          <w:color w:val="auto"/>
          <w:sz w:val="32"/>
          <w:szCs w:val="32"/>
          <w:highlight w:val="none"/>
        </w:rPr>
        <w:br w:type="page"/>
      </w:r>
      <w:r>
        <w:rPr>
          <w:rFonts w:hint="eastAsia" w:eastAsia="黑体"/>
          <w:color w:val="auto"/>
          <w:sz w:val="32"/>
          <w:szCs w:val="32"/>
          <w:highlight w:val="none"/>
          <w:lang w:eastAsia="zh-CN"/>
        </w:rPr>
        <w:t>智造创新园石碁镇225亩前锋西地块配套道路检测、监测服务</w:t>
      </w:r>
      <w:r>
        <w:rPr>
          <w:rFonts w:eastAsia="黑体"/>
          <w:color w:val="auto"/>
          <w:sz w:val="32"/>
          <w:szCs w:val="32"/>
          <w:highlight w:val="none"/>
        </w:rPr>
        <w:t>招标公告</w:t>
      </w:r>
    </w:p>
    <w:p w14:paraId="68B71DC1">
      <w:pPr>
        <w:pStyle w:val="3"/>
        <w:keepNext w:val="0"/>
        <w:keepLines w:val="0"/>
        <w:spacing w:before="0" w:after="0" w:line="360" w:lineRule="auto"/>
        <w:rPr>
          <w:rFonts w:ascii="Times New Roman" w:hAnsi="Times New Roman"/>
          <w:color w:val="auto"/>
          <w:highlight w:val="none"/>
        </w:rPr>
      </w:pPr>
      <w:bookmarkStart w:id="0" w:name="_Toc511557025"/>
      <w:bookmarkStart w:id="1" w:name="_Toc514099623"/>
      <w:r>
        <w:rPr>
          <w:rFonts w:ascii="Times New Roman" w:hAnsi="Times New Roman"/>
          <w:color w:val="auto"/>
          <w:highlight w:val="none"/>
        </w:rPr>
        <w:t>1. 招标条件</w:t>
      </w:r>
      <w:bookmarkEnd w:id="0"/>
      <w:bookmarkEnd w:id="1"/>
    </w:p>
    <w:p w14:paraId="79441814">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本招标项目</w:t>
      </w:r>
      <w:r>
        <w:rPr>
          <w:rFonts w:hint="eastAsia" w:ascii="宋体" w:hAnsi="宋体"/>
          <w:color w:val="auto"/>
          <w:sz w:val="24"/>
          <w:szCs w:val="24"/>
          <w:highlight w:val="none"/>
          <w:u w:val="single"/>
          <w:lang w:eastAsia="zh-CN"/>
        </w:rPr>
        <w:t>智造创新园石碁镇225亩前锋西地块配套道路</w:t>
      </w:r>
      <w:r>
        <w:rPr>
          <w:rFonts w:ascii="宋体" w:hAnsi="宋体"/>
          <w:color w:val="auto"/>
          <w:sz w:val="24"/>
          <w:szCs w:val="24"/>
          <w:highlight w:val="none"/>
        </w:rPr>
        <w:t>已由</w:t>
      </w:r>
      <w:r>
        <w:rPr>
          <w:rFonts w:hint="eastAsia" w:ascii="宋体" w:hAnsi="宋体"/>
          <w:color w:val="auto"/>
          <w:sz w:val="24"/>
          <w:highlight w:val="none"/>
          <w:u w:val="single"/>
        </w:rPr>
        <w:t>穗番发改投批</w:t>
      </w:r>
      <w:r>
        <w:rPr>
          <w:rFonts w:hint="eastAsia" w:ascii="宋体" w:hAnsi="宋体"/>
          <w:color w:val="auto"/>
          <w:sz w:val="24"/>
          <w:highlight w:val="none"/>
          <w:u w:val="single"/>
          <w:lang w:val="en-US" w:eastAsia="zh-CN"/>
        </w:rPr>
        <w:t>[</w:t>
      </w:r>
      <w:r>
        <w:rPr>
          <w:rFonts w:hint="eastAsia" w:ascii="宋体" w:hAnsi="宋体"/>
          <w:color w:val="auto"/>
          <w:sz w:val="24"/>
          <w:highlight w:val="none"/>
          <w:u w:val="single"/>
        </w:rPr>
        <w:t>2024</w:t>
      </w:r>
      <w:r>
        <w:rPr>
          <w:rFonts w:hint="eastAsia" w:ascii="宋体" w:hAnsi="宋体"/>
          <w:color w:val="auto"/>
          <w:sz w:val="24"/>
          <w:highlight w:val="none"/>
          <w:u w:val="single"/>
          <w:lang w:val="en-US" w:eastAsia="zh-CN"/>
        </w:rPr>
        <w:t>]</w:t>
      </w:r>
      <w:r>
        <w:rPr>
          <w:rFonts w:hint="eastAsia" w:ascii="宋体" w:hAnsi="宋体"/>
          <w:color w:val="auto"/>
          <w:sz w:val="24"/>
          <w:highlight w:val="none"/>
          <w:u w:val="single"/>
        </w:rPr>
        <w:t>159号</w:t>
      </w:r>
      <w:r>
        <w:rPr>
          <w:rFonts w:ascii="宋体" w:hAnsi="宋体"/>
          <w:color w:val="auto"/>
          <w:sz w:val="24"/>
          <w:szCs w:val="24"/>
          <w:highlight w:val="none"/>
        </w:rPr>
        <w:t>批准建设，项目业主为</w:t>
      </w:r>
      <w:r>
        <w:rPr>
          <w:rFonts w:hint="eastAsia" w:ascii="宋体" w:hAnsi="宋体" w:cs="宋体"/>
          <w:color w:val="auto"/>
          <w:sz w:val="24"/>
          <w:szCs w:val="24"/>
          <w:highlight w:val="none"/>
          <w:u w:val="single"/>
        </w:rPr>
        <w:t>广州市番禺区基本建设投资管理中心</w:t>
      </w:r>
      <w:r>
        <w:rPr>
          <w:rFonts w:hint="eastAsia" w:ascii="宋体" w:hAnsi="宋体" w:cs="宋体"/>
          <w:color w:val="auto"/>
          <w:sz w:val="24"/>
          <w:szCs w:val="24"/>
          <w:highlight w:val="none"/>
          <w:lang w:val="zh-CN"/>
        </w:rPr>
        <w:t>，</w:t>
      </w:r>
      <w:r>
        <w:rPr>
          <w:rFonts w:ascii="宋体" w:hAnsi="宋体"/>
          <w:color w:val="auto"/>
          <w:sz w:val="24"/>
          <w:szCs w:val="24"/>
          <w:highlight w:val="none"/>
        </w:rPr>
        <w:t>建设资金来自</w:t>
      </w:r>
      <w:r>
        <w:rPr>
          <w:rFonts w:hint="eastAsia" w:ascii="宋体" w:hAnsi="宋体"/>
          <w:color w:val="auto"/>
          <w:sz w:val="24"/>
          <w:szCs w:val="24"/>
          <w:highlight w:val="none"/>
          <w:u w:val="single"/>
        </w:rPr>
        <w:t>财政资金</w:t>
      </w:r>
      <w:r>
        <w:rPr>
          <w:rFonts w:hint="eastAsia" w:ascii="宋体" w:hAnsi="宋体"/>
          <w:color w:val="auto"/>
          <w:sz w:val="24"/>
          <w:szCs w:val="24"/>
          <w:highlight w:val="none"/>
        </w:rPr>
        <w:t>。</w:t>
      </w:r>
      <w:r>
        <w:rPr>
          <w:rFonts w:ascii="宋体" w:hAnsi="宋体"/>
          <w:color w:val="auto"/>
          <w:sz w:val="24"/>
          <w:szCs w:val="24"/>
          <w:highlight w:val="none"/>
        </w:rPr>
        <w:t>出资比例为</w:t>
      </w:r>
      <w:r>
        <w:rPr>
          <w:rFonts w:hint="eastAsia" w:ascii="宋体" w:hAnsi="宋体"/>
          <w:color w:val="auto"/>
          <w:sz w:val="24"/>
          <w:szCs w:val="24"/>
          <w:highlight w:val="none"/>
          <w:u w:val="single"/>
        </w:rPr>
        <w:t>100%</w:t>
      </w:r>
      <w:r>
        <w:rPr>
          <w:rFonts w:ascii="宋体" w:hAnsi="宋体"/>
          <w:color w:val="auto"/>
          <w:sz w:val="24"/>
          <w:szCs w:val="24"/>
          <w:highlight w:val="none"/>
        </w:rPr>
        <w:t>，招标人为</w:t>
      </w:r>
      <w:r>
        <w:rPr>
          <w:rFonts w:hint="eastAsia" w:ascii="宋体" w:hAnsi="宋体" w:cs="宋体"/>
          <w:color w:val="auto"/>
          <w:sz w:val="24"/>
          <w:szCs w:val="24"/>
          <w:highlight w:val="none"/>
          <w:u w:val="single"/>
          <w:lang w:val="zh-CN"/>
        </w:rPr>
        <w:t>(主)广州番禺产投建设管理有限公司(成)广州市盈泰房地产有限公司</w:t>
      </w:r>
      <w:r>
        <w:rPr>
          <w:rFonts w:ascii="宋体" w:hAnsi="宋体"/>
          <w:color w:val="auto"/>
          <w:sz w:val="24"/>
          <w:szCs w:val="24"/>
          <w:highlight w:val="none"/>
        </w:rPr>
        <w:t>。项目已具备招标条件，现对该项目的</w:t>
      </w:r>
      <w:r>
        <w:rPr>
          <w:rFonts w:hint="eastAsia" w:ascii="宋体" w:hAnsi="宋体" w:cs="宋体"/>
          <w:color w:val="auto"/>
          <w:sz w:val="24"/>
          <w:highlight w:val="none"/>
          <w:u w:val="single"/>
        </w:rPr>
        <w:t>检测、监测服务项目</w:t>
      </w:r>
      <w:r>
        <w:rPr>
          <w:rFonts w:ascii="宋体" w:hAnsi="宋体"/>
          <w:color w:val="auto"/>
          <w:sz w:val="24"/>
          <w:szCs w:val="24"/>
          <w:highlight w:val="none"/>
        </w:rPr>
        <w:t>进行公开招标。</w:t>
      </w:r>
    </w:p>
    <w:p w14:paraId="2A977C4B">
      <w:pPr>
        <w:spacing w:line="360" w:lineRule="auto"/>
        <w:ind w:firstLine="480" w:firstLineChars="200"/>
        <w:rPr>
          <w:rFonts w:ascii="宋体" w:hAnsi="宋体"/>
          <w:color w:val="auto"/>
          <w:sz w:val="24"/>
          <w:szCs w:val="24"/>
          <w:highlight w:val="none"/>
        </w:rPr>
      </w:pPr>
    </w:p>
    <w:p w14:paraId="05CF1F77">
      <w:pPr>
        <w:pStyle w:val="3"/>
        <w:keepNext w:val="0"/>
        <w:keepLines w:val="0"/>
        <w:spacing w:before="0" w:after="0" w:line="360" w:lineRule="auto"/>
        <w:rPr>
          <w:rFonts w:ascii="Times New Roman" w:hAnsi="Times New Roman"/>
          <w:color w:val="auto"/>
          <w:highlight w:val="none"/>
        </w:rPr>
      </w:pPr>
      <w:bookmarkStart w:id="2" w:name="_Toc514099624"/>
      <w:bookmarkStart w:id="3" w:name="_Toc511557026"/>
      <w:r>
        <w:rPr>
          <w:rFonts w:ascii="Times New Roman" w:hAnsi="Times New Roman"/>
          <w:color w:val="auto"/>
          <w:highlight w:val="none"/>
        </w:rPr>
        <w:t>2. 项目概况与</w:t>
      </w:r>
      <w:r>
        <w:rPr>
          <w:rFonts w:hint="eastAsia" w:ascii="Times New Roman" w:hAnsi="Times New Roman"/>
          <w:color w:val="auto"/>
          <w:highlight w:val="none"/>
        </w:rPr>
        <w:t>招标范围</w:t>
      </w:r>
      <w:bookmarkEnd w:id="2"/>
      <w:bookmarkEnd w:id="3"/>
    </w:p>
    <w:p w14:paraId="3BEB294E">
      <w:pPr>
        <w:tabs>
          <w:tab w:val="left" w:pos="7513"/>
        </w:tabs>
        <w:spacing w:line="360" w:lineRule="auto"/>
        <w:ind w:firstLine="424" w:firstLineChars="177"/>
        <w:rPr>
          <w:rFonts w:ascii="宋体" w:hAnsi="宋体"/>
          <w:color w:val="auto"/>
          <w:sz w:val="24"/>
          <w:szCs w:val="24"/>
          <w:highlight w:val="none"/>
        </w:rPr>
      </w:pPr>
      <w:r>
        <w:rPr>
          <w:rFonts w:hint="eastAsia" w:ascii="宋体" w:hAnsi="宋体"/>
          <w:color w:val="auto"/>
          <w:sz w:val="24"/>
          <w:szCs w:val="24"/>
          <w:highlight w:val="none"/>
        </w:rPr>
        <w:t>2.1招标项目概况</w:t>
      </w:r>
    </w:p>
    <w:p w14:paraId="3DA74F76">
      <w:pPr>
        <w:tabs>
          <w:tab w:val="left" w:pos="7513"/>
        </w:tabs>
        <w:spacing w:line="360" w:lineRule="auto"/>
        <w:ind w:firstLine="424" w:firstLineChars="177"/>
        <w:rPr>
          <w:rFonts w:hint="eastAsia" w:ascii="宋体" w:hAnsi="宋体" w:eastAsia="宋体" w:cs="宋体"/>
          <w:color w:val="auto"/>
          <w:sz w:val="24"/>
          <w:highlight w:val="none"/>
          <w:u w:val="single"/>
          <w:lang w:eastAsia="zh-CN"/>
        </w:rPr>
      </w:pPr>
      <w:r>
        <w:rPr>
          <w:rFonts w:hint="eastAsia" w:ascii="宋体" w:hAnsi="宋体"/>
          <w:color w:val="auto"/>
          <w:sz w:val="24"/>
          <w:szCs w:val="24"/>
          <w:highlight w:val="none"/>
        </w:rPr>
        <w:t>2.1.1招标项目名称：</w:t>
      </w:r>
      <w:r>
        <w:rPr>
          <w:rFonts w:hint="eastAsia" w:ascii="宋体" w:hAnsi="宋体" w:cs="宋体"/>
          <w:color w:val="auto"/>
          <w:sz w:val="24"/>
          <w:highlight w:val="none"/>
          <w:u w:val="single"/>
          <w:lang w:eastAsia="zh-CN"/>
        </w:rPr>
        <w:t>智造创新园石碁镇225亩前锋西地块配套道路检测、监测服务</w:t>
      </w:r>
    </w:p>
    <w:p w14:paraId="475D2BFA">
      <w:pPr>
        <w:tabs>
          <w:tab w:val="left" w:pos="7513"/>
        </w:tabs>
        <w:spacing w:line="360" w:lineRule="auto"/>
        <w:ind w:firstLine="424" w:firstLineChars="177"/>
        <w:rPr>
          <w:rFonts w:hint="eastAsia" w:ascii="宋体" w:hAnsi="宋体" w:eastAsia="宋体"/>
          <w:color w:val="auto"/>
          <w:sz w:val="24"/>
          <w:szCs w:val="24"/>
          <w:highlight w:val="none"/>
          <w:u w:val="single"/>
          <w:lang w:eastAsia="zh-CN"/>
        </w:rPr>
      </w:pPr>
      <w:r>
        <w:rPr>
          <w:rFonts w:ascii="宋体" w:hAnsi="宋体"/>
          <w:color w:val="auto"/>
          <w:sz w:val="24"/>
          <w:szCs w:val="24"/>
          <w:highlight w:val="none"/>
        </w:rPr>
        <w:t>2.</w:t>
      </w:r>
      <w:r>
        <w:rPr>
          <w:rFonts w:hint="eastAsia" w:ascii="宋体" w:hAnsi="宋体"/>
          <w:color w:val="auto"/>
          <w:sz w:val="24"/>
          <w:szCs w:val="24"/>
          <w:highlight w:val="none"/>
        </w:rPr>
        <w:t>1.2工程建设地点：</w:t>
      </w:r>
      <w:bookmarkStart w:id="4" w:name="OLE_LINK4"/>
      <w:bookmarkStart w:id="5" w:name="OLE_LINK5"/>
      <w:r>
        <w:rPr>
          <w:rFonts w:hint="eastAsia" w:ascii="宋体" w:hAnsi="宋体" w:cs="宋体"/>
          <w:color w:val="auto"/>
          <w:sz w:val="24"/>
          <w:szCs w:val="24"/>
          <w:highlight w:val="none"/>
          <w:u w:val="single"/>
          <w:lang w:eastAsia="zh-CN"/>
        </w:rPr>
        <w:t>番禺区石碁镇前锋南路西侧</w:t>
      </w:r>
    </w:p>
    <w:bookmarkEnd w:id="4"/>
    <w:bookmarkEnd w:id="5"/>
    <w:p w14:paraId="7CEFB427">
      <w:pPr>
        <w:keepNext w:val="0"/>
        <w:keepLines w:val="0"/>
        <w:pageBreakBefore w:val="0"/>
        <w:kinsoku/>
        <w:wordWrap/>
        <w:overflowPunct/>
        <w:topLinePunct w:val="0"/>
        <w:autoSpaceDE/>
        <w:autoSpaceDN/>
        <w:bidi w:val="0"/>
        <w:adjustRightInd/>
        <w:spacing w:line="360" w:lineRule="auto"/>
        <w:ind w:firstLine="480" w:firstLineChars="200"/>
        <w:textAlignment w:val="auto"/>
        <w:rPr>
          <w:rFonts w:ascii="宋体"/>
          <w:color w:val="auto"/>
          <w:sz w:val="24"/>
          <w:highlight w:val="none"/>
          <w:u w:val="single"/>
        </w:rPr>
      </w:pPr>
      <w:r>
        <w:rPr>
          <w:rFonts w:ascii="宋体" w:hAnsi="宋体"/>
          <w:color w:val="auto"/>
          <w:sz w:val="24"/>
          <w:szCs w:val="24"/>
          <w:highlight w:val="none"/>
        </w:rPr>
        <w:t>2.</w:t>
      </w:r>
      <w:r>
        <w:rPr>
          <w:rFonts w:hint="eastAsia" w:ascii="宋体" w:hAnsi="宋体"/>
          <w:color w:val="auto"/>
          <w:sz w:val="24"/>
          <w:szCs w:val="24"/>
          <w:highlight w:val="none"/>
        </w:rPr>
        <w:t>1.3工程建设规模</w:t>
      </w:r>
      <w:r>
        <w:rPr>
          <w:rFonts w:hint="eastAsia" w:ascii="宋体" w:hAnsi="宋体"/>
          <w:b/>
          <w:color w:val="auto"/>
          <w:sz w:val="24"/>
          <w:szCs w:val="24"/>
          <w:highlight w:val="none"/>
        </w:rPr>
        <w:t>：</w:t>
      </w:r>
      <w:r>
        <w:rPr>
          <w:rFonts w:hint="eastAsia" w:ascii="宋体" w:hAnsi="宋体"/>
          <w:color w:val="auto"/>
          <w:sz w:val="24"/>
          <w:highlight w:val="none"/>
          <w:u w:val="single"/>
        </w:rPr>
        <w:t>项目位于番禺区石碁镇前锋南路西侧，共包含4条道路，总长约 1.678 千米。横一路为城市支路,道路呈东西走向,西起规划纵三路，东至前锋南路</w:t>
      </w:r>
      <w:r>
        <w:rPr>
          <w:rFonts w:hint="eastAsia" w:ascii="宋体" w:hAnsi="宋体"/>
          <w:color w:val="auto"/>
          <w:sz w:val="24"/>
          <w:highlight w:val="none"/>
          <w:u w:val="single"/>
          <w:lang w:eastAsia="zh-CN"/>
        </w:rPr>
        <w:t>，</w:t>
      </w:r>
      <w:r>
        <w:rPr>
          <w:rFonts w:hint="eastAsia" w:ascii="宋体" w:hAnsi="宋体"/>
          <w:color w:val="auto"/>
          <w:sz w:val="24"/>
          <w:highlight w:val="none"/>
          <w:u w:val="single"/>
        </w:rPr>
        <w:t>长约565.683米，规划红线宽度20米</w:t>
      </w:r>
      <w:r>
        <w:rPr>
          <w:rFonts w:hint="eastAsia" w:ascii="宋体" w:hAnsi="宋体"/>
          <w:color w:val="auto"/>
          <w:sz w:val="24"/>
          <w:highlight w:val="none"/>
          <w:u w:val="single"/>
          <w:lang w:eastAsia="zh-CN"/>
        </w:rPr>
        <w:t>，</w:t>
      </w:r>
      <w:r>
        <w:rPr>
          <w:rFonts w:hint="eastAsia" w:ascii="宋体" w:hAnsi="宋体"/>
          <w:color w:val="auto"/>
          <w:sz w:val="24"/>
          <w:highlight w:val="none"/>
          <w:u w:val="single"/>
        </w:rPr>
        <w:t>设计速度30千米/小时。(本次实施:横一路(西段),起点为纵三路，终点为纵一路，长度150.783米，规划红线宽度20米;横一路(东段)北半幅宽度 7.5 米，长度为414.9米);纵一路为城市支路，道路呈南北走向</w:t>
      </w:r>
      <w:r>
        <w:rPr>
          <w:rFonts w:hint="eastAsia" w:ascii="宋体" w:hAnsi="宋体"/>
          <w:color w:val="auto"/>
          <w:sz w:val="24"/>
          <w:highlight w:val="none"/>
          <w:u w:val="single"/>
          <w:lang w:eastAsia="zh-CN"/>
        </w:rPr>
        <w:t>，</w:t>
      </w:r>
      <w:r>
        <w:rPr>
          <w:rFonts w:hint="eastAsia" w:ascii="宋体" w:hAnsi="宋体"/>
          <w:color w:val="auto"/>
          <w:sz w:val="24"/>
          <w:highlight w:val="none"/>
          <w:u w:val="single"/>
        </w:rPr>
        <w:t>北起规划横二路，南至规划横四路，长约506.22</w:t>
      </w:r>
      <w:r>
        <w:rPr>
          <w:rFonts w:hint="eastAsia" w:ascii="宋体" w:hAnsi="宋体"/>
          <w:color w:val="auto"/>
          <w:sz w:val="24"/>
          <w:highlight w:val="none"/>
          <w:u w:val="single"/>
          <w:lang w:val="en-US" w:eastAsia="zh-CN"/>
        </w:rPr>
        <w:t>1</w:t>
      </w:r>
      <w:r>
        <w:rPr>
          <w:rFonts w:hint="eastAsia" w:ascii="宋体" w:hAnsi="宋体"/>
          <w:color w:val="auto"/>
          <w:sz w:val="24"/>
          <w:highlight w:val="none"/>
          <w:u w:val="single"/>
        </w:rPr>
        <w:t>米，规划红线宽度20米，设计速度30千米/小时;纵二路为城市支路，道路呈南北走向，北起规划横二路，南至规划横三路，长约202.615米，规划红线宽度20米设计速度30 千米/小时;纵三路为城市支路，道路呈南北走向，北起规划横一路，南至规划横三路，长度为402.981米，规划红线宽度20米，设计速度30千米/小时。</w:t>
      </w:r>
      <w:r>
        <w:rPr>
          <w:rFonts w:hint="eastAsia" w:ascii="宋体" w:hAnsi="宋体" w:cs="宋体"/>
          <w:color w:val="auto"/>
          <w:sz w:val="24"/>
          <w:highlight w:val="none"/>
          <w:u w:val="single"/>
        </w:rPr>
        <w:t>施工内容包括但不限于道路工程、排水工程、消防给水工程、交通及交通疏解工程、电力管沟土建结构工程、照明工程、绿化工程等（具体以施工图纸等资料为准）</w:t>
      </w:r>
      <w:r>
        <w:rPr>
          <w:rFonts w:hint="eastAsia" w:ascii="宋体" w:hAnsi="宋体" w:cs="宋体"/>
          <w:color w:val="auto"/>
          <w:sz w:val="24"/>
          <w:highlight w:val="none"/>
        </w:rPr>
        <w:t>。</w:t>
      </w:r>
    </w:p>
    <w:p w14:paraId="4FEDF267">
      <w:pPr>
        <w:tabs>
          <w:tab w:val="left" w:pos="7513"/>
        </w:tabs>
        <w:spacing w:line="360" w:lineRule="auto"/>
        <w:ind w:firstLine="360" w:firstLineChars="150"/>
        <w:rPr>
          <w:rFonts w:ascii="宋体" w:hAnsi="宋体"/>
          <w:color w:val="auto"/>
          <w:sz w:val="24"/>
          <w:szCs w:val="24"/>
          <w:highlight w:val="none"/>
        </w:rPr>
      </w:pPr>
      <w:r>
        <w:rPr>
          <w:rFonts w:ascii="宋体" w:hAnsi="宋体"/>
          <w:color w:val="auto"/>
          <w:sz w:val="24"/>
          <w:szCs w:val="24"/>
          <w:highlight w:val="none"/>
        </w:rPr>
        <w:t>2.</w:t>
      </w:r>
      <w:r>
        <w:rPr>
          <w:rFonts w:hint="eastAsia" w:ascii="宋体" w:hAnsi="宋体"/>
          <w:color w:val="auto"/>
          <w:sz w:val="24"/>
          <w:szCs w:val="24"/>
          <w:highlight w:val="none"/>
        </w:rPr>
        <w:t>2招标范围</w:t>
      </w:r>
    </w:p>
    <w:p w14:paraId="43CE3762">
      <w:pPr>
        <w:tabs>
          <w:tab w:val="left" w:pos="7513"/>
        </w:tabs>
        <w:spacing w:line="360" w:lineRule="auto"/>
        <w:ind w:firstLine="360" w:firstLineChars="150"/>
        <w:rPr>
          <w:color w:val="auto"/>
          <w:sz w:val="24"/>
          <w:szCs w:val="24"/>
          <w:highlight w:val="none"/>
          <w:u w:val="single"/>
        </w:rPr>
      </w:pPr>
      <w:r>
        <w:rPr>
          <w:rFonts w:hint="eastAsia" w:ascii="宋体" w:hAnsi="宋体"/>
          <w:color w:val="auto"/>
          <w:sz w:val="24"/>
          <w:highlight w:val="none"/>
        </w:rPr>
        <w:t>2.2.1</w:t>
      </w:r>
      <w:r>
        <w:rPr>
          <w:rFonts w:hint="eastAsia"/>
          <w:color w:val="auto"/>
          <w:sz w:val="24"/>
          <w:szCs w:val="24"/>
          <w:highlight w:val="none"/>
        </w:rPr>
        <w:t>标段划分：</w:t>
      </w:r>
      <w:r>
        <w:rPr>
          <w:rFonts w:hint="eastAsia"/>
          <w:color w:val="auto"/>
          <w:sz w:val="24"/>
          <w:szCs w:val="24"/>
          <w:highlight w:val="none"/>
          <w:u w:val="single"/>
        </w:rPr>
        <w:t>本项目设1个标段。</w:t>
      </w:r>
    </w:p>
    <w:p w14:paraId="09D940EA">
      <w:pPr>
        <w:tabs>
          <w:tab w:val="left" w:pos="7513"/>
        </w:tabs>
        <w:spacing w:line="360" w:lineRule="auto"/>
        <w:ind w:firstLine="360" w:firstLineChars="150"/>
        <w:rPr>
          <w:rFonts w:ascii="宋体" w:hAnsi="宋体"/>
          <w:color w:val="auto"/>
          <w:sz w:val="24"/>
          <w:highlight w:val="none"/>
          <w:u w:val="single"/>
        </w:rPr>
      </w:pPr>
      <w:r>
        <w:rPr>
          <w:rFonts w:hint="eastAsia" w:ascii="宋体" w:hAnsi="宋体"/>
          <w:color w:val="auto"/>
          <w:sz w:val="24"/>
          <w:highlight w:val="none"/>
        </w:rPr>
        <w:t>2.2.2招标范围：</w:t>
      </w:r>
      <w:r>
        <w:rPr>
          <w:rFonts w:hint="eastAsia" w:ascii="宋体" w:hAnsi="宋体"/>
          <w:color w:val="auto"/>
          <w:sz w:val="24"/>
          <w:highlight w:val="none"/>
          <w:u w:val="single"/>
        </w:rPr>
        <w:t>根据</w:t>
      </w:r>
      <w:r>
        <w:rPr>
          <w:rFonts w:hint="eastAsia" w:ascii="宋体" w:cs="宋体"/>
          <w:color w:val="auto"/>
          <w:kern w:val="0"/>
          <w:sz w:val="24"/>
          <w:highlight w:val="none"/>
          <w:u w:val="single"/>
        </w:rPr>
        <w:t>设计文件、施工组织设计、相关规范和相关行政职能部门要求和委托方要求出具检测监测方案，</w:t>
      </w:r>
      <w:r>
        <w:rPr>
          <w:rFonts w:hint="eastAsia" w:ascii="宋体" w:hAnsi="宋体"/>
          <w:color w:val="auto"/>
          <w:sz w:val="24"/>
          <w:highlight w:val="none"/>
          <w:u w:val="single"/>
        </w:rPr>
        <w:t>开展检测监测技术工作，并出具检测监测报告。根据</w:t>
      </w:r>
      <w:r>
        <w:rPr>
          <w:rFonts w:hint="eastAsia" w:ascii="宋体" w:cs="宋体"/>
          <w:color w:val="auto"/>
          <w:kern w:val="0"/>
          <w:sz w:val="24"/>
          <w:highlight w:val="none"/>
          <w:u w:val="single"/>
        </w:rPr>
        <w:t>相关行政职能部门要求和委托方</w:t>
      </w:r>
      <w:r>
        <w:rPr>
          <w:rFonts w:hint="eastAsia" w:ascii="宋体" w:hAnsi="宋体"/>
          <w:color w:val="auto"/>
          <w:sz w:val="24"/>
          <w:highlight w:val="none"/>
          <w:u w:val="single"/>
        </w:rPr>
        <w:t>要求配合做好检测监测信息化管理工作，配备能实时上传数据的相关仪器设备，并具备将数据实时上传（具体内容详见检测监测合同）。</w:t>
      </w:r>
    </w:p>
    <w:p w14:paraId="7D1D42F2">
      <w:pPr>
        <w:tabs>
          <w:tab w:val="left" w:pos="7513"/>
        </w:tabs>
        <w:spacing w:line="360" w:lineRule="auto"/>
        <w:ind w:firstLine="480" w:firstLineChars="200"/>
        <w:rPr>
          <w:rFonts w:ascii="宋体" w:hAnsi="宋体"/>
          <w:color w:val="auto"/>
          <w:sz w:val="24"/>
          <w:szCs w:val="24"/>
          <w:highlight w:val="none"/>
          <w:u w:val="single"/>
        </w:rPr>
      </w:pPr>
      <w:r>
        <w:rPr>
          <w:rFonts w:ascii="宋体" w:hAnsi="宋体"/>
          <w:color w:val="auto"/>
          <w:sz w:val="24"/>
          <w:szCs w:val="24"/>
          <w:highlight w:val="none"/>
        </w:rPr>
        <w:t>2.</w:t>
      </w:r>
      <w:r>
        <w:rPr>
          <w:rFonts w:hint="eastAsia" w:ascii="宋体" w:hAnsi="宋体"/>
          <w:color w:val="auto"/>
          <w:sz w:val="24"/>
          <w:szCs w:val="24"/>
          <w:highlight w:val="none"/>
        </w:rPr>
        <w:t>2.3服务期限：</w:t>
      </w:r>
      <w:r>
        <w:rPr>
          <w:rFonts w:hint="eastAsia" w:ascii="宋体" w:hAnsi="宋体"/>
          <w:color w:val="auto"/>
          <w:sz w:val="24"/>
          <w:szCs w:val="24"/>
          <w:highlight w:val="none"/>
          <w:u w:val="single"/>
        </w:rPr>
        <w:t>建设周期为</w:t>
      </w:r>
      <w:r>
        <w:rPr>
          <w:rFonts w:hint="eastAsia" w:ascii="宋体" w:hAnsi="宋体"/>
          <w:color w:val="auto"/>
          <w:sz w:val="24"/>
          <w:szCs w:val="24"/>
          <w:highlight w:val="none"/>
          <w:u w:val="single"/>
          <w:lang w:val="en-US" w:eastAsia="zh-CN"/>
        </w:rPr>
        <w:t>290</w:t>
      </w:r>
      <w:r>
        <w:rPr>
          <w:rFonts w:hint="eastAsia" w:ascii="宋体" w:hAnsi="宋体"/>
          <w:color w:val="auto"/>
          <w:sz w:val="24"/>
          <w:szCs w:val="24"/>
          <w:highlight w:val="none"/>
          <w:u w:val="single"/>
        </w:rPr>
        <w:t>日历天。服务期限：自</w:t>
      </w:r>
      <w:r>
        <w:rPr>
          <w:rFonts w:hint="eastAsia" w:ascii="宋体" w:hAnsi="宋体"/>
          <w:color w:val="auto"/>
          <w:sz w:val="24"/>
          <w:szCs w:val="24"/>
          <w:highlight w:val="none"/>
          <w:u w:val="single"/>
          <w:lang w:val="en-US" w:eastAsia="zh-CN"/>
        </w:rPr>
        <w:t>招标人</w:t>
      </w:r>
      <w:r>
        <w:rPr>
          <w:rFonts w:hint="eastAsia" w:ascii="宋体" w:hAnsi="宋体"/>
          <w:color w:val="auto"/>
          <w:sz w:val="24"/>
          <w:szCs w:val="24"/>
          <w:highlight w:val="none"/>
          <w:u w:val="single"/>
        </w:rPr>
        <w:t>书面通知进场至项目完成竣工验收备案为止，服务周期必须满足实际施工要求。（因</w:t>
      </w:r>
      <w:r>
        <w:rPr>
          <w:rFonts w:hint="eastAsia" w:ascii="宋体" w:hAnsi="宋体"/>
          <w:color w:val="auto"/>
          <w:sz w:val="24"/>
          <w:szCs w:val="24"/>
          <w:highlight w:val="none"/>
          <w:u w:val="single"/>
          <w:lang w:val="en-US" w:eastAsia="zh-CN"/>
        </w:rPr>
        <w:t>招标人</w:t>
      </w:r>
      <w:r>
        <w:rPr>
          <w:rFonts w:hint="eastAsia" w:ascii="宋体" w:hAnsi="宋体"/>
          <w:color w:val="auto"/>
          <w:sz w:val="24"/>
          <w:szCs w:val="24"/>
          <w:highlight w:val="none"/>
          <w:u w:val="single"/>
        </w:rPr>
        <w:t>原因或现场不具备作业条件，检测时间顺延。）</w:t>
      </w:r>
    </w:p>
    <w:p w14:paraId="0F40D8C0">
      <w:pPr>
        <w:adjustRightInd w:val="0"/>
        <w:snapToGrid w:val="0"/>
        <w:spacing w:line="360" w:lineRule="auto"/>
        <w:ind w:firstLine="480" w:firstLineChars="200"/>
        <w:rPr>
          <w:rFonts w:ascii="宋体" w:hAnsi="宋体"/>
          <w:color w:val="auto"/>
          <w:sz w:val="24"/>
          <w:szCs w:val="24"/>
          <w:highlight w:val="none"/>
          <w:u w:val="single"/>
        </w:rPr>
      </w:pPr>
      <w:r>
        <w:rPr>
          <w:rFonts w:hint="eastAsia" w:ascii="宋体" w:hAnsi="宋体"/>
          <w:color w:val="auto"/>
          <w:sz w:val="24"/>
          <w:szCs w:val="24"/>
          <w:highlight w:val="none"/>
        </w:rPr>
        <w:t>2.2.4承包方式：</w:t>
      </w:r>
      <w:r>
        <w:rPr>
          <w:rFonts w:hint="eastAsia" w:ascii="宋体" w:hAnsi="宋体"/>
          <w:color w:val="auto"/>
          <w:sz w:val="24"/>
          <w:szCs w:val="24"/>
          <w:highlight w:val="none"/>
          <w:u w:val="single"/>
        </w:rPr>
        <w:t>本合同工程量以实际发生（按</w:t>
      </w:r>
      <w:r>
        <w:rPr>
          <w:rFonts w:hint="eastAsia" w:ascii="宋体" w:hAnsi="宋体"/>
          <w:color w:val="auto"/>
          <w:sz w:val="24"/>
          <w:szCs w:val="24"/>
          <w:highlight w:val="none"/>
          <w:u w:val="single"/>
          <w:lang w:val="en-US" w:eastAsia="zh-CN"/>
        </w:rPr>
        <w:t>招标人</w:t>
      </w:r>
      <w:r>
        <w:rPr>
          <w:rFonts w:hint="eastAsia" w:ascii="宋体" w:hAnsi="宋体"/>
          <w:color w:val="auto"/>
          <w:sz w:val="24"/>
          <w:szCs w:val="24"/>
          <w:highlight w:val="none"/>
          <w:u w:val="single"/>
        </w:rPr>
        <w:t>、监理人、受托人确认）进行计算，结算时依据实际工程量×收费标准单价×（1-投标下浮率）结算，如结算价超过合同暂定价的，则按合同暂定价为最终结算价。</w:t>
      </w:r>
    </w:p>
    <w:p w14:paraId="1D7C087E">
      <w:pPr>
        <w:tabs>
          <w:tab w:val="left" w:pos="7513"/>
        </w:tabs>
        <w:spacing w:line="360" w:lineRule="auto"/>
        <w:ind w:firstLine="496" w:firstLineChars="200"/>
        <w:rPr>
          <w:rFonts w:ascii="宋体" w:hAnsi="宋体" w:cs="宋体"/>
          <w:bCs/>
          <w:color w:val="auto"/>
          <w:spacing w:val="4"/>
          <w:sz w:val="24"/>
          <w:highlight w:val="none"/>
          <w:lang w:bidi="ar"/>
        </w:rPr>
      </w:pPr>
      <w:r>
        <w:rPr>
          <w:rFonts w:hint="eastAsia" w:ascii="宋体" w:hAnsi="宋体" w:cs="宋体"/>
          <w:bCs/>
          <w:color w:val="auto"/>
          <w:spacing w:val="4"/>
          <w:sz w:val="24"/>
          <w:highlight w:val="none"/>
          <w:lang w:bidi="ar"/>
        </w:rPr>
        <w:t>最终结算价已包含了为完成本项目招标内容要求所产生的所有不可预见的费用,包括</w:t>
      </w:r>
      <w:r>
        <w:rPr>
          <w:rFonts w:ascii="宋体" w:hAnsi="宋体" w:cs="宋体"/>
          <w:bCs/>
          <w:color w:val="auto"/>
          <w:spacing w:val="4"/>
          <w:sz w:val="24"/>
          <w:highlight w:val="none"/>
          <w:lang w:bidi="ar"/>
        </w:rPr>
        <w:t>但不限于</w:t>
      </w:r>
      <w:r>
        <w:rPr>
          <w:rFonts w:hint="eastAsia" w:ascii="宋体" w:hAnsi="宋体" w:cs="宋体"/>
          <w:bCs/>
          <w:color w:val="auto"/>
          <w:spacing w:val="4"/>
          <w:sz w:val="24"/>
          <w:highlight w:val="none"/>
          <w:lang w:bidi="ar"/>
        </w:rPr>
        <w:t>包工、包料、包设备设施、包工期、包质量、包安全、包文明作业、包与建设项目相关单位的协调以及本项目可能产生的风险等所有费用。</w:t>
      </w:r>
    </w:p>
    <w:p w14:paraId="2D583F14">
      <w:pPr>
        <w:tabs>
          <w:tab w:val="left" w:pos="7513"/>
        </w:tabs>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2.2.5招标内容：</w:t>
      </w:r>
    </w:p>
    <w:p w14:paraId="61C4AAEF">
      <w:pPr>
        <w:numPr>
          <w:ilvl w:val="0"/>
          <w:numId w:val="1"/>
        </w:numPr>
        <w:tabs>
          <w:tab w:val="left" w:pos="7513"/>
        </w:tabs>
        <w:spacing w:line="360" w:lineRule="auto"/>
        <w:ind w:firstLine="480" w:firstLineChars="200"/>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第三方检测服务包括但不限于见证取样检测、道路地基检测、砼、钢结构检测、交通及照明工程检测、绿化工程检测、</w:t>
      </w:r>
      <w:r>
        <w:rPr>
          <w:rFonts w:hint="eastAsia" w:ascii="宋体" w:hAnsi="宋体" w:cs="宋体"/>
          <w:color w:val="auto"/>
          <w:sz w:val="24"/>
          <w:szCs w:val="24"/>
          <w:highlight w:val="none"/>
          <w:u w:val="single"/>
          <w:lang w:val="en-US" w:eastAsia="zh-CN"/>
        </w:rPr>
        <w:t>海绵城市、</w:t>
      </w:r>
      <w:r>
        <w:rPr>
          <w:rFonts w:hint="eastAsia" w:ascii="宋体" w:hAnsi="宋体" w:cs="宋体"/>
          <w:color w:val="auto"/>
          <w:sz w:val="24"/>
          <w:szCs w:val="24"/>
          <w:highlight w:val="none"/>
          <w:u w:val="single"/>
        </w:rPr>
        <w:t>智能化检测、CCTV检测等内容；</w:t>
      </w:r>
    </w:p>
    <w:p w14:paraId="2923E2CD">
      <w:pPr>
        <w:tabs>
          <w:tab w:val="left" w:pos="7513"/>
        </w:tabs>
        <w:spacing w:line="360" w:lineRule="auto"/>
        <w:ind w:firstLine="480" w:firstLineChars="200"/>
        <w:rPr>
          <w:rFonts w:hint="eastAsia" w:ascii="宋体" w:hAnsi="宋体" w:eastAsia="宋体" w:cs="宋体"/>
          <w:color w:val="auto"/>
          <w:sz w:val="24"/>
          <w:szCs w:val="24"/>
          <w:highlight w:val="none"/>
          <w:u w:val="single"/>
          <w:lang w:val="en-US" w:eastAsia="zh-CN"/>
        </w:rPr>
      </w:pPr>
      <w:r>
        <w:rPr>
          <w:rFonts w:hint="eastAsia" w:ascii="宋体" w:hAnsi="宋体" w:cs="宋体"/>
          <w:color w:val="auto"/>
          <w:sz w:val="24"/>
          <w:szCs w:val="24"/>
          <w:highlight w:val="none"/>
          <w:u w:val="single"/>
          <w:lang w:eastAsia="zh-CN"/>
        </w:rPr>
        <w:t>（</w:t>
      </w:r>
      <w:r>
        <w:rPr>
          <w:rFonts w:hint="eastAsia" w:ascii="宋体" w:hAnsi="宋体" w:cs="宋体"/>
          <w:color w:val="auto"/>
          <w:sz w:val="24"/>
          <w:szCs w:val="24"/>
          <w:highlight w:val="none"/>
          <w:u w:val="single"/>
          <w:lang w:val="en-US" w:eastAsia="zh-CN"/>
        </w:rPr>
        <w:t>2</w:t>
      </w:r>
      <w:r>
        <w:rPr>
          <w:rFonts w:hint="eastAsia" w:ascii="宋体" w:hAnsi="宋体" w:cs="宋体"/>
          <w:color w:val="auto"/>
          <w:sz w:val="24"/>
          <w:szCs w:val="24"/>
          <w:highlight w:val="none"/>
          <w:u w:val="single"/>
          <w:lang w:eastAsia="zh-CN"/>
        </w:rPr>
        <w:t>）</w:t>
      </w:r>
      <w:r>
        <w:rPr>
          <w:rFonts w:hint="eastAsia" w:ascii="宋体" w:hAnsi="宋体" w:cs="宋体"/>
          <w:color w:val="auto"/>
          <w:sz w:val="24"/>
          <w:szCs w:val="24"/>
          <w:highlight w:val="none"/>
          <w:u w:val="single"/>
        </w:rPr>
        <w:t>监测服务包括但不限于</w:t>
      </w:r>
      <w:r>
        <w:rPr>
          <w:rFonts w:hint="eastAsia" w:ascii="宋体" w:hAnsi="宋体" w:cs="宋体"/>
          <w:color w:val="auto"/>
          <w:sz w:val="24"/>
          <w:szCs w:val="24"/>
          <w:highlight w:val="none"/>
          <w:u w:val="single"/>
          <w:lang w:val="en-US" w:eastAsia="zh-CN"/>
        </w:rPr>
        <w:t>工程监</w:t>
      </w:r>
      <w:r>
        <w:rPr>
          <w:rFonts w:hint="eastAsia" w:ascii="宋体" w:hAnsi="宋体" w:cs="宋体"/>
          <w:color w:val="auto"/>
          <w:sz w:val="24"/>
          <w:szCs w:val="24"/>
          <w:highlight w:val="none"/>
          <w:u w:val="single"/>
        </w:rPr>
        <w:t>测等内容</w:t>
      </w:r>
      <w:r>
        <w:rPr>
          <w:rFonts w:hint="eastAsia" w:ascii="宋体" w:hAnsi="宋体" w:cs="宋体"/>
          <w:color w:val="auto"/>
          <w:sz w:val="24"/>
          <w:szCs w:val="24"/>
          <w:highlight w:val="none"/>
          <w:u w:val="single"/>
          <w:lang w:val="en-US" w:eastAsia="zh-CN"/>
        </w:rPr>
        <w:t>；</w:t>
      </w:r>
    </w:p>
    <w:p w14:paraId="7C125BA0">
      <w:pPr>
        <w:tabs>
          <w:tab w:val="left" w:pos="7513"/>
        </w:tabs>
        <w:spacing w:line="360" w:lineRule="auto"/>
        <w:ind w:firstLine="480" w:firstLineChars="200"/>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w:t>
      </w:r>
      <w:r>
        <w:rPr>
          <w:rFonts w:hint="eastAsia" w:ascii="宋体" w:hAnsi="宋体" w:cs="宋体"/>
          <w:color w:val="auto"/>
          <w:sz w:val="24"/>
          <w:szCs w:val="24"/>
          <w:highlight w:val="none"/>
          <w:u w:val="single"/>
          <w:lang w:val="en-US" w:eastAsia="zh-CN"/>
        </w:rPr>
        <w:t>3</w:t>
      </w:r>
      <w:r>
        <w:rPr>
          <w:rFonts w:hint="eastAsia" w:ascii="宋体" w:hAnsi="宋体" w:cs="宋体"/>
          <w:color w:val="auto"/>
          <w:sz w:val="24"/>
          <w:szCs w:val="24"/>
          <w:highlight w:val="none"/>
          <w:u w:val="single"/>
        </w:rPr>
        <w:t>）其他服务内容（投保报价中已经综合考虑了本部分工作的费用）：</w:t>
      </w:r>
    </w:p>
    <w:p w14:paraId="31D091C7">
      <w:pPr>
        <w:tabs>
          <w:tab w:val="left" w:pos="7513"/>
        </w:tabs>
        <w:spacing w:line="360" w:lineRule="auto"/>
        <w:ind w:firstLine="480" w:firstLineChars="200"/>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①与工程所在行政区域的相关建设行政主管部门和监督部门进行检测工作的协调，申报检测技术成果的审批。保证技术成果能够通过相关部门认可，确保不因检测工作影响本工程项目的建设进度和竣工验收。</w:t>
      </w:r>
    </w:p>
    <w:p w14:paraId="0857DF5E">
      <w:pPr>
        <w:tabs>
          <w:tab w:val="left" w:pos="7513"/>
        </w:tabs>
        <w:spacing w:line="360" w:lineRule="auto"/>
        <w:ind w:firstLine="480" w:firstLineChars="200"/>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②在进行检测任务的过程中与该工程相关的施工单位、监理单位、设计单位、项目建设管理单位、建设主管部门等相关单位的协调工作。投标人需在投标报价中综合考虑相关费用。</w:t>
      </w:r>
    </w:p>
    <w:p w14:paraId="005FCCA1">
      <w:pPr>
        <w:tabs>
          <w:tab w:val="left" w:pos="7513"/>
        </w:tabs>
        <w:spacing w:line="360" w:lineRule="auto"/>
        <w:ind w:firstLine="480" w:firstLineChars="200"/>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③检测数据的有关信息通过连接系统进行传输报送。</w:t>
      </w:r>
    </w:p>
    <w:p w14:paraId="424575D7">
      <w:pPr>
        <w:wordWrap w:val="0"/>
        <w:adjustRightInd w:val="0"/>
        <w:snapToGrid w:val="0"/>
        <w:spacing w:line="360" w:lineRule="auto"/>
        <w:ind w:firstLine="480" w:firstLineChars="200"/>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w:t>
      </w:r>
      <w:r>
        <w:rPr>
          <w:rFonts w:hint="eastAsia" w:ascii="宋体" w:hAnsi="宋体" w:cs="宋体"/>
          <w:color w:val="auto"/>
          <w:sz w:val="24"/>
          <w:szCs w:val="24"/>
          <w:highlight w:val="none"/>
          <w:u w:val="single"/>
          <w:lang w:val="en-US" w:eastAsia="zh-CN"/>
        </w:rPr>
        <w:t>4</w:t>
      </w:r>
      <w:r>
        <w:rPr>
          <w:rFonts w:hint="eastAsia" w:ascii="宋体" w:hAnsi="宋体" w:cs="宋体"/>
          <w:color w:val="auto"/>
          <w:sz w:val="24"/>
          <w:szCs w:val="24"/>
          <w:highlight w:val="none"/>
          <w:u w:val="single"/>
        </w:rPr>
        <w:t>）检测的要求：依据《建设工程质量检测管理办法》（建设部令第</w:t>
      </w:r>
      <w:r>
        <w:rPr>
          <w:rFonts w:hint="eastAsia" w:ascii="宋体" w:hAnsi="宋体" w:cs="宋体"/>
          <w:color w:val="auto"/>
          <w:sz w:val="24"/>
          <w:szCs w:val="24"/>
          <w:highlight w:val="none"/>
          <w:u w:val="single"/>
          <w:lang w:val="en-US" w:eastAsia="zh-CN"/>
        </w:rPr>
        <w:t>57</w:t>
      </w:r>
      <w:r>
        <w:rPr>
          <w:rFonts w:hint="eastAsia" w:ascii="宋体" w:hAnsi="宋体" w:cs="宋体"/>
          <w:color w:val="auto"/>
          <w:sz w:val="24"/>
          <w:szCs w:val="24"/>
          <w:highlight w:val="none"/>
          <w:u w:val="single"/>
        </w:rPr>
        <w:t>号）及国家现行有关规范要求，根据本项目检测服务内容，中标人制定检测方案（含细化工程量清单），并报监理和建设单位审批同意后，方可实施。各专业项目进行实际检测前，需将具体检测方案和工程量报监理和建设单位审批同意后方可进行。未经建设单位审批同意擅自检测的，产生的相关检测费建设单位不予认可，由中标单位自负。中标人按照审批同意的工程量检测清单进场检测，实施过程中做好现场拍照留底记录，实际发生的检测工程量须由监理和建设单位现场负责人书面确认，否则不予结算。建设单位有权根据行业主管部门要求增加或减少计划表所列检测方法和数量。</w:t>
      </w:r>
    </w:p>
    <w:p w14:paraId="0EBD9340">
      <w:pPr>
        <w:wordWrap w:val="0"/>
        <w:adjustRightInd w:val="0"/>
        <w:snapToGrid w:val="0"/>
        <w:spacing w:line="360" w:lineRule="auto"/>
        <w:ind w:firstLine="480" w:firstLineChars="200"/>
        <w:rPr>
          <w:color w:val="auto"/>
          <w:highlight w:val="none"/>
        </w:rPr>
      </w:pPr>
      <w:r>
        <w:rPr>
          <w:rFonts w:hint="eastAsia" w:ascii="宋体" w:hAnsi="宋体" w:cs="宋体"/>
          <w:color w:val="auto"/>
          <w:sz w:val="24"/>
          <w:szCs w:val="24"/>
          <w:highlight w:val="none"/>
          <w:u w:val="single"/>
        </w:rPr>
        <w:t>（</w:t>
      </w:r>
      <w:r>
        <w:rPr>
          <w:rFonts w:hint="eastAsia" w:ascii="宋体" w:hAnsi="宋体" w:cs="宋体"/>
          <w:color w:val="auto"/>
          <w:sz w:val="24"/>
          <w:szCs w:val="24"/>
          <w:highlight w:val="none"/>
          <w:u w:val="single"/>
          <w:lang w:val="en-US" w:eastAsia="zh-CN"/>
        </w:rPr>
        <w:t>5</w:t>
      </w:r>
      <w:r>
        <w:rPr>
          <w:rFonts w:hint="eastAsia" w:ascii="宋体" w:hAnsi="宋体" w:cs="宋体"/>
          <w:color w:val="auto"/>
          <w:sz w:val="24"/>
          <w:szCs w:val="24"/>
          <w:highlight w:val="none"/>
          <w:u w:val="single"/>
        </w:rPr>
        <w:t>）本工程所涉及的检测工作，中标人需要独立完成本项目70%以上的检测工作（主要检测工作需要由中标人完成），剩余的非主要检测工作，如中标人不具备资质的，经招标人同意后可依法分包给具备相关资质的检测单位，但分包的检测工作不得再次分包。分包项目的检测质量和检测工期由中标单位负责。分包合同原则上由中标单位与分包签订。该部分检测内容纳入中标单位合同一并进行结算。</w:t>
      </w:r>
    </w:p>
    <w:p w14:paraId="4524A9BB">
      <w:pPr>
        <w:tabs>
          <w:tab w:val="left" w:pos="7513"/>
        </w:tabs>
        <w:spacing w:line="360" w:lineRule="auto"/>
        <w:ind w:firstLine="480" w:firstLineChars="200"/>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w:t>
      </w:r>
      <w:r>
        <w:rPr>
          <w:rFonts w:hint="eastAsia" w:ascii="宋体" w:hAnsi="宋体" w:cs="宋体"/>
          <w:color w:val="auto"/>
          <w:sz w:val="24"/>
          <w:szCs w:val="24"/>
          <w:highlight w:val="none"/>
          <w:u w:val="single"/>
          <w:lang w:val="en-US" w:eastAsia="zh-CN"/>
        </w:rPr>
        <w:t>6</w:t>
      </w:r>
      <w:r>
        <w:rPr>
          <w:rFonts w:hint="eastAsia" w:ascii="宋体" w:hAnsi="宋体" w:cs="宋体"/>
          <w:color w:val="auto"/>
          <w:sz w:val="24"/>
          <w:szCs w:val="24"/>
          <w:highlight w:val="none"/>
          <w:u w:val="single"/>
        </w:rPr>
        <w:t>）工作具体详见施工图纸、</w:t>
      </w:r>
      <w:r>
        <w:rPr>
          <w:rFonts w:hint="eastAsia" w:ascii="宋体" w:hAnsi="宋体" w:cs="宋体"/>
          <w:color w:val="auto"/>
          <w:sz w:val="24"/>
          <w:szCs w:val="24"/>
          <w:highlight w:val="none"/>
          <w:u w:val="single"/>
          <w:lang w:val="en-US" w:eastAsia="zh-CN"/>
        </w:rPr>
        <w:t>招标</w:t>
      </w:r>
      <w:r>
        <w:rPr>
          <w:rFonts w:hint="eastAsia" w:ascii="宋体" w:hAnsi="宋体" w:cs="宋体"/>
          <w:color w:val="auto"/>
          <w:sz w:val="24"/>
          <w:szCs w:val="24"/>
          <w:highlight w:val="none"/>
          <w:u w:val="single"/>
        </w:rPr>
        <w:t>人要求及合同约定。</w:t>
      </w:r>
    </w:p>
    <w:p w14:paraId="1200E1A6">
      <w:pPr>
        <w:tabs>
          <w:tab w:val="left" w:pos="7513"/>
        </w:tabs>
        <w:spacing w:line="360" w:lineRule="auto"/>
        <w:ind w:firstLine="480" w:firstLineChars="200"/>
        <w:rPr>
          <w:rFonts w:hint="default"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lang w:val="en-US" w:eastAsia="zh-CN"/>
        </w:rPr>
        <w:t>7</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lang w:val="en-US" w:eastAsia="zh-CN"/>
        </w:rPr>
        <w:t>本项目已经区政府审定同意申报专项债，且勘察设计等前期工作资金，经区发改、财政等部门同意安排，可先行开展项目的建设方案、可行性研究报告、勘察设计、概（预）算评审等前期工作。</w:t>
      </w:r>
    </w:p>
    <w:p w14:paraId="168AD770">
      <w:pPr>
        <w:tabs>
          <w:tab w:val="left" w:pos="7513"/>
        </w:tabs>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2.2.7最高投标限价：人民币</w:t>
      </w:r>
      <w:r>
        <w:rPr>
          <w:rFonts w:hint="eastAsia" w:ascii="宋体" w:hAnsi="宋体"/>
          <w:bCs/>
          <w:color w:val="auto"/>
          <w:sz w:val="24"/>
          <w:szCs w:val="24"/>
          <w:highlight w:val="none"/>
          <w:u w:val="single"/>
          <w:lang w:val="en-US" w:eastAsia="zh-CN"/>
        </w:rPr>
        <w:t>1405120.23</w:t>
      </w:r>
      <w:r>
        <w:rPr>
          <w:rFonts w:hint="eastAsia" w:ascii="宋体" w:hAnsi="宋体"/>
          <w:bCs/>
          <w:color w:val="auto"/>
          <w:sz w:val="24"/>
          <w:szCs w:val="24"/>
          <w:highlight w:val="none"/>
        </w:rPr>
        <w:t>元</w:t>
      </w:r>
      <w:r>
        <w:rPr>
          <w:rFonts w:hint="eastAsia" w:ascii="宋体" w:hAnsi="宋体"/>
          <w:color w:val="auto"/>
          <w:sz w:val="24"/>
          <w:szCs w:val="24"/>
          <w:highlight w:val="none"/>
        </w:rPr>
        <w:t>；</w:t>
      </w:r>
    </w:p>
    <w:p w14:paraId="73BD316C">
      <w:pPr>
        <w:adjustRightInd w:val="0"/>
        <w:snapToGrid w:val="0"/>
        <w:spacing w:line="360" w:lineRule="auto"/>
        <w:ind w:firstLine="422" w:firstLineChars="200"/>
        <w:rPr>
          <w:rFonts w:ascii="宋体" w:hAnsi="宋体"/>
          <w:color w:val="auto"/>
          <w:sz w:val="24"/>
          <w:szCs w:val="24"/>
          <w:highlight w:val="none"/>
          <w:u w:val="single"/>
        </w:rPr>
      </w:pPr>
      <w:r>
        <w:rPr>
          <w:rFonts w:hint="eastAsia" w:ascii="宋体" w:hAnsi="宋体" w:cs="宋体"/>
          <w:b/>
          <w:color w:val="auto"/>
          <w:szCs w:val="21"/>
          <w:highlight w:val="none"/>
        </w:rPr>
        <w:t>注：</w:t>
      </w:r>
      <w:r>
        <w:rPr>
          <w:rFonts w:hint="eastAsia" w:ascii="宋体" w:hAnsi="宋体"/>
          <w:color w:val="auto"/>
          <w:sz w:val="24"/>
          <w:szCs w:val="24"/>
          <w:highlight w:val="none"/>
          <w:u w:val="single"/>
        </w:rPr>
        <w:t>结算价超过</w:t>
      </w:r>
      <w:r>
        <w:rPr>
          <w:rFonts w:hint="eastAsia" w:ascii="宋体" w:hAnsi="宋体"/>
          <w:color w:val="auto"/>
          <w:sz w:val="24"/>
          <w:szCs w:val="24"/>
          <w:highlight w:val="none"/>
          <w:u w:val="single"/>
          <w:lang w:val="en-US" w:eastAsia="zh-CN"/>
        </w:rPr>
        <w:t>合同暂定价</w:t>
      </w:r>
      <w:r>
        <w:rPr>
          <w:rFonts w:hint="eastAsia" w:ascii="宋体" w:hAnsi="宋体"/>
          <w:color w:val="auto"/>
          <w:sz w:val="24"/>
          <w:szCs w:val="24"/>
          <w:highlight w:val="none"/>
          <w:u w:val="single"/>
        </w:rPr>
        <w:t>的，则按</w:t>
      </w:r>
      <w:r>
        <w:rPr>
          <w:rFonts w:hint="eastAsia" w:ascii="宋体" w:hAnsi="宋体"/>
          <w:color w:val="auto"/>
          <w:sz w:val="24"/>
          <w:szCs w:val="24"/>
          <w:highlight w:val="none"/>
          <w:u w:val="single"/>
          <w:lang w:val="en-US" w:eastAsia="zh-CN"/>
        </w:rPr>
        <w:t>合同暂定价为最终结算价，最终以区财政评审为准</w:t>
      </w:r>
      <w:r>
        <w:rPr>
          <w:rFonts w:hint="eastAsia" w:ascii="宋体" w:hAnsi="宋体"/>
          <w:color w:val="auto"/>
          <w:sz w:val="24"/>
          <w:szCs w:val="24"/>
          <w:highlight w:val="none"/>
          <w:u w:val="single"/>
        </w:rPr>
        <w:t>（如有审计、以审计结果为准）。</w:t>
      </w:r>
    </w:p>
    <w:p w14:paraId="0E5F2139">
      <w:pPr>
        <w:tabs>
          <w:tab w:val="left" w:pos="7513"/>
        </w:tabs>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投标人在最高限价的基础上根据自身情况自行填报总价及投标下浮率，超出最高投标限价（总价）的报价做废标处理。</w:t>
      </w:r>
    </w:p>
    <w:p w14:paraId="012356BD">
      <w:pPr>
        <w:pStyle w:val="2"/>
        <w:rPr>
          <w:color w:val="auto"/>
          <w:highlight w:val="none"/>
        </w:rPr>
      </w:pPr>
    </w:p>
    <w:p w14:paraId="1B9F723A">
      <w:pPr>
        <w:pStyle w:val="3"/>
        <w:keepNext w:val="0"/>
        <w:keepLines w:val="0"/>
        <w:spacing w:before="0" w:after="0" w:line="360" w:lineRule="auto"/>
        <w:rPr>
          <w:rFonts w:ascii="Times New Roman" w:hAnsi="Times New Roman"/>
          <w:color w:val="auto"/>
          <w:highlight w:val="none"/>
        </w:rPr>
      </w:pPr>
      <w:bookmarkStart w:id="6" w:name="_Toc514099625"/>
      <w:bookmarkStart w:id="7" w:name="_Toc511557027"/>
      <w:r>
        <w:rPr>
          <w:rFonts w:ascii="Times New Roman" w:hAnsi="Times New Roman"/>
          <w:color w:val="auto"/>
          <w:highlight w:val="none"/>
        </w:rPr>
        <w:t>3. 投标人资格要求</w:t>
      </w:r>
      <w:bookmarkEnd w:id="6"/>
      <w:bookmarkEnd w:id="7"/>
    </w:p>
    <w:p w14:paraId="5BD0631F">
      <w:pPr>
        <w:tabs>
          <w:tab w:val="left" w:pos="7513"/>
        </w:tabs>
        <w:spacing w:line="360" w:lineRule="auto"/>
        <w:ind w:firstLine="360" w:firstLineChars="150"/>
        <w:rPr>
          <w:rFonts w:ascii="宋体" w:hAnsi="宋体"/>
          <w:color w:val="auto"/>
          <w:sz w:val="24"/>
          <w:szCs w:val="24"/>
          <w:highlight w:val="none"/>
        </w:rPr>
      </w:pPr>
      <w:r>
        <w:rPr>
          <w:rFonts w:hint="eastAsia" w:ascii="宋体" w:hAnsi="宋体"/>
          <w:color w:val="auto"/>
          <w:sz w:val="24"/>
          <w:szCs w:val="24"/>
          <w:highlight w:val="none"/>
        </w:rPr>
        <w:t>3.1投标人参加投标的意思表达清楚（如为联合体投标，由联合体主办方单位代表联合体授权），投标人代表被授权有效；</w:t>
      </w:r>
    </w:p>
    <w:p w14:paraId="39DA9058">
      <w:pPr>
        <w:tabs>
          <w:tab w:val="left" w:pos="7513"/>
        </w:tabs>
        <w:spacing w:line="360" w:lineRule="auto"/>
        <w:ind w:firstLine="360" w:firstLineChars="150"/>
        <w:rPr>
          <w:rFonts w:ascii="宋体" w:hAnsi="宋体"/>
          <w:color w:val="auto"/>
          <w:sz w:val="24"/>
          <w:szCs w:val="24"/>
          <w:highlight w:val="none"/>
        </w:rPr>
      </w:pPr>
      <w:r>
        <w:rPr>
          <w:rFonts w:hint="eastAsia" w:ascii="宋体" w:hAnsi="宋体"/>
          <w:color w:val="auto"/>
          <w:sz w:val="24"/>
          <w:szCs w:val="24"/>
          <w:highlight w:val="none"/>
        </w:rPr>
        <w:t>3.2投标人（若为联合体投标，指联合体各方）均具有独立法人资格，持有事业单位登记管理部门核发的事业单位法人证书或工商行政（或市场监督）管理部门核发的企业法人营业执照，且在营业期限内；</w:t>
      </w:r>
    </w:p>
    <w:p w14:paraId="2E2D6921">
      <w:pPr>
        <w:tabs>
          <w:tab w:val="left" w:pos="7513"/>
        </w:tabs>
        <w:spacing w:line="360" w:lineRule="auto"/>
        <w:ind w:firstLine="360" w:firstLineChars="150"/>
        <w:rPr>
          <w:rFonts w:ascii="宋体" w:hAnsi="宋体"/>
          <w:color w:val="auto"/>
          <w:sz w:val="24"/>
          <w:szCs w:val="24"/>
          <w:highlight w:val="none"/>
        </w:rPr>
      </w:pPr>
      <w:r>
        <w:rPr>
          <w:rFonts w:hint="eastAsia" w:ascii="宋体" w:hAnsi="宋体"/>
          <w:color w:val="auto"/>
          <w:sz w:val="24"/>
          <w:szCs w:val="24"/>
          <w:highlight w:val="none"/>
        </w:rPr>
        <w:t>3.3本次招标要求投标人具备以下（1）、（2）项条件：</w:t>
      </w:r>
    </w:p>
    <w:p w14:paraId="2ABFFF58">
      <w:pPr>
        <w:tabs>
          <w:tab w:val="left" w:pos="7513"/>
        </w:tabs>
        <w:spacing w:line="360" w:lineRule="auto"/>
        <w:ind w:firstLine="360" w:firstLineChars="150"/>
        <w:rPr>
          <w:rFonts w:ascii="宋体" w:hAnsi="宋体"/>
          <w:color w:val="auto"/>
          <w:sz w:val="24"/>
          <w:szCs w:val="24"/>
          <w:highlight w:val="none"/>
        </w:rPr>
      </w:pPr>
      <w:r>
        <w:rPr>
          <w:rFonts w:hint="eastAsia" w:ascii="宋体" w:hAnsi="宋体"/>
          <w:color w:val="auto"/>
          <w:sz w:val="24"/>
          <w:szCs w:val="24"/>
          <w:highlight w:val="none"/>
        </w:rPr>
        <w:t>（1）投标人须具备以下资质（①或②或③）：</w:t>
      </w:r>
    </w:p>
    <w:p w14:paraId="58CEE56A">
      <w:pPr>
        <w:tabs>
          <w:tab w:val="left" w:pos="7513"/>
        </w:tabs>
        <w:spacing w:line="360" w:lineRule="auto"/>
        <w:ind w:firstLine="360" w:firstLineChars="150"/>
        <w:rPr>
          <w:rFonts w:ascii="宋体" w:hAnsi="宋体"/>
          <w:color w:val="auto"/>
          <w:sz w:val="24"/>
          <w:szCs w:val="24"/>
          <w:highlight w:val="none"/>
        </w:rPr>
      </w:pPr>
      <w:r>
        <w:rPr>
          <w:rFonts w:hint="eastAsia" w:ascii="宋体" w:hAnsi="宋体"/>
          <w:color w:val="auto"/>
          <w:sz w:val="24"/>
          <w:szCs w:val="24"/>
          <w:highlight w:val="none"/>
        </w:rPr>
        <w:t>①具备建设行政主管部门颁发的建设工程质量检测机构综合资质证书，且资质证书在有效期内；</w:t>
      </w:r>
    </w:p>
    <w:p w14:paraId="44C8A42A">
      <w:pPr>
        <w:tabs>
          <w:tab w:val="left" w:pos="7513"/>
        </w:tabs>
        <w:spacing w:line="360" w:lineRule="auto"/>
        <w:ind w:firstLine="360" w:firstLineChars="150"/>
        <w:rPr>
          <w:rFonts w:ascii="宋体" w:hAnsi="宋体"/>
          <w:color w:val="auto"/>
          <w:sz w:val="24"/>
          <w:szCs w:val="24"/>
          <w:highlight w:val="none"/>
        </w:rPr>
      </w:pPr>
      <w:r>
        <w:rPr>
          <w:rFonts w:hint="eastAsia" w:ascii="宋体" w:hAnsi="宋体"/>
          <w:color w:val="auto"/>
          <w:sz w:val="24"/>
          <w:szCs w:val="24"/>
          <w:highlight w:val="none"/>
        </w:rPr>
        <w:t>②具备建设行政主管部门颁发的建设工程质量检测机构专项资质证书（专项资质证书须提供：地基基础、市政工程材料、道路工程），且资质证书在有效期内；</w:t>
      </w:r>
    </w:p>
    <w:p w14:paraId="1A9ECD22">
      <w:pPr>
        <w:tabs>
          <w:tab w:val="left" w:pos="7513"/>
        </w:tabs>
        <w:spacing w:line="360" w:lineRule="auto"/>
        <w:ind w:firstLine="360" w:firstLineChars="150"/>
        <w:rPr>
          <w:rFonts w:ascii="宋体" w:hAnsi="宋体"/>
          <w:color w:val="auto"/>
          <w:sz w:val="24"/>
          <w:szCs w:val="24"/>
          <w:highlight w:val="none"/>
        </w:rPr>
      </w:pPr>
      <w:r>
        <w:rPr>
          <w:rFonts w:hint="eastAsia" w:ascii="宋体" w:hAnsi="宋体"/>
          <w:color w:val="auto"/>
          <w:sz w:val="24"/>
          <w:szCs w:val="24"/>
          <w:highlight w:val="none"/>
        </w:rPr>
        <w:t>③具备建设行政主管部门颁发的建设工程质量检测机构资质证书（检测范围应覆盖本次招标主要内容：包括见证取样检测、地基基础工程检测、主体结构工程现场检测），且资质证书在有效期以内。</w:t>
      </w:r>
    </w:p>
    <w:p w14:paraId="1C38BB9D">
      <w:pPr>
        <w:tabs>
          <w:tab w:val="left" w:pos="7513"/>
        </w:tabs>
        <w:spacing w:line="360" w:lineRule="auto"/>
        <w:ind w:firstLine="360" w:firstLineChars="150"/>
        <w:rPr>
          <w:rFonts w:ascii="宋体" w:hAnsi="宋体"/>
          <w:color w:val="auto"/>
          <w:sz w:val="24"/>
          <w:szCs w:val="24"/>
          <w:highlight w:val="none"/>
        </w:rPr>
      </w:pPr>
      <w:r>
        <w:rPr>
          <w:rFonts w:hint="eastAsia" w:ascii="宋体" w:hAnsi="宋体"/>
          <w:color w:val="auto"/>
          <w:sz w:val="24"/>
          <w:szCs w:val="24"/>
          <w:highlight w:val="none"/>
        </w:rPr>
        <w:t>注：资质内容按照《住房和城乡建设部关于印发《建设工程质量检测机构资质标准》的通知》（建质规〔2023〕1号）、《广东省住房和城乡建设厅关于做好建设工程质量检测机构资质审批有关事项准备的通知》（粤建质[2024]244号），证书须在有效期以内。</w:t>
      </w:r>
    </w:p>
    <w:p w14:paraId="56624853">
      <w:pPr>
        <w:spacing w:line="360" w:lineRule="auto"/>
        <w:ind w:firstLine="480" w:firstLineChars="200"/>
        <w:rPr>
          <w:color w:val="auto"/>
          <w:highlight w:val="none"/>
        </w:rPr>
      </w:pP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2</w:t>
      </w:r>
      <w:r>
        <w:rPr>
          <w:rFonts w:hint="eastAsia" w:ascii="宋体" w:hAnsi="宋体"/>
          <w:color w:val="auto"/>
          <w:sz w:val="24"/>
          <w:szCs w:val="24"/>
          <w:highlight w:val="none"/>
        </w:rPr>
        <w:t>）投标人具备质量技术监督部门颁发的CMA计量认证合格证书（或CMA检验检测机构资质认定证书），且证书在有效期内；认证范围须覆盖本次招标的主要内容：见证取样检测、地基与基础工程检测、主体结构工程检测</w:t>
      </w:r>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工程监测</w:t>
      </w:r>
      <w:r>
        <w:rPr>
          <w:rFonts w:hint="eastAsia" w:ascii="宋体" w:hAnsi="宋体" w:eastAsia="宋体"/>
          <w:color w:val="auto"/>
          <w:sz w:val="24"/>
          <w:szCs w:val="24"/>
          <w:highlight w:val="none"/>
          <w:lang w:eastAsia="zh-CN"/>
        </w:rPr>
        <w:t>，</w:t>
      </w:r>
      <w:r>
        <w:rPr>
          <w:rFonts w:hint="eastAsia" w:ascii="宋体" w:hAnsi="宋体"/>
          <w:color w:val="auto"/>
          <w:sz w:val="24"/>
          <w:highlight w:val="none"/>
        </w:rPr>
        <w:t>如投标人CMA计量认证合格证书中的检测监测项目与上述名称不同，但表达的意思一致也视为满足该项条件。如中标人不具备相关专业的检测资质，应当自行完成本资质专业的检测业务，并在保证整个工程项目完整性的前提下，经发包方同意，将其他部分专业检测监测业务发包给具有相应资质的分包方</w:t>
      </w:r>
      <w:r>
        <w:rPr>
          <w:rFonts w:hint="eastAsia" w:ascii="宋体" w:hAnsi="宋体"/>
          <w:color w:val="auto"/>
          <w:sz w:val="24"/>
          <w:szCs w:val="24"/>
          <w:highlight w:val="none"/>
        </w:rPr>
        <w:t>。</w:t>
      </w:r>
    </w:p>
    <w:p w14:paraId="033A7034">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3.4拟派的项目负责人应具有</w:t>
      </w:r>
      <w:r>
        <w:rPr>
          <w:rFonts w:hint="eastAsia" w:ascii="宋体" w:hAnsi="宋体"/>
          <w:color w:val="auto"/>
          <w:sz w:val="24"/>
          <w:highlight w:val="none"/>
          <w:u w:val="single"/>
        </w:rPr>
        <w:t>工程类中级或以上职称（若为联合体投标，项目负责人须是联合体主办方在职员工）</w:t>
      </w:r>
      <w:r>
        <w:rPr>
          <w:rFonts w:hint="eastAsia" w:ascii="宋体" w:hAnsi="宋体"/>
          <w:color w:val="auto"/>
          <w:sz w:val="24"/>
          <w:highlight w:val="none"/>
        </w:rPr>
        <w:t>。</w:t>
      </w:r>
    </w:p>
    <w:p w14:paraId="790BDAB4">
      <w:pPr>
        <w:spacing w:line="360" w:lineRule="auto"/>
        <w:ind w:firstLine="480" w:firstLineChars="200"/>
        <w:rPr>
          <w:rFonts w:ascii="宋体" w:hAnsi="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投标人近二年(从202</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年1月1日起至标止时间止)未因以往检测工作中存在伪造检测数据、出具虚假检测报告的行为被各级建设行政主管部门或市场监督管理部门行政处罚或通报的(按投标人提供的《投标人声明》第三条内容进行评审)。</w:t>
      </w:r>
    </w:p>
    <w:p w14:paraId="36F70D22">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w:t>
      </w:r>
      <w:r>
        <w:rPr>
          <w:rFonts w:hint="eastAsia" w:ascii="宋体" w:hAnsi="宋体"/>
          <w:color w:val="auto"/>
          <w:sz w:val="24"/>
          <w:highlight w:val="none"/>
          <w:lang w:val="en-US" w:eastAsia="zh-CN"/>
        </w:rPr>
        <w:t>6</w:t>
      </w:r>
      <w:r>
        <w:rPr>
          <w:rFonts w:hint="eastAsia" w:ascii="宋体" w:hAnsi="宋体"/>
          <w:color w:val="auto"/>
          <w:sz w:val="24"/>
          <w:highlight w:val="none"/>
        </w:rPr>
        <w:t>投标人未出现以下情形：与其它投标人的单位负责人为同一人或者存在控股、管理关系的（按投标人提供的《投标人声明》第六条内容进行评审）。如不同投标申请人出现单位负责人为同一人或者存在控股、管理关系的情形，则相关投标均无效，（联合体内各成员之间不受本条限制）。</w:t>
      </w:r>
    </w:p>
    <w:p w14:paraId="4B40CEF3">
      <w:pPr>
        <w:topLinePunct/>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投标人已按照招标公告附件一的内容签署盖章的《投标人声明》。</w:t>
      </w:r>
    </w:p>
    <w:p w14:paraId="33CA5434">
      <w:pPr>
        <w:spacing w:line="360" w:lineRule="auto"/>
        <w:ind w:firstLine="480" w:firstLineChars="200"/>
        <w:rPr>
          <w:rFonts w:ascii="宋体" w:hAnsi="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lang w:val="en-US" w:eastAsia="zh-CN"/>
        </w:rPr>
        <w:t>8</w:t>
      </w:r>
      <w:r>
        <w:rPr>
          <w:rFonts w:hint="eastAsia" w:ascii="宋体" w:hAnsi="宋体" w:cs="宋体"/>
          <w:color w:val="auto"/>
          <w:sz w:val="24"/>
          <w:highlight w:val="none"/>
        </w:rPr>
        <w:t>投标人已按照招标公告附件二的内容签署盖章的《投标承诺函》。</w:t>
      </w:r>
    </w:p>
    <w:p w14:paraId="304F9EDA">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3.</w:t>
      </w:r>
      <w:r>
        <w:rPr>
          <w:rFonts w:hint="eastAsia" w:ascii="宋体" w:hAnsi="宋体"/>
          <w:color w:val="auto"/>
          <w:sz w:val="24"/>
          <w:highlight w:val="none"/>
          <w:lang w:val="en-US" w:eastAsia="zh-CN"/>
        </w:rPr>
        <w:t>9</w:t>
      </w:r>
      <w:r>
        <w:rPr>
          <w:rFonts w:hint="eastAsia" w:ascii="宋体" w:hAnsi="宋体"/>
          <w:color w:val="auto"/>
          <w:sz w:val="24"/>
          <w:highlight w:val="none"/>
        </w:rPr>
        <w:t>关于联合体投标：</w:t>
      </w:r>
      <w:r>
        <w:rPr>
          <w:rFonts w:hint="eastAsia" w:ascii="宋体" w:hAnsi="宋体"/>
          <w:color w:val="auto"/>
          <w:sz w:val="24"/>
          <w:highlight w:val="none"/>
          <w:u w:val="single"/>
        </w:rPr>
        <w:t>本项目接受联合体投标，联合体单位不超过2家。</w:t>
      </w:r>
    </w:p>
    <w:p w14:paraId="630F0477">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注：（1）如投标人组成联合体，应以</w:t>
      </w:r>
      <w:r>
        <w:rPr>
          <w:rFonts w:hint="eastAsia" w:ascii="宋体" w:hAnsi="宋体" w:cs="宋体"/>
          <w:color w:val="auto"/>
          <w:sz w:val="24"/>
          <w:szCs w:val="24"/>
          <w:highlight w:val="none"/>
          <w:u w:val="single"/>
        </w:rPr>
        <w:t>项目负责人所在企业</w:t>
      </w:r>
      <w:r>
        <w:rPr>
          <w:rFonts w:hint="eastAsia" w:ascii="宋体" w:hAnsi="宋体" w:cs="宋体"/>
          <w:color w:val="auto"/>
          <w:sz w:val="24"/>
          <w:szCs w:val="24"/>
          <w:highlight w:val="none"/>
        </w:rPr>
        <w:t>为主办方，并签定联合体工作协议。投标人拟任本工程项目负责人应为主办方正式员工。联合体工作协议应明确约定各方拟承担的工作和责任。</w:t>
      </w:r>
    </w:p>
    <w:p w14:paraId="4AE10F29">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（2）联合体各方（包括主办方及联合体成员）不得再单独或与其他单位组成联合体参与本项目投标。出现上述情况者，其投标和与此有关的联合体的投标将被拒绝。</w:t>
      </w:r>
    </w:p>
    <w:p w14:paraId="7DF70109">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（3）联合体主办方的被授权人作为联合体各方的代表，承担责任和指令，并负责整个投标过程中的一切责任；</w:t>
      </w:r>
    </w:p>
    <w:p w14:paraId="1B019E2C">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u w:val="single"/>
        </w:rPr>
        <w:t>联合体投标时，除“联合体协议书”需由联合体各方分别按要求进行签字或盖章外，其他资料若需要签字或盖章的均可由联合体主办方签字或盖章即可；投标资料封面及其他内容及落款中的“投标人”、“投标单位”、“声明企业”应填写联合体各方的单位全称【格式示例为：（主）单位全称（成）单位全称】，由联合体主办方按要求签字或盖章即可。电子签章由主办方进行签章即可。</w:t>
      </w:r>
    </w:p>
    <w:p w14:paraId="2D2E863B">
      <w:pPr>
        <w:spacing w:line="360" w:lineRule="auto"/>
        <w:ind w:firstLine="480" w:firstLineChars="200"/>
        <w:rPr>
          <w:rFonts w:ascii="宋体" w:hAnsi="宋体"/>
          <w:color w:val="auto"/>
          <w:sz w:val="24"/>
          <w:szCs w:val="24"/>
          <w:highlight w:val="none"/>
        </w:rPr>
      </w:pPr>
      <w:r>
        <w:rPr>
          <w:rFonts w:hint="eastAsia" w:ascii="宋体" w:hAnsi="宋体"/>
          <w:color w:val="auto"/>
          <w:sz w:val="24"/>
          <w:highlight w:val="none"/>
        </w:rPr>
        <w:t>注：未在招标公告第3条单列的投标人资格要求条件，不作为资审不合格的依据。</w:t>
      </w:r>
    </w:p>
    <w:p w14:paraId="337EF59C">
      <w:pPr>
        <w:pStyle w:val="3"/>
        <w:keepNext w:val="0"/>
        <w:keepLines w:val="0"/>
        <w:spacing w:before="0" w:after="0" w:line="360" w:lineRule="auto"/>
        <w:rPr>
          <w:rFonts w:ascii="Times New Roman" w:hAnsi="Times New Roman"/>
          <w:color w:val="auto"/>
          <w:highlight w:val="none"/>
        </w:rPr>
      </w:pPr>
      <w:bookmarkStart w:id="8" w:name="_Toc511557028"/>
      <w:bookmarkStart w:id="9" w:name="_Toc514099626"/>
      <w:r>
        <w:rPr>
          <w:rFonts w:ascii="Times New Roman" w:hAnsi="Times New Roman"/>
          <w:color w:val="auto"/>
          <w:highlight w:val="none"/>
        </w:rPr>
        <w:t xml:space="preserve">4. </w:t>
      </w:r>
      <w:r>
        <w:rPr>
          <w:rFonts w:hint="eastAsia" w:ascii="Times New Roman" w:hAnsi="Times New Roman"/>
          <w:color w:val="auto"/>
          <w:highlight w:val="none"/>
        </w:rPr>
        <w:t>招标文件的获取</w:t>
      </w:r>
      <w:bookmarkEnd w:id="8"/>
      <w:bookmarkEnd w:id="9"/>
    </w:p>
    <w:p w14:paraId="13556EAF">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4.1凡有意参加投标者，请登录</w:t>
      </w:r>
      <w:r>
        <w:rPr>
          <w:rFonts w:hint="eastAsia" w:ascii="宋体" w:hAnsi="宋体"/>
          <w:color w:val="auto"/>
          <w:sz w:val="24"/>
          <w:szCs w:val="24"/>
          <w:highlight w:val="none"/>
          <w:u w:val="single"/>
        </w:rPr>
        <w:t>广州公共资源交易中心网站（</w:t>
      </w:r>
      <w:r>
        <w:rPr>
          <w:rFonts w:ascii="宋体" w:hAnsi="宋体"/>
          <w:color w:val="auto"/>
          <w:sz w:val="24"/>
          <w:szCs w:val="24"/>
          <w:highlight w:val="none"/>
          <w:u w:val="single"/>
        </w:rPr>
        <w:t>http//www.gzggzy.cn</w:t>
      </w:r>
      <w:r>
        <w:rPr>
          <w:rFonts w:hint="eastAsia" w:ascii="宋体" w:hAnsi="宋体"/>
          <w:color w:val="auto"/>
          <w:sz w:val="24"/>
          <w:szCs w:val="24"/>
          <w:highlight w:val="none"/>
          <w:u w:val="single"/>
        </w:rPr>
        <w:t>）</w:t>
      </w:r>
      <w:r>
        <w:rPr>
          <w:rFonts w:ascii="宋体" w:hAnsi="宋体"/>
          <w:color w:val="auto"/>
          <w:sz w:val="24"/>
          <w:szCs w:val="24"/>
          <w:highlight w:val="none"/>
        </w:rPr>
        <w:t>下载招标文件。</w:t>
      </w:r>
    </w:p>
    <w:p w14:paraId="130C2B1B">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发布招标公告、递交投标文件时间、开标时间：</w:t>
      </w:r>
    </w:p>
    <w:p w14:paraId="6EFB7421">
      <w:pPr>
        <w:spacing w:line="360" w:lineRule="auto"/>
        <w:ind w:left="658" w:leftChars="199" w:hanging="240" w:hangingChars="100"/>
        <w:rPr>
          <w:rFonts w:ascii="宋体" w:hAnsi="宋体"/>
          <w:color w:val="auto"/>
          <w:sz w:val="24"/>
          <w:highlight w:val="none"/>
          <w:u w:val="single"/>
        </w:rPr>
      </w:pPr>
      <w:r>
        <w:rPr>
          <w:rFonts w:hint="eastAsia" w:ascii="宋体" w:hAnsi="宋体"/>
          <w:color w:val="auto"/>
          <w:sz w:val="24"/>
          <w:highlight w:val="none"/>
        </w:rPr>
        <w:t>发布招标公告日期（含本日）：</w:t>
      </w:r>
      <w:r>
        <w:rPr>
          <w:rFonts w:hint="eastAsia" w:ascii="宋体" w:hAnsi="宋体"/>
          <w:color w:val="auto"/>
          <w:sz w:val="24"/>
          <w:highlight w:val="none"/>
          <w:u w:val="single"/>
        </w:rPr>
        <w:t>2025</w:t>
      </w:r>
      <w:r>
        <w:rPr>
          <w:rFonts w:hint="eastAsia" w:ascii="宋体" w:hAnsi="宋体"/>
          <w:color w:val="auto"/>
          <w:sz w:val="24"/>
          <w:highlight w:val="none"/>
        </w:rPr>
        <w:t>年</w:t>
      </w:r>
      <w:r>
        <w:rPr>
          <w:rFonts w:hint="eastAsia" w:ascii="宋体" w:hAnsi="宋体"/>
          <w:color w:val="auto"/>
          <w:sz w:val="24"/>
          <w:highlight w:val="none"/>
          <w:u w:val="single"/>
          <w:lang w:val="en-US" w:eastAsia="zh-CN"/>
        </w:rPr>
        <w:t>7</w:t>
      </w:r>
      <w:r>
        <w:rPr>
          <w:rFonts w:hint="eastAsia" w:ascii="宋体" w:hAnsi="宋体"/>
          <w:color w:val="auto"/>
          <w:sz w:val="24"/>
          <w:highlight w:val="none"/>
        </w:rPr>
        <w:t>月</w:t>
      </w:r>
      <w:r>
        <w:rPr>
          <w:rFonts w:hint="eastAsia" w:ascii="宋体" w:hAnsi="宋体"/>
          <w:color w:val="auto"/>
          <w:sz w:val="24"/>
          <w:highlight w:val="none"/>
          <w:u w:val="single"/>
          <w:lang w:val="en-US" w:eastAsia="zh-CN"/>
        </w:rPr>
        <w:t>3</w:t>
      </w:r>
      <w:r>
        <w:rPr>
          <w:rFonts w:hint="eastAsia" w:ascii="宋体" w:hAnsi="宋体"/>
          <w:color w:val="auto"/>
          <w:sz w:val="24"/>
          <w:highlight w:val="none"/>
        </w:rPr>
        <w:t>日至</w:t>
      </w:r>
      <w:r>
        <w:rPr>
          <w:rFonts w:hint="eastAsia" w:ascii="宋体" w:hAnsi="宋体"/>
          <w:color w:val="auto"/>
          <w:sz w:val="24"/>
          <w:highlight w:val="none"/>
          <w:u w:val="single"/>
        </w:rPr>
        <w:t xml:space="preserve"> 00 </w:t>
      </w:r>
      <w:r>
        <w:rPr>
          <w:rFonts w:hint="eastAsia" w:ascii="宋体" w:hAnsi="宋体"/>
          <w:color w:val="auto"/>
          <w:sz w:val="24"/>
          <w:highlight w:val="none"/>
        </w:rPr>
        <w:t>时</w:t>
      </w:r>
      <w:r>
        <w:rPr>
          <w:rFonts w:hint="eastAsia" w:ascii="宋体" w:hAnsi="宋体"/>
          <w:color w:val="auto"/>
          <w:sz w:val="24"/>
          <w:highlight w:val="none"/>
          <w:u w:val="single"/>
        </w:rPr>
        <w:t xml:space="preserve"> 00 </w:t>
      </w:r>
      <w:r>
        <w:rPr>
          <w:rFonts w:hint="eastAsia" w:ascii="宋体" w:hAnsi="宋体"/>
          <w:color w:val="auto"/>
          <w:sz w:val="24"/>
          <w:highlight w:val="none"/>
        </w:rPr>
        <w:t>分</w:t>
      </w:r>
      <w:r>
        <w:rPr>
          <w:rFonts w:hint="eastAsia" w:ascii="宋体" w:hAnsi="宋体"/>
          <w:color w:val="auto"/>
          <w:sz w:val="24"/>
          <w:highlight w:val="none"/>
          <w:u w:val="single"/>
        </w:rPr>
        <w:t>2025</w:t>
      </w:r>
      <w:r>
        <w:rPr>
          <w:rFonts w:hint="eastAsia" w:ascii="宋体" w:hAnsi="宋体"/>
          <w:color w:val="auto"/>
          <w:sz w:val="24"/>
          <w:highlight w:val="none"/>
        </w:rPr>
        <w:t>年</w:t>
      </w:r>
      <w:r>
        <w:rPr>
          <w:rFonts w:hint="eastAsia" w:ascii="宋体" w:hAnsi="宋体"/>
          <w:color w:val="auto"/>
          <w:sz w:val="24"/>
          <w:highlight w:val="none"/>
          <w:u w:val="single"/>
          <w:lang w:val="en-US" w:eastAsia="zh-CN"/>
        </w:rPr>
        <w:t>7</w:t>
      </w:r>
      <w:r>
        <w:rPr>
          <w:rFonts w:hint="eastAsia" w:ascii="宋体" w:hAnsi="宋体"/>
          <w:color w:val="auto"/>
          <w:sz w:val="24"/>
          <w:highlight w:val="none"/>
        </w:rPr>
        <w:t>月</w:t>
      </w:r>
      <w:r>
        <w:rPr>
          <w:rFonts w:hint="eastAsia" w:ascii="宋体" w:hAnsi="宋体"/>
          <w:color w:val="auto"/>
          <w:sz w:val="24"/>
          <w:highlight w:val="none"/>
          <w:u w:val="single"/>
          <w:lang w:val="en-US" w:eastAsia="zh-CN"/>
        </w:rPr>
        <w:t>23</w:t>
      </w:r>
      <w:r>
        <w:rPr>
          <w:rFonts w:hint="eastAsia" w:ascii="宋体" w:hAnsi="宋体"/>
          <w:color w:val="auto"/>
          <w:sz w:val="24"/>
          <w:highlight w:val="none"/>
        </w:rPr>
        <w:t>日</w:t>
      </w:r>
      <w:r>
        <w:rPr>
          <w:rFonts w:hint="eastAsia" w:ascii="宋体" w:hAnsi="宋体"/>
          <w:color w:val="auto"/>
          <w:sz w:val="24"/>
          <w:highlight w:val="none"/>
          <w:u w:val="single"/>
          <w:lang w:val="en-US" w:eastAsia="zh-CN"/>
        </w:rPr>
        <w:t>15</w:t>
      </w:r>
      <w:r>
        <w:rPr>
          <w:rFonts w:hint="eastAsia" w:ascii="宋体" w:hAnsi="宋体"/>
          <w:color w:val="auto"/>
          <w:sz w:val="24"/>
          <w:highlight w:val="none"/>
        </w:rPr>
        <w:t>时</w:t>
      </w:r>
      <w:r>
        <w:rPr>
          <w:rFonts w:hint="eastAsia" w:ascii="宋体" w:hAnsi="宋体"/>
          <w:color w:val="auto"/>
          <w:sz w:val="24"/>
          <w:highlight w:val="none"/>
          <w:u w:val="single"/>
          <w:lang w:val="en-US" w:eastAsia="zh-CN"/>
        </w:rPr>
        <w:t>00</w:t>
      </w:r>
      <w:r>
        <w:rPr>
          <w:rFonts w:hint="eastAsia" w:ascii="宋体" w:hAnsi="宋体"/>
          <w:color w:val="auto"/>
          <w:sz w:val="24"/>
          <w:highlight w:val="none"/>
        </w:rPr>
        <w:t>分（北京时间，下同）。</w:t>
      </w:r>
    </w:p>
    <w:p w14:paraId="23E08BDA">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注：发布招标公告的时间为招标公告发出之日起至递交投标文件截止时间止。</w:t>
      </w:r>
    </w:p>
    <w:p w14:paraId="7DEF65FD">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投标人通过广州公共资源交易平台递交电子投标文件。投标人应在递交投标文件截止时间前，登录广州公共资源交易平台网站办理网上投标登记手续。按照交易平台关于全流程电子化项目的相关指南进行操作。</w:t>
      </w:r>
    </w:p>
    <w:p w14:paraId="11D7770C">
      <w:pPr>
        <w:spacing w:line="360" w:lineRule="auto"/>
        <w:ind w:firstLine="424" w:firstLineChars="177"/>
        <w:rPr>
          <w:color w:val="auto"/>
          <w:sz w:val="24"/>
          <w:highlight w:val="none"/>
        </w:rPr>
      </w:pPr>
      <w:r>
        <w:rPr>
          <w:rFonts w:hint="eastAsia" w:ascii="宋体" w:hAnsi="宋体"/>
          <w:color w:val="auto"/>
          <w:sz w:val="24"/>
          <w:highlight w:val="none"/>
        </w:rPr>
        <w:t>开标时间：</w:t>
      </w:r>
      <w:r>
        <w:rPr>
          <w:rFonts w:hint="eastAsia" w:ascii="宋体" w:hAnsi="宋体"/>
          <w:color w:val="auto"/>
          <w:sz w:val="24"/>
          <w:highlight w:val="none"/>
          <w:u w:val="single"/>
        </w:rPr>
        <w:t>2025</w:t>
      </w:r>
      <w:r>
        <w:rPr>
          <w:rFonts w:hint="eastAsia" w:ascii="宋体" w:hAnsi="宋体"/>
          <w:color w:val="auto"/>
          <w:sz w:val="24"/>
          <w:highlight w:val="none"/>
        </w:rPr>
        <w:t>年</w:t>
      </w:r>
      <w:r>
        <w:rPr>
          <w:rFonts w:hint="eastAsia" w:ascii="宋体" w:hAnsi="宋体"/>
          <w:color w:val="auto"/>
          <w:sz w:val="24"/>
          <w:highlight w:val="none"/>
          <w:u w:val="single"/>
          <w:lang w:val="en-US" w:eastAsia="zh-CN"/>
        </w:rPr>
        <w:t>7</w:t>
      </w:r>
      <w:r>
        <w:rPr>
          <w:rFonts w:hint="eastAsia" w:ascii="宋体" w:hAnsi="宋体"/>
          <w:color w:val="auto"/>
          <w:sz w:val="24"/>
          <w:highlight w:val="none"/>
        </w:rPr>
        <w:t xml:space="preserve"> 月</w:t>
      </w:r>
      <w:r>
        <w:rPr>
          <w:rFonts w:hint="eastAsia" w:ascii="宋体" w:hAnsi="宋体"/>
          <w:color w:val="auto"/>
          <w:sz w:val="24"/>
          <w:highlight w:val="none"/>
          <w:u w:val="single"/>
          <w:lang w:val="en-US" w:eastAsia="zh-CN"/>
        </w:rPr>
        <w:t>23</w:t>
      </w:r>
      <w:r>
        <w:rPr>
          <w:rFonts w:hint="eastAsia" w:ascii="宋体" w:hAnsi="宋体"/>
          <w:color w:val="auto"/>
          <w:sz w:val="24"/>
          <w:highlight w:val="none"/>
        </w:rPr>
        <w:t>日</w:t>
      </w:r>
      <w:r>
        <w:rPr>
          <w:rFonts w:hint="eastAsia" w:ascii="宋体" w:hAnsi="宋体"/>
          <w:color w:val="auto"/>
          <w:sz w:val="24"/>
          <w:highlight w:val="none"/>
          <w:u w:val="single"/>
          <w:lang w:val="en-US" w:eastAsia="zh-CN"/>
        </w:rPr>
        <w:t>15</w:t>
      </w:r>
      <w:r>
        <w:rPr>
          <w:rFonts w:hint="eastAsia" w:ascii="宋体" w:hAnsi="宋体"/>
          <w:color w:val="auto"/>
          <w:sz w:val="24"/>
          <w:highlight w:val="none"/>
        </w:rPr>
        <w:t>时</w:t>
      </w:r>
      <w:r>
        <w:rPr>
          <w:rFonts w:hint="eastAsia" w:ascii="宋体" w:hAnsi="宋体"/>
          <w:color w:val="auto"/>
          <w:sz w:val="24"/>
          <w:highlight w:val="none"/>
          <w:u w:val="single"/>
          <w:lang w:val="en-US" w:eastAsia="zh-CN"/>
        </w:rPr>
        <w:t>00</w:t>
      </w:r>
      <w:r>
        <w:rPr>
          <w:rFonts w:hint="eastAsia" w:ascii="宋体" w:hAnsi="宋体"/>
          <w:color w:val="auto"/>
          <w:sz w:val="24"/>
          <w:highlight w:val="none"/>
        </w:rPr>
        <w:t>分</w:t>
      </w:r>
      <w:r>
        <w:rPr>
          <w:rFonts w:hint="eastAsia"/>
          <w:color w:val="auto"/>
          <w:sz w:val="24"/>
          <w:highlight w:val="none"/>
        </w:rPr>
        <w:t>。</w:t>
      </w:r>
    </w:p>
    <w:p w14:paraId="48EBB967">
      <w:pPr>
        <w:spacing w:line="360" w:lineRule="auto"/>
        <w:ind w:firstLine="424" w:firstLineChars="177"/>
        <w:rPr>
          <w:color w:val="auto"/>
          <w:sz w:val="24"/>
          <w:highlight w:val="none"/>
        </w:rPr>
      </w:pPr>
      <w:r>
        <w:rPr>
          <w:rFonts w:hint="eastAsia"/>
          <w:color w:val="auto"/>
          <w:sz w:val="24"/>
          <w:highlight w:val="none"/>
        </w:rPr>
        <w:t>开标地点为广州公共资源交易中心开标室（具体开标室以交易中心日程安排系统信息为准）。</w:t>
      </w:r>
    </w:p>
    <w:p w14:paraId="1176FE89">
      <w:pPr>
        <w:spacing w:line="360" w:lineRule="auto"/>
        <w:ind w:firstLine="373" w:firstLineChars="177"/>
        <w:rPr>
          <w:b/>
          <w:bCs/>
          <w:color w:val="auto"/>
          <w:szCs w:val="21"/>
          <w:highlight w:val="none"/>
        </w:rPr>
      </w:pPr>
      <w:r>
        <w:rPr>
          <w:rFonts w:hint="eastAsia"/>
          <w:b/>
          <w:bCs/>
          <w:color w:val="auto"/>
          <w:szCs w:val="21"/>
          <w:highlight w:val="none"/>
        </w:rPr>
        <w:t>注：投标人也可选择参加在线开标，具体按照交易平台相关指南进行操作。详见：广州公共资源交易中心网站发布的最新版操作指引。</w:t>
      </w:r>
    </w:p>
    <w:p w14:paraId="48EB6BE6">
      <w:pPr>
        <w:tabs>
          <w:tab w:val="left" w:pos="7513"/>
        </w:tabs>
        <w:spacing w:line="360" w:lineRule="auto"/>
        <w:ind w:firstLine="480" w:firstLineChars="200"/>
        <w:rPr>
          <w:rFonts w:ascii="宋体" w:hAnsi="宋体"/>
          <w:color w:val="auto"/>
          <w:sz w:val="24"/>
          <w:highlight w:val="none"/>
        </w:rPr>
      </w:pPr>
      <w:r>
        <w:rPr>
          <w:rFonts w:hint="eastAsia" w:ascii="宋体" w:hAnsi="宋体"/>
          <w:color w:val="auto"/>
          <w:sz w:val="24"/>
          <w:highlight w:val="none"/>
        </w:rPr>
        <w:t>4.2本项目采用资格后审方式。</w:t>
      </w:r>
    </w:p>
    <w:p w14:paraId="27CB6D9C">
      <w:pPr>
        <w:tabs>
          <w:tab w:val="left" w:pos="7513"/>
        </w:tabs>
        <w:spacing w:line="360" w:lineRule="auto"/>
        <w:ind w:firstLine="422" w:firstLineChars="200"/>
        <w:rPr>
          <w:rFonts w:ascii="宋体" w:hAnsi="宋体"/>
          <w:b/>
          <w:bCs/>
          <w:color w:val="auto"/>
          <w:szCs w:val="21"/>
          <w:highlight w:val="none"/>
        </w:rPr>
      </w:pPr>
      <w:r>
        <w:rPr>
          <w:rFonts w:hint="eastAsia" w:ascii="宋体" w:hAnsi="宋体"/>
          <w:b/>
          <w:bCs/>
          <w:color w:val="auto"/>
          <w:szCs w:val="21"/>
          <w:highlight w:val="none"/>
        </w:rPr>
        <w:t>注：（</w:t>
      </w:r>
      <w:r>
        <w:rPr>
          <w:rFonts w:ascii="宋体" w:hAnsi="宋体"/>
          <w:b/>
          <w:bCs/>
          <w:color w:val="auto"/>
          <w:szCs w:val="21"/>
          <w:highlight w:val="none"/>
        </w:rPr>
        <w:t>1</w:t>
      </w:r>
      <w:r>
        <w:rPr>
          <w:rFonts w:hint="eastAsia" w:ascii="宋体" w:hAnsi="宋体"/>
          <w:b/>
          <w:bCs/>
          <w:color w:val="auto"/>
          <w:szCs w:val="21"/>
          <w:highlight w:val="none"/>
        </w:rPr>
        <w:t>）电子招投标操作流程详见广州公共资源交易中心网站发布的最新版操作指引。</w:t>
      </w:r>
    </w:p>
    <w:p w14:paraId="1AFE1AFC">
      <w:pPr>
        <w:tabs>
          <w:tab w:val="left" w:pos="7513"/>
        </w:tabs>
        <w:spacing w:line="360" w:lineRule="auto"/>
        <w:ind w:firstLine="422" w:firstLineChars="200"/>
        <w:rPr>
          <w:rFonts w:ascii="宋体" w:hAnsi="宋体"/>
          <w:b/>
          <w:bCs/>
          <w:color w:val="auto"/>
          <w:szCs w:val="21"/>
          <w:highlight w:val="none"/>
        </w:rPr>
      </w:pPr>
      <w:r>
        <w:rPr>
          <w:rFonts w:hint="eastAsia" w:ascii="宋体" w:hAnsi="宋体"/>
          <w:b/>
          <w:bCs/>
          <w:color w:val="auto"/>
          <w:szCs w:val="21"/>
          <w:highlight w:val="none"/>
        </w:rPr>
        <w:t>（</w:t>
      </w:r>
      <w:r>
        <w:rPr>
          <w:rFonts w:ascii="宋体" w:hAnsi="宋体"/>
          <w:b/>
          <w:bCs/>
          <w:color w:val="auto"/>
          <w:szCs w:val="21"/>
          <w:highlight w:val="none"/>
        </w:rPr>
        <w:t>2</w:t>
      </w:r>
      <w:r>
        <w:rPr>
          <w:rFonts w:hint="eastAsia" w:ascii="宋体" w:hAnsi="宋体"/>
          <w:b/>
          <w:bCs/>
          <w:color w:val="auto"/>
          <w:szCs w:val="21"/>
          <w:highlight w:val="none"/>
        </w:rPr>
        <w:t>）本公告发布之日起开始登记，</w:t>
      </w:r>
      <w:r>
        <w:rPr>
          <w:rFonts w:ascii="宋体" w:hAnsi="宋体"/>
          <w:b/>
          <w:bCs/>
          <w:color w:val="auto"/>
          <w:szCs w:val="21"/>
          <w:highlight w:val="none"/>
        </w:rPr>
        <w:t>并从</w:t>
      </w:r>
      <w:r>
        <w:rPr>
          <w:rFonts w:hint="eastAsia" w:ascii="宋体" w:hAnsi="宋体"/>
          <w:b/>
          <w:bCs/>
          <w:color w:val="auto"/>
          <w:szCs w:val="21"/>
          <w:highlight w:val="none"/>
        </w:rPr>
        <w:t>开始登记</w:t>
      </w:r>
      <w:r>
        <w:rPr>
          <w:rFonts w:ascii="宋体" w:hAnsi="宋体"/>
          <w:b/>
          <w:bCs/>
          <w:color w:val="auto"/>
          <w:szCs w:val="21"/>
          <w:highlight w:val="none"/>
        </w:rPr>
        <w:t>之日起开始计算备标时间。</w:t>
      </w:r>
    </w:p>
    <w:p w14:paraId="1CD94B14">
      <w:pPr>
        <w:shd w:val="clear" w:color="auto" w:fill="FFFFFF"/>
        <w:spacing w:line="360" w:lineRule="auto"/>
        <w:ind w:firstLine="537" w:firstLineChars="224"/>
        <w:rPr>
          <w:rFonts w:ascii="宋体" w:hAnsi="宋体"/>
          <w:color w:val="auto"/>
          <w:sz w:val="24"/>
          <w:highlight w:val="none"/>
        </w:rPr>
      </w:pPr>
      <w:r>
        <w:rPr>
          <w:rFonts w:hint="eastAsia" w:ascii="宋体" w:hAnsi="宋体"/>
          <w:color w:val="auto"/>
          <w:sz w:val="24"/>
          <w:highlight w:val="none"/>
        </w:rPr>
        <w:t>4.3潜在投标人或利害关系人对本招标公告及招标文件有异议的，应当在投标截止时间10日前向招标人书面提出。</w:t>
      </w:r>
    </w:p>
    <w:p w14:paraId="4A1BB0D5">
      <w:pPr>
        <w:shd w:val="clear" w:color="auto" w:fill="FFFFFF"/>
        <w:spacing w:line="360" w:lineRule="auto"/>
        <w:ind w:firstLine="537" w:firstLineChars="224"/>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rPr>
        <w:t>异议受理部门：</w:t>
      </w:r>
      <w:r>
        <w:rPr>
          <w:rFonts w:hint="eastAsia" w:ascii="宋体" w:hAnsi="宋体" w:cs="宋体"/>
          <w:color w:val="auto"/>
          <w:kern w:val="0"/>
          <w:sz w:val="24"/>
          <w:szCs w:val="24"/>
          <w:highlight w:val="none"/>
          <w:u w:val="single"/>
          <w:lang w:eastAsia="zh-CN"/>
        </w:rPr>
        <w:t>(主)广州番禺产投建设管理有限公司(成)广州市盈泰房地产有限公司</w:t>
      </w:r>
    </w:p>
    <w:p w14:paraId="65B40102">
      <w:pPr>
        <w:widowControl/>
        <w:shd w:val="clear" w:color="auto" w:fill="FFFFFF"/>
        <w:spacing w:line="360" w:lineRule="auto"/>
        <w:ind w:firstLine="537" w:firstLineChars="224"/>
        <w:jc w:val="left"/>
        <w:rPr>
          <w:rFonts w:ascii="宋体" w:hAnsi="宋体"/>
          <w:color w:val="auto"/>
          <w:sz w:val="24"/>
          <w:szCs w:val="24"/>
          <w:highlight w:val="none"/>
          <w:u w:val="single"/>
        </w:rPr>
      </w:pPr>
      <w:r>
        <w:rPr>
          <w:rFonts w:hint="eastAsia" w:ascii="宋体" w:hAnsi="宋体" w:cs="宋体"/>
          <w:color w:val="auto"/>
          <w:kern w:val="0"/>
          <w:sz w:val="24"/>
          <w:szCs w:val="24"/>
          <w:highlight w:val="none"/>
        </w:rPr>
        <w:t>异议受理电话：</w:t>
      </w:r>
      <w:r>
        <w:rPr>
          <w:rFonts w:hint="eastAsia" w:ascii="宋体" w:hAnsi="宋体" w:cs="宋体"/>
          <w:color w:val="auto"/>
          <w:kern w:val="0"/>
          <w:sz w:val="24"/>
          <w:szCs w:val="24"/>
          <w:highlight w:val="none"/>
          <w:u w:val="single"/>
          <w:lang w:val="en-US" w:eastAsia="zh-CN"/>
        </w:rPr>
        <w:t>020-84879080</w:t>
      </w:r>
    </w:p>
    <w:p w14:paraId="18CB0060">
      <w:pPr>
        <w:widowControl/>
        <w:shd w:val="clear" w:color="auto" w:fill="FFFFFF"/>
        <w:spacing w:line="360" w:lineRule="auto"/>
        <w:ind w:firstLine="537" w:firstLineChars="224"/>
        <w:jc w:val="left"/>
        <w:rPr>
          <w:rFonts w:hint="eastAsia" w:ascii="宋体" w:hAnsi="宋体" w:eastAsia="宋体" w:cs="宋体"/>
          <w:color w:val="auto"/>
          <w:kern w:val="0"/>
          <w:sz w:val="24"/>
          <w:szCs w:val="24"/>
          <w:highlight w:val="none"/>
          <w:u w:val="single"/>
          <w:lang w:eastAsia="zh-CN"/>
        </w:rPr>
      </w:pPr>
      <w:r>
        <w:rPr>
          <w:rFonts w:hint="eastAsia" w:ascii="宋体" w:hAnsi="宋体" w:cs="宋体"/>
          <w:color w:val="auto"/>
          <w:kern w:val="0"/>
          <w:sz w:val="24"/>
          <w:szCs w:val="24"/>
          <w:highlight w:val="none"/>
        </w:rPr>
        <w:t>地址：</w:t>
      </w:r>
      <w:r>
        <w:rPr>
          <w:rFonts w:hint="eastAsia" w:ascii="宋体" w:hAnsi="宋体" w:cs="宋体"/>
          <w:color w:val="auto"/>
          <w:kern w:val="0"/>
          <w:sz w:val="24"/>
          <w:szCs w:val="24"/>
          <w:highlight w:val="none"/>
          <w:u w:val="single"/>
          <w:lang w:eastAsia="zh-CN"/>
        </w:rPr>
        <w:t>广州市番禺区市桥街桥兴大道11号（房地产大院2号楼）</w:t>
      </w:r>
    </w:p>
    <w:p w14:paraId="1B056BC4">
      <w:pPr>
        <w:widowControl/>
        <w:shd w:val="clear" w:color="auto" w:fill="FFFFFF"/>
        <w:spacing w:line="360" w:lineRule="auto"/>
        <w:ind w:firstLine="472" w:firstLineChars="224"/>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注：潜在投标人或利害关系人可以通过线下或线上的形式提出异议。线上提出异议的，应通过交易平台提交，招标人也应通过交易平台答复线上提出的异议。具体按照交易平台相关指南进行操作。作出答复前，应当暂停招标投标活动。</w:t>
      </w:r>
    </w:p>
    <w:p w14:paraId="6AFD5840">
      <w:pPr>
        <w:widowControl/>
        <w:shd w:val="clear" w:color="auto" w:fill="FFFFFF"/>
        <w:spacing w:line="360" w:lineRule="auto"/>
        <w:ind w:firstLine="537" w:firstLineChars="224"/>
        <w:jc w:val="left"/>
        <w:rPr>
          <w:rFonts w:ascii="宋体" w:hAnsi="宋体" w:cs="宋体"/>
          <w:color w:val="auto"/>
          <w:kern w:val="0"/>
          <w:sz w:val="24"/>
          <w:szCs w:val="24"/>
          <w:highlight w:val="none"/>
          <w:u w:val="single"/>
        </w:rPr>
      </w:pPr>
    </w:p>
    <w:p w14:paraId="4DC479A1">
      <w:pPr>
        <w:pStyle w:val="3"/>
        <w:keepNext w:val="0"/>
        <w:keepLines w:val="0"/>
        <w:spacing w:before="0" w:after="0" w:line="360" w:lineRule="auto"/>
        <w:rPr>
          <w:rFonts w:ascii="Times New Roman" w:hAnsi="Times New Roman"/>
          <w:color w:val="auto"/>
          <w:highlight w:val="none"/>
        </w:rPr>
      </w:pPr>
      <w:bookmarkStart w:id="10" w:name="_Toc511557029"/>
      <w:bookmarkStart w:id="11" w:name="_Toc514099627"/>
      <w:r>
        <w:rPr>
          <w:rFonts w:hint="eastAsia" w:ascii="Times New Roman" w:hAnsi="Times New Roman"/>
          <w:color w:val="auto"/>
          <w:highlight w:val="none"/>
        </w:rPr>
        <w:t>5</w:t>
      </w:r>
      <w:r>
        <w:rPr>
          <w:rFonts w:ascii="Times New Roman" w:hAnsi="Times New Roman"/>
          <w:color w:val="auto"/>
          <w:highlight w:val="none"/>
        </w:rPr>
        <w:t xml:space="preserve">. </w:t>
      </w:r>
      <w:r>
        <w:rPr>
          <w:rFonts w:hint="eastAsia" w:ascii="Times New Roman" w:hAnsi="Times New Roman"/>
          <w:color w:val="auto"/>
          <w:highlight w:val="none"/>
        </w:rPr>
        <w:t>投标文件的递交</w:t>
      </w:r>
      <w:bookmarkEnd w:id="10"/>
      <w:bookmarkEnd w:id="11"/>
    </w:p>
    <w:p w14:paraId="28891442">
      <w:pPr>
        <w:spacing w:line="360" w:lineRule="auto"/>
        <w:ind w:left="210" w:leftChars="100" w:firstLine="240" w:firstLineChars="100"/>
        <w:jc w:val="left"/>
        <w:rPr>
          <w:rFonts w:ascii="宋体" w:hAnsi="宋体"/>
          <w:color w:val="auto"/>
          <w:sz w:val="24"/>
          <w:szCs w:val="24"/>
          <w:highlight w:val="none"/>
        </w:rPr>
      </w:pPr>
      <w:r>
        <w:rPr>
          <w:rFonts w:ascii="宋体" w:hAnsi="宋体"/>
          <w:color w:val="auto"/>
          <w:sz w:val="24"/>
          <w:szCs w:val="24"/>
          <w:highlight w:val="none"/>
        </w:rPr>
        <w:t>5.1</w:t>
      </w:r>
      <w:r>
        <w:rPr>
          <w:rFonts w:hint="eastAsia" w:ascii="宋体" w:hAnsi="宋体" w:eastAsia="宋体"/>
          <w:color w:val="auto"/>
          <w:sz w:val="24"/>
          <w:szCs w:val="24"/>
          <w:highlight w:val="none"/>
          <w:u w:val="single"/>
        </w:rPr>
        <w:t>本项目采用电子投标，投标文件由</w:t>
      </w:r>
      <w:r>
        <w:rPr>
          <w:rFonts w:hint="eastAsia" w:ascii="宋体" w:hAnsi="宋体" w:eastAsia="宋体"/>
          <w:b/>
          <w:bCs/>
          <w:color w:val="auto"/>
          <w:sz w:val="24"/>
          <w:szCs w:val="24"/>
          <w:highlight w:val="none"/>
          <w:u w:val="single"/>
        </w:rPr>
        <w:t>评标部分和定标部分</w:t>
      </w:r>
      <w:r>
        <w:rPr>
          <w:rFonts w:hint="eastAsia" w:ascii="宋体" w:hAnsi="宋体" w:eastAsia="宋体"/>
          <w:color w:val="auto"/>
          <w:sz w:val="24"/>
          <w:szCs w:val="24"/>
          <w:highlight w:val="none"/>
          <w:u w:val="single"/>
        </w:rPr>
        <w:t>组成</w:t>
      </w:r>
      <w:r>
        <w:rPr>
          <w:rFonts w:hint="eastAsia" w:ascii="宋体" w:hAnsi="宋体" w:eastAsia="宋体"/>
          <w:color w:val="auto"/>
          <w:sz w:val="24"/>
          <w:szCs w:val="24"/>
          <w:highlight w:val="none"/>
        </w:rPr>
        <w:t>。</w:t>
      </w:r>
      <w:r>
        <w:rPr>
          <w:rFonts w:ascii="宋体" w:hAnsi="宋体" w:eastAsia="宋体"/>
          <w:color w:val="auto"/>
          <w:sz w:val="24"/>
          <w:szCs w:val="24"/>
          <w:highlight w:val="none"/>
        </w:rPr>
        <w:t>投标文件</w:t>
      </w:r>
      <w:r>
        <w:rPr>
          <w:rFonts w:ascii="宋体" w:hAnsi="宋体"/>
          <w:color w:val="auto"/>
          <w:sz w:val="24"/>
          <w:szCs w:val="24"/>
          <w:highlight w:val="none"/>
        </w:rPr>
        <w:t>递交的截止时间（投标截止时间，下同）为</w:t>
      </w:r>
      <w:r>
        <w:rPr>
          <w:rFonts w:hint="eastAsia" w:ascii="宋体" w:hAnsi="宋体"/>
          <w:color w:val="auto"/>
          <w:sz w:val="24"/>
          <w:highlight w:val="none"/>
          <w:u w:val="single"/>
        </w:rPr>
        <w:t>2025</w:t>
      </w:r>
      <w:r>
        <w:rPr>
          <w:rFonts w:hint="eastAsia" w:ascii="宋体" w:hAnsi="宋体"/>
          <w:color w:val="auto"/>
          <w:sz w:val="24"/>
          <w:highlight w:val="none"/>
        </w:rPr>
        <w:t>年</w:t>
      </w:r>
      <w:r>
        <w:rPr>
          <w:rFonts w:hint="eastAsia" w:ascii="宋体" w:hAnsi="宋体"/>
          <w:color w:val="auto"/>
          <w:sz w:val="24"/>
          <w:highlight w:val="none"/>
          <w:u w:val="single"/>
          <w:lang w:val="en-US" w:eastAsia="zh-CN"/>
        </w:rPr>
        <w:t>7</w:t>
      </w:r>
      <w:r>
        <w:rPr>
          <w:rFonts w:hint="eastAsia" w:ascii="宋体" w:hAnsi="宋体"/>
          <w:color w:val="auto"/>
          <w:sz w:val="24"/>
          <w:highlight w:val="none"/>
        </w:rPr>
        <w:t xml:space="preserve"> 月</w:t>
      </w:r>
      <w:r>
        <w:rPr>
          <w:rFonts w:hint="eastAsia" w:ascii="宋体" w:hAnsi="宋体"/>
          <w:color w:val="auto"/>
          <w:sz w:val="24"/>
          <w:highlight w:val="none"/>
          <w:u w:val="single"/>
          <w:lang w:val="en-US" w:eastAsia="zh-CN"/>
        </w:rPr>
        <w:t>23</w:t>
      </w:r>
      <w:r>
        <w:rPr>
          <w:rFonts w:hint="eastAsia" w:ascii="宋体" w:hAnsi="宋体"/>
          <w:color w:val="auto"/>
          <w:sz w:val="24"/>
          <w:highlight w:val="none"/>
        </w:rPr>
        <w:t>日</w:t>
      </w:r>
      <w:r>
        <w:rPr>
          <w:rFonts w:hint="eastAsia" w:ascii="宋体" w:hAnsi="宋体"/>
          <w:color w:val="auto"/>
          <w:sz w:val="24"/>
          <w:highlight w:val="none"/>
          <w:u w:val="single"/>
          <w:lang w:val="en-US" w:eastAsia="zh-CN"/>
        </w:rPr>
        <w:t>15</w:t>
      </w:r>
      <w:r>
        <w:rPr>
          <w:rFonts w:hint="eastAsia" w:ascii="宋体" w:hAnsi="宋体"/>
          <w:color w:val="auto"/>
          <w:sz w:val="24"/>
          <w:highlight w:val="none"/>
        </w:rPr>
        <w:t>时</w:t>
      </w:r>
      <w:r>
        <w:rPr>
          <w:rFonts w:hint="eastAsia" w:ascii="宋体" w:hAnsi="宋体"/>
          <w:color w:val="auto"/>
          <w:sz w:val="24"/>
          <w:highlight w:val="none"/>
          <w:u w:val="single"/>
          <w:lang w:val="en-US" w:eastAsia="zh-CN"/>
        </w:rPr>
        <w:t>00</w:t>
      </w:r>
      <w:r>
        <w:rPr>
          <w:rFonts w:hint="eastAsia" w:ascii="宋体" w:hAnsi="宋体"/>
          <w:color w:val="auto"/>
          <w:sz w:val="24"/>
          <w:highlight w:val="none"/>
        </w:rPr>
        <w:t>分</w:t>
      </w:r>
      <w:r>
        <w:rPr>
          <w:rFonts w:ascii="宋体" w:hAnsi="宋体"/>
          <w:color w:val="auto"/>
          <w:sz w:val="24"/>
          <w:szCs w:val="24"/>
          <w:highlight w:val="none"/>
        </w:rPr>
        <w:t>，投标人应在截止时间前通过</w:t>
      </w:r>
      <w:r>
        <w:rPr>
          <w:rFonts w:hint="eastAsia" w:ascii="宋体" w:hAnsi="宋体"/>
          <w:color w:val="auto"/>
          <w:sz w:val="24"/>
          <w:szCs w:val="24"/>
          <w:highlight w:val="none"/>
          <w:u w:val="single"/>
        </w:rPr>
        <w:t>广州公共资源交易中心数字交易平台（网址：</w:t>
      </w:r>
      <w:r>
        <w:rPr>
          <w:rFonts w:ascii="宋体" w:hAnsi="宋体"/>
          <w:color w:val="auto"/>
          <w:sz w:val="24"/>
          <w:szCs w:val="24"/>
          <w:highlight w:val="none"/>
          <w:u w:val="single"/>
        </w:rPr>
        <w:t>http://www.gzggzy.cn</w:t>
      </w:r>
      <w:r>
        <w:rPr>
          <w:rFonts w:hint="eastAsia" w:ascii="宋体" w:hAnsi="宋体"/>
          <w:color w:val="auto"/>
          <w:sz w:val="24"/>
          <w:szCs w:val="24"/>
          <w:highlight w:val="none"/>
          <w:u w:val="single"/>
        </w:rPr>
        <w:t>）</w:t>
      </w:r>
      <w:r>
        <w:rPr>
          <w:rFonts w:ascii="宋体" w:hAnsi="宋体"/>
          <w:color w:val="auto"/>
          <w:sz w:val="24"/>
          <w:szCs w:val="24"/>
          <w:highlight w:val="none"/>
        </w:rPr>
        <w:t>递交电子投标文件。</w:t>
      </w:r>
    </w:p>
    <w:p w14:paraId="322D6318">
      <w:pPr>
        <w:spacing w:line="360" w:lineRule="auto"/>
        <w:ind w:left="420" w:leftChars="200"/>
        <w:jc w:val="left"/>
        <w:rPr>
          <w:rFonts w:ascii="宋体" w:hAnsi="宋体"/>
          <w:color w:val="auto"/>
          <w:sz w:val="24"/>
          <w:szCs w:val="24"/>
          <w:highlight w:val="none"/>
        </w:rPr>
      </w:pPr>
      <w:r>
        <w:rPr>
          <w:rFonts w:hint="eastAsia" w:ascii="宋体" w:hAnsi="宋体"/>
          <w:color w:val="auto"/>
          <w:sz w:val="24"/>
          <w:szCs w:val="24"/>
          <w:highlight w:val="none"/>
        </w:rPr>
        <w:t>5.2投标文件备用光盘递交时间为</w:t>
      </w:r>
      <w:r>
        <w:rPr>
          <w:rFonts w:hint="eastAsia" w:ascii="宋体" w:hAnsi="宋体"/>
          <w:color w:val="auto"/>
          <w:sz w:val="24"/>
          <w:highlight w:val="none"/>
          <w:u w:val="single"/>
        </w:rPr>
        <w:t>2025</w:t>
      </w:r>
      <w:r>
        <w:rPr>
          <w:rFonts w:hint="eastAsia" w:ascii="宋体" w:hAnsi="宋体"/>
          <w:color w:val="auto"/>
          <w:sz w:val="24"/>
          <w:highlight w:val="none"/>
        </w:rPr>
        <w:t>年</w:t>
      </w:r>
      <w:r>
        <w:rPr>
          <w:rFonts w:hint="eastAsia" w:ascii="宋体" w:hAnsi="宋体"/>
          <w:color w:val="auto"/>
          <w:sz w:val="24"/>
          <w:highlight w:val="none"/>
          <w:u w:val="single"/>
          <w:lang w:val="en-US" w:eastAsia="zh-CN"/>
        </w:rPr>
        <w:t>7</w:t>
      </w:r>
      <w:r>
        <w:rPr>
          <w:rFonts w:hint="eastAsia" w:ascii="宋体" w:hAnsi="宋体"/>
          <w:color w:val="auto"/>
          <w:sz w:val="24"/>
          <w:highlight w:val="none"/>
        </w:rPr>
        <w:t>月</w:t>
      </w:r>
      <w:r>
        <w:rPr>
          <w:rFonts w:hint="eastAsia" w:ascii="宋体" w:hAnsi="宋体"/>
          <w:color w:val="auto"/>
          <w:sz w:val="24"/>
          <w:highlight w:val="none"/>
          <w:u w:val="single"/>
          <w:lang w:val="en-US" w:eastAsia="zh-CN"/>
        </w:rPr>
        <w:t>23</w:t>
      </w:r>
      <w:r>
        <w:rPr>
          <w:rFonts w:hint="eastAsia" w:ascii="宋体" w:hAnsi="宋体"/>
          <w:color w:val="auto"/>
          <w:sz w:val="24"/>
          <w:highlight w:val="none"/>
        </w:rPr>
        <w:t>日</w:t>
      </w:r>
      <w:r>
        <w:rPr>
          <w:rFonts w:hint="eastAsia" w:ascii="宋体" w:hAnsi="宋体"/>
          <w:color w:val="auto"/>
          <w:sz w:val="24"/>
          <w:highlight w:val="none"/>
          <w:u w:val="single"/>
          <w:lang w:val="en-US" w:eastAsia="zh-CN"/>
        </w:rPr>
        <w:t>14</w:t>
      </w:r>
      <w:r>
        <w:rPr>
          <w:rFonts w:hint="eastAsia" w:ascii="宋体" w:hAnsi="宋体"/>
          <w:color w:val="auto"/>
          <w:sz w:val="24"/>
          <w:highlight w:val="none"/>
        </w:rPr>
        <w:t>时</w:t>
      </w:r>
      <w:r>
        <w:rPr>
          <w:rFonts w:hint="eastAsia" w:ascii="宋体" w:hAnsi="宋体"/>
          <w:color w:val="auto"/>
          <w:sz w:val="24"/>
          <w:highlight w:val="none"/>
          <w:u w:val="single"/>
          <w:lang w:val="en-US" w:eastAsia="zh-CN"/>
        </w:rPr>
        <w:t>45</w:t>
      </w:r>
      <w:r>
        <w:rPr>
          <w:rFonts w:hint="eastAsia" w:ascii="宋体" w:hAnsi="宋体"/>
          <w:color w:val="auto"/>
          <w:sz w:val="24"/>
          <w:highlight w:val="none"/>
        </w:rPr>
        <w:t>分</w:t>
      </w:r>
      <w:r>
        <w:rPr>
          <w:rFonts w:hint="eastAsia" w:ascii="宋体" w:hAnsi="宋体"/>
          <w:color w:val="auto"/>
          <w:sz w:val="24"/>
          <w:szCs w:val="24"/>
          <w:highlight w:val="none"/>
        </w:rPr>
        <w:t>至</w:t>
      </w:r>
      <w:r>
        <w:rPr>
          <w:rFonts w:hint="eastAsia" w:ascii="宋体" w:hAnsi="宋体"/>
          <w:color w:val="auto"/>
          <w:sz w:val="24"/>
          <w:highlight w:val="none"/>
          <w:u w:val="single"/>
        </w:rPr>
        <w:t>2025</w:t>
      </w:r>
      <w:r>
        <w:rPr>
          <w:rFonts w:hint="eastAsia" w:ascii="宋体" w:hAnsi="宋体"/>
          <w:color w:val="auto"/>
          <w:sz w:val="24"/>
          <w:highlight w:val="none"/>
        </w:rPr>
        <w:t>年</w:t>
      </w:r>
      <w:r>
        <w:rPr>
          <w:rFonts w:hint="eastAsia" w:ascii="宋体" w:hAnsi="宋体"/>
          <w:color w:val="auto"/>
          <w:sz w:val="24"/>
          <w:highlight w:val="none"/>
          <w:u w:val="single"/>
          <w:lang w:val="en-US" w:eastAsia="zh-CN"/>
        </w:rPr>
        <w:t>7</w:t>
      </w:r>
      <w:r>
        <w:rPr>
          <w:rFonts w:hint="eastAsia" w:ascii="宋体" w:hAnsi="宋体"/>
          <w:color w:val="auto"/>
          <w:sz w:val="24"/>
          <w:highlight w:val="none"/>
        </w:rPr>
        <w:t>月</w:t>
      </w:r>
      <w:r>
        <w:rPr>
          <w:rFonts w:hint="eastAsia" w:ascii="宋体" w:hAnsi="宋体"/>
          <w:color w:val="auto"/>
          <w:sz w:val="24"/>
          <w:highlight w:val="none"/>
          <w:u w:val="single"/>
          <w:lang w:val="en-US" w:eastAsia="zh-CN"/>
        </w:rPr>
        <w:t>23</w:t>
      </w:r>
      <w:r>
        <w:rPr>
          <w:rFonts w:hint="eastAsia" w:ascii="宋体" w:hAnsi="宋体"/>
          <w:color w:val="auto"/>
          <w:sz w:val="24"/>
          <w:highlight w:val="none"/>
        </w:rPr>
        <w:t>日</w:t>
      </w:r>
      <w:r>
        <w:rPr>
          <w:rFonts w:hint="eastAsia" w:ascii="宋体" w:hAnsi="宋体"/>
          <w:color w:val="auto"/>
          <w:sz w:val="24"/>
          <w:highlight w:val="none"/>
          <w:u w:val="single"/>
          <w:lang w:val="en-US" w:eastAsia="zh-CN"/>
        </w:rPr>
        <w:t>15</w:t>
      </w:r>
      <w:r>
        <w:rPr>
          <w:rFonts w:hint="eastAsia" w:ascii="宋体" w:hAnsi="宋体"/>
          <w:color w:val="auto"/>
          <w:sz w:val="24"/>
          <w:highlight w:val="none"/>
        </w:rPr>
        <w:t>时</w:t>
      </w:r>
      <w:r>
        <w:rPr>
          <w:rFonts w:hint="eastAsia" w:ascii="宋体" w:hAnsi="宋体"/>
          <w:color w:val="auto"/>
          <w:sz w:val="24"/>
          <w:highlight w:val="none"/>
          <w:u w:val="single"/>
          <w:lang w:val="en-US" w:eastAsia="zh-CN"/>
        </w:rPr>
        <w:t>00</w:t>
      </w:r>
      <w:bookmarkStart w:id="46" w:name="_GoBack"/>
      <w:bookmarkEnd w:id="46"/>
      <w:r>
        <w:rPr>
          <w:rFonts w:hint="eastAsia" w:ascii="宋体" w:hAnsi="宋体"/>
          <w:color w:val="auto"/>
          <w:sz w:val="24"/>
          <w:highlight w:val="none"/>
        </w:rPr>
        <w:t>分</w:t>
      </w:r>
      <w:r>
        <w:rPr>
          <w:rFonts w:hint="eastAsia" w:ascii="宋体" w:hAnsi="宋体"/>
          <w:color w:val="auto"/>
          <w:sz w:val="24"/>
          <w:szCs w:val="24"/>
          <w:highlight w:val="none"/>
        </w:rPr>
        <w:t>，地点为：</w:t>
      </w:r>
      <w:r>
        <w:rPr>
          <w:rFonts w:hint="eastAsia" w:ascii="宋体" w:hAnsi="宋体"/>
          <w:color w:val="auto"/>
          <w:sz w:val="24"/>
          <w:szCs w:val="24"/>
          <w:highlight w:val="none"/>
          <w:u w:val="single"/>
        </w:rPr>
        <w:t>广州公共资源交易中心开标室（具体开标室以交易中心日程安排系统信息为准）</w:t>
      </w:r>
      <w:r>
        <w:rPr>
          <w:rFonts w:hint="eastAsia" w:ascii="宋体" w:hAnsi="宋体"/>
          <w:color w:val="auto"/>
          <w:sz w:val="24"/>
          <w:szCs w:val="24"/>
          <w:highlight w:val="none"/>
        </w:rPr>
        <w:t>。</w:t>
      </w:r>
    </w:p>
    <w:p w14:paraId="55DD54A9">
      <w:pPr>
        <w:spacing w:line="360" w:lineRule="auto"/>
        <w:ind w:firstLine="480" w:firstLineChars="200"/>
        <w:jc w:val="left"/>
        <w:rPr>
          <w:rFonts w:ascii="宋体" w:hAnsi="宋体"/>
          <w:color w:val="auto"/>
          <w:sz w:val="24"/>
          <w:szCs w:val="24"/>
          <w:highlight w:val="none"/>
        </w:rPr>
      </w:pPr>
      <w:r>
        <w:rPr>
          <w:rFonts w:ascii="宋体" w:hAnsi="宋体"/>
          <w:color w:val="auto"/>
          <w:sz w:val="24"/>
          <w:szCs w:val="24"/>
          <w:highlight w:val="none"/>
        </w:rPr>
        <w:t>5.</w:t>
      </w:r>
      <w:r>
        <w:rPr>
          <w:rFonts w:hint="eastAsia" w:ascii="宋体" w:hAnsi="宋体"/>
          <w:color w:val="auto"/>
          <w:sz w:val="24"/>
          <w:szCs w:val="24"/>
          <w:highlight w:val="none"/>
        </w:rPr>
        <w:t>3</w:t>
      </w:r>
      <w:r>
        <w:rPr>
          <w:rFonts w:ascii="宋体" w:hAnsi="宋体"/>
          <w:color w:val="auto"/>
          <w:sz w:val="24"/>
          <w:szCs w:val="24"/>
          <w:highlight w:val="none"/>
        </w:rPr>
        <w:t>逾期送达的投标文件，电子招标投标交易平台将予以拒收。</w:t>
      </w:r>
    </w:p>
    <w:p w14:paraId="114710E9">
      <w:pPr>
        <w:spacing w:line="360" w:lineRule="auto"/>
        <w:ind w:firstLine="480" w:firstLineChars="200"/>
        <w:jc w:val="left"/>
        <w:rPr>
          <w:rFonts w:ascii="宋体" w:hAnsi="宋体"/>
          <w:color w:val="auto"/>
          <w:sz w:val="24"/>
          <w:szCs w:val="24"/>
          <w:highlight w:val="none"/>
        </w:rPr>
      </w:pPr>
    </w:p>
    <w:p w14:paraId="7B404C4C">
      <w:pPr>
        <w:pStyle w:val="3"/>
        <w:keepNext w:val="0"/>
        <w:keepLines w:val="0"/>
        <w:spacing w:before="0" w:after="0" w:line="360" w:lineRule="auto"/>
        <w:rPr>
          <w:rFonts w:ascii="Times New Roman" w:hAnsi="Times New Roman"/>
          <w:color w:val="auto"/>
          <w:highlight w:val="none"/>
        </w:rPr>
      </w:pPr>
      <w:bookmarkStart w:id="12" w:name="_Toc514099628"/>
      <w:bookmarkStart w:id="13" w:name="_Toc511557030"/>
      <w:r>
        <w:rPr>
          <w:rFonts w:hint="eastAsia" w:ascii="Times New Roman" w:hAnsi="Times New Roman"/>
          <w:color w:val="auto"/>
          <w:highlight w:val="none"/>
        </w:rPr>
        <w:t>6</w:t>
      </w:r>
      <w:r>
        <w:rPr>
          <w:rFonts w:ascii="Times New Roman" w:hAnsi="Times New Roman"/>
          <w:color w:val="auto"/>
          <w:highlight w:val="none"/>
        </w:rPr>
        <w:t xml:space="preserve">. </w:t>
      </w:r>
      <w:r>
        <w:rPr>
          <w:rFonts w:hint="eastAsia" w:ascii="Times New Roman" w:hAnsi="Times New Roman"/>
          <w:color w:val="auto"/>
          <w:highlight w:val="none"/>
        </w:rPr>
        <w:t>发布公告的媒介</w:t>
      </w:r>
      <w:bookmarkEnd w:id="12"/>
      <w:bookmarkEnd w:id="13"/>
    </w:p>
    <w:p w14:paraId="4ED766D9">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本次招标公告同时在</w:t>
      </w:r>
      <w:r>
        <w:rPr>
          <w:rFonts w:hint="eastAsia" w:ascii="宋体" w:hAnsi="宋体"/>
          <w:color w:val="auto"/>
          <w:sz w:val="24"/>
          <w:szCs w:val="24"/>
          <w:highlight w:val="none"/>
          <w:u w:val="single"/>
        </w:rPr>
        <w:t>广州公共资源交易中心网站（网址：</w:t>
      </w:r>
      <w:r>
        <w:rPr>
          <w:rFonts w:ascii="宋体" w:hAnsi="宋体"/>
          <w:color w:val="auto"/>
          <w:sz w:val="24"/>
          <w:szCs w:val="24"/>
          <w:highlight w:val="none"/>
          <w:u w:val="single"/>
        </w:rPr>
        <w:t>http://www.gzggzy.cn</w:t>
      </w:r>
      <w:r>
        <w:rPr>
          <w:rFonts w:hint="eastAsia" w:ascii="宋体" w:hAnsi="宋体"/>
          <w:color w:val="auto"/>
          <w:sz w:val="24"/>
          <w:szCs w:val="24"/>
          <w:highlight w:val="none"/>
          <w:u w:val="single"/>
        </w:rPr>
        <w:t>）、广东省招标投标监管网（网址：</w:t>
      </w:r>
      <w:r>
        <w:rPr>
          <w:rFonts w:ascii="宋体" w:hAnsi="宋体"/>
          <w:color w:val="auto"/>
          <w:sz w:val="24"/>
          <w:szCs w:val="24"/>
          <w:highlight w:val="none"/>
          <w:u w:val="single"/>
        </w:rPr>
        <w:t>http://www.gdzbtb.gov.cn/</w:t>
      </w:r>
      <w:r>
        <w:rPr>
          <w:rFonts w:hint="eastAsia" w:ascii="宋体" w:hAnsi="宋体"/>
          <w:color w:val="auto"/>
          <w:sz w:val="24"/>
          <w:szCs w:val="24"/>
          <w:highlight w:val="none"/>
          <w:u w:val="single"/>
        </w:rPr>
        <w:t>）和中国招标投标公共服务平台（网址：</w:t>
      </w:r>
      <w:r>
        <w:rPr>
          <w:rFonts w:ascii="宋体" w:hAnsi="宋体"/>
          <w:color w:val="auto"/>
          <w:sz w:val="24"/>
          <w:szCs w:val="24"/>
          <w:highlight w:val="none"/>
          <w:u w:val="single"/>
        </w:rPr>
        <w:t>http://www.cebpubservice.com/</w:t>
      </w:r>
      <w:r>
        <w:rPr>
          <w:rFonts w:hint="eastAsia" w:ascii="宋体" w:hAnsi="宋体"/>
          <w:color w:val="auto"/>
          <w:sz w:val="24"/>
          <w:szCs w:val="24"/>
          <w:highlight w:val="none"/>
          <w:u w:val="single"/>
        </w:rPr>
        <w:t>）</w:t>
      </w:r>
      <w:r>
        <w:rPr>
          <w:rFonts w:hint="eastAsia" w:ascii="宋体" w:hAnsi="宋体" w:cs="宋体"/>
          <w:color w:val="auto"/>
          <w:sz w:val="24"/>
          <w:szCs w:val="24"/>
          <w:highlight w:val="none"/>
          <w:u w:val="single"/>
        </w:rPr>
        <w:t>发布，本公告的修改、补充，在广州公共资源交易中心网站</w:t>
      </w:r>
      <w:r>
        <w:rPr>
          <w:rFonts w:ascii="宋体" w:hAnsi="宋体"/>
          <w:color w:val="auto"/>
          <w:sz w:val="24"/>
          <w:szCs w:val="24"/>
          <w:highlight w:val="none"/>
        </w:rPr>
        <w:t>上发布。</w:t>
      </w:r>
    </w:p>
    <w:p w14:paraId="0DBC8F06">
      <w:pPr>
        <w:spacing w:line="360" w:lineRule="auto"/>
        <w:ind w:firstLine="480" w:firstLineChars="200"/>
        <w:rPr>
          <w:rFonts w:ascii="宋体" w:hAnsi="宋体"/>
          <w:color w:val="auto"/>
          <w:sz w:val="24"/>
          <w:szCs w:val="24"/>
          <w:highlight w:val="none"/>
        </w:rPr>
      </w:pPr>
    </w:p>
    <w:p w14:paraId="21228E3B">
      <w:pPr>
        <w:pStyle w:val="3"/>
        <w:keepNext w:val="0"/>
        <w:keepLines w:val="0"/>
        <w:spacing w:before="0" w:after="0" w:line="360" w:lineRule="auto"/>
        <w:rPr>
          <w:rFonts w:ascii="Times New Roman" w:hAnsi="Times New Roman"/>
          <w:color w:val="auto"/>
          <w:highlight w:val="none"/>
        </w:rPr>
      </w:pPr>
      <w:bookmarkStart w:id="14" w:name="_Toc514099629"/>
      <w:bookmarkStart w:id="15" w:name="_Toc511557031"/>
      <w:r>
        <w:rPr>
          <w:rFonts w:hint="eastAsia" w:ascii="Times New Roman" w:hAnsi="Times New Roman"/>
          <w:color w:val="auto"/>
          <w:highlight w:val="none"/>
        </w:rPr>
        <w:t>7</w:t>
      </w:r>
      <w:r>
        <w:rPr>
          <w:rFonts w:ascii="Times New Roman" w:hAnsi="Times New Roman"/>
          <w:color w:val="auto"/>
          <w:highlight w:val="none"/>
        </w:rPr>
        <w:t xml:space="preserve"> </w:t>
      </w:r>
      <w:r>
        <w:rPr>
          <w:rFonts w:hint="eastAsia" w:ascii="Times New Roman" w:hAnsi="Times New Roman"/>
          <w:color w:val="auto"/>
          <w:highlight w:val="none"/>
        </w:rPr>
        <w:t>联系方式</w:t>
      </w:r>
      <w:bookmarkEnd w:id="14"/>
      <w:bookmarkEnd w:id="15"/>
    </w:p>
    <w:p w14:paraId="11342BF8">
      <w:pPr>
        <w:spacing w:line="360" w:lineRule="auto"/>
        <w:ind w:left="7198" w:right="480" w:hanging="7197" w:hangingChars="2999"/>
        <w:jc w:val="both"/>
        <w:rPr>
          <w:rFonts w:hint="eastAsia" w:ascii="宋体" w:hAnsi="宋体" w:cs="宋体"/>
          <w:color w:val="auto"/>
          <w:kern w:val="0"/>
          <w:sz w:val="24"/>
          <w:szCs w:val="24"/>
          <w:highlight w:val="none"/>
          <w:u w:val="single"/>
          <w:lang w:eastAsia="zh-CN"/>
        </w:rPr>
      </w:pPr>
      <w:bookmarkStart w:id="16" w:name="_Toc384308187"/>
      <w:bookmarkEnd w:id="16"/>
      <w:bookmarkStart w:id="17" w:name="_Toc144974480"/>
      <w:bookmarkEnd w:id="17"/>
      <w:bookmarkStart w:id="18" w:name="_Toc152042288"/>
      <w:bookmarkEnd w:id="18"/>
      <w:bookmarkStart w:id="19" w:name="_Toc247513935"/>
      <w:bookmarkEnd w:id="19"/>
      <w:bookmarkStart w:id="20" w:name="_Toc300834930"/>
      <w:bookmarkEnd w:id="20"/>
      <w:bookmarkStart w:id="21" w:name="_Toc300834927"/>
      <w:bookmarkEnd w:id="21"/>
      <w:bookmarkStart w:id="22" w:name="_Toc352691456"/>
      <w:bookmarkEnd w:id="22"/>
      <w:bookmarkStart w:id="23" w:name="_Toc30817"/>
      <w:bookmarkEnd w:id="23"/>
      <w:bookmarkStart w:id="24" w:name="_Toc352691453"/>
      <w:bookmarkEnd w:id="24"/>
      <w:bookmarkStart w:id="25" w:name="_Toc247527536"/>
      <w:bookmarkEnd w:id="25"/>
      <w:bookmarkStart w:id="26" w:name="_Toc152045513"/>
      <w:bookmarkEnd w:id="26"/>
      <w:bookmarkStart w:id="27" w:name="_Toc361508560"/>
      <w:bookmarkEnd w:id="27"/>
      <w:bookmarkStart w:id="28" w:name="_Toc144974481"/>
      <w:bookmarkEnd w:id="28"/>
      <w:bookmarkStart w:id="29" w:name="_Toc384308188"/>
      <w:bookmarkEnd w:id="29"/>
      <w:bookmarkStart w:id="30" w:name="_Toc247513934"/>
      <w:bookmarkEnd w:id="30"/>
      <w:bookmarkStart w:id="31" w:name="_Toc152045512"/>
      <w:bookmarkEnd w:id="31"/>
      <w:bookmarkStart w:id="32" w:name="_Toc10785"/>
      <w:bookmarkEnd w:id="32"/>
      <w:bookmarkStart w:id="33" w:name="_Toc247527535"/>
      <w:bookmarkEnd w:id="33"/>
      <w:bookmarkStart w:id="34" w:name="_Toc384308185"/>
      <w:bookmarkEnd w:id="34"/>
      <w:bookmarkStart w:id="35" w:name="_Toc17972"/>
      <w:bookmarkEnd w:id="35"/>
      <w:bookmarkStart w:id="36" w:name="_Toc152042289"/>
      <w:bookmarkEnd w:id="36"/>
      <w:bookmarkStart w:id="37" w:name="_Toc361508563"/>
      <w:bookmarkEnd w:id="37"/>
      <w:bookmarkStart w:id="38" w:name="_Toc369531498"/>
      <w:bookmarkEnd w:id="38"/>
      <w:bookmarkStart w:id="39" w:name="_Toc352691455"/>
      <w:bookmarkEnd w:id="39"/>
      <w:bookmarkStart w:id="40" w:name="_Toc300834929"/>
      <w:bookmarkEnd w:id="40"/>
      <w:bookmarkStart w:id="41" w:name="_Toc361508562"/>
      <w:bookmarkEnd w:id="41"/>
      <w:bookmarkStart w:id="42" w:name="_Toc369531495"/>
      <w:bookmarkEnd w:id="42"/>
      <w:bookmarkStart w:id="43" w:name="_Toc369531497"/>
      <w:bookmarkEnd w:id="43"/>
      <w:r>
        <w:rPr>
          <w:rFonts w:ascii="宋体" w:hAnsi="宋体"/>
          <w:color w:val="auto"/>
          <w:sz w:val="24"/>
          <w:szCs w:val="24"/>
          <w:highlight w:val="none"/>
        </w:rPr>
        <w:t>招 标 人：</w:t>
      </w:r>
      <w:r>
        <w:rPr>
          <w:rFonts w:hint="eastAsia" w:ascii="宋体" w:hAnsi="宋体" w:cs="宋体"/>
          <w:color w:val="auto"/>
          <w:kern w:val="0"/>
          <w:sz w:val="24"/>
          <w:szCs w:val="24"/>
          <w:highlight w:val="none"/>
          <w:u w:val="single"/>
          <w:lang w:eastAsia="zh-CN"/>
        </w:rPr>
        <w:t>(主)广州番禺产投建设管理有限公司(成)广州市盈泰房地产有限</w:t>
      </w:r>
    </w:p>
    <w:p w14:paraId="6094E003">
      <w:pPr>
        <w:spacing w:line="360" w:lineRule="auto"/>
        <w:ind w:left="7185" w:leftChars="570" w:right="480" w:hanging="5988" w:hangingChars="2495"/>
        <w:jc w:val="both"/>
        <w:rPr>
          <w:rFonts w:hint="eastAsia" w:ascii="宋体" w:hAnsi="宋体" w:eastAsia="宋体"/>
          <w:color w:val="auto"/>
          <w:sz w:val="24"/>
          <w:szCs w:val="24"/>
          <w:highlight w:val="none"/>
          <w:u w:val="single"/>
          <w:lang w:eastAsia="zh-CN"/>
        </w:rPr>
      </w:pPr>
      <w:r>
        <w:rPr>
          <w:rFonts w:hint="eastAsia" w:ascii="宋体" w:hAnsi="宋体" w:cs="宋体"/>
          <w:color w:val="auto"/>
          <w:kern w:val="0"/>
          <w:sz w:val="24"/>
          <w:szCs w:val="24"/>
          <w:highlight w:val="none"/>
          <w:u w:val="single"/>
          <w:lang w:eastAsia="zh-CN"/>
        </w:rPr>
        <w:t>公司</w:t>
      </w:r>
    </w:p>
    <w:p w14:paraId="47F85004">
      <w:pPr>
        <w:topLinePunct/>
        <w:spacing w:line="360" w:lineRule="auto"/>
        <w:jc w:val="left"/>
        <w:rPr>
          <w:rFonts w:hint="eastAsia" w:ascii="宋体" w:hAnsi="宋体" w:eastAsia="宋体" w:cs="宋体"/>
          <w:color w:val="auto"/>
          <w:kern w:val="0"/>
          <w:sz w:val="24"/>
          <w:szCs w:val="24"/>
          <w:highlight w:val="none"/>
          <w:u w:val="single"/>
          <w:lang w:eastAsia="zh-CN"/>
        </w:rPr>
      </w:pPr>
      <w:r>
        <w:rPr>
          <w:rFonts w:ascii="宋体" w:hAnsi="宋体"/>
          <w:color w:val="auto"/>
          <w:sz w:val="24"/>
          <w:szCs w:val="24"/>
          <w:highlight w:val="none"/>
        </w:rPr>
        <w:t>地    址：</w:t>
      </w:r>
      <w:r>
        <w:rPr>
          <w:rFonts w:hint="eastAsia" w:ascii="宋体" w:hAnsi="宋体" w:cs="宋体"/>
          <w:color w:val="auto"/>
          <w:kern w:val="0"/>
          <w:sz w:val="24"/>
          <w:szCs w:val="24"/>
          <w:highlight w:val="none"/>
          <w:u w:val="single"/>
          <w:lang w:eastAsia="zh-CN"/>
        </w:rPr>
        <w:t>广州市番禺区市桥街桥兴大道11号（房地产大院2号楼）</w:t>
      </w:r>
    </w:p>
    <w:p w14:paraId="6F47A123">
      <w:pPr>
        <w:topLinePunct/>
        <w:spacing w:line="360" w:lineRule="auto"/>
        <w:ind w:left="7198" w:right="480" w:hanging="7197" w:hangingChars="2999"/>
        <w:jc w:val="left"/>
        <w:rPr>
          <w:rFonts w:ascii="宋体" w:hAnsi="宋体"/>
          <w:color w:val="auto"/>
          <w:sz w:val="24"/>
          <w:szCs w:val="24"/>
          <w:highlight w:val="none"/>
          <w:u w:val="single"/>
        </w:rPr>
      </w:pPr>
      <w:r>
        <w:rPr>
          <w:rFonts w:ascii="宋体" w:hAnsi="宋体"/>
          <w:color w:val="auto"/>
          <w:sz w:val="24"/>
          <w:szCs w:val="24"/>
          <w:highlight w:val="none"/>
        </w:rPr>
        <w:t>联 系 人：</w:t>
      </w:r>
      <w:r>
        <w:rPr>
          <w:rFonts w:hint="eastAsia" w:ascii="宋体" w:hAnsi="宋体" w:cs="Times New Roman"/>
          <w:color w:val="auto"/>
          <w:sz w:val="24"/>
          <w:highlight w:val="none"/>
          <w:u w:val="single"/>
          <w:lang w:val="en-US" w:eastAsia="zh-CN"/>
        </w:rPr>
        <w:t>梁</w:t>
      </w:r>
      <w:r>
        <w:rPr>
          <w:rFonts w:hint="eastAsia" w:ascii="宋体" w:hAnsi="宋体" w:cs="Times New Roman"/>
          <w:color w:val="auto"/>
          <w:sz w:val="24"/>
          <w:highlight w:val="none"/>
          <w:u w:val="single"/>
        </w:rPr>
        <w:t>工</w:t>
      </w:r>
      <w:r>
        <w:rPr>
          <w:rFonts w:hint="eastAsia" w:ascii="宋体" w:hAnsi="宋体"/>
          <w:color w:val="auto"/>
          <w:sz w:val="24"/>
          <w:szCs w:val="24"/>
          <w:highlight w:val="none"/>
        </w:rPr>
        <w:t xml:space="preserve">       </w:t>
      </w:r>
      <w:r>
        <w:rPr>
          <w:rFonts w:hint="eastAsia" w:ascii="宋体" w:hAnsi="宋体"/>
          <w:color w:val="auto"/>
          <w:sz w:val="24"/>
          <w:szCs w:val="24"/>
          <w:highlight w:val="none"/>
          <w:u w:val="single"/>
        </w:rPr>
        <w:t>电话：</w:t>
      </w:r>
      <w:r>
        <w:rPr>
          <w:rFonts w:hint="eastAsia" w:ascii="宋体" w:hAnsi="宋体" w:cs="宋体"/>
          <w:color w:val="auto"/>
          <w:kern w:val="0"/>
          <w:sz w:val="24"/>
          <w:szCs w:val="24"/>
          <w:highlight w:val="none"/>
          <w:u w:val="single"/>
          <w:lang w:val="en-US" w:eastAsia="zh-CN"/>
        </w:rPr>
        <w:t>020-84879080</w:t>
      </w:r>
    </w:p>
    <w:p w14:paraId="499B60E6">
      <w:pPr>
        <w:topLinePunct/>
        <w:spacing w:line="360" w:lineRule="auto"/>
        <w:ind w:left="7198" w:right="480" w:hanging="7197" w:hangingChars="2999"/>
        <w:jc w:val="left"/>
        <w:rPr>
          <w:rFonts w:ascii="宋体" w:hAnsi="宋体"/>
          <w:color w:val="auto"/>
          <w:sz w:val="24"/>
          <w:szCs w:val="24"/>
          <w:highlight w:val="none"/>
        </w:rPr>
      </w:pPr>
      <w:r>
        <w:rPr>
          <w:rFonts w:ascii="宋体" w:hAnsi="宋体"/>
          <w:color w:val="auto"/>
          <w:sz w:val="24"/>
          <w:szCs w:val="24"/>
          <w:highlight w:val="none"/>
        </w:rPr>
        <w:t xml:space="preserve">邮  </w:t>
      </w:r>
      <w:r>
        <w:rPr>
          <w:rFonts w:hint="eastAsia" w:ascii="宋体" w:hAnsi="宋体"/>
          <w:color w:val="auto"/>
          <w:sz w:val="24"/>
          <w:szCs w:val="24"/>
          <w:highlight w:val="none"/>
        </w:rPr>
        <w:t xml:space="preserve"> </w:t>
      </w:r>
      <w:r>
        <w:rPr>
          <w:rFonts w:ascii="宋体" w:hAnsi="宋体"/>
          <w:color w:val="auto"/>
          <w:sz w:val="24"/>
          <w:szCs w:val="24"/>
          <w:highlight w:val="none"/>
        </w:rPr>
        <w:t xml:space="preserve"> 编：</w:t>
      </w:r>
      <w:r>
        <w:rPr>
          <w:rFonts w:hint="eastAsia" w:ascii="宋体" w:hAnsi="宋体"/>
          <w:color w:val="auto"/>
          <w:sz w:val="24"/>
          <w:szCs w:val="24"/>
          <w:highlight w:val="none"/>
          <w:u w:val="single"/>
        </w:rPr>
        <w:t>511400</w:t>
      </w:r>
    </w:p>
    <w:p w14:paraId="4507204B">
      <w:pPr>
        <w:topLinePunct/>
        <w:spacing w:line="360" w:lineRule="auto"/>
        <w:ind w:left="120" w:right="360" w:hanging="120" w:hangingChars="50"/>
        <w:jc w:val="left"/>
        <w:rPr>
          <w:rFonts w:ascii="宋体" w:hAnsi="宋体"/>
          <w:color w:val="auto"/>
          <w:sz w:val="24"/>
          <w:szCs w:val="24"/>
          <w:highlight w:val="none"/>
        </w:rPr>
      </w:pPr>
      <w:r>
        <w:rPr>
          <w:rFonts w:hint="eastAsia" w:ascii="宋体" w:hAnsi="宋体"/>
          <w:color w:val="auto"/>
          <w:sz w:val="24"/>
          <w:szCs w:val="24"/>
          <w:highlight w:val="none"/>
        </w:rPr>
        <w:t xml:space="preserve">    </w:t>
      </w:r>
    </w:p>
    <w:p w14:paraId="4D131CD9">
      <w:pPr>
        <w:spacing w:line="360" w:lineRule="auto"/>
        <w:ind w:right="360"/>
        <w:jc w:val="left"/>
        <w:rPr>
          <w:rFonts w:hint="eastAsia" w:ascii="宋体" w:hAnsi="宋体" w:eastAsia="宋体" w:cs="宋体"/>
          <w:color w:val="auto"/>
          <w:sz w:val="24"/>
          <w:szCs w:val="24"/>
          <w:highlight w:val="none"/>
          <w:u w:val="single"/>
          <w:lang w:eastAsia="zh-CN"/>
        </w:rPr>
      </w:pPr>
      <w:r>
        <w:rPr>
          <w:rFonts w:ascii="宋体" w:hAnsi="宋体"/>
          <w:color w:val="auto"/>
          <w:sz w:val="24"/>
          <w:szCs w:val="24"/>
          <w:highlight w:val="none"/>
        </w:rPr>
        <w:t>招标代理机构：</w:t>
      </w:r>
      <w:r>
        <w:rPr>
          <w:rFonts w:hint="eastAsia" w:ascii="宋体" w:hAnsi="宋体"/>
          <w:color w:val="auto"/>
          <w:sz w:val="24"/>
          <w:szCs w:val="24"/>
          <w:highlight w:val="none"/>
          <w:u w:val="single"/>
          <w:lang w:eastAsia="zh-CN"/>
        </w:rPr>
        <w:t>广东华建兴工程管理有限公司</w:t>
      </w:r>
    </w:p>
    <w:p w14:paraId="462DA540">
      <w:pPr>
        <w:topLinePunct/>
        <w:spacing w:line="360" w:lineRule="auto"/>
        <w:jc w:val="left"/>
        <w:rPr>
          <w:rFonts w:hint="default" w:ascii="宋体" w:hAnsi="宋体" w:eastAsia="宋体"/>
          <w:color w:val="auto"/>
          <w:sz w:val="24"/>
          <w:szCs w:val="24"/>
          <w:highlight w:val="none"/>
          <w:lang w:val="en-US" w:eastAsia="zh-CN"/>
        </w:rPr>
      </w:pPr>
      <w:r>
        <w:rPr>
          <w:rFonts w:ascii="宋体" w:hAnsi="宋体"/>
          <w:color w:val="auto"/>
          <w:sz w:val="24"/>
          <w:szCs w:val="24"/>
          <w:highlight w:val="none"/>
        </w:rPr>
        <w:t>地    址：</w:t>
      </w:r>
      <w:r>
        <w:rPr>
          <w:rFonts w:hint="eastAsia" w:ascii="宋体" w:hAnsi="宋体"/>
          <w:color w:val="auto"/>
          <w:sz w:val="24"/>
          <w:szCs w:val="24"/>
          <w:highlight w:val="none"/>
          <w:u w:val="single"/>
          <w:lang w:val="en-US" w:eastAsia="zh-CN"/>
        </w:rPr>
        <w:t>番禺区市桥街清河西路36号</w:t>
      </w:r>
    </w:p>
    <w:p w14:paraId="2C45914A">
      <w:pPr>
        <w:topLinePunct/>
        <w:spacing w:line="360" w:lineRule="auto"/>
        <w:ind w:left="7486" w:hanging="7485" w:hangingChars="3119"/>
        <w:jc w:val="left"/>
        <w:rPr>
          <w:rFonts w:hint="default" w:ascii="宋体" w:hAnsi="宋体" w:eastAsia="宋体"/>
          <w:color w:val="auto"/>
          <w:sz w:val="24"/>
          <w:szCs w:val="24"/>
          <w:highlight w:val="none"/>
          <w:u w:val="single"/>
          <w:lang w:val="en-US" w:eastAsia="zh-CN"/>
        </w:rPr>
      </w:pPr>
      <w:r>
        <w:rPr>
          <w:rFonts w:ascii="宋体" w:hAnsi="宋体"/>
          <w:color w:val="auto"/>
          <w:sz w:val="24"/>
          <w:szCs w:val="24"/>
          <w:highlight w:val="none"/>
        </w:rPr>
        <w:t>联 系 人：</w:t>
      </w:r>
      <w:r>
        <w:rPr>
          <w:rFonts w:hint="eastAsia" w:ascii="宋体" w:hAnsi="宋体"/>
          <w:color w:val="auto"/>
          <w:sz w:val="24"/>
          <w:szCs w:val="24"/>
          <w:highlight w:val="none"/>
          <w:u w:val="single"/>
          <w:lang w:val="en-US" w:eastAsia="zh-CN"/>
        </w:rPr>
        <w:t>李</w:t>
      </w:r>
      <w:r>
        <w:rPr>
          <w:rFonts w:hint="eastAsia" w:ascii="宋体" w:hAnsi="宋体"/>
          <w:color w:val="auto"/>
          <w:sz w:val="24"/>
          <w:szCs w:val="24"/>
          <w:highlight w:val="none"/>
          <w:u w:val="single"/>
        </w:rPr>
        <w:t>工</w:t>
      </w:r>
      <w:r>
        <w:rPr>
          <w:rFonts w:hint="eastAsia" w:ascii="宋体" w:hAnsi="宋体"/>
          <w:color w:val="auto"/>
          <w:sz w:val="24"/>
          <w:szCs w:val="24"/>
          <w:highlight w:val="none"/>
        </w:rPr>
        <w:t xml:space="preserve">         </w:t>
      </w:r>
      <w:r>
        <w:rPr>
          <w:rFonts w:ascii="宋体" w:hAnsi="宋体"/>
          <w:color w:val="auto"/>
          <w:sz w:val="24"/>
          <w:szCs w:val="24"/>
          <w:highlight w:val="none"/>
        </w:rPr>
        <w:t>电话：</w:t>
      </w:r>
      <w:r>
        <w:rPr>
          <w:rFonts w:hint="eastAsia" w:ascii="宋体" w:hAnsi="宋体"/>
          <w:color w:val="auto"/>
          <w:sz w:val="24"/>
          <w:szCs w:val="24"/>
          <w:highlight w:val="none"/>
          <w:u w:val="single"/>
          <w:lang w:val="en-US" w:eastAsia="zh-CN"/>
        </w:rPr>
        <w:t>13711112999</w:t>
      </w:r>
    </w:p>
    <w:p w14:paraId="58D2B747">
      <w:pPr>
        <w:spacing w:line="360" w:lineRule="auto"/>
        <w:ind w:right="480"/>
        <w:rPr>
          <w:rFonts w:ascii="宋体" w:hAnsi="宋体"/>
          <w:color w:val="auto"/>
          <w:sz w:val="24"/>
          <w:szCs w:val="24"/>
          <w:highlight w:val="none"/>
          <w:u w:val="single"/>
        </w:rPr>
      </w:pPr>
      <w:r>
        <w:rPr>
          <w:rFonts w:ascii="宋体" w:hAnsi="宋体"/>
          <w:color w:val="auto"/>
          <w:sz w:val="24"/>
          <w:szCs w:val="24"/>
          <w:highlight w:val="none"/>
        </w:rPr>
        <w:t>邮    编：</w:t>
      </w:r>
      <w:r>
        <w:rPr>
          <w:rFonts w:hint="eastAsia" w:ascii="宋体" w:hAnsi="宋体"/>
          <w:color w:val="auto"/>
          <w:sz w:val="24"/>
          <w:szCs w:val="24"/>
          <w:highlight w:val="none"/>
          <w:u w:val="single"/>
        </w:rPr>
        <w:t>51</w:t>
      </w:r>
      <w:r>
        <w:rPr>
          <w:rFonts w:hint="eastAsia" w:ascii="宋体" w:hAnsi="宋体"/>
          <w:color w:val="auto"/>
          <w:sz w:val="24"/>
          <w:szCs w:val="24"/>
          <w:highlight w:val="none"/>
          <w:u w:val="single"/>
          <w:lang w:val="en-US" w:eastAsia="zh-CN"/>
        </w:rPr>
        <w:t>14</w:t>
      </w:r>
      <w:r>
        <w:rPr>
          <w:rFonts w:hint="eastAsia" w:ascii="宋体" w:hAnsi="宋体"/>
          <w:color w:val="auto"/>
          <w:sz w:val="24"/>
          <w:szCs w:val="24"/>
          <w:highlight w:val="none"/>
          <w:u w:val="single"/>
        </w:rPr>
        <w:t>00</w:t>
      </w:r>
    </w:p>
    <w:p w14:paraId="27756738">
      <w:pPr>
        <w:spacing w:line="360" w:lineRule="auto"/>
        <w:ind w:right="480"/>
        <w:rPr>
          <w:rFonts w:ascii="宋体" w:hAnsi="宋体"/>
          <w:color w:val="auto"/>
          <w:sz w:val="24"/>
          <w:szCs w:val="24"/>
          <w:highlight w:val="none"/>
          <w:u w:val="single"/>
        </w:rPr>
      </w:pPr>
    </w:p>
    <w:p w14:paraId="3471838A">
      <w:pPr>
        <w:spacing w:line="360" w:lineRule="auto"/>
        <w:ind w:right="480"/>
        <w:rPr>
          <w:rFonts w:hint="eastAsia" w:ascii="宋体" w:hAnsi="宋体" w:eastAsia="宋体" w:cs="宋体"/>
          <w:color w:val="auto"/>
          <w:sz w:val="24"/>
          <w:highlight w:val="none"/>
          <w:u w:val="single"/>
          <w:lang w:eastAsia="zh-CN"/>
        </w:rPr>
      </w:pPr>
      <w:r>
        <w:rPr>
          <w:rFonts w:hint="eastAsia" w:ascii="宋体" w:hAnsi="宋体" w:cs="宋体"/>
          <w:color w:val="auto"/>
          <w:sz w:val="24"/>
          <w:highlight w:val="none"/>
        </w:rPr>
        <w:t>异议受理部门：</w:t>
      </w:r>
      <w:r>
        <w:rPr>
          <w:rFonts w:hint="eastAsia" w:ascii="宋体" w:hAnsi="宋体" w:cs="宋体"/>
          <w:color w:val="auto"/>
          <w:sz w:val="24"/>
          <w:highlight w:val="none"/>
          <w:u w:val="single"/>
          <w:lang w:eastAsia="zh-CN"/>
        </w:rPr>
        <w:t>(主)广州番禺产投建设管理有限公司(成)广州市盈泰房地产有限公司</w:t>
      </w:r>
    </w:p>
    <w:p w14:paraId="1CA0F37E">
      <w:pPr>
        <w:spacing w:line="360" w:lineRule="auto"/>
        <w:ind w:right="480"/>
        <w:rPr>
          <w:rFonts w:hint="eastAsia" w:ascii="宋体" w:hAnsi="宋体" w:eastAsia="宋体" w:cs="宋体"/>
          <w:color w:val="auto"/>
          <w:sz w:val="24"/>
          <w:highlight w:val="none"/>
          <w:u w:val="single"/>
          <w:lang w:eastAsia="zh-CN"/>
        </w:rPr>
      </w:pPr>
      <w:r>
        <w:rPr>
          <w:rFonts w:hint="eastAsia" w:ascii="宋体" w:hAnsi="宋体" w:cs="宋体"/>
          <w:color w:val="auto"/>
          <w:sz w:val="24"/>
          <w:highlight w:val="none"/>
        </w:rPr>
        <w:t>地    址：</w:t>
      </w:r>
      <w:r>
        <w:rPr>
          <w:rFonts w:hint="eastAsia" w:ascii="宋体" w:hAnsi="宋体" w:cs="宋体"/>
          <w:color w:val="auto"/>
          <w:kern w:val="0"/>
          <w:sz w:val="24"/>
          <w:szCs w:val="24"/>
          <w:highlight w:val="none"/>
          <w:u w:val="single"/>
          <w:lang w:eastAsia="zh-CN"/>
        </w:rPr>
        <w:t>广州市番禺区市桥街桥兴大道11号（房地产大院2号楼）</w:t>
      </w:r>
    </w:p>
    <w:p w14:paraId="464BD25F">
      <w:pPr>
        <w:spacing w:line="360" w:lineRule="auto"/>
        <w:ind w:right="360"/>
        <w:jc w:val="left"/>
        <w:rPr>
          <w:rFonts w:ascii="宋体" w:hAnsi="宋体" w:cs="宋体"/>
          <w:color w:val="auto"/>
          <w:sz w:val="24"/>
          <w:highlight w:val="none"/>
          <w:u w:val="single"/>
        </w:rPr>
      </w:pPr>
      <w:r>
        <w:rPr>
          <w:rFonts w:hint="eastAsia" w:ascii="宋体" w:hAnsi="宋体" w:cs="宋体"/>
          <w:color w:val="auto"/>
          <w:sz w:val="24"/>
          <w:highlight w:val="none"/>
        </w:rPr>
        <w:t>电    话：</w:t>
      </w:r>
      <w:r>
        <w:rPr>
          <w:rFonts w:hint="eastAsia" w:ascii="宋体" w:hAnsi="宋体" w:cs="宋体"/>
          <w:color w:val="auto"/>
          <w:kern w:val="0"/>
          <w:sz w:val="24"/>
          <w:szCs w:val="24"/>
          <w:highlight w:val="none"/>
          <w:u w:val="single"/>
          <w:lang w:val="en-US" w:eastAsia="zh-CN"/>
        </w:rPr>
        <w:t>020-84879080</w:t>
      </w:r>
    </w:p>
    <w:p w14:paraId="7F5A468A">
      <w:pPr>
        <w:spacing w:line="360" w:lineRule="auto"/>
        <w:ind w:right="360"/>
        <w:jc w:val="left"/>
        <w:rPr>
          <w:rFonts w:ascii="宋体" w:hAnsi="宋体" w:cs="宋体"/>
          <w:color w:val="auto"/>
          <w:sz w:val="24"/>
          <w:highlight w:val="none"/>
          <w:u w:val="single"/>
        </w:rPr>
      </w:pPr>
    </w:p>
    <w:p w14:paraId="0B022F9F">
      <w:pPr>
        <w:spacing w:line="360" w:lineRule="auto"/>
        <w:ind w:left="1680" w:right="360" w:hanging="1680" w:hangingChars="700"/>
        <w:jc w:val="left"/>
        <w:rPr>
          <w:rFonts w:hint="eastAsia" w:ascii="宋体" w:hAnsi="宋体" w:eastAsia="宋体" w:cs="宋体"/>
          <w:color w:val="auto"/>
          <w:sz w:val="24"/>
          <w:highlight w:val="none"/>
          <w:lang w:eastAsia="zh-CN"/>
        </w:rPr>
      </w:pPr>
      <w:r>
        <w:rPr>
          <w:rFonts w:hint="eastAsia" w:ascii="宋体" w:hAnsi="宋体" w:cs="宋体"/>
          <w:color w:val="auto"/>
          <w:sz w:val="24"/>
          <w:highlight w:val="none"/>
        </w:rPr>
        <w:t>招标监督机构：</w:t>
      </w:r>
      <w:r>
        <w:rPr>
          <w:rFonts w:hint="eastAsia" w:ascii="宋体" w:hAnsi="宋体" w:cs="宋体"/>
          <w:color w:val="auto"/>
          <w:sz w:val="24"/>
          <w:highlight w:val="none"/>
          <w:u w:val="single"/>
          <w:lang w:eastAsia="zh-CN"/>
        </w:rPr>
        <w:t>(主)广州番禺产投建设管理有限公司(成)广州市盈泰房地产有限公司</w:t>
      </w:r>
    </w:p>
    <w:p w14:paraId="6E1B355A">
      <w:pPr>
        <w:spacing w:line="360" w:lineRule="auto"/>
        <w:ind w:right="360"/>
        <w:jc w:val="left"/>
        <w:rPr>
          <w:rFonts w:hint="eastAsia" w:ascii="宋体" w:hAnsi="宋体" w:eastAsia="宋体" w:cs="宋体"/>
          <w:color w:val="auto"/>
          <w:sz w:val="24"/>
          <w:highlight w:val="none"/>
          <w:lang w:eastAsia="zh-CN"/>
        </w:rPr>
      </w:pPr>
      <w:r>
        <w:rPr>
          <w:rFonts w:hint="eastAsia" w:ascii="宋体" w:hAnsi="宋体" w:cs="宋体"/>
          <w:color w:val="auto"/>
          <w:sz w:val="24"/>
          <w:highlight w:val="none"/>
        </w:rPr>
        <w:t>地   址：</w:t>
      </w:r>
      <w:r>
        <w:rPr>
          <w:rFonts w:hint="eastAsia" w:ascii="宋体" w:hAnsi="宋体" w:cs="宋体"/>
          <w:color w:val="auto"/>
          <w:kern w:val="0"/>
          <w:sz w:val="24"/>
          <w:szCs w:val="24"/>
          <w:highlight w:val="none"/>
          <w:u w:val="single"/>
          <w:lang w:eastAsia="zh-CN"/>
        </w:rPr>
        <w:t>广州市番禺区市桥街桥兴大道11号（房地产大院2号楼）</w:t>
      </w:r>
    </w:p>
    <w:p w14:paraId="0786669F">
      <w:pPr>
        <w:spacing w:line="360" w:lineRule="auto"/>
        <w:ind w:right="360"/>
        <w:jc w:val="left"/>
        <w:rPr>
          <w:rFonts w:ascii="宋体" w:hAnsi="宋体" w:cs="宋体"/>
          <w:color w:val="auto"/>
          <w:sz w:val="24"/>
          <w:highlight w:val="none"/>
        </w:rPr>
      </w:pPr>
      <w:r>
        <w:rPr>
          <w:rFonts w:hint="eastAsia" w:ascii="宋体" w:hAnsi="宋体" w:cs="宋体"/>
          <w:color w:val="auto"/>
          <w:sz w:val="24"/>
          <w:highlight w:val="none"/>
        </w:rPr>
        <w:t>监管电话：</w:t>
      </w:r>
      <w:r>
        <w:rPr>
          <w:rFonts w:hint="eastAsia" w:ascii="宋体" w:hAnsi="宋体" w:cs="宋体"/>
          <w:color w:val="auto"/>
          <w:kern w:val="0"/>
          <w:sz w:val="24"/>
          <w:szCs w:val="24"/>
          <w:highlight w:val="none"/>
          <w:u w:val="single"/>
          <w:lang w:val="en-US" w:eastAsia="zh-CN"/>
        </w:rPr>
        <w:t>020-84879080</w:t>
      </w:r>
    </w:p>
    <w:p w14:paraId="3222A1AD">
      <w:pPr>
        <w:topLinePunct/>
        <w:spacing w:line="360" w:lineRule="auto"/>
        <w:jc w:val="left"/>
        <w:rPr>
          <w:rFonts w:ascii="宋体" w:hAnsi="宋体" w:cs="宋体"/>
          <w:color w:val="auto"/>
          <w:kern w:val="0"/>
          <w:sz w:val="24"/>
          <w:highlight w:val="none"/>
        </w:rPr>
      </w:pPr>
      <w:r>
        <w:rPr>
          <w:rFonts w:ascii="宋体" w:hAnsi="宋体" w:cs="宋体"/>
          <w:color w:val="auto"/>
          <w:kern w:val="0"/>
          <w:sz w:val="24"/>
          <w:highlight w:val="none"/>
        </w:rPr>
        <w:br w:type="page"/>
      </w:r>
      <w:r>
        <w:rPr>
          <w:rFonts w:hint="eastAsia" w:ascii="宋体" w:hAnsi="宋体" w:cs="宋体"/>
          <w:color w:val="auto"/>
          <w:kern w:val="0"/>
          <w:sz w:val="24"/>
          <w:highlight w:val="none"/>
        </w:rPr>
        <w:t>附件一：</w:t>
      </w:r>
    </w:p>
    <w:p w14:paraId="3322268D">
      <w:pPr>
        <w:widowControl/>
        <w:snapToGrid w:val="0"/>
        <w:spacing w:before="260" w:after="260" w:line="360" w:lineRule="auto"/>
        <w:ind w:right="384"/>
        <w:jc w:val="center"/>
        <w:rPr>
          <w:rFonts w:ascii="宋体" w:hAnsi="宋体" w:cs="宋体"/>
          <w:b/>
          <w:bCs/>
          <w:color w:val="auto"/>
          <w:kern w:val="0"/>
          <w:sz w:val="32"/>
          <w:szCs w:val="32"/>
          <w:highlight w:val="none"/>
        </w:rPr>
      </w:pPr>
      <w:r>
        <w:rPr>
          <w:rFonts w:hint="eastAsia" w:ascii="宋体" w:hAnsi="宋体" w:cs="宋体"/>
          <w:b/>
          <w:bCs/>
          <w:color w:val="auto"/>
          <w:kern w:val="0"/>
          <w:sz w:val="32"/>
          <w:szCs w:val="32"/>
          <w:highlight w:val="none"/>
        </w:rPr>
        <w:t>投标人声明</w:t>
      </w:r>
    </w:p>
    <w:p w14:paraId="5741E277">
      <w:pPr>
        <w:spacing w:line="360" w:lineRule="auto"/>
        <w:ind w:right="480"/>
        <w:rPr>
          <w:rFonts w:ascii="仿宋" w:hAnsi="仿宋" w:eastAsia="仿宋"/>
          <w:color w:val="auto"/>
          <w:sz w:val="32"/>
          <w:szCs w:val="32"/>
          <w:highlight w:val="none"/>
        </w:rPr>
      </w:pPr>
      <w:r>
        <w:rPr>
          <w:rFonts w:hint="eastAsia" w:ascii="宋体" w:hAnsi="宋体" w:cs="宋体"/>
          <w:color w:val="auto"/>
          <w:sz w:val="24"/>
          <w:highlight w:val="none"/>
          <w:u w:val="single"/>
          <w:lang w:eastAsia="zh-CN"/>
        </w:rPr>
        <w:t>(主)广州番禺产投建设管理有限公司(成)广州市盈泰房地产有限公司</w:t>
      </w:r>
      <w:r>
        <w:rPr>
          <w:rFonts w:hint="eastAsia" w:ascii="仿宋" w:hAnsi="仿宋" w:eastAsia="仿宋"/>
          <w:color w:val="auto"/>
          <w:sz w:val="32"/>
          <w:szCs w:val="32"/>
          <w:highlight w:val="none"/>
        </w:rPr>
        <w:t>：</w:t>
      </w:r>
    </w:p>
    <w:p w14:paraId="62B2A8C5">
      <w:pPr>
        <w:spacing w:line="360" w:lineRule="auto"/>
        <w:ind w:firstLine="484" w:firstLineChars="202"/>
        <w:rPr>
          <w:rFonts w:ascii="宋体" w:hAnsi="宋体"/>
          <w:color w:val="auto"/>
          <w:sz w:val="24"/>
          <w:szCs w:val="24"/>
          <w:highlight w:val="none"/>
        </w:rPr>
      </w:pPr>
      <w:r>
        <w:rPr>
          <w:rFonts w:hint="eastAsia" w:ascii="宋体" w:hAnsi="宋体"/>
          <w:color w:val="auto"/>
          <w:sz w:val="24"/>
          <w:szCs w:val="24"/>
          <w:highlight w:val="none"/>
        </w:rPr>
        <w:t>本公司就参加</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投标工作，作出郑重声明：</w:t>
      </w:r>
    </w:p>
    <w:p w14:paraId="0298C5CF">
      <w:pPr>
        <w:spacing w:line="360" w:lineRule="auto"/>
        <w:ind w:firstLine="484" w:firstLineChars="202"/>
        <w:rPr>
          <w:rFonts w:ascii="宋体" w:hAnsi="宋体"/>
          <w:color w:val="auto"/>
          <w:sz w:val="24"/>
          <w:szCs w:val="24"/>
          <w:highlight w:val="none"/>
        </w:rPr>
      </w:pPr>
      <w:r>
        <w:rPr>
          <w:rFonts w:hint="eastAsia" w:ascii="宋体" w:hAnsi="宋体"/>
          <w:color w:val="auto"/>
          <w:sz w:val="24"/>
          <w:szCs w:val="24"/>
          <w:highlight w:val="none"/>
        </w:rPr>
        <w:t>一、本公司保证投标资格审查材料及其后提供的一切材料都是真实的，如我司成为本项目中标候选人，我司同意并授权招标人将我司投标文件商务部分文件的所有内容（包括人员、业绩、奖项等资料）进行公开。</w:t>
      </w:r>
    </w:p>
    <w:p w14:paraId="14847A67">
      <w:pPr>
        <w:spacing w:line="360" w:lineRule="auto"/>
        <w:ind w:firstLine="484" w:firstLineChars="202"/>
        <w:rPr>
          <w:rFonts w:ascii="宋体" w:hAnsi="宋体"/>
          <w:color w:val="auto"/>
          <w:sz w:val="24"/>
          <w:szCs w:val="24"/>
          <w:highlight w:val="none"/>
        </w:rPr>
      </w:pPr>
      <w:r>
        <w:rPr>
          <w:rFonts w:hint="eastAsia" w:ascii="宋体" w:hAnsi="宋体"/>
          <w:color w:val="auto"/>
          <w:sz w:val="24"/>
          <w:szCs w:val="24"/>
          <w:highlight w:val="none"/>
        </w:rPr>
        <w:t>二、本公司保证在本项目投标中不与其他单位围标、串标，不出让投标资格，不向招标人或评标委员会成员行贿。</w:t>
      </w:r>
    </w:p>
    <w:p w14:paraId="364A2D80">
      <w:pPr>
        <w:spacing w:line="360" w:lineRule="auto"/>
        <w:ind w:firstLine="484" w:firstLineChars="202"/>
        <w:rPr>
          <w:rFonts w:ascii="宋体" w:hAnsi="宋体"/>
          <w:color w:val="auto"/>
          <w:sz w:val="24"/>
          <w:szCs w:val="24"/>
          <w:highlight w:val="none"/>
        </w:rPr>
      </w:pPr>
      <w:r>
        <w:rPr>
          <w:rFonts w:hint="eastAsia" w:ascii="宋体" w:hAnsi="宋体"/>
          <w:color w:val="auto"/>
          <w:sz w:val="24"/>
          <w:szCs w:val="24"/>
          <w:highlight w:val="none"/>
        </w:rPr>
        <w:t>三、本公司没有处于被责令停业的状态；没有处于被建设行政主管部门取消投标资格的处罚期内；没有处于财产被接管、冻结、破产的状态；本公司没有在投标登记截止时间前三年内被人民法院判决犯有行贿罪的记录。投标登记截止日期前三年内，本公司没有弄虚作假骗取中标、围标串标行为（以行政主管部门或法院或检察院书面认定为准），本公司没有被人民法院列入失信被执行人名单。在投标登记截止日期前三年内没有建设行政主管部门已书面认定的重大工程质量问题。本公司未在以往工程中因不诚信行为或不充分履约行为被本项目招标人书面拒绝投标; 本公司未被纳入联合惩戒范围；本公司近两年（</w:t>
      </w:r>
      <w:r>
        <w:rPr>
          <w:rFonts w:hint="eastAsia" w:ascii="宋体" w:hAnsi="宋体" w:cs="宋体"/>
          <w:color w:val="auto"/>
          <w:sz w:val="24"/>
          <w:szCs w:val="24"/>
          <w:highlight w:val="none"/>
        </w:rPr>
        <w:t>从202</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年1月1日起至投标截止时间止</w:t>
      </w:r>
      <w:r>
        <w:rPr>
          <w:rFonts w:hint="eastAsia" w:ascii="宋体" w:hAnsi="宋体"/>
          <w:color w:val="auto"/>
          <w:sz w:val="24"/>
          <w:szCs w:val="24"/>
          <w:highlight w:val="none"/>
        </w:rPr>
        <w:t>）未因以往检测工作中存在伪造检测数据、出具虚假检测报告的行为被各级建设行政主管部门或市场监督管理部门行政处罚或通报的。</w:t>
      </w:r>
    </w:p>
    <w:p w14:paraId="39B04583">
      <w:pPr>
        <w:spacing w:line="360" w:lineRule="auto"/>
        <w:ind w:firstLine="484" w:firstLineChars="202"/>
        <w:rPr>
          <w:rFonts w:ascii="宋体" w:hAnsi="宋体"/>
          <w:color w:val="auto"/>
          <w:sz w:val="24"/>
          <w:szCs w:val="24"/>
          <w:highlight w:val="none"/>
        </w:rPr>
      </w:pPr>
      <w:r>
        <w:rPr>
          <w:rFonts w:hint="eastAsia" w:ascii="宋体" w:hAnsi="宋体"/>
          <w:color w:val="auto"/>
          <w:sz w:val="24"/>
          <w:szCs w:val="24"/>
          <w:highlight w:val="none"/>
        </w:rPr>
        <w:t>四、本公司不存在招标文件第二章投标人须知第1.4.3项所规定的任何一种情形。</w:t>
      </w:r>
    </w:p>
    <w:p w14:paraId="53B96D73">
      <w:pPr>
        <w:spacing w:line="360" w:lineRule="auto"/>
        <w:ind w:firstLine="484" w:firstLineChars="202"/>
        <w:rPr>
          <w:rFonts w:ascii="宋体" w:hAnsi="宋体"/>
          <w:color w:val="auto"/>
          <w:sz w:val="24"/>
          <w:szCs w:val="24"/>
          <w:highlight w:val="none"/>
        </w:rPr>
      </w:pPr>
      <w:r>
        <w:rPr>
          <w:rFonts w:hint="eastAsia" w:ascii="宋体" w:hAnsi="宋体"/>
          <w:color w:val="auto"/>
          <w:sz w:val="24"/>
          <w:szCs w:val="24"/>
          <w:highlight w:val="none"/>
        </w:rPr>
        <w:t xml:space="preserve">五、本公司不为招标人不具有独立法人资格的附属机构（单位），不存在与招标人存在利害关系且可能影响招标公正性；本公司及其有隶属关系的机构没有参加本项目的设计、前期工作（若本公司为设计、前期工作服务机构参加本次投标，应将本公告发布前完成的工作成果（含电子文件）在招标答疑期间同时提供给所有投标人参考，否则设计、前期参与的服务机构中标无效）、招标文件编写、监理工作；本公司与承担本招标项目代建单位（适用于有代建单位项目）、施工和监理业务的单位没有隶属关系或其他利害关系；本公司与本次招标的招标代理机构没有隶属关系或其他利害关系；本公司与本工程的承包单位以及建筑材料、建筑构配件和设备供应单位没有隶属关系或其他利害关系。 </w:t>
      </w:r>
    </w:p>
    <w:p w14:paraId="7F7784AA">
      <w:pPr>
        <w:spacing w:line="360" w:lineRule="auto"/>
        <w:ind w:firstLine="484" w:firstLineChars="202"/>
        <w:rPr>
          <w:rFonts w:ascii="宋体" w:hAnsi="宋体"/>
          <w:color w:val="auto"/>
          <w:sz w:val="24"/>
          <w:szCs w:val="24"/>
          <w:highlight w:val="none"/>
        </w:rPr>
      </w:pPr>
      <w:r>
        <w:rPr>
          <w:rFonts w:hint="eastAsia" w:ascii="宋体" w:hAnsi="宋体"/>
          <w:color w:val="auto"/>
          <w:sz w:val="24"/>
          <w:szCs w:val="24"/>
          <w:highlight w:val="none"/>
        </w:rPr>
        <w:t>六、与本公司单位负责人为同一人或者与本公司存在控股、管理关系的其他单位包括</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。（注：本条由投标人如实填写，如有，应列出全部满足招标公告资质要求的相关单位的名称；如无，则填写“无”。）</w:t>
      </w:r>
    </w:p>
    <w:p w14:paraId="775CD7B7">
      <w:pPr>
        <w:spacing w:line="360" w:lineRule="auto"/>
        <w:ind w:firstLine="484" w:firstLineChars="202"/>
        <w:rPr>
          <w:rFonts w:ascii="宋体" w:hAnsi="宋体"/>
          <w:color w:val="auto"/>
          <w:sz w:val="24"/>
          <w:szCs w:val="24"/>
          <w:highlight w:val="none"/>
        </w:rPr>
      </w:pPr>
      <w:r>
        <w:rPr>
          <w:rFonts w:hint="eastAsia" w:ascii="宋体" w:hAnsi="宋体"/>
          <w:color w:val="auto"/>
          <w:sz w:val="24"/>
          <w:szCs w:val="24"/>
          <w:highlight w:val="none"/>
        </w:rPr>
        <w:t>七、本公司承诺，中标后严格执行安全生产相关管理规定。</w:t>
      </w:r>
    </w:p>
    <w:p w14:paraId="0ED2E5EF">
      <w:pPr>
        <w:spacing w:line="360" w:lineRule="auto"/>
        <w:ind w:firstLine="484" w:firstLineChars="202"/>
        <w:rPr>
          <w:rFonts w:ascii="宋体" w:hAnsi="宋体"/>
          <w:color w:val="auto"/>
          <w:sz w:val="24"/>
          <w:szCs w:val="24"/>
          <w:highlight w:val="none"/>
        </w:rPr>
      </w:pPr>
      <w:r>
        <w:rPr>
          <w:rFonts w:hint="eastAsia" w:ascii="宋体" w:hAnsi="宋体"/>
          <w:color w:val="auto"/>
          <w:sz w:val="24"/>
          <w:szCs w:val="24"/>
          <w:highlight w:val="none"/>
        </w:rPr>
        <w:t>八、本公司承诺，中标后严格按照合同和招投标文件规定履行义务，并同意招标人将其履行合同、招投标文件义务的履约情况和不诚信行为（包括但不限于由招标人做出的违约责任处理决定等）在招标人网站和建设项目业主网站及其他媒体上公开披露，由此造成的一切损失和不利后果均由本公司自行承担。</w:t>
      </w:r>
    </w:p>
    <w:p w14:paraId="70D277A5">
      <w:pPr>
        <w:spacing w:line="360" w:lineRule="auto"/>
        <w:ind w:firstLine="484" w:firstLineChars="202"/>
        <w:rPr>
          <w:rFonts w:ascii="宋体" w:hAnsi="宋体"/>
          <w:color w:val="auto"/>
          <w:sz w:val="24"/>
          <w:szCs w:val="24"/>
          <w:highlight w:val="none"/>
        </w:rPr>
      </w:pPr>
      <w:r>
        <w:rPr>
          <w:rFonts w:hint="eastAsia" w:ascii="宋体" w:hAnsi="宋体"/>
          <w:color w:val="auto"/>
          <w:sz w:val="24"/>
          <w:szCs w:val="24"/>
          <w:highlight w:val="none"/>
        </w:rPr>
        <w:t>本公司违反上述保证，或本声明陈述与事实不符，经查实，本公司愿意接受公开通报，承担由此带来的法律后果，并自愿停止参加广州市行政辖区内的招标投标活动三个月。</w:t>
      </w:r>
    </w:p>
    <w:p w14:paraId="387C25CB">
      <w:pPr>
        <w:spacing w:line="360" w:lineRule="auto"/>
        <w:ind w:firstLine="484" w:firstLineChars="202"/>
        <w:rPr>
          <w:rFonts w:ascii="宋体" w:hAnsi="宋体"/>
          <w:color w:val="auto"/>
          <w:highlight w:val="none"/>
        </w:rPr>
      </w:pPr>
      <w:r>
        <w:rPr>
          <w:rFonts w:hint="eastAsia" w:ascii="宋体" w:hAnsi="宋体"/>
          <w:color w:val="auto"/>
          <w:sz w:val="24"/>
          <w:szCs w:val="24"/>
          <w:highlight w:val="none"/>
        </w:rPr>
        <w:t>特此声明。</w:t>
      </w:r>
    </w:p>
    <w:p w14:paraId="04775948">
      <w:pPr>
        <w:pStyle w:val="15"/>
        <w:adjustRightInd w:val="0"/>
        <w:snapToGrid w:val="0"/>
        <w:ind w:firstLine="0"/>
        <w:rPr>
          <w:rFonts w:ascii="宋体" w:hAnsi="宋体" w:eastAsia="宋体"/>
          <w:color w:val="auto"/>
          <w:sz w:val="24"/>
          <w:szCs w:val="24"/>
          <w:highlight w:val="none"/>
        </w:rPr>
      </w:pPr>
    </w:p>
    <w:p w14:paraId="5A715E86">
      <w:pPr>
        <w:pStyle w:val="15"/>
        <w:adjustRightInd w:val="0"/>
        <w:snapToGrid w:val="0"/>
        <w:ind w:right="-35" w:firstLine="4819" w:firstLineChars="2008"/>
        <w:jc w:val="left"/>
        <w:rPr>
          <w:rFonts w:ascii="宋体" w:hAnsi="宋体" w:eastAsia="宋体"/>
          <w:color w:val="auto"/>
          <w:sz w:val="24"/>
          <w:szCs w:val="24"/>
          <w:highlight w:val="none"/>
        </w:rPr>
      </w:pPr>
      <w:r>
        <w:rPr>
          <w:rFonts w:hint="eastAsia" w:ascii="宋体" w:hAnsi="宋体" w:eastAsia="宋体"/>
          <w:color w:val="auto"/>
          <w:sz w:val="24"/>
          <w:szCs w:val="24"/>
          <w:highlight w:val="none"/>
        </w:rPr>
        <w:t>投标单位（盖公章）：</w:t>
      </w:r>
    </w:p>
    <w:p w14:paraId="36A65425">
      <w:pPr>
        <w:pStyle w:val="15"/>
        <w:adjustRightInd w:val="0"/>
        <w:snapToGrid w:val="0"/>
        <w:ind w:right="-35" w:firstLine="3832" w:firstLineChars="1597"/>
        <w:jc w:val="left"/>
        <w:rPr>
          <w:rFonts w:ascii="宋体" w:hAnsi="宋体" w:eastAsia="宋体"/>
          <w:color w:val="auto"/>
          <w:sz w:val="24"/>
          <w:szCs w:val="24"/>
          <w:highlight w:val="none"/>
        </w:rPr>
      </w:pPr>
      <w:r>
        <w:rPr>
          <w:rFonts w:hint="eastAsia" w:ascii="宋体" w:hAnsi="宋体" w:eastAsia="宋体"/>
          <w:color w:val="auto"/>
          <w:sz w:val="24"/>
          <w:szCs w:val="24"/>
          <w:highlight w:val="none"/>
        </w:rPr>
        <w:t>法定代表人或授权委托人（签字或盖章）：</w:t>
      </w:r>
    </w:p>
    <w:p w14:paraId="5E86776C">
      <w:pPr>
        <w:widowControl/>
        <w:spacing w:line="360" w:lineRule="auto"/>
        <w:jc w:val="center"/>
        <w:rPr>
          <w:rFonts w:ascii="宋体" w:hAnsi="宋体" w:cs="宋体"/>
          <w:b/>
          <w:bCs/>
          <w:color w:val="auto"/>
          <w:kern w:val="0"/>
          <w:szCs w:val="21"/>
          <w:highlight w:val="none"/>
        </w:rPr>
      </w:pPr>
      <w:r>
        <w:rPr>
          <w:rFonts w:hint="eastAsia" w:ascii="宋体" w:hAnsi="宋体"/>
          <w:color w:val="auto"/>
          <w:sz w:val="24"/>
          <w:szCs w:val="24"/>
          <w:highlight w:val="none"/>
        </w:rPr>
        <w:t xml:space="preserve">                       日  期：    年   月   日</w:t>
      </w:r>
    </w:p>
    <w:p w14:paraId="7DD5C9C0">
      <w:pPr>
        <w:widowControl/>
        <w:snapToGrid w:val="0"/>
        <w:spacing w:before="260" w:after="260" w:line="360" w:lineRule="auto"/>
        <w:ind w:right="384"/>
        <w:jc w:val="left"/>
        <w:rPr>
          <w:rFonts w:ascii="宋体" w:hAnsi="宋体"/>
          <w:b/>
          <w:color w:val="auto"/>
          <w:highlight w:val="none"/>
        </w:rPr>
      </w:pPr>
      <w:r>
        <w:rPr>
          <w:rFonts w:ascii="宋体" w:hAnsi="宋体" w:cs="宋体"/>
          <w:color w:val="auto"/>
          <w:sz w:val="24"/>
          <w:szCs w:val="24"/>
          <w:highlight w:val="none"/>
        </w:rPr>
        <w:br w:type="page"/>
      </w:r>
      <w:r>
        <w:rPr>
          <w:rFonts w:hint="eastAsia" w:ascii="宋体" w:hAnsi="宋体"/>
          <w:b/>
          <w:color w:val="auto"/>
          <w:highlight w:val="none"/>
        </w:rPr>
        <w:t>附件二：</w:t>
      </w:r>
    </w:p>
    <w:p w14:paraId="2E924B0B">
      <w:pPr>
        <w:widowControl/>
        <w:snapToGrid w:val="0"/>
        <w:spacing w:before="260" w:after="260" w:line="360" w:lineRule="auto"/>
        <w:ind w:right="384"/>
        <w:jc w:val="center"/>
        <w:rPr>
          <w:rFonts w:ascii="宋体" w:hAnsi="宋体" w:cs="宋体"/>
          <w:b/>
          <w:bCs/>
          <w:color w:val="auto"/>
          <w:kern w:val="0"/>
          <w:sz w:val="32"/>
          <w:szCs w:val="32"/>
          <w:highlight w:val="none"/>
        </w:rPr>
      </w:pPr>
      <w:r>
        <w:rPr>
          <w:rFonts w:hint="eastAsia" w:ascii="宋体" w:hAnsi="宋体" w:cs="宋体"/>
          <w:b/>
          <w:bCs/>
          <w:color w:val="auto"/>
          <w:kern w:val="0"/>
          <w:sz w:val="32"/>
          <w:szCs w:val="32"/>
          <w:highlight w:val="none"/>
        </w:rPr>
        <w:t>投标承诺函</w:t>
      </w:r>
    </w:p>
    <w:p w14:paraId="3FEEB381">
      <w:pPr>
        <w:adjustRightInd w:val="0"/>
        <w:snapToGrid w:val="0"/>
        <w:spacing w:line="360" w:lineRule="auto"/>
        <w:jc w:val="center"/>
        <w:rPr>
          <w:rFonts w:ascii="宋体" w:hAnsi="宋体" w:cs="宋体"/>
          <w:b/>
          <w:color w:val="auto"/>
          <w:sz w:val="32"/>
          <w:highlight w:val="none"/>
        </w:rPr>
      </w:pPr>
    </w:p>
    <w:p w14:paraId="7CFD3962">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致：</w:t>
      </w:r>
    </w:p>
    <w:p w14:paraId="76D16CFC">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经认真研究</w:t>
      </w:r>
      <w:r>
        <w:rPr>
          <w:rFonts w:hint="eastAsia" w:ascii="宋体" w:hAnsi="宋体" w:cs="宋体"/>
          <w:color w:val="auto"/>
          <w:sz w:val="24"/>
          <w:highlight w:val="none"/>
          <w:u w:val="single"/>
        </w:rPr>
        <w:t xml:space="preserve">                                       （项目名称）</w:t>
      </w:r>
      <w:r>
        <w:rPr>
          <w:rFonts w:hint="eastAsia" w:ascii="宋体" w:hAnsi="宋体" w:cs="宋体"/>
          <w:color w:val="auto"/>
          <w:sz w:val="24"/>
          <w:highlight w:val="none"/>
        </w:rPr>
        <w:t>的招标公告要求，现郑重承诺：</w:t>
      </w:r>
    </w:p>
    <w:p w14:paraId="517A5BEB">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我方一旦中标，跟本项目相关的施工承包方委托的相关检测业务均不再承接。</w:t>
      </w:r>
    </w:p>
    <w:p w14:paraId="274E032A">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特此承诺！</w:t>
      </w:r>
    </w:p>
    <w:p w14:paraId="2A42EB5D">
      <w:pPr>
        <w:adjustRightInd w:val="0"/>
        <w:snapToGrid w:val="0"/>
        <w:spacing w:line="360" w:lineRule="auto"/>
        <w:ind w:right="482" w:firstLine="3960" w:firstLineChars="1650"/>
        <w:rPr>
          <w:rFonts w:ascii="宋体" w:hAnsi="宋体" w:cs="宋体"/>
          <w:color w:val="auto"/>
          <w:sz w:val="24"/>
          <w:highlight w:val="none"/>
        </w:rPr>
      </w:pPr>
    </w:p>
    <w:p w14:paraId="08581847">
      <w:pPr>
        <w:adjustRightInd w:val="0"/>
        <w:snapToGrid w:val="0"/>
        <w:spacing w:line="360" w:lineRule="auto"/>
        <w:ind w:right="482" w:firstLine="3960" w:firstLineChars="1650"/>
        <w:rPr>
          <w:rFonts w:ascii="宋体" w:hAnsi="宋体" w:cs="宋体"/>
          <w:color w:val="auto"/>
          <w:sz w:val="24"/>
          <w:highlight w:val="none"/>
        </w:rPr>
      </w:pPr>
    </w:p>
    <w:p w14:paraId="069A3F5B">
      <w:pPr>
        <w:adjustRightInd w:val="0"/>
        <w:snapToGrid w:val="0"/>
        <w:spacing w:line="360" w:lineRule="auto"/>
        <w:ind w:right="482" w:firstLine="3960" w:firstLineChars="1650"/>
        <w:rPr>
          <w:rFonts w:ascii="宋体" w:hAnsi="宋体" w:cs="宋体"/>
          <w:color w:val="auto"/>
          <w:sz w:val="24"/>
          <w:highlight w:val="none"/>
        </w:rPr>
      </w:pPr>
    </w:p>
    <w:p w14:paraId="341022B5">
      <w:pPr>
        <w:wordWrap w:val="0"/>
        <w:spacing w:line="360" w:lineRule="auto"/>
        <w:ind w:firstLine="3240" w:firstLineChars="1350"/>
        <w:jc w:val="right"/>
        <w:rPr>
          <w:rFonts w:ascii="宋体" w:hAnsi="宋体"/>
          <w:color w:val="auto"/>
          <w:sz w:val="24"/>
          <w:highlight w:val="none"/>
        </w:rPr>
      </w:pPr>
      <w:r>
        <w:rPr>
          <w:rFonts w:hint="eastAsia" w:ascii="宋体" w:hAnsi="宋体"/>
          <w:color w:val="auto"/>
          <w:sz w:val="24"/>
          <w:highlight w:val="none"/>
        </w:rPr>
        <w:t>投标申请人：</w:t>
      </w:r>
      <w:r>
        <w:rPr>
          <w:rFonts w:hint="eastAsia" w:ascii="宋体" w:hAnsi="宋体"/>
          <w:color w:val="auto"/>
          <w:sz w:val="24"/>
          <w:highlight w:val="none"/>
          <w:u w:val="single"/>
        </w:rPr>
        <w:t xml:space="preserve">                      </w:t>
      </w:r>
      <w:r>
        <w:rPr>
          <w:rFonts w:hint="eastAsia" w:ascii="宋体" w:hAnsi="宋体"/>
          <w:color w:val="auto"/>
          <w:sz w:val="24"/>
          <w:highlight w:val="none"/>
        </w:rPr>
        <w:t>（盖单位章）</w:t>
      </w:r>
    </w:p>
    <w:p w14:paraId="79A96DDB">
      <w:pPr>
        <w:spacing w:line="360" w:lineRule="auto"/>
        <w:ind w:firstLine="3240" w:firstLineChars="1350"/>
        <w:jc w:val="both"/>
        <w:rPr>
          <w:rFonts w:ascii="宋体" w:hAnsi="宋体"/>
          <w:color w:val="auto"/>
          <w:sz w:val="24"/>
          <w:highlight w:val="none"/>
        </w:rPr>
      </w:pPr>
      <w:r>
        <w:rPr>
          <w:rFonts w:hint="eastAsia" w:ascii="宋体" w:hAnsi="宋体"/>
          <w:color w:val="auto"/>
          <w:sz w:val="24"/>
          <w:highlight w:val="none"/>
        </w:rPr>
        <w:t>法定代表人或其委托代理人：</w:t>
      </w:r>
      <w:r>
        <w:rPr>
          <w:rFonts w:hint="eastAsia" w:ascii="宋体" w:hAnsi="宋体"/>
          <w:color w:val="auto"/>
          <w:sz w:val="24"/>
          <w:highlight w:val="none"/>
          <w:u w:val="single"/>
        </w:rPr>
        <w:t xml:space="preserve">      </w:t>
      </w:r>
      <w:r>
        <w:rPr>
          <w:rFonts w:hint="eastAsia" w:ascii="宋体" w:hAnsi="宋体"/>
          <w:color w:val="auto"/>
          <w:sz w:val="24"/>
          <w:highlight w:val="none"/>
        </w:rPr>
        <w:t>（签字</w:t>
      </w:r>
      <w:r>
        <w:rPr>
          <w:rFonts w:hint="eastAsia"/>
          <w:color w:val="auto"/>
          <w:sz w:val="24"/>
          <w:highlight w:val="none"/>
        </w:rPr>
        <w:t>或盖章</w:t>
      </w:r>
      <w:r>
        <w:rPr>
          <w:rFonts w:hint="eastAsia" w:ascii="宋体" w:hAnsi="宋体"/>
          <w:color w:val="auto"/>
          <w:sz w:val="24"/>
          <w:highlight w:val="none"/>
        </w:rPr>
        <w:t>）</w:t>
      </w:r>
    </w:p>
    <w:p w14:paraId="20A3FC00">
      <w:pPr>
        <w:spacing w:line="360" w:lineRule="auto"/>
        <w:jc w:val="right"/>
        <w:rPr>
          <w:color w:val="auto"/>
          <w:sz w:val="24"/>
          <w:highlight w:val="none"/>
        </w:rPr>
      </w:pP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14:paraId="5FDF22F2">
      <w:pPr>
        <w:pStyle w:val="15"/>
        <w:ind w:left="-2" w:leftChars="-1" w:firstLine="1"/>
        <w:jc w:val="right"/>
        <w:rPr>
          <w:rFonts w:ascii="宋体" w:hAnsi="宋体" w:eastAsia="宋体" w:cs="宋体"/>
          <w:color w:val="auto"/>
          <w:sz w:val="24"/>
          <w:szCs w:val="24"/>
          <w:highlight w:val="none"/>
        </w:rPr>
      </w:pPr>
    </w:p>
    <w:p w14:paraId="2CBFD57C">
      <w:pPr>
        <w:widowControl/>
        <w:snapToGrid w:val="0"/>
        <w:spacing w:line="360" w:lineRule="auto"/>
        <w:ind w:right="384"/>
        <w:rPr>
          <w:rFonts w:ascii="宋体" w:hAnsi="宋体" w:cs="宋体"/>
          <w:b/>
          <w:bCs/>
          <w:color w:val="auto"/>
          <w:sz w:val="24"/>
          <w:szCs w:val="24"/>
          <w:highlight w:val="none"/>
        </w:rPr>
      </w:pPr>
      <w:r>
        <w:rPr>
          <w:rFonts w:ascii="宋体" w:hAnsi="宋体" w:cs="宋体"/>
          <w:color w:val="auto"/>
          <w:sz w:val="24"/>
          <w:szCs w:val="24"/>
          <w:highlight w:val="none"/>
        </w:rPr>
        <w:br w:type="page"/>
      </w:r>
      <w:r>
        <w:rPr>
          <w:rFonts w:hint="eastAsia" w:ascii="宋体" w:hAnsi="宋体" w:cs="宋体"/>
          <w:b/>
          <w:bCs/>
          <w:color w:val="auto"/>
          <w:sz w:val="24"/>
          <w:szCs w:val="24"/>
          <w:highlight w:val="none"/>
        </w:rPr>
        <w:t>附件三：</w:t>
      </w:r>
      <w:bookmarkStart w:id="44" w:name="_Toc12111"/>
      <w:bookmarkStart w:id="45" w:name="_Toc22643"/>
    </w:p>
    <w:bookmarkEnd w:id="44"/>
    <w:bookmarkEnd w:id="45"/>
    <w:p w14:paraId="2EA4D71D">
      <w:pPr>
        <w:widowControl/>
        <w:snapToGrid w:val="0"/>
        <w:spacing w:after="260" w:line="360" w:lineRule="auto"/>
        <w:ind w:right="386"/>
        <w:jc w:val="center"/>
        <w:rPr>
          <w:rFonts w:ascii="宋体" w:hAnsi="宋体" w:cs="宋体"/>
          <w:b/>
          <w:bCs/>
          <w:color w:val="auto"/>
          <w:kern w:val="0"/>
          <w:sz w:val="32"/>
          <w:szCs w:val="32"/>
          <w:highlight w:val="none"/>
        </w:rPr>
      </w:pPr>
      <w:r>
        <w:rPr>
          <w:rFonts w:hint="eastAsia" w:ascii="宋体" w:hAnsi="宋体" w:cs="宋体"/>
          <w:b/>
          <w:bCs/>
          <w:color w:val="auto"/>
          <w:kern w:val="0"/>
          <w:sz w:val="32"/>
          <w:szCs w:val="32"/>
          <w:highlight w:val="none"/>
        </w:rPr>
        <w:t>联合体协议书</w:t>
      </w:r>
    </w:p>
    <w:p w14:paraId="109A541E">
      <w:pPr>
        <w:snapToGrid w:val="0"/>
        <w:spacing w:line="360" w:lineRule="auto"/>
        <w:ind w:firstLine="420" w:firstLineChars="200"/>
        <w:rPr>
          <w:rFonts w:ascii="宋体" w:hAnsi="宋体"/>
          <w:color w:val="auto"/>
          <w:highlight w:val="none"/>
        </w:rPr>
      </w:pPr>
      <w:r>
        <w:rPr>
          <w:rFonts w:hint="eastAsia" w:ascii="宋体" w:hAnsi="宋体"/>
          <w:color w:val="auto"/>
          <w:szCs w:val="21"/>
          <w:highlight w:val="none"/>
          <w:u w:val="single"/>
        </w:rPr>
        <w:t xml:space="preserve">                  </w:t>
      </w:r>
      <w:r>
        <w:rPr>
          <w:rFonts w:hint="eastAsia" w:ascii="宋体" w:hAnsi="宋体"/>
          <w:color w:val="auto"/>
          <w:highlight w:val="none"/>
        </w:rPr>
        <w:t>（联合体所有单位名称）自愿组成</w:t>
      </w:r>
      <w:r>
        <w:rPr>
          <w:rFonts w:hint="eastAsia" w:ascii="宋体" w:hAnsi="宋体"/>
          <w:color w:val="auto"/>
          <w:szCs w:val="21"/>
          <w:highlight w:val="none"/>
          <w:u w:val="single"/>
        </w:rPr>
        <w:t xml:space="preserve">           </w:t>
      </w:r>
      <w:r>
        <w:rPr>
          <w:rFonts w:hint="eastAsia" w:ascii="宋体" w:hAnsi="宋体"/>
          <w:color w:val="auto"/>
          <w:highlight w:val="none"/>
        </w:rPr>
        <w:t>（联合体名称）联合体，共同参加</w:t>
      </w:r>
      <w:r>
        <w:rPr>
          <w:rFonts w:hint="eastAsia" w:ascii="宋体" w:hAnsi="宋体"/>
          <w:color w:val="auto"/>
          <w:szCs w:val="21"/>
          <w:highlight w:val="none"/>
          <w:u w:val="single"/>
        </w:rPr>
        <w:t xml:space="preserve">             </w:t>
      </w:r>
      <w:r>
        <w:rPr>
          <w:rFonts w:hint="eastAsia" w:ascii="宋体" w:hAnsi="宋体"/>
          <w:color w:val="auto"/>
          <w:highlight w:val="none"/>
          <w:u w:val="single"/>
        </w:rPr>
        <w:t xml:space="preserve">（项目名称）      </w:t>
      </w:r>
      <w:r>
        <w:rPr>
          <w:rFonts w:hint="eastAsia" w:ascii="宋体" w:hAnsi="宋体"/>
          <w:color w:val="auto"/>
          <w:highlight w:val="none"/>
        </w:rPr>
        <w:t>招标项目投标。现就联合体投标事宜订立如下协议。</w:t>
      </w:r>
    </w:p>
    <w:p w14:paraId="6A008031">
      <w:pPr>
        <w:snapToGrid w:val="0"/>
        <w:spacing w:line="360" w:lineRule="auto"/>
        <w:ind w:firstLine="420" w:firstLineChars="200"/>
        <w:rPr>
          <w:rFonts w:ascii="宋体" w:hAnsi="宋体"/>
          <w:color w:val="auto"/>
          <w:highlight w:val="none"/>
        </w:rPr>
      </w:pPr>
      <w:r>
        <w:rPr>
          <w:rFonts w:hint="eastAsia" w:ascii="宋体" w:hAnsi="宋体"/>
          <w:color w:val="auto"/>
          <w:highlight w:val="none"/>
        </w:rPr>
        <w:t xml:space="preserve">1. </w:t>
      </w:r>
      <w:r>
        <w:rPr>
          <w:rFonts w:hint="eastAsia" w:ascii="宋体" w:hAnsi="宋体"/>
          <w:color w:val="auto"/>
          <w:szCs w:val="21"/>
          <w:highlight w:val="none"/>
          <w:u w:val="single"/>
        </w:rPr>
        <w:t xml:space="preserve">             </w:t>
      </w:r>
      <w:r>
        <w:rPr>
          <w:rFonts w:hint="eastAsia" w:ascii="宋体" w:hAnsi="宋体"/>
          <w:color w:val="auto"/>
          <w:highlight w:val="none"/>
        </w:rPr>
        <w:t>（某成员单位名称）为</w:t>
      </w:r>
      <w:r>
        <w:rPr>
          <w:rFonts w:hint="eastAsia" w:ascii="宋体" w:hAnsi="宋体"/>
          <w:color w:val="auto"/>
          <w:szCs w:val="21"/>
          <w:highlight w:val="none"/>
          <w:u w:val="single"/>
        </w:rPr>
        <w:t xml:space="preserve">             </w:t>
      </w:r>
      <w:r>
        <w:rPr>
          <w:rFonts w:hint="eastAsia" w:ascii="宋体" w:hAnsi="宋体"/>
          <w:color w:val="auto"/>
          <w:highlight w:val="none"/>
        </w:rPr>
        <w:t>（联合体名称）</w:t>
      </w:r>
      <w:r>
        <w:rPr>
          <w:rFonts w:hint="eastAsia" w:ascii="宋体" w:hAnsi="宋体" w:cs="宋体"/>
          <w:color w:val="auto"/>
          <w:highlight w:val="none"/>
        </w:rPr>
        <w:t>主办方</w:t>
      </w:r>
      <w:r>
        <w:rPr>
          <w:rFonts w:hint="eastAsia" w:ascii="宋体" w:hAnsi="宋体"/>
          <w:color w:val="auto"/>
          <w:highlight w:val="none"/>
        </w:rPr>
        <w:t>。</w:t>
      </w:r>
    </w:p>
    <w:p w14:paraId="58CCB657">
      <w:pPr>
        <w:snapToGrid w:val="0"/>
        <w:spacing w:line="360" w:lineRule="auto"/>
        <w:ind w:firstLine="420" w:firstLineChars="200"/>
        <w:rPr>
          <w:rFonts w:ascii="宋体" w:hAnsi="宋体"/>
          <w:color w:val="auto"/>
          <w:highlight w:val="none"/>
        </w:rPr>
      </w:pPr>
      <w:r>
        <w:rPr>
          <w:rFonts w:hint="eastAsia" w:ascii="宋体" w:hAnsi="宋体"/>
          <w:color w:val="auto"/>
          <w:highlight w:val="none"/>
        </w:rPr>
        <w:t>2. 联合体各成员授权主办方代表联合体参加投标活动，签署文件，提交和接收相关的资料、信息及指示，进行合同谈判活动，负责合同实施阶段的组织和协调工作，以及处理与本招标项目有关的一切事宜。合同价款的支付由联合体主办方统一申报，招标人向联合体主办方支付合同价款。</w:t>
      </w:r>
    </w:p>
    <w:p w14:paraId="6E4A3CA6">
      <w:pPr>
        <w:snapToGrid w:val="0"/>
        <w:spacing w:line="360" w:lineRule="auto"/>
        <w:ind w:firstLine="420" w:firstLineChars="200"/>
        <w:rPr>
          <w:rFonts w:ascii="宋体" w:hAnsi="宋体"/>
          <w:color w:val="auto"/>
          <w:highlight w:val="none"/>
        </w:rPr>
      </w:pPr>
      <w:r>
        <w:rPr>
          <w:rFonts w:hint="eastAsia" w:ascii="宋体" w:hAnsi="宋体"/>
          <w:color w:val="auto"/>
          <w:highlight w:val="none"/>
        </w:rPr>
        <w:t>3. 联合体主办方在本项目中签署的一切文件和处理的一切事宜，联合体各成员均予以承认。联合体各成员将严格按照招标文件、投标文件和合同的要求全面履行义务，并向招标人承担连带责任。</w:t>
      </w:r>
    </w:p>
    <w:p w14:paraId="36B14F17">
      <w:pPr>
        <w:snapToGrid w:val="0"/>
        <w:spacing w:line="360" w:lineRule="auto"/>
        <w:ind w:firstLine="420" w:firstLineChars="200"/>
        <w:rPr>
          <w:rFonts w:ascii="宋体" w:hAnsi="宋体"/>
          <w:color w:val="auto"/>
          <w:szCs w:val="21"/>
          <w:highlight w:val="none"/>
          <w:u w:val="single"/>
        </w:rPr>
      </w:pPr>
      <w:r>
        <w:rPr>
          <w:rFonts w:hint="eastAsia" w:ascii="宋体" w:hAnsi="宋体"/>
          <w:color w:val="auto"/>
          <w:highlight w:val="none"/>
        </w:rPr>
        <w:t>4. 联合体各成员单位内部的职责分工如下：</w:t>
      </w:r>
      <w:r>
        <w:rPr>
          <w:rFonts w:hint="eastAsia" w:ascii="宋体" w:hAnsi="宋体"/>
          <w:color w:val="auto"/>
          <w:szCs w:val="21"/>
          <w:highlight w:val="none"/>
          <w:u w:val="single"/>
        </w:rPr>
        <w:t xml:space="preserve"> </w:t>
      </w:r>
    </w:p>
    <w:p w14:paraId="636AAB75">
      <w:pPr>
        <w:topLinePunct/>
        <w:spacing w:line="360" w:lineRule="auto"/>
        <w:ind w:firstLine="420" w:firstLineChars="200"/>
        <w:rPr>
          <w:rFonts w:ascii="宋体" w:hAnsi="宋体" w:cs="宋体"/>
          <w:color w:val="auto"/>
          <w:highlight w:val="none"/>
        </w:rPr>
      </w:pPr>
      <w:r>
        <w:rPr>
          <w:rFonts w:hint="eastAsia" w:ascii="宋体" w:hAnsi="宋体" w:cs="宋体"/>
          <w:color w:val="auto"/>
          <w:highlight w:val="none"/>
          <w:u w:val="single"/>
        </w:rPr>
        <w:t>①             ：</w:t>
      </w:r>
      <w:r>
        <w:rPr>
          <w:rFonts w:hint="eastAsia" w:ascii="宋体" w:hAnsi="宋体" w:cs="宋体"/>
          <w:color w:val="auto"/>
          <w:highlight w:val="none"/>
        </w:rPr>
        <w:t>为本项目的主办方，具体负责</w:t>
      </w:r>
      <w:r>
        <w:rPr>
          <w:rFonts w:hint="eastAsia" w:ascii="宋体" w:hAnsi="宋体" w:cs="宋体"/>
          <w:color w:val="auto"/>
          <w:highlight w:val="none"/>
          <w:u w:val="single"/>
        </w:rPr>
        <w:t xml:space="preserve">   （项目名称）  </w:t>
      </w:r>
      <w:r>
        <w:rPr>
          <w:rFonts w:hint="eastAsia" w:ascii="宋体" w:hAnsi="宋体" w:cs="宋体"/>
          <w:color w:val="auto"/>
          <w:highlight w:val="none"/>
        </w:rPr>
        <w:t>的</w:t>
      </w:r>
      <w:r>
        <w:rPr>
          <w:rFonts w:hint="eastAsia" w:ascii="宋体" w:hAnsi="宋体" w:cs="宋体"/>
          <w:color w:val="auto"/>
          <w:highlight w:val="none"/>
          <w:u w:val="single"/>
        </w:rPr>
        <w:t xml:space="preserve">        </w:t>
      </w:r>
      <w:r>
        <w:rPr>
          <w:rFonts w:hint="eastAsia" w:ascii="宋体" w:hAnsi="宋体" w:cs="宋体"/>
          <w:b/>
          <w:color w:val="auto"/>
          <w:highlight w:val="none"/>
          <w:u w:val="single"/>
        </w:rPr>
        <w:t>任务</w:t>
      </w:r>
      <w:r>
        <w:rPr>
          <w:rFonts w:hint="eastAsia" w:ascii="宋体" w:hAnsi="宋体" w:cs="宋体"/>
          <w:color w:val="auto"/>
          <w:highlight w:val="none"/>
        </w:rPr>
        <w:t>，还负责管理的职责。若联合体成员方违约时，主办方应承担连带责任，具体按合同要求。</w:t>
      </w:r>
    </w:p>
    <w:p w14:paraId="75825FA6">
      <w:pPr>
        <w:topLinePunct/>
        <w:spacing w:line="360" w:lineRule="auto"/>
        <w:ind w:firstLine="420" w:firstLineChars="200"/>
        <w:rPr>
          <w:rFonts w:ascii="宋体" w:hAnsi="宋体" w:cs="宋体"/>
          <w:color w:val="auto"/>
          <w:highlight w:val="none"/>
        </w:rPr>
      </w:pPr>
      <w:r>
        <w:rPr>
          <w:rFonts w:hint="eastAsia" w:ascii="宋体" w:hAnsi="宋体" w:cs="宋体"/>
          <w:color w:val="auto"/>
          <w:highlight w:val="none"/>
          <w:u w:val="single"/>
        </w:rPr>
        <w:t>②             ：</w:t>
      </w:r>
      <w:r>
        <w:rPr>
          <w:rFonts w:hint="eastAsia" w:ascii="宋体" w:hAnsi="宋体" w:cs="宋体"/>
          <w:color w:val="auto"/>
          <w:highlight w:val="none"/>
        </w:rPr>
        <w:t>为本项目的成员方，具体负责</w:t>
      </w:r>
      <w:r>
        <w:rPr>
          <w:rFonts w:hint="eastAsia" w:ascii="宋体" w:hAnsi="宋体" w:cs="宋体"/>
          <w:color w:val="auto"/>
          <w:highlight w:val="none"/>
          <w:u w:val="single"/>
        </w:rPr>
        <w:t xml:space="preserve">   （项目名称）   </w:t>
      </w:r>
      <w:r>
        <w:rPr>
          <w:rFonts w:hint="eastAsia" w:ascii="宋体" w:hAnsi="宋体" w:cs="宋体"/>
          <w:color w:val="auto"/>
          <w:highlight w:val="none"/>
        </w:rPr>
        <w:t>的</w:t>
      </w:r>
      <w:r>
        <w:rPr>
          <w:rFonts w:hint="eastAsia" w:ascii="宋体" w:hAnsi="宋体" w:cs="宋体"/>
          <w:color w:val="auto"/>
          <w:highlight w:val="none"/>
          <w:u w:val="single"/>
        </w:rPr>
        <w:t xml:space="preserve">       </w:t>
      </w:r>
      <w:r>
        <w:rPr>
          <w:rFonts w:hint="eastAsia" w:ascii="宋体" w:hAnsi="宋体" w:cs="宋体"/>
          <w:b/>
          <w:color w:val="auto"/>
          <w:highlight w:val="none"/>
          <w:u w:val="single"/>
        </w:rPr>
        <w:t>任务</w:t>
      </w:r>
      <w:r>
        <w:rPr>
          <w:rFonts w:hint="eastAsia" w:ascii="宋体" w:hAnsi="宋体" w:cs="宋体"/>
          <w:color w:val="auto"/>
          <w:highlight w:val="none"/>
        </w:rPr>
        <w:t>，具体按合同要求。</w:t>
      </w:r>
    </w:p>
    <w:p w14:paraId="63D7E98C">
      <w:pPr>
        <w:snapToGrid w:val="0"/>
        <w:spacing w:line="360" w:lineRule="auto"/>
        <w:ind w:firstLine="420" w:firstLineChars="200"/>
        <w:rPr>
          <w:rFonts w:ascii="宋体" w:hAnsi="宋体"/>
          <w:color w:val="auto"/>
          <w:highlight w:val="none"/>
          <w:u w:val="single"/>
        </w:rPr>
      </w:pPr>
      <w:r>
        <w:rPr>
          <w:rFonts w:hint="eastAsia" w:ascii="宋体" w:hAnsi="宋体"/>
          <w:color w:val="auto"/>
          <w:highlight w:val="none"/>
        </w:rPr>
        <w:t>5. 其他。</w:t>
      </w:r>
      <w:r>
        <w:rPr>
          <w:rFonts w:hint="eastAsia" w:ascii="宋体" w:hAnsi="宋体"/>
          <w:color w:val="auto"/>
          <w:highlight w:val="none"/>
          <w:u w:val="single"/>
        </w:rPr>
        <w:t xml:space="preserve">                    </w:t>
      </w:r>
    </w:p>
    <w:p w14:paraId="5A380DC7">
      <w:pPr>
        <w:snapToGrid w:val="0"/>
        <w:spacing w:line="360" w:lineRule="auto"/>
        <w:ind w:firstLine="420" w:firstLineChars="200"/>
        <w:rPr>
          <w:rFonts w:ascii="宋体" w:hAnsi="宋体"/>
          <w:color w:val="auto"/>
          <w:highlight w:val="none"/>
        </w:rPr>
      </w:pPr>
      <w:r>
        <w:rPr>
          <w:rFonts w:hint="eastAsia" w:ascii="宋体" w:hAnsi="宋体"/>
          <w:color w:val="auto"/>
          <w:highlight w:val="none"/>
        </w:rPr>
        <w:t>6.本协议书自所有成员单位法定代表人签字或盖单位章之日起生效，合同履行完毕后自动失效。</w:t>
      </w:r>
    </w:p>
    <w:p w14:paraId="0B2DCE56">
      <w:pPr>
        <w:snapToGrid w:val="0"/>
        <w:spacing w:line="360" w:lineRule="auto"/>
        <w:ind w:firstLine="420" w:firstLineChars="200"/>
        <w:rPr>
          <w:rFonts w:ascii="宋体" w:hAnsi="宋体"/>
          <w:color w:val="auto"/>
          <w:highlight w:val="none"/>
        </w:rPr>
      </w:pPr>
    </w:p>
    <w:p w14:paraId="78167FB3">
      <w:pPr>
        <w:snapToGrid w:val="0"/>
        <w:spacing w:line="360" w:lineRule="auto"/>
        <w:ind w:firstLine="3255" w:firstLineChars="1550"/>
        <w:rPr>
          <w:rFonts w:ascii="宋体" w:hAnsi="宋体"/>
          <w:color w:val="auto"/>
          <w:highlight w:val="none"/>
        </w:rPr>
      </w:pPr>
      <w:r>
        <w:rPr>
          <w:rFonts w:hint="eastAsia" w:ascii="宋体" w:hAnsi="宋体"/>
          <w:color w:val="auto"/>
          <w:highlight w:val="none"/>
        </w:rPr>
        <w:t>联合体主办方名称：</w:t>
      </w:r>
      <w:r>
        <w:rPr>
          <w:rFonts w:hint="eastAsia" w:ascii="宋体" w:hAnsi="宋体"/>
          <w:color w:val="auto"/>
          <w:szCs w:val="21"/>
          <w:highlight w:val="none"/>
          <w:u w:val="single"/>
        </w:rPr>
        <w:t xml:space="preserve">                  </w:t>
      </w:r>
      <w:r>
        <w:rPr>
          <w:rFonts w:hint="eastAsia" w:ascii="宋体" w:hAnsi="宋体"/>
          <w:color w:val="auto"/>
          <w:highlight w:val="none"/>
        </w:rPr>
        <w:t>（盖单位章）</w:t>
      </w:r>
    </w:p>
    <w:p w14:paraId="686E1272">
      <w:pPr>
        <w:snapToGrid w:val="0"/>
        <w:spacing w:line="360" w:lineRule="auto"/>
        <w:ind w:firstLine="3255" w:firstLineChars="1550"/>
        <w:rPr>
          <w:rFonts w:ascii="宋体" w:hAnsi="宋体"/>
          <w:color w:val="auto"/>
          <w:highlight w:val="none"/>
        </w:rPr>
      </w:pPr>
      <w:r>
        <w:rPr>
          <w:rFonts w:hint="eastAsia" w:ascii="宋体" w:hAnsi="宋体"/>
          <w:color w:val="auto"/>
          <w:highlight w:val="none"/>
        </w:rPr>
        <w:t>法定代表人：</w:t>
      </w:r>
      <w:r>
        <w:rPr>
          <w:rFonts w:hint="eastAsia" w:ascii="宋体" w:hAnsi="宋体"/>
          <w:color w:val="auto"/>
          <w:szCs w:val="21"/>
          <w:highlight w:val="none"/>
          <w:u w:val="single"/>
        </w:rPr>
        <w:t xml:space="preserve">         </w:t>
      </w:r>
      <w:r>
        <w:rPr>
          <w:rFonts w:hint="eastAsia" w:ascii="宋体" w:hAnsi="宋体"/>
          <w:color w:val="auto"/>
          <w:highlight w:val="none"/>
        </w:rPr>
        <w:t>（签字或盖章）</w:t>
      </w:r>
    </w:p>
    <w:p w14:paraId="5D758D19">
      <w:pPr>
        <w:snapToGrid w:val="0"/>
        <w:spacing w:line="360" w:lineRule="auto"/>
        <w:ind w:firstLine="3255" w:firstLineChars="1550"/>
        <w:rPr>
          <w:rFonts w:ascii="宋体" w:hAnsi="宋体"/>
          <w:color w:val="auto"/>
          <w:highlight w:val="none"/>
        </w:rPr>
      </w:pPr>
    </w:p>
    <w:p w14:paraId="1BBB8658">
      <w:pPr>
        <w:snapToGrid w:val="0"/>
        <w:spacing w:line="360" w:lineRule="auto"/>
        <w:ind w:firstLine="3255" w:firstLineChars="1550"/>
        <w:rPr>
          <w:rFonts w:ascii="宋体" w:hAnsi="宋体"/>
          <w:color w:val="auto"/>
          <w:highlight w:val="none"/>
        </w:rPr>
      </w:pPr>
      <w:r>
        <w:rPr>
          <w:rFonts w:hint="eastAsia" w:ascii="宋体" w:hAnsi="宋体"/>
          <w:color w:val="auto"/>
          <w:highlight w:val="none"/>
        </w:rPr>
        <w:t>联合体成员名称：</w:t>
      </w:r>
      <w:r>
        <w:rPr>
          <w:rFonts w:hint="eastAsia" w:ascii="宋体" w:hAnsi="宋体"/>
          <w:color w:val="auto"/>
          <w:szCs w:val="21"/>
          <w:highlight w:val="none"/>
          <w:u w:val="single"/>
        </w:rPr>
        <w:t xml:space="preserve">                    </w:t>
      </w:r>
      <w:r>
        <w:rPr>
          <w:rFonts w:hint="eastAsia" w:ascii="宋体" w:hAnsi="宋体"/>
          <w:color w:val="auto"/>
          <w:highlight w:val="none"/>
        </w:rPr>
        <w:t>（盖单位章）</w:t>
      </w:r>
    </w:p>
    <w:p w14:paraId="5A4EA9F2">
      <w:pPr>
        <w:snapToGrid w:val="0"/>
        <w:spacing w:line="360" w:lineRule="auto"/>
        <w:ind w:firstLine="3255" w:firstLineChars="1550"/>
        <w:rPr>
          <w:rFonts w:ascii="宋体" w:hAnsi="宋体"/>
          <w:color w:val="auto"/>
          <w:highlight w:val="none"/>
        </w:rPr>
      </w:pPr>
      <w:r>
        <w:rPr>
          <w:rFonts w:hint="eastAsia" w:ascii="宋体" w:hAnsi="宋体"/>
          <w:color w:val="auto"/>
          <w:highlight w:val="none"/>
        </w:rPr>
        <w:t>法定代表人：</w:t>
      </w:r>
      <w:r>
        <w:rPr>
          <w:rFonts w:hint="eastAsia" w:ascii="宋体" w:hAnsi="宋体"/>
          <w:color w:val="auto"/>
          <w:szCs w:val="21"/>
          <w:highlight w:val="none"/>
          <w:u w:val="single"/>
        </w:rPr>
        <w:t xml:space="preserve">         </w:t>
      </w:r>
      <w:r>
        <w:rPr>
          <w:rFonts w:hint="eastAsia" w:ascii="宋体" w:hAnsi="宋体"/>
          <w:color w:val="auto"/>
          <w:highlight w:val="none"/>
        </w:rPr>
        <w:t>（签字或盖章）</w:t>
      </w:r>
    </w:p>
    <w:p w14:paraId="0C99D180">
      <w:pPr>
        <w:snapToGrid w:val="0"/>
        <w:spacing w:line="360" w:lineRule="auto"/>
        <w:ind w:firstLine="3255" w:firstLineChars="1550"/>
        <w:rPr>
          <w:rFonts w:ascii="宋体" w:hAnsi="宋体"/>
          <w:color w:val="auto"/>
          <w:highlight w:val="none"/>
        </w:rPr>
      </w:pPr>
    </w:p>
    <w:p w14:paraId="1DE4CC81">
      <w:pPr>
        <w:widowControl/>
        <w:spacing w:line="360" w:lineRule="auto"/>
        <w:jc w:val="left"/>
        <w:rPr>
          <w:rFonts w:ascii="宋体" w:hAnsi="宋体" w:cs="宋体"/>
          <w:color w:val="auto"/>
          <w:sz w:val="24"/>
          <w:szCs w:val="24"/>
          <w:highlight w:val="none"/>
        </w:rPr>
      </w:pPr>
      <w:r>
        <w:rPr>
          <w:rFonts w:hint="eastAsia" w:ascii="宋体" w:hAnsi="宋体" w:cs="宋体"/>
          <w:b/>
          <w:bCs/>
          <w:color w:val="auto"/>
          <w:szCs w:val="21"/>
          <w:highlight w:val="none"/>
          <w:u w:val="single"/>
          <w:lang w:val="zh-CN"/>
        </w:rPr>
        <w:t>注：非联合体投标的，无需提交本协议书。</w:t>
      </w:r>
    </w:p>
    <w:p w14:paraId="703BD20E">
      <w:pPr>
        <w:widowControl/>
        <w:spacing w:line="360" w:lineRule="auto"/>
        <w:jc w:val="left"/>
        <w:rPr>
          <w:color w:val="auto"/>
          <w:highlight w:val="none"/>
        </w:rPr>
      </w:pPr>
    </w:p>
    <w:p w14:paraId="02A6335E">
      <w:pPr>
        <w:rPr>
          <w:color w:val="auto"/>
          <w:highlight w:val="none"/>
        </w:rPr>
      </w:pPr>
    </w:p>
    <w:sectPr>
      <w:footerReference r:id="rId3" w:type="default"/>
      <w:pgSz w:w="11906" w:h="16838"/>
      <w:pgMar w:top="1440" w:right="1800" w:bottom="1440" w:left="16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listo MT">
    <w:altName w:val="Segoe Print"/>
    <w:panose1 w:val="02040603050505030304"/>
    <w:charset w:val="00"/>
    <w:family w:val="roman"/>
    <w:pitch w:val="default"/>
    <w:sig w:usb0="00000000" w:usb1="00000000" w:usb2="00000000"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706F3D">
    <w:pPr>
      <w:pStyle w:val="10"/>
      <w:jc w:val="center"/>
    </w:pPr>
    <w:r>
      <w:fldChar w:fldCharType="begin"/>
    </w:r>
    <w:r>
      <w:instrText xml:space="preserve">PAGE   \* MERGEFORMAT</w:instrText>
    </w:r>
    <w:r>
      <w:fldChar w:fldCharType="separate"/>
    </w:r>
    <w:r>
      <w:rPr>
        <w:lang w:val="zh-CN"/>
      </w:rPr>
      <w:t>1</w:t>
    </w:r>
    <w:r>
      <w:fldChar w:fldCharType="end"/>
    </w:r>
  </w:p>
  <w:p w14:paraId="2EB98793">
    <w:pPr>
      <w:pStyle w:val="1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1AC524"/>
    <w:multiLevelType w:val="singleLevel"/>
    <w:tmpl w:val="D01AC524"/>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hlMzA2ZDAzMjI2Mzg3ZDdjN2IzMmRjNmU0OWIyNGIifQ=="/>
  </w:docVars>
  <w:rsids>
    <w:rsidRoot w:val="04BC781C"/>
    <w:rsid w:val="000035BA"/>
    <w:rsid w:val="00093440"/>
    <w:rsid w:val="000F3F60"/>
    <w:rsid w:val="00115897"/>
    <w:rsid w:val="001B61F2"/>
    <w:rsid w:val="00287709"/>
    <w:rsid w:val="00302F38"/>
    <w:rsid w:val="00353D61"/>
    <w:rsid w:val="003D64E2"/>
    <w:rsid w:val="00473B2B"/>
    <w:rsid w:val="0047723A"/>
    <w:rsid w:val="00495EB3"/>
    <w:rsid w:val="005F52D9"/>
    <w:rsid w:val="008176A6"/>
    <w:rsid w:val="00831BEF"/>
    <w:rsid w:val="00855730"/>
    <w:rsid w:val="008824EB"/>
    <w:rsid w:val="00892182"/>
    <w:rsid w:val="00893D07"/>
    <w:rsid w:val="008D513F"/>
    <w:rsid w:val="009F0B48"/>
    <w:rsid w:val="00A24E7F"/>
    <w:rsid w:val="00AC5B4F"/>
    <w:rsid w:val="00B27C85"/>
    <w:rsid w:val="00C065E8"/>
    <w:rsid w:val="00C77B13"/>
    <w:rsid w:val="00D7384B"/>
    <w:rsid w:val="00D90DB0"/>
    <w:rsid w:val="00DF5B58"/>
    <w:rsid w:val="00ED0CBF"/>
    <w:rsid w:val="00F01AAF"/>
    <w:rsid w:val="00F070B9"/>
    <w:rsid w:val="00F55F8B"/>
    <w:rsid w:val="00FD6991"/>
    <w:rsid w:val="02F673EF"/>
    <w:rsid w:val="04BC781C"/>
    <w:rsid w:val="054C5E5E"/>
    <w:rsid w:val="070151D4"/>
    <w:rsid w:val="0A4E393A"/>
    <w:rsid w:val="14FF0AE0"/>
    <w:rsid w:val="16873B19"/>
    <w:rsid w:val="18A358BC"/>
    <w:rsid w:val="18E001CA"/>
    <w:rsid w:val="199E7715"/>
    <w:rsid w:val="19D00473"/>
    <w:rsid w:val="1EEF2594"/>
    <w:rsid w:val="1FE91D68"/>
    <w:rsid w:val="1FF80C30"/>
    <w:rsid w:val="210026E6"/>
    <w:rsid w:val="22911907"/>
    <w:rsid w:val="24B0317D"/>
    <w:rsid w:val="28A90800"/>
    <w:rsid w:val="2ABA62BC"/>
    <w:rsid w:val="2B7128C3"/>
    <w:rsid w:val="2BD71E56"/>
    <w:rsid w:val="2F675649"/>
    <w:rsid w:val="32F558CF"/>
    <w:rsid w:val="332E2CD1"/>
    <w:rsid w:val="37215341"/>
    <w:rsid w:val="3B911029"/>
    <w:rsid w:val="44933B0C"/>
    <w:rsid w:val="44FA1655"/>
    <w:rsid w:val="45BD7C6C"/>
    <w:rsid w:val="491F5C98"/>
    <w:rsid w:val="4B0F33DA"/>
    <w:rsid w:val="50D11448"/>
    <w:rsid w:val="50F47C38"/>
    <w:rsid w:val="519651E6"/>
    <w:rsid w:val="545B29F3"/>
    <w:rsid w:val="54C238D1"/>
    <w:rsid w:val="5697353F"/>
    <w:rsid w:val="56CE3AA9"/>
    <w:rsid w:val="57EA55EA"/>
    <w:rsid w:val="591F49A8"/>
    <w:rsid w:val="59AC611F"/>
    <w:rsid w:val="59DF7A8E"/>
    <w:rsid w:val="5D2B1698"/>
    <w:rsid w:val="5FBC3384"/>
    <w:rsid w:val="61D11302"/>
    <w:rsid w:val="6453516F"/>
    <w:rsid w:val="69171464"/>
    <w:rsid w:val="6AE53353"/>
    <w:rsid w:val="78761C2D"/>
    <w:rsid w:val="7CEF11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2"/>
    <w:next w:val="1"/>
    <w:qFormat/>
    <w:uiPriority w:val="0"/>
    <w:pPr>
      <w:keepNext/>
      <w:keepLines/>
      <w:widowControl w:val="0"/>
      <w:spacing w:before="260" w:after="260" w:line="412" w:lineRule="auto"/>
      <w:jc w:val="both"/>
      <w:outlineLvl w:val="1"/>
    </w:pPr>
    <w:rPr>
      <w:rFonts w:ascii="Arial" w:hAnsi="Arial" w:eastAsia="黑体" w:cs="Times New Roman"/>
      <w:b/>
      <w:sz w:val="32"/>
      <w:lang w:val="en-US" w:eastAsia="zh-CN" w:bidi="ar-SA"/>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customStyle="1" w:styleId="2">
    <w:name w:val="_Style 3"/>
    <w:qFormat/>
    <w:uiPriority w:val="1"/>
    <w:pPr>
      <w:widowControl w:val="0"/>
      <w:jc w:val="both"/>
    </w:pPr>
    <w:rPr>
      <w:rFonts w:ascii="Calibri" w:hAnsi="Calibri" w:eastAsia="宋体" w:cs="Times New Roman"/>
      <w:kern w:val="2"/>
      <w:sz w:val="21"/>
      <w:szCs w:val="22"/>
      <w:lang w:val="en-US" w:eastAsia="zh-CN" w:bidi="ar-SA"/>
    </w:rPr>
  </w:style>
  <w:style w:type="paragraph" w:styleId="4">
    <w:name w:val="Normal Indent"/>
    <w:basedOn w:val="1"/>
    <w:next w:val="1"/>
    <w:qFormat/>
    <w:uiPriority w:val="0"/>
    <w:pPr>
      <w:ind w:firstLine="420"/>
    </w:pPr>
    <w:rPr>
      <w:rFonts w:ascii="Times New Roman" w:hAnsi="Times New Roman"/>
      <w:szCs w:val="20"/>
    </w:rPr>
  </w:style>
  <w:style w:type="paragraph" w:styleId="5">
    <w:name w:val="annotation text"/>
    <w:basedOn w:val="1"/>
    <w:qFormat/>
    <w:uiPriority w:val="0"/>
    <w:pPr>
      <w:jc w:val="left"/>
    </w:pPr>
  </w:style>
  <w:style w:type="paragraph" w:styleId="6">
    <w:name w:val="Body Text 3"/>
    <w:qFormat/>
    <w:uiPriority w:val="0"/>
    <w:pPr>
      <w:widowControl w:val="0"/>
      <w:jc w:val="both"/>
    </w:pPr>
    <w:rPr>
      <w:rFonts w:ascii="宋体" w:hAnsi="Calibri" w:eastAsia="宋体" w:cs="Times New Roman"/>
      <w:kern w:val="2"/>
      <w:sz w:val="24"/>
      <w:lang w:val="en-US" w:eastAsia="zh-CN" w:bidi="ar-SA"/>
    </w:rPr>
  </w:style>
  <w:style w:type="paragraph" w:styleId="7">
    <w:name w:val="Body Text"/>
    <w:qFormat/>
    <w:uiPriority w:val="0"/>
    <w:pPr>
      <w:widowControl w:val="0"/>
      <w:spacing w:after="120"/>
      <w:jc w:val="both"/>
    </w:pPr>
    <w:rPr>
      <w:rFonts w:ascii="Times New Roman" w:hAnsi="Times New Roman" w:eastAsia="宋体" w:cs="Times New Roman"/>
      <w:lang w:val="en-US" w:eastAsia="zh-CN" w:bidi="ar-SA"/>
    </w:rPr>
  </w:style>
  <w:style w:type="paragraph" w:styleId="8">
    <w:name w:val="Plain Text"/>
    <w:qFormat/>
    <w:uiPriority w:val="0"/>
    <w:pPr>
      <w:widowControl w:val="0"/>
      <w:jc w:val="both"/>
    </w:pPr>
    <w:rPr>
      <w:rFonts w:ascii="宋体" w:hAnsi="Calibri" w:eastAsia="宋体" w:cs="Times New Roman"/>
      <w:kern w:val="2"/>
      <w:sz w:val="21"/>
      <w:szCs w:val="22"/>
      <w:lang w:val="en-US" w:eastAsia="zh-CN" w:bidi="ar-SA"/>
    </w:rPr>
  </w:style>
  <w:style w:type="paragraph" w:styleId="9">
    <w:name w:val="Balloon Text"/>
    <w:basedOn w:val="1"/>
    <w:link w:val="16"/>
    <w:qFormat/>
    <w:uiPriority w:val="0"/>
    <w:rPr>
      <w:sz w:val="18"/>
      <w:szCs w:val="18"/>
    </w:rPr>
  </w:style>
  <w:style w:type="paragraph" w:styleId="10">
    <w:name w:val="footer"/>
    <w:qFormat/>
    <w:uiPriority w:val="0"/>
    <w:pPr>
      <w:widowControl w:val="0"/>
      <w:tabs>
        <w:tab w:val="center" w:pos="4153"/>
        <w:tab w:val="right" w:pos="8306"/>
      </w:tabs>
      <w:snapToGrid w:val="0"/>
    </w:pPr>
    <w:rPr>
      <w:rFonts w:ascii="Times New Roman" w:hAnsi="Times New Roman" w:eastAsia="宋体" w:cs="Times New Roman"/>
      <w:sz w:val="18"/>
      <w:szCs w:val="18"/>
      <w:lang w:val="en-US" w:eastAsia="zh-CN" w:bidi="ar-SA"/>
    </w:rPr>
  </w:style>
  <w:style w:type="paragraph" w:styleId="11">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12">
    <w:name w:val="Body Text First Indent"/>
    <w:qFormat/>
    <w:uiPriority w:val="0"/>
    <w:pPr>
      <w:widowControl w:val="0"/>
      <w:spacing w:after="120"/>
      <w:ind w:firstLine="420" w:firstLineChars="100"/>
      <w:jc w:val="both"/>
    </w:pPr>
    <w:rPr>
      <w:rFonts w:ascii="Times New Roman" w:hAnsi="Times New Roman" w:eastAsia="宋体" w:cs="Times New Roman"/>
      <w:kern w:val="2"/>
      <w:sz w:val="21"/>
      <w:szCs w:val="22"/>
      <w:lang w:val="en-US" w:eastAsia="zh-CN" w:bidi="ar-SA"/>
    </w:rPr>
  </w:style>
  <w:style w:type="paragraph" w:customStyle="1" w:styleId="15">
    <w:name w:val="公文正文"/>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character" w:customStyle="1" w:styleId="16">
    <w:name w:val="批注框文本 Char"/>
    <w:basedOn w:val="14"/>
    <w:link w:val="9"/>
    <w:qFormat/>
    <w:uiPriority w:val="0"/>
    <w:rPr>
      <w:rFonts w:ascii="Times New Roman" w:hAnsi="Times New Roman" w:eastAsia="宋体" w:cs="Times New Roman"/>
      <w:kern w:val="2"/>
      <w:sz w:val="18"/>
      <w:szCs w:val="18"/>
    </w:rPr>
  </w:style>
  <w:style w:type="character" w:customStyle="1" w:styleId="17">
    <w:name w:val="页眉 Char"/>
    <w:basedOn w:val="14"/>
    <w:link w:val="11"/>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6895</Words>
  <Characters>7293</Characters>
  <Lines>60</Lines>
  <Paragraphs>17</Paragraphs>
  <TotalTime>23</TotalTime>
  <ScaleCrop>false</ScaleCrop>
  <LinksUpToDate>false</LinksUpToDate>
  <CharactersWithSpaces>7778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2025-03-18T02:52:00Z</dcterms:created>
  <dc:creator>Administrator</dc:creator>
  <cp:lastModifiedBy>小娴</cp:lastModifiedBy>
  <cp:lastPrinted>2025-03-25T07:42:00Z</cp:lastPrinted>
  <dcterms:modified xsi:type="dcterms:W3CDTF">2025-07-02T07:21:28Z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FF52B5ADE39C430BB30085C4056C663B_13</vt:lpwstr>
  </property>
  <property fmtid="{D5CDD505-2E9C-101B-9397-08002B2CF9AE}" pid="4" name="KSOTemplateDocerSaveRecord">
    <vt:lpwstr>eyJoZGlkIjoiYjNkOGQwY2ZiYWY0ZTJmZTkwMDZlNmYwYzczYWZjMGEiLCJ1c2VySWQiOiI1MTk3MDM5MTAifQ==</vt:lpwstr>
  </property>
</Properties>
</file>