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2D849">
      <w:pPr>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黑体" w:cs="宋体"/>
          <w:b/>
          <w:bCs/>
          <w:color w:val="auto"/>
          <w:sz w:val="48"/>
          <w:szCs w:val="48"/>
          <w:highlight w:val="none"/>
          <w:lang w:eastAsia="zh-CN"/>
        </w:rPr>
        <w:t>智造创新园石碁镇380亩官涌地块配套道路检测、监测服务</w:t>
      </w:r>
    </w:p>
    <w:p w14:paraId="0C1D942C">
      <w:pPr>
        <w:spacing w:line="360" w:lineRule="auto"/>
        <w:rPr>
          <w:rFonts w:ascii="宋体" w:hAnsi="宋体" w:cs="宋体"/>
          <w:color w:val="auto"/>
          <w:sz w:val="28"/>
          <w:szCs w:val="28"/>
          <w:highlight w:val="none"/>
        </w:rPr>
      </w:pPr>
    </w:p>
    <w:p w14:paraId="426CC9D1">
      <w:pPr>
        <w:spacing w:line="360" w:lineRule="auto"/>
        <w:rPr>
          <w:rFonts w:ascii="宋体" w:hAnsi="宋体" w:cs="宋体"/>
          <w:color w:val="auto"/>
          <w:sz w:val="36"/>
          <w:szCs w:val="36"/>
          <w:highlight w:val="none"/>
        </w:rPr>
      </w:pPr>
    </w:p>
    <w:p w14:paraId="65BE2DE1">
      <w:pPr>
        <w:spacing w:line="360" w:lineRule="auto"/>
        <w:rPr>
          <w:rFonts w:ascii="宋体" w:hAnsi="宋体" w:cs="宋体"/>
          <w:color w:val="auto"/>
          <w:highlight w:val="none"/>
        </w:rPr>
      </w:pPr>
    </w:p>
    <w:p w14:paraId="38072ECF">
      <w:pPr>
        <w:spacing w:line="360" w:lineRule="auto"/>
        <w:rPr>
          <w:rFonts w:ascii="宋体" w:hAnsi="宋体" w:cs="宋体"/>
          <w:color w:val="auto"/>
          <w:highlight w:val="none"/>
        </w:rPr>
      </w:pPr>
    </w:p>
    <w:p w14:paraId="589B1AA1">
      <w:pPr>
        <w:spacing w:line="360" w:lineRule="auto"/>
        <w:rPr>
          <w:rFonts w:ascii="宋体" w:hAnsi="宋体" w:cs="宋体"/>
          <w:color w:val="auto"/>
          <w:sz w:val="28"/>
          <w:szCs w:val="28"/>
          <w:highlight w:val="none"/>
        </w:rPr>
      </w:pPr>
    </w:p>
    <w:p w14:paraId="30A64A80">
      <w:pPr>
        <w:pStyle w:val="8"/>
        <w:spacing w:line="360" w:lineRule="auto"/>
        <w:rPr>
          <w:rFonts w:hAnsi="宋体" w:cs="宋体"/>
          <w:color w:val="auto"/>
          <w:sz w:val="28"/>
          <w:szCs w:val="28"/>
          <w:highlight w:val="none"/>
        </w:rPr>
      </w:pPr>
    </w:p>
    <w:p w14:paraId="77A1231D">
      <w:pPr>
        <w:spacing w:line="360" w:lineRule="auto"/>
        <w:rPr>
          <w:rFonts w:ascii="宋体" w:hAnsi="宋体" w:cs="宋体"/>
          <w:color w:val="auto"/>
          <w:sz w:val="28"/>
          <w:highlight w:val="none"/>
        </w:rPr>
      </w:pPr>
    </w:p>
    <w:p w14:paraId="467FF085">
      <w:pPr>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招标公告</w:t>
      </w:r>
    </w:p>
    <w:p w14:paraId="23B5E3DD">
      <w:pPr>
        <w:spacing w:line="360" w:lineRule="auto"/>
        <w:rPr>
          <w:rFonts w:ascii="宋体" w:hAnsi="宋体" w:cs="宋体"/>
          <w:color w:val="auto"/>
          <w:highlight w:val="none"/>
        </w:rPr>
      </w:pPr>
    </w:p>
    <w:p w14:paraId="42603310">
      <w:pPr>
        <w:spacing w:line="360" w:lineRule="auto"/>
        <w:rPr>
          <w:rFonts w:ascii="宋体" w:hAnsi="宋体" w:cs="宋体"/>
          <w:color w:val="auto"/>
          <w:highlight w:val="none"/>
        </w:rPr>
      </w:pPr>
    </w:p>
    <w:p w14:paraId="08E662AC">
      <w:pPr>
        <w:spacing w:line="360" w:lineRule="auto"/>
        <w:rPr>
          <w:rFonts w:ascii="宋体" w:hAnsi="宋体" w:cs="宋体"/>
          <w:color w:val="auto"/>
          <w:highlight w:val="none"/>
        </w:rPr>
      </w:pPr>
    </w:p>
    <w:p w14:paraId="192120A9">
      <w:pPr>
        <w:spacing w:line="360" w:lineRule="auto"/>
        <w:rPr>
          <w:rFonts w:ascii="宋体" w:hAnsi="宋体" w:cs="宋体"/>
          <w:color w:val="auto"/>
          <w:highlight w:val="none"/>
        </w:rPr>
      </w:pPr>
    </w:p>
    <w:p w14:paraId="53B64CE1">
      <w:pPr>
        <w:pStyle w:val="12"/>
        <w:spacing w:line="360" w:lineRule="auto"/>
        <w:ind w:firstLine="210"/>
        <w:rPr>
          <w:rFonts w:ascii="宋体" w:hAnsi="宋体"/>
          <w:color w:val="auto"/>
          <w:highlight w:val="none"/>
        </w:rPr>
      </w:pPr>
    </w:p>
    <w:p w14:paraId="1C71F02D">
      <w:pPr>
        <w:pStyle w:val="12"/>
        <w:spacing w:line="360" w:lineRule="auto"/>
        <w:ind w:firstLine="210"/>
        <w:rPr>
          <w:rFonts w:ascii="宋体" w:hAnsi="宋体"/>
          <w:color w:val="auto"/>
          <w:highlight w:val="none"/>
        </w:rPr>
      </w:pPr>
    </w:p>
    <w:p w14:paraId="199D2B79">
      <w:pPr>
        <w:spacing w:line="360" w:lineRule="auto"/>
        <w:rPr>
          <w:rFonts w:ascii="宋体" w:hAnsi="宋体" w:cs="宋体"/>
          <w:color w:val="auto"/>
          <w:highlight w:val="none"/>
        </w:rPr>
      </w:pPr>
    </w:p>
    <w:p w14:paraId="2341E576">
      <w:pPr>
        <w:spacing w:line="360" w:lineRule="auto"/>
        <w:ind w:left="2564" w:leftChars="456" w:hanging="1606" w:hangingChars="50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招标单位：</w:t>
      </w:r>
      <w:r>
        <w:rPr>
          <w:rFonts w:hint="eastAsia" w:ascii="宋体" w:hAnsi="宋体" w:cs="宋体"/>
          <w:b/>
          <w:bCs/>
          <w:color w:val="auto"/>
          <w:sz w:val="32"/>
          <w:szCs w:val="32"/>
          <w:highlight w:val="none"/>
          <w:lang w:eastAsia="zh-CN"/>
        </w:rPr>
        <w:t>(主)广州番禺产投建设管理有限公司</w:t>
      </w:r>
    </w:p>
    <w:p w14:paraId="50570167">
      <w:pPr>
        <w:spacing w:line="360" w:lineRule="auto"/>
        <w:ind w:left="2554" w:leftChars="1216" w:firstLine="0" w:firstLineChars="0"/>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lang w:eastAsia="zh-CN"/>
        </w:rPr>
        <w:t>(成)广州市盈泰房地产有限公司</w:t>
      </w:r>
    </w:p>
    <w:p w14:paraId="633175F6">
      <w:pPr>
        <w:spacing w:line="360" w:lineRule="auto"/>
        <w:ind w:firstLine="945"/>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招标代理单位：</w:t>
      </w:r>
      <w:r>
        <w:rPr>
          <w:rFonts w:hint="eastAsia" w:ascii="宋体" w:hAnsi="宋体" w:cs="宋体"/>
          <w:b/>
          <w:color w:val="auto"/>
          <w:kern w:val="0"/>
          <w:sz w:val="32"/>
          <w:szCs w:val="32"/>
          <w:highlight w:val="none"/>
          <w:lang w:eastAsia="zh-CN"/>
        </w:rPr>
        <w:t>广东华建兴工程管理有限公司</w:t>
      </w:r>
    </w:p>
    <w:p w14:paraId="64C8E594">
      <w:pPr>
        <w:spacing w:line="360" w:lineRule="auto"/>
        <w:ind w:firstLine="945"/>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rPr>
        <w:t>20</w:t>
      </w:r>
      <w:r>
        <w:rPr>
          <w:rFonts w:hint="eastAsia" w:ascii="宋体" w:hAnsi="宋体" w:cs="宋体"/>
          <w:b/>
          <w:bCs/>
          <w:color w:val="auto"/>
          <w:sz w:val="32"/>
          <w:szCs w:val="32"/>
          <w:highlight w:val="none"/>
        </w:rPr>
        <w:t>25年</w:t>
      </w: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月</w:t>
      </w:r>
    </w:p>
    <w:p w14:paraId="26C35669">
      <w:pPr>
        <w:spacing w:line="360" w:lineRule="auto"/>
        <w:jc w:val="center"/>
        <w:rPr>
          <w:rFonts w:ascii="宋体" w:hAnsi="宋体" w:cs="宋体"/>
          <w:color w:val="auto"/>
          <w:sz w:val="28"/>
          <w:highlight w:val="none"/>
        </w:rPr>
      </w:pPr>
    </w:p>
    <w:p w14:paraId="06B9F951">
      <w:pPr>
        <w:tabs>
          <w:tab w:val="left" w:pos="2130"/>
        </w:tabs>
        <w:spacing w:line="360" w:lineRule="auto"/>
        <w:rPr>
          <w:rFonts w:eastAsia="黑体"/>
          <w:color w:val="auto"/>
          <w:sz w:val="32"/>
          <w:szCs w:val="32"/>
          <w:highlight w:val="none"/>
        </w:rPr>
      </w:pPr>
    </w:p>
    <w:p w14:paraId="1E44AD4D">
      <w:pPr>
        <w:spacing w:line="360" w:lineRule="auto"/>
        <w:jc w:val="center"/>
        <w:rPr>
          <w:rFonts w:eastAsia="黑体"/>
          <w:color w:val="auto"/>
          <w:sz w:val="32"/>
          <w:szCs w:val="32"/>
          <w:highlight w:val="none"/>
          <w:u w:val="single"/>
        </w:rPr>
      </w:pPr>
      <w:r>
        <w:rPr>
          <w:rFonts w:eastAsia="黑体"/>
          <w:color w:val="auto"/>
          <w:sz w:val="32"/>
          <w:szCs w:val="32"/>
          <w:highlight w:val="none"/>
        </w:rPr>
        <w:br w:type="page"/>
      </w:r>
      <w:r>
        <w:rPr>
          <w:rFonts w:hint="eastAsia" w:eastAsia="黑体"/>
          <w:color w:val="auto"/>
          <w:sz w:val="32"/>
          <w:szCs w:val="32"/>
          <w:highlight w:val="none"/>
          <w:lang w:eastAsia="zh-CN"/>
        </w:rPr>
        <w:t>智造创新园石碁镇380亩官涌地块配套道路检测、监测服务</w:t>
      </w:r>
      <w:r>
        <w:rPr>
          <w:rFonts w:eastAsia="黑体"/>
          <w:color w:val="auto"/>
          <w:sz w:val="32"/>
          <w:szCs w:val="32"/>
          <w:highlight w:val="none"/>
        </w:rPr>
        <w:t>招标公告</w:t>
      </w:r>
    </w:p>
    <w:p w14:paraId="68B71DC1">
      <w:pPr>
        <w:pStyle w:val="3"/>
        <w:keepNext w:val="0"/>
        <w:keepLines w:val="0"/>
        <w:spacing w:before="0" w:after="0" w:line="360" w:lineRule="auto"/>
        <w:rPr>
          <w:rFonts w:ascii="Times New Roman" w:hAnsi="Times New Roman"/>
          <w:color w:val="auto"/>
          <w:highlight w:val="none"/>
        </w:rPr>
      </w:pPr>
      <w:bookmarkStart w:id="0" w:name="_Toc511557025"/>
      <w:bookmarkStart w:id="1" w:name="_Toc514099623"/>
      <w:r>
        <w:rPr>
          <w:rFonts w:ascii="Times New Roman" w:hAnsi="Times New Roman"/>
          <w:color w:val="auto"/>
          <w:highlight w:val="none"/>
        </w:rPr>
        <w:t>1. 招标条件</w:t>
      </w:r>
      <w:bookmarkEnd w:id="0"/>
      <w:bookmarkEnd w:id="1"/>
    </w:p>
    <w:p w14:paraId="7944181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eastAsia="zh-CN"/>
        </w:rPr>
        <w:t>智造创新园石碁镇380亩官涌地块配套道路</w:t>
      </w:r>
      <w:r>
        <w:rPr>
          <w:rFonts w:ascii="宋体" w:hAnsi="宋体"/>
          <w:color w:val="auto"/>
          <w:sz w:val="24"/>
          <w:szCs w:val="24"/>
          <w:highlight w:val="none"/>
        </w:rPr>
        <w:t>已由</w:t>
      </w:r>
      <w:r>
        <w:rPr>
          <w:rFonts w:hint="eastAsia" w:ascii="宋体" w:hAnsi="宋体"/>
          <w:color w:val="auto"/>
          <w:sz w:val="24"/>
          <w:highlight w:val="none"/>
          <w:u w:val="single"/>
        </w:rPr>
        <w:t>穗番发改投批</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2024</w:t>
      </w:r>
      <w:r>
        <w:rPr>
          <w:rFonts w:hint="eastAsia" w:ascii="宋体" w:hAnsi="宋体"/>
          <w:color w:val="auto"/>
          <w:sz w:val="24"/>
          <w:highlight w:val="none"/>
          <w:u w:val="single"/>
          <w:lang w:val="en-US" w:eastAsia="zh-CN"/>
        </w:rPr>
        <w:t>]160</w:t>
      </w:r>
      <w:r>
        <w:rPr>
          <w:rFonts w:hint="eastAsia" w:ascii="宋体" w:hAnsi="宋体"/>
          <w:color w:val="auto"/>
          <w:sz w:val="24"/>
          <w:highlight w:val="none"/>
          <w:u w:val="single"/>
        </w:rPr>
        <w:t>号</w:t>
      </w:r>
      <w:r>
        <w:rPr>
          <w:rFonts w:ascii="宋体" w:hAnsi="宋体"/>
          <w:color w:val="auto"/>
          <w:sz w:val="24"/>
          <w:szCs w:val="24"/>
          <w:highlight w:val="none"/>
        </w:rPr>
        <w:t>批准建设，项目业主为</w:t>
      </w:r>
      <w:r>
        <w:rPr>
          <w:rFonts w:hint="eastAsia" w:ascii="宋体" w:hAnsi="宋体" w:cs="宋体"/>
          <w:color w:val="auto"/>
          <w:sz w:val="24"/>
          <w:szCs w:val="24"/>
          <w:highlight w:val="none"/>
          <w:u w:val="single"/>
        </w:rPr>
        <w:t>广州市番禺区基本建设投资管理中心</w:t>
      </w:r>
      <w:r>
        <w:rPr>
          <w:rFonts w:hint="eastAsia" w:ascii="宋体" w:hAnsi="宋体" w:cs="宋体"/>
          <w:color w:val="auto"/>
          <w:sz w:val="24"/>
          <w:szCs w:val="24"/>
          <w:highlight w:val="none"/>
          <w:lang w:val="zh-CN"/>
        </w:rPr>
        <w:t>，</w:t>
      </w:r>
      <w:r>
        <w:rPr>
          <w:rFonts w:ascii="宋体" w:hAnsi="宋体"/>
          <w:color w:val="auto"/>
          <w:sz w:val="24"/>
          <w:szCs w:val="24"/>
          <w:highlight w:val="none"/>
        </w:rPr>
        <w:t>建设资金来自</w:t>
      </w:r>
      <w:r>
        <w:rPr>
          <w:rFonts w:hint="eastAsia" w:ascii="宋体" w:hAnsi="宋体"/>
          <w:color w:val="auto"/>
          <w:sz w:val="24"/>
          <w:szCs w:val="24"/>
          <w:highlight w:val="none"/>
          <w:u w:val="single"/>
        </w:rPr>
        <w:t>财政资金</w:t>
      </w:r>
      <w:r>
        <w:rPr>
          <w:rFonts w:hint="eastAsia" w:ascii="宋体" w:hAnsi="宋体"/>
          <w:color w:val="auto"/>
          <w:sz w:val="24"/>
          <w:szCs w:val="24"/>
          <w:highlight w:val="none"/>
        </w:rPr>
        <w:t>。</w:t>
      </w:r>
      <w:r>
        <w:rPr>
          <w:rFonts w:ascii="宋体" w:hAnsi="宋体"/>
          <w:color w:val="auto"/>
          <w:sz w:val="24"/>
          <w:szCs w:val="24"/>
          <w:highlight w:val="none"/>
        </w:rPr>
        <w:t>出资比例为</w:t>
      </w:r>
      <w:r>
        <w:rPr>
          <w:rFonts w:hint="eastAsia" w:ascii="宋体" w:hAnsi="宋体"/>
          <w:color w:val="auto"/>
          <w:sz w:val="24"/>
          <w:szCs w:val="24"/>
          <w:highlight w:val="none"/>
          <w:u w:val="single"/>
        </w:rPr>
        <w:t>100%</w:t>
      </w:r>
      <w:r>
        <w:rPr>
          <w:rFonts w:ascii="宋体" w:hAnsi="宋体"/>
          <w:color w:val="auto"/>
          <w:sz w:val="24"/>
          <w:szCs w:val="24"/>
          <w:highlight w:val="none"/>
        </w:rPr>
        <w:t>，招标人为</w:t>
      </w:r>
      <w:r>
        <w:rPr>
          <w:rFonts w:hint="eastAsia" w:ascii="宋体" w:hAnsi="宋体" w:cs="宋体"/>
          <w:color w:val="auto"/>
          <w:sz w:val="24"/>
          <w:szCs w:val="24"/>
          <w:highlight w:val="none"/>
          <w:u w:val="single"/>
          <w:lang w:val="zh-CN"/>
        </w:rPr>
        <w:t>(主)广州番禺产投建设管理有限公司(成)广州市盈泰房地产有限公司</w:t>
      </w:r>
      <w:r>
        <w:rPr>
          <w:rFonts w:ascii="宋体" w:hAnsi="宋体"/>
          <w:color w:val="auto"/>
          <w:sz w:val="24"/>
          <w:szCs w:val="24"/>
          <w:highlight w:val="none"/>
        </w:rPr>
        <w:t>。项目已具备招标条件，现对该项目的</w:t>
      </w:r>
      <w:r>
        <w:rPr>
          <w:rFonts w:hint="eastAsia" w:ascii="宋体" w:hAnsi="宋体" w:cs="宋体"/>
          <w:color w:val="auto"/>
          <w:sz w:val="24"/>
          <w:highlight w:val="none"/>
          <w:u w:val="single"/>
        </w:rPr>
        <w:t>检测、监测服务项目</w:t>
      </w:r>
      <w:r>
        <w:rPr>
          <w:rFonts w:ascii="宋体" w:hAnsi="宋体"/>
          <w:color w:val="auto"/>
          <w:sz w:val="24"/>
          <w:szCs w:val="24"/>
          <w:highlight w:val="none"/>
        </w:rPr>
        <w:t>进行公开招标。</w:t>
      </w:r>
    </w:p>
    <w:p w14:paraId="2A977C4B">
      <w:pPr>
        <w:spacing w:line="360" w:lineRule="auto"/>
        <w:ind w:firstLine="480" w:firstLineChars="200"/>
        <w:rPr>
          <w:rFonts w:ascii="宋体" w:hAnsi="宋体"/>
          <w:color w:val="auto"/>
          <w:sz w:val="24"/>
          <w:szCs w:val="24"/>
          <w:highlight w:val="none"/>
        </w:rPr>
      </w:pPr>
    </w:p>
    <w:p w14:paraId="05CF1F77">
      <w:pPr>
        <w:pStyle w:val="3"/>
        <w:keepNext w:val="0"/>
        <w:keepLines w:val="0"/>
        <w:spacing w:before="0" w:after="0" w:line="360" w:lineRule="auto"/>
        <w:rPr>
          <w:rFonts w:ascii="Times New Roman" w:hAnsi="Times New Roman"/>
          <w:color w:val="auto"/>
          <w:highlight w:val="none"/>
        </w:rPr>
      </w:pPr>
      <w:bookmarkStart w:id="2" w:name="_Toc514099624"/>
      <w:bookmarkStart w:id="3" w:name="_Toc511557026"/>
      <w:r>
        <w:rPr>
          <w:rFonts w:ascii="Times New Roman" w:hAnsi="Times New Roman"/>
          <w:color w:val="auto"/>
          <w:highlight w:val="none"/>
        </w:rPr>
        <w:t>2. 项目概况与</w:t>
      </w:r>
      <w:r>
        <w:rPr>
          <w:rFonts w:hint="eastAsia" w:ascii="Times New Roman" w:hAnsi="Times New Roman"/>
          <w:color w:val="auto"/>
          <w:highlight w:val="none"/>
        </w:rPr>
        <w:t>招标范围</w:t>
      </w:r>
      <w:bookmarkEnd w:id="2"/>
      <w:bookmarkEnd w:id="3"/>
    </w:p>
    <w:p w14:paraId="3BEB294E">
      <w:pPr>
        <w:tabs>
          <w:tab w:val="left" w:pos="7513"/>
        </w:tabs>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2.1招标项目概况</w:t>
      </w:r>
    </w:p>
    <w:p w14:paraId="3DA74F76">
      <w:pPr>
        <w:tabs>
          <w:tab w:val="left" w:pos="7513"/>
        </w:tabs>
        <w:spacing w:line="360" w:lineRule="auto"/>
        <w:ind w:firstLine="424" w:firstLineChars="177"/>
        <w:rPr>
          <w:rFonts w:hint="eastAsia" w:ascii="宋体" w:hAnsi="宋体" w:eastAsia="宋体" w:cs="宋体"/>
          <w:color w:val="auto"/>
          <w:sz w:val="24"/>
          <w:highlight w:val="none"/>
          <w:u w:val="single"/>
          <w:lang w:eastAsia="zh-CN"/>
        </w:rPr>
      </w:pPr>
      <w:r>
        <w:rPr>
          <w:rFonts w:hint="eastAsia" w:ascii="宋体" w:hAnsi="宋体"/>
          <w:color w:val="auto"/>
          <w:sz w:val="24"/>
          <w:szCs w:val="24"/>
          <w:highlight w:val="none"/>
        </w:rPr>
        <w:t>2.1.1招标项目名称：</w:t>
      </w:r>
      <w:r>
        <w:rPr>
          <w:rFonts w:hint="eastAsia" w:ascii="宋体" w:hAnsi="宋体" w:cs="宋体"/>
          <w:color w:val="auto"/>
          <w:sz w:val="24"/>
          <w:highlight w:val="none"/>
          <w:u w:val="single"/>
          <w:lang w:eastAsia="zh-CN"/>
        </w:rPr>
        <w:t>智造创新园石碁镇380亩官涌地块配套道路检测、监测服务</w:t>
      </w:r>
    </w:p>
    <w:p w14:paraId="475D2BFA">
      <w:pPr>
        <w:tabs>
          <w:tab w:val="left" w:pos="7513"/>
        </w:tabs>
        <w:spacing w:line="360" w:lineRule="auto"/>
        <w:ind w:firstLine="424" w:firstLineChars="177"/>
        <w:rPr>
          <w:rFonts w:hint="eastAsia" w:ascii="宋体" w:hAnsi="宋体" w:eastAsia="宋体"/>
          <w:color w:val="auto"/>
          <w:sz w:val="24"/>
          <w:szCs w:val="24"/>
          <w:highlight w:val="none"/>
          <w:u w:val="single"/>
          <w:lang w:eastAsia="zh-CN"/>
        </w:rPr>
      </w:pPr>
      <w:r>
        <w:rPr>
          <w:rFonts w:ascii="宋体" w:hAnsi="宋体"/>
          <w:color w:val="auto"/>
          <w:sz w:val="24"/>
          <w:szCs w:val="24"/>
          <w:highlight w:val="none"/>
        </w:rPr>
        <w:t>2.</w:t>
      </w:r>
      <w:r>
        <w:rPr>
          <w:rFonts w:hint="eastAsia" w:ascii="宋体" w:hAnsi="宋体"/>
          <w:color w:val="auto"/>
          <w:sz w:val="24"/>
          <w:szCs w:val="24"/>
          <w:highlight w:val="none"/>
        </w:rPr>
        <w:t>1.2工程建设地点：</w:t>
      </w:r>
      <w:bookmarkStart w:id="4" w:name="OLE_LINK4"/>
      <w:bookmarkStart w:id="5" w:name="OLE_LINK5"/>
      <w:r>
        <w:rPr>
          <w:rFonts w:hint="eastAsia" w:ascii="宋体" w:hAnsi="宋体" w:cs="宋体"/>
          <w:color w:val="auto"/>
          <w:sz w:val="24"/>
          <w:szCs w:val="24"/>
          <w:highlight w:val="none"/>
          <w:u w:val="single"/>
          <w:lang w:eastAsia="zh-CN"/>
        </w:rPr>
        <w:t>番禺区石碁镇前锋南路西侧</w:t>
      </w:r>
    </w:p>
    <w:bookmarkEnd w:id="4"/>
    <w:bookmarkEnd w:id="5"/>
    <w:p w14:paraId="7CEFB42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color w:val="auto"/>
          <w:sz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1.3工程建设规模</w:t>
      </w:r>
      <w:r>
        <w:rPr>
          <w:rFonts w:hint="eastAsia" w:ascii="宋体" w:hAnsi="宋体"/>
          <w:b/>
          <w:color w:val="auto"/>
          <w:sz w:val="24"/>
          <w:szCs w:val="24"/>
          <w:highlight w:val="none"/>
        </w:rPr>
        <w:t>：</w:t>
      </w:r>
      <w:r>
        <w:rPr>
          <w:rFonts w:hint="eastAsia" w:ascii="宋体" w:hAnsi="宋体"/>
          <w:color w:val="auto"/>
          <w:sz w:val="24"/>
          <w:highlight w:val="none"/>
          <w:u w:val="single"/>
        </w:rPr>
        <w:t>项目位于番禺区石碁镇前锋南路西侧，共包含3条道路总长约0.848公里。横二路为城市支路，西起规划纵一路，东至现状前锋南路，长约325米，规划红线宽度2</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米，设计速度3</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千米/小时;横三路为城市次干路，西起规划纵一路，东至现状前锋南路，长约 288米，规划红线宽度40米，设计速度40千米/小时;横四路为城市次干路，西起规划纵一路，东至现状前锋南路长约235米，规划红线宽度40米，设计速度40千米/小时。</w:t>
      </w:r>
      <w:r>
        <w:rPr>
          <w:rFonts w:hint="eastAsia" w:ascii="宋体" w:hAnsi="宋体" w:cs="宋体"/>
          <w:color w:val="auto"/>
          <w:sz w:val="24"/>
          <w:highlight w:val="none"/>
          <w:u w:val="single"/>
        </w:rPr>
        <w:t>施工内容包括但不限于道路工程、排水工程、消防给水工程、交通及交通疏解工程、电力管沟土建结构工程、照明工程、绿化工程等（具体以施工图纸等资料为准）</w:t>
      </w:r>
      <w:r>
        <w:rPr>
          <w:rFonts w:hint="eastAsia" w:ascii="宋体" w:hAnsi="宋体" w:cs="宋体"/>
          <w:color w:val="auto"/>
          <w:sz w:val="24"/>
          <w:highlight w:val="none"/>
        </w:rPr>
        <w:t>。</w:t>
      </w:r>
    </w:p>
    <w:p w14:paraId="4FEDF267">
      <w:pPr>
        <w:tabs>
          <w:tab w:val="left" w:pos="7513"/>
        </w:tabs>
        <w:spacing w:line="360" w:lineRule="auto"/>
        <w:ind w:firstLine="360" w:firstLineChars="15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2招标范围</w:t>
      </w:r>
    </w:p>
    <w:p w14:paraId="43CE3762">
      <w:pPr>
        <w:tabs>
          <w:tab w:val="left" w:pos="7513"/>
        </w:tabs>
        <w:spacing w:line="360" w:lineRule="auto"/>
        <w:ind w:firstLine="360" w:firstLineChars="150"/>
        <w:rPr>
          <w:color w:val="auto"/>
          <w:sz w:val="24"/>
          <w:szCs w:val="24"/>
          <w:highlight w:val="none"/>
          <w:u w:val="single"/>
        </w:rPr>
      </w:pPr>
      <w:r>
        <w:rPr>
          <w:rFonts w:hint="eastAsia" w:ascii="宋体" w:hAnsi="宋体"/>
          <w:color w:val="auto"/>
          <w:sz w:val="24"/>
          <w:highlight w:val="none"/>
        </w:rPr>
        <w:t>2.2.1</w:t>
      </w:r>
      <w:r>
        <w:rPr>
          <w:rFonts w:hint="eastAsia"/>
          <w:color w:val="auto"/>
          <w:sz w:val="24"/>
          <w:szCs w:val="24"/>
          <w:highlight w:val="none"/>
        </w:rPr>
        <w:t>标段划分：</w:t>
      </w:r>
      <w:r>
        <w:rPr>
          <w:rFonts w:hint="eastAsia"/>
          <w:color w:val="auto"/>
          <w:sz w:val="24"/>
          <w:szCs w:val="24"/>
          <w:highlight w:val="none"/>
          <w:u w:val="single"/>
        </w:rPr>
        <w:t>本项目设1个标段。</w:t>
      </w:r>
    </w:p>
    <w:p w14:paraId="09D940EA">
      <w:pPr>
        <w:tabs>
          <w:tab w:val="left" w:pos="7513"/>
        </w:tabs>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2.2.2招标范围：</w:t>
      </w:r>
      <w:r>
        <w:rPr>
          <w:rFonts w:hint="eastAsia" w:ascii="宋体" w:hAnsi="宋体"/>
          <w:color w:val="auto"/>
          <w:sz w:val="24"/>
          <w:highlight w:val="none"/>
          <w:u w:val="single"/>
        </w:rPr>
        <w:t>根据</w:t>
      </w:r>
      <w:r>
        <w:rPr>
          <w:rFonts w:hint="eastAsia" w:ascii="宋体" w:cs="宋体"/>
          <w:color w:val="auto"/>
          <w:kern w:val="0"/>
          <w:sz w:val="24"/>
          <w:highlight w:val="none"/>
          <w:u w:val="single"/>
        </w:rPr>
        <w:t>设计文件、施工组织设计、相关规范和相关行政职能部门要求和委托方要求出具检测监测方案，</w:t>
      </w:r>
      <w:r>
        <w:rPr>
          <w:rFonts w:hint="eastAsia" w:ascii="宋体" w:hAnsi="宋体"/>
          <w:color w:val="auto"/>
          <w:sz w:val="24"/>
          <w:highlight w:val="none"/>
          <w:u w:val="single"/>
        </w:rPr>
        <w:t>开展检测监测技术工作，并出具检测监测报告。根据</w:t>
      </w:r>
      <w:r>
        <w:rPr>
          <w:rFonts w:hint="eastAsia" w:ascii="宋体" w:cs="宋体"/>
          <w:color w:val="auto"/>
          <w:kern w:val="0"/>
          <w:sz w:val="24"/>
          <w:highlight w:val="none"/>
          <w:u w:val="single"/>
        </w:rPr>
        <w:t>相关行政职能部门要求和委托方</w:t>
      </w:r>
      <w:r>
        <w:rPr>
          <w:rFonts w:hint="eastAsia" w:ascii="宋体" w:hAnsi="宋体"/>
          <w:color w:val="auto"/>
          <w:sz w:val="24"/>
          <w:highlight w:val="none"/>
          <w:u w:val="single"/>
        </w:rPr>
        <w:t>要求配合做好检测监测信息化管理工作，配备能实时上传数据的相关仪器设备，并具备将数据实时上传（具体内容详见检测监测合同）。</w:t>
      </w:r>
    </w:p>
    <w:p w14:paraId="7D1D42F2">
      <w:pPr>
        <w:tabs>
          <w:tab w:val="left" w:pos="7513"/>
        </w:tabs>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2.3服务期限：</w:t>
      </w:r>
      <w:r>
        <w:rPr>
          <w:rFonts w:hint="eastAsia" w:ascii="宋体" w:hAnsi="宋体"/>
          <w:color w:val="auto"/>
          <w:sz w:val="24"/>
          <w:szCs w:val="24"/>
          <w:highlight w:val="none"/>
          <w:u w:val="single"/>
        </w:rPr>
        <w:t>建设周期为</w:t>
      </w:r>
      <w:r>
        <w:rPr>
          <w:rFonts w:hint="eastAsia" w:ascii="宋体" w:hAnsi="宋体"/>
          <w:color w:val="auto"/>
          <w:sz w:val="24"/>
          <w:szCs w:val="24"/>
          <w:highlight w:val="none"/>
          <w:u w:val="single"/>
          <w:lang w:val="en-US" w:eastAsia="zh-CN"/>
        </w:rPr>
        <w:t>275</w:t>
      </w:r>
      <w:r>
        <w:rPr>
          <w:rFonts w:hint="eastAsia" w:ascii="宋体" w:hAnsi="宋体"/>
          <w:color w:val="auto"/>
          <w:sz w:val="24"/>
          <w:szCs w:val="24"/>
          <w:highlight w:val="none"/>
          <w:u w:val="single"/>
        </w:rPr>
        <w:t>日历天。服务期限：自</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书面通知进场至项目完成竣工验收备案为止，服务周期必须满足实际施工要求。（因</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原因或现场不具备作业条件，检测时间顺延。）</w:t>
      </w:r>
    </w:p>
    <w:p w14:paraId="0F40D8C0">
      <w:pPr>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2.2.4承包方式：</w:t>
      </w:r>
      <w:r>
        <w:rPr>
          <w:rFonts w:hint="eastAsia" w:ascii="宋体" w:hAnsi="宋体"/>
          <w:color w:val="auto"/>
          <w:sz w:val="24"/>
          <w:szCs w:val="24"/>
          <w:highlight w:val="none"/>
          <w:u w:val="single"/>
        </w:rPr>
        <w:t>本合同工程量以实际发生（按</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、监理人、受托人确认）进行计算，结算时依据实际工程量×收费标准单价×（1-投标下浮率）结算，如结算价超过合同暂定价的，则按合同暂定价为最终结算价。</w:t>
      </w:r>
    </w:p>
    <w:p w14:paraId="1D7C087E">
      <w:pPr>
        <w:tabs>
          <w:tab w:val="left" w:pos="7513"/>
        </w:tabs>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最终结算价已包含了为完成本项目招标内容要求所产生的所有不可预见的费用,包括</w:t>
      </w:r>
      <w:r>
        <w:rPr>
          <w:rFonts w:ascii="宋体" w:hAnsi="宋体" w:cs="宋体"/>
          <w:bCs/>
          <w:color w:val="auto"/>
          <w:spacing w:val="4"/>
          <w:sz w:val="24"/>
          <w:highlight w:val="none"/>
          <w:lang w:bidi="ar"/>
        </w:rPr>
        <w:t>但不限于</w:t>
      </w:r>
      <w:r>
        <w:rPr>
          <w:rFonts w:hint="eastAsia" w:ascii="宋体" w:hAnsi="宋体" w:cs="宋体"/>
          <w:bCs/>
          <w:color w:val="auto"/>
          <w:spacing w:val="4"/>
          <w:sz w:val="24"/>
          <w:highlight w:val="none"/>
          <w:lang w:bidi="ar"/>
        </w:rPr>
        <w:t>包工、包料、包设备设施、包工期、包质量、包安全、包文明作业、包与建设项目相关单位的协调以及本项目可能产生的风险等所有费用。</w:t>
      </w:r>
    </w:p>
    <w:p w14:paraId="2D583F14">
      <w:pPr>
        <w:tabs>
          <w:tab w:val="left" w:pos="751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2.2.5招标内容：</w:t>
      </w:r>
    </w:p>
    <w:p w14:paraId="61C4AAEF">
      <w:pPr>
        <w:numPr>
          <w:ilvl w:val="0"/>
          <w:numId w:val="1"/>
        </w:numPr>
        <w:tabs>
          <w:tab w:val="left" w:pos="7513"/>
        </w:tabs>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第三方检测服务包括但不限于见证取样检测、道路地基检测、砼、钢结构检测、交通及照明工程检测、绿化工程检测、</w:t>
      </w:r>
      <w:r>
        <w:rPr>
          <w:rFonts w:hint="eastAsia" w:ascii="宋体" w:hAnsi="宋体" w:cs="宋体"/>
          <w:color w:val="auto"/>
          <w:sz w:val="24"/>
          <w:szCs w:val="24"/>
          <w:highlight w:val="none"/>
          <w:u w:val="single"/>
          <w:lang w:val="en-US" w:eastAsia="zh-CN"/>
        </w:rPr>
        <w:t>海绵城市、</w:t>
      </w:r>
      <w:r>
        <w:rPr>
          <w:rFonts w:hint="eastAsia" w:ascii="宋体" w:hAnsi="宋体" w:cs="宋体"/>
          <w:color w:val="auto"/>
          <w:sz w:val="24"/>
          <w:szCs w:val="24"/>
          <w:highlight w:val="none"/>
          <w:u w:val="single"/>
        </w:rPr>
        <w:t>智能化检测、CCTV检测等内容；</w:t>
      </w:r>
    </w:p>
    <w:p w14:paraId="2923E2CD">
      <w:pPr>
        <w:tabs>
          <w:tab w:val="left" w:pos="7513"/>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监测服务包括但不限于</w:t>
      </w:r>
      <w:r>
        <w:rPr>
          <w:rFonts w:hint="eastAsia" w:ascii="宋体" w:hAnsi="宋体" w:cs="宋体"/>
          <w:color w:val="auto"/>
          <w:sz w:val="24"/>
          <w:szCs w:val="24"/>
          <w:highlight w:val="none"/>
          <w:u w:val="single"/>
          <w:lang w:val="en-US" w:eastAsia="zh-CN"/>
        </w:rPr>
        <w:t>工程监</w:t>
      </w:r>
      <w:r>
        <w:rPr>
          <w:rFonts w:hint="eastAsia" w:ascii="宋体" w:hAnsi="宋体" w:cs="宋体"/>
          <w:color w:val="auto"/>
          <w:sz w:val="24"/>
          <w:szCs w:val="24"/>
          <w:highlight w:val="none"/>
          <w:u w:val="single"/>
        </w:rPr>
        <w:t>测等内容</w:t>
      </w:r>
      <w:r>
        <w:rPr>
          <w:rFonts w:hint="eastAsia" w:ascii="宋体" w:hAnsi="宋体" w:cs="宋体"/>
          <w:color w:val="auto"/>
          <w:sz w:val="24"/>
          <w:szCs w:val="24"/>
          <w:highlight w:val="none"/>
          <w:u w:val="single"/>
          <w:lang w:val="en-US" w:eastAsia="zh-CN"/>
        </w:rPr>
        <w:t>；</w:t>
      </w:r>
    </w:p>
    <w:p w14:paraId="7C125BA0">
      <w:pPr>
        <w:tabs>
          <w:tab w:val="left" w:pos="7513"/>
        </w:tabs>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）其他服务内容（投保报价中已经综合考虑了本部分工作的费用）：</w:t>
      </w:r>
    </w:p>
    <w:p w14:paraId="31D091C7">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14:paraId="0857DF5E">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②在进行检测任务的过程中与该工程相关的施工单位、监理单位、设计单位、项目建设管理单位、建设主管部门等相关单位的协调工作。投标人需在投标报价中综合考虑相关费用。</w:t>
      </w:r>
    </w:p>
    <w:p w14:paraId="005FCCA1">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③检测数据的有关信息通过连接系统进行传输报送。</w:t>
      </w:r>
    </w:p>
    <w:p w14:paraId="424575D7">
      <w:pPr>
        <w:wordWrap w:val="0"/>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）检测的要求：依据《建设工程质量检测管理办法》（建设部令第</w:t>
      </w:r>
      <w:r>
        <w:rPr>
          <w:rFonts w:hint="eastAsia" w:ascii="宋体" w:hAnsi="宋体" w:cs="宋体"/>
          <w:color w:val="auto"/>
          <w:sz w:val="24"/>
          <w:szCs w:val="24"/>
          <w:highlight w:val="none"/>
          <w:u w:val="single"/>
          <w:lang w:val="en-US" w:eastAsia="zh-CN"/>
        </w:rPr>
        <w:t>57</w:t>
      </w:r>
      <w:r>
        <w:rPr>
          <w:rFonts w:hint="eastAsia" w:ascii="宋体" w:hAnsi="宋体" w:cs="宋体"/>
          <w:color w:val="auto"/>
          <w:sz w:val="24"/>
          <w:szCs w:val="24"/>
          <w:highlight w:val="none"/>
          <w:u w:val="single"/>
        </w:rPr>
        <w:t>号）及国家现行有关规范要求，根据本项目检测服务内容，中标人制定检测方案（含细化工程量清单），并报监理和建设单位审批同意后，方可实施。各专业项目进行实际检测前，需将具体检测方案和工程量报监理和建设单位审批同意后方可进行。未经建设单位审批同意擅自检测的，产生的相关检测费建设单位不予认可，由中标单位自负。中标人按照审批同意的工程量检测清单进场检测，实施过程中做好现场拍照留底记录，实际发生的检测工程量须由监理和建设单位现场负责人书面确认，否则不予结算。建设单位有权根据行业主管部门要求增加或减少计划表所列检测方法和数量。</w:t>
      </w:r>
    </w:p>
    <w:p w14:paraId="0EBD9340">
      <w:pPr>
        <w:wordWrap w:val="0"/>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本工程所涉及的检测工作，中标人需要独立完成本项目70%以上的检测工作（主要检测工作需要由中标人完成），剩余的非主要检测工作，如中标人不具备资质的，经招标人同意后可依法分包给具备相关资质的检测单位，但分包的检测工作不得再次分包。分包项目的检测质量和检测工期由中标单位负责。分包合同原则上由中标单位与分包签订。该部分检测内容纳入中标单位合同一并进行结算。</w:t>
      </w:r>
    </w:p>
    <w:p w14:paraId="4524A9BB">
      <w:pPr>
        <w:tabs>
          <w:tab w:val="left" w:pos="7513"/>
        </w:tabs>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）工作具体详见施工图纸、</w:t>
      </w:r>
      <w:r>
        <w:rPr>
          <w:rFonts w:hint="eastAsia" w:ascii="宋体" w:hAnsi="宋体" w:cs="宋体"/>
          <w:color w:val="auto"/>
          <w:sz w:val="24"/>
          <w:szCs w:val="24"/>
          <w:highlight w:val="none"/>
          <w:u w:val="single"/>
          <w:lang w:val="en-US" w:eastAsia="zh-CN"/>
        </w:rPr>
        <w:t>招标</w:t>
      </w:r>
      <w:r>
        <w:rPr>
          <w:rFonts w:hint="eastAsia" w:ascii="宋体" w:hAnsi="宋体" w:cs="宋体"/>
          <w:color w:val="auto"/>
          <w:sz w:val="24"/>
          <w:szCs w:val="24"/>
          <w:highlight w:val="none"/>
          <w:u w:val="single"/>
        </w:rPr>
        <w:t>人要求及合同约定。</w:t>
      </w:r>
    </w:p>
    <w:p w14:paraId="1200E1A6">
      <w:pPr>
        <w:tabs>
          <w:tab w:val="left" w:pos="7513"/>
        </w:tabs>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本项目已经区政府审定同意申报专项债，且勘察设计等前期工作资金，经区发改、财政等部门同意安排，可先行开展项目的建设方案、可行性研究报告、勘察设计、概（预）算评审等前期工作。</w:t>
      </w:r>
    </w:p>
    <w:p w14:paraId="168AD770">
      <w:pPr>
        <w:tabs>
          <w:tab w:val="left" w:pos="7513"/>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2.2.7最高投标限价：人民币</w:t>
      </w:r>
      <w:r>
        <w:rPr>
          <w:rFonts w:hint="eastAsia" w:ascii="宋体" w:hAnsi="宋体" w:eastAsia="宋体" w:cs="宋体"/>
          <w:color w:val="auto"/>
          <w:sz w:val="24"/>
          <w:szCs w:val="24"/>
          <w:highlight w:val="none"/>
          <w:u w:val="single"/>
          <w:lang w:val="en-US" w:eastAsia="zh-CN"/>
        </w:rPr>
        <w:t>1180327.24</w:t>
      </w:r>
      <w:r>
        <w:rPr>
          <w:rFonts w:hint="eastAsia" w:ascii="宋体" w:hAnsi="宋体"/>
          <w:bCs/>
          <w:color w:val="auto"/>
          <w:sz w:val="24"/>
          <w:szCs w:val="24"/>
          <w:highlight w:val="none"/>
        </w:rPr>
        <w:t>元</w:t>
      </w:r>
      <w:r>
        <w:rPr>
          <w:rFonts w:hint="eastAsia" w:ascii="宋体" w:hAnsi="宋体"/>
          <w:color w:val="auto"/>
          <w:sz w:val="24"/>
          <w:szCs w:val="24"/>
          <w:highlight w:val="none"/>
        </w:rPr>
        <w:t>；</w:t>
      </w:r>
    </w:p>
    <w:p w14:paraId="73BD316C">
      <w:pPr>
        <w:adjustRightInd w:val="0"/>
        <w:snapToGrid w:val="0"/>
        <w:spacing w:line="360" w:lineRule="auto"/>
        <w:ind w:firstLine="422" w:firstLineChars="200"/>
        <w:rPr>
          <w:rFonts w:ascii="宋体" w:hAnsi="宋体"/>
          <w:color w:val="auto"/>
          <w:sz w:val="24"/>
          <w:szCs w:val="24"/>
          <w:highlight w:val="none"/>
          <w:u w:val="single"/>
        </w:rPr>
      </w:pPr>
      <w:r>
        <w:rPr>
          <w:rFonts w:hint="eastAsia" w:ascii="宋体" w:hAnsi="宋体" w:cs="宋体"/>
          <w:b/>
          <w:color w:val="auto"/>
          <w:szCs w:val="21"/>
          <w:highlight w:val="none"/>
        </w:rPr>
        <w:t>注：</w:t>
      </w:r>
      <w:r>
        <w:rPr>
          <w:rFonts w:hint="eastAsia" w:ascii="宋体" w:hAnsi="宋体"/>
          <w:color w:val="auto"/>
          <w:sz w:val="24"/>
          <w:szCs w:val="24"/>
          <w:highlight w:val="none"/>
          <w:u w:val="single"/>
        </w:rPr>
        <w:t>结算价超过</w:t>
      </w:r>
      <w:r>
        <w:rPr>
          <w:rFonts w:hint="eastAsia" w:ascii="宋体" w:hAnsi="宋体"/>
          <w:color w:val="auto"/>
          <w:sz w:val="24"/>
          <w:szCs w:val="24"/>
          <w:highlight w:val="none"/>
          <w:u w:val="single"/>
          <w:lang w:val="en-US" w:eastAsia="zh-CN"/>
        </w:rPr>
        <w:t>合同暂定价</w:t>
      </w:r>
      <w:r>
        <w:rPr>
          <w:rFonts w:hint="eastAsia" w:ascii="宋体" w:hAnsi="宋体"/>
          <w:color w:val="auto"/>
          <w:sz w:val="24"/>
          <w:szCs w:val="24"/>
          <w:highlight w:val="none"/>
          <w:u w:val="single"/>
        </w:rPr>
        <w:t>的，则按</w:t>
      </w:r>
      <w:r>
        <w:rPr>
          <w:rFonts w:hint="eastAsia" w:ascii="宋体" w:hAnsi="宋体"/>
          <w:color w:val="auto"/>
          <w:sz w:val="24"/>
          <w:szCs w:val="24"/>
          <w:highlight w:val="none"/>
          <w:u w:val="single"/>
          <w:lang w:val="en-US" w:eastAsia="zh-CN"/>
        </w:rPr>
        <w:t>合同暂定价为最终结算价，最终以区财政评审为准</w:t>
      </w:r>
      <w:r>
        <w:rPr>
          <w:rFonts w:hint="eastAsia" w:ascii="宋体" w:hAnsi="宋体"/>
          <w:color w:val="auto"/>
          <w:sz w:val="24"/>
          <w:szCs w:val="24"/>
          <w:highlight w:val="none"/>
          <w:u w:val="single"/>
        </w:rPr>
        <w:t>（如有审计、以审计结果为准）。</w:t>
      </w:r>
    </w:p>
    <w:p w14:paraId="0E5F2139">
      <w:pPr>
        <w:tabs>
          <w:tab w:val="left" w:pos="7513"/>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投标人在最高限价的基础上根据自身情况自行填报总价及投标下浮率，超出最高投标限价（总价）的报价做废标处理。</w:t>
      </w:r>
    </w:p>
    <w:p w14:paraId="012356BD">
      <w:pPr>
        <w:pStyle w:val="2"/>
        <w:rPr>
          <w:color w:val="auto"/>
          <w:highlight w:val="none"/>
        </w:rPr>
      </w:pPr>
    </w:p>
    <w:p w14:paraId="1B9F723A">
      <w:pPr>
        <w:pStyle w:val="3"/>
        <w:keepNext w:val="0"/>
        <w:keepLines w:val="0"/>
        <w:spacing w:before="0" w:after="0" w:line="360" w:lineRule="auto"/>
        <w:rPr>
          <w:rFonts w:ascii="Times New Roman" w:hAnsi="Times New Roman"/>
          <w:color w:val="auto"/>
          <w:highlight w:val="none"/>
        </w:rPr>
      </w:pPr>
      <w:bookmarkStart w:id="6" w:name="_Toc514099625"/>
      <w:bookmarkStart w:id="7" w:name="_Toc511557027"/>
      <w:r>
        <w:rPr>
          <w:rFonts w:ascii="Times New Roman" w:hAnsi="Times New Roman"/>
          <w:color w:val="auto"/>
          <w:highlight w:val="none"/>
        </w:rPr>
        <w:t>3. 投标人资格要求</w:t>
      </w:r>
      <w:bookmarkEnd w:id="6"/>
      <w:bookmarkEnd w:id="7"/>
    </w:p>
    <w:p w14:paraId="5BD0631F">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3.1投标人参加投标的意思表达清楚（如为联合体投标，由联合体主办方单位代表联合体授权），投标人代表被授权有效；</w:t>
      </w:r>
    </w:p>
    <w:p w14:paraId="39DA9058">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3.2投标人（若为联合体投标，指联合体各方）均具有独立法人资格，持有事业单位登记管理部门核发的事业单位法人证书或工商行政（或市场监督）管理部门核发的企业法人营业执照，且在营业期限内；</w:t>
      </w:r>
    </w:p>
    <w:p w14:paraId="2E2D6921">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3.3本次招标要求投标人具备以下（1）、（2）项条件：</w:t>
      </w:r>
    </w:p>
    <w:p w14:paraId="2ABFFF58">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（1）投标人须具备以下资质（①或②或③）：</w:t>
      </w:r>
    </w:p>
    <w:p w14:paraId="58CEE56A">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①具备建设行政主管部门颁发的建设工程质量检测机构综合资质证书，且资质证书在有效期内；</w:t>
      </w:r>
    </w:p>
    <w:p w14:paraId="44C8A42A">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②具备建设行政主管部门颁发的建设工程质量检测机构专项资质证书（专项资质证书须提供：地基基础、市政工程材料、道路工程），且资质证书在有效期内；</w:t>
      </w:r>
    </w:p>
    <w:p w14:paraId="1A9ECD22">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③具备建设行政主管部门颁发的建设工程质量检测机构资质证书（检测范围应覆盖本次招标主要内容：包括见证取样检测、地基基础工程检测、主体结构工程现场检测），且资质证书在有效期以内。</w:t>
      </w:r>
    </w:p>
    <w:p w14:paraId="1C38BB9D">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注：资质内容按照《住房和城乡建设部关于印发《建设工程质量检测机构资质标准》的通知》（建质规〔2023〕1号）、《广东省住房和城乡建设厅关于做好建设工程质量检测机构资质审批有关事项准备的通知》（粤建质[2024]244号），证书须在有效期以内。</w:t>
      </w:r>
    </w:p>
    <w:p w14:paraId="56624853">
      <w:pPr>
        <w:spacing w:line="360" w:lineRule="auto"/>
        <w:ind w:firstLine="480" w:firstLineChars="200"/>
        <w:rPr>
          <w:color w:val="auto"/>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具备质量技术监督部门颁发的CMA计量认证合格证书（或CMA检验检测机构资质认定证书），且证书在有效期内；认证范围须覆盖本次招标的主要内容：见证取样检测、地基与基础工程检测、主体结构工程检测</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工程监测</w:t>
      </w:r>
      <w:r>
        <w:rPr>
          <w:rFonts w:hint="eastAsia" w:ascii="宋体" w:hAnsi="宋体" w:eastAsia="宋体"/>
          <w:color w:val="auto"/>
          <w:sz w:val="24"/>
          <w:szCs w:val="24"/>
          <w:highlight w:val="none"/>
          <w:lang w:eastAsia="zh-CN"/>
        </w:rPr>
        <w:t>，</w:t>
      </w:r>
      <w:r>
        <w:rPr>
          <w:rFonts w:hint="eastAsia" w:ascii="宋体" w:hAnsi="宋体"/>
          <w:color w:val="auto"/>
          <w:sz w:val="24"/>
          <w:highlight w:val="none"/>
        </w:rPr>
        <w:t>如投标人CMA计量认证合格证书中的检测监测项目与上述名称不同，但表达的意思一致也视为满足该项条件。如中标人不具备相关专业的检测资质，应当自行完成本资质专业的检测业务，并在保证整个工程项目完整性的前提下，经发包方同意，将其他部分专业检测监测业务发包给具有相应资质的分包方</w:t>
      </w:r>
      <w:r>
        <w:rPr>
          <w:rFonts w:hint="eastAsia" w:ascii="宋体" w:hAnsi="宋体"/>
          <w:color w:val="auto"/>
          <w:sz w:val="24"/>
          <w:szCs w:val="24"/>
          <w:highlight w:val="none"/>
        </w:rPr>
        <w:t>。</w:t>
      </w:r>
    </w:p>
    <w:p w14:paraId="033A70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3.4拟派的项目负责人应具有</w:t>
      </w:r>
      <w:r>
        <w:rPr>
          <w:rFonts w:hint="eastAsia" w:ascii="宋体" w:hAnsi="宋体"/>
          <w:color w:val="auto"/>
          <w:sz w:val="24"/>
          <w:highlight w:val="none"/>
          <w:u w:val="single"/>
        </w:rPr>
        <w:t>工程类中级或以上职称（若为联合体投标，项目负责人须是联合体主办方在职员工）</w:t>
      </w:r>
      <w:r>
        <w:rPr>
          <w:rFonts w:hint="eastAsia" w:ascii="宋体" w:hAnsi="宋体"/>
          <w:color w:val="auto"/>
          <w:sz w:val="24"/>
          <w:highlight w:val="none"/>
        </w:rPr>
        <w:t>。</w:t>
      </w:r>
    </w:p>
    <w:p w14:paraId="790BDAB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投标人近二年(从202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年1月1日起至标止时间止)未因以往检测工作中存在伪造检测数据、出具虚假检测报告的行为被各级建设行政主管部门或市场监督管理部门行政处罚或通报的(按投标人提供的《投标人声明》第三条内容进行评审)。</w:t>
      </w:r>
    </w:p>
    <w:p w14:paraId="36F70D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联合体内各成员之间不受本条限制）。</w:t>
      </w:r>
    </w:p>
    <w:p w14:paraId="4B40CEF3">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投标人已按照招标公告附件一的内容签署盖章的《投标人声明》。</w:t>
      </w:r>
    </w:p>
    <w:p w14:paraId="33CA543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投标人已按照招标公告附件二的内容签署盖章的《投标承诺函》。</w:t>
      </w:r>
    </w:p>
    <w:p w14:paraId="304F9E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9</w:t>
      </w:r>
      <w:r>
        <w:rPr>
          <w:rFonts w:hint="eastAsia" w:ascii="宋体" w:hAnsi="宋体"/>
          <w:color w:val="auto"/>
          <w:sz w:val="24"/>
          <w:highlight w:val="none"/>
        </w:rPr>
        <w:t>关于联合体投标：</w:t>
      </w:r>
      <w:r>
        <w:rPr>
          <w:rFonts w:hint="eastAsia" w:ascii="宋体" w:hAnsi="宋体"/>
          <w:color w:val="auto"/>
          <w:sz w:val="24"/>
          <w:highlight w:val="none"/>
          <w:u w:val="single"/>
        </w:rPr>
        <w:t>本项目接受联合体投标，联合体单位不超过2家。</w:t>
      </w:r>
    </w:p>
    <w:p w14:paraId="630F04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注：（1）如投标人组成联合体，应以</w:t>
      </w:r>
      <w:r>
        <w:rPr>
          <w:rFonts w:hint="eastAsia" w:ascii="宋体" w:hAnsi="宋体" w:cs="宋体"/>
          <w:color w:val="auto"/>
          <w:sz w:val="24"/>
          <w:szCs w:val="24"/>
          <w:highlight w:val="none"/>
          <w:u w:val="single"/>
        </w:rPr>
        <w:t>项目负责人所在企业</w:t>
      </w:r>
      <w:r>
        <w:rPr>
          <w:rFonts w:hint="eastAsia" w:ascii="宋体" w:hAnsi="宋体" w:cs="宋体"/>
          <w:color w:val="auto"/>
          <w:sz w:val="24"/>
          <w:szCs w:val="24"/>
          <w:highlight w:val="none"/>
        </w:rPr>
        <w:t>为主办方，并签定联合体工作协议。投标人拟任本工程项目负责人应为主办方正式员工。联合体工作协议应明确约定各方拟承担的工作和责任。</w:t>
      </w:r>
    </w:p>
    <w:p w14:paraId="4AE10F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（2）联合体各方（包括主办方及联合体成员）不得再单独或与其他单位组成联合体参与本项目投标。出现上述情况者，其投标和与此有关的联合体的投标将被拒绝。</w:t>
      </w:r>
    </w:p>
    <w:p w14:paraId="7DF7010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（3）联合体主办方的被授权人作为联合体各方的代表，承担责任和指令，并负责整个投标过程中的一切责任；</w:t>
      </w:r>
    </w:p>
    <w:p w14:paraId="1B019E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rPr>
        <w:t>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2D2E863B">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注：未在招标公告第3条单列的投标人资格要求条件，不作为资审不合格的依据。</w:t>
      </w:r>
    </w:p>
    <w:p w14:paraId="337EF59C">
      <w:pPr>
        <w:pStyle w:val="3"/>
        <w:keepNext w:val="0"/>
        <w:keepLines w:val="0"/>
        <w:spacing w:before="0" w:after="0" w:line="360" w:lineRule="auto"/>
        <w:rPr>
          <w:rFonts w:ascii="Times New Roman" w:hAnsi="Times New Roman"/>
          <w:color w:val="auto"/>
          <w:highlight w:val="none"/>
        </w:rPr>
      </w:pPr>
      <w:bookmarkStart w:id="8" w:name="_Toc514099626"/>
      <w:bookmarkStart w:id="9" w:name="_Toc511557028"/>
      <w:r>
        <w:rPr>
          <w:rFonts w:ascii="Times New Roman" w:hAnsi="Times New Roman"/>
          <w:color w:val="auto"/>
          <w:highlight w:val="none"/>
        </w:rPr>
        <w:t xml:space="preserve">4. </w:t>
      </w:r>
      <w:r>
        <w:rPr>
          <w:rFonts w:hint="eastAsia" w:ascii="Times New Roman" w:hAnsi="Times New Roman"/>
          <w:color w:val="auto"/>
          <w:highlight w:val="none"/>
        </w:rPr>
        <w:t>招标文件的获取</w:t>
      </w:r>
      <w:bookmarkEnd w:id="8"/>
      <w:bookmarkEnd w:id="9"/>
    </w:p>
    <w:p w14:paraId="13556E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4.1凡有意参加投标者，请登录</w:t>
      </w:r>
      <w:r>
        <w:rPr>
          <w:rFonts w:hint="eastAsia" w:ascii="宋体" w:hAnsi="宋体"/>
          <w:color w:val="auto"/>
          <w:sz w:val="24"/>
          <w:szCs w:val="24"/>
          <w:highlight w:val="none"/>
          <w:u w:val="single"/>
        </w:rPr>
        <w:t>广州公共资源交易中心网站（</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w:t>
      </w:r>
      <w:r>
        <w:rPr>
          <w:rFonts w:ascii="宋体" w:hAnsi="宋体"/>
          <w:color w:val="auto"/>
          <w:sz w:val="24"/>
          <w:szCs w:val="24"/>
          <w:highlight w:val="none"/>
        </w:rPr>
        <w:t>下载招标文件。</w:t>
      </w:r>
    </w:p>
    <w:p w14:paraId="130C2B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发布招标公告、递交投标文件时间、开标时间：</w:t>
      </w:r>
    </w:p>
    <w:p w14:paraId="6EFB7421">
      <w:pPr>
        <w:spacing w:line="360" w:lineRule="auto"/>
        <w:ind w:left="658" w:leftChars="199" w:hanging="240" w:hangingChars="100"/>
        <w:rPr>
          <w:rFonts w:ascii="宋体" w:hAnsi="宋体"/>
          <w:color w:val="auto"/>
          <w:sz w:val="24"/>
          <w:highlight w:val="none"/>
          <w:u w:val="single"/>
        </w:rPr>
      </w:pPr>
      <w:r>
        <w:rPr>
          <w:rFonts w:hint="eastAsia" w:ascii="宋体" w:hAnsi="宋体"/>
          <w:color w:val="auto"/>
          <w:sz w:val="24"/>
          <w:highlight w:val="none"/>
        </w:rPr>
        <w:t>发布招标公告日期（含本日）：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3</w:t>
      </w:r>
      <w:r>
        <w:rPr>
          <w:rFonts w:hint="eastAsia" w:ascii="宋体" w:hAnsi="宋体"/>
          <w:color w:val="auto"/>
          <w:sz w:val="24"/>
          <w:highlight w:val="none"/>
        </w:rPr>
        <w:t>日至</w:t>
      </w:r>
      <w:r>
        <w:rPr>
          <w:rFonts w:hint="eastAsia" w:ascii="宋体" w:hAnsi="宋体"/>
          <w:color w:val="auto"/>
          <w:sz w:val="24"/>
          <w:highlight w:val="none"/>
          <w:u w:val="single"/>
        </w:rPr>
        <w:t xml:space="preserve"> 00 </w:t>
      </w:r>
      <w:r>
        <w:rPr>
          <w:rFonts w:hint="eastAsia" w:ascii="宋体" w:hAnsi="宋体"/>
          <w:color w:val="auto"/>
          <w:sz w:val="24"/>
          <w:highlight w:val="none"/>
        </w:rPr>
        <w:t>时</w:t>
      </w:r>
      <w:r>
        <w:rPr>
          <w:rFonts w:hint="eastAsia" w:ascii="宋体" w:hAnsi="宋体"/>
          <w:color w:val="auto"/>
          <w:sz w:val="24"/>
          <w:highlight w:val="none"/>
          <w:u w:val="single"/>
        </w:rPr>
        <w:t xml:space="preserve"> 00 </w:t>
      </w:r>
      <w:r>
        <w:rPr>
          <w:rFonts w:hint="eastAsia" w:ascii="宋体" w:hAnsi="宋体"/>
          <w:color w:val="auto"/>
          <w:sz w:val="24"/>
          <w:highlight w:val="none"/>
        </w:rPr>
        <w:t>分</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rPr>
        <w:t>分（北京时间，下同）。</w:t>
      </w:r>
    </w:p>
    <w:p w14:paraId="23E08B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w:t>
      </w:r>
    </w:p>
    <w:p w14:paraId="7DEF65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投标人通过广州公共资源交易平台递交电子投标文件。投标人应在递交投标文件截止时间前，登录广州公共资源交易平台网站办理网上投标登记手续。按照交易平台关于全流程电子化项目的相关指南进行操作。</w:t>
      </w:r>
    </w:p>
    <w:p w14:paraId="11D7770C">
      <w:pPr>
        <w:spacing w:line="360" w:lineRule="auto"/>
        <w:ind w:firstLine="424" w:firstLineChars="177"/>
        <w:rPr>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rPr>
        <w:t>分</w:t>
      </w:r>
      <w:r>
        <w:rPr>
          <w:rFonts w:hint="eastAsia"/>
          <w:color w:val="auto"/>
          <w:sz w:val="24"/>
          <w:highlight w:val="none"/>
        </w:rPr>
        <w:t>。</w:t>
      </w:r>
    </w:p>
    <w:p w14:paraId="48EBB967">
      <w:pPr>
        <w:spacing w:line="360" w:lineRule="auto"/>
        <w:ind w:firstLine="424" w:firstLineChars="177"/>
        <w:rPr>
          <w:color w:val="auto"/>
          <w:sz w:val="24"/>
          <w:highlight w:val="none"/>
        </w:rPr>
      </w:pPr>
      <w:r>
        <w:rPr>
          <w:rFonts w:hint="eastAsia"/>
          <w:color w:val="auto"/>
          <w:sz w:val="24"/>
          <w:highlight w:val="none"/>
        </w:rPr>
        <w:t>开标地点为广州公共资源交易中心开标室（具体开标室以交易中心日程安排系统信息为准）。</w:t>
      </w:r>
    </w:p>
    <w:p w14:paraId="1176FE89">
      <w:pPr>
        <w:spacing w:line="360" w:lineRule="auto"/>
        <w:ind w:firstLine="373" w:firstLineChars="177"/>
        <w:rPr>
          <w:b/>
          <w:bCs/>
          <w:color w:val="auto"/>
          <w:szCs w:val="21"/>
          <w:highlight w:val="none"/>
        </w:rPr>
      </w:pPr>
      <w:r>
        <w:rPr>
          <w:rFonts w:hint="eastAsia"/>
          <w:b/>
          <w:bCs/>
          <w:color w:val="auto"/>
          <w:szCs w:val="21"/>
          <w:highlight w:val="none"/>
        </w:rPr>
        <w:t>注：投标人也可选择参加在线开标，具体按照交易平台相关指南进行操作。详见：广州公共资源交易中心网站发布的最新版操作指引。</w:t>
      </w:r>
    </w:p>
    <w:p w14:paraId="48EB6BE6">
      <w:pPr>
        <w:tabs>
          <w:tab w:val="left" w:pos="7513"/>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4.2本项目采用资格后审方式。</w:t>
      </w:r>
    </w:p>
    <w:p w14:paraId="27CB6D9C">
      <w:pPr>
        <w:tabs>
          <w:tab w:val="left" w:pos="7513"/>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w:t>
      </w:r>
      <w:r>
        <w:rPr>
          <w:rFonts w:ascii="宋体" w:hAnsi="宋体"/>
          <w:b/>
          <w:bCs/>
          <w:color w:val="auto"/>
          <w:szCs w:val="21"/>
          <w:highlight w:val="none"/>
        </w:rPr>
        <w:t>1</w:t>
      </w:r>
      <w:r>
        <w:rPr>
          <w:rFonts w:hint="eastAsia" w:ascii="宋体" w:hAnsi="宋体"/>
          <w:b/>
          <w:bCs/>
          <w:color w:val="auto"/>
          <w:szCs w:val="21"/>
          <w:highlight w:val="none"/>
        </w:rPr>
        <w:t>）电子招投标操作流程详见广州公共资源交易中心网站发布的最新版操作指引。</w:t>
      </w:r>
    </w:p>
    <w:p w14:paraId="1AFE1AFC">
      <w:pPr>
        <w:tabs>
          <w:tab w:val="left" w:pos="7513"/>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）本公告发布之日起开始登记，</w:t>
      </w:r>
      <w:r>
        <w:rPr>
          <w:rFonts w:ascii="宋体" w:hAnsi="宋体"/>
          <w:b/>
          <w:bCs/>
          <w:color w:val="auto"/>
          <w:szCs w:val="21"/>
          <w:highlight w:val="none"/>
        </w:rPr>
        <w:t>并从</w:t>
      </w:r>
      <w:r>
        <w:rPr>
          <w:rFonts w:hint="eastAsia" w:ascii="宋体" w:hAnsi="宋体"/>
          <w:b/>
          <w:bCs/>
          <w:color w:val="auto"/>
          <w:szCs w:val="21"/>
          <w:highlight w:val="none"/>
        </w:rPr>
        <w:t>开始登记</w:t>
      </w:r>
      <w:r>
        <w:rPr>
          <w:rFonts w:ascii="宋体" w:hAnsi="宋体"/>
          <w:b/>
          <w:bCs/>
          <w:color w:val="auto"/>
          <w:szCs w:val="21"/>
          <w:highlight w:val="none"/>
        </w:rPr>
        <w:t>之日起开始计算备标时间。</w:t>
      </w:r>
    </w:p>
    <w:p w14:paraId="1CD94B14">
      <w:pPr>
        <w:shd w:val="clear" w:color="auto" w:fill="FFFFFF"/>
        <w:spacing w:line="360" w:lineRule="auto"/>
        <w:ind w:firstLine="537" w:firstLineChars="224"/>
        <w:rPr>
          <w:rFonts w:ascii="宋体" w:hAnsi="宋体"/>
          <w:color w:val="auto"/>
          <w:sz w:val="24"/>
          <w:highlight w:val="none"/>
        </w:rPr>
      </w:pPr>
      <w:r>
        <w:rPr>
          <w:rFonts w:hint="eastAsia" w:ascii="宋体" w:hAnsi="宋体"/>
          <w:color w:val="auto"/>
          <w:sz w:val="24"/>
          <w:highlight w:val="none"/>
        </w:rPr>
        <w:t>4.3潜在投标人或利害关系人对本招标公告及招标文件有异议的，应当在投标截止时间10日前向招标人书面提出。</w:t>
      </w:r>
    </w:p>
    <w:p w14:paraId="4A1BB0D5">
      <w:pPr>
        <w:shd w:val="clear" w:color="auto" w:fill="FFFFFF"/>
        <w:spacing w:line="360" w:lineRule="auto"/>
        <w:ind w:firstLine="537" w:firstLineChars="224"/>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异议受理部门：</w:t>
      </w:r>
      <w:r>
        <w:rPr>
          <w:rFonts w:hint="eastAsia" w:ascii="宋体" w:hAnsi="宋体" w:cs="宋体"/>
          <w:color w:val="auto"/>
          <w:kern w:val="0"/>
          <w:sz w:val="24"/>
          <w:szCs w:val="24"/>
          <w:highlight w:val="none"/>
          <w:u w:val="single"/>
          <w:lang w:eastAsia="zh-CN"/>
        </w:rPr>
        <w:t>(主)广州番禺产投建设管理有限公司(成)广州市盈泰房地产有限公司</w:t>
      </w:r>
    </w:p>
    <w:p w14:paraId="65B40102">
      <w:pPr>
        <w:widowControl/>
        <w:shd w:val="clear" w:color="auto" w:fill="FFFFFF"/>
        <w:spacing w:line="360" w:lineRule="auto"/>
        <w:ind w:firstLine="537" w:firstLineChars="224"/>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异议受理电话：</w:t>
      </w:r>
      <w:r>
        <w:rPr>
          <w:rFonts w:hint="eastAsia" w:ascii="宋体" w:hAnsi="宋体" w:cs="宋体"/>
          <w:color w:val="auto"/>
          <w:kern w:val="0"/>
          <w:sz w:val="24"/>
          <w:szCs w:val="24"/>
          <w:highlight w:val="none"/>
          <w:u w:val="single"/>
          <w:lang w:val="en-US" w:eastAsia="zh-CN"/>
        </w:rPr>
        <w:t>020-84879080</w:t>
      </w:r>
    </w:p>
    <w:p w14:paraId="18CB0060">
      <w:pPr>
        <w:widowControl/>
        <w:shd w:val="clear" w:color="auto" w:fill="FFFFFF"/>
        <w:spacing w:line="360" w:lineRule="auto"/>
        <w:ind w:firstLine="537" w:firstLineChars="224"/>
        <w:jc w:val="left"/>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u w:val="single"/>
          <w:lang w:eastAsia="zh-CN"/>
        </w:rPr>
        <w:t>广州市番禺区市桥街桥兴大道11号（房地产大院2号楼）</w:t>
      </w:r>
    </w:p>
    <w:p w14:paraId="1B056BC4">
      <w:pPr>
        <w:widowControl/>
        <w:shd w:val="clear" w:color="auto" w:fill="FFFFFF"/>
        <w:spacing w:line="360" w:lineRule="auto"/>
        <w:ind w:firstLine="472" w:firstLineChars="224"/>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AFD5840">
      <w:pPr>
        <w:widowControl/>
        <w:shd w:val="clear" w:color="auto" w:fill="FFFFFF"/>
        <w:spacing w:line="360" w:lineRule="auto"/>
        <w:ind w:firstLine="537" w:firstLineChars="224"/>
        <w:jc w:val="left"/>
        <w:rPr>
          <w:rFonts w:ascii="宋体" w:hAnsi="宋体" w:cs="宋体"/>
          <w:color w:val="auto"/>
          <w:kern w:val="0"/>
          <w:sz w:val="24"/>
          <w:szCs w:val="24"/>
          <w:highlight w:val="none"/>
          <w:u w:val="single"/>
        </w:rPr>
      </w:pPr>
    </w:p>
    <w:p w14:paraId="4DC479A1">
      <w:pPr>
        <w:pStyle w:val="3"/>
        <w:keepNext w:val="0"/>
        <w:keepLines w:val="0"/>
        <w:spacing w:before="0" w:after="0" w:line="360" w:lineRule="auto"/>
        <w:rPr>
          <w:rFonts w:ascii="Times New Roman" w:hAnsi="Times New Roman"/>
          <w:color w:val="auto"/>
          <w:highlight w:val="none"/>
        </w:rPr>
      </w:pPr>
      <w:bookmarkStart w:id="10" w:name="_Toc511557029"/>
      <w:bookmarkStart w:id="11" w:name="_Toc514099627"/>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ascii="Times New Roman" w:hAnsi="Times New Roman"/>
          <w:color w:val="auto"/>
          <w:highlight w:val="none"/>
        </w:rPr>
        <w:t>投标文件的递交</w:t>
      </w:r>
      <w:bookmarkEnd w:id="10"/>
      <w:bookmarkEnd w:id="11"/>
    </w:p>
    <w:p w14:paraId="28891442">
      <w:pPr>
        <w:spacing w:line="360" w:lineRule="auto"/>
        <w:ind w:left="210" w:leftChars="100" w:firstLine="240" w:firstLineChars="100"/>
        <w:jc w:val="left"/>
        <w:rPr>
          <w:rFonts w:ascii="宋体" w:hAnsi="宋体"/>
          <w:color w:val="auto"/>
          <w:sz w:val="24"/>
          <w:szCs w:val="24"/>
          <w:highlight w:val="none"/>
        </w:rPr>
      </w:pPr>
      <w:r>
        <w:rPr>
          <w:rFonts w:ascii="宋体" w:hAnsi="宋体"/>
          <w:color w:val="auto"/>
          <w:sz w:val="24"/>
          <w:szCs w:val="24"/>
          <w:highlight w:val="none"/>
        </w:rPr>
        <w:t>5.1</w:t>
      </w:r>
      <w:r>
        <w:rPr>
          <w:rFonts w:hint="eastAsia" w:ascii="宋体" w:hAnsi="宋体" w:eastAsia="宋体"/>
          <w:color w:val="auto"/>
          <w:sz w:val="24"/>
          <w:szCs w:val="24"/>
          <w:highlight w:val="none"/>
          <w:u w:val="single"/>
        </w:rPr>
        <w:t>本项目采用电子投标，投标文件由</w:t>
      </w:r>
      <w:r>
        <w:rPr>
          <w:rFonts w:hint="eastAsia" w:ascii="宋体" w:hAnsi="宋体" w:eastAsia="宋体"/>
          <w:b/>
          <w:bCs/>
          <w:color w:val="auto"/>
          <w:sz w:val="24"/>
          <w:szCs w:val="24"/>
          <w:highlight w:val="none"/>
          <w:u w:val="single"/>
        </w:rPr>
        <w:t>评标部分和定标部分</w:t>
      </w:r>
      <w:r>
        <w:rPr>
          <w:rFonts w:hint="eastAsia" w:ascii="宋体" w:hAnsi="宋体" w:eastAsia="宋体"/>
          <w:color w:val="auto"/>
          <w:sz w:val="24"/>
          <w:szCs w:val="24"/>
          <w:highlight w:val="none"/>
          <w:u w:val="single"/>
        </w:rPr>
        <w:t>组成</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投标文件</w:t>
      </w:r>
      <w:r>
        <w:rPr>
          <w:rFonts w:ascii="宋体" w:hAnsi="宋体"/>
          <w:color w:val="auto"/>
          <w:sz w:val="24"/>
          <w:szCs w:val="24"/>
          <w:highlight w:val="none"/>
        </w:rPr>
        <w:t>递交的截止时间（投标截止时间，下同）为</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rPr>
        <w:t>分</w:t>
      </w:r>
      <w:r>
        <w:rPr>
          <w:rFonts w:ascii="宋体" w:hAnsi="宋体"/>
          <w:color w:val="auto"/>
          <w:sz w:val="24"/>
          <w:szCs w:val="24"/>
          <w:highlight w:val="none"/>
        </w:rPr>
        <w:t>，投标人应在截止时间前通过</w:t>
      </w:r>
      <w:r>
        <w:rPr>
          <w:rFonts w:hint="eastAsia" w:ascii="宋体" w:hAnsi="宋体"/>
          <w:color w:val="auto"/>
          <w:sz w:val="24"/>
          <w:szCs w:val="24"/>
          <w:highlight w:val="none"/>
          <w:u w:val="single"/>
        </w:rPr>
        <w:t>广州公共资源交易中心数字交易平台（网址：</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w:t>
      </w:r>
      <w:r>
        <w:rPr>
          <w:rFonts w:ascii="宋体" w:hAnsi="宋体"/>
          <w:color w:val="auto"/>
          <w:sz w:val="24"/>
          <w:szCs w:val="24"/>
          <w:highlight w:val="none"/>
        </w:rPr>
        <w:t>递交电子投标文件。</w:t>
      </w:r>
    </w:p>
    <w:p w14:paraId="322D6318">
      <w:pPr>
        <w:spacing w:line="360" w:lineRule="auto"/>
        <w:ind w:left="420" w:leftChars="200"/>
        <w:jc w:val="left"/>
        <w:rPr>
          <w:rFonts w:ascii="宋体" w:hAnsi="宋体"/>
          <w:color w:val="auto"/>
          <w:sz w:val="24"/>
          <w:szCs w:val="24"/>
          <w:highlight w:val="none"/>
        </w:rPr>
      </w:pPr>
      <w:r>
        <w:rPr>
          <w:rFonts w:hint="eastAsia" w:ascii="宋体" w:hAnsi="宋体"/>
          <w:color w:val="auto"/>
          <w:sz w:val="24"/>
          <w:szCs w:val="24"/>
          <w:highlight w:val="none"/>
        </w:rPr>
        <w:t>5.2投标文件备用光盘递交时间为</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14</w:t>
      </w:r>
      <w:r>
        <w:rPr>
          <w:rFonts w:hint="eastAsia" w:ascii="宋体" w:hAnsi="宋体"/>
          <w:color w:val="auto"/>
          <w:sz w:val="24"/>
          <w:highlight w:val="none"/>
        </w:rPr>
        <w:t>时</w:t>
      </w:r>
      <w:r>
        <w:rPr>
          <w:rFonts w:hint="eastAsia" w:ascii="宋体" w:hAnsi="宋体"/>
          <w:color w:val="auto"/>
          <w:sz w:val="24"/>
          <w:highlight w:val="none"/>
          <w:u w:val="single"/>
          <w:lang w:val="en-US" w:eastAsia="zh-CN"/>
        </w:rPr>
        <w:t>45</w:t>
      </w:r>
      <w:r>
        <w:rPr>
          <w:rFonts w:hint="eastAsia" w:ascii="宋体" w:hAnsi="宋体"/>
          <w:color w:val="auto"/>
          <w:sz w:val="24"/>
          <w:highlight w:val="none"/>
        </w:rPr>
        <w:t>分</w:t>
      </w:r>
      <w:r>
        <w:rPr>
          <w:rFonts w:hint="eastAsia" w:ascii="宋体" w:hAnsi="宋体"/>
          <w:color w:val="auto"/>
          <w:sz w:val="24"/>
          <w:szCs w:val="24"/>
          <w:highlight w:val="none"/>
        </w:rPr>
        <w:t>至</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bookmarkStart w:id="46" w:name="_GoBack"/>
      <w:bookmarkEnd w:id="46"/>
      <w:r>
        <w:rPr>
          <w:rFonts w:hint="eastAsia" w:ascii="宋体" w:hAnsi="宋体"/>
          <w:color w:val="auto"/>
          <w:sz w:val="24"/>
          <w:highlight w:val="none"/>
        </w:rPr>
        <w:t>分</w:t>
      </w:r>
      <w:r>
        <w:rPr>
          <w:rFonts w:hint="eastAsia" w:ascii="宋体" w:hAnsi="宋体"/>
          <w:color w:val="auto"/>
          <w:sz w:val="24"/>
          <w:szCs w:val="24"/>
          <w:highlight w:val="none"/>
        </w:rPr>
        <w:t>，地点为：</w:t>
      </w:r>
      <w:r>
        <w:rPr>
          <w:rFonts w:hint="eastAsia" w:ascii="宋体" w:hAnsi="宋体"/>
          <w:color w:val="auto"/>
          <w:sz w:val="24"/>
          <w:szCs w:val="24"/>
          <w:highlight w:val="none"/>
          <w:u w:val="single"/>
        </w:rPr>
        <w:t>广州公共资源交易中心开标室（具体开标室以交易中心日程安排系统信息为准）</w:t>
      </w:r>
      <w:r>
        <w:rPr>
          <w:rFonts w:hint="eastAsia" w:ascii="宋体" w:hAnsi="宋体"/>
          <w:color w:val="auto"/>
          <w:sz w:val="24"/>
          <w:szCs w:val="24"/>
          <w:highlight w:val="none"/>
        </w:rPr>
        <w:t>。</w:t>
      </w:r>
    </w:p>
    <w:p w14:paraId="55DD54A9">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3</w:t>
      </w:r>
      <w:r>
        <w:rPr>
          <w:rFonts w:ascii="宋体" w:hAnsi="宋体"/>
          <w:color w:val="auto"/>
          <w:sz w:val="24"/>
          <w:szCs w:val="24"/>
          <w:highlight w:val="none"/>
        </w:rPr>
        <w:t>逾期送达的投标文件，电子招标投标交易平台将予以拒收。</w:t>
      </w:r>
    </w:p>
    <w:p w14:paraId="114710E9">
      <w:pPr>
        <w:spacing w:line="360" w:lineRule="auto"/>
        <w:ind w:firstLine="480" w:firstLineChars="200"/>
        <w:jc w:val="left"/>
        <w:rPr>
          <w:rFonts w:ascii="宋体" w:hAnsi="宋体"/>
          <w:color w:val="auto"/>
          <w:sz w:val="24"/>
          <w:szCs w:val="24"/>
          <w:highlight w:val="none"/>
        </w:rPr>
      </w:pPr>
    </w:p>
    <w:p w14:paraId="7B404C4C">
      <w:pPr>
        <w:pStyle w:val="3"/>
        <w:keepNext w:val="0"/>
        <w:keepLines w:val="0"/>
        <w:spacing w:before="0" w:after="0" w:line="360" w:lineRule="auto"/>
        <w:rPr>
          <w:rFonts w:ascii="Times New Roman" w:hAnsi="Times New Roman"/>
          <w:color w:val="auto"/>
          <w:highlight w:val="none"/>
        </w:rPr>
      </w:pPr>
      <w:bookmarkStart w:id="12" w:name="_Toc511557030"/>
      <w:bookmarkStart w:id="13" w:name="_Toc514099628"/>
      <w:r>
        <w:rPr>
          <w:rFonts w:hint="eastAsia" w:ascii="Times New Roman" w:hAnsi="Times New Roman"/>
          <w:color w:val="auto"/>
          <w:highlight w:val="none"/>
        </w:rPr>
        <w:t>6</w:t>
      </w:r>
      <w:r>
        <w:rPr>
          <w:rFonts w:ascii="Times New Roman" w:hAnsi="Times New Roman"/>
          <w:color w:val="auto"/>
          <w:highlight w:val="none"/>
        </w:rPr>
        <w:t xml:space="preserve">. </w:t>
      </w:r>
      <w:r>
        <w:rPr>
          <w:rFonts w:hint="eastAsia" w:ascii="Times New Roman" w:hAnsi="Times New Roman"/>
          <w:color w:val="auto"/>
          <w:highlight w:val="none"/>
        </w:rPr>
        <w:t>发布公告的媒介</w:t>
      </w:r>
      <w:bookmarkEnd w:id="12"/>
      <w:bookmarkEnd w:id="13"/>
    </w:p>
    <w:p w14:paraId="4ED766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本次招标公告同时在</w:t>
      </w:r>
      <w:r>
        <w:rPr>
          <w:rFonts w:hint="eastAsia" w:ascii="宋体" w:hAnsi="宋体"/>
          <w:color w:val="auto"/>
          <w:sz w:val="24"/>
          <w:szCs w:val="24"/>
          <w:highlight w:val="none"/>
          <w:u w:val="single"/>
        </w:rPr>
        <w:t>广州公共资源交易中心网站（网址：</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）、广东省招标投标监管网（网址：</w:t>
      </w:r>
      <w:r>
        <w:rPr>
          <w:rFonts w:ascii="宋体" w:hAnsi="宋体"/>
          <w:color w:val="auto"/>
          <w:sz w:val="24"/>
          <w:szCs w:val="24"/>
          <w:highlight w:val="none"/>
          <w:u w:val="single"/>
        </w:rPr>
        <w:t>http://www.gdzbtb.gov.cn/</w:t>
      </w:r>
      <w:r>
        <w:rPr>
          <w:rFonts w:hint="eastAsia" w:ascii="宋体" w:hAnsi="宋体"/>
          <w:color w:val="auto"/>
          <w:sz w:val="24"/>
          <w:szCs w:val="24"/>
          <w:highlight w:val="none"/>
          <w:u w:val="single"/>
        </w:rPr>
        <w:t>）和中国招标投标公共服务平台（网址：</w:t>
      </w:r>
      <w:r>
        <w:rPr>
          <w:rFonts w:ascii="宋体" w:hAnsi="宋体"/>
          <w:color w:val="auto"/>
          <w:sz w:val="24"/>
          <w:szCs w:val="24"/>
          <w:highlight w:val="none"/>
          <w:u w:val="single"/>
        </w:rPr>
        <w:t>http://www.cebpubservice.com/</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发布，本公告的修改、补充，在广州公共资源交易中心网站</w:t>
      </w:r>
      <w:r>
        <w:rPr>
          <w:rFonts w:ascii="宋体" w:hAnsi="宋体"/>
          <w:color w:val="auto"/>
          <w:sz w:val="24"/>
          <w:szCs w:val="24"/>
          <w:highlight w:val="none"/>
        </w:rPr>
        <w:t>上发布。</w:t>
      </w:r>
    </w:p>
    <w:p w14:paraId="0DBC8F06">
      <w:pPr>
        <w:spacing w:line="360" w:lineRule="auto"/>
        <w:ind w:firstLine="480" w:firstLineChars="200"/>
        <w:rPr>
          <w:rFonts w:ascii="宋体" w:hAnsi="宋体"/>
          <w:color w:val="auto"/>
          <w:sz w:val="24"/>
          <w:szCs w:val="24"/>
          <w:highlight w:val="none"/>
        </w:rPr>
      </w:pPr>
    </w:p>
    <w:p w14:paraId="21228E3B">
      <w:pPr>
        <w:pStyle w:val="3"/>
        <w:keepNext w:val="0"/>
        <w:keepLines w:val="0"/>
        <w:spacing w:before="0" w:after="0" w:line="360" w:lineRule="auto"/>
        <w:rPr>
          <w:rFonts w:ascii="Times New Roman" w:hAnsi="Times New Roman"/>
          <w:color w:val="auto"/>
          <w:highlight w:val="none"/>
        </w:rPr>
      </w:pPr>
      <w:bookmarkStart w:id="14" w:name="_Toc514099629"/>
      <w:bookmarkStart w:id="15" w:name="_Toc511557031"/>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ascii="Times New Roman" w:hAnsi="Times New Roman"/>
          <w:color w:val="auto"/>
          <w:highlight w:val="none"/>
        </w:rPr>
        <w:t>联系方式</w:t>
      </w:r>
      <w:bookmarkEnd w:id="14"/>
      <w:bookmarkEnd w:id="15"/>
    </w:p>
    <w:p w14:paraId="11342BF8">
      <w:pPr>
        <w:spacing w:line="360" w:lineRule="auto"/>
        <w:ind w:left="7198" w:right="480" w:hanging="7197" w:hangingChars="2999"/>
        <w:jc w:val="both"/>
        <w:rPr>
          <w:rFonts w:hint="eastAsia" w:ascii="宋体" w:hAnsi="宋体" w:cs="宋体"/>
          <w:color w:val="auto"/>
          <w:kern w:val="0"/>
          <w:sz w:val="24"/>
          <w:szCs w:val="24"/>
          <w:highlight w:val="none"/>
          <w:u w:val="single"/>
          <w:lang w:eastAsia="zh-CN"/>
        </w:rPr>
      </w:pPr>
      <w:bookmarkStart w:id="16" w:name="_Toc369531495"/>
      <w:bookmarkEnd w:id="16"/>
      <w:bookmarkStart w:id="17" w:name="_Toc369531497"/>
      <w:bookmarkEnd w:id="17"/>
      <w:bookmarkStart w:id="18" w:name="_Toc361508562"/>
      <w:bookmarkEnd w:id="18"/>
      <w:bookmarkStart w:id="19" w:name="_Toc352691455"/>
      <w:bookmarkEnd w:id="19"/>
      <w:bookmarkStart w:id="20" w:name="_Toc300834929"/>
      <w:bookmarkEnd w:id="20"/>
      <w:bookmarkStart w:id="21" w:name="_Toc361508563"/>
      <w:bookmarkEnd w:id="21"/>
      <w:bookmarkStart w:id="22" w:name="_Toc17972"/>
      <w:bookmarkEnd w:id="22"/>
      <w:bookmarkStart w:id="23" w:name="_Toc152042289"/>
      <w:bookmarkEnd w:id="23"/>
      <w:bookmarkStart w:id="24" w:name="_Toc369531498"/>
      <w:bookmarkEnd w:id="24"/>
      <w:bookmarkStart w:id="25" w:name="_Toc247527535"/>
      <w:bookmarkEnd w:id="25"/>
      <w:bookmarkStart w:id="26" w:name="_Toc152045512"/>
      <w:bookmarkEnd w:id="26"/>
      <w:bookmarkStart w:id="27" w:name="_Toc10785"/>
      <w:bookmarkEnd w:id="27"/>
      <w:bookmarkStart w:id="28" w:name="_Toc384308188"/>
      <w:bookmarkEnd w:id="28"/>
      <w:bookmarkStart w:id="29" w:name="_Toc361508560"/>
      <w:bookmarkEnd w:id="29"/>
      <w:bookmarkStart w:id="30" w:name="_Toc144974481"/>
      <w:bookmarkEnd w:id="30"/>
      <w:bookmarkStart w:id="31" w:name="_Toc247513934"/>
      <w:bookmarkEnd w:id="31"/>
      <w:bookmarkStart w:id="32" w:name="_Toc384308185"/>
      <w:bookmarkEnd w:id="32"/>
      <w:bookmarkStart w:id="33" w:name="_Toc152045513"/>
      <w:bookmarkEnd w:id="33"/>
      <w:bookmarkStart w:id="34" w:name="_Toc352691453"/>
      <w:bookmarkEnd w:id="34"/>
      <w:bookmarkStart w:id="35" w:name="_Toc247527536"/>
      <w:bookmarkEnd w:id="35"/>
      <w:bookmarkStart w:id="36" w:name="_Toc352691456"/>
      <w:bookmarkEnd w:id="36"/>
      <w:bookmarkStart w:id="37" w:name="_Toc247513935"/>
      <w:bookmarkEnd w:id="37"/>
      <w:bookmarkStart w:id="38" w:name="_Toc300834930"/>
      <w:bookmarkEnd w:id="38"/>
      <w:bookmarkStart w:id="39" w:name="_Toc300834927"/>
      <w:bookmarkEnd w:id="39"/>
      <w:bookmarkStart w:id="40" w:name="_Toc30817"/>
      <w:bookmarkEnd w:id="40"/>
      <w:bookmarkStart w:id="41" w:name="_Toc152042288"/>
      <w:bookmarkEnd w:id="41"/>
      <w:bookmarkStart w:id="42" w:name="_Toc384308187"/>
      <w:bookmarkEnd w:id="42"/>
      <w:bookmarkStart w:id="43" w:name="_Toc144974480"/>
      <w:bookmarkEnd w:id="43"/>
      <w:r>
        <w:rPr>
          <w:rFonts w:ascii="宋体" w:hAnsi="宋体"/>
          <w:color w:val="auto"/>
          <w:sz w:val="24"/>
          <w:szCs w:val="24"/>
          <w:highlight w:val="none"/>
        </w:rPr>
        <w:t>招 标 人：</w:t>
      </w:r>
      <w:r>
        <w:rPr>
          <w:rFonts w:hint="eastAsia" w:ascii="宋体" w:hAnsi="宋体" w:cs="宋体"/>
          <w:color w:val="auto"/>
          <w:kern w:val="0"/>
          <w:sz w:val="24"/>
          <w:szCs w:val="24"/>
          <w:highlight w:val="none"/>
          <w:u w:val="single"/>
          <w:lang w:eastAsia="zh-CN"/>
        </w:rPr>
        <w:t>(主)广州番禺产投建设管理有限公司(成)广州市盈泰房地产有限</w:t>
      </w:r>
    </w:p>
    <w:p w14:paraId="6094E003">
      <w:pPr>
        <w:spacing w:line="360" w:lineRule="auto"/>
        <w:ind w:left="7185" w:leftChars="570" w:right="480" w:hanging="5988" w:hangingChars="2495"/>
        <w:jc w:val="both"/>
        <w:rPr>
          <w:rFonts w:hint="eastAsia" w:ascii="宋体" w:hAnsi="宋体" w:eastAsia="宋体"/>
          <w:color w:val="auto"/>
          <w:sz w:val="24"/>
          <w:szCs w:val="24"/>
          <w:highlight w:val="none"/>
          <w:u w:val="single"/>
          <w:lang w:eastAsia="zh-CN"/>
        </w:rPr>
      </w:pPr>
      <w:r>
        <w:rPr>
          <w:rFonts w:hint="eastAsia" w:ascii="宋体" w:hAnsi="宋体" w:cs="宋体"/>
          <w:color w:val="auto"/>
          <w:kern w:val="0"/>
          <w:sz w:val="24"/>
          <w:szCs w:val="24"/>
          <w:highlight w:val="none"/>
          <w:u w:val="single"/>
          <w:lang w:eastAsia="zh-CN"/>
        </w:rPr>
        <w:t>公司</w:t>
      </w:r>
    </w:p>
    <w:p w14:paraId="47F85004">
      <w:pPr>
        <w:topLinePunct/>
        <w:spacing w:line="360" w:lineRule="auto"/>
        <w:jc w:val="left"/>
        <w:rPr>
          <w:rFonts w:hint="eastAsia" w:ascii="宋体" w:hAnsi="宋体" w:eastAsia="宋体" w:cs="宋体"/>
          <w:color w:val="auto"/>
          <w:kern w:val="0"/>
          <w:sz w:val="24"/>
          <w:szCs w:val="24"/>
          <w:highlight w:val="none"/>
          <w:u w:val="single"/>
          <w:lang w:eastAsia="zh-CN"/>
        </w:rPr>
      </w:pPr>
      <w:r>
        <w:rPr>
          <w:rFonts w:ascii="宋体" w:hAnsi="宋体"/>
          <w:color w:val="auto"/>
          <w:sz w:val="24"/>
          <w:szCs w:val="24"/>
          <w:highlight w:val="none"/>
        </w:rPr>
        <w:t>地    址：</w:t>
      </w:r>
      <w:r>
        <w:rPr>
          <w:rFonts w:hint="eastAsia" w:ascii="宋体" w:hAnsi="宋体" w:cs="宋体"/>
          <w:color w:val="auto"/>
          <w:kern w:val="0"/>
          <w:sz w:val="24"/>
          <w:szCs w:val="24"/>
          <w:highlight w:val="none"/>
          <w:u w:val="single"/>
          <w:lang w:eastAsia="zh-CN"/>
        </w:rPr>
        <w:t>广州市番禺区市桥街桥兴大道11号（房地产大院2号楼）</w:t>
      </w:r>
    </w:p>
    <w:p w14:paraId="6F47A123">
      <w:pPr>
        <w:topLinePunct/>
        <w:spacing w:line="360" w:lineRule="auto"/>
        <w:ind w:left="7198" w:right="480" w:hanging="7197" w:hangingChars="2999"/>
        <w:jc w:val="left"/>
        <w:rPr>
          <w:rFonts w:ascii="宋体" w:hAnsi="宋体"/>
          <w:color w:val="auto"/>
          <w:sz w:val="24"/>
          <w:szCs w:val="24"/>
          <w:highlight w:val="none"/>
          <w:u w:val="single"/>
        </w:rPr>
      </w:pPr>
      <w:r>
        <w:rPr>
          <w:rFonts w:ascii="宋体" w:hAnsi="宋体"/>
          <w:color w:val="auto"/>
          <w:sz w:val="24"/>
          <w:szCs w:val="24"/>
          <w:highlight w:val="none"/>
        </w:rPr>
        <w:t>联 系 人：</w:t>
      </w:r>
      <w:r>
        <w:rPr>
          <w:rFonts w:hint="eastAsia" w:ascii="宋体" w:hAnsi="宋体" w:cs="Times New Roman"/>
          <w:color w:val="auto"/>
          <w:sz w:val="24"/>
          <w:highlight w:val="none"/>
          <w:u w:val="single"/>
          <w:lang w:val="en-US" w:eastAsia="zh-CN"/>
        </w:rPr>
        <w:t>梁</w:t>
      </w:r>
      <w:r>
        <w:rPr>
          <w:rFonts w:hint="eastAsia" w:ascii="宋体" w:hAnsi="宋体" w:cs="Times New Roman"/>
          <w:color w:val="auto"/>
          <w:sz w:val="24"/>
          <w:highlight w:val="none"/>
          <w:u w:val="single"/>
        </w:rPr>
        <w:t>工</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电话：</w:t>
      </w:r>
      <w:r>
        <w:rPr>
          <w:rFonts w:hint="eastAsia" w:ascii="宋体" w:hAnsi="宋体" w:cs="宋体"/>
          <w:color w:val="auto"/>
          <w:kern w:val="0"/>
          <w:sz w:val="24"/>
          <w:szCs w:val="24"/>
          <w:highlight w:val="none"/>
          <w:u w:val="single"/>
          <w:lang w:val="en-US" w:eastAsia="zh-CN"/>
        </w:rPr>
        <w:t>020-84879080</w:t>
      </w:r>
    </w:p>
    <w:p w14:paraId="499B60E6">
      <w:pPr>
        <w:topLinePunct/>
        <w:spacing w:line="360" w:lineRule="auto"/>
        <w:ind w:left="7198" w:right="480" w:hanging="7197" w:hangingChars="2999"/>
        <w:jc w:val="left"/>
        <w:rPr>
          <w:rFonts w:ascii="宋体" w:hAnsi="宋体"/>
          <w:color w:val="auto"/>
          <w:sz w:val="24"/>
          <w:szCs w:val="24"/>
          <w:highlight w:val="none"/>
        </w:rPr>
      </w:pPr>
      <w:r>
        <w:rPr>
          <w:rFonts w:ascii="宋体" w:hAnsi="宋体"/>
          <w:color w:val="auto"/>
          <w:sz w:val="24"/>
          <w:szCs w:val="24"/>
          <w:highlight w:val="none"/>
        </w:rPr>
        <w:t xml:space="preserve">邮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编：</w:t>
      </w:r>
      <w:r>
        <w:rPr>
          <w:rFonts w:hint="eastAsia" w:ascii="宋体" w:hAnsi="宋体"/>
          <w:color w:val="auto"/>
          <w:sz w:val="24"/>
          <w:szCs w:val="24"/>
          <w:highlight w:val="none"/>
          <w:u w:val="single"/>
        </w:rPr>
        <w:t>511400</w:t>
      </w:r>
    </w:p>
    <w:p w14:paraId="4507204B">
      <w:pPr>
        <w:topLinePunct/>
        <w:spacing w:line="360" w:lineRule="auto"/>
        <w:ind w:left="120" w:right="360" w:hanging="120" w:hangingChars="50"/>
        <w:jc w:val="left"/>
        <w:rPr>
          <w:rFonts w:ascii="宋体" w:hAnsi="宋体"/>
          <w:color w:val="auto"/>
          <w:sz w:val="24"/>
          <w:szCs w:val="24"/>
          <w:highlight w:val="none"/>
        </w:rPr>
      </w:pPr>
      <w:r>
        <w:rPr>
          <w:rFonts w:hint="eastAsia" w:ascii="宋体" w:hAnsi="宋体"/>
          <w:color w:val="auto"/>
          <w:sz w:val="24"/>
          <w:szCs w:val="24"/>
          <w:highlight w:val="none"/>
        </w:rPr>
        <w:t xml:space="preserve">    </w:t>
      </w:r>
    </w:p>
    <w:p w14:paraId="4D131CD9">
      <w:pPr>
        <w:spacing w:line="360" w:lineRule="auto"/>
        <w:ind w:right="360"/>
        <w:jc w:val="left"/>
        <w:rPr>
          <w:rFonts w:hint="eastAsia" w:ascii="宋体" w:hAnsi="宋体" w:eastAsia="宋体" w:cs="宋体"/>
          <w:color w:val="auto"/>
          <w:sz w:val="24"/>
          <w:szCs w:val="24"/>
          <w:highlight w:val="none"/>
          <w:u w:val="single"/>
          <w:lang w:eastAsia="zh-CN"/>
        </w:rPr>
      </w:pPr>
      <w:r>
        <w:rPr>
          <w:rFonts w:ascii="宋体" w:hAnsi="宋体"/>
          <w:color w:val="auto"/>
          <w:sz w:val="24"/>
          <w:szCs w:val="24"/>
          <w:highlight w:val="none"/>
        </w:rPr>
        <w:t>招标代理机构：</w:t>
      </w:r>
      <w:r>
        <w:rPr>
          <w:rFonts w:hint="eastAsia" w:ascii="宋体" w:hAnsi="宋体"/>
          <w:color w:val="auto"/>
          <w:sz w:val="24"/>
          <w:szCs w:val="24"/>
          <w:highlight w:val="none"/>
          <w:u w:val="single"/>
          <w:lang w:eastAsia="zh-CN"/>
        </w:rPr>
        <w:t>广东华建兴工程管理有限公司</w:t>
      </w:r>
    </w:p>
    <w:p w14:paraId="462DA540">
      <w:pPr>
        <w:topLinePunct/>
        <w:spacing w:line="360" w:lineRule="auto"/>
        <w:jc w:val="left"/>
        <w:rPr>
          <w:rFonts w:hint="default" w:ascii="宋体" w:hAnsi="宋体" w:eastAsia="宋体"/>
          <w:color w:val="auto"/>
          <w:sz w:val="24"/>
          <w:szCs w:val="24"/>
          <w:highlight w:val="none"/>
          <w:lang w:val="en-US" w:eastAsia="zh-CN"/>
        </w:rPr>
      </w:pPr>
      <w:r>
        <w:rPr>
          <w:rFonts w:ascii="宋体" w:hAnsi="宋体"/>
          <w:color w:val="auto"/>
          <w:sz w:val="24"/>
          <w:szCs w:val="24"/>
          <w:highlight w:val="none"/>
        </w:rPr>
        <w:t>地    址：</w:t>
      </w:r>
      <w:r>
        <w:rPr>
          <w:rFonts w:hint="eastAsia" w:ascii="宋体" w:hAnsi="宋体"/>
          <w:color w:val="auto"/>
          <w:sz w:val="24"/>
          <w:szCs w:val="24"/>
          <w:highlight w:val="none"/>
          <w:u w:val="single"/>
          <w:lang w:val="en-US" w:eastAsia="zh-CN"/>
        </w:rPr>
        <w:t>番禺区市桥街清河西路36号</w:t>
      </w:r>
    </w:p>
    <w:p w14:paraId="2C45914A">
      <w:pPr>
        <w:topLinePunct/>
        <w:spacing w:line="360" w:lineRule="auto"/>
        <w:ind w:left="7486" w:hanging="7485" w:hangingChars="3119"/>
        <w:jc w:val="left"/>
        <w:rPr>
          <w:rFonts w:hint="default" w:ascii="宋体" w:hAnsi="宋体" w:eastAsia="宋体"/>
          <w:color w:val="auto"/>
          <w:sz w:val="24"/>
          <w:szCs w:val="24"/>
          <w:highlight w:val="none"/>
          <w:u w:val="single"/>
          <w:lang w:val="en-US" w:eastAsia="zh-CN"/>
        </w:rPr>
      </w:pPr>
      <w:r>
        <w:rPr>
          <w:rFonts w:ascii="宋体" w:hAnsi="宋体"/>
          <w:color w:val="auto"/>
          <w:sz w:val="24"/>
          <w:szCs w:val="24"/>
          <w:highlight w:val="none"/>
        </w:rPr>
        <w:t>联 系 人：</w:t>
      </w:r>
      <w:r>
        <w:rPr>
          <w:rFonts w:hint="eastAsia" w:ascii="宋体" w:hAnsi="宋体"/>
          <w:color w:val="auto"/>
          <w:sz w:val="24"/>
          <w:szCs w:val="24"/>
          <w:highlight w:val="none"/>
          <w:u w:val="single"/>
          <w:lang w:val="en-US" w:eastAsia="zh-CN"/>
        </w:rPr>
        <w:t>李</w:t>
      </w:r>
      <w:r>
        <w:rPr>
          <w:rFonts w:hint="eastAsia" w:ascii="宋体" w:hAnsi="宋体"/>
          <w:color w:val="auto"/>
          <w:sz w:val="24"/>
          <w:szCs w:val="24"/>
          <w:highlight w:val="none"/>
          <w:u w:val="single"/>
        </w:rPr>
        <w:t>工</w:t>
      </w:r>
      <w:r>
        <w:rPr>
          <w:rFonts w:hint="eastAsia" w:ascii="宋体" w:hAnsi="宋体"/>
          <w:color w:val="auto"/>
          <w:sz w:val="24"/>
          <w:szCs w:val="24"/>
          <w:highlight w:val="none"/>
        </w:rPr>
        <w:t xml:space="preserve">         </w:t>
      </w:r>
      <w:r>
        <w:rPr>
          <w:rFonts w:ascii="宋体" w:hAnsi="宋体"/>
          <w:color w:val="auto"/>
          <w:sz w:val="24"/>
          <w:szCs w:val="24"/>
          <w:highlight w:val="none"/>
        </w:rPr>
        <w:t>电话：</w:t>
      </w:r>
      <w:r>
        <w:rPr>
          <w:rFonts w:hint="eastAsia" w:ascii="宋体" w:hAnsi="宋体"/>
          <w:color w:val="auto"/>
          <w:sz w:val="24"/>
          <w:szCs w:val="24"/>
          <w:highlight w:val="none"/>
          <w:u w:val="single"/>
          <w:lang w:val="en-US" w:eastAsia="zh-CN"/>
        </w:rPr>
        <w:t>13711112999</w:t>
      </w:r>
    </w:p>
    <w:p w14:paraId="58D2B747">
      <w:pPr>
        <w:spacing w:line="360" w:lineRule="auto"/>
        <w:ind w:right="480"/>
        <w:rPr>
          <w:rFonts w:ascii="宋体" w:hAnsi="宋体"/>
          <w:color w:val="auto"/>
          <w:sz w:val="24"/>
          <w:szCs w:val="24"/>
          <w:highlight w:val="none"/>
          <w:u w:val="single"/>
        </w:rPr>
      </w:pPr>
      <w:r>
        <w:rPr>
          <w:rFonts w:ascii="宋体" w:hAnsi="宋体"/>
          <w:color w:val="auto"/>
          <w:sz w:val="24"/>
          <w:szCs w:val="24"/>
          <w:highlight w:val="none"/>
        </w:rPr>
        <w:t>邮    编：</w:t>
      </w:r>
      <w:r>
        <w:rPr>
          <w:rFonts w:hint="eastAsia" w:ascii="宋体" w:hAnsi="宋体"/>
          <w:color w:val="auto"/>
          <w:sz w:val="24"/>
          <w:szCs w:val="24"/>
          <w:highlight w:val="none"/>
          <w:u w:val="single"/>
        </w:rPr>
        <w:t>51</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00</w:t>
      </w:r>
    </w:p>
    <w:p w14:paraId="27756738">
      <w:pPr>
        <w:spacing w:line="360" w:lineRule="auto"/>
        <w:ind w:right="480"/>
        <w:rPr>
          <w:rFonts w:ascii="宋体" w:hAnsi="宋体"/>
          <w:color w:val="auto"/>
          <w:sz w:val="24"/>
          <w:szCs w:val="24"/>
          <w:highlight w:val="none"/>
          <w:u w:val="single"/>
        </w:rPr>
      </w:pPr>
    </w:p>
    <w:p w14:paraId="3471838A">
      <w:pPr>
        <w:spacing w:line="360" w:lineRule="auto"/>
        <w:ind w:right="4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lang w:eastAsia="zh-CN"/>
        </w:rPr>
        <w:t>(主)广州番禺产投建设管理有限公司(成)广州市盈泰房地产有限公司</w:t>
      </w:r>
    </w:p>
    <w:p w14:paraId="1CA0F37E">
      <w:pPr>
        <w:spacing w:line="360" w:lineRule="auto"/>
        <w:ind w:right="4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highlight w:val="none"/>
          <w:u w:val="single"/>
          <w:lang w:eastAsia="zh-CN"/>
        </w:rPr>
        <w:t>广州市番禺区市桥街桥兴大道11号（房地产大院2号楼）</w:t>
      </w:r>
    </w:p>
    <w:p w14:paraId="464BD25F">
      <w:pPr>
        <w:spacing w:line="360" w:lineRule="auto"/>
        <w:ind w:right="360"/>
        <w:jc w:val="left"/>
        <w:rPr>
          <w:rFonts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kern w:val="0"/>
          <w:sz w:val="24"/>
          <w:szCs w:val="24"/>
          <w:highlight w:val="none"/>
          <w:u w:val="single"/>
          <w:lang w:val="en-US" w:eastAsia="zh-CN"/>
        </w:rPr>
        <w:t>020-84879080</w:t>
      </w:r>
    </w:p>
    <w:p w14:paraId="7F5A468A">
      <w:pPr>
        <w:spacing w:line="360" w:lineRule="auto"/>
        <w:ind w:right="360"/>
        <w:jc w:val="left"/>
        <w:rPr>
          <w:rFonts w:ascii="宋体" w:hAnsi="宋体" w:cs="宋体"/>
          <w:color w:val="auto"/>
          <w:sz w:val="24"/>
          <w:highlight w:val="none"/>
          <w:u w:val="single"/>
        </w:rPr>
      </w:pPr>
    </w:p>
    <w:p w14:paraId="0B022F9F">
      <w:pPr>
        <w:spacing w:line="360" w:lineRule="auto"/>
        <w:ind w:left="1680" w:right="360" w:hanging="1680" w:hangingChars="7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lang w:eastAsia="zh-CN"/>
        </w:rPr>
        <w:t>(主)广州番禺产投建设管理有限公司(成)广州市盈泰房地产有限公司</w:t>
      </w:r>
    </w:p>
    <w:p w14:paraId="6E1B355A">
      <w:pPr>
        <w:spacing w:line="360" w:lineRule="auto"/>
        <w:ind w:right="36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highlight w:val="none"/>
          <w:u w:val="single"/>
          <w:lang w:eastAsia="zh-CN"/>
        </w:rPr>
        <w:t>广州市番禺区市桥街桥兴大道11号（房地产大院2号楼）</w:t>
      </w:r>
    </w:p>
    <w:p w14:paraId="0786669F">
      <w:pPr>
        <w:spacing w:line="360" w:lineRule="auto"/>
        <w:ind w:right="360"/>
        <w:jc w:val="left"/>
        <w:rPr>
          <w:rFonts w:ascii="宋体" w:hAnsi="宋体" w:cs="宋体"/>
          <w:color w:val="auto"/>
          <w:sz w:val="24"/>
          <w:highlight w:val="none"/>
        </w:rPr>
      </w:pPr>
      <w:r>
        <w:rPr>
          <w:rFonts w:hint="eastAsia" w:ascii="宋体" w:hAnsi="宋体" w:cs="宋体"/>
          <w:color w:val="auto"/>
          <w:sz w:val="24"/>
          <w:highlight w:val="none"/>
        </w:rPr>
        <w:t>监管电话：</w:t>
      </w:r>
      <w:r>
        <w:rPr>
          <w:rFonts w:hint="eastAsia" w:ascii="宋体" w:hAnsi="宋体" w:cs="宋体"/>
          <w:color w:val="auto"/>
          <w:kern w:val="0"/>
          <w:sz w:val="24"/>
          <w:szCs w:val="24"/>
          <w:highlight w:val="none"/>
          <w:u w:val="single"/>
          <w:lang w:val="en-US" w:eastAsia="zh-CN"/>
        </w:rPr>
        <w:t>020-84879080</w:t>
      </w:r>
    </w:p>
    <w:p w14:paraId="3222A1AD">
      <w:pPr>
        <w:topLinePunct/>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附件一：</w:t>
      </w:r>
    </w:p>
    <w:p w14:paraId="3322268D">
      <w:pPr>
        <w:widowControl/>
        <w:snapToGrid w:val="0"/>
        <w:spacing w:before="260" w:after="260" w:line="360" w:lineRule="auto"/>
        <w:ind w:right="384"/>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投标人声明</w:t>
      </w:r>
    </w:p>
    <w:p w14:paraId="5741E277">
      <w:pPr>
        <w:spacing w:line="360" w:lineRule="auto"/>
        <w:ind w:right="480"/>
        <w:rPr>
          <w:rFonts w:ascii="仿宋" w:hAnsi="仿宋" w:eastAsia="仿宋"/>
          <w:color w:val="auto"/>
          <w:sz w:val="32"/>
          <w:szCs w:val="32"/>
          <w:highlight w:val="none"/>
        </w:rPr>
      </w:pPr>
      <w:r>
        <w:rPr>
          <w:rFonts w:hint="eastAsia" w:ascii="宋体" w:hAnsi="宋体" w:cs="宋体"/>
          <w:color w:val="auto"/>
          <w:sz w:val="24"/>
          <w:highlight w:val="none"/>
          <w:u w:val="single"/>
          <w:lang w:eastAsia="zh-CN"/>
        </w:rPr>
        <w:t>(主)广州番禺产投建设管理有限公司(成)广州市盈泰房地产有限公司</w:t>
      </w:r>
      <w:r>
        <w:rPr>
          <w:rFonts w:hint="eastAsia" w:ascii="仿宋" w:hAnsi="仿宋" w:eastAsia="仿宋"/>
          <w:color w:val="auto"/>
          <w:sz w:val="32"/>
          <w:szCs w:val="32"/>
          <w:highlight w:val="none"/>
        </w:rPr>
        <w:t>：</w:t>
      </w:r>
    </w:p>
    <w:p w14:paraId="62B2A8C5">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投标工作，作出郑重声明：</w:t>
      </w:r>
    </w:p>
    <w:p w14:paraId="0298C5C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14847A67">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二、本公司保证在本项目投标中不与其他单位围标、串标，不出让投标资格，不向招标人或评标委员会成员行贿。</w:t>
      </w:r>
    </w:p>
    <w:p w14:paraId="364A2D80">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本公司未被纳入联合惩戒范围；本公司近两年（</w:t>
      </w:r>
      <w:r>
        <w:rPr>
          <w:rFonts w:hint="eastAsia" w:ascii="宋体" w:hAnsi="宋体" w:cs="宋体"/>
          <w:color w:val="auto"/>
          <w:sz w:val="24"/>
          <w:szCs w:val="24"/>
          <w:highlight w:val="none"/>
        </w:rPr>
        <w:t>从202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年1月1日起至投标截止时间止</w:t>
      </w:r>
      <w:r>
        <w:rPr>
          <w:rFonts w:hint="eastAsia" w:ascii="宋体" w:hAnsi="宋体"/>
          <w:color w:val="auto"/>
          <w:sz w:val="24"/>
          <w:szCs w:val="24"/>
          <w:highlight w:val="none"/>
        </w:rPr>
        <w:t>）未因以往检测工作中存在伪造检测数据、出具虚假检测报告的行为被各级建设行政主管部门或市场监督管理部门行政处罚或通报的。</w:t>
      </w:r>
    </w:p>
    <w:p w14:paraId="39B0458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四、本公司不存在招标文件第二章投标人须知第1.4.3项所规定的任何一种情形。</w:t>
      </w:r>
    </w:p>
    <w:p w14:paraId="53B96D7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若本公司为设计、前期工作服务机构参加本次投标，应将本公告发布前完成的工作成果（含电子文件）在招标答疑期间同时提供给所有投标人参考，否则设计、前期参与的服务机构中标无效）、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14:paraId="7F7784AA">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六、与本公司单位负责人为同一人或者与本公司存在控股、管理关系的其他单位包括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。（注：本条由投标人如实填写，如有，应列出全部满足招标公告资质要求的相关单位的名称；如无，则填写“无”。）</w:t>
      </w:r>
    </w:p>
    <w:p w14:paraId="775CD7B7">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七、本公司承诺，中标后严格执行安全生产相关管理规定。</w:t>
      </w:r>
    </w:p>
    <w:p w14:paraId="0ED2E5E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70D277A5">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387C25CB">
      <w:pPr>
        <w:spacing w:line="360" w:lineRule="auto"/>
        <w:ind w:firstLine="484" w:firstLineChars="202"/>
        <w:rPr>
          <w:rFonts w:ascii="宋体" w:hAnsi="宋体"/>
          <w:color w:val="auto"/>
          <w:highlight w:val="none"/>
        </w:rPr>
      </w:pPr>
      <w:r>
        <w:rPr>
          <w:rFonts w:hint="eastAsia" w:ascii="宋体" w:hAnsi="宋体"/>
          <w:color w:val="auto"/>
          <w:sz w:val="24"/>
          <w:szCs w:val="24"/>
          <w:highlight w:val="none"/>
        </w:rPr>
        <w:t>特此声明。</w:t>
      </w:r>
    </w:p>
    <w:p w14:paraId="04775948">
      <w:pPr>
        <w:pStyle w:val="15"/>
        <w:adjustRightInd w:val="0"/>
        <w:snapToGrid w:val="0"/>
        <w:ind w:firstLine="0"/>
        <w:rPr>
          <w:rFonts w:ascii="宋体" w:hAnsi="宋体" w:eastAsia="宋体"/>
          <w:color w:val="auto"/>
          <w:sz w:val="24"/>
          <w:szCs w:val="24"/>
          <w:highlight w:val="none"/>
        </w:rPr>
      </w:pPr>
    </w:p>
    <w:p w14:paraId="5A715E86">
      <w:pPr>
        <w:pStyle w:val="15"/>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14:paraId="36A65425">
      <w:pPr>
        <w:pStyle w:val="15"/>
        <w:adjustRightInd w:val="0"/>
        <w:snapToGrid w:val="0"/>
        <w:ind w:right="-35" w:firstLine="3832" w:firstLineChars="159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14:paraId="5E86776C">
      <w:pPr>
        <w:widowControl/>
        <w:spacing w:line="360" w:lineRule="auto"/>
        <w:jc w:val="center"/>
        <w:rPr>
          <w:rFonts w:ascii="宋体" w:hAnsi="宋体" w:cs="宋体"/>
          <w:b/>
          <w:bCs/>
          <w:color w:val="auto"/>
          <w:kern w:val="0"/>
          <w:szCs w:val="21"/>
          <w:highlight w:val="none"/>
        </w:rPr>
      </w:pPr>
      <w:r>
        <w:rPr>
          <w:rFonts w:hint="eastAsia" w:ascii="宋体" w:hAnsi="宋体"/>
          <w:color w:val="auto"/>
          <w:sz w:val="24"/>
          <w:szCs w:val="24"/>
          <w:highlight w:val="none"/>
        </w:rPr>
        <w:t xml:space="preserve">                       日  期：    年   月   日</w:t>
      </w:r>
    </w:p>
    <w:p w14:paraId="7DD5C9C0">
      <w:pPr>
        <w:widowControl/>
        <w:snapToGrid w:val="0"/>
        <w:spacing w:before="260" w:after="260" w:line="360" w:lineRule="auto"/>
        <w:ind w:right="384"/>
        <w:jc w:val="left"/>
        <w:rPr>
          <w:rFonts w:ascii="宋体" w:hAnsi="宋体"/>
          <w:b/>
          <w:color w:val="auto"/>
          <w:highlight w:val="none"/>
        </w:rPr>
      </w:pPr>
      <w:r>
        <w:rPr>
          <w:rFonts w:ascii="宋体" w:hAnsi="宋体" w:cs="宋体"/>
          <w:color w:val="auto"/>
          <w:sz w:val="24"/>
          <w:szCs w:val="24"/>
          <w:highlight w:val="none"/>
        </w:rPr>
        <w:br w:type="page"/>
      </w:r>
      <w:r>
        <w:rPr>
          <w:rFonts w:hint="eastAsia" w:ascii="宋体" w:hAnsi="宋体"/>
          <w:b/>
          <w:color w:val="auto"/>
          <w:highlight w:val="none"/>
        </w:rPr>
        <w:t>附件二：</w:t>
      </w:r>
    </w:p>
    <w:p w14:paraId="2E924B0B">
      <w:pPr>
        <w:widowControl/>
        <w:snapToGrid w:val="0"/>
        <w:spacing w:before="260" w:after="260" w:line="360" w:lineRule="auto"/>
        <w:ind w:right="384"/>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投标承诺函</w:t>
      </w:r>
    </w:p>
    <w:p w14:paraId="3FEEB381">
      <w:pPr>
        <w:adjustRightInd w:val="0"/>
        <w:snapToGrid w:val="0"/>
        <w:spacing w:line="360" w:lineRule="auto"/>
        <w:jc w:val="center"/>
        <w:rPr>
          <w:rFonts w:ascii="宋体" w:hAnsi="宋体" w:cs="宋体"/>
          <w:b/>
          <w:color w:val="auto"/>
          <w:sz w:val="32"/>
          <w:highlight w:val="none"/>
        </w:rPr>
      </w:pPr>
    </w:p>
    <w:p w14:paraId="7CFD396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p>
    <w:p w14:paraId="76D16CF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经认真研究</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的招标公告要求，现郑重承诺：</w:t>
      </w:r>
    </w:p>
    <w:p w14:paraId="517A5BE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我方一旦中标，跟本项目相关的施工承包方委托的相关检测业务均不再承接。</w:t>
      </w:r>
    </w:p>
    <w:p w14:paraId="274E032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2A42EB5D">
      <w:pPr>
        <w:adjustRightInd w:val="0"/>
        <w:snapToGrid w:val="0"/>
        <w:spacing w:line="360" w:lineRule="auto"/>
        <w:ind w:right="482" w:firstLine="3960" w:firstLineChars="1650"/>
        <w:rPr>
          <w:rFonts w:ascii="宋体" w:hAnsi="宋体" w:cs="宋体"/>
          <w:color w:val="auto"/>
          <w:sz w:val="24"/>
          <w:highlight w:val="none"/>
        </w:rPr>
      </w:pPr>
    </w:p>
    <w:p w14:paraId="08581847">
      <w:pPr>
        <w:adjustRightInd w:val="0"/>
        <w:snapToGrid w:val="0"/>
        <w:spacing w:line="360" w:lineRule="auto"/>
        <w:ind w:right="482" w:firstLine="3960" w:firstLineChars="1650"/>
        <w:rPr>
          <w:rFonts w:ascii="宋体" w:hAnsi="宋体" w:cs="宋体"/>
          <w:color w:val="auto"/>
          <w:sz w:val="24"/>
          <w:highlight w:val="none"/>
        </w:rPr>
      </w:pPr>
    </w:p>
    <w:p w14:paraId="069A3F5B">
      <w:pPr>
        <w:adjustRightInd w:val="0"/>
        <w:snapToGrid w:val="0"/>
        <w:spacing w:line="360" w:lineRule="auto"/>
        <w:ind w:right="482" w:firstLine="3960" w:firstLineChars="1650"/>
        <w:rPr>
          <w:rFonts w:ascii="宋体" w:hAnsi="宋体" w:cs="宋体"/>
          <w:color w:val="auto"/>
          <w:sz w:val="24"/>
          <w:highlight w:val="none"/>
        </w:rPr>
      </w:pPr>
    </w:p>
    <w:p w14:paraId="341022B5">
      <w:pPr>
        <w:wordWrap w:val="0"/>
        <w:spacing w:line="360" w:lineRule="auto"/>
        <w:ind w:firstLine="3240" w:firstLineChars="1350"/>
        <w:jc w:val="right"/>
        <w:rPr>
          <w:rFonts w:ascii="宋体" w:hAnsi="宋体"/>
          <w:color w:val="auto"/>
          <w:sz w:val="24"/>
          <w:highlight w:val="none"/>
        </w:rPr>
      </w:pPr>
      <w:r>
        <w:rPr>
          <w:rFonts w:hint="eastAsia" w:ascii="宋体" w:hAnsi="宋体"/>
          <w:color w:val="auto"/>
          <w:sz w:val="24"/>
          <w:highlight w:val="none"/>
        </w:rPr>
        <w:t>投标申请人：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9A96DDB">
      <w:pPr>
        <w:spacing w:line="360" w:lineRule="auto"/>
        <w:ind w:firstLine="3240" w:firstLineChars="1350"/>
        <w:jc w:val="both"/>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r>
        <w:rPr>
          <w:rFonts w:hint="eastAsia"/>
          <w:color w:val="auto"/>
          <w:sz w:val="24"/>
          <w:highlight w:val="none"/>
        </w:rPr>
        <w:t>或盖章</w:t>
      </w:r>
      <w:r>
        <w:rPr>
          <w:rFonts w:hint="eastAsia" w:ascii="宋体" w:hAnsi="宋体"/>
          <w:color w:val="auto"/>
          <w:sz w:val="24"/>
          <w:highlight w:val="none"/>
        </w:rPr>
        <w:t>）</w:t>
      </w:r>
    </w:p>
    <w:p w14:paraId="20A3FC00">
      <w:pPr>
        <w:spacing w:line="360" w:lineRule="auto"/>
        <w:jc w:val="right"/>
        <w:rPr>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FDF22F2">
      <w:pPr>
        <w:pStyle w:val="15"/>
        <w:ind w:left="-2" w:leftChars="-1" w:firstLine="1"/>
        <w:jc w:val="right"/>
        <w:rPr>
          <w:rFonts w:ascii="宋体" w:hAnsi="宋体" w:eastAsia="宋体" w:cs="宋体"/>
          <w:color w:val="auto"/>
          <w:sz w:val="24"/>
          <w:szCs w:val="24"/>
          <w:highlight w:val="none"/>
        </w:rPr>
      </w:pPr>
    </w:p>
    <w:p w14:paraId="2CBFD57C">
      <w:pPr>
        <w:widowControl/>
        <w:snapToGrid w:val="0"/>
        <w:spacing w:line="360" w:lineRule="auto"/>
        <w:ind w:right="384"/>
        <w:rPr>
          <w:rFonts w:ascii="宋体" w:hAnsi="宋体" w:cs="宋体"/>
          <w:b/>
          <w:bCs/>
          <w:color w:val="auto"/>
          <w:sz w:val="24"/>
          <w:szCs w:val="24"/>
          <w:highlight w:val="none"/>
        </w:rPr>
      </w:pPr>
      <w:r>
        <w:rPr>
          <w:rFonts w:ascii="宋体" w:hAnsi="宋体" w:cs="宋体"/>
          <w:color w:val="auto"/>
          <w:sz w:val="24"/>
          <w:szCs w:val="24"/>
          <w:highlight w:val="none"/>
        </w:rPr>
        <w:br w:type="page"/>
      </w:r>
      <w:r>
        <w:rPr>
          <w:rFonts w:hint="eastAsia" w:ascii="宋体" w:hAnsi="宋体" w:cs="宋体"/>
          <w:b/>
          <w:bCs/>
          <w:color w:val="auto"/>
          <w:sz w:val="24"/>
          <w:szCs w:val="24"/>
          <w:highlight w:val="none"/>
        </w:rPr>
        <w:t>附件三：</w:t>
      </w:r>
      <w:bookmarkStart w:id="44" w:name="_Toc22643"/>
      <w:bookmarkStart w:id="45" w:name="_Toc12111"/>
    </w:p>
    <w:bookmarkEnd w:id="44"/>
    <w:bookmarkEnd w:id="45"/>
    <w:p w14:paraId="2EA4D71D">
      <w:pPr>
        <w:widowControl/>
        <w:snapToGrid w:val="0"/>
        <w:spacing w:after="260" w:line="360" w:lineRule="auto"/>
        <w:ind w:right="386"/>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联合体协议书</w:t>
      </w:r>
    </w:p>
    <w:p w14:paraId="109A541E">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（联合体所有单位名称）自愿组成</w:t>
      </w:r>
      <w:r>
        <w:rPr>
          <w:rFonts w:hint="eastAsia" w:ascii="宋体" w:hAnsi="宋体"/>
          <w:color w:val="auto"/>
          <w:szCs w:val="21"/>
          <w:highlight w:val="none"/>
          <w:u w:val="single"/>
        </w:rPr>
        <w:t xml:space="preserve">           </w:t>
      </w:r>
      <w:r>
        <w:rPr>
          <w:rFonts w:hint="eastAsia" w:ascii="宋体" w:hAnsi="宋体"/>
          <w:color w:val="auto"/>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highlight w:val="none"/>
          <w:u w:val="single"/>
        </w:rPr>
        <w:t xml:space="preserve">（项目名称）      </w:t>
      </w:r>
      <w:r>
        <w:rPr>
          <w:rFonts w:hint="eastAsia" w:ascii="宋体" w:hAnsi="宋体"/>
          <w:color w:val="auto"/>
          <w:highlight w:val="none"/>
        </w:rPr>
        <w:t>招标项目投标。现就联合体投标事宜订立如下协议。</w:t>
      </w:r>
    </w:p>
    <w:p w14:paraId="6A008031">
      <w:pPr>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1. </w:t>
      </w:r>
      <w:r>
        <w:rPr>
          <w:rFonts w:hint="eastAsia" w:ascii="宋体" w:hAnsi="宋体"/>
          <w:color w:val="auto"/>
          <w:szCs w:val="21"/>
          <w:highlight w:val="none"/>
          <w:u w:val="single"/>
        </w:rPr>
        <w:t xml:space="preserve">             </w:t>
      </w:r>
      <w:r>
        <w:rPr>
          <w:rFonts w:hint="eastAsia" w:ascii="宋体" w:hAnsi="宋体"/>
          <w:color w:val="auto"/>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highlight w:val="none"/>
        </w:rPr>
        <w:t>（联合体名称）</w:t>
      </w:r>
      <w:r>
        <w:rPr>
          <w:rFonts w:hint="eastAsia" w:ascii="宋体" w:hAnsi="宋体" w:cs="宋体"/>
          <w:color w:val="auto"/>
          <w:highlight w:val="none"/>
        </w:rPr>
        <w:t>主办方</w:t>
      </w:r>
      <w:r>
        <w:rPr>
          <w:rFonts w:hint="eastAsia" w:ascii="宋体" w:hAnsi="宋体"/>
          <w:color w:val="auto"/>
          <w:highlight w:val="none"/>
        </w:rPr>
        <w:t>。</w:t>
      </w:r>
    </w:p>
    <w:p w14:paraId="58CCB657">
      <w:pPr>
        <w:snapToGrid w:val="0"/>
        <w:spacing w:line="360" w:lineRule="auto"/>
        <w:ind w:firstLine="420" w:firstLineChars="200"/>
        <w:rPr>
          <w:rFonts w:ascii="宋体" w:hAnsi="宋体"/>
          <w:color w:val="auto"/>
          <w:highlight w:val="none"/>
        </w:rPr>
      </w:pPr>
      <w:r>
        <w:rPr>
          <w:rFonts w:hint="eastAsia" w:ascii="宋体" w:hAnsi="宋体"/>
          <w:color w:val="auto"/>
          <w:highlight w:val="none"/>
        </w:rPr>
        <w:t>2. 联合体各成员授权主办方代表联合体参加投标活动，签署文件，提交和接收相关的资料、信息及指示，进行合同谈判活动，负责合同实施阶段的组织和协调工作，以及处理与本招标项目有关的一切事宜。合同价款的支付由联合体主办方统一申报，招标人向联合体主办方支付合同价款。</w:t>
      </w:r>
    </w:p>
    <w:p w14:paraId="6E4A3CA6">
      <w:pPr>
        <w:snapToGrid w:val="0"/>
        <w:spacing w:line="360" w:lineRule="auto"/>
        <w:ind w:firstLine="420" w:firstLineChars="200"/>
        <w:rPr>
          <w:rFonts w:ascii="宋体" w:hAnsi="宋体"/>
          <w:color w:val="auto"/>
          <w:highlight w:val="none"/>
        </w:rPr>
      </w:pPr>
      <w:r>
        <w:rPr>
          <w:rFonts w:hint="eastAsia" w:ascii="宋体" w:hAnsi="宋体"/>
          <w:color w:val="auto"/>
          <w:highlight w:val="none"/>
        </w:rPr>
        <w:t>3. 联合体主办方在本项目中签署的一切文件和处理的一切事宜，联合体各成员均予以承认。联合体各成员将严格按照招标文件、投标文件和合同的要求全面履行义务，并向招标人承担连带责任。</w:t>
      </w:r>
    </w:p>
    <w:p w14:paraId="36B14F17">
      <w:pPr>
        <w:snapToGrid w:val="0"/>
        <w:spacing w:line="360" w:lineRule="auto"/>
        <w:ind w:firstLine="420" w:firstLineChars="200"/>
        <w:rPr>
          <w:rFonts w:ascii="宋体" w:hAnsi="宋体"/>
          <w:color w:val="auto"/>
          <w:szCs w:val="21"/>
          <w:highlight w:val="none"/>
          <w:u w:val="single"/>
        </w:rPr>
      </w:pPr>
      <w:r>
        <w:rPr>
          <w:rFonts w:hint="eastAsia" w:ascii="宋体" w:hAnsi="宋体"/>
          <w:color w:val="auto"/>
          <w:highlight w:val="none"/>
        </w:rPr>
        <w:t>4. 联合体各成员单位内部的职责分工如下：</w:t>
      </w:r>
      <w:r>
        <w:rPr>
          <w:rFonts w:hint="eastAsia" w:ascii="宋体" w:hAnsi="宋体"/>
          <w:color w:val="auto"/>
          <w:szCs w:val="21"/>
          <w:highlight w:val="none"/>
          <w:u w:val="single"/>
        </w:rPr>
        <w:t xml:space="preserve"> </w:t>
      </w:r>
    </w:p>
    <w:p w14:paraId="636AAB75">
      <w:pPr>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①             ：</w:t>
      </w:r>
      <w:r>
        <w:rPr>
          <w:rFonts w:hint="eastAsia" w:ascii="宋体" w:hAnsi="宋体" w:cs="宋体"/>
          <w:color w:val="auto"/>
          <w:highlight w:val="none"/>
        </w:rPr>
        <w:t>为本项目的主办方，具体负责</w:t>
      </w:r>
      <w:r>
        <w:rPr>
          <w:rFonts w:hint="eastAsia" w:ascii="宋体" w:hAnsi="宋体" w:cs="宋体"/>
          <w:color w:val="auto"/>
          <w:highlight w:val="none"/>
          <w:u w:val="single"/>
        </w:rPr>
        <w:t xml:space="preserve">   （项目名称）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b/>
          <w:color w:val="auto"/>
          <w:highlight w:val="none"/>
          <w:u w:val="single"/>
        </w:rPr>
        <w:t>任务</w:t>
      </w:r>
      <w:r>
        <w:rPr>
          <w:rFonts w:hint="eastAsia" w:ascii="宋体" w:hAnsi="宋体" w:cs="宋体"/>
          <w:color w:val="auto"/>
          <w:highlight w:val="none"/>
        </w:rPr>
        <w:t>，还负责管理的职责。若联合体成员方违约时，主办方应承担连带责任，具体按合同要求。</w:t>
      </w:r>
    </w:p>
    <w:p w14:paraId="75825FA6">
      <w:pPr>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②             ：</w:t>
      </w:r>
      <w:r>
        <w:rPr>
          <w:rFonts w:hint="eastAsia" w:ascii="宋体" w:hAnsi="宋体" w:cs="宋体"/>
          <w:color w:val="auto"/>
          <w:highlight w:val="none"/>
        </w:rPr>
        <w:t>为本项目的成员方，具体负责</w:t>
      </w:r>
      <w:r>
        <w:rPr>
          <w:rFonts w:hint="eastAsia" w:ascii="宋体" w:hAnsi="宋体" w:cs="宋体"/>
          <w:color w:val="auto"/>
          <w:highlight w:val="none"/>
          <w:u w:val="single"/>
        </w:rPr>
        <w:t xml:space="preserve">   （项目名称）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b/>
          <w:color w:val="auto"/>
          <w:highlight w:val="none"/>
          <w:u w:val="single"/>
        </w:rPr>
        <w:t>任务</w:t>
      </w:r>
      <w:r>
        <w:rPr>
          <w:rFonts w:hint="eastAsia" w:ascii="宋体" w:hAnsi="宋体" w:cs="宋体"/>
          <w:color w:val="auto"/>
          <w:highlight w:val="none"/>
        </w:rPr>
        <w:t>，具体按合同要求。</w:t>
      </w:r>
    </w:p>
    <w:p w14:paraId="63D7E98C">
      <w:pPr>
        <w:snapToGrid w:val="0"/>
        <w:spacing w:line="360" w:lineRule="auto"/>
        <w:ind w:firstLine="420" w:firstLineChars="200"/>
        <w:rPr>
          <w:rFonts w:ascii="宋体" w:hAnsi="宋体"/>
          <w:color w:val="auto"/>
          <w:highlight w:val="none"/>
          <w:u w:val="single"/>
        </w:rPr>
      </w:pPr>
      <w:r>
        <w:rPr>
          <w:rFonts w:hint="eastAsia" w:ascii="宋体" w:hAnsi="宋体"/>
          <w:color w:val="auto"/>
          <w:highlight w:val="none"/>
        </w:rPr>
        <w:t>5. 其他。</w:t>
      </w:r>
      <w:r>
        <w:rPr>
          <w:rFonts w:hint="eastAsia" w:ascii="宋体" w:hAnsi="宋体"/>
          <w:color w:val="auto"/>
          <w:highlight w:val="none"/>
          <w:u w:val="single"/>
        </w:rPr>
        <w:t xml:space="preserve">                    </w:t>
      </w:r>
    </w:p>
    <w:p w14:paraId="5A380DC7">
      <w:pPr>
        <w:snapToGrid w:val="0"/>
        <w:spacing w:line="360" w:lineRule="auto"/>
        <w:ind w:firstLine="420" w:firstLineChars="200"/>
        <w:rPr>
          <w:rFonts w:ascii="宋体" w:hAnsi="宋体"/>
          <w:color w:val="auto"/>
          <w:highlight w:val="none"/>
        </w:rPr>
      </w:pPr>
      <w:r>
        <w:rPr>
          <w:rFonts w:hint="eastAsia" w:ascii="宋体" w:hAnsi="宋体"/>
          <w:color w:val="auto"/>
          <w:highlight w:val="none"/>
        </w:rPr>
        <w:t>6.本协议书自所有成员单位法定代表人签字或盖单位章之日起生效，合同履行完毕后自动失效。</w:t>
      </w:r>
    </w:p>
    <w:p w14:paraId="0B2DCE56">
      <w:pPr>
        <w:snapToGrid w:val="0"/>
        <w:spacing w:line="360" w:lineRule="auto"/>
        <w:ind w:firstLine="420" w:firstLineChars="200"/>
        <w:rPr>
          <w:rFonts w:ascii="宋体" w:hAnsi="宋体"/>
          <w:color w:val="auto"/>
          <w:highlight w:val="none"/>
        </w:rPr>
      </w:pPr>
    </w:p>
    <w:p w14:paraId="78167FB3">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联合体主办方名称：</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686E1272">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5D758D19">
      <w:pPr>
        <w:snapToGrid w:val="0"/>
        <w:spacing w:line="360" w:lineRule="auto"/>
        <w:ind w:firstLine="3255" w:firstLineChars="1550"/>
        <w:rPr>
          <w:rFonts w:ascii="宋体" w:hAnsi="宋体"/>
          <w:color w:val="auto"/>
          <w:highlight w:val="none"/>
        </w:rPr>
      </w:pPr>
    </w:p>
    <w:p w14:paraId="1BBB8658">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联合体成员名称：</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5A4EA9F2">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0C99D180">
      <w:pPr>
        <w:snapToGrid w:val="0"/>
        <w:spacing w:line="360" w:lineRule="auto"/>
        <w:ind w:firstLine="3255" w:firstLineChars="1550"/>
        <w:rPr>
          <w:rFonts w:ascii="宋体" w:hAnsi="宋体"/>
          <w:color w:val="auto"/>
          <w:highlight w:val="none"/>
        </w:rPr>
      </w:pPr>
    </w:p>
    <w:p w14:paraId="1DE4CC81">
      <w:pPr>
        <w:widowControl/>
        <w:spacing w:line="360" w:lineRule="auto"/>
        <w:jc w:val="left"/>
        <w:rPr>
          <w:rFonts w:ascii="宋体" w:hAnsi="宋体" w:cs="宋体"/>
          <w:color w:val="auto"/>
          <w:sz w:val="24"/>
          <w:szCs w:val="24"/>
          <w:highlight w:val="none"/>
        </w:rPr>
      </w:pPr>
      <w:r>
        <w:rPr>
          <w:rFonts w:hint="eastAsia" w:ascii="宋体" w:hAnsi="宋体" w:cs="宋体"/>
          <w:b/>
          <w:bCs/>
          <w:color w:val="auto"/>
          <w:szCs w:val="21"/>
          <w:highlight w:val="none"/>
          <w:u w:val="single"/>
          <w:lang w:val="zh-CN"/>
        </w:rPr>
        <w:t>注：非联合体投标的，无需提交本协议书。</w:t>
      </w:r>
    </w:p>
    <w:p w14:paraId="703BD20E">
      <w:pPr>
        <w:widowControl/>
        <w:spacing w:line="360" w:lineRule="auto"/>
        <w:jc w:val="left"/>
        <w:rPr>
          <w:color w:val="auto"/>
          <w:highlight w:val="none"/>
        </w:rPr>
      </w:pPr>
    </w:p>
    <w:p w14:paraId="02A6335E">
      <w:pPr>
        <w:rPr>
          <w:color w:val="auto"/>
          <w:highlight w:val="none"/>
        </w:rPr>
      </w:pPr>
    </w:p>
    <w:sectPr>
      <w:footerReference r:id="rId3" w:type="default"/>
      <w:pgSz w:w="11906" w:h="16838"/>
      <w:pgMar w:top="1440" w:right="1800"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6F3D">
    <w:pPr>
      <w:pStyle w:val="10"/>
      <w:jc w:val="center"/>
    </w:pPr>
    <w:r>
      <w:fldChar w:fldCharType="begin"/>
    </w:r>
    <w:r>
      <w:instrText xml:space="preserve">PAGE   \* MERGEFORMAT</w:instrText>
    </w:r>
    <w:r>
      <w:fldChar w:fldCharType="separate"/>
    </w:r>
    <w:r>
      <w:rPr>
        <w:lang w:val="zh-CN"/>
      </w:rPr>
      <w:t>1</w:t>
    </w:r>
    <w:r>
      <w:fldChar w:fldCharType="end"/>
    </w:r>
  </w:p>
  <w:p w14:paraId="2EB98793">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AC524"/>
    <w:multiLevelType w:val="singleLevel"/>
    <w:tmpl w:val="D01AC5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04BC781C"/>
    <w:rsid w:val="000035BA"/>
    <w:rsid w:val="00093440"/>
    <w:rsid w:val="000F3F60"/>
    <w:rsid w:val="00115897"/>
    <w:rsid w:val="001B61F2"/>
    <w:rsid w:val="00287709"/>
    <w:rsid w:val="00302F38"/>
    <w:rsid w:val="00353D61"/>
    <w:rsid w:val="003D64E2"/>
    <w:rsid w:val="00473B2B"/>
    <w:rsid w:val="0047723A"/>
    <w:rsid w:val="00495EB3"/>
    <w:rsid w:val="005F52D9"/>
    <w:rsid w:val="008176A6"/>
    <w:rsid w:val="00831BEF"/>
    <w:rsid w:val="00855730"/>
    <w:rsid w:val="008824EB"/>
    <w:rsid w:val="00892182"/>
    <w:rsid w:val="00893D07"/>
    <w:rsid w:val="008D513F"/>
    <w:rsid w:val="009F0B48"/>
    <w:rsid w:val="00A24E7F"/>
    <w:rsid w:val="00AC5B4F"/>
    <w:rsid w:val="00B27C85"/>
    <w:rsid w:val="00C065E8"/>
    <w:rsid w:val="00C77B13"/>
    <w:rsid w:val="00D7384B"/>
    <w:rsid w:val="00D90DB0"/>
    <w:rsid w:val="00DF5B58"/>
    <w:rsid w:val="00ED0CBF"/>
    <w:rsid w:val="00F01AAF"/>
    <w:rsid w:val="00F070B9"/>
    <w:rsid w:val="00F55F8B"/>
    <w:rsid w:val="00FD6991"/>
    <w:rsid w:val="02F673EF"/>
    <w:rsid w:val="04BC781C"/>
    <w:rsid w:val="054C5E5E"/>
    <w:rsid w:val="070151D4"/>
    <w:rsid w:val="0A4E393A"/>
    <w:rsid w:val="14FF0AE0"/>
    <w:rsid w:val="16873B19"/>
    <w:rsid w:val="18A358BC"/>
    <w:rsid w:val="18E001CA"/>
    <w:rsid w:val="199E7715"/>
    <w:rsid w:val="19D00473"/>
    <w:rsid w:val="1EEF2594"/>
    <w:rsid w:val="1FE91D68"/>
    <w:rsid w:val="1FF80C30"/>
    <w:rsid w:val="210026E6"/>
    <w:rsid w:val="22911907"/>
    <w:rsid w:val="24B0317D"/>
    <w:rsid w:val="28A90800"/>
    <w:rsid w:val="2ABA62BC"/>
    <w:rsid w:val="2B7128C3"/>
    <w:rsid w:val="2BD71E56"/>
    <w:rsid w:val="2F675649"/>
    <w:rsid w:val="32F558CF"/>
    <w:rsid w:val="33AB78A6"/>
    <w:rsid w:val="37215341"/>
    <w:rsid w:val="3B911029"/>
    <w:rsid w:val="43210932"/>
    <w:rsid w:val="44933B0C"/>
    <w:rsid w:val="44FA1655"/>
    <w:rsid w:val="45BD7C6C"/>
    <w:rsid w:val="491F5C98"/>
    <w:rsid w:val="4B0F33DA"/>
    <w:rsid w:val="50D11448"/>
    <w:rsid w:val="50F47C38"/>
    <w:rsid w:val="519651E6"/>
    <w:rsid w:val="545B29F3"/>
    <w:rsid w:val="54C238D1"/>
    <w:rsid w:val="5697353F"/>
    <w:rsid w:val="56CE3AA9"/>
    <w:rsid w:val="57EA55EA"/>
    <w:rsid w:val="591F49A8"/>
    <w:rsid w:val="59AC611F"/>
    <w:rsid w:val="59DF7A8E"/>
    <w:rsid w:val="5D2B1698"/>
    <w:rsid w:val="5FBC3384"/>
    <w:rsid w:val="61D11302"/>
    <w:rsid w:val="6453516F"/>
    <w:rsid w:val="69171464"/>
    <w:rsid w:val="6AE53353"/>
    <w:rsid w:val="78761C2D"/>
    <w:rsid w:val="7CEF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next w:val="1"/>
    <w:qFormat/>
    <w:uiPriority w:val="0"/>
    <w:pPr>
      <w:keepNext/>
      <w:keepLines/>
      <w:widowControl w:val="0"/>
      <w:spacing w:before="260" w:after="260" w:line="412" w:lineRule="auto"/>
      <w:jc w:val="both"/>
      <w:outlineLvl w:val="1"/>
    </w:pPr>
    <w:rPr>
      <w:rFonts w:ascii="Arial" w:hAnsi="Arial" w:eastAsia="黑体" w:cs="Times New Roman"/>
      <w:b/>
      <w:sz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Normal Indent"/>
    <w:basedOn w:val="1"/>
    <w:next w:val="1"/>
    <w:qFormat/>
    <w:uiPriority w:val="0"/>
    <w:pPr>
      <w:ind w:firstLine="420"/>
    </w:pPr>
    <w:rPr>
      <w:rFonts w:ascii="Times New Roman" w:hAnsi="Times New Roman"/>
      <w:szCs w:val="20"/>
    </w:rPr>
  </w:style>
  <w:style w:type="paragraph" w:styleId="5">
    <w:name w:val="annotation text"/>
    <w:basedOn w:val="1"/>
    <w:qFormat/>
    <w:uiPriority w:val="0"/>
    <w:pPr>
      <w:jc w:val="left"/>
    </w:pPr>
  </w:style>
  <w:style w:type="paragraph" w:styleId="6">
    <w:name w:val="Body Text 3"/>
    <w:qFormat/>
    <w:uiPriority w:val="0"/>
    <w:pPr>
      <w:widowControl w:val="0"/>
      <w:jc w:val="both"/>
    </w:pPr>
    <w:rPr>
      <w:rFonts w:ascii="宋体" w:hAnsi="Calibri" w:eastAsia="宋体" w:cs="Times New Roman"/>
      <w:kern w:val="2"/>
      <w:sz w:val="24"/>
      <w:lang w:val="en-US" w:eastAsia="zh-CN" w:bidi="ar-SA"/>
    </w:rPr>
  </w:style>
  <w:style w:type="paragraph" w:styleId="7">
    <w:name w:val="Body Text"/>
    <w:qFormat/>
    <w:uiPriority w:val="0"/>
    <w:pPr>
      <w:widowControl w:val="0"/>
      <w:spacing w:after="120"/>
      <w:jc w:val="both"/>
    </w:pPr>
    <w:rPr>
      <w:rFonts w:ascii="Times New Roman" w:hAnsi="Times New Roman" w:eastAsia="宋体" w:cs="Times New Roman"/>
      <w:lang w:val="en-US" w:eastAsia="zh-CN" w:bidi="ar-SA"/>
    </w:rPr>
  </w:style>
  <w:style w:type="paragraph" w:styleId="8">
    <w:name w:val="Plain Text"/>
    <w:qFormat/>
    <w:uiPriority w:val="0"/>
    <w:pPr>
      <w:widowControl w:val="0"/>
      <w:jc w:val="both"/>
    </w:pPr>
    <w:rPr>
      <w:rFonts w:ascii="宋体" w:hAnsi="Calibri" w:eastAsia="宋体" w:cs="Times New Roman"/>
      <w:kern w:val="2"/>
      <w:sz w:val="21"/>
      <w:szCs w:val="22"/>
      <w:lang w:val="en-US" w:eastAsia="zh-CN" w:bidi="ar-SA"/>
    </w:rPr>
  </w:style>
  <w:style w:type="paragraph" w:styleId="9">
    <w:name w:val="Balloon Text"/>
    <w:basedOn w:val="1"/>
    <w:link w:val="16"/>
    <w:qFormat/>
    <w:uiPriority w:val="0"/>
    <w:rPr>
      <w:sz w:val="18"/>
      <w:szCs w:val="18"/>
    </w:rPr>
  </w:style>
  <w:style w:type="paragraph" w:styleId="10">
    <w:name w:val="footer"/>
    <w:qFormat/>
    <w:uiPriority w:val="0"/>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6">
    <w:name w:val="批注框文本 Char"/>
    <w:basedOn w:val="14"/>
    <w:link w:val="9"/>
    <w:qFormat/>
    <w:uiPriority w:val="0"/>
    <w:rPr>
      <w:rFonts w:ascii="Times New Roman" w:hAnsi="Times New Roman" w:eastAsia="宋体" w:cs="Times New Roman"/>
      <w:kern w:val="2"/>
      <w:sz w:val="18"/>
      <w:szCs w:val="18"/>
    </w:rPr>
  </w:style>
  <w:style w:type="character" w:customStyle="1" w:styleId="17">
    <w:name w:val="页眉 Char"/>
    <w:basedOn w:val="14"/>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6751</Words>
  <Characters>7114</Characters>
  <Lines>60</Lines>
  <Paragraphs>17</Paragraphs>
  <TotalTime>3</TotalTime>
  <ScaleCrop>false</ScaleCrop>
  <LinksUpToDate>false</LinksUpToDate>
  <CharactersWithSpaces>7595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2025-03-18T02:52:00Z</dcterms:created>
  <dc:creator>Administrator</dc:creator>
  <cp:lastModifiedBy>小娴</cp:lastModifiedBy>
  <cp:lastPrinted>2025-03-25T07:42:00Z</cp:lastPrinted>
  <dcterms:modified xsi:type="dcterms:W3CDTF">2025-07-02T07:26:35Z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1F9B2D4A3A7044BEAB6D55E32EF61484_13</vt:lpwstr>
  </property>
  <property fmtid="{D5CDD505-2E9C-101B-9397-08002B2CF9AE}" pid="4" name="KSOTemplateDocerSaveRecord">
    <vt:lpwstr>eyJoZGlkIjoiYjNkOGQwY2ZiYWY0ZTJmZTkwMDZlNmYwYzczYWZjMGEiLCJ1c2VySWQiOiI1MTk3MDM5MTAifQ==</vt:lpwstr>
  </property>
</Properties>
</file>