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233AD">
      <w:pPr>
        <w:spacing w:before="142"/>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附录 1</w:t>
      </w:r>
      <w:r>
        <w:rPr>
          <w:rFonts w:hint="eastAsia" w:ascii="宋体" w:hAnsi="宋体" w:cs="宋体"/>
          <w:b/>
          <w:color w:val="auto"/>
          <w:sz w:val="26"/>
          <w:szCs w:val="26"/>
          <w:highlight w:val="none"/>
          <w:lang w:eastAsia="zh-CN"/>
        </w:rPr>
        <w:tab/>
      </w:r>
      <w:r>
        <w:rPr>
          <w:rFonts w:hint="eastAsia" w:ascii="宋体" w:hAnsi="宋体" w:cs="宋体"/>
          <w:b/>
          <w:color w:val="auto"/>
          <w:sz w:val="28"/>
          <w:szCs w:val="28"/>
          <w:highlight w:val="none"/>
          <w:lang w:eastAsia="zh-CN"/>
        </w:rPr>
        <w:t>资格审查条件（资质最低要求）</w:t>
      </w:r>
    </w:p>
    <w:p w14:paraId="392655F9">
      <w:pPr>
        <w:spacing w:before="2"/>
        <w:rPr>
          <w:rFonts w:hint="eastAsia" w:ascii="宋体" w:hAnsi="宋体" w:cs="宋体"/>
          <w:color w:val="auto"/>
          <w:sz w:val="20"/>
          <w:szCs w:val="20"/>
          <w:highlight w:val="none"/>
          <w:lang w:eastAsia="zh-CN"/>
        </w:rPr>
      </w:pPr>
    </w:p>
    <w:p w14:paraId="6D998C79">
      <w:pPr>
        <w:spacing w:line="20" w:lineRule="exact"/>
        <w:rPr>
          <w:rFonts w:hint="eastAsia" w:ascii="宋体" w:hAnsi="宋体" w:cs="宋体"/>
          <w:color w:val="auto"/>
          <w:sz w:val="2"/>
          <w:szCs w:val="2"/>
          <w:highlight w:val="none"/>
          <w:lang w:eastAsia="zh-CN"/>
        </w:rPr>
      </w:pPr>
    </w:p>
    <w:tbl>
      <w:tblPr>
        <w:tblStyle w:val="2"/>
        <w:tblW w:w="10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53"/>
        <w:gridCol w:w="8328"/>
      </w:tblGrid>
      <w:tr w14:paraId="5AD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203" w:type="dxa"/>
            <w:noWrap w:val="0"/>
            <w:vAlign w:val="center"/>
          </w:tcPr>
          <w:p w14:paraId="2502F04A">
            <w:pPr>
              <w:keepNext w:val="0"/>
              <w:keepLines w:val="0"/>
              <w:suppressLineNumbers w:val="0"/>
              <w:spacing w:before="8" w:beforeAutospacing="0" w:after="0" w:afterAutospacing="0"/>
              <w:ind w:left="0" w:right="0"/>
              <w:jc w:val="center"/>
              <w:rPr>
                <w:rFonts w:hint="default" w:ascii="宋体" w:hAnsi="宋体" w:cs="宋体"/>
                <w:color w:val="auto"/>
                <w:kern w:val="2"/>
                <w:sz w:val="24"/>
                <w:highlight w:val="none"/>
                <w:lang w:eastAsia="zh-CN"/>
              </w:rPr>
            </w:pPr>
            <w:r>
              <w:rPr>
                <w:rFonts w:hint="eastAsia" w:ascii="宋体" w:hAnsi="宋体" w:cs="宋体"/>
                <w:color w:val="auto"/>
                <w:kern w:val="2"/>
                <w:sz w:val="24"/>
                <w:highlight w:val="none"/>
                <w:lang w:eastAsia="zh-CN"/>
              </w:rPr>
              <w:t>标段</w:t>
            </w:r>
            <w:r>
              <w:rPr>
                <w:rFonts w:hint="default" w:ascii="宋体" w:hAnsi="宋体" w:cs="宋体"/>
                <w:color w:val="auto"/>
                <w:kern w:val="2"/>
                <w:sz w:val="24"/>
                <w:highlight w:val="none"/>
                <w:lang w:eastAsia="zh-CN"/>
              </w:rPr>
              <w:t>标类</w:t>
            </w:r>
          </w:p>
        </w:tc>
        <w:tc>
          <w:tcPr>
            <w:tcW w:w="753" w:type="dxa"/>
            <w:noWrap w:val="0"/>
            <w:vAlign w:val="center"/>
          </w:tcPr>
          <w:p w14:paraId="41E694D5">
            <w:pPr>
              <w:keepNext w:val="0"/>
              <w:keepLines w:val="0"/>
              <w:suppressLineNumbers w:val="0"/>
              <w:spacing w:before="8" w:beforeAutospacing="0" w:after="0" w:afterAutospacing="0"/>
              <w:ind w:left="0" w:right="0"/>
              <w:jc w:val="center"/>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标段</w:t>
            </w:r>
          </w:p>
        </w:tc>
        <w:tc>
          <w:tcPr>
            <w:tcW w:w="8328" w:type="dxa"/>
            <w:noWrap w:val="0"/>
            <w:vAlign w:val="center"/>
          </w:tcPr>
          <w:p w14:paraId="2FF177E3">
            <w:pPr>
              <w:keepNext w:val="0"/>
              <w:keepLines w:val="0"/>
              <w:suppressLineNumbers w:val="0"/>
              <w:spacing w:before="0" w:beforeAutospacing="0" w:after="0" w:afterAutospacing="0"/>
              <w:ind w:left="0" w:right="0"/>
              <w:jc w:val="center"/>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监理企业资质等级要求</w:t>
            </w:r>
          </w:p>
        </w:tc>
      </w:tr>
      <w:tr w14:paraId="7750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203" w:type="dxa"/>
            <w:noWrap w:val="0"/>
            <w:vAlign w:val="center"/>
          </w:tcPr>
          <w:p w14:paraId="1E2D7F11">
            <w:pPr>
              <w:keepNext w:val="0"/>
              <w:keepLines w:val="0"/>
              <w:suppressLineNumbers w:val="0"/>
              <w:spacing w:before="8" w:beforeAutospacing="0" w:after="0" w:afterAutospacing="0"/>
              <w:ind w:left="0" w:right="0"/>
              <w:jc w:val="center"/>
              <w:rPr>
                <w:rFonts w:hint="eastAsia" w:ascii="宋体" w:hAnsi="宋体" w:cs="宋体"/>
                <w:color w:val="auto"/>
                <w:kern w:val="2"/>
                <w:sz w:val="24"/>
                <w:highlight w:val="none"/>
              </w:rPr>
            </w:pPr>
            <w:r>
              <w:rPr>
                <w:rFonts w:hint="eastAsia" w:ascii="宋体" w:hAnsi="宋体" w:cs="宋体"/>
                <w:color w:val="auto"/>
                <w:kern w:val="2"/>
                <w:sz w:val="24"/>
                <w:highlight w:val="none"/>
              </w:rPr>
              <w:t>土建监理</w:t>
            </w:r>
            <w:r>
              <w:rPr>
                <w:rFonts w:hint="eastAsia" w:ascii="宋体" w:hAnsi="宋体" w:cs="宋体"/>
                <w:color w:val="auto"/>
                <w:kern w:val="2"/>
                <w:sz w:val="24"/>
                <w:highlight w:val="none"/>
                <w:lang w:val="en-US" w:eastAsia="zh-CN"/>
              </w:rPr>
              <w:t>类</w:t>
            </w:r>
            <w:r>
              <w:rPr>
                <w:rFonts w:hint="eastAsia" w:ascii="宋体" w:hAnsi="宋体" w:cs="宋体"/>
                <w:color w:val="auto"/>
                <w:kern w:val="2"/>
                <w:sz w:val="24"/>
                <w:highlight w:val="none"/>
              </w:rPr>
              <w:t>（</w:t>
            </w:r>
            <w:r>
              <w:rPr>
                <w:rFonts w:hint="eastAsia" w:ascii="宋体" w:hAnsi="宋体" w:cs="宋体"/>
                <w:color w:val="auto"/>
                <w:kern w:val="2"/>
                <w:sz w:val="24"/>
                <w:highlight w:val="none"/>
                <w:lang w:val="en-US" w:eastAsia="zh-CN"/>
              </w:rPr>
              <w:t>A</w:t>
            </w:r>
            <w:r>
              <w:rPr>
                <w:rFonts w:hint="eastAsia" w:ascii="宋体" w:hAnsi="宋体" w:cs="宋体"/>
                <w:color w:val="auto"/>
                <w:kern w:val="2"/>
                <w:sz w:val="24"/>
                <w:highlight w:val="none"/>
              </w:rPr>
              <w:t>类）</w:t>
            </w:r>
          </w:p>
        </w:tc>
        <w:tc>
          <w:tcPr>
            <w:tcW w:w="753" w:type="dxa"/>
            <w:noWrap w:val="0"/>
            <w:vAlign w:val="center"/>
          </w:tcPr>
          <w:p w14:paraId="741D5DD4">
            <w:pPr>
              <w:keepNext w:val="0"/>
              <w:keepLines w:val="0"/>
              <w:suppressLineNumbers w:val="0"/>
              <w:spacing w:before="8" w:beforeAutospacing="0" w:after="0" w:afterAutospacing="0"/>
              <w:ind w:left="0" w:right="0"/>
              <w:jc w:val="center"/>
              <w:rPr>
                <w:rFonts w:hint="eastAsia" w:ascii="宋体" w:hAnsi="宋体" w:cs="宋体"/>
                <w:color w:val="auto"/>
                <w:kern w:val="2"/>
                <w:sz w:val="29"/>
                <w:szCs w:val="29"/>
                <w:highlight w:val="none"/>
                <w:lang w:eastAsia="zh-CN"/>
              </w:rPr>
            </w:pPr>
            <w:r>
              <w:rPr>
                <w:rFonts w:hint="eastAsia" w:ascii="宋体" w:hAnsi="宋体" w:cs="宋体"/>
                <w:color w:val="auto"/>
                <w:kern w:val="2"/>
                <w:sz w:val="24"/>
                <w:highlight w:val="none"/>
                <w:lang w:eastAsia="zh-CN"/>
              </w:rPr>
              <w:t>/</w:t>
            </w:r>
          </w:p>
        </w:tc>
        <w:tc>
          <w:tcPr>
            <w:tcW w:w="8328" w:type="dxa"/>
            <w:noWrap w:val="0"/>
            <w:vAlign w:val="center"/>
          </w:tcPr>
          <w:p w14:paraId="43BA95B2">
            <w:pPr>
              <w:keepNext w:val="0"/>
              <w:keepLines w:val="0"/>
              <w:suppressLineNumbers w:val="0"/>
              <w:spacing w:before="0" w:beforeAutospacing="0" w:after="0" w:afterAutospacing="0"/>
              <w:ind w:left="0" w:right="0"/>
              <w:jc w:val="both"/>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具有国家交通运输主管部门核发的在有效期内的公路工程专业</w:t>
            </w:r>
            <w:r>
              <w:rPr>
                <w:rFonts w:hint="eastAsia" w:ascii="宋体" w:hAnsi="宋体" w:cs="宋体"/>
                <w:color w:val="auto"/>
                <w:kern w:val="2"/>
                <w:sz w:val="24"/>
                <w:highlight w:val="none"/>
                <w:lang w:val="en-US" w:eastAsia="zh-CN"/>
              </w:rPr>
              <w:t>乙</w:t>
            </w:r>
            <w:r>
              <w:rPr>
                <w:rFonts w:hint="eastAsia" w:ascii="宋体" w:hAnsi="宋体" w:cs="宋体"/>
                <w:color w:val="auto"/>
                <w:kern w:val="2"/>
                <w:sz w:val="24"/>
                <w:highlight w:val="none"/>
                <w:lang w:eastAsia="zh-CN"/>
              </w:rPr>
              <w:t>级</w:t>
            </w:r>
            <w:r>
              <w:rPr>
                <w:rFonts w:hint="eastAsia" w:ascii="宋体" w:hAnsi="宋体" w:cs="宋体"/>
                <w:color w:val="auto"/>
                <w:kern w:val="2"/>
                <w:sz w:val="24"/>
                <w:highlight w:val="none"/>
                <w:lang w:val="en-US" w:eastAsia="zh-CN"/>
              </w:rPr>
              <w:t>或以上</w:t>
            </w:r>
            <w:r>
              <w:rPr>
                <w:rFonts w:hint="eastAsia" w:ascii="宋体" w:hAnsi="宋体" w:cs="宋体"/>
                <w:color w:val="auto"/>
                <w:kern w:val="2"/>
                <w:sz w:val="24"/>
                <w:highlight w:val="none"/>
                <w:lang w:eastAsia="zh-CN"/>
              </w:rPr>
              <w:t>监理企业资质，持有工商行政管理部门核发的有效的企业法人营业执照。</w:t>
            </w:r>
          </w:p>
        </w:tc>
      </w:tr>
    </w:tbl>
    <w:p w14:paraId="46CC3B83">
      <w:pPr>
        <w:spacing w:before="8"/>
        <w:rPr>
          <w:rFonts w:hint="eastAsia" w:ascii="宋体" w:hAnsi="宋体" w:cs="宋体"/>
          <w:color w:val="auto"/>
          <w:sz w:val="29"/>
          <w:szCs w:val="29"/>
          <w:highlight w:val="none"/>
          <w:lang w:eastAsia="zh-CN"/>
        </w:rPr>
      </w:pPr>
    </w:p>
    <w:p w14:paraId="2AE98696">
      <w:pPr>
        <w:spacing w:before="142"/>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附录 2</w:t>
      </w:r>
      <w:r>
        <w:rPr>
          <w:rFonts w:hint="eastAsia" w:ascii="宋体" w:hAnsi="宋体" w:cs="宋体"/>
          <w:b/>
          <w:color w:val="auto"/>
          <w:sz w:val="26"/>
          <w:szCs w:val="26"/>
          <w:highlight w:val="none"/>
          <w:lang w:eastAsia="zh-CN"/>
        </w:rPr>
        <w:tab/>
      </w:r>
      <w:r>
        <w:rPr>
          <w:rFonts w:hint="eastAsia" w:ascii="宋体" w:hAnsi="宋体" w:cs="宋体"/>
          <w:b/>
          <w:color w:val="auto"/>
          <w:sz w:val="28"/>
          <w:szCs w:val="28"/>
          <w:highlight w:val="none"/>
          <w:lang w:eastAsia="zh-CN"/>
        </w:rPr>
        <w:t>资格审查条件（业绩最低要求）</w:t>
      </w:r>
    </w:p>
    <w:tbl>
      <w:tblPr>
        <w:tblStyle w:val="2"/>
        <w:tblW w:w="10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50"/>
        <w:gridCol w:w="8310"/>
      </w:tblGrid>
      <w:tr w14:paraId="630B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03" w:type="dxa"/>
            <w:noWrap w:val="0"/>
            <w:vAlign w:val="center"/>
          </w:tcPr>
          <w:p w14:paraId="5A643F37">
            <w:pPr>
              <w:keepNext w:val="0"/>
              <w:keepLines w:val="0"/>
              <w:suppressLineNumbers w:val="0"/>
              <w:spacing w:before="8" w:beforeAutospacing="0" w:after="0" w:afterAutospacing="0"/>
              <w:ind w:left="0" w:right="0"/>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highlight w:val="none"/>
                <w:lang w:eastAsia="zh-CN"/>
              </w:rPr>
              <w:t>标段类别</w:t>
            </w:r>
          </w:p>
        </w:tc>
        <w:tc>
          <w:tcPr>
            <w:tcW w:w="750" w:type="dxa"/>
            <w:noWrap w:val="0"/>
            <w:vAlign w:val="center"/>
          </w:tcPr>
          <w:p w14:paraId="0F404132">
            <w:pPr>
              <w:keepNext w:val="0"/>
              <w:keepLines w:val="0"/>
              <w:suppressLineNumbers w:val="0"/>
              <w:spacing w:before="8" w:beforeAutospacing="0" w:after="0" w:afterAutospacing="0"/>
              <w:ind w:left="0" w:right="0"/>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highlight w:val="none"/>
                <w:lang w:eastAsia="zh-CN"/>
              </w:rPr>
              <w:t>标段</w:t>
            </w:r>
          </w:p>
        </w:tc>
        <w:tc>
          <w:tcPr>
            <w:tcW w:w="8310" w:type="dxa"/>
            <w:noWrap w:val="0"/>
            <w:vAlign w:val="center"/>
          </w:tcPr>
          <w:p w14:paraId="1256D347">
            <w:pPr>
              <w:keepNext w:val="0"/>
              <w:keepLines w:val="0"/>
              <w:suppressLineNumbers w:val="0"/>
              <w:spacing w:before="8"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4"/>
                <w:szCs w:val="24"/>
                <w:highlight w:val="none"/>
                <w:lang w:eastAsia="zh-CN"/>
              </w:rPr>
              <w:t>要 求</w:t>
            </w:r>
          </w:p>
        </w:tc>
      </w:tr>
      <w:tr w14:paraId="406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203" w:type="dxa"/>
            <w:noWrap w:val="0"/>
            <w:vAlign w:val="center"/>
          </w:tcPr>
          <w:p w14:paraId="6F856C26">
            <w:pPr>
              <w:keepNext w:val="0"/>
              <w:keepLines w:val="0"/>
              <w:widowControl/>
              <w:suppressLineNumbers w:val="0"/>
              <w:spacing w:before="0" w:beforeAutospacing="0" w:after="0" w:afterAutospacing="0"/>
              <w:ind w:left="0" w:right="0"/>
              <w:jc w:val="center"/>
              <w:rPr>
                <w:rFonts w:hint="eastAsia" w:ascii="宋体" w:hAnsi="宋体" w:cs="宋体"/>
                <w:color w:val="auto"/>
                <w:kern w:val="2"/>
                <w:sz w:val="24"/>
                <w:highlight w:val="none"/>
              </w:rPr>
            </w:pPr>
            <w:r>
              <w:rPr>
                <w:rFonts w:hint="eastAsia" w:ascii="宋体" w:hAnsi="宋体" w:cs="宋体"/>
                <w:color w:val="auto"/>
                <w:kern w:val="2"/>
                <w:sz w:val="24"/>
                <w:highlight w:val="none"/>
              </w:rPr>
              <w:t>土建监理</w:t>
            </w:r>
            <w:r>
              <w:rPr>
                <w:rFonts w:hint="eastAsia" w:ascii="宋体" w:hAnsi="宋体" w:cs="宋体"/>
                <w:color w:val="auto"/>
                <w:kern w:val="2"/>
                <w:sz w:val="24"/>
                <w:highlight w:val="none"/>
                <w:lang w:val="en-US" w:eastAsia="zh-CN"/>
              </w:rPr>
              <w:t>类</w:t>
            </w:r>
            <w:r>
              <w:rPr>
                <w:rFonts w:hint="eastAsia" w:ascii="宋体" w:hAnsi="宋体" w:cs="宋体"/>
                <w:color w:val="auto"/>
                <w:kern w:val="2"/>
                <w:sz w:val="24"/>
                <w:highlight w:val="none"/>
              </w:rPr>
              <w:t>（</w:t>
            </w:r>
            <w:r>
              <w:rPr>
                <w:rFonts w:hint="eastAsia" w:ascii="宋体" w:hAnsi="宋体" w:cs="宋体"/>
                <w:color w:val="auto"/>
                <w:kern w:val="2"/>
                <w:sz w:val="24"/>
                <w:highlight w:val="none"/>
                <w:lang w:val="en-US" w:eastAsia="zh-CN"/>
              </w:rPr>
              <w:t>A</w:t>
            </w:r>
            <w:r>
              <w:rPr>
                <w:rFonts w:hint="eastAsia" w:ascii="宋体" w:hAnsi="宋体" w:cs="宋体"/>
                <w:color w:val="auto"/>
                <w:kern w:val="2"/>
                <w:sz w:val="24"/>
                <w:highlight w:val="none"/>
              </w:rPr>
              <w:t>类）</w:t>
            </w:r>
          </w:p>
        </w:tc>
        <w:tc>
          <w:tcPr>
            <w:tcW w:w="750" w:type="dxa"/>
            <w:noWrap w:val="0"/>
            <w:vAlign w:val="center"/>
          </w:tcPr>
          <w:p w14:paraId="6B5D36D3">
            <w:pPr>
              <w:keepNext w:val="0"/>
              <w:keepLines w:val="0"/>
              <w:suppressLineNumbers w:val="0"/>
              <w:spacing w:before="8" w:beforeAutospacing="0" w:after="0" w:afterAutospacing="0"/>
              <w:ind w:left="0" w:right="0"/>
              <w:jc w:val="center"/>
              <w:rPr>
                <w:rFonts w:hint="eastAsia" w:ascii="宋体" w:hAnsi="宋体" w:cs="宋体"/>
                <w:color w:val="auto"/>
                <w:kern w:val="2"/>
                <w:sz w:val="24"/>
                <w:highlight w:val="none"/>
              </w:rPr>
            </w:pPr>
            <w:r>
              <w:rPr>
                <w:rFonts w:hint="eastAsia" w:ascii="宋体" w:hAnsi="宋体" w:cs="宋体"/>
                <w:color w:val="auto"/>
                <w:kern w:val="2"/>
                <w:sz w:val="24"/>
                <w:highlight w:val="none"/>
                <w:lang w:eastAsia="zh-CN"/>
              </w:rPr>
              <w:t>/</w:t>
            </w:r>
          </w:p>
        </w:tc>
        <w:tc>
          <w:tcPr>
            <w:tcW w:w="8310" w:type="dxa"/>
            <w:noWrap w:val="0"/>
            <w:vAlign w:val="center"/>
          </w:tcPr>
          <w:p w14:paraId="5EEC2964">
            <w:pPr>
              <w:keepNext w:val="0"/>
              <w:keepLines w:val="0"/>
              <w:suppressLineNumbers w:val="0"/>
              <w:spacing w:before="4" w:beforeAutospacing="0" w:after="0" w:afterAutospacing="0" w:line="360" w:lineRule="auto"/>
              <w:ind w:left="0" w:right="0"/>
              <w:jc w:val="both"/>
              <w:rPr>
                <w:rFonts w:hint="eastAsia" w:ascii="宋体" w:hAnsi="宋体" w:cs="宋体"/>
                <w:color w:val="auto"/>
                <w:kern w:val="2"/>
                <w:sz w:val="24"/>
                <w:highlight w:val="none"/>
                <w:lang w:eastAsia="zh-CN"/>
              </w:rPr>
            </w:pPr>
            <w:r>
              <w:rPr>
                <w:rFonts w:hint="eastAsia" w:ascii="宋体" w:hAnsi="宋体" w:cs="宋体"/>
                <w:color w:val="auto"/>
                <w:spacing w:val="0"/>
                <w:kern w:val="2"/>
                <w:sz w:val="24"/>
                <w:highlight w:val="none"/>
                <w:lang w:eastAsia="zh-CN"/>
              </w:rPr>
              <w:t>近五年，成功完成过以下业绩</w:t>
            </w:r>
          </w:p>
          <w:p w14:paraId="20A486C3">
            <w:pPr>
              <w:keepNext w:val="0"/>
              <w:keepLines w:val="0"/>
              <w:suppressLineNumbers w:val="0"/>
              <w:spacing w:before="4" w:beforeAutospacing="0" w:after="0" w:afterAutospacing="0" w:line="360" w:lineRule="auto"/>
              <w:ind w:left="0" w:right="0"/>
              <w:jc w:val="both"/>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1、路基工程：累计完成过至少</w:t>
            </w:r>
            <w:r>
              <w:rPr>
                <w:rFonts w:hint="eastAsia" w:ascii="宋体" w:hAnsi="宋体" w:cs="宋体"/>
                <w:color w:val="auto"/>
                <w:kern w:val="2"/>
                <w:sz w:val="24"/>
                <w:highlight w:val="none"/>
                <w:lang w:val="en-US" w:eastAsia="zh-CN"/>
              </w:rPr>
              <w:t>2</w:t>
            </w:r>
            <w:r>
              <w:rPr>
                <w:rFonts w:hint="eastAsia" w:ascii="宋体" w:hAnsi="宋体" w:cs="宋体"/>
                <w:color w:val="auto"/>
                <w:kern w:val="2"/>
                <w:sz w:val="24"/>
                <w:highlight w:val="none"/>
                <w:lang w:eastAsia="zh-CN"/>
              </w:rPr>
              <w:t>km的类似工程路基施工监理任务，其中至少1个标段里程不少于</w:t>
            </w:r>
            <w:r>
              <w:rPr>
                <w:rFonts w:hint="eastAsia" w:ascii="宋体" w:hAnsi="宋体" w:cs="宋体"/>
                <w:color w:val="auto"/>
                <w:kern w:val="2"/>
                <w:sz w:val="24"/>
                <w:highlight w:val="none"/>
                <w:lang w:val="en-US" w:eastAsia="zh-CN"/>
              </w:rPr>
              <w:t>600</w:t>
            </w:r>
            <w:r>
              <w:rPr>
                <w:rFonts w:hint="eastAsia" w:ascii="宋体" w:hAnsi="宋体" w:cs="宋体"/>
                <w:color w:val="auto"/>
                <w:kern w:val="2"/>
                <w:sz w:val="24"/>
                <w:highlight w:val="none"/>
                <w:lang w:eastAsia="zh-CN"/>
              </w:rPr>
              <w:t>m。</w:t>
            </w:r>
          </w:p>
          <w:p w14:paraId="2E5D9572">
            <w:pPr>
              <w:keepNext w:val="0"/>
              <w:keepLines w:val="0"/>
              <w:suppressLineNumbers w:val="0"/>
              <w:spacing w:before="4" w:beforeAutospacing="0" w:after="0" w:afterAutospacing="0" w:line="360" w:lineRule="auto"/>
              <w:ind w:left="0" w:right="0"/>
              <w:jc w:val="both"/>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2、路面工程：累计完成过至少</w:t>
            </w:r>
            <w:r>
              <w:rPr>
                <w:rFonts w:hint="eastAsia" w:ascii="宋体" w:hAnsi="宋体" w:cs="宋体"/>
                <w:color w:val="auto"/>
                <w:kern w:val="2"/>
                <w:sz w:val="24"/>
                <w:highlight w:val="none"/>
                <w:lang w:val="en-US" w:eastAsia="zh-CN"/>
              </w:rPr>
              <w:t>2</w:t>
            </w:r>
            <w:r>
              <w:rPr>
                <w:rFonts w:hint="eastAsia" w:ascii="宋体" w:hAnsi="宋体" w:cs="宋体"/>
                <w:color w:val="auto"/>
                <w:kern w:val="2"/>
                <w:sz w:val="24"/>
                <w:highlight w:val="none"/>
                <w:lang w:eastAsia="zh-CN"/>
              </w:rPr>
              <w:t>km的类似工程沥青混凝土路面施工监理任务，其中至少1个标段里程不少于</w:t>
            </w:r>
            <w:r>
              <w:rPr>
                <w:rFonts w:hint="eastAsia" w:ascii="宋体" w:hAnsi="宋体" w:cs="宋体"/>
                <w:color w:val="auto"/>
                <w:kern w:val="2"/>
                <w:sz w:val="24"/>
                <w:highlight w:val="none"/>
                <w:lang w:val="en-US" w:eastAsia="zh-CN"/>
              </w:rPr>
              <w:t>600</w:t>
            </w:r>
            <w:r>
              <w:rPr>
                <w:rFonts w:hint="eastAsia" w:ascii="宋体" w:hAnsi="宋体" w:cs="宋体"/>
                <w:color w:val="auto"/>
                <w:kern w:val="2"/>
                <w:sz w:val="24"/>
                <w:highlight w:val="none"/>
                <w:lang w:eastAsia="zh-CN"/>
              </w:rPr>
              <w:t>m。</w:t>
            </w:r>
          </w:p>
          <w:p w14:paraId="581AA181">
            <w:pPr>
              <w:keepNext w:val="0"/>
              <w:keepLines w:val="0"/>
              <w:suppressLineNumbers w:val="0"/>
              <w:spacing w:before="4" w:beforeAutospacing="0" w:after="0" w:afterAutospacing="0" w:line="360" w:lineRule="auto"/>
              <w:ind w:left="0" w:right="0"/>
              <w:jc w:val="both"/>
              <w:rPr>
                <w:rFonts w:hint="eastAsia" w:ascii="宋体" w:hAnsi="宋体" w:cs="宋体"/>
                <w:color w:val="auto"/>
                <w:kern w:val="2"/>
                <w:sz w:val="24"/>
                <w:highlight w:val="none"/>
                <w:lang w:eastAsia="zh-CN"/>
              </w:rPr>
            </w:pPr>
            <w:r>
              <w:rPr>
                <w:rFonts w:hint="eastAsia" w:ascii="宋体" w:hAnsi="宋体" w:cs="宋体"/>
                <w:color w:val="auto"/>
                <w:kern w:val="2"/>
                <w:sz w:val="24"/>
                <w:highlight w:val="none"/>
                <w:lang w:eastAsia="zh-CN"/>
              </w:rPr>
              <w:t>3、桥梁工程：累计完成过至少2座类似工程</w:t>
            </w:r>
            <w:r>
              <w:rPr>
                <w:rFonts w:hint="eastAsia" w:ascii="宋体" w:hAnsi="宋体" w:cs="宋体"/>
                <w:color w:val="auto"/>
                <w:kern w:val="2"/>
                <w:sz w:val="24"/>
                <w:highlight w:val="none"/>
                <w:lang w:val="en-US" w:eastAsia="zh-CN"/>
              </w:rPr>
              <w:t>大桥</w:t>
            </w:r>
            <w:r>
              <w:rPr>
                <w:rFonts w:hint="eastAsia" w:ascii="宋体" w:hAnsi="宋体" w:cs="宋体"/>
                <w:color w:val="auto"/>
                <w:kern w:val="2"/>
                <w:sz w:val="24"/>
                <w:highlight w:val="none"/>
                <w:lang w:eastAsia="zh-CN"/>
              </w:rPr>
              <w:t>施工监理任务</w:t>
            </w:r>
            <w:r>
              <w:rPr>
                <w:rFonts w:hint="eastAsia" w:ascii="宋体" w:hAnsi="宋体" w:cs="宋体"/>
                <w:color w:val="auto"/>
                <w:kern w:val="2"/>
                <w:sz w:val="24"/>
                <w:highlight w:val="none"/>
                <w:lang w:val="en-US" w:eastAsia="zh-CN"/>
              </w:rPr>
              <w:t>，且至少有一座桥梁主孔跨径不小于50m</w:t>
            </w:r>
            <w:r>
              <w:rPr>
                <w:rFonts w:hint="eastAsia" w:ascii="宋体" w:hAnsi="宋体" w:cs="宋体"/>
                <w:color w:val="auto"/>
                <w:kern w:val="2"/>
                <w:sz w:val="24"/>
                <w:highlight w:val="none"/>
                <w:lang w:eastAsia="zh-CN"/>
              </w:rPr>
              <w:t>。</w:t>
            </w:r>
          </w:p>
          <w:p w14:paraId="2D1A7A02">
            <w:pPr>
              <w:keepNext w:val="0"/>
              <w:keepLines w:val="0"/>
              <w:suppressLineNumbers w:val="0"/>
              <w:spacing w:before="4" w:beforeAutospacing="0" w:after="0" w:afterAutospacing="0" w:line="360" w:lineRule="auto"/>
              <w:ind w:left="0" w:right="0"/>
              <w:jc w:val="both"/>
              <w:rPr>
                <w:rFonts w:hint="eastAsia" w:ascii="Calibri" w:hAnsi="Calibri" w:cs="Calibri"/>
                <w:color w:val="auto"/>
                <w:kern w:val="2"/>
                <w:highlight w:val="none"/>
                <w:lang w:eastAsia="zh-CN"/>
              </w:rPr>
            </w:pPr>
            <w:r>
              <w:rPr>
                <w:rFonts w:hint="eastAsia" w:ascii="宋体" w:hAnsi="宋体" w:cs="宋体"/>
                <w:color w:val="auto"/>
                <w:kern w:val="2"/>
                <w:sz w:val="24"/>
                <w:highlight w:val="none"/>
                <w:lang w:eastAsia="zh-CN"/>
              </w:rPr>
              <w:t>4、交通安全设施工程：累计完成过至少</w:t>
            </w:r>
            <w:r>
              <w:rPr>
                <w:rFonts w:hint="eastAsia" w:ascii="宋体" w:hAnsi="宋体" w:cs="宋体"/>
                <w:color w:val="auto"/>
                <w:kern w:val="2"/>
                <w:sz w:val="24"/>
                <w:highlight w:val="none"/>
                <w:lang w:val="en-US" w:eastAsia="zh-CN"/>
              </w:rPr>
              <w:t>2</w:t>
            </w:r>
            <w:r>
              <w:rPr>
                <w:rFonts w:hint="eastAsia" w:ascii="宋体" w:hAnsi="宋体" w:cs="宋体"/>
                <w:color w:val="auto"/>
                <w:kern w:val="2"/>
                <w:sz w:val="24"/>
                <w:highlight w:val="none"/>
                <w:lang w:eastAsia="zh-CN"/>
              </w:rPr>
              <w:t>km的类似工程交通安全设施施工监理任务，其中至少1个标段里程不少于</w:t>
            </w:r>
            <w:r>
              <w:rPr>
                <w:rFonts w:hint="eastAsia" w:ascii="宋体" w:hAnsi="宋体" w:cs="宋体"/>
                <w:color w:val="auto"/>
                <w:kern w:val="2"/>
                <w:sz w:val="24"/>
                <w:highlight w:val="none"/>
                <w:lang w:val="en-US" w:eastAsia="zh-CN"/>
              </w:rPr>
              <w:t>600</w:t>
            </w:r>
            <w:r>
              <w:rPr>
                <w:rFonts w:hint="eastAsia" w:ascii="宋体" w:hAnsi="宋体" w:cs="宋体"/>
                <w:color w:val="auto"/>
                <w:kern w:val="2"/>
                <w:sz w:val="24"/>
                <w:highlight w:val="none"/>
                <w:lang w:eastAsia="zh-CN"/>
              </w:rPr>
              <w:t>m。</w:t>
            </w:r>
          </w:p>
        </w:tc>
      </w:tr>
    </w:tbl>
    <w:p w14:paraId="5ED801FE">
      <w:pPr>
        <w:adjustRightInd w:val="0"/>
        <w:snapToGrid w:val="0"/>
        <w:spacing w:line="360" w:lineRule="auto"/>
        <w:ind w:firstLine="420" w:firstLineChars="200"/>
        <w:rPr>
          <w:rFonts w:ascii="宋体" w:hAnsi="宋体"/>
          <w:color w:val="auto"/>
          <w:highlight w:val="none"/>
          <w:lang w:eastAsia="zh-CN"/>
        </w:rPr>
      </w:pPr>
      <w:r>
        <w:rPr>
          <w:rFonts w:hint="eastAsia" w:ascii="宋体" w:hAnsi="宋体" w:cs="宋体"/>
          <w:color w:val="auto"/>
          <w:sz w:val="21"/>
          <w:szCs w:val="21"/>
          <w:highlight w:val="none"/>
          <w:lang w:eastAsia="zh-CN"/>
        </w:rPr>
        <w:t>注：</w:t>
      </w:r>
      <w:r>
        <w:rPr>
          <w:rFonts w:ascii="宋体" w:hAnsi="宋体"/>
          <w:color w:val="auto"/>
          <w:highlight w:val="none"/>
          <w:lang w:eastAsia="zh-CN"/>
        </w:rPr>
        <w:t>1、</w:t>
      </w:r>
      <w:r>
        <w:rPr>
          <w:rFonts w:hint="eastAsia" w:ascii="宋体" w:hAnsi="宋体"/>
          <w:color w:val="auto"/>
          <w:highlight w:val="none"/>
          <w:lang w:eastAsia="zh-CN"/>
        </w:rPr>
        <w:t>同一工程项目同时满足 2 项或多项业绩要求条件的，可分别计；</w:t>
      </w:r>
    </w:p>
    <w:p w14:paraId="47F8BD9E">
      <w:pPr>
        <w:adjustRightInd w:val="0"/>
        <w:snapToGrid w:val="0"/>
        <w:spacing w:line="360" w:lineRule="auto"/>
        <w:ind w:firstLine="440" w:firstLineChars="200"/>
        <w:rPr>
          <w:rFonts w:ascii="宋体" w:hAnsi="宋体"/>
          <w:color w:val="auto"/>
          <w:highlight w:val="none"/>
          <w:lang w:eastAsia="zh-CN"/>
        </w:rPr>
      </w:pPr>
      <w:r>
        <w:rPr>
          <w:rFonts w:hint="eastAsia" w:ascii="宋体" w:hAnsi="宋体"/>
          <w:color w:val="auto"/>
          <w:highlight w:val="none"/>
          <w:lang w:val="en-US" w:eastAsia="zh-CN"/>
        </w:rPr>
        <w:t>2、</w:t>
      </w:r>
      <w:r>
        <w:rPr>
          <w:rFonts w:ascii="宋体" w:hAnsi="宋体"/>
          <w:color w:val="auto"/>
          <w:highlight w:val="none"/>
          <w:lang w:eastAsia="zh-CN"/>
        </w:rPr>
        <w:t>“完成过”指工程完工并交工验收（时间以载明的交工验收或无交工验收一次性竣工验收</w:t>
      </w:r>
      <w:r>
        <w:rPr>
          <w:rFonts w:hint="eastAsia" w:ascii="宋体" w:hAnsi="宋体"/>
          <w:color w:val="auto"/>
          <w:highlight w:val="none"/>
          <w:lang w:eastAsia="zh-CN"/>
        </w:rPr>
        <w:t>时间为准），经评定合格，本文提到的交工验收是指交工验收或一次性竣工验收。</w:t>
      </w:r>
    </w:p>
    <w:p w14:paraId="2F4F2049">
      <w:pPr>
        <w:adjustRightInd w:val="0"/>
        <w:snapToGrid w:val="0"/>
        <w:spacing w:line="360" w:lineRule="auto"/>
        <w:ind w:firstLine="440" w:firstLineChars="200"/>
        <w:rPr>
          <w:rFonts w:ascii="宋体" w:hAnsi="宋体"/>
          <w:color w:val="auto"/>
          <w:highlight w:val="none"/>
          <w:lang w:eastAsia="zh-CN"/>
        </w:rPr>
      </w:pPr>
      <w:r>
        <w:rPr>
          <w:rFonts w:hint="eastAsia" w:ascii="宋体" w:hAnsi="宋体"/>
          <w:color w:val="auto"/>
          <w:highlight w:val="none"/>
          <w:lang w:val="en-US" w:eastAsia="zh-CN"/>
        </w:rPr>
        <w:t>3</w:t>
      </w:r>
      <w:r>
        <w:rPr>
          <w:rFonts w:ascii="宋体" w:hAnsi="宋体"/>
          <w:color w:val="auto"/>
          <w:highlight w:val="none"/>
          <w:lang w:eastAsia="zh-CN"/>
        </w:rPr>
        <w:t>、本表要求业绩指由投标人承接并完成的业绩,投标人上级单位（如总公司、集团公司等）的</w:t>
      </w:r>
      <w:r>
        <w:rPr>
          <w:rFonts w:hint="eastAsia" w:ascii="宋体" w:hAnsi="宋体"/>
          <w:color w:val="auto"/>
          <w:highlight w:val="none"/>
          <w:lang w:eastAsia="zh-CN"/>
        </w:rPr>
        <w:t>监理业绩和投标人具备独立法人资格的下属机构的监理业绩均不予认定。若投标人提供的业绩证明为联合体业绩，则按交通运输部“全国公路建设市场监督管理系统”业绩信息的网页截图体现其完成的工作量和专业认定，无法界定其完成的工作量和专业，此业绩不予认定。</w:t>
      </w:r>
    </w:p>
    <w:p w14:paraId="19953102">
      <w:pPr>
        <w:adjustRightInd w:val="0"/>
        <w:snapToGrid w:val="0"/>
        <w:spacing w:line="360" w:lineRule="auto"/>
        <w:ind w:firstLine="440" w:firstLineChars="200"/>
        <w:rPr>
          <w:rFonts w:hint="eastAsia" w:ascii="宋体" w:hAnsi="宋体"/>
          <w:color w:val="auto"/>
          <w:highlight w:val="none"/>
          <w:lang w:eastAsia="zh-CN"/>
        </w:rPr>
      </w:pPr>
      <w:r>
        <w:rPr>
          <w:rFonts w:hint="eastAsia" w:ascii="宋体" w:hAnsi="宋体"/>
          <w:color w:val="auto"/>
          <w:highlight w:val="none"/>
          <w:lang w:val="en-US" w:eastAsia="zh-CN"/>
        </w:rPr>
        <w:t>4</w:t>
      </w:r>
      <w:r>
        <w:rPr>
          <w:rFonts w:hint="eastAsia" w:ascii="宋体" w:hAnsi="宋体"/>
          <w:color w:val="auto"/>
          <w:highlight w:val="none"/>
          <w:lang w:eastAsia="zh-CN"/>
        </w:rPr>
        <w:t>、近五年是指：20</w:t>
      </w:r>
      <w:r>
        <w:rPr>
          <w:rFonts w:hint="eastAsia" w:ascii="宋体" w:hAnsi="宋体"/>
          <w:color w:val="auto"/>
          <w:highlight w:val="none"/>
          <w:lang w:val="en-US" w:eastAsia="zh-CN"/>
        </w:rPr>
        <w:t>20</w:t>
      </w:r>
      <w:r>
        <w:rPr>
          <w:rFonts w:hint="eastAsia" w:ascii="宋体" w:hAnsi="宋体"/>
          <w:color w:val="auto"/>
          <w:highlight w:val="none"/>
          <w:lang w:eastAsia="zh-CN"/>
        </w:rPr>
        <w:t>年</w:t>
      </w:r>
      <w:r>
        <w:rPr>
          <w:rFonts w:hint="eastAsia" w:ascii="宋体" w:hAnsi="宋体"/>
          <w:color w:val="auto"/>
          <w:highlight w:val="none"/>
          <w:lang w:val="en-US" w:eastAsia="zh-CN"/>
        </w:rPr>
        <w:t>6</w:t>
      </w:r>
      <w:r>
        <w:rPr>
          <w:rFonts w:hint="eastAsia" w:ascii="宋体" w:hAnsi="宋体"/>
          <w:color w:val="auto"/>
          <w:highlight w:val="none"/>
          <w:lang w:eastAsia="zh-CN"/>
        </w:rPr>
        <w:t>月1日至投标文件递交截止日（以交工验收或无交工验收一次性竣工验收的时间为准）。</w:t>
      </w:r>
    </w:p>
    <w:p w14:paraId="0E59C470">
      <w:pPr>
        <w:adjustRightInd w:val="0"/>
        <w:snapToGrid w:val="0"/>
        <w:spacing w:line="360" w:lineRule="auto"/>
        <w:ind w:firstLine="440" w:firstLineChars="200"/>
        <w:rPr>
          <w:rFonts w:ascii="宋体" w:hAnsi="宋体"/>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lang w:eastAsia="zh-CN"/>
        </w:rPr>
        <w:t>、本招标文件类似工程是指：</w:t>
      </w:r>
      <w:r>
        <w:rPr>
          <w:rFonts w:hint="eastAsia" w:ascii="宋体" w:hAnsi="宋体"/>
          <w:color w:val="auto"/>
          <w:highlight w:val="none"/>
          <w:u w:val="single"/>
          <w:lang w:eastAsia="zh-CN"/>
        </w:rPr>
        <w:t>均指新建（或改、扩建）一级或以上等级公路项目。在采用新建的公路项目完工业绩时，对于同公路等级改、扩建中的新建桥梁或隧道工程业绩也应认可。</w:t>
      </w:r>
    </w:p>
    <w:p w14:paraId="01903368">
      <w:pPr>
        <w:spacing w:line="20" w:lineRule="exact"/>
        <w:rPr>
          <w:rFonts w:hint="eastAsia" w:ascii="宋体" w:hAnsi="宋体" w:cs="宋体"/>
          <w:color w:val="auto"/>
          <w:sz w:val="2"/>
          <w:szCs w:val="2"/>
          <w:highlight w:val="none"/>
          <w:lang w:eastAsia="zh-CN"/>
        </w:rPr>
      </w:pPr>
    </w:p>
    <w:p w14:paraId="1D469F54">
      <w:pPr>
        <w:rPr>
          <w:rFonts w:hint="eastAsia" w:ascii="宋体" w:hAnsi="宋体" w:cs="宋体"/>
          <w:color w:val="auto"/>
          <w:sz w:val="20"/>
          <w:szCs w:val="20"/>
          <w:highlight w:val="none"/>
          <w:lang w:eastAsia="zh-CN"/>
        </w:rPr>
      </w:pPr>
    </w:p>
    <w:p w14:paraId="7C580292">
      <w:pPr>
        <w:tabs>
          <w:tab w:val="left" w:pos="1189"/>
        </w:tabs>
        <w:spacing w:before="13"/>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附录 3</w:t>
      </w:r>
      <w:r>
        <w:rPr>
          <w:rFonts w:hint="eastAsia" w:ascii="宋体" w:hAnsi="宋体" w:cs="宋体"/>
          <w:b/>
          <w:color w:val="auto"/>
          <w:sz w:val="26"/>
          <w:szCs w:val="26"/>
          <w:highlight w:val="none"/>
          <w:lang w:eastAsia="zh-CN"/>
        </w:rPr>
        <w:tab/>
      </w:r>
      <w:r>
        <w:rPr>
          <w:rFonts w:hint="eastAsia" w:ascii="宋体" w:hAnsi="宋体" w:cs="宋体"/>
          <w:b/>
          <w:color w:val="auto"/>
          <w:sz w:val="28"/>
          <w:szCs w:val="28"/>
          <w:highlight w:val="none"/>
          <w:lang w:eastAsia="zh-CN"/>
        </w:rPr>
        <w:t xml:space="preserve">资格审查条件（信誉最低要求）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6"/>
      </w:tblGrid>
      <w:tr w14:paraId="4CE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26" w:type="dxa"/>
            <w:noWrap w:val="0"/>
            <w:vAlign w:val="center"/>
          </w:tcPr>
          <w:p w14:paraId="2A8610A3">
            <w:pPr>
              <w:keepNext w:val="0"/>
              <w:keepLines w:val="0"/>
              <w:suppressLineNumbers w:val="0"/>
              <w:spacing w:before="6"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4"/>
                <w:szCs w:val="24"/>
                <w:highlight w:val="none"/>
                <w:lang w:eastAsia="zh-CN"/>
              </w:rPr>
              <w:t>信 誉 要 求</w:t>
            </w:r>
          </w:p>
        </w:tc>
      </w:tr>
      <w:tr w14:paraId="008E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4" w:hRule="atLeast"/>
        </w:trPr>
        <w:tc>
          <w:tcPr>
            <w:tcW w:w="9426" w:type="dxa"/>
            <w:noWrap w:val="0"/>
            <w:vAlign w:val="center"/>
          </w:tcPr>
          <w:p w14:paraId="3BE43D2E">
            <w:pPr>
              <w:keepNext w:val="0"/>
              <w:keepLines w:val="0"/>
              <w:widowControl/>
              <w:suppressLineNumbers w:val="0"/>
              <w:spacing w:before="0" w:beforeAutospacing="0" w:after="0" w:afterAutospacing="0" w:line="360" w:lineRule="exact"/>
              <w:ind w:left="0" w:right="0" w:firstLine="480" w:firstLineChars="200"/>
              <w:jc w:val="both"/>
              <w:rPr>
                <w:rFonts w:hint="eastAsia" w:ascii="宋体" w:hAnsi="宋体" w:cs="宋体"/>
                <w:color w:val="auto"/>
                <w:kern w:val="2"/>
                <w:sz w:val="24"/>
                <w:highlight w:val="none"/>
                <w:lang w:eastAsia="zh-CN"/>
              </w:rPr>
            </w:pPr>
            <w:r>
              <w:rPr>
                <w:rFonts w:hint="eastAsia" w:ascii="宋体" w:hAnsi="宋体" w:cs="宋体"/>
                <w:color w:val="auto"/>
                <w:kern w:val="2"/>
                <w:sz w:val="24"/>
                <w:szCs w:val="24"/>
                <w:highlight w:val="none"/>
                <w:lang w:eastAsia="zh-CN"/>
              </w:rPr>
              <w:t>最新年度（含无广东省最新年度信用等级而上一年度有广东省信用等级的）在广东省公路工程从业单位信用评价（监理单位）中，信用等级未被评为D级；初次进入广东省的投标人，在最新全国公路从业单位（监理单位）信用评价结果中未被评为D级。</w:t>
            </w:r>
          </w:p>
        </w:tc>
      </w:tr>
    </w:tbl>
    <w:p w14:paraId="4F48E938">
      <w:pPr>
        <w:widowControl/>
        <w:adjustRightInd w:val="0"/>
        <w:snapToGrid w:val="0"/>
        <w:spacing w:line="360" w:lineRule="auto"/>
        <w:rPr>
          <w:rFonts w:ascii="宋体" w:hAnsi="宋体"/>
          <w:color w:val="auto"/>
          <w:highlight w:val="none"/>
          <w:lang w:eastAsia="zh-CN"/>
        </w:rPr>
      </w:pPr>
      <w:r>
        <w:rPr>
          <w:rFonts w:ascii="宋体" w:hAnsi="宋体"/>
          <w:color w:val="auto"/>
          <w:highlight w:val="none"/>
          <w:lang w:eastAsia="zh-CN"/>
        </w:rPr>
        <w:t>注：信用等级的确定原则遵循投标人须知前附表第10.2款的规定。</w:t>
      </w:r>
    </w:p>
    <w:p w14:paraId="3AB71905">
      <w:pPr>
        <w:tabs>
          <w:tab w:val="left" w:pos="1433"/>
        </w:tabs>
        <w:spacing w:before="13"/>
        <w:jc w:val="center"/>
        <w:rPr>
          <w:rFonts w:hint="eastAsia" w:ascii="宋体" w:hAnsi="宋体" w:cs="宋体"/>
          <w:b/>
          <w:color w:val="auto"/>
          <w:spacing w:val="-18"/>
          <w:sz w:val="28"/>
          <w:szCs w:val="28"/>
          <w:highlight w:val="none"/>
          <w:lang w:eastAsia="zh-CN"/>
        </w:rPr>
      </w:pPr>
    </w:p>
    <w:p w14:paraId="01998B55">
      <w:pPr>
        <w:tabs>
          <w:tab w:val="left" w:pos="1433"/>
        </w:tabs>
        <w:spacing w:before="13"/>
        <w:jc w:val="center"/>
        <w:rPr>
          <w:rFonts w:hint="eastAsia" w:ascii="宋体" w:hAnsi="宋体" w:cs="宋体"/>
          <w:b/>
          <w:color w:val="auto"/>
          <w:sz w:val="27"/>
          <w:szCs w:val="27"/>
          <w:highlight w:val="none"/>
          <w:lang w:eastAsia="zh-CN"/>
        </w:rPr>
      </w:pPr>
      <w:r>
        <w:rPr>
          <w:rFonts w:hint="eastAsia" w:ascii="宋体" w:hAnsi="宋体" w:cs="宋体"/>
          <w:b/>
          <w:color w:val="auto"/>
          <w:spacing w:val="-18"/>
          <w:sz w:val="28"/>
          <w:szCs w:val="28"/>
          <w:highlight w:val="none"/>
          <w:lang w:eastAsia="zh-CN"/>
        </w:rPr>
        <w:t xml:space="preserve">附录 </w:t>
      </w:r>
      <w:r>
        <w:rPr>
          <w:rFonts w:hint="eastAsia" w:ascii="宋体" w:hAnsi="宋体" w:cs="宋体"/>
          <w:b/>
          <w:color w:val="auto"/>
          <w:spacing w:val="-33"/>
          <w:sz w:val="28"/>
          <w:szCs w:val="28"/>
          <w:highlight w:val="none"/>
          <w:lang w:eastAsia="zh-CN"/>
        </w:rPr>
        <w:t xml:space="preserve"> </w:t>
      </w:r>
      <w:r>
        <w:rPr>
          <w:rFonts w:hint="eastAsia" w:ascii="宋体" w:hAnsi="宋体" w:cs="宋体"/>
          <w:b/>
          <w:color w:val="auto"/>
          <w:sz w:val="26"/>
          <w:szCs w:val="26"/>
          <w:highlight w:val="none"/>
          <w:lang w:eastAsia="zh-CN"/>
        </w:rPr>
        <w:t>4</w:t>
      </w:r>
      <w:r>
        <w:rPr>
          <w:rFonts w:hint="eastAsia" w:ascii="宋体" w:hAnsi="宋体" w:cs="宋体"/>
          <w:b/>
          <w:color w:val="auto"/>
          <w:sz w:val="26"/>
          <w:szCs w:val="26"/>
          <w:highlight w:val="none"/>
          <w:lang w:eastAsia="zh-CN"/>
        </w:rPr>
        <w:tab/>
      </w:r>
      <w:r>
        <w:rPr>
          <w:rFonts w:hint="eastAsia" w:ascii="宋体" w:hAnsi="宋体" w:cs="宋体"/>
          <w:b/>
          <w:color w:val="auto"/>
          <w:spacing w:val="-22"/>
          <w:sz w:val="27"/>
          <w:szCs w:val="27"/>
          <w:highlight w:val="none"/>
          <w:lang w:eastAsia="zh-CN"/>
        </w:rPr>
        <w:t>资格审查条件</w:t>
      </w:r>
      <w:r>
        <w:rPr>
          <w:rFonts w:hint="eastAsia" w:ascii="宋体" w:hAnsi="宋体" w:cs="宋体"/>
          <w:b/>
          <w:color w:val="auto"/>
          <w:spacing w:val="-13"/>
          <w:sz w:val="27"/>
          <w:szCs w:val="27"/>
          <w:highlight w:val="none"/>
          <w:lang w:eastAsia="zh-CN"/>
        </w:rPr>
        <w:t>（总监理工程师最低要求）</w:t>
      </w:r>
    </w:p>
    <w:p w14:paraId="56E9D155">
      <w:pPr>
        <w:spacing w:before="5"/>
        <w:rPr>
          <w:rFonts w:hint="eastAsia" w:ascii="宋体" w:hAnsi="宋体" w:cs="宋体"/>
          <w:color w:val="auto"/>
          <w:sz w:val="20"/>
          <w:szCs w:val="20"/>
          <w:highlight w:val="none"/>
          <w:lang w:eastAsia="zh-CN"/>
        </w:rPr>
      </w:pPr>
    </w:p>
    <w:tbl>
      <w:tblPr>
        <w:tblStyle w:val="2"/>
        <w:tblW w:w="9466" w:type="dxa"/>
        <w:jc w:val="center"/>
        <w:tblLayout w:type="fixed"/>
        <w:tblCellMar>
          <w:top w:w="0" w:type="dxa"/>
          <w:left w:w="0" w:type="dxa"/>
          <w:bottom w:w="0" w:type="dxa"/>
          <w:right w:w="0" w:type="dxa"/>
        </w:tblCellMar>
      </w:tblPr>
      <w:tblGrid>
        <w:gridCol w:w="1194"/>
        <w:gridCol w:w="1203"/>
        <w:gridCol w:w="816"/>
        <w:gridCol w:w="3300"/>
        <w:gridCol w:w="2953"/>
      </w:tblGrid>
      <w:tr w14:paraId="3230FB4D">
        <w:tblPrEx>
          <w:tblCellMar>
            <w:top w:w="0" w:type="dxa"/>
            <w:left w:w="0" w:type="dxa"/>
            <w:bottom w:w="0" w:type="dxa"/>
            <w:right w:w="0" w:type="dxa"/>
          </w:tblCellMar>
        </w:tblPrEx>
        <w:trPr>
          <w:trHeight w:val="23" w:hRule="atLeast"/>
          <w:jc w:val="center"/>
        </w:trPr>
        <w:tc>
          <w:tcPr>
            <w:tcW w:w="1194" w:type="dxa"/>
            <w:tcBorders>
              <w:top w:val="single" w:color="000000" w:sz="4" w:space="0"/>
              <w:left w:val="single" w:color="000000" w:sz="4" w:space="0"/>
              <w:bottom w:val="single" w:color="auto" w:sz="4" w:space="0"/>
              <w:right w:val="single" w:color="000000" w:sz="4" w:space="0"/>
            </w:tcBorders>
            <w:noWrap w:val="0"/>
            <w:vAlign w:val="center"/>
          </w:tcPr>
          <w:p w14:paraId="14D0EFA6">
            <w:pPr>
              <w:pStyle w:val="4"/>
              <w:keepNext w:val="0"/>
              <w:keepLines w:val="0"/>
              <w:suppressLineNumbers w:val="0"/>
              <w:tabs>
                <w:tab w:val="left" w:pos="449"/>
              </w:tabs>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标段类别</w:t>
            </w:r>
          </w:p>
        </w:tc>
        <w:tc>
          <w:tcPr>
            <w:tcW w:w="1203" w:type="dxa"/>
            <w:tcBorders>
              <w:top w:val="single" w:color="000000" w:sz="4" w:space="0"/>
              <w:left w:val="single" w:color="000000" w:sz="4" w:space="0"/>
              <w:bottom w:val="single" w:color="auto" w:sz="4" w:space="0"/>
              <w:right w:val="single" w:color="000000" w:sz="4" w:space="0"/>
            </w:tcBorders>
            <w:noWrap w:val="0"/>
            <w:vAlign w:val="center"/>
          </w:tcPr>
          <w:p w14:paraId="7F90964F">
            <w:pPr>
              <w:pStyle w:val="4"/>
              <w:keepNext w:val="0"/>
              <w:keepLines w:val="0"/>
              <w:suppressLineNumbers w:val="0"/>
              <w:tabs>
                <w:tab w:val="left" w:pos="449"/>
              </w:tabs>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人</w:t>
            </w:r>
            <w:r>
              <w:rPr>
                <w:rFonts w:hint="eastAsia" w:ascii="宋体" w:hAnsi="宋体" w:cs="宋体"/>
                <w:color w:val="auto"/>
                <w:kern w:val="2"/>
                <w:sz w:val="24"/>
                <w:szCs w:val="24"/>
                <w:highlight w:val="none"/>
              </w:rPr>
              <w:tab/>
            </w:r>
            <w:r>
              <w:rPr>
                <w:rFonts w:hint="eastAsia" w:ascii="宋体" w:hAnsi="宋体" w:cs="宋体"/>
                <w:color w:val="auto"/>
                <w:kern w:val="2"/>
                <w:sz w:val="24"/>
                <w:szCs w:val="24"/>
                <w:highlight w:val="none"/>
              </w:rPr>
              <w:t>员</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14:paraId="0FEC2D1C">
            <w:pPr>
              <w:pStyle w:val="4"/>
              <w:keepNext w:val="0"/>
              <w:keepLines w:val="0"/>
              <w:suppressLineNumbers w:val="0"/>
              <w:tabs>
                <w:tab w:val="left" w:pos="77"/>
              </w:tabs>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数量</w:t>
            </w:r>
          </w:p>
        </w:tc>
        <w:tc>
          <w:tcPr>
            <w:tcW w:w="3300" w:type="dxa"/>
            <w:tcBorders>
              <w:top w:val="single" w:color="000000" w:sz="4" w:space="0"/>
              <w:left w:val="single" w:color="000000" w:sz="4" w:space="0"/>
              <w:bottom w:val="single" w:color="auto" w:sz="4" w:space="0"/>
              <w:right w:val="single" w:color="auto" w:sz="4" w:space="0"/>
            </w:tcBorders>
            <w:noWrap w:val="0"/>
            <w:vAlign w:val="center"/>
          </w:tcPr>
          <w:p w14:paraId="267F2636">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资 格 要 求</w:t>
            </w:r>
          </w:p>
        </w:tc>
        <w:tc>
          <w:tcPr>
            <w:tcW w:w="2953" w:type="dxa"/>
            <w:tcBorders>
              <w:top w:val="single" w:color="000000" w:sz="4" w:space="0"/>
              <w:left w:val="single" w:color="auto" w:sz="4" w:space="0"/>
              <w:bottom w:val="single" w:color="auto" w:sz="4" w:space="0"/>
              <w:right w:val="single" w:color="auto" w:sz="4" w:space="0"/>
            </w:tcBorders>
            <w:noWrap w:val="0"/>
            <w:vAlign w:val="center"/>
          </w:tcPr>
          <w:p w14:paraId="37309A06">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在岗要求</w:t>
            </w:r>
          </w:p>
        </w:tc>
      </w:tr>
      <w:tr w14:paraId="359A3419">
        <w:tblPrEx>
          <w:tblCellMar>
            <w:top w:w="0" w:type="dxa"/>
            <w:left w:w="0" w:type="dxa"/>
            <w:bottom w:w="0" w:type="dxa"/>
            <w:right w:w="0" w:type="dxa"/>
          </w:tblCellMar>
        </w:tblPrEx>
        <w:trPr>
          <w:trHeight w:val="2750" w:hRule="atLeast"/>
          <w:jc w:val="center"/>
        </w:trPr>
        <w:tc>
          <w:tcPr>
            <w:tcW w:w="1194" w:type="dxa"/>
            <w:vMerge w:val="restart"/>
            <w:tcBorders>
              <w:top w:val="single" w:color="auto" w:sz="4" w:space="0"/>
              <w:left w:val="single" w:color="auto" w:sz="4" w:space="0"/>
              <w:right w:val="single" w:color="000000" w:sz="4" w:space="0"/>
            </w:tcBorders>
            <w:noWrap w:val="0"/>
            <w:vAlign w:val="center"/>
          </w:tcPr>
          <w:p w14:paraId="1165A543">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highlight w:val="none"/>
              </w:rPr>
              <w:t>土建监理</w:t>
            </w:r>
            <w:r>
              <w:rPr>
                <w:rFonts w:hint="eastAsia" w:ascii="宋体" w:hAnsi="宋体" w:cs="宋体"/>
                <w:color w:val="auto"/>
                <w:kern w:val="2"/>
                <w:sz w:val="24"/>
                <w:highlight w:val="none"/>
                <w:lang w:val="en-US" w:eastAsia="zh-CN"/>
              </w:rPr>
              <w:t>类</w:t>
            </w:r>
            <w:r>
              <w:rPr>
                <w:rFonts w:hint="eastAsia" w:ascii="宋体" w:hAnsi="宋体" w:cs="宋体"/>
                <w:color w:val="auto"/>
                <w:kern w:val="2"/>
                <w:sz w:val="24"/>
                <w:highlight w:val="none"/>
              </w:rPr>
              <w:t>（</w:t>
            </w:r>
            <w:r>
              <w:rPr>
                <w:rFonts w:hint="eastAsia" w:ascii="宋体" w:hAnsi="宋体" w:cs="宋体"/>
                <w:color w:val="auto"/>
                <w:kern w:val="2"/>
                <w:sz w:val="24"/>
                <w:highlight w:val="none"/>
                <w:lang w:val="en-US" w:eastAsia="zh-CN"/>
              </w:rPr>
              <w:t>A</w:t>
            </w:r>
            <w:r>
              <w:rPr>
                <w:rFonts w:hint="eastAsia" w:ascii="宋体" w:hAnsi="宋体" w:cs="宋体"/>
                <w:color w:val="auto"/>
                <w:kern w:val="2"/>
                <w:sz w:val="24"/>
                <w:highlight w:val="none"/>
              </w:rPr>
              <w:t>类）</w:t>
            </w:r>
          </w:p>
        </w:tc>
        <w:tc>
          <w:tcPr>
            <w:tcW w:w="1203" w:type="dxa"/>
            <w:tcBorders>
              <w:top w:val="single" w:color="auto" w:sz="4" w:space="0"/>
              <w:left w:val="single" w:color="000000" w:sz="4" w:space="0"/>
              <w:bottom w:val="single" w:color="auto" w:sz="4" w:space="0"/>
              <w:right w:val="single" w:color="000000" w:sz="4" w:space="0"/>
            </w:tcBorders>
            <w:noWrap w:val="0"/>
            <w:vAlign w:val="center"/>
          </w:tcPr>
          <w:p w14:paraId="0844DAE6">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总监理工程师</w:t>
            </w:r>
          </w:p>
          <w:p w14:paraId="39851E06">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rPr>
            </w:pPr>
          </w:p>
        </w:tc>
        <w:tc>
          <w:tcPr>
            <w:tcW w:w="816" w:type="dxa"/>
            <w:tcBorders>
              <w:top w:val="single" w:color="auto" w:sz="4" w:space="0"/>
              <w:left w:val="single" w:color="000000" w:sz="4" w:space="0"/>
              <w:bottom w:val="single" w:color="auto" w:sz="4" w:space="0"/>
              <w:right w:val="single" w:color="000000" w:sz="4" w:space="0"/>
            </w:tcBorders>
            <w:noWrap w:val="0"/>
            <w:vAlign w:val="center"/>
          </w:tcPr>
          <w:p w14:paraId="4F2113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1人</w:t>
            </w:r>
          </w:p>
          <w:p w14:paraId="781345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szCs w:val="24"/>
                <w:highlight w:val="none"/>
                <w:lang w:eastAsia="zh-CN"/>
              </w:rPr>
            </w:pPr>
          </w:p>
        </w:tc>
        <w:tc>
          <w:tcPr>
            <w:tcW w:w="3300" w:type="dxa"/>
            <w:vMerge w:val="restart"/>
            <w:tcBorders>
              <w:top w:val="single" w:color="auto" w:sz="4" w:space="0"/>
              <w:left w:val="single" w:color="000000" w:sz="4" w:space="0"/>
              <w:right w:val="single" w:color="auto" w:sz="4" w:space="0"/>
            </w:tcBorders>
            <w:noWrap w:val="0"/>
            <w:vAlign w:val="center"/>
          </w:tcPr>
          <w:p w14:paraId="47655D10">
            <w:pPr>
              <w:pStyle w:val="4"/>
              <w:keepNext w:val="0"/>
              <w:keepLines w:val="0"/>
              <w:suppressLineNumbers w:val="0"/>
              <w:adjustRightInd w:val="0"/>
              <w:snapToGrid w:val="0"/>
              <w:spacing w:before="0" w:beforeAutospacing="0" w:after="0" w:afterAutospacing="0" w:line="360" w:lineRule="auto"/>
              <w:ind w:left="110" w:leftChars="50" w:right="0"/>
              <w:rPr>
                <w:rFonts w:hint="eastAsia" w:ascii="宋体" w:hAnsi="宋体" w:cs="宋体"/>
                <w:color w:val="auto"/>
                <w:kern w:val="2"/>
                <w:sz w:val="24"/>
                <w:szCs w:val="24"/>
                <w:highlight w:val="none"/>
                <w:lang w:eastAsia="zh-CN"/>
              </w:rPr>
            </w:pPr>
            <w:r>
              <w:rPr>
                <w:rFonts w:hint="eastAsia" w:ascii="宋体" w:hAnsi="宋体" w:cs="宋体"/>
                <w:color w:val="auto"/>
                <w:kern w:val="2"/>
                <w:sz w:val="24"/>
                <w:highlight w:val="none"/>
                <w:lang w:eastAsia="zh-CN"/>
              </w:rPr>
              <w:t>路桥相关专业高级工程师或以上职称，</w:t>
            </w:r>
            <w:r>
              <w:rPr>
                <w:rFonts w:hint="eastAsia" w:ascii="宋体" w:hAnsi="宋体" w:cs="Calibri"/>
                <w:color w:val="auto"/>
                <w:kern w:val="0"/>
                <w:sz w:val="24"/>
                <w:highlight w:val="none"/>
                <w:lang w:eastAsia="zh-CN"/>
              </w:rPr>
              <w:t>至少担任过</w:t>
            </w:r>
            <w:r>
              <w:rPr>
                <w:rFonts w:hint="eastAsia" w:ascii="宋体" w:hAnsi="宋体" w:cs="Calibri"/>
                <w:color w:val="auto"/>
                <w:kern w:val="0"/>
                <w:sz w:val="24"/>
                <w:highlight w:val="none"/>
                <w:u w:val="single"/>
                <w:lang w:val="en-US" w:eastAsia="zh-CN"/>
              </w:rPr>
              <w:t>2</w:t>
            </w:r>
            <w:r>
              <w:rPr>
                <w:rFonts w:hint="eastAsia" w:ascii="宋体" w:hAnsi="宋体" w:cs="Calibri"/>
                <w:color w:val="auto"/>
                <w:kern w:val="0"/>
                <w:sz w:val="24"/>
                <w:highlight w:val="none"/>
                <w:lang w:eastAsia="zh-CN"/>
              </w:rPr>
              <w:t>项类似工程的土建施工监理负责人，</w:t>
            </w:r>
            <w:r>
              <w:rPr>
                <w:rFonts w:hint="eastAsia" w:ascii="宋体" w:hAnsi="宋体" w:cs="宋体"/>
                <w:color w:val="auto"/>
                <w:kern w:val="2"/>
                <w:sz w:val="24"/>
                <w:highlight w:val="none"/>
                <w:lang w:eastAsia="zh-CN"/>
              </w:rPr>
              <w:t>持有交通运输部与人力资源社会保障部用印的交通运输工程专业监理工程师职业资格证书（或电子证书）或具有交通运输部核发的公路工程监理工程师资格证书，且已在投标人处进行注册（</w:t>
            </w:r>
            <w:r>
              <w:rPr>
                <w:rFonts w:hint="default" w:ascii="宋体" w:hAnsi="宋体" w:cs="宋体"/>
                <w:color w:val="auto"/>
                <w:kern w:val="2"/>
                <w:sz w:val="24"/>
                <w:highlight w:val="none"/>
                <w:lang w:eastAsia="zh-CN"/>
              </w:rPr>
              <w:t>或从业登</w:t>
            </w:r>
            <w:r>
              <w:rPr>
                <w:rFonts w:hint="eastAsia" w:ascii="宋体" w:hAnsi="宋体" w:cs="宋体"/>
                <w:color w:val="auto"/>
                <w:kern w:val="2"/>
                <w:sz w:val="24"/>
                <w:highlight w:val="none"/>
                <w:lang w:eastAsia="zh-CN"/>
              </w:rPr>
              <w:t>记）</w:t>
            </w:r>
            <w:r>
              <w:rPr>
                <w:rFonts w:hint="eastAsia" w:ascii="宋体" w:hAnsi="宋体" w:cs="宋体"/>
                <w:color w:val="auto"/>
                <w:kern w:val="2"/>
                <w:sz w:val="24"/>
                <w:szCs w:val="24"/>
                <w:highlight w:val="none"/>
                <w:lang w:eastAsia="zh-CN"/>
              </w:rPr>
              <w:t>。</w:t>
            </w:r>
          </w:p>
        </w:tc>
        <w:tc>
          <w:tcPr>
            <w:tcW w:w="2953" w:type="dxa"/>
            <w:vMerge w:val="restart"/>
            <w:tcBorders>
              <w:top w:val="single" w:color="auto" w:sz="4" w:space="0"/>
              <w:left w:val="single" w:color="auto" w:sz="4" w:space="0"/>
              <w:right w:val="single" w:color="auto" w:sz="4" w:space="0"/>
            </w:tcBorders>
            <w:noWrap w:val="0"/>
            <w:vAlign w:val="center"/>
          </w:tcPr>
          <w:p w14:paraId="2326D446">
            <w:pPr>
              <w:pStyle w:val="5"/>
              <w:keepNext w:val="0"/>
              <w:keepLines w:val="0"/>
              <w:widowControl/>
              <w:suppressLineNumbers w:val="0"/>
              <w:adjustRightInd w:val="0"/>
              <w:snapToGrid w:val="0"/>
              <w:spacing w:before="0" w:line="360" w:lineRule="auto"/>
              <w:ind w:left="110" w:leftChars="50"/>
              <w:rPr>
                <w:rFonts w:hint="default" w:ascii="宋体" w:hAnsi="宋体" w:cs="宋体"/>
                <w:color w:val="auto"/>
                <w:sz w:val="24"/>
                <w:szCs w:val="24"/>
                <w:highlight w:val="none"/>
              </w:rPr>
            </w:pPr>
            <w:r>
              <w:rPr>
                <w:rStyle w:val="6"/>
                <w:rFonts w:hint="eastAsia" w:ascii="宋体" w:hAnsi="宋体" w:eastAsia="宋体" w:cs="宋体"/>
                <w:color w:val="auto"/>
                <w:highlight w:val="none"/>
              </w:rPr>
              <w:t>无在岗项目（指目前未在其他项目上任职，或虽在其他项目上任职但本项目中标后</w:t>
            </w:r>
            <w:r>
              <w:rPr>
                <w:rStyle w:val="6"/>
                <w:rFonts w:hint="eastAsia" w:ascii="宋体" w:hAnsi="宋体" w:cs="宋体"/>
                <w:color w:val="auto"/>
                <w:highlight w:val="none"/>
                <w:lang w:val="en-US" w:eastAsia="zh-CN"/>
              </w:rPr>
              <w:t>15日内</w:t>
            </w:r>
            <w:r>
              <w:rPr>
                <w:rStyle w:val="6"/>
                <w:rFonts w:hint="eastAsia" w:ascii="宋体" w:hAnsi="宋体" w:eastAsia="宋体" w:cs="宋体"/>
                <w:color w:val="auto"/>
                <w:highlight w:val="none"/>
              </w:rPr>
              <w:t>能够从该项目撤离）。</w:t>
            </w:r>
          </w:p>
        </w:tc>
      </w:tr>
      <w:tr w14:paraId="6016D087">
        <w:tblPrEx>
          <w:tblCellMar>
            <w:top w:w="0" w:type="dxa"/>
            <w:left w:w="0" w:type="dxa"/>
            <w:bottom w:w="0" w:type="dxa"/>
            <w:right w:w="0" w:type="dxa"/>
          </w:tblCellMar>
        </w:tblPrEx>
        <w:trPr>
          <w:trHeight w:val="2750" w:hRule="atLeast"/>
          <w:jc w:val="center"/>
        </w:trPr>
        <w:tc>
          <w:tcPr>
            <w:tcW w:w="1194" w:type="dxa"/>
            <w:vMerge w:val="continue"/>
            <w:tcBorders>
              <w:left w:val="single" w:color="auto" w:sz="4" w:space="0"/>
              <w:bottom w:val="single" w:color="auto" w:sz="4" w:space="0"/>
              <w:right w:val="single" w:color="000000" w:sz="4" w:space="0"/>
            </w:tcBorders>
            <w:noWrap w:val="0"/>
            <w:vAlign w:val="center"/>
          </w:tcPr>
          <w:p w14:paraId="436029AF">
            <w:pPr>
              <w:pStyle w:val="4"/>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 w:val="24"/>
                <w:highlight w:val="none"/>
              </w:rPr>
            </w:pPr>
          </w:p>
        </w:tc>
        <w:tc>
          <w:tcPr>
            <w:tcW w:w="1203" w:type="dxa"/>
            <w:tcBorders>
              <w:top w:val="single" w:color="auto" w:sz="4" w:space="0"/>
              <w:left w:val="single" w:color="000000" w:sz="4" w:space="0"/>
              <w:bottom w:val="single" w:color="auto" w:sz="4" w:space="0"/>
              <w:right w:val="single" w:color="000000" w:sz="4" w:space="0"/>
            </w:tcBorders>
            <w:noWrap w:val="0"/>
            <w:vAlign w:val="center"/>
          </w:tcPr>
          <w:p w14:paraId="4DA78F2B">
            <w:pPr>
              <w:pStyle w:val="4"/>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2"/>
                <w:sz w:val="24"/>
                <w:szCs w:val="24"/>
                <w:highlight w:val="none"/>
              </w:rPr>
            </w:pPr>
            <w:r>
              <w:rPr>
                <w:rFonts w:hint="eastAsia" w:ascii="宋体" w:hAnsi="宋体" w:eastAsia="宋体" w:cs="宋体"/>
                <w:color w:val="auto"/>
                <w:kern w:val="2"/>
                <w:sz w:val="24"/>
                <w:szCs w:val="24"/>
                <w:highlight w:val="none"/>
              </w:rPr>
              <w:t>总监理工程师（备选）</w:t>
            </w:r>
          </w:p>
        </w:tc>
        <w:tc>
          <w:tcPr>
            <w:tcW w:w="816" w:type="dxa"/>
            <w:tcBorders>
              <w:top w:val="single" w:color="auto" w:sz="4" w:space="0"/>
              <w:left w:val="single" w:color="000000" w:sz="4" w:space="0"/>
              <w:bottom w:val="single" w:color="auto" w:sz="4" w:space="0"/>
              <w:right w:val="single" w:color="000000" w:sz="4" w:space="0"/>
            </w:tcBorders>
            <w:noWrap w:val="0"/>
            <w:vAlign w:val="center"/>
          </w:tcPr>
          <w:p w14:paraId="486358FF">
            <w:pPr>
              <w:pStyle w:val="4"/>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人</w:t>
            </w:r>
          </w:p>
        </w:tc>
        <w:tc>
          <w:tcPr>
            <w:tcW w:w="3300" w:type="dxa"/>
            <w:vMerge w:val="continue"/>
            <w:tcBorders>
              <w:left w:val="single" w:color="000000" w:sz="4" w:space="0"/>
              <w:bottom w:val="single" w:color="auto" w:sz="4" w:space="0"/>
              <w:right w:val="single" w:color="auto" w:sz="4" w:space="0"/>
            </w:tcBorders>
            <w:noWrap w:val="0"/>
            <w:vAlign w:val="center"/>
          </w:tcPr>
          <w:p w14:paraId="3D05BCF3">
            <w:pPr>
              <w:pStyle w:val="4"/>
              <w:keepNext w:val="0"/>
              <w:keepLines w:val="0"/>
              <w:suppressLineNumbers w:val="0"/>
              <w:adjustRightInd w:val="0"/>
              <w:snapToGrid w:val="0"/>
              <w:spacing w:before="0" w:beforeAutospacing="0" w:after="0" w:afterAutospacing="0" w:line="360" w:lineRule="auto"/>
              <w:ind w:left="110" w:leftChars="50" w:right="0"/>
              <w:rPr>
                <w:rFonts w:hint="eastAsia" w:ascii="宋体" w:hAnsi="宋体" w:cs="宋体"/>
                <w:color w:val="auto"/>
                <w:kern w:val="2"/>
                <w:sz w:val="24"/>
                <w:highlight w:val="none"/>
                <w:lang w:eastAsia="zh-CN"/>
              </w:rPr>
            </w:pPr>
          </w:p>
        </w:tc>
        <w:tc>
          <w:tcPr>
            <w:tcW w:w="2953" w:type="dxa"/>
            <w:vMerge w:val="continue"/>
            <w:tcBorders>
              <w:left w:val="single" w:color="auto" w:sz="4" w:space="0"/>
              <w:bottom w:val="single" w:color="auto" w:sz="4" w:space="0"/>
              <w:right w:val="single" w:color="auto" w:sz="4" w:space="0"/>
            </w:tcBorders>
            <w:noWrap w:val="0"/>
            <w:vAlign w:val="center"/>
          </w:tcPr>
          <w:p w14:paraId="02A42828">
            <w:pPr>
              <w:pStyle w:val="5"/>
              <w:keepNext w:val="0"/>
              <w:keepLines w:val="0"/>
              <w:widowControl/>
              <w:suppressLineNumbers w:val="0"/>
              <w:adjustRightInd w:val="0"/>
              <w:snapToGrid w:val="0"/>
              <w:spacing w:before="0" w:line="360" w:lineRule="auto"/>
              <w:ind w:left="110" w:leftChars="50"/>
              <w:rPr>
                <w:rStyle w:val="6"/>
                <w:rFonts w:hint="eastAsia" w:ascii="宋体" w:hAnsi="宋体" w:eastAsia="宋体" w:cs="宋体"/>
                <w:color w:val="auto"/>
                <w:highlight w:val="none"/>
              </w:rPr>
            </w:pPr>
          </w:p>
        </w:tc>
      </w:tr>
    </w:tbl>
    <w:p w14:paraId="0193CC7F">
      <w:pPr>
        <w:adjustRightInd w:val="0"/>
        <w:snapToGrid w:val="0"/>
        <w:spacing w:line="360" w:lineRule="auto"/>
        <w:ind w:firstLine="220" w:firstLineChars="100"/>
        <w:rPr>
          <w:rFonts w:ascii="宋体" w:hAnsi="宋体"/>
          <w:color w:val="auto"/>
          <w:highlight w:val="none"/>
          <w:lang w:eastAsia="zh-CN"/>
        </w:rPr>
      </w:pPr>
      <w:r>
        <w:rPr>
          <w:rFonts w:ascii="宋体" w:hAnsi="宋体"/>
          <w:color w:val="auto"/>
          <w:highlight w:val="none"/>
          <w:lang w:eastAsia="zh-CN"/>
        </w:rPr>
        <w:t>注：1.</w:t>
      </w:r>
      <w:r>
        <w:rPr>
          <w:rFonts w:hint="eastAsia" w:ascii="宋体" w:hAnsi="宋体" w:eastAsia="宋体" w:cs="Times New Roman"/>
          <w:color w:val="auto"/>
          <w:highlight w:val="none"/>
          <w:lang w:eastAsia="zh-CN"/>
        </w:rPr>
        <w:t>“担任过类似工程监理负责人”监理负责人可为总监理工程师或副总监理工程师或驻地监理工程师</w:t>
      </w:r>
      <w:r>
        <w:rPr>
          <w:rFonts w:ascii="宋体" w:hAnsi="宋体"/>
          <w:color w:val="auto"/>
          <w:highlight w:val="none"/>
          <w:lang w:eastAsia="zh-CN"/>
        </w:rPr>
        <w:t>。</w:t>
      </w:r>
    </w:p>
    <w:p w14:paraId="627A6E9C">
      <w:pPr>
        <w:widowControl/>
        <w:adjustRightInd w:val="0"/>
        <w:snapToGrid w:val="0"/>
        <w:spacing w:line="360" w:lineRule="auto"/>
        <w:ind w:left="220" w:leftChars="100" w:firstLine="440" w:firstLineChars="200"/>
        <w:rPr>
          <w:rFonts w:ascii="宋体" w:hAnsi="宋体"/>
          <w:color w:val="auto"/>
          <w:highlight w:val="none"/>
          <w:lang w:eastAsia="zh-CN"/>
        </w:rPr>
      </w:pPr>
      <w:r>
        <w:rPr>
          <w:rFonts w:ascii="宋体" w:hAnsi="宋体"/>
          <w:color w:val="auto"/>
          <w:highlight w:val="none"/>
          <w:lang w:eastAsia="zh-CN"/>
        </w:rPr>
        <w:t>2. 路桥相关专业职称是指：公路工程、桥梁工程、公路与桥梁工程、交通土建、隧道（地下结构）工程、交通工程、道路工程等专业职称</w:t>
      </w:r>
      <w:r>
        <w:rPr>
          <w:rFonts w:hint="eastAsia" w:ascii="宋体" w:hAnsi="宋体"/>
          <w:color w:val="auto"/>
          <w:highlight w:val="none"/>
          <w:lang w:eastAsia="zh-CN"/>
        </w:rPr>
        <w:t>，下同</w:t>
      </w:r>
      <w:r>
        <w:rPr>
          <w:rFonts w:ascii="宋体" w:hAnsi="宋体" w:eastAsia="宋体" w:cs="Times New Roman"/>
          <w:color w:val="auto"/>
          <w:highlight w:val="none"/>
          <w:lang w:eastAsia="zh-CN"/>
        </w:rPr>
        <w:t>。</w:t>
      </w:r>
    </w:p>
    <w:p w14:paraId="6ECD5F77">
      <w:pPr>
        <w:widowControl/>
        <w:shd w:val="clear" w:color="auto" w:fill="auto"/>
        <w:adjustRightInd w:val="0"/>
        <w:snapToGrid w:val="0"/>
        <w:spacing w:line="360" w:lineRule="auto"/>
        <w:ind w:left="220" w:leftChars="100" w:firstLine="440" w:firstLineChars="200"/>
        <w:rPr>
          <w:rFonts w:ascii="宋体" w:hAnsi="宋体"/>
          <w:color w:val="auto"/>
          <w:highlight w:val="none"/>
          <w:lang w:eastAsia="zh-CN"/>
        </w:rPr>
        <w:sectPr>
          <w:footerReference r:id="rId3" w:type="default"/>
          <w:pgSz w:w="11910" w:h="16840"/>
          <w:pgMar w:top="1440" w:right="1080" w:bottom="1440" w:left="1080" w:header="889" w:footer="1065" w:gutter="0"/>
          <w:cols w:space="720" w:num="1"/>
          <w:rtlGutter w:val="1"/>
        </w:sectPr>
      </w:pPr>
      <w:r>
        <w:rPr>
          <w:rFonts w:hint="eastAsia" w:ascii="宋体" w:hAnsi="宋体"/>
          <w:color w:val="auto"/>
          <w:highlight w:val="none"/>
          <w:lang w:eastAsia="zh-CN"/>
        </w:rPr>
        <w:t>3.在《监理工程师职业资格制度规定》</w:t>
      </w:r>
      <w:r>
        <w:rPr>
          <w:rFonts w:hint="eastAsia" w:ascii="宋体" w:hAnsi="宋体"/>
          <w:color w:val="auto"/>
          <w:highlight w:val="none"/>
          <w:lang w:val="en-US" w:eastAsia="zh-CN"/>
        </w:rPr>
        <w:t>施</w:t>
      </w:r>
      <w:r>
        <w:rPr>
          <w:rFonts w:hint="eastAsia" w:ascii="宋体" w:hAnsi="宋体"/>
          <w:color w:val="auto"/>
          <w:highlight w:val="none"/>
          <w:lang w:eastAsia="zh-CN"/>
        </w:rPr>
        <w:t>行之前取得的公路水运工程监理工程师资格证书的继续有效，下同。</w:t>
      </w:r>
      <w:bookmarkStart w:id="0" w:name="_GoBack"/>
      <w:bookmarkEnd w:id="0"/>
    </w:p>
    <w:p w14:paraId="4F1B2E0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346E">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9871710</wp:posOffset>
              </wp:positionV>
              <wp:extent cx="178435" cy="142875"/>
              <wp:effectExtent l="0" t="0" r="0" b="0"/>
              <wp:wrapNone/>
              <wp:docPr id="1" name="文本框 37"/>
              <wp:cNvGraphicFramePr/>
              <a:graphic xmlns:a="http://schemas.openxmlformats.org/drawingml/2006/main">
                <a:graphicData uri="http://schemas.microsoft.com/office/word/2010/wordprocessingShape">
                  <wps:wsp>
                    <wps:cNvSpPr txBox="1"/>
                    <wps:spPr>
                      <a:xfrm>
                        <a:off x="0" y="0"/>
                        <a:ext cx="178435" cy="142875"/>
                      </a:xfrm>
                      <a:prstGeom prst="rect">
                        <a:avLst/>
                      </a:prstGeom>
                      <a:noFill/>
                      <a:ln>
                        <a:noFill/>
                      </a:ln>
                    </wps:spPr>
                    <wps:txbx>
                      <w:txbxContent>
                        <w:p w14:paraId="6573BD89">
                          <w:pPr>
                            <w:spacing w:before="6"/>
                            <w:ind w:left="40"/>
                            <w:rPr>
                              <w:rFonts w:eastAsia="Times New Roman"/>
                              <w:sz w:val="18"/>
                              <w:szCs w:val="18"/>
                            </w:rPr>
                          </w:pPr>
                          <w:r>
                            <w:rPr>
                              <w:sz w:val="18"/>
                              <w:szCs w:val="18"/>
                            </w:rPr>
                            <w:fldChar w:fldCharType="begin"/>
                          </w:r>
                          <w:r>
                            <w:rPr>
                              <w:color w:val="1C1C23"/>
                              <w:w w:val="110"/>
                              <w:sz w:val="18"/>
                              <w:szCs w:val="18"/>
                            </w:rPr>
                            <w:instrText xml:space="preserve"> PAGE </w:instrText>
                          </w:r>
                          <w:r>
                            <w:rPr>
                              <w:sz w:val="18"/>
                              <w:szCs w:val="18"/>
                            </w:rPr>
                            <w:fldChar w:fldCharType="separate"/>
                          </w:r>
                          <w:r>
                            <w:rPr>
                              <w:color w:val="1C1C23"/>
                              <w:w w:val="110"/>
                              <w:sz w:val="18"/>
                              <w:szCs w:val="18"/>
                            </w:rPr>
                            <w:t>25</w:t>
                          </w:r>
                          <w:r>
                            <w:rPr>
                              <w:sz w:val="18"/>
                              <w:szCs w:val="18"/>
                            </w:rPr>
                            <w:fldChar w:fldCharType="end"/>
                          </w:r>
                        </w:p>
                      </w:txbxContent>
                    </wps:txbx>
                    <wps:bodyPr wrap="square" lIns="0" tIns="0" rIns="0" bIns="0" upright="1"/>
                  </wps:wsp>
                </a:graphicData>
              </a:graphic>
            </wp:anchor>
          </w:drawing>
        </mc:Choice>
        <mc:Fallback>
          <w:pict>
            <v:shape id="文本框 37" o:spid="_x0000_s1026" o:spt="202" type="#_x0000_t202" style="position:absolute;left:0pt;margin-left:292.7pt;margin-top:777.3pt;height:11.25pt;width:14.05pt;mso-position-horizontal-relative:page;mso-position-vertical-relative:page;z-index:-251656192;mso-width-relative:page;mso-height-relative:page;" filled="f" stroked="f" coordsize="21600,21600" o:gfxdata="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i1TQNsAAAANAQAADwAAAAAAAAABACAAAAAiAAAAZHJzL2Rv&#10;d25yZXYueG1sUEsBAhQAFAAAAAgAh07iQDLSvK3FAQAAgAMAAA4AAAAAAAAAAQAgAAAAKgEAAGRy&#10;cy9lMm9Eb2MueG1sUEsFBgAAAAAGAAYAWQEAAGEFAAAAAA==&#10;">
              <v:fill on="f" focussize="0,0"/>
              <v:stroke on="f"/>
              <v:imagedata o:title=""/>
              <o:lock v:ext="edit" aspectratio="f"/>
              <v:textbox inset="0mm,0mm,0mm,0mm">
                <w:txbxContent>
                  <w:p w14:paraId="6573BD89">
                    <w:pPr>
                      <w:spacing w:before="6"/>
                      <w:ind w:left="40"/>
                      <w:rPr>
                        <w:rFonts w:eastAsia="Times New Roman"/>
                        <w:sz w:val="18"/>
                        <w:szCs w:val="18"/>
                      </w:rPr>
                    </w:pPr>
                    <w:r>
                      <w:rPr>
                        <w:sz w:val="18"/>
                        <w:szCs w:val="18"/>
                      </w:rPr>
                      <w:fldChar w:fldCharType="begin"/>
                    </w:r>
                    <w:r>
                      <w:rPr>
                        <w:color w:val="1C1C23"/>
                        <w:w w:val="110"/>
                        <w:sz w:val="18"/>
                        <w:szCs w:val="18"/>
                      </w:rPr>
                      <w:instrText xml:space="preserve"> PAGE </w:instrText>
                    </w:r>
                    <w:r>
                      <w:rPr>
                        <w:sz w:val="18"/>
                        <w:szCs w:val="18"/>
                      </w:rPr>
                      <w:fldChar w:fldCharType="separate"/>
                    </w:r>
                    <w:r>
                      <w:rPr>
                        <w:color w:val="1C1C23"/>
                        <w:w w:val="110"/>
                        <w:sz w:val="18"/>
                        <w:szCs w:val="18"/>
                      </w:rPr>
                      <w:t>25</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1745">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3717290</wp:posOffset>
              </wp:positionH>
              <wp:positionV relativeFrom="page">
                <wp:posOffset>9871710</wp:posOffset>
              </wp:positionV>
              <wp:extent cx="178435" cy="1428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8435" cy="142875"/>
                      </a:xfrm>
                      <a:prstGeom prst="rect">
                        <a:avLst/>
                      </a:prstGeom>
                      <a:noFill/>
                      <a:ln>
                        <a:noFill/>
                      </a:ln>
                      <a:effectLst/>
                    </wps:spPr>
                    <wps:txbx>
                      <w:txbxContent>
                        <w:p w14:paraId="27940488">
                          <w:pPr>
                            <w:spacing w:before="6"/>
                            <w:ind w:left="40"/>
                            <w:rPr>
                              <w:rFonts w:eastAsia="Times New Roman"/>
                              <w:sz w:val="18"/>
                              <w:szCs w:val="18"/>
                            </w:rPr>
                          </w:pPr>
                          <w:r>
                            <w:rPr>
                              <w:sz w:val="18"/>
                              <w:szCs w:val="18"/>
                            </w:rPr>
                            <w:fldChar w:fldCharType="begin"/>
                          </w:r>
                          <w:r>
                            <w:rPr>
                              <w:color w:val="1C1C23"/>
                              <w:w w:val="110"/>
                              <w:sz w:val="18"/>
                              <w:szCs w:val="18"/>
                            </w:rPr>
                            <w:instrText xml:space="preserve"> PAGE </w:instrText>
                          </w:r>
                          <w:r>
                            <w:rPr>
                              <w:sz w:val="18"/>
                              <w:szCs w:val="18"/>
                            </w:rPr>
                            <w:fldChar w:fldCharType="separate"/>
                          </w:r>
                          <w:r>
                            <w:rPr>
                              <w:color w:val="1C1C23"/>
                              <w:w w:val="110"/>
                              <w:sz w:val="18"/>
                              <w:szCs w:val="18"/>
                            </w:rPr>
                            <w:t>25</w:t>
                          </w:r>
                          <w:r>
                            <w:rPr>
                              <w:sz w:val="18"/>
                              <w:szCs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92.7pt;margin-top:777.3pt;height:11.25pt;width:14.05pt;mso-position-horizontal-relative:page;mso-position-vertical-relative:page;z-index:-251657216;mso-width-relative:page;mso-height-relative:page;" filled="f" stroked="f" coordsize="21600,21600" o:gfxdata="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i1TQNsAAAANAQAADwAAAAAAAAABACAAAAAiAAAAZHJz&#10;L2Rvd25yZXYueG1sUEsBAhQAFAAAAAgAh07iQBJMsHDIAQAAjQMAAA4AAAAAAAAAAQAgAAAAKgEA&#10;AGRycy9lMm9Eb2MueG1sUEsFBgAAAAAGAAYAWQEAAGQFAAAAAA==&#10;">
              <v:path/>
              <v:fill on="f" focussize="0,0"/>
              <v:stroke on="f"/>
              <v:imagedata o:title=""/>
              <o:lock v:ext="edit" aspectratio="f"/>
              <v:textbox inset="0mm,0mm,0mm,0mm">
                <w:txbxContent>
                  <w:p w14:paraId="27940488">
                    <w:pPr>
                      <w:spacing w:before="6"/>
                      <w:ind w:left="40"/>
                      <w:rPr>
                        <w:rFonts w:eastAsia="Times New Roman"/>
                        <w:sz w:val="18"/>
                        <w:szCs w:val="18"/>
                      </w:rPr>
                    </w:pPr>
                    <w:r>
                      <w:rPr>
                        <w:sz w:val="18"/>
                        <w:szCs w:val="18"/>
                      </w:rPr>
                      <w:fldChar w:fldCharType="begin"/>
                    </w:r>
                    <w:r>
                      <w:rPr>
                        <w:color w:val="1C1C23"/>
                        <w:w w:val="110"/>
                        <w:sz w:val="18"/>
                        <w:szCs w:val="18"/>
                      </w:rPr>
                      <w:instrText xml:space="preserve"> PAGE </w:instrText>
                    </w:r>
                    <w:r>
                      <w:rPr>
                        <w:sz w:val="18"/>
                        <w:szCs w:val="18"/>
                      </w:rPr>
                      <w:fldChar w:fldCharType="separate"/>
                    </w:r>
                    <w:r>
                      <w:rPr>
                        <w:color w:val="1C1C23"/>
                        <w:w w:val="110"/>
                        <w:sz w:val="18"/>
                        <w:szCs w:val="18"/>
                      </w:rPr>
                      <w:t>25</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0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style>
  <w:style w:type="paragraph" w:customStyle="1" w:styleId="5">
    <w:name w:val="p1"/>
    <w:basedOn w:val="1"/>
    <w:qFormat/>
    <w:uiPriority w:val="0"/>
    <w:pPr>
      <w:spacing w:beforeAutospacing="0" w:after="0" w:afterAutospacing="0"/>
      <w:ind w:left="0" w:right="0"/>
      <w:jc w:val="left"/>
    </w:pPr>
    <w:rPr>
      <w:kern w:val="0"/>
      <w:lang w:val="en-US" w:eastAsia="zh-CN" w:bidi="ar"/>
    </w:rPr>
  </w:style>
  <w:style w:type="character" w:customStyle="1" w:styleId="6">
    <w:name w:val="s1"/>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2025-07-02T03:35:54Z</dcterms:created>
  <dc:creator>Administrator</dc:creator>
  <cp:lastModifiedBy>NTKO</cp:lastModifiedBy>
  <dcterms:modified xsi:type="dcterms:W3CDTF">2025-07-02T03:37:17Z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eyJoZGlkIjoiMDJmZDg4NzIzNTAyMjFkOGEyMjA2YTMwMDE0OGVmZjAiLCJ1c2VySWQiOiI1MDk3ODM1OTQifQ==</vt:lpwstr>
  </property>
  <property fmtid="{D5CDD505-2E9C-101B-9397-08002B2CF9AE}" pid="4" name="ICV">
    <vt:lpwstr>A5D3940AE8494C18B0C5D6B265AA33C8_12</vt:lpwstr>
  </property>
</Properties>
</file>