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79466">
      <w:pPr>
        <w:snapToGrid w:val="0"/>
        <w:spacing w:line="336" w:lineRule="auto"/>
        <w:ind w:firstLine="770" w:firstLineChars="175"/>
        <w:jc w:val="center"/>
        <w:rPr>
          <w:rFonts w:hint="eastAsia" w:ascii="宋体" w:hAnsi="宋体" w:cs="宋体"/>
          <w:color w:val="auto"/>
          <w:sz w:val="44"/>
          <w:szCs w:val="44"/>
          <w:highlight w:val="none"/>
          <w:lang w:eastAsia="zh-CN"/>
        </w:rPr>
      </w:pPr>
      <w:r>
        <w:rPr>
          <w:rFonts w:hint="eastAsia" w:ascii="宋体" w:hAnsi="宋体" w:cs="宋体"/>
          <w:color w:val="auto"/>
          <w:sz w:val="44"/>
          <w:szCs w:val="44"/>
          <w:highlight w:val="none"/>
          <w:lang w:eastAsia="zh-CN"/>
        </w:rPr>
        <w:t xml:space="preserve">第三章 </w:t>
      </w:r>
      <w:r>
        <w:rPr>
          <w:rFonts w:hint="eastAsia" w:ascii="宋体" w:hAnsi="宋体" w:cs="宋体"/>
          <w:color w:val="auto"/>
          <w:spacing w:val="-12"/>
          <w:w w:val="102"/>
          <w:sz w:val="44"/>
          <w:szCs w:val="44"/>
          <w:highlight w:val="none"/>
          <w:lang w:eastAsia="zh-CN"/>
        </w:rPr>
        <w:t>评</w:t>
      </w:r>
      <w:r>
        <w:rPr>
          <w:rFonts w:hint="eastAsia" w:ascii="宋体" w:hAnsi="宋体" w:cs="宋体"/>
          <w:color w:val="auto"/>
          <w:w w:val="102"/>
          <w:sz w:val="44"/>
          <w:szCs w:val="44"/>
          <w:highlight w:val="none"/>
          <w:lang w:eastAsia="zh-CN"/>
        </w:rPr>
        <w:t>标</w:t>
      </w:r>
      <w:r>
        <w:rPr>
          <w:rFonts w:hint="eastAsia" w:ascii="宋体" w:hAnsi="宋体" w:cs="宋体"/>
          <w:color w:val="auto"/>
          <w:spacing w:val="-5"/>
          <w:w w:val="102"/>
          <w:sz w:val="44"/>
          <w:szCs w:val="44"/>
          <w:highlight w:val="none"/>
          <w:lang w:eastAsia="zh-CN"/>
        </w:rPr>
        <w:t>办</w:t>
      </w:r>
      <w:r>
        <w:rPr>
          <w:rFonts w:hint="eastAsia" w:ascii="宋体" w:hAnsi="宋体" w:cs="宋体"/>
          <w:color w:val="auto"/>
          <w:w w:val="97"/>
          <w:sz w:val="44"/>
          <w:szCs w:val="44"/>
          <w:highlight w:val="none"/>
          <w:lang w:eastAsia="zh-CN"/>
        </w:rPr>
        <w:t>法</w:t>
      </w:r>
      <w:r>
        <w:rPr>
          <w:rFonts w:hint="eastAsia" w:ascii="宋体" w:hAnsi="宋体" w:cs="宋体"/>
          <w:color w:val="auto"/>
          <w:spacing w:val="-5"/>
          <w:w w:val="102"/>
          <w:sz w:val="44"/>
          <w:szCs w:val="44"/>
          <w:highlight w:val="none"/>
          <w:lang w:eastAsia="zh-CN"/>
        </w:rPr>
        <w:t>（综合评估法）</w:t>
      </w:r>
    </w:p>
    <w:p w14:paraId="57757E51">
      <w:pPr>
        <w:jc w:val="center"/>
        <w:rPr>
          <w:rFonts w:hint="eastAsia" w:ascii="宋体" w:hAnsi="宋体" w:cs="宋体"/>
          <w:color w:val="auto"/>
          <w:sz w:val="13"/>
          <w:szCs w:val="14"/>
          <w:highlight w:val="none"/>
          <w:lang w:eastAsia="zh-CN"/>
        </w:rPr>
      </w:pPr>
      <w:r>
        <w:rPr>
          <w:rFonts w:hint="eastAsia" w:ascii="宋体" w:hAnsi="宋体" w:cs="宋体"/>
          <w:b/>
          <w:bCs/>
          <w:color w:val="auto"/>
          <w:sz w:val="24"/>
          <w:szCs w:val="28"/>
          <w:highlight w:val="none"/>
        </w:rPr>
        <w:t>评标办法前附表</w:t>
      </w:r>
    </w:p>
    <w:tbl>
      <w:tblPr>
        <w:tblStyle w:val="3"/>
        <w:tblW w:w="0" w:type="auto"/>
        <w:jc w:val="center"/>
        <w:tblLayout w:type="fixed"/>
        <w:tblCellMar>
          <w:top w:w="0" w:type="dxa"/>
          <w:left w:w="0" w:type="dxa"/>
          <w:bottom w:w="0" w:type="dxa"/>
          <w:right w:w="0" w:type="dxa"/>
        </w:tblCellMar>
      </w:tblPr>
      <w:tblGrid>
        <w:gridCol w:w="732"/>
        <w:gridCol w:w="1262"/>
        <w:gridCol w:w="7408"/>
      </w:tblGrid>
      <w:tr w14:paraId="6940B1A7">
        <w:tblPrEx>
          <w:tblCellMar>
            <w:top w:w="0" w:type="dxa"/>
            <w:left w:w="0" w:type="dxa"/>
            <w:bottom w:w="0" w:type="dxa"/>
            <w:right w:w="0" w:type="dxa"/>
          </w:tblCellMar>
        </w:tblPrEx>
        <w:trPr>
          <w:trHeight w:val="23"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noWrap w:val="0"/>
            <w:vAlign w:val="top"/>
          </w:tcPr>
          <w:p w14:paraId="38A9814C">
            <w:pPr>
              <w:pStyle w:val="5"/>
              <w:keepNext w:val="0"/>
              <w:keepLines w:val="0"/>
              <w:suppressLineNumbers w:val="0"/>
              <w:adjustRightInd w:val="0"/>
              <w:snapToGrid w:val="0"/>
              <w:spacing w:before="0" w:beforeAutospacing="0" w:after="0" w:afterAutospacing="0" w:line="300" w:lineRule="auto"/>
              <w:ind w:left="0" w:right="0"/>
              <w:jc w:val="center"/>
              <w:rPr>
                <w:rFonts w:hint="eastAsia" w:ascii="宋体" w:hAnsi="宋体" w:cs="宋体"/>
                <w:color w:val="auto"/>
                <w:kern w:val="2"/>
                <w:sz w:val="21"/>
                <w:szCs w:val="21"/>
                <w:highlight w:val="none"/>
              </w:rPr>
            </w:pPr>
            <w:r>
              <w:rPr>
                <w:rFonts w:hint="eastAsia" w:ascii="宋体" w:hAnsi="宋体" w:cs="宋体"/>
                <w:b/>
                <w:bCs/>
                <w:color w:val="auto"/>
                <w:kern w:val="2"/>
                <w:sz w:val="21"/>
                <w:szCs w:val="21"/>
                <w:highlight w:val="none"/>
              </w:rPr>
              <w:t>条款号</w:t>
            </w:r>
          </w:p>
        </w:tc>
        <w:tc>
          <w:tcPr>
            <w:tcW w:w="7408" w:type="dxa"/>
            <w:tcBorders>
              <w:top w:val="single" w:color="000000" w:sz="4" w:space="0"/>
              <w:left w:val="single" w:color="000000" w:sz="4" w:space="0"/>
              <w:bottom w:val="single" w:color="000000" w:sz="4" w:space="0"/>
              <w:right w:val="single" w:color="000000" w:sz="4" w:space="0"/>
            </w:tcBorders>
            <w:noWrap w:val="0"/>
            <w:vAlign w:val="top"/>
          </w:tcPr>
          <w:p w14:paraId="2E391D10">
            <w:pPr>
              <w:pStyle w:val="5"/>
              <w:keepNext w:val="0"/>
              <w:keepLines w:val="0"/>
              <w:suppressLineNumbers w:val="0"/>
              <w:adjustRightInd w:val="0"/>
              <w:snapToGrid w:val="0"/>
              <w:spacing w:before="0" w:beforeAutospacing="0" w:after="0" w:afterAutospacing="0" w:line="300" w:lineRule="auto"/>
              <w:ind w:left="0" w:right="0"/>
              <w:jc w:val="center"/>
              <w:rPr>
                <w:rFonts w:hint="eastAsia" w:ascii="宋体" w:hAnsi="宋体" w:cs="宋体"/>
                <w:color w:val="auto"/>
                <w:kern w:val="2"/>
                <w:sz w:val="21"/>
                <w:szCs w:val="21"/>
                <w:highlight w:val="none"/>
              </w:rPr>
            </w:pPr>
            <w:r>
              <w:rPr>
                <w:rFonts w:hint="eastAsia" w:ascii="宋体" w:hAnsi="宋体" w:cs="宋体"/>
                <w:b/>
                <w:bCs/>
                <w:color w:val="auto"/>
                <w:kern w:val="2"/>
                <w:sz w:val="21"/>
                <w:szCs w:val="21"/>
                <w:highlight w:val="none"/>
              </w:rPr>
              <w:t>评审因素与评审标准</w:t>
            </w:r>
          </w:p>
        </w:tc>
      </w:tr>
      <w:tr w14:paraId="2C346AF8">
        <w:tblPrEx>
          <w:tblCellMar>
            <w:top w:w="0" w:type="dxa"/>
            <w:left w:w="0" w:type="dxa"/>
            <w:bottom w:w="0" w:type="dxa"/>
            <w:right w:w="0"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2CF33499">
            <w:pPr>
              <w:pStyle w:val="5"/>
              <w:keepNext w:val="0"/>
              <w:keepLines w:val="0"/>
              <w:suppressLineNumbers w:val="0"/>
              <w:adjustRightInd w:val="0"/>
              <w:snapToGrid w:val="0"/>
              <w:spacing w:before="0" w:beforeAutospacing="0" w:after="0" w:afterAutospacing="0" w:line="300" w:lineRule="auto"/>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4F30940">
            <w:pPr>
              <w:pStyle w:val="5"/>
              <w:keepNext w:val="0"/>
              <w:keepLines w:val="0"/>
              <w:suppressLineNumbers w:val="0"/>
              <w:adjustRightInd w:val="0"/>
              <w:snapToGrid w:val="0"/>
              <w:spacing w:before="0" w:beforeAutospacing="0" w:after="0" w:afterAutospacing="0" w:line="300" w:lineRule="auto"/>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评标方法</w:t>
            </w:r>
          </w:p>
        </w:tc>
        <w:tc>
          <w:tcPr>
            <w:tcW w:w="7408" w:type="dxa"/>
            <w:tcBorders>
              <w:top w:val="single" w:color="000000" w:sz="4" w:space="0"/>
              <w:left w:val="single" w:color="000000" w:sz="4" w:space="0"/>
              <w:bottom w:val="single" w:color="000000" w:sz="4" w:space="0"/>
              <w:right w:val="single" w:color="000000" w:sz="4" w:space="0"/>
            </w:tcBorders>
            <w:noWrap w:val="0"/>
            <w:vAlign w:val="top"/>
          </w:tcPr>
          <w:p w14:paraId="4990CB87">
            <w:pPr>
              <w:pStyle w:val="5"/>
              <w:keepNext w:val="0"/>
              <w:keepLines w:val="0"/>
              <w:suppressLineNumbers w:val="0"/>
              <w:adjustRightInd w:val="0"/>
              <w:snapToGrid w:val="0"/>
              <w:spacing w:before="0" w:beforeAutospacing="0" w:after="0" w:afterAutospacing="0" w:line="300" w:lineRule="auto"/>
              <w:ind w:left="22" w:leftChars="10" w:right="22" w:rightChars="10" w:firstLine="408" w:firstLineChars="200"/>
              <w:rPr>
                <w:rFonts w:hint="eastAsia" w:ascii="宋体" w:hAnsi="宋体" w:cs="宋体"/>
                <w:color w:val="auto"/>
                <w:spacing w:val="-3"/>
                <w:kern w:val="2"/>
                <w:sz w:val="21"/>
                <w:szCs w:val="21"/>
                <w:highlight w:val="none"/>
                <w:lang w:eastAsia="zh-CN"/>
              </w:rPr>
            </w:pPr>
            <w:r>
              <w:rPr>
                <w:rFonts w:hint="eastAsia" w:ascii="宋体" w:hAnsi="宋体" w:cs="宋体"/>
                <w:color w:val="auto"/>
                <w:spacing w:val="-3"/>
                <w:kern w:val="2"/>
                <w:sz w:val="21"/>
                <w:szCs w:val="21"/>
                <w:highlight w:val="none"/>
                <w:lang w:eastAsia="zh-CN"/>
              </w:rPr>
              <w:t>综合评分相等时，评标委员会依次按照以下优先顺序推荐中标候选人或确定中标人：</w:t>
            </w:r>
          </w:p>
          <w:p w14:paraId="5380777A">
            <w:pPr>
              <w:pStyle w:val="5"/>
              <w:keepNext w:val="0"/>
              <w:keepLines w:val="0"/>
              <w:suppressLineNumbers w:val="0"/>
              <w:adjustRightInd w:val="0"/>
              <w:snapToGrid w:val="0"/>
              <w:spacing w:before="0" w:beforeAutospacing="0" w:after="0" w:afterAutospacing="0" w:line="300" w:lineRule="auto"/>
              <w:ind w:left="22" w:leftChars="10" w:right="22" w:rightChars="10" w:firstLine="408" w:firstLineChars="200"/>
              <w:rPr>
                <w:rFonts w:hint="eastAsia" w:ascii="宋体" w:hAnsi="宋体" w:cs="宋体"/>
                <w:color w:val="auto"/>
                <w:spacing w:val="-3"/>
                <w:kern w:val="2"/>
                <w:sz w:val="21"/>
                <w:szCs w:val="21"/>
                <w:highlight w:val="none"/>
                <w:lang w:eastAsia="zh-CN"/>
              </w:rPr>
            </w:pPr>
            <w:r>
              <w:rPr>
                <w:rFonts w:hint="eastAsia" w:ascii="宋体" w:hAnsi="宋体" w:cs="宋体"/>
                <w:color w:val="auto"/>
                <w:spacing w:val="-3"/>
                <w:kern w:val="2"/>
                <w:sz w:val="21"/>
                <w:szCs w:val="21"/>
                <w:highlight w:val="none"/>
                <w:lang w:eastAsia="zh-CN"/>
              </w:rPr>
              <w:t>（1）评标价低的投标人优先；</w:t>
            </w:r>
          </w:p>
          <w:p w14:paraId="4E0AF605">
            <w:pPr>
              <w:pStyle w:val="5"/>
              <w:keepNext w:val="0"/>
              <w:keepLines w:val="0"/>
              <w:suppressLineNumbers w:val="0"/>
              <w:adjustRightInd w:val="0"/>
              <w:snapToGrid w:val="0"/>
              <w:spacing w:before="0" w:beforeAutospacing="0" w:after="0" w:afterAutospacing="0" w:line="300" w:lineRule="auto"/>
              <w:ind w:left="22" w:leftChars="10" w:right="22" w:rightChars="10" w:firstLine="408" w:firstLineChars="200"/>
              <w:rPr>
                <w:rFonts w:hint="eastAsia" w:ascii="宋体" w:hAnsi="宋体" w:cs="宋体"/>
                <w:color w:val="auto"/>
                <w:spacing w:val="-3"/>
                <w:kern w:val="2"/>
                <w:sz w:val="21"/>
                <w:szCs w:val="21"/>
                <w:highlight w:val="none"/>
                <w:lang w:eastAsia="zh-CN"/>
              </w:rPr>
            </w:pPr>
            <w:r>
              <w:rPr>
                <w:rFonts w:hint="eastAsia" w:ascii="宋体" w:hAnsi="宋体" w:cs="宋体"/>
                <w:color w:val="auto"/>
                <w:spacing w:val="-3"/>
                <w:kern w:val="2"/>
                <w:sz w:val="21"/>
                <w:szCs w:val="21"/>
                <w:highlight w:val="none"/>
                <w:lang w:eastAsia="zh-CN"/>
              </w:rPr>
              <w:t>（2）按招标文件规定被认定为广东省信用等级较高的投标人优先（采用如下的优先顺序：承诺使用的 AA 级投标人、不承诺使用的 AA级投标人、承诺使用的 A 级投标人、不承诺使用的 A 级投标人、B 级投标人、未参评且被确定为 B 级投标人）；</w:t>
            </w:r>
          </w:p>
          <w:p w14:paraId="61B787A3">
            <w:pPr>
              <w:pStyle w:val="5"/>
              <w:keepNext w:val="0"/>
              <w:keepLines w:val="0"/>
              <w:suppressLineNumbers w:val="0"/>
              <w:adjustRightInd w:val="0"/>
              <w:snapToGrid w:val="0"/>
              <w:spacing w:before="0" w:beforeAutospacing="0" w:after="0" w:afterAutospacing="0" w:line="300" w:lineRule="auto"/>
              <w:ind w:left="22" w:leftChars="10" w:right="22" w:rightChars="10" w:firstLine="408" w:firstLineChars="200"/>
              <w:rPr>
                <w:rFonts w:hint="eastAsia" w:ascii="宋体" w:hAnsi="宋体" w:cs="宋体"/>
                <w:color w:val="auto"/>
                <w:spacing w:val="-3"/>
                <w:kern w:val="2"/>
                <w:sz w:val="21"/>
                <w:szCs w:val="21"/>
                <w:highlight w:val="none"/>
                <w:lang w:eastAsia="zh-CN"/>
              </w:rPr>
            </w:pPr>
            <w:r>
              <w:rPr>
                <w:rFonts w:hint="eastAsia" w:ascii="宋体" w:hAnsi="宋体" w:cs="宋体"/>
                <w:color w:val="auto"/>
                <w:spacing w:val="-3"/>
                <w:kern w:val="2"/>
                <w:sz w:val="21"/>
                <w:szCs w:val="21"/>
                <w:highlight w:val="none"/>
                <w:lang w:eastAsia="zh-CN"/>
              </w:rPr>
              <w:t>（3）商务和技术得分较高的投标人优先；</w:t>
            </w:r>
          </w:p>
          <w:p w14:paraId="3ED77440">
            <w:pPr>
              <w:pStyle w:val="5"/>
              <w:keepNext w:val="0"/>
              <w:keepLines w:val="0"/>
              <w:suppressLineNumbers w:val="0"/>
              <w:adjustRightInd w:val="0"/>
              <w:snapToGrid w:val="0"/>
              <w:spacing w:before="0" w:beforeAutospacing="0" w:after="0" w:afterAutospacing="0" w:line="300" w:lineRule="auto"/>
              <w:ind w:left="22" w:leftChars="10" w:right="22" w:rightChars="10" w:firstLine="408" w:firstLineChars="200"/>
              <w:rPr>
                <w:rFonts w:hint="eastAsia" w:ascii="宋体" w:hAnsi="宋体" w:cs="宋体"/>
                <w:color w:val="auto"/>
                <w:kern w:val="2"/>
                <w:sz w:val="21"/>
                <w:szCs w:val="21"/>
                <w:highlight w:val="none"/>
                <w:lang w:eastAsia="zh-CN"/>
              </w:rPr>
            </w:pPr>
            <w:r>
              <w:rPr>
                <w:rFonts w:hint="eastAsia" w:ascii="宋体" w:hAnsi="宋体" w:cs="宋体"/>
                <w:color w:val="auto"/>
                <w:spacing w:val="-3"/>
                <w:kern w:val="2"/>
                <w:sz w:val="21"/>
                <w:szCs w:val="21"/>
                <w:highlight w:val="none"/>
                <w:lang w:eastAsia="zh-CN"/>
              </w:rPr>
              <w:t>（4）由评标委员会投票确定。</w:t>
            </w:r>
          </w:p>
        </w:tc>
      </w:tr>
      <w:tr w14:paraId="56285016">
        <w:tblPrEx>
          <w:tblCellMar>
            <w:top w:w="0" w:type="dxa"/>
            <w:left w:w="0" w:type="dxa"/>
            <w:bottom w:w="0" w:type="dxa"/>
            <w:right w:w="0"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14:paraId="42FA33BE">
            <w:pPr>
              <w:pStyle w:val="5"/>
              <w:keepNext w:val="0"/>
              <w:keepLines w:val="0"/>
              <w:suppressLineNumbers w:val="0"/>
              <w:adjustRightInd w:val="0"/>
              <w:snapToGrid w:val="0"/>
              <w:spacing w:before="0" w:beforeAutospacing="0" w:after="0" w:afterAutospacing="0" w:line="300" w:lineRule="auto"/>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highlight w:val="none"/>
              </w:rPr>
              <w:t>2.1.1</w:t>
            </w:r>
          </w:p>
          <w:p w14:paraId="040C34CF">
            <w:pPr>
              <w:pStyle w:val="5"/>
              <w:keepNext w:val="0"/>
              <w:keepLines w:val="0"/>
              <w:suppressLineNumbers w:val="0"/>
              <w:adjustRightInd w:val="0"/>
              <w:snapToGrid w:val="0"/>
              <w:spacing w:before="0" w:beforeAutospacing="0" w:after="0" w:afterAutospacing="0" w:line="300" w:lineRule="auto"/>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highlight w:val="none"/>
              </w:rPr>
              <w:t>2.1.3</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3723E7B">
            <w:pPr>
              <w:pStyle w:val="5"/>
              <w:keepNext w:val="0"/>
              <w:keepLines w:val="0"/>
              <w:suppressLineNumbers w:val="0"/>
              <w:adjustRightInd w:val="0"/>
              <w:snapToGrid w:val="0"/>
              <w:spacing w:before="0" w:beforeAutospacing="0" w:after="0" w:afterAutospacing="0" w:line="300" w:lineRule="auto"/>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spacing w:val="-1"/>
                <w:kern w:val="2"/>
                <w:sz w:val="21"/>
                <w:szCs w:val="21"/>
                <w:highlight w:val="none"/>
                <w:lang w:eastAsia="zh-CN"/>
              </w:rPr>
              <w:t>形式评审与响应性评审标准</w:t>
            </w:r>
          </w:p>
        </w:tc>
        <w:tc>
          <w:tcPr>
            <w:tcW w:w="7408" w:type="dxa"/>
            <w:tcBorders>
              <w:top w:val="single" w:color="000000" w:sz="4" w:space="0"/>
              <w:left w:val="single" w:color="000000" w:sz="4" w:space="0"/>
              <w:bottom w:val="single" w:color="000000" w:sz="4" w:space="0"/>
              <w:right w:val="single" w:color="000000" w:sz="4" w:space="0"/>
            </w:tcBorders>
            <w:noWrap w:val="0"/>
            <w:vAlign w:val="top"/>
          </w:tcPr>
          <w:p w14:paraId="7CD36AC8">
            <w:pPr>
              <w:keepNext w:val="0"/>
              <w:keepLines w:val="0"/>
              <w:suppressLineNumbers w:val="0"/>
              <w:adjustRightInd w:val="0"/>
              <w:snapToGrid w:val="0"/>
              <w:spacing w:before="0" w:beforeAutospacing="0" w:after="0" w:afterAutospacing="0" w:line="300" w:lineRule="auto"/>
              <w:ind w:left="22" w:leftChars="10" w:right="22" w:rightChars="10" w:firstLine="422" w:firstLineChars="200"/>
              <w:jc w:val="both"/>
              <w:rPr>
                <w:rFonts w:hint="eastAsia" w:ascii="宋体" w:hAnsi="宋体" w:cs="宋体"/>
                <w:color w:val="auto"/>
                <w:kern w:val="2"/>
                <w:sz w:val="21"/>
                <w:szCs w:val="21"/>
                <w:highlight w:val="none"/>
                <w:lang w:eastAsia="zh-CN"/>
              </w:rPr>
            </w:pPr>
            <w:r>
              <w:rPr>
                <w:rFonts w:hint="eastAsia" w:ascii="宋体" w:hAnsi="宋体" w:cs="宋体"/>
                <w:b/>
                <w:bCs/>
                <w:color w:val="auto"/>
                <w:kern w:val="2"/>
                <w:sz w:val="21"/>
                <w:szCs w:val="21"/>
                <w:highlight w:val="none"/>
                <w:lang w:eastAsia="zh-CN"/>
              </w:rPr>
              <w:t>第一个信封（商务及技术文件）评审标准：</w:t>
            </w:r>
          </w:p>
          <w:p w14:paraId="37401256">
            <w:pPr>
              <w:keepNext w:val="0"/>
              <w:keepLines w:val="0"/>
              <w:suppressLineNumbers w:val="0"/>
              <w:adjustRightInd w:val="0"/>
              <w:snapToGrid w:val="0"/>
              <w:spacing w:before="0" w:beforeAutospacing="0" w:after="0" w:afterAutospacing="0" w:line="300" w:lineRule="auto"/>
              <w:ind w:left="22" w:leftChars="10" w:right="22" w:rightChars="10" w:firstLine="408"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spacing w:val="-3"/>
                <w:kern w:val="2"/>
                <w:sz w:val="21"/>
                <w:szCs w:val="21"/>
                <w:highlight w:val="none"/>
                <w:lang w:eastAsia="zh-CN"/>
              </w:rPr>
              <w:t>（1）投标文件按照招标文件规定的格式、内容填写，字迹清晰可辨:</w:t>
            </w:r>
          </w:p>
          <w:p w14:paraId="4BEA541A">
            <w:pPr>
              <w:keepNext w:val="0"/>
              <w:keepLines w:val="0"/>
              <w:suppressLineNumbers w:val="0"/>
              <w:adjustRightInd w:val="0"/>
              <w:snapToGrid w:val="0"/>
              <w:spacing w:before="0" w:beforeAutospacing="0" w:after="0" w:afterAutospacing="0" w:line="300" w:lineRule="auto"/>
              <w:ind w:left="22" w:leftChars="10" w:right="22" w:rightChars="10" w:firstLine="416" w:firstLineChars="200"/>
              <w:rPr>
                <w:rFonts w:hint="eastAsia" w:ascii="宋体" w:hAnsi="宋体" w:cs="宋体"/>
                <w:color w:val="auto"/>
                <w:kern w:val="2"/>
                <w:sz w:val="21"/>
                <w:szCs w:val="21"/>
                <w:highlight w:val="none"/>
                <w:lang w:eastAsia="zh-CN"/>
              </w:rPr>
            </w:pPr>
            <w:r>
              <w:rPr>
                <w:rFonts w:hint="eastAsia" w:ascii="宋体" w:hAnsi="宋体" w:cs="宋体"/>
                <w:color w:val="auto"/>
                <w:spacing w:val="-1"/>
                <w:kern w:val="2"/>
                <w:sz w:val="21"/>
                <w:szCs w:val="21"/>
                <w:highlight w:val="none"/>
                <w:lang w:eastAsia="zh-CN"/>
              </w:rPr>
              <w:t>a.投标函按招标文件规定填报了项目名称、补遗书编号（如</w:t>
            </w:r>
            <w:r>
              <w:rPr>
                <w:rFonts w:hint="eastAsia" w:ascii="宋体" w:hAnsi="宋体" w:cs="宋体"/>
                <w:color w:val="auto"/>
                <w:spacing w:val="-8"/>
                <w:kern w:val="2"/>
                <w:sz w:val="21"/>
                <w:szCs w:val="21"/>
                <w:highlight w:val="none"/>
                <w:lang w:eastAsia="zh-CN"/>
              </w:rPr>
              <w:t>有）、监理服务期限、工程质量要求及安全目标；</w:t>
            </w:r>
          </w:p>
          <w:p w14:paraId="4FE9B749">
            <w:pPr>
              <w:keepNext w:val="0"/>
              <w:keepLines w:val="0"/>
              <w:suppressLineNumbers w:val="0"/>
              <w:adjustRightInd w:val="0"/>
              <w:snapToGrid w:val="0"/>
              <w:spacing w:before="0" w:beforeAutospacing="0" w:after="0" w:afterAutospacing="0" w:line="300" w:lineRule="auto"/>
              <w:ind w:left="22" w:leftChars="10" w:right="22" w:rightChars="10" w:firstLine="412"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spacing w:val="-2"/>
                <w:kern w:val="2"/>
                <w:sz w:val="21"/>
                <w:szCs w:val="21"/>
                <w:highlight w:val="none"/>
                <w:lang w:eastAsia="zh-CN"/>
              </w:rPr>
              <w:t>b.投标文件组成齐全完整，内容均按规定填写。</w:t>
            </w:r>
          </w:p>
          <w:p w14:paraId="301F2B48">
            <w:pPr>
              <w:keepNext w:val="0"/>
              <w:keepLines w:val="0"/>
              <w:suppressLineNumbers w:val="0"/>
              <w:adjustRightInd w:val="0"/>
              <w:snapToGrid w:val="0"/>
              <w:spacing w:before="0" w:beforeAutospacing="0" w:after="0" w:afterAutospacing="0" w:line="300" w:lineRule="auto"/>
              <w:ind w:left="22" w:leftChars="10" w:right="22" w:rightChars="10" w:firstLine="420" w:firstLineChars="20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（2）投标文件上法定代表人或其委托代理人的签字、投标人的单位章盖章齐全，符合招标文件规定。</w:t>
            </w:r>
          </w:p>
          <w:p w14:paraId="415BEEC9">
            <w:pPr>
              <w:keepNext w:val="0"/>
              <w:keepLines w:val="0"/>
              <w:suppressLineNumbers w:val="0"/>
              <w:adjustRightInd w:val="0"/>
              <w:snapToGrid w:val="0"/>
              <w:spacing w:before="0" w:beforeAutospacing="0" w:after="0" w:afterAutospacing="0" w:line="300" w:lineRule="auto"/>
              <w:ind w:left="22" w:leftChars="10" w:right="22" w:rightChars="10" w:firstLine="420" w:firstLineChars="20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（3）投标人法定代表人授权委托代理人签署投标文件的，须提交授权委托书，且授权人和被授权人均在授权委托书上签名，未使用印章、签名章或其他电子制版签名代替。</w:t>
            </w:r>
          </w:p>
          <w:p w14:paraId="091652DB">
            <w:pPr>
              <w:keepNext w:val="0"/>
              <w:keepLines w:val="0"/>
              <w:suppressLineNumbers w:val="0"/>
              <w:adjustRightInd w:val="0"/>
              <w:snapToGrid w:val="0"/>
              <w:spacing w:before="0" w:beforeAutospacing="0" w:after="0" w:afterAutospacing="0" w:line="300" w:lineRule="auto"/>
              <w:ind w:left="22" w:leftChars="10" w:right="22" w:rightChars="10" w:firstLine="420" w:firstLineChars="20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（4）投标人法定代表人亲自签署投标文件的，提供了法定代表人身份证明，且法定代表人在法定代表人身份证明上签名，未使用印章、签名章或其他电子制版签名代替。</w:t>
            </w:r>
          </w:p>
          <w:p w14:paraId="6D47133F">
            <w:pPr>
              <w:keepNext w:val="0"/>
              <w:keepLines w:val="0"/>
              <w:suppressLineNumbers w:val="0"/>
              <w:adjustRightInd w:val="0"/>
              <w:snapToGrid w:val="0"/>
              <w:spacing w:before="0" w:beforeAutospacing="0" w:after="0" w:afterAutospacing="0" w:line="300" w:lineRule="auto"/>
              <w:ind w:left="22" w:leftChars="10" w:right="22" w:rightChars="10" w:firstLine="420" w:firstLineChars="20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（5）投标人未以联合体形式投标。</w:t>
            </w:r>
          </w:p>
          <w:p w14:paraId="22BCCC06">
            <w:pPr>
              <w:keepNext w:val="0"/>
              <w:keepLines w:val="0"/>
              <w:suppressLineNumbers w:val="0"/>
              <w:adjustRightInd w:val="0"/>
              <w:snapToGrid w:val="0"/>
              <w:spacing w:before="0" w:beforeAutospacing="0" w:after="0" w:afterAutospacing="0" w:line="300" w:lineRule="auto"/>
              <w:ind w:left="22" w:leftChars="10" w:right="22" w:rightChars="10" w:firstLine="420" w:firstLineChars="20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（6）同一投标人未提交两个以上不同的投标文件，但招标文件要求提交备选投标的除外。</w:t>
            </w:r>
          </w:p>
          <w:p w14:paraId="6279BE16">
            <w:pPr>
              <w:keepNext w:val="0"/>
              <w:keepLines w:val="0"/>
              <w:suppressLineNumbers w:val="0"/>
              <w:adjustRightInd w:val="0"/>
              <w:snapToGrid w:val="0"/>
              <w:spacing w:before="0" w:beforeAutospacing="0" w:after="0" w:afterAutospacing="0" w:line="300"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（7）投标文件中未出现有关投标报价的内容。</w:t>
            </w:r>
          </w:p>
          <w:p w14:paraId="61CE303B">
            <w:pPr>
              <w:keepNext w:val="0"/>
              <w:keepLines w:val="0"/>
              <w:suppressLineNumbers w:val="0"/>
              <w:adjustRightInd w:val="0"/>
              <w:snapToGrid w:val="0"/>
              <w:spacing w:before="0" w:beforeAutospacing="0" w:after="0" w:afterAutospacing="0" w:line="300"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（8）投标文件载明的招标项目完成期限未超过招标文件规定的时限。</w:t>
            </w:r>
          </w:p>
          <w:p w14:paraId="7327F5EC">
            <w:pPr>
              <w:keepNext w:val="0"/>
              <w:keepLines w:val="0"/>
              <w:suppressLineNumbers w:val="0"/>
              <w:adjustRightInd w:val="0"/>
              <w:snapToGrid w:val="0"/>
              <w:spacing w:before="0" w:beforeAutospacing="0" w:after="0" w:afterAutospacing="0" w:line="300" w:lineRule="auto"/>
              <w:ind w:left="22" w:leftChars="10" w:right="22" w:rightChars="10" w:firstLine="420" w:firstLineChars="20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（9）投标文件对招标文件的实质性要求和条件作出响应。</w:t>
            </w:r>
          </w:p>
        </w:tc>
      </w:tr>
    </w:tbl>
    <w:p w14:paraId="78A01871">
      <w:pPr>
        <w:wordWrap w:val="0"/>
        <w:jc w:val="right"/>
        <w:rPr>
          <w:rFonts w:hint="eastAsia" w:ascii="宋体" w:hAnsi="宋体" w:cs="宋体"/>
          <w:color w:val="auto"/>
          <w:sz w:val="20"/>
          <w:szCs w:val="20"/>
          <w:highlight w:val="none"/>
          <w:lang w:eastAsia="zh-CN"/>
        </w:rPr>
      </w:pPr>
      <w:r>
        <w:rPr>
          <w:rFonts w:hint="eastAsia" w:ascii="宋体" w:hAnsi="宋体" w:cs="宋体"/>
          <w:color w:val="auto"/>
          <w:highlight w:val="none"/>
          <w:lang w:eastAsia="zh-CN"/>
        </w:rPr>
        <w:br w:type="page"/>
      </w:r>
      <w:r>
        <w:rPr>
          <w:rFonts w:hint="eastAsia" w:ascii="宋体" w:hAnsi="宋体" w:cs="宋体"/>
          <w:color w:val="auto"/>
          <w:highlight w:val="none"/>
        </w:rPr>
        <w:t>续上表</w:t>
      </w:r>
      <w:r>
        <w:rPr>
          <w:rFonts w:hint="eastAsia" w:ascii="宋体" w:hAnsi="宋体" w:cs="宋体"/>
          <w:color w:val="auto"/>
          <w:highlight w:val="none"/>
          <w:lang w:eastAsia="zh-CN"/>
        </w:rPr>
        <w:t xml:space="preserve">   </w:t>
      </w:r>
    </w:p>
    <w:tbl>
      <w:tblPr>
        <w:tblStyle w:val="3"/>
        <w:tblW w:w="0" w:type="auto"/>
        <w:tblInd w:w="105" w:type="dxa"/>
        <w:tblLayout w:type="fixed"/>
        <w:tblCellMar>
          <w:top w:w="0" w:type="dxa"/>
          <w:left w:w="0" w:type="dxa"/>
          <w:bottom w:w="0" w:type="dxa"/>
          <w:right w:w="0" w:type="dxa"/>
        </w:tblCellMar>
      </w:tblPr>
      <w:tblGrid>
        <w:gridCol w:w="989"/>
        <w:gridCol w:w="1279"/>
        <w:gridCol w:w="7199"/>
      </w:tblGrid>
      <w:tr w14:paraId="31C4CD0E">
        <w:tblPrEx>
          <w:tblCellMar>
            <w:top w:w="0" w:type="dxa"/>
            <w:left w:w="0" w:type="dxa"/>
            <w:bottom w:w="0" w:type="dxa"/>
            <w:right w:w="0" w:type="dxa"/>
          </w:tblCellMar>
        </w:tblPrEx>
        <w:trPr>
          <w:trHeight w:val="7821" w:hRule="atLeast"/>
        </w:trPr>
        <w:tc>
          <w:tcPr>
            <w:tcW w:w="989" w:type="dxa"/>
            <w:tcBorders>
              <w:top w:val="single" w:color="000000" w:sz="4" w:space="0"/>
              <w:left w:val="single" w:color="000000" w:sz="4" w:space="0"/>
              <w:bottom w:val="single" w:color="auto" w:sz="4" w:space="0"/>
              <w:right w:val="single" w:color="000000" w:sz="4" w:space="0"/>
            </w:tcBorders>
            <w:noWrap w:val="0"/>
            <w:vAlign w:val="center"/>
          </w:tcPr>
          <w:p w14:paraId="7E8B103D">
            <w:pPr>
              <w:pStyle w:val="5"/>
              <w:keepNext w:val="0"/>
              <w:keepLines w:val="0"/>
              <w:suppressLineNumbers w:val="0"/>
              <w:adjustRightInd w:val="0"/>
              <w:snapToGrid w:val="0"/>
              <w:spacing w:before="0" w:beforeAutospacing="0" w:after="0" w:afterAutospacing="0" w:line="312" w:lineRule="auto"/>
              <w:ind w:left="0" w:right="0"/>
              <w:jc w:val="center"/>
              <w:rPr>
                <w:rFonts w:hint="eastAsia" w:ascii="宋体" w:hAnsi="宋体" w:cs="宋体"/>
                <w:color w:val="auto"/>
                <w:kern w:val="2"/>
                <w:sz w:val="20"/>
                <w:highlight w:val="none"/>
                <w:lang w:eastAsia="zh-CN"/>
              </w:rPr>
            </w:pPr>
          </w:p>
        </w:tc>
        <w:tc>
          <w:tcPr>
            <w:tcW w:w="1279" w:type="dxa"/>
            <w:tcBorders>
              <w:top w:val="single" w:color="000000" w:sz="4" w:space="0"/>
              <w:left w:val="single" w:color="000000" w:sz="4" w:space="0"/>
              <w:bottom w:val="single" w:color="auto" w:sz="4" w:space="0"/>
              <w:right w:val="single" w:color="000000" w:sz="4" w:space="0"/>
            </w:tcBorders>
            <w:noWrap w:val="0"/>
            <w:vAlign w:val="center"/>
          </w:tcPr>
          <w:p w14:paraId="690957E4">
            <w:pPr>
              <w:pStyle w:val="5"/>
              <w:keepNext w:val="0"/>
              <w:keepLines w:val="0"/>
              <w:suppressLineNumbers w:val="0"/>
              <w:adjustRightInd w:val="0"/>
              <w:snapToGrid w:val="0"/>
              <w:spacing w:before="0" w:beforeAutospacing="0" w:after="0" w:afterAutospacing="0" w:line="312" w:lineRule="auto"/>
              <w:ind w:left="0" w:right="0"/>
              <w:jc w:val="center"/>
              <w:rPr>
                <w:rFonts w:hint="eastAsia" w:ascii="宋体" w:hAnsi="宋体" w:cs="宋体"/>
                <w:color w:val="auto"/>
                <w:kern w:val="2"/>
                <w:sz w:val="20"/>
                <w:szCs w:val="20"/>
                <w:highlight w:val="none"/>
                <w:lang w:eastAsia="zh-CN"/>
              </w:rPr>
            </w:pPr>
          </w:p>
        </w:tc>
        <w:tc>
          <w:tcPr>
            <w:tcW w:w="7199" w:type="dxa"/>
            <w:tcBorders>
              <w:top w:val="single" w:color="000000" w:sz="4" w:space="0"/>
              <w:left w:val="single" w:color="000000" w:sz="4" w:space="0"/>
              <w:bottom w:val="single" w:color="auto" w:sz="4" w:space="0"/>
              <w:right w:val="single" w:color="000000" w:sz="4" w:space="0"/>
            </w:tcBorders>
            <w:noWrap w:val="0"/>
            <w:vAlign w:val="center"/>
          </w:tcPr>
          <w:p w14:paraId="555A7697">
            <w:pPr>
              <w:keepNext w:val="0"/>
              <w:keepLines w:val="0"/>
              <w:suppressLineNumbers w:val="0"/>
              <w:adjustRightInd w:val="0"/>
              <w:snapToGrid w:val="0"/>
              <w:spacing w:before="0" w:beforeAutospacing="0" w:after="0" w:afterAutospacing="0" w:line="312" w:lineRule="auto"/>
              <w:ind w:left="22" w:leftChars="10" w:right="22" w:rightChars="10" w:firstLine="420" w:firstLineChars="200"/>
              <w:jc w:val="both"/>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（10）权利义务符合招标文件规定：</w:t>
            </w:r>
          </w:p>
          <w:p w14:paraId="166C3B24">
            <w:pPr>
              <w:keepNext w:val="0"/>
              <w:keepLines w:val="0"/>
              <w:suppressLineNumbers w:val="0"/>
              <w:adjustRightInd w:val="0"/>
              <w:snapToGrid w:val="0"/>
              <w:spacing w:before="0" w:beforeAutospacing="0" w:after="0" w:afterAutospacing="0" w:line="312" w:lineRule="auto"/>
              <w:ind w:left="22" w:leftChars="10" w:right="22" w:rightChars="10" w:firstLine="416" w:firstLineChars="200"/>
              <w:rPr>
                <w:rFonts w:hint="eastAsia" w:ascii="宋体" w:hAnsi="宋体" w:cs="宋体"/>
                <w:color w:val="auto"/>
                <w:spacing w:val="-1"/>
                <w:kern w:val="2"/>
                <w:sz w:val="21"/>
                <w:szCs w:val="21"/>
                <w:highlight w:val="none"/>
                <w:lang w:eastAsia="zh-CN"/>
              </w:rPr>
            </w:pPr>
            <w:r>
              <w:rPr>
                <w:rFonts w:hint="eastAsia" w:ascii="宋体" w:hAnsi="宋体" w:cs="宋体"/>
                <w:color w:val="auto"/>
                <w:spacing w:val="-1"/>
                <w:kern w:val="2"/>
                <w:sz w:val="21"/>
                <w:szCs w:val="21"/>
                <w:highlight w:val="none"/>
                <w:lang w:eastAsia="zh-CN"/>
              </w:rPr>
              <w:t>a.投标人应接受招标文件规定的风险划分原则，未提出新的风险划分办法；</w:t>
            </w:r>
          </w:p>
          <w:p w14:paraId="320D5296">
            <w:pPr>
              <w:keepNext w:val="0"/>
              <w:keepLines w:val="0"/>
              <w:suppressLineNumbers w:val="0"/>
              <w:adjustRightInd w:val="0"/>
              <w:snapToGrid w:val="0"/>
              <w:spacing w:before="0" w:beforeAutospacing="0" w:after="0" w:afterAutospacing="0" w:line="312" w:lineRule="auto"/>
              <w:ind w:left="22" w:leftChars="10" w:right="22" w:rightChars="10" w:firstLine="416" w:firstLineChars="200"/>
              <w:rPr>
                <w:rFonts w:hint="eastAsia" w:ascii="宋体" w:hAnsi="宋体" w:cs="宋体"/>
                <w:color w:val="auto"/>
                <w:spacing w:val="-1"/>
                <w:kern w:val="2"/>
                <w:sz w:val="21"/>
                <w:szCs w:val="21"/>
                <w:highlight w:val="none"/>
                <w:lang w:eastAsia="zh-CN"/>
              </w:rPr>
            </w:pPr>
            <w:r>
              <w:rPr>
                <w:rFonts w:hint="eastAsia" w:ascii="宋体" w:hAnsi="宋体" w:cs="宋体"/>
                <w:color w:val="auto"/>
                <w:spacing w:val="-1"/>
                <w:kern w:val="2"/>
                <w:sz w:val="21"/>
                <w:szCs w:val="21"/>
                <w:highlight w:val="none"/>
                <w:lang w:eastAsia="zh-CN"/>
              </w:rPr>
              <w:t>b.投标人未增加发包人的责任范围，或减少投标人义务；</w:t>
            </w:r>
          </w:p>
          <w:p w14:paraId="41C3A315">
            <w:pPr>
              <w:keepNext w:val="0"/>
              <w:keepLines w:val="0"/>
              <w:suppressLineNumbers w:val="0"/>
              <w:adjustRightInd w:val="0"/>
              <w:snapToGrid w:val="0"/>
              <w:spacing w:before="0" w:beforeAutospacing="0" w:after="0" w:afterAutospacing="0" w:line="312" w:lineRule="auto"/>
              <w:ind w:left="22" w:leftChars="10" w:right="22" w:rightChars="10" w:firstLine="416" w:firstLineChars="200"/>
              <w:rPr>
                <w:rFonts w:hint="eastAsia" w:ascii="宋体" w:hAnsi="宋体" w:cs="宋体"/>
                <w:color w:val="auto"/>
                <w:spacing w:val="-1"/>
                <w:kern w:val="2"/>
                <w:sz w:val="21"/>
                <w:szCs w:val="21"/>
                <w:highlight w:val="none"/>
                <w:lang w:eastAsia="zh-CN"/>
              </w:rPr>
            </w:pPr>
            <w:r>
              <w:rPr>
                <w:rFonts w:hint="eastAsia" w:ascii="宋体" w:hAnsi="宋体" w:cs="宋体"/>
                <w:color w:val="auto"/>
                <w:spacing w:val="-1"/>
                <w:kern w:val="2"/>
                <w:sz w:val="21"/>
                <w:szCs w:val="21"/>
                <w:highlight w:val="none"/>
                <w:lang w:eastAsia="zh-CN"/>
              </w:rPr>
              <w:t>c.投标人未提出不同的支付办法；</w:t>
            </w:r>
          </w:p>
          <w:p w14:paraId="69A708EC">
            <w:pPr>
              <w:keepNext w:val="0"/>
              <w:keepLines w:val="0"/>
              <w:suppressLineNumbers w:val="0"/>
              <w:adjustRightInd w:val="0"/>
              <w:snapToGrid w:val="0"/>
              <w:spacing w:before="0" w:beforeAutospacing="0" w:after="0" w:afterAutospacing="0" w:line="312" w:lineRule="auto"/>
              <w:ind w:left="22" w:leftChars="10" w:right="22" w:rightChars="10" w:firstLine="416" w:firstLineChars="200"/>
              <w:rPr>
                <w:rFonts w:hint="eastAsia" w:ascii="宋体" w:hAnsi="宋体" w:cs="宋体"/>
                <w:color w:val="auto"/>
                <w:spacing w:val="-1"/>
                <w:kern w:val="2"/>
                <w:sz w:val="21"/>
                <w:szCs w:val="21"/>
                <w:highlight w:val="none"/>
                <w:lang w:eastAsia="zh-CN"/>
              </w:rPr>
            </w:pPr>
            <w:r>
              <w:rPr>
                <w:rFonts w:hint="eastAsia" w:ascii="宋体" w:hAnsi="宋体" w:cs="宋体"/>
                <w:color w:val="auto"/>
                <w:spacing w:val="-1"/>
                <w:kern w:val="2"/>
                <w:sz w:val="21"/>
                <w:szCs w:val="21"/>
                <w:highlight w:val="none"/>
                <w:lang w:eastAsia="zh-CN"/>
              </w:rPr>
              <w:t>d.投标人对合同纠纷、事故处理办法未提出异议；</w:t>
            </w:r>
          </w:p>
          <w:p w14:paraId="126B65A6">
            <w:pPr>
              <w:keepNext w:val="0"/>
              <w:keepLines w:val="0"/>
              <w:suppressLineNumbers w:val="0"/>
              <w:adjustRightInd w:val="0"/>
              <w:snapToGrid w:val="0"/>
              <w:spacing w:before="0" w:beforeAutospacing="0" w:after="0" w:afterAutospacing="0" w:line="312" w:lineRule="auto"/>
              <w:ind w:left="22" w:leftChars="10" w:right="22" w:rightChars="10" w:firstLine="416" w:firstLineChars="200"/>
              <w:rPr>
                <w:rFonts w:hint="eastAsia" w:ascii="宋体" w:hAnsi="宋体" w:cs="宋体"/>
                <w:color w:val="auto"/>
                <w:spacing w:val="-1"/>
                <w:kern w:val="2"/>
                <w:sz w:val="21"/>
                <w:szCs w:val="21"/>
                <w:highlight w:val="none"/>
                <w:lang w:eastAsia="zh-CN"/>
              </w:rPr>
            </w:pPr>
            <w:r>
              <w:rPr>
                <w:rFonts w:hint="eastAsia" w:ascii="宋体" w:hAnsi="宋体" w:cs="宋体"/>
                <w:color w:val="auto"/>
                <w:spacing w:val="-1"/>
                <w:kern w:val="2"/>
                <w:sz w:val="21"/>
                <w:szCs w:val="21"/>
                <w:highlight w:val="none"/>
                <w:lang w:eastAsia="zh-CN"/>
              </w:rPr>
              <w:t>e.投标人在投标活动中无欺诈行为；</w:t>
            </w:r>
          </w:p>
          <w:p w14:paraId="6891C0FC">
            <w:pPr>
              <w:keepNext w:val="0"/>
              <w:keepLines w:val="0"/>
              <w:suppressLineNumbers w:val="0"/>
              <w:adjustRightInd w:val="0"/>
              <w:snapToGrid w:val="0"/>
              <w:spacing w:before="0" w:beforeAutospacing="0" w:after="0" w:afterAutospacing="0" w:line="312" w:lineRule="auto"/>
              <w:ind w:left="22" w:leftChars="10" w:right="22" w:rightChars="10" w:firstLine="416" w:firstLineChars="200"/>
              <w:rPr>
                <w:rFonts w:hint="eastAsia" w:ascii="宋体" w:hAnsi="宋体" w:cs="宋体"/>
                <w:color w:val="auto"/>
                <w:spacing w:val="-1"/>
                <w:kern w:val="2"/>
                <w:sz w:val="21"/>
                <w:szCs w:val="21"/>
                <w:highlight w:val="none"/>
                <w:lang w:eastAsia="zh-CN"/>
              </w:rPr>
            </w:pPr>
            <w:r>
              <w:rPr>
                <w:rFonts w:hint="eastAsia" w:ascii="宋体" w:hAnsi="宋体" w:cs="宋体"/>
                <w:color w:val="auto"/>
                <w:spacing w:val="-1"/>
                <w:kern w:val="2"/>
                <w:sz w:val="21"/>
                <w:szCs w:val="21"/>
                <w:highlight w:val="none"/>
                <w:lang w:eastAsia="zh-CN"/>
              </w:rPr>
              <w:t>f.投标人未对合同条款有重要保留。</w:t>
            </w:r>
          </w:p>
          <w:p w14:paraId="43B9AF90">
            <w:pPr>
              <w:keepNext w:val="0"/>
              <w:keepLines w:val="0"/>
              <w:suppressLineNumbers w:val="0"/>
              <w:adjustRightInd w:val="0"/>
              <w:snapToGrid w:val="0"/>
              <w:spacing w:before="0" w:beforeAutospacing="0" w:after="0" w:afterAutospacing="0" w:line="312" w:lineRule="auto"/>
              <w:ind w:left="22" w:leftChars="10" w:right="22" w:rightChars="10" w:firstLine="422" w:firstLineChars="200"/>
              <w:jc w:val="both"/>
              <w:rPr>
                <w:rFonts w:hint="eastAsia" w:ascii="宋体" w:hAnsi="宋体" w:cs="宋体"/>
                <w:b/>
                <w:color w:val="auto"/>
                <w:kern w:val="2"/>
                <w:sz w:val="21"/>
                <w:szCs w:val="21"/>
                <w:highlight w:val="none"/>
                <w:lang w:eastAsia="zh-CN"/>
              </w:rPr>
            </w:pPr>
            <w:r>
              <w:rPr>
                <w:rFonts w:hint="eastAsia" w:ascii="宋体" w:hAnsi="宋体" w:cs="宋体"/>
                <w:b/>
                <w:color w:val="auto"/>
                <w:kern w:val="2"/>
                <w:sz w:val="21"/>
                <w:szCs w:val="21"/>
                <w:highlight w:val="none"/>
                <w:lang w:eastAsia="zh-CN"/>
              </w:rPr>
              <w:t>第二个信封（报价文件）评审标准：</w:t>
            </w:r>
          </w:p>
          <w:p w14:paraId="234CE6B8">
            <w:pPr>
              <w:keepNext w:val="0"/>
              <w:keepLines w:val="0"/>
              <w:suppressLineNumbers w:val="0"/>
              <w:adjustRightInd w:val="0"/>
              <w:snapToGrid w:val="0"/>
              <w:spacing w:before="0" w:beforeAutospacing="0" w:after="0" w:afterAutospacing="0" w:line="312"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（1）投标文件按照招标文件规定的格式、内容填写，字迹清晰可辨，内容齐全完整：</w:t>
            </w:r>
          </w:p>
          <w:p w14:paraId="2BC4CC37">
            <w:pPr>
              <w:keepNext w:val="0"/>
              <w:keepLines w:val="0"/>
              <w:suppressLineNumbers w:val="0"/>
              <w:adjustRightInd w:val="0"/>
              <w:snapToGrid w:val="0"/>
              <w:spacing w:before="0" w:beforeAutospacing="0" w:after="0" w:afterAutospacing="0" w:line="312"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a.投标函按招标文件规定填报了项目名称、补遗书编号（如有）、投标价（包括大写金额和小写金额）；</w:t>
            </w:r>
          </w:p>
          <w:p w14:paraId="7E25355B">
            <w:pPr>
              <w:keepNext w:val="0"/>
              <w:keepLines w:val="0"/>
              <w:suppressLineNumbers w:val="0"/>
              <w:adjustRightInd w:val="0"/>
              <w:snapToGrid w:val="0"/>
              <w:spacing w:before="0" w:beforeAutospacing="0" w:after="0" w:afterAutospacing="0" w:line="312"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b.已标价报价清单说明文字与招标文件规定一致，未进行实质性修改和删减；</w:t>
            </w:r>
          </w:p>
          <w:p w14:paraId="06D5ACD2">
            <w:pPr>
              <w:keepNext w:val="0"/>
              <w:keepLines w:val="0"/>
              <w:suppressLineNumbers w:val="0"/>
              <w:adjustRightInd w:val="0"/>
              <w:snapToGrid w:val="0"/>
              <w:spacing w:before="0" w:beforeAutospacing="0" w:after="0" w:afterAutospacing="0" w:line="312"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c.投标文件组成齐全完整，内容均按规定填写。</w:t>
            </w:r>
          </w:p>
          <w:p w14:paraId="660AD7F3">
            <w:pPr>
              <w:keepNext w:val="0"/>
              <w:keepLines w:val="0"/>
              <w:suppressLineNumbers w:val="0"/>
              <w:adjustRightInd w:val="0"/>
              <w:snapToGrid w:val="0"/>
              <w:spacing w:before="0" w:beforeAutospacing="0" w:after="0" w:afterAutospacing="0" w:line="312"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（2）投标文件上法定代表人或其委托代理人的签字、投标人的单位章盖章齐全，符合招标文件规定。</w:t>
            </w:r>
          </w:p>
          <w:p w14:paraId="352007B0">
            <w:pPr>
              <w:keepNext w:val="0"/>
              <w:keepLines w:val="0"/>
              <w:suppressLineNumbers w:val="0"/>
              <w:adjustRightInd w:val="0"/>
              <w:snapToGrid w:val="0"/>
              <w:spacing w:before="0" w:beforeAutospacing="0" w:after="0" w:afterAutospacing="0" w:line="312"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（3）投标总价未超过招标文件设定的最高投标限价。</w:t>
            </w:r>
          </w:p>
          <w:p w14:paraId="25094428">
            <w:pPr>
              <w:keepNext w:val="0"/>
              <w:keepLines w:val="0"/>
              <w:suppressLineNumbers w:val="0"/>
              <w:adjustRightInd w:val="0"/>
              <w:snapToGrid w:val="0"/>
              <w:spacing w:before="0" w:beforeAutospacing="0" w:after="0" w:afterAutospacing="0" w:line="312"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（4）投标报价的大写金额能够确定具体数值。</w:t>
            </w:r>
          </w:p>
          <w:p w14:paraId="7AC4F945">
            <w:pPr>
              <w:keepNext w:val="0"/>
              <w:keepLines w:val="0"/>
              <w:suppressLineNumbers w:val="0"/>
              <w:adjustRightInd w:val="0"/>
              <w:snapToGrid w:val="0"/>
              <w:spacing w:before="0" w:beforeAutospacing="0" w:after="0" w:afterAutospacing="0" w:line="312" w:lineRule="auto"/>
              <w:ind w:left="22" w:leftChars="10" w:right="22" w:rightChars="10" w:firstLine="420" w:firstLineChars="200"/>
              <w:rPr>
                <w:rFonts w:hint="eastAsia" w:ascii="宋体" w:hAnsi="宋体" w:cs="宋体"/>
                <w:color w:val="auto"/>
                <w:kern w:val="2"/>
                <w:sz w:val="20"/>
                <w:szCs w:val="19"/>
                <w:highlight w:val="none"/>
                <w:lang w:eastAsia="zh-CN"/>
              </w:rPr>
            </w:pPr>
            <w:r>
              <w:rPr>
                <w:rFonts w:hint="eastAsia" w:ascii="宋体" w:hAnsi="宋体" w:cs="宋体"/>
                <w:color w:val="auto"/>
                <w:kern w:val="2"/>
                <w:sz w:val="21"/>
                <w:szCs w:val="21"/>
                <w:highlight w:val="none"/>
                <w:lang w:eastAsia="zh-CN"/>
              </w:rPr>
              <w:t>（5）同一投标人未提交两个以上不同的投标报价，但招标文件要求提交备选投标的除外。</w:t>
            </w:r>
          </w:p>
        </w:tc>
      </w:tr>
      <w:tr w14:paraId="0EC68F76">
        <w:tblPrEx>
          <w:tblCellMar>
            <w:top w:w="0" w:type="dxa"/>
            <w:left w:w="0" w:type="dxa"/>
            <w:bottom w:w="0" w:type="dxa"/>
            <w:right w:w="0" w:type="dxa"/>
          </w:tblCellMar>
        </w:tblPrEx>
        <w:trPr>
          <w:trHeight w:val="4514" w:hRule="atLeast"/>
        </w:trPr>
        <w:tc>
          <w:tcPr>
            <w:tcW w:w="989" w:type="dxa"/>
            <w:tcBorders>
              <w:top w:val="single" w:color="auto" w:sz="4" w:space="0"/>
              <w:left w:val="single" w:color="auto" w:sz="4" w:space="0"/>
              <w:bottom w:val="single" w:color="auto" w:sz="4" w:space="0"/>
              <w:right w:val="single" w:color="auto" w:sz="4" w:space="0"/>
            </w:tcBorders>
            <w:noWrap w:val="0"/>
            <w:vAlign w:val="center"/>
          </w:tcPr>
          <w:p w14:paraId="5707DAD2">
            <w:pPr>
              <w:pStyle w:val="5"/>
              <w:keepNext w:val="0"/>
              <w:keepLines w:val="0"/>
              <w:suppressLineNumbers w:val="0"/>
              <w:adjustRightInd w:val="0"/>
              <w:snapToGrid w:val="0"/>
              <w:spacing w:before="0" w:beforeAutospacing="0" w:after="0" w:afterAutospacing="0" w:line="312" w:lineRule="auto"/>
              <w:ind w:left="0" w:right="0"/>
              <w:jc w:val="center"/>
              <w:rPr>
                <w:rFonts w:hint="eastAsia" w:ascii="宋体" w:hAnsi="宋体" w:cs="宋体"/>
                <w:color w:val="auto"/>
                <w:kern w:val="2"/>
                <w:sz w:val="20"/>
                <w:highlight w:val="none"/>
                <w:lang w:eastAsia="zh-CN"/>
              </w:rPr>
            </w:pPr>
            <w:r>
              <w:rPr>
                <w:rFonts w:hint="eastAsia" w:ascii="宋体" w:hAnsi="宋体" w:cs="宋体"/>
                <w:color w:val="auto"/>
                <w:kern w:val="2"/>
                <w:sz w:val="21"/>
                <w:szCs w:val="24"/>
                <w:highlight w:val="none"/>
              </w:rPr>
              <w:t>2.1.2</w:t>
            </w:r>
          </w:p>
        </w:tc>
        <w:tc>
          <w:tcPr>
            <w:tcW w:w="1279" w:type="dxa"/>
            <w:tcBorders>
              <w:top w:val="single" w:color="auto" w:sz="4" w:space="0"/>
              <w:left w:val="single" w:color="auto" w:sz="4" w:space="0"/>
              <w:bottom w:val="single" w:color="auto" w:sz="4" w:space="0"/>
              <w:right w:val="single" w:color="auto" w:sz="4" w:space="0"/>
            </w:tcBorders>
            <w:noWrap w:val="0"/>
            <w:vAlign w:val="center"/>
          </w:tcPr>
          <w:p w14:paraId="089F63DF">
            <w:pPr>
              <w:pStyle w:val="5"/>
              <w:keepNext w:val="0"/>
              <w:keepLines w:val="0"/>
              <w:suppressLineNumbers w:val="0"/>
              <w:adjustRightInd w:val="0"/>
              <w:snapToGrid w:val="0"/>
              <w:spacing w:before="0" w:beforeAutospacing="0" w:after="0" w:afterAutospacing="0" w:line="312" w:lineRule="auto"/>
              <w:ind w:left="0" w:right="0"/>
              <w:jc w:val="center"/>
              <w:rPr>
                <w:rFonts w:hint="eastAsia" w:ascii="宋体" w:hAnsi="宋体" w:cs="宋体"/>
                <w:color w:val="auto"/>
                <w:kern w:val="2"/>
                <w:sz w:val="20"/>
                <w:highlight w:val="none"/>
                <w:lang w:eastAsia="zh-CN"/>
              </w:rPr>
            </w:pPr>
            <w:r>
              <w:rPr>
                <w:rFonts w:hint="eastAsia" w:ascii="宋体" w:hAnsi="宋体" w:cs="宋体"/>
                <w:color w:val="auto"/>
                <w:kern w:val="2"/>
                <w:sz w:val="21"/>
                <w:szCs w:val="21"/>
                <w:highlight w:val="none"/>
              </w:rPr>
              <w:t>资格评审标 准</w:t>
            </w:r>
          </w:p>
        </w:tc>
        <w:tc>
          <w:tcPr>
            <w:tcW w:w="7199" w:type="dxa"/>
            <w:tcBorders>
              <w:top w:val="single" w:color="auto" w:sz="4" w:space="0"/>
              <w:left w:val="single" w:color="auto" w:sz="4" w:space="0"/>
              <w:bottom w:val="single" w:color="auto" w:sz="4" w:space="0"/>
              <w:right w:val="single" w:color="auto" w:sz="4" w:space="0"/>
            </w:tcBorders>
            <w:noWrap w:val="0"/>
            <w:vAlign w:val="center"/>
          </w:tcPr>
          <w:p w14:paraId="4EBABBE3">
            <w:pPr>
              <w:pStyle w:val="5"/>
              <w:keepNext w:val="0"/>
              <w:keepLines w:val="0"/>
              <w:suppressLineNumbers w:val="0"/>
              <w:adjustRightInd w:val="0"/>
              <w:snapToGrid w:val="0"/>
              <w:spacing w:before="0" w:beforeAutospacing="0" w:after="0" w:afterAutospacing="0" w:line="312" w:lineRule="auto"/>
              <w:ind w:left="0" w:right="0"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lang w:eastAsia="zh-CN"/>
              </w:rPr>
              <w:t>（1）投标人具备有效的营业执照、监理资质证书和基本账户开户许可证（如企业所在地已取消企业银行账户许可而无法提供开户许可证，须附上基本存款账户信息资料或人民银行账户管理系统查询的基本账户信息截图），投标人已录入交通运输部“全国公路建设市场监督管理系统（https://hwdms.mot.gov.cn）”中的公路工程施工监理资质企业名录，且投标人名称和资质与该名录中的相应企业名称和资质完全一致。</w:t>
            </w:r>
          </w:p>
          <w:p w14:paraId="4E942F4F">
            <w:pPr>
              <w:keepNext w:val="0"/>
              <w:keepLines w:val="0"/>
              <w:suppressLineNumbers w:val="0"/>
              <w:adjustRightInd w:val="0"/>
              <w:snapToGrid w:val="0"/>
              <w:spacing w:before="0" w:beforeAutospacing="0" w:after="0" w:afterAutospacing="0" w:line="312" w:lineRule="auto"/>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（2）投标人的资质等级符合招标文件规定。</w:t>
            </w:r>
          </w:p>
          <w:p w14:paraId="2036AF5B">
            <w:pPr>
              <w:pStyle w:val="5"/>
              <w:keepNext w:val="0"/>
              <w:keepLines w:val="0"/>
              <w:suppressLineNumbers w:val="0"/>
              <w:adjustRightInd w:val="0"/>
              <w:snapToGrid w:val="0"/>
              <w:spacing w:before="0" w:beforeAutospacing="0" w:after="0" w:afterAutospacing="0" w:line="312" w:lineRule="auto"/>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（3）投标人的</w:t>
            </w:r>
            <w:r>
              <w:rPr>
                <w:rFonts w:hint="eastAsia" w:ascii="宋体" w:hAnsi="宋体" w:cs="宋体"/>
                <w:color w:val="auto"/>
                <w:kern w:val="2"/>
                <w:sz w:val="21"/>
                <w:szCs w:val="21"/>
                <w:highlight w:val="none"/>
                <w:lang w:val="en-US" w:eastAsia="zh-CN"/>
              </w:rPr>
              <w:t>类似工程</w:t>
            </w:r>
            <w:r>
              <w:rPr>
                <w:rFonts w:hint="eastAsia" w:ascii="宋体" w:hAnsi="宋体" w:cs="宋体"/>
                <w:color w:val="auto"/>
                <w:kern w:val="2"/>
                <w:sz w:val="21"/>
                <w:szCs w:val="21"/>
                <w:highlight w:val="none"/>
                <w:lang w:eastAsia="zh-CN"/>
              </w:rPr>
              <w:t>业绩符合招标文件规定。</w:t>
            </w:r>
          </w:p>
          <w:p w14:paraId="39BF2320">
            <w:pPr>
              <w:pStyle w:val="5"/>
              <w:keepNext w:val="0"/>
              <w:keepLines w:val="0"/>
              <w:suppressLineNumbers w:val="0"/>
              <w:adjustRightInd w:val="0"/>
              <w:snapToGrid w:val="0"/>
              <w:spacing w:before="0" w:beforeAutospacing="0" w:after="0" w:afterAutospacing="0" w:line="312" w:lineRule="auto"/>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（4）投标人的信誉符合招标文件规定。</w:t>
            </w:r>
          </w:p>
          <w:p w14:paraId="0E968434">
            <w:pPr>
              <w:pStyle w:val="5"/>
              <w:keepNext w:val="0"/>
              <w:keepLines w:val="0"/>
              <w:suppressLineNumbers w:val="0"/>
              <w:adjustRightInd w:val="0"/>
              <w:snapToGrid w:val="0"/>
              <w:spacing w:before="0" w:beforeAutospacing="0" w:after="0" w:afterAutospacing="0" w:line="312" w:lineRule="auto"/>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（5）</w:t>
            </w:r>
            <w:r>
              <w:rPr>
                <w:rFonts w:hint="eastAsia" w:ascii="宋体" w:hAnsi="宋体" w:cs="宋体"/>
                <w:b w:val="0"/>
                <w:bCs w:val="0"/>
                <w:color w:val="auto"/>
                <w:kern w:val="2"/>
                <w:sz w:val="21"/>
                <w:szCs w:val="21"/>
                <w:highlight w:val="none"/>
                <w:lang w:eastAsia="zh-CN"/>
              </w:rPr>
              <w:t>投标人的总监理工程师（</w:t>
            </w:r>
            <w:r>
              <w:rPr>
                <w:rFonts w:hint="eastAsia" w:ascii="宋体" w:hAnsi="宋体" w:cs="宋体"/>
                <w:b w:val="0"/>
                <w:bCs w:val="0"/>
                <w:color w:val="auto"/>
                <w:kern w:val="2"/>
                <w:sz w:val="21"/>
                <w:szCs w:val="21"/>
                <w:highlight w:val="none"/>
                <w:lang w:val="en-US" w:eastAsia="zh-CN"/>
              </w:rPr>
              <w:t>含备选</w:t>
            </w:r>
            <w:r>
              <w:rPr>
                <w:rFonts w:hint="eastAsia" w:ascii="宋体" w:hAnsi="宋体" w:cs="宋体"/>
                <w:b w:val="0"/>
                <w:bCs w:val="0"/>
                <w:color w:val="auto"/>
                <w:kern w:val="2"/>
                <w:sz w:val="21"/>
                <w:szCs w:val="21"/>
                <w:highlight w:val="none"/>
                <w:lang w:eastAsia="zh-CN"/>
              </w:rPr>
              <w:t>）资格、在岗情况符合招标文件规定，并按规定在投标文件中签字确认。</w:t>
            </w:r>
          </w:p>
          <w:p w14:paraId="1E152429">
            <w:pPr>
              <w:pStyle w:val="5"/>
              <w:keepNext w:val="0"/>
              <w:keepLines w:val="0"/>
              <w:suppressLineNumbers w:val="0"/>
              <w:adjustRightInd w:val="0"/>
              <w:snapToGrid w:val="0"/>
              <w:spacing w:before="0" w:beforeAutospacing="0" w:after="0" w:afterAutospacing="0" w:line="312" w:lineRule="auto"/>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spacing w:val="0"/>
                <w:kern w:val="2"/>
                <w:position w:val="0"/>
                <w:sz w:val="21"/>
                <w:szCs w:val="21"/>
                <w:highlight w:val="none"/>
                <w:lang w:eastAsia="zh-CN"/>
              </w:rPr>
              <w:t>（6）投标人的其他要求符合招标文件规定。</w:t>
            </w:r>
          </w:p>
          <w:p w14:paraId="74B777E9">
            <w:pPr>
              <w:pStyle w:val="5"/>
              <w:keepNext w:val="0"/>
              <w:keepLines w:val="0"/>
              <w:suppressLineNumbers w:val="0"/>
              <w:adjustRightInd w:val="0"/>
              <w:snapToGrid w:val="0"/>
              <w:spacing w:before="0" w:beforeAutospacing="0" w:after="0" w:afterAutospacing="0" w:line="312" w:lineRule="auto"/>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7</w:t>
            </w:r>
            <w:r>
              <w:rPr>
                <w:rFonts w:hint="eastAsia" w:ascii="宋体" w:hAnsi="宋体" w:cs="宋体"/>
                <w:color w:val="auto"/>
                <w:kern w:val="2"/>
                <w:sz w:val="21"/>
                <w:szCs w:val="21"/>
                <w:highlight w:val="none"/>
                <w:lang w:eastAsia="zh-CN"/>
              </w:rPr>
              <w:t>）投标人不存在第二章“投标人须知”第 1.4.3 项或第 1.4.4 项规定的任何一种情形。</w:t>
            </w:r>
          </w:p>
          <w:p w14:paraId="6A1B01A6">
            <w:pPr>
              <w:pStyle w:val="5"/>
              <w:keepNext w:val="0"/>
              <w:keepLines w:val="0"/>
              <w:suppressLineNumbers w:val="0"/>
              <w:adjustRightInd w:val="0"/>
              <w:snapToGrid w:val="0"/>
              <w:spacing w:before="11" w:beforeAutospacing="0" w:after="0" w:afterAutospacing="0" w:line="312" w:lineRule="auto"/>
              <w:ind w:left="22" w:leftChars="10" w:right="22" w:rightChars="10" w:firstLine="420" w:firstLineChars="200"/>
              <w:jc w:val="both"/>
              <w:rPr>
                <w:rFonts w:hint="eastAsia" w:ascii="宋体" w:hAnsi="宋体" w:cs="宋体"/>
                <w:color w:val="auto"/>
                <w:kern w:val="2"/>
                <w:sz w:val="20"/>
                <w:szCs w:val="25"/>
                <w:highlight w:val="none"/>
                <w:lang w:eastAsia="zh-CN"/>
              </w:rPr>
            </w:pP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8</w:t>
            </w:r>
            <w:r>
              <w:rPr>
                <w:rFonts w:hint="eastAsia" w:ascii="宋体" w:hAnsi="宋体" w:cs="宋体"/>
                <w:color w:val="auto"/>
                <w:kern w:val="2"/>
                <w:sz w:val="21"/>
                <w:szCs w:val="21"/>
                <w:highlight w:val="none"/>
                <w:lang w:eastAsia="zh-CN"/>
              </w:rPr>
              <w:t>）投标人符合第二章“投标人须知”第 1.4.5 项规定。</w:t>
            </w:r>
          </w:p>
        </w:tc>
      </w:tr>
    </w:tbl>
    <w:p w14:paraId="13D51678">
      <w:pPr>
        <w:spacing w:before="7"/>
        <w:rPr>
          <w:rFonts w:hint="eastAsia" w:ascii="宋体" w:hAnsi="宋体" w:cs="宋体"/>
          <w:color w:val="auto"/>
          <w:sz w:val="2"/>
          <w:szCs w:val="2"/>
          <w:highlight w:val="none"/>
          <w:lang w:eastAsia="zh-CN"/>
        </w:rPr>
      </w:pPr>
    </w:p>
    <w:p w14:paraId="0FBF4BCB">
      <w:pPr>
        <w:rPr>
          <w:rFonts w:hint="eastAsia" w:ascii="宋体" w:hAnsi="宋体" w:cs="宋体"/>
          <w:color w:val="auto"/>
          <w:sz w:val="28"/>
          <w:szCs w:val="28"/>
          <w:highlight w:val="none"/>
          <w:lang w:eastAsia="zh-CN"/>
        </w:rPr>
        <w:sectPr>
          <w:footerReference r:id="rId3" w:type="default"/>
          <w:pgSz w:w="11910" w:h="16840"/>
          <w:pgMar w:top="1440" w:right="1080" w:bottom="1440" w:left="1080" w:header="889" w:footer="1065" w:gutter="0"/>
          <w:cols w:space="720" w:num="1"/>
          <w:rtlGutter w:val="1"/>
        </w:sectPr>
      </w:pPr>
    </w:p>
    <w:tbl>
      <w:tblPr>
        <w:tblStyle w:val="3"/>
        <w:tblW w:w="0" w:type="auto"/>
        <w:tblInd w:w="108" w:type="dxa"/>
        <w:tblLayout w:type="fixed"/>
        <w:tblCellMar>
          <w:top w:w="0" w:type="dxa"/>
          <w:left w:w="0" w:type="dxa"/>
          <w:bottom w:w="0" w:type="dxa"/>
          <w:right w:w="0" w:type="dxa"/>
        </w:tblCellMar>
      </w:tblPr>
      <w:tblGrid>
        <w:gridCol w:w="989"/>
        <w:gridCol w:w="1279"/>
        <w:gridCol w:w="7076"/>
      </w:tblGrid>
      <w:tr w14:paraId="4669EEDD">
        <w:tblPrEx>
          <w:tblCellMar>
            <w:top w:w="0" w:type="dxa"/>
            <w:left w:w="0" w:type="dxa"/>
            <w:bottom w:w="0" w:type="dxa"/>
            <w:right w:w="0" w:type="dxa"/>
          </w:tblCellMar>
        </w:tblPrEx>
        <w:trPr>
          <w:trHeight w:val="23" w:hRule="atLeast"/>
        </w:trPr>
        <w:tc>
          <w:tcPr>
            <w:tcW w:w="989" w:type="dxa"/>
            <w:tcBorders>
              <w:top w:val="single" w:color="000000" w:sz="4" w:space="0"/>
              <w:left w:val="single" w:color="000000" w:sz="4" w:space="0"/>
              <w:bottom w:val="single" w:color="000000" w:sz="4" w:space="0"/>
              <w:right w:val="single" w:color="000000" w:sz="4" w:space="0"/>
            </w:tcBorders>
            <w:noWrap w:val="0"/>
            <w:vAlign w:val="top"/>
          </w:tcPr>
          <w:p w14:paraId="6116F954">
            <w:pPr>
              <w:pStyle w:val="5"/>
              <w:keepNext w:val="0"/>
              <w:keepLines w:val="0"/>
              <w:suppressLineNumbers w:val="0"/>
              <w:adjustRightInd w:val="0"/>
              <w:snapToGrid w:val="0"/>
              <w:spacing w:before="0" w:beforeAutospacing="0" w:after="0" w:afterAutospacing="0" w:line="336" w:lineRule="auto"/>
              <w:ind w:left="22" w:leftChars="10" w:right="22" w:rightChars="10"/>
              <w:jc w:val="center"/>
              <w:rPr>
                <w:rFonts w:hint="eastAsia" w:ascii="宋体" w:hAnsi="宋体" w:cs="宋体"/>
                <w:color w:val="auto"/>
                <w:kern w:val="2"/>
                <w:sz w:val="21"/>
                <w:szCs w:val="21"/>
                <w:highlight w:val="none"/>
              </w:rPr>
            </w:pPr>
            <w:r>
              <w:rPr>
                <w:rFonts w:hint="eastAsia" w:ascii="宋体" w:hAnsi="宋体" w:cs="宋体"/>
                <w:b/>
                <w:bCs/>
                <w:color w:val="auto"/>
                <w:kern w:val="2"/>
                <w:sz w:val="21"/>
                <w:szCs w:val="21"/>
                <w:highlight w:val="none"/>
              </w:rPr>
              <w:t>条款号</w:t>
            </w:r>
          </w:p>
        </w:tc>
        <w:tc>
          <w:tcPr>
            <w:tcW w:w="1279" w:type="dxa"/>
            <w:tcBorders>
              <w:top w:val="single" w:color="000000" w:sz="4" w:space="0"/>
              <w:left w:val="single" w:color="000000" w:sz="4" w:space="0"/>
              <w:bottom w:val="single" w:color="000000" w:sz="4" w:space="0"/>
              <w:right w:val="single" w:color="000000" w:sz="4" w:space="0"/>
            </w:tcBorders>
            <w:noWrap w:val="0"/>
            <w:vAlign w:val="top"/>
          </w:tcPr>
          <w:p w14:paraId="050902A3">
            <w:pPr>
              <w:pStyle w:val="5"/>
              <w:keepNext w:val="0"/>
              <w:keepLines w:val="0"/>
              <w:suppressLineNumbers w:val="0"/>
              <w:adjustRightInd w:val="0"/>
              <w:snapToGrid w:val="0"/>
              <w:spacing w:before="0" w:beforeAutospacing="0" w:after="0" w:afterAutospacing="0" w:line="336" w:lineRule="auto"/>
              <w:ind w:left="22" w:leftChars="10" w:right="22" w:rightChars="10"/>
              <w:rPr>
                <w:rFonts w:hint="eastAsia" w:ascii="宋体" w:hAnsi="宋体" w:cs="宋体"/>
                <w:color w:val="auto"/>
                <w:kern w:val="2"/>
                <w:sz w:val="21"/>
                <w:szCs w:val="21"/>
                <w:highlight w:val="none"/>
              </w:rPr>
            </w:pPr>
            <w:r>
              <w:rPr>
                <w:rFonts w:hint="eastAsia" w:ascii="宋体" w:hAnsi="宋体" w:cs="宋体"/>
                <w:b/>
                <w:bCs/>
                <w:color w:val="auto"/>
                <w:kern w:val="2"/>
                <w:sz w:val="21"/>
                <w:szCs w:val="21"/>
                <w:highlight w:val="none"/>
              </w:rPr>
              <w:t>条款内容</w:t>
            </w:r>
          </w:p>
        </w:tc>
        <w:tc>
          <w:tcPr>
            <w:tcW w:w="7076" w:type="dxa"/>
            <w:tcBorders>
              <w:top w:val="single" w:color="000000" w:sz="4" w:space="0"/>
              <w:left w:val="single" w:color="000000" w:sz="4" w:space="0"/>
              <w:bottom w:val="single" w:color="000000" w:sz="4" w:space="0"/>
              <w:right w:val="single" w:color="000000" w:sz="4" w:space="0"/>
            </w:tcBorders>
            <w:noWrap w:val="0"/>
            <w:vAlign w:val="top"/>
          </w:tcPr>
          <w:p w14:paraId="060EC41E">
            <w:pPr>
              <w:pStyle w:val="5"/>
              <w:keepNext w:val="0"/>
              <w:keepLines w:val="0"/>
              <w:suppressLineNumbers w:val="0"/>
              <w:adjustRightInd w:val="0"/>
              <w:snapToGrid w:val="0"/>
              <w:spacing w:before="0" w:beforeAutospacing="0" w:after="0" w:afterAutospacing="0" w:line="336" w:lineRule="auto"/>
              <w:ind w:left="22" w:leftChars="10" w:right="22" w:rightChars="10"/>
              <w:jc w:val="center"/>
              <w:rPr>
                <w:rFonts w:hint="eastAsia" w:ascii="宋体" w:hAnsi="宋体" w:cs="宋体"/>
                <w:color w:val="auto"/>
                <w:kern w:val="2"/>
                <w:sz w:val="21"/>
                <w:szCs w:val="21"/>
                <w:highlight w:val="none"/>
              </w:rPr>
            </w:pPr>
            <w:r>
              <w:rPr>
                <w:rFonts w:hint="eastAsia" w:ascii="宋体" w:hAnsi="宋体" w:cs="宋体"/>
                <w:b/>
                <w:bCs/>
                <w:color w:val="auto"/>
                <w:kern w:val="2"/>
                <w:sz w:val="21"/>
                <w:szCs w:val="21"/>
                <w:highlight w:val="none"/>
              </w:rPr>
              <w:t>编列内容</w:t>
            </w:r>
          </w:p>
        </w:tc>
      </w:tr>
      <w:tr w14:paraId="0FF9DDC9">
        <w:tblPrEx>
          <w:tblCellMar>
            <w:top w:w="0" w:type="dxa"/>
            <w:left w:w="0" w:type="dxa"/>
            <w:bottom w:w="0" w:type="dxa"/>
            <w:right w:w="0" w:type="dxa"/>
          </w:tblCellMar>
        </w:tblPrEx>
        <w:trPr>
          <w:trHeight w:val="2865"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7612BA71">
            <w:pPr>
              <w:pStyle w:val="5"/>
              <w:keepNext w:val="0"/>
              <w:keepLines w:val="0"/>
              <w:suppressLineNumbers w:val="0"/>
              <w:adjustRightInd w:val="0"/>
              <w:snapToGrid w:val="0"/>
              <w:spacing w:before="0" w:beforeAutospacing="0" w:after="0" w:afterAutospacing="0" w:line="336" w:lineRule="auto"/>
              <w:ind w:left="22" w:leftChars="10" w:right="22" w:rightChars="10"/>
              <w:jc w:val="center"/>
              <w:rPr>
                <w:rFonts w:hint="eastAsia" w:ascii="宋体" w:hAnsi="宋体" w:cs="宋体"/>
                <w:color w:val="auto"/>
                <w:kern w:val="2"/>
                <w:sz w:val="21"/>
                <w:szCs w:val="21"/>
                <w:highlight w:val="none"/>
              </w:rPr>
            </w:pPr>
            <w:r>
              <w:rPr>
                <w:rFonts w:hint="eastAsia" w:ascii="宋体" w:hAnsi="宋体" w:cs="宋体"/>
                <w:color w:val="auto"/>
                <w:kern w:val="2"/>
                <w:sz w:val="21"/>
                <w:highlight w:val="none"/>
              </w:rPr>
              <w:t>2.2.1</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C10DA00">
            <w:pPr>
              <w:pStyle w:val="5"/>
              <w:keepNext w:val="0"/>
              <w:keepLines w:val="0"/>
              <w:suppressLineNumbers w:val="0"/>
              <w:adjustRightInd w:val="0"/>
              <w:snapToGrid w:val="0"/>
              <w:spacing w:before="0" w:beforeAutospacing="0" w:after="0" w:afterAutospacing="0" w:line="336" w:lineRule="auto"/>
              <w:ind w:left="22" w:leftChars="10" w:right="22" w:rightChars="10"/>
              <w:jc w:val="center"/>
              <w:rPr>
                <w:rFonts w:hint="eastAsia" w:ascii="宋体" w:hAnsi="宋体" w:cs="宋体"/>
                <w:color w:val="auto"/>
                <w:kern w:val="2"/>
                <w:sz w:val="11"/>
                <w:szCs w:val="11"/>
                <w:highlight w:val="none"/>
                <w:lang w:eastAsia="zh-CN"/>
              </w:rPr>
            </w:pPr>
            <w:r>
              <w:rPr>
                <w:rFonts w:hint="eastAsia" w:ascii="宋体" w:hAnsi="宋体" w:cs="宋体"/>
                <w:color w:val="auto"/>
                <w:kern w:val="2"/>
                <w:sz w:val="21"/>
                <w:szCs w:val="21"/>
                <w:highlight w:val="none"/>
                <w:lang w:eastAsia="zh-CN"/>
              </w:rPr>
              <w:t>分值构成</w:t>
            </w:r>
          </w:p>
          <w:p w14:paraId="3AA9F94B">
            <w:pPr>
              <w:pStyle w:val="5"/>
              <w:keepNext w:val="0"/>
              <w:keepLines w:val="0"/>
              <w:suppressLineNumbers w:val="0"/>
              <w:adjustRightInd w:val="0"/>
              <w:snapToGrid w:val="0"/>
              <w:spacing w:before="0" w:beforeAutospacing="0" w:after="0" w:afterAutospacing="0" w:line="336" w:lineRule="auto"/>
              <w:ind w:left="22" w:leftChars="10" w:right="22" w:rightChars="1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（总分</w:t>
            </w:r>
            <w:r>
              <w:rPr>
                <w:rFonts w:hint="eastAsia" w:ascii="宋体" w:hAnsi="宋体" w:cs="宋体"/>
                <w:color w:val="auto"/>
                <w:spacing w:val="-51"/>
                <w:kern w:val="2"/>
                <w:sz w:val="21"/>
                <w:szCs w:val="21"/>
                <w:highlight w:val="none"/>
                <w:lang w:eastAsia="zh-CN"/>
              </w:rPr>
              <w:t xml:space="preserve"> </w:t>
            </w:r>
            <w:r>
              <w:rPr>
                <w:rFonts w:hint="eastAsia" w:ascii="宋体" w:hAnsi="宋体" w:cs="宋体"/>
                <w:color w:val="auto"/>
                <w:kern w:val="2"/>
                <w:sz w:val="21"/>
                <w:szCs w:val="21"/>
                <w:highlight w:val="none"/>
                <w:lang w:eastAsia="zh-CN"/>
              </w:rPr>
              <w:t>100</w:t>
            </w:r>
          </w:p>
          <w:p w14:paraId="7E6D5500">
            <w:pPr>
              <w:pStyle w:val="5"/>
              <w:keepNext w:val="0"/>
              <w:keepLines w:val="0"/>
              <w:suppressLineNumbers w:val="0"/>
              <w:adjustRightInd w:val="0"/>
              <w:snapToGrid w:val="0"/>
              <w:spacing w:before="0" w:beforeAutospacing="0" w:after="0" w:afterAutospacing="0" w:line="336" w:lineRule="auto"/>
              <w:ind w:left="22" w:leftChars="10" w:right="22" w:rightChars="1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分）</w:t>
            </w:r>
          </w:p>
        </w:tc>
        <w:tc>
          <w:tcPr>
            <w:tcW w:w="7076" w:type="dxa"/>
            <w:tcBorders>
              <w:top w:val="single" w:color="000000" w:sz="4" w:space="0"/>
              <w:left w:val="single" w:color="000000" w:sz="4" w:space="0"/>
              <w:bottom w:val="single" w:color="000000" w:sz="4" w:space="0"/>
              <w:right w:val="single" w:color="000000" w:sz="4" w:space="0"/>
            </w:tcBorders>
            <w:noWrap w:val="0"/>
            <w:vAlign w:val="top"/>
          </w:tcPr>
          <w:p w14:paraId="53A46994">
            <w:pPr>
              <w:pStyle w:val="5"/>
              <w:keepNext w:val="0"/>
              <w:keepLines w:val="0"/>
              <w:suppressLineNumbers w:val="0"/>
              <w:tabs>
                <w:tab w:val="left" w:pos="2630"/>
              </w:tabs>
              <w:adjustRightInd w:val="0"/>
              <w:snapToGrid w:val="0"/>
              <w:spacing w:before="0" w:beforeAutospacing="0" w:after="0" w:afterAutospacing="0" w:line="336" w:lineRule="auto"/>
              <w:ind w:left="0" w:right="22" w:rightChars="10"/>
              <w:rPr>
                <w:rFonts w:hint="eastAsia" w:ascii="宋体" w:hAnsi="宋体" w:cs="宋体"/>
                <w:b/>
                <w:bCs/>
                <w:color w:val="auto"/>
                <w:kern w:val="2"/>
                <w:sz w:val="21"/>
                <w:szCs w:val="21"/>
                <w:highlight w:val="none"/>
                <w:lang w:eastAsia="zh-CN"/>
              </w:rPr>
            </w:pPr>
            <w:r>
              <w:rPr>
                <w:rFonts w:hint="eastAsia" w:ascii="宋体" w:hAnsi="宋体" w:cs="宋体"/>
                <w:b/>
                <w:bCs/>
                <w:color w:val="auto"/>
                <w:spacing w:val="-1"/>
                <w:kern w:val="2"/>
                <w:sz w:val="21"/>
                <w:szCs w:val="21"/>
                <w:highlight w:val="none"/>
                <w:lang w:eastAsia="zh-CN"/>
              </w:rPr>
              <w:t>第一个信封（商务及技术文件）评分分值构成：</w:t>
            </w:r>
            <w:r>
              <w:rPr>
                <w:rFonts w:hint="eastAsia" w:ascii="宋体" w:hAnsi="宋体" w:cs="宋体"/>
                <w:b/>
                <w:bCs/>
                <w:color w:val="auto"/>
                <w:kern w:val="2"/>
                <w:sz w:val="21"/>
                <w:szCs w:val="21"/>
                <w:highlight w:val="none"/>
                <w:lang w:eastAsia="zh-CN"/>
              </w:rPr>
              <w:t xml:space="preserve"> </w:t>
            </w:r>
          </w:p>
          <w:p w14:paraId="08BE585B">
            <w:pPr>
              <w:pStyle w:val="5"/>
              <w:keepNext w:val="0"/>
              <w:keepLines w:val="0"/>
              <w:suppressLineNumbers w:val="0"/>
              <w:tabs>
                <w:tab w:val="left" w:pos="2630"/>
              </w:tabs>
              <w:adjustRightInd w:val="0"/>
              <w:snapToGrid w:val="0"/>
              <w:spacing w:before="0" w:beforeAutospacing="0" w:after="0" w:afterAutospacing="0" w:line="336" w:lineRule="auto"/>
              <w:ind w:left="22" w:leftChars="10" w:right="22" w:rightChars="10" w:firstLine="412" w:firstLineChars="200"/>
              <w:rPr>
                <w:rFonts w:hint="eastAsia" w:ascii="宋体" w:hAnsi="宋体" w:cs="宋体"/>
                <w:color w:val="auto"/>
                <w:kern w:val="2"/>
                <w:sz w:val="21"/>
                <w:szCs w:val="21"/>
                <w:highlight w:val="none"/>
                <w:lang w:eastAsia="zh-CN"/>
              </w:rPr>
            </w:pPr>
            <w:r>
              <w:rPr>
                <w:rFonts w:hint="eastAsia" w:ascii="宋体" w:hAnsi="宋体" w:cs="宋体"/>
                <w:color w:val="auto"/>
                <w:spacing w:val="-2"/>
                <w:kern w:val="2"/>
                <w:sz w:val="21"/>
                <w:szCs w:val="21"/>
                <w:highlight w:val="none"/>
                <w:lang w:eastAsia="zh-CN"/>
              </w:rPr>
              <w:t>技术建议书：</w:t>
            </w:r>
            <w:r>
              <w:rPr>
                <w:rFonts w:hint="eastAsia" w:ascii="宋体" w:hAnsi="宋体" w:cs="宋体"/>
                <w:color w:val="auto"/>
                <w:spacing w:val="-2"/>
                <w:kern w:val="2"/>
                <w:sz w:val="21"/>
                <w:szCs w:val="21"/>
                <w:highlight w:val="none"/>
                <w:u w:val="single" w:color="000000"/>
                <w:lang w:eastAsia="zh-CN"/>
              </w:rPr>
              <w:t>30</w:t>
            </w:r>
            <w:r>
              <w:rPr>
                <w:rFonts w:hint="eastAsia" w:ascii="宋体" w:hAnsi="宋体" w:cs="宋体"/>
                <w:color w:val="auto"/>
                <w:kern w:val="2"/>
                <w:sz w:val="21"/>
                <w:szCs w:val="21"/>
                <w:highlight w:val="none"/>
                <w:lang w:eastAsia="zh-CN"/>
              </w:rPr>
              <w:t>分</w:t>
            </w:r>
          </w:p>
          <w:p w14:paraId="715E3EDA">
            <w:pPr>
              <w:pStyle w:val="5"/>
              <w:keepNext w:val="0"/>
              <w:keepLines w:val="0"/>
              <w:suppressLineNumbers w:val="0"/>
              <w:tabs>
                <w:tab w:val="left" w:pos="2630"/>
              </w:tabs>
              <w:adjustRightInd w:val="0"/>
              <w:snapToGrid w:val="0"/>
              <w:spacing w:before="0" w:beforeAutospacing="0" w:after="0" w:afterAutospacing="0" w:line="336" w:lineRule="auto"/>
              <w:ind w:left="22" w:leftChars="10" w:right="22" w:rightChars="10" w:firstLine="412" w:firstLineChars="200"/>
              <w:rPr>
                <w:rFonts w:hint="eastAsia" w:ascii="宋体" w:hAnsi="宋体" w:cs="宋体"/>
                <w:color w:val="auto"/>
                <w:kern w:val="2"/>
                <w:sz w:val="21"/>
                <w:szCs w:val="21"/>
                <w:highlight w:val="none"/>
                <w:lang w:eastAsia="zh-CN"/>
              </w:rPr>
            </w:pPr>
            <w:r>
              <w:rPr>
                <w:rFonts w:hint="eastAsia" w:ascii="宋体" w:hAnsi="宋体" w:cs="宋体"/>
                <w:color w:val="auto"/>
                <w:spacing w:val="-2"/>
                <w:kern w:val="2"/>
                <w:sz w:val="21"/>
                <w:szCs w:val="21"/>
                <w:highlight w:val="none"/>
                <w:lang w:eastAsia="zh-CN"/>
              </w:rPr>
              <w:t>主要人员：</w:t>
            </w:r>
            <w:r>
              <w:rPr>
                <w:rFonts w:hint="eastAsia" w:ascii="宋体" w:hAnsi="宋体" w:cs="宋体"/>
                <w:color w:val="auto"/>
                <w:spacing w:val="-2"/>
                <w:kern w:val="2"/>
                <w:sz w:val="21"/>
                <w:szCs w:val="21"/>
                <w:highlight w:val="none"/>
                <w:u w:val="single" w:color="000000"/>
                <w:lang w:eastAsia="zh-CN"/>
              </w:rPr>
              <w:t>25</w:t>
            </w:r>
            <w:r>
              <w:rPr>
                <w:rFonts w:hint="eastAsia" w:ascii="宋体" w:hAnsi="宋体" w:cs="宋体"/>
                <w:color w:val="auto"/>
                <w:kern w:val="2"/>
                <w:sz w:val="21"/>
                <w:szCs w:val="21"/>
                <w:highlight w:val="none"/>
                <w:lang w:eastAsia="zh-CN"/>
              </w:rPr>
              <w:t xml:space="preserve">分 </w:t>
            </w:r>
          </w:p>
          <w:p w14:paraId="5CD08939">
            <w:pPr>
              <w:pStyle w:val="5"/>
              <w:keepNext w:val="0"/>
              <w:keepLines w:val="0"/>
              <w:suppressLineNumbers w:val="0"/>
              <w:tabs>
                <w:tab w:val="left" w:pos="2630"/>
              </w:tabs>
              <w:adjustRightInd w:val="0"/>
              <w:snapToGrid w:val="0"/>
              <w:spacing w:before="0" w:beforeAutospacing="0" w:after="0" w:afterAutospacing="0" w:line="336" w:lineRule="auto"/>
              <w:ind w:left="22" w:leftChars="10" w:right="22" w:rightChars="10" w:firstLine="420" w:firstLineChars="20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技术能力：</w:t>
            </w:r>
            <w:r>
              <w:rPr>
                <w:rFonts w:hint="eastAsia" w:ascii="宋体" w:hAnsi="宋体" w:cs="宋体"/>
                <w:color w:val="auto"/>
                <w:kern w:val="2"/>
                <w:sz w:val="21"/>
                <w:szCs w:val="21"/>
                <w:highlight w:val="none"/>
                <w:u w:val="single"/>
                <w:lang w:eastAsia="zh-CN"/>
              </w:rPr>
              <w:t>0</w:t>
            </w:r>
            <w:r>
              <w:rPr>
                <w:rFonts w:hint="eastAsia" w:ascii="宋体" w:hAnsi="宋体" w:cs="宋体"/>
                <w:color w:val="auto"/>
                <w:kern w:val="2"/>
                <w:sz w:val="21"/>
                <w:szCs w:val="21"/>
                <w:highlight w:val="none"/>
                <w:lang w:eastAsia="zh-CN"/>
              </w:rPr>
              <w:t xml:space="preserve">分 </w:t>
            </w:r>
          </w:p>
          <w:p w14:paraId="6E5420D0">
            <w:pPr>
              <w:pStyle w:val="5"/>
              <w:keepNext w:val="0"/>
              <w:keepLines w:val="0"/>
              <w:suppressLineNumbers w:val="0"/>
              <w:tabs>
                <w:tab w:val="left" w:pos="2630"/>
              </w:tabs>
              <w:adjustRightInd w:val="0"/>
              <w:snapToGrid w:val="0"/>
              <w:spacing w:before="0" w:beforeAutospacing="0" w:after="0" w:afterAutospacing="0" w:line="336" w:lineRule="auto"/>
              <w:ind w:left="22" w:leftChars="10" w:right="22" w:rightChars="10" w:firstLine="416" w:firstLineChars="200"/>
              <w:rPr>
                <w:rFonts w:hint="eastAsia" w:ascii="宋体" w:hAnsi="宋体" w:cs="宋体"/>
                <w:color w:val="auto"/>
                <w:kern w:val="2"/>
                <w:sz w:val="21"/>
                <w:szCs w:val="21"/>
                <w:highlight w:val="none"/>
                <w:lang w:eastAsia="zh-CN"/>
              </w:rPr>
            </w:pPr>
            <w:r>
              <w:rPr>
                <w:rFonts w:hint="eastAsia" w:ascii="宋体" w:hAnsi="宋体" w:cs="宋体"/>
                <w:color w:val="auto"/>
                <w:spacing w:val="-1"/>
                <w:kern w:val="2"/>
                <w:sz w:val="21"/>
                <w:szCs w:val="21"/>
                <w:highlight w:val="none"/>
                <w:lang w:eastAsia="zh-CN"/>
              </w:rPr>
              <w:t>业绩：</w:t>
            </w:r>
            <w:r>
              <w:rPr>
                <w:rFonts w:hint="eastAsia" w:ascii="宋体" w:hAnsi="宋体" w:cs="宋体"/>
                <w:color w:val="auto"/>
                <w:spacing w:val="-1"/>
                <w:kern w:val="2"/>
                <w:sz w:val="21"/>
                <w:szCs w:val="21"/>
                <w:highlight w:val="none"/>
                <w:u w:val="single" w:color="000000"/>
                <w:lang w:eastAsia="zh-CN"/>
              </w:rPr>
              <w:t>25</w:t>
            </w:r>
            <w:r>
              <w:rPr>
                <w:rFonts w:hint="eastAsia" w:ascii="宋体" w:hAnsi="宋体" w:cs="宋体"/>
                <w:color w:val="auto"/>
                <w:kern w:val="2"/>
                <w:sz w:val="21"/>
                <w:szCs w:val="21"/>
                <w:highlight w:val="none"/>
                <w:lang w:eastAsia="zh-CN"/>
              </w:rPr>
              <w:t xml:space="preserve">分 </w:t>
            </w:r>
          </w:p>
          <w:p w14:paraId="57FE7F03">
            <w:pPr>
              <w:pStyle w:val="5"/>
              <w:keepNext w:val="0"/>
              <w:keepLines w:val="0"/>
              <w:suppressLineNumbers w:val="0"/>
              <w:tabs>
                <w:tab w:val="left" w:pos="2630"/>
              </w:tabs>
              <w:adjustRightInd w:val="0"/>
              <w:snapToGrid w:val="0"/>
              <w:spacing w:before="0" w:beforeAutospacing="0" w:after="0" w:afterAutospacing="0" w:line="336" w:lineRule="auto"/>
              <w:ind w:left="22" w:leftChars="10" w:right="22" w:rightChars="10" w:firstLine="412" w:firstLineChars="200"/>
              <w:rPr>
                <w:rFonts w:hint="eastAsia" w:ascii="宋体" w:hAnsi="宋体" w:cs="宋体"/>
                <w:color w:val="auto"/>
                <w:kern w:val="2"/>
                <w:sz w:val="21"/>
                <w:szCs w:val="21"/>
                <w:highlight w:val="none"/>
                <w:lang w:eastAsia="zh-CN"/>
              </w:rPr>
            </w:pPr>
            <w:r>
              <w:rPr>
                <w:rFonts w:hint="eastAsia" w:ascii="宋体" w:hAnsi="宋体" w:cs="宋体"/>
                <w:color w:val="auto"/>
                <w:spacing w:val="-2"/>
                <w:kern w:val="2"/>
                <w:sz w:val="21"/>
                <w:szCs w:val="21"/>
                <w:highlight w:val="none"/>
                <w:lang w:eastAsia="zh-CN"/>
              </w:rPr>
              <w:t>履约信誉：</w:t>
            </w:r>
            <w:r>
              <w:rPr>
                <w:rFonts w:hint="eastAsia" w:ascii="宋体" w:hAnsi="宋体" w:cs="宋体"/>
                <w:color w:val="auto"/>
                <w:spacing w:val="-2"/>
                <w:kern w:val="2"/>
                <w:sz w:val="21"/>
                <w:szCs w:val="21"/>
                <w:highlight w:val="none"/>
                <w:u w:val="single" w:color="000000"/>
                <w:lang w:eastAsia="zh-CN"/>
              </w:rPr>
              <w:t>10</w:t>
            </w:r>
            <w:r>
              <w:rPr>
                <w:rFonts w:hint="eastAsia" w:ascii="宋体" w:hAnsi="宋体" w:cs="宋体"/>
                <w:color w:val="auto"/>
                <w:kern w:val="2"/>
                <w:sz w:val="21"/>
                <w:szCs w:val="21"/>
                <w:highlight w:val="none"/>
                <w:lang w:eastAsia="zh-CN"/>
              </w:rPr>
              <w:t>分</w:t>
            </w:r>
          </w:p>
          <w:p w14:paraId="2F365DB6">
            <w:pPr>
              <w:pStyle w:val="5"/>
              <w:keepNext w:val="0"/>
              <w:keepLines w:val="0"/>
              <w:suppressLineNumbers w:val="0"/>
              <w:tabs>
                <w:tab w:val="left" w:pos="2630"/>
              </w:tabs>
              <w:adjustRightInd w:val="0"/>
              <w:snapToGrid w:val="0"/>
              <w:spacing w:before="0" w:beforeAutospacing="0" w:after="0" w:afterAutospacing="0" w:line="336" w:lineRule="auto"/>
              <w:ind w:left="0" w:right="22" w:rightChars="10"/>
              <w:rPr>
                <w:rFonts w:hint="eastAsia" w:ascii="宋体" w:hAnsi="宋体" w:cs="宋体"/>
                <w:b/>
                <w:bCs/>
                <w:color w:val="auto"/>
                <w:spacing w:val="-1"/>
                <w:kern w:val="2"/>
                <w:sz w:val="21"/>
                <w:szCs w:val="21"/>
                <w:highlight w:val="none"/>
                <w:lang w:eastAsia="zh-CN"/>
              </w:rPr>
            </w:pPr>
            <w:r>
              <w:rPr>
                <w:rFonts w:hint="eastAsia" w:ascii="宋体" w:hAnsi="宋体" w:cs="宋体"/>
                <w:b/>
                <w:bCs/>
                <w:color w:val="auto"/>
                <w:spacing w:val="-1"/>
                <w:kern w:val="2"/>
                <w:sz w:val="21"/>
                <w:szCs w:val="21"/>
                <w:highlight w:val="none"/>
                <w:lang w:eastAsia="zh-CN"/>
              </w:rPr>
              <w:t>第二个信封（报价文件）评分分值构成：</w:t>
            </w:r>
          </w:p>
          <w:p w14:paraId="0783AED9">
            <w:pPr>
              <w:pStyle w:val="5"/>
              <w:keepNext w:val="0"/>
              <w:keepLines w:val="0"/>
              <w:suppressLineNumbers w:val="0"/>
              <w:tabs>
                <w:tab w:val="left" w:pos="2630"/>
              </w:tabs>
              <w:adjustRightInd w:val="0"/>
              <w:snapToGrid w:val="0"/>
              <w:spacing w:before="0" w:beforeAutospacing="0" w:after="0" w:afterAutospacing="0" w:line="336" w:lineRule="auto"/>
              <w:ind w:left="22" w:leftChars="10" w:right="22" w:rightChars="10" w:firstLine="416" w:firstLineChars="200"/>
              <w:rPr>
                <w:rFonts w:hint="eastAsia" w:ascii="宋体" w:hAnsi="宋体" w:cs="宋体"/>
                <w:color w:val="auto"/>
                <w:kern w:val="2"/>
                <w:sz w:val="21"/>
                <w:szCs w:val="21"/>
                <w:highlight w:val="none"/>
                <w:lang w:eastAsia="zh-CN"/>
              </w:rPr>
            </w:pPr>
            <w:r>
              <w:rPr>
                <w:rFonts w:hint="eastAsia" w:ascii="宋体" w:hAnsi="宋体" w:cs="宋体"/>
                <w:color w:val="auto"/>
                <w:spacing w:val="-1"/>
                <w:kern w:val="2"/>
                <w:sz w:val="21"/>
                <w:szCs w:val="21"/>
                <w:highlight w:val="none"/>
                <w:lang w:eastAsia="zh-CN"/>
              </w:rPr>
              <w:t>评标价：</w:t>
            </w:r>
            <w:r>
              <w:rPr>
                <w:rFonts w:hint="eastAsia" w:ascii="宋体" w:hAnsi="宋体" w:cs="宋体"/>
                <w:color w:val="auto"/>
                <w:spacing w:val="-1"/>
                <w:kern w:val="2"/>
                <w:sz w:val="21"/>
                <w:szCs w:val="21"/>
                <w:highlight w:val="none"/>
                <w:u w:val="single" w:color="000000"/>
                <w:lang w:eastAsia="zh-CN"/>
              </w:rPr>
              <w:t xml:space="preserve"> 10 </w:t>
            </w:r>
            <w:r>
              <w:rPr>
                <w:rFonts w:hint="eastAsia" w:ascii="宋体" w:hAnsi="宋体" w:cs="宋体"/>
                <w:color w:val="auto"/>
                <w:kern w:val="2"/>
                <w:sz w:val="21"/>
                <w:szCs w:val="21"/>
                <w:highlight w:val="none"/>
                <w:lang w:eastAsia="zh-CN"/>
              </w:rPr>
              <w:t>分</w:t>
            </w:r>
          </w:p>
        </w:tc>
      </w:tr>
      <w:tr w14:paraId="33C0F34D">
        <w:tblPrEx>
          <w:tblCellMar>
            <w:top w:w="0" w:type="dxa"/>
            <w:left w:w="0" w:type="dxa"/>
            <w:bottom w:w="0" w:type="dxa"/>
            <w:right w:w="0" w:type="dxa"/>
          </w:tblCellMar>
        </w:tblPrEx>
        <w:trPr>
          <w:trHeight w:val="23"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20585172">
            <w:pPr>
              <w:pStyle w:val="5"/>
              <w:keepNext w:val="0"/>
              <w:keepLines w:val="0"/>
              <w:suppressLineNumbers w:val="0"/>
              <w:adjustRightInd w:val="0"/>
              <w:snapToGrid w:val="0"/>
              <w:spacing w:before="0" w:beforeAutospacing="0" w:after="0" w:afterAutospacing="0" w:line="336" w:lineRule="auto"/>
              <w:ind w:left="22" w:leftChars="10" w:right="22" w:rightChars="10"/>
              <w:jc w:val="center"/>
              <w:rPr>
                <w:rFonts w:hint="eastAsia" w:ascii="宋体" w:hAnsi="宋体" w:cs="宋体"/>
                <w:color w:val="auto"/>
                <w:kern w:val="2"/>
                <w:sz w:val="21"/>
                <w:szCs w:val="21"/>
                <w:highlight w:val="none"/>
              </w:rPr>
            </w:pPr>
            <w:r>
              <w:rPr>
                <w:rFonts w:hint="eastAsia" w:ascii="宋体" w:hAnsi="宋体" w:cs="宋体"/>
                <w:color w:val="auto"/>
                <w:kern w:val="2"/>
                <w:sz w:val="21"/>
                <w:highlight w:val="none"/>
              </w:rPr>
              <w:t>2.2.2</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29312FF5">
            <w:pPr>
              <w:pStyle w:val="5"/>
              <w:keepNext w:val="0"/>
              <w:keepLines w:val="0"/>
              <w:suppressLineNumbers w:val="0"/>
              <w:adjustRightInd w:val="0"/>
              <w:snapToGrid w:val="0"/>
              <w:spacing w:before="0" w:beforeAutospacing="0" w:after="0" w:afterAutospacing="0" w:line="336" w:lineRule="auto"/>
              <w:ind w:left="22" w:leftChars="10" w:right="22" w:rightChars="1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评标基准价 计算方法</w:t>
            </w:r>
          </w:p>
        </w:tc>
        <w:tc>
          <w:tcPr>
            <w:tcW w:w="7076" w:type="dxa"/>
            <w:tcBorders>
              <w:top w:val="single" w:color="000000" w:sz="4" w:space="0"/>
              <w:left w:val="single" w:color="000000" w:sz="4" w:space="0"/>
              <w:bottom w:val="single" w:color="000000" w:sz="4" w:space="0"/>
              <w:right w:val="single" w:color="000000" w:sz="4" w:space="0"/>
            </w:tcBorders>
            <w:noWrap w:val="0"/>
            <w:vAlign w:val="center"/>
          </w:tcPr>
          <w:p w14:paraId="32CBC3D8">
            <w:pPr>
              <w:pStyle w:val="5"/>
              <w:keepNext w:val="0"/>
              <w:keepLines w:val="0"/>
              <w:suppressLineNumbers w:val="0"/>
              <w:adjustRightInd w:val="0"/>
              <w:snapToGrid w:val="0"/>
              <w:spacing w:before="0" w:beforeAutospacing="0" w:after="0" w:afterAutospacing="0" w:line="336" w:lineRule="auto"/>
              <w:ind w:left="22" w:leftChars="10" w:right="22" w:rightChars="10" w:firstLine="210" w:firstLineChars="1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 xml:space="preserve">评标基准价的计算： </w:t>
            </w:r>
          </w:p>
          <w:p w14:paraId="200F4147">
            <w:pPr>
              <w:pStyle w:val="5"/>
              <w:keepNext w:val="0"/>
              <w:keepLines w:val="0"/>
              <w:suppressLineNumbers w:val="0"/>
              <w:adjustRightInd w:val="0"/>
              <w:snapToGrid w:val="0"/>
              <w:spacing w:before="0" w:beforeAutospacing="0" w:after="0" w:afterAutospacing="0" w:line="336" w:lineRule="auto"/>
              <w:ind w:left="22" w:leftChars="10" w:right="22" w:rightChars="10" w:firstLine="210" w:firstLineChars="1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在开标现场，招标人将当场计算并宣布评标基准价。</w:t>
            </w:r>
          </w:p>
          <w:p w14:paraId="605BFA79">
            <w:pPr>
              <w:pStyle w:val="5"/>
              <w:keepNext w:val="0"/>
              <w:keepLines w:val="0"/>
              <w:suppressLineNumbers w:val="0"/>
              <w:adjustRightInd w:val="0"/>
              <w:snapToGrid w:val="0"/>
              <w:spacing w:before="0" w:beforeAutospacing="0" w:after="0" w:afterAutospacing="0" w:line="336" w:lineRule="auto"/>
              <w:ind w:left="22" w:leftChars="10" w:right="22" w:rightChars="1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 xml:space="preserve">（1）评标价的确定： </w:t>
            </w:r>
          </w:p>
          <w:p w14:paraId="0B6F7C6A">
            <w:pPr>
              <w:pStyle w:val="5"/>
              <w:keepNext w:val="0"/>
              <w:keepLines w:val="0"/>
              <w:suppressLineNumbers w:val="0"/>
              <w:adjustRightInd w:val="0"/>
              <w:snapToGrid w:val="0"/>
              <w:spacing w:before="0" w:beforeAutospacing="0" w:after="0" w:afterAutospacing="0" w:line="336"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评标价=投标函文字报价</w:t>
            </w:r>
          </w:p>
          <w:p w14:paraId="23CADA7C">
            <w:pPr>
              <w:pStyle w:val="5"/>
              <w:keepNext w:val="0"/>
              <w:keepLines w:val="0"/>
              <w:suppressLineNumbers w:val="0"/>
              <w:adjustRightInd w:val="0"/>
              <w:snapToGrid w:val="0"/>
              <w:spacing w:before="0" w:beforeAutospacing="0" w:after="0" w:afterAutospacing="0" w:line="336" w:lineRule="auto"/>
              <w:ind w:left="22" w:leftChars="10" w:right="22" w:rightChars="1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（2）最高评标限价的</w:t>
            </w:r>
            <w:r>
              <w:rPr>
                <w:rFonts w:hint="eastAsia" w:ascii="宋体" w:hAnsi="宋体" w:cs="宋体"/>
                <w:color w:val="auto"/>
                <w:kern w:val="2"/>
                <w:sz w:val="21"/>
                <w:szCs w:val="21"/>
                <w:highlight w:val="none"/>
                <w:lang w:val="en-US" w:eastAsia="zh-CN"/>
              </w:rPr>
              <w:t>计算</w:t>
            </w:r>
            <w:r>
              <w:rPr>
                <w:rFonts w:hint="eastAsia" w:ascii="宋体" w:hAnsi="宋体" w:cs="宋体"/>
                <w:color w:val="auto"/>
                <w:kern w:val="2"/>
                <w:sz w:val="21"/>
                <w:szCs w:val="21"/>
                <w:highlight w:val="none"/>
                <w:lang w:eastAsia="zh-CN"/>
              </w:rPr>
              <w:t>：</w:t>
            </w:r>
          </w:p>
          <w:p w14:paraId="725F0319">
            <w:pPr>
              <w:keepNext w:val="0"/>
              <w:keepLines w:val="0"/>
              <w:suppressLineNumbers w:val="0"/>
              <w:adjustRightInd w:val="0"/>
              <w:snapToGrid w:val="0"/>
              <w:spacing w:before="0" w:beforeAutospacing="0" w:after="0" w:afterAutospacing="0" w:line="336"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①最高投标限价下浮率的确定</w:t>
            </w:r>
          </w:p>
          <w:p w14:paraId="06A60799">
            <w:pPr>
              <w:keepNext w:val="0"/>
              <w:keepLines w:val="0"/>
              <w:suppressLineNumbers w:val="0"/>
              <w:adjustRightInd w:val="0"/>
              <w:snapToGrid w:val="0"/>
              <w:spacing w:before="0" w:beforeAutospacing="0" w:after="0" w:afterAutospacing="0" w:line="336"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下浮率在第二个信封（报价文件）开标前在开标现场采取摇珠方式确定。摇珠操作办法如下：在下浮率区间（0～3%）的摇珠范围内，以 0.1%为一档次增序确定摇珠号码，共 31 个球，依次摇出 3 个球(摇出的珠不放回)，摇出 3 个球对应的下浮率的平均值即为本标段招标的下浮率（注：摇出 3 个下浮率的平均值四舍五入取整到0.001％）。</w:t>
            </w:r>
          </w:p>
          <w:p w14:paraId="1AA61FC7">
            <w:pPr>
              <w:keepNext w:val="0"/>
              <w:keepLines w:val="0"/>
              <w:suppressLineNumbers w:val="0"/>
              <w:adjustRightInd w:val="0"/>
              <w:snapToGrid w:val="0"/>
              <w:spacing w:before="0" w:beforeAutospacing="0" w:after="0" w:afterAutospacing="0" w:line="336"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②最高评标限价=最高投标限价×（1-最高投标限价下浮率）</w:t>
            </w:r>
          </w:p>
          <w:p w14:paraId="1488C500">
            <w:pPr>
              <w:keepNext w:val="0"/>
              <w:keepLines w:val="0"/>
              <w:suppressLineNumbers w:val="0"/>
              <w:adjustRightInd w:val="0"/>
              <w:snapToGrid w:val="0"/>
              <w:spacing w:before="0" w:beforeAutospacing="0" w:after="0" w:afterAutospacing="0" w:line="336"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有效评标价范围：不大于最高评标限价的评标价为有效评标价。若大于最高评标限价的评标价，其评标价得分为 0 分。</w:t>
            </w:r>
          </w:p>
          <w:p w14:paraId="7910B6A5">
            <w:pPr>
              <w:keepNext w:val="0"/>
              <w:keepLines w:val="0"/>
              <w:suppressLineNumbers w:val="0"/>
              <w:adjustRightInd w:val="0"/>
              <w:snapToGrid w:val="0"/>
              <w:spacing w:before="0" w:beforeAutospacing="0" w:after="0" w:afterAutospacing="0" w:line="336" w:lineRule="auto"/>
              <w:ind w:left="0" w:leftChars="0" w:right="22" w:rightChars="10" w:firstLine="0" w:firstLineChars="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（3）评标基准价的确定：</w:t>
            </w:r>
          </w:p>
          <w:p w14:paraId="76545D40">
            <w:pPr>
              <w:keepNext w:val="0"/>
              <w:keepLines w:val="0"/>
              <w:suppressLineNumbers w:val="0"/>
              <w:adjustRightInd w:val="0"/>
              <w:snapToGrid w:val="0"/>
              <w:spacing w:before="0" w:beforeAutospacing="0" w:after="0" w:afterAutospacing="0" w:line="336" w:lineRule="auto"/>
              <w:ind w:left="22" w:leftChars="10" w:right="22" w:rightChars="1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将最高评标限价下浮 2 %，作为评标基准价。</w:t>
            </w:r>
          </w:p>
          <w:p w14:paraId="5C8D9FFF">
            <w:pPr>
              <w:pStyle w:val="5"/>
              <w:keepNext w:val="0"/>
              <w:keepLines w:val="0"/>
              <w:suppressLineNumbers w:val="0"/>
              <w:adjustRightInd w:val="0"/>
              <w:snapToGrid w:val="0"/>
              <w:spacing w:before="0" w:beforeAutospacing="0" w:after="0" w:afterAutospacing="0" w:line="336" w:lineRule="auto"/>
              <w:ind w:left="22" w:leftChars="10" w:right="22" w:rightChars="10" w:firstLine="400" w:firstLineChars="200"/>
              <w:jc w:val="both"/>
              <w:rPr>
                <w:rFonts w:hint="eastAsia" w:ascii="宋体" w:hAnsi="宋体" w:cs="宋体"/>
                <w:color w:val="auto"/>
                <w:spacing w:val="-5"/>
                <w:kern w:val="2"/>
                <w:sz w:val="21"/>
                <w:szCs w:val="21"/>
                <w:highlight w:val="none"/>
                <w:lang w:eastAsia="zh-CN"/>
              </w:rPr>
            </w:pPr>
            <w:r>
              <w:rPr>
                <w:rFonts w:hint="eastAsia" w:ascii="宋体" w:hAnsi="宋体" w:cs="宋体"/>
                <w:color w:val="auto"/>
                <w:spacing w:val="-5"/>
                <w:kern w:val="2"/>
                <w:sz w:val="21"/>
                <w:szCs w:val="21"/>
                <w:highlight w:val="none"/>
                <w:lang w:eastAsia="zh-CN"/>
              </w:rPr>
              <w:t>在评标过程中，评标委员会应对招标人计算的评标基准价进行复核，存在计算错误的应予以修正并在评标报告中作出说明。除此之外，评标基准价在整个评标期间保持不变，不随任何因素发生变化。</w:t>
            </w:r>
          </w:p>
          <w:p w14:paraId="77952262">
            <w:pPr>
              <w:keepNext w:val="0"/>
              <w:keepLines w:val="0"/>
              <w:suppressLineNumbers w:val="0"/>
              <w:spacing w:before="0" w:beforeAutospacing="0" w:after="0" w:afterAutospacing="0" w:line="400" w:lineRule="exact"/>
              <w:ind w:left="0" w:right="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注：最高评标限价、评标基准价均四舍五入至个位整数。</w:t>
            </w:r>
          </w:p>
        </w:tc>
      </w:tr>
      <w:tr w14:paraId="1FACCC1B">
        <w:tblPrEx>
          <w:tblCellMar>
            <w:top w:w="0" w:type="dxa"/>
            <w:left w:w="0" w:type="dxa"/>
            <w:bottom w:w="0" w:type="dxa"/>
            <w:right w:w="0" w:type="dxa"/>
          </w:tblCellMar>
        </w:tblPrEx>
        <w:trPr>
          <w:trHeight w:val="23"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14:paraId="4A39895E">
            <w:pPr>
              <w:pStyle w:val="5"/>
              <w:keepNext w:val="0"/>
              <w:keepLines w:val="0"/>
              <w:suppressLineNumbers w:val="0"/>
              <w:adjustRightInd w:val="0"/>
              <w:snapToGrid w:val="0"/>
              <w:spacing w:before="0" w:beforeAutospacing="0" w:after="0" w:afterAutospacing="0" w:line="336" w:lineRule="auto"/>
              <w:ind w:left="22" w:leftChars="10" w:right="22" w:rightChars="10"/>
              <w:jc w:val="center"/>
              <w:rPr>
                <w:rFonts w:hint="eastAsia" w:ascii="宋体" w:hAnsi="宋体" w:cs="宋体"/>
                <w:color w:val="auto"/>
                <w:kern w:val="2"/>
                <w:sz w:val="20"/>
                <w:szCs w:val="20"/>
                <w:highlight w:val="none"/>
              </w:rPr>
            </w:pPr>
            <w:r>
              <w:rPr>
                <w:rFonts w:hint="eastAsia" w:ascii="宋体" w:hAnsi="宋体" w:cs="宋体"/>
                <w:color w:val="auto"/>
                <w:w w:val="105"/>
                <w:kern w:val="2"/>
                <w:sz w:val="20"/>
                <w:highlight w:val="none"/>
              </w:rPr>
              <w:t>2.2.3</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004E1478">
            <w:pPr>
              <w:pStyle w:val="5"/>
              <w:keepNext w:val="0"/>
              <w:keepLines w:val="0"/>
              <w:suppressLineNumbers w:val="0"/>
              <w:adjustRightInd w:val="0"/>
              <w:snapToGrid w:val="0"/>
              <w:spacing w:before="0" w:beforeAutospacing="0" w:after="0" w:afterAutospacing="0" w:line="336" w:lineRule="auto"/>
              <w:ind w:left="22" w:leftChars="10" w:right="22" w:rightChars="1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评标价的偏差率计算公式</w:t>
            </w:r>
          </w:p>
        </w:tc>
        <w:tc>
          <w:tcPr>
            <w:tcW w:w="7076" w:type="dxa"/>
            <w:tcBorders>
              <w:top w:val="single" w:color="000000" w:sz="4" w:space="0"/>
              <w:left w:val="single" w:color="000000" w:sz="4" w:space="0"/>
              <w:bottom w:val="single" w:color="000000" w:sz="4" w:space="0"/>
              <w:right w:val="single" w:color="000000" w:sz="4" w:space="0"/>
            </w:tcBorders>
            <w:noWrap w:val="0"/>
            <w:vAlign w:val="center"/>
          </w:tcPr>
          <w:p w14:paraId="7F81253B">
            <w:pPr>
              <w:pStyle w:val="5"/>
              <w:keepNext w:val="0"/>
              <w:keepLines w:val="0"/>
              <w:suppressLineNumbers w:val="0"/>
              <w:adjustRightInd w:val="0"/>
              <w:snapToGrid w:val="0"/>
              <w:spacing w:before="0" w:beforeAutospacing="0" w:after="0" w:afterAutospacing="0" w:line="336" w:lineRule="auto"/>
              <w:ind w:left="0" w:right="22" w:rightChars="10"/>
              <w:jc w:val="both"/>
              <w:rPr>
                <w:rFonts w:hint="eastAsia" w:ascii="宋体" w:hAnsi="宋体" w:cs="宋体"/>
                <w:color w:val="auto"/>
                <w:spacing w:val="-5"/>
                <w:kern w:val="2"/>
                <w:sz w:val="21"/>
                <w:szCs w:val="21"/>
                <w:highlight w:val="none"/>
                <w:lang w:eastAsia="zh-CN"/>
              </w:rPr>
            </w:pPr>
            <w:r>
              <w:rPr>
                <w:rFonts w:hint="eastAsia" w:ascii="宋体" w:hAnsi="宋体" w:cs="宋体"/>
                <w:color w:val="auto"/>
                <w:spacing w:val="-5"/>
                <w:kern w:val="2"/>
                <w:sz w:val="21"/>
                <w:szCs w:val="21"/>
                <w:highlight w:val="none"/>
                <w:lang w:eastAsia="zh-CN"/>
              </w:rPr>
              <w:t>偏差率=100% ×（投标人评标价一评标基准价）/评标基准价</w:t>
            </w:r>
          </w:p>
        </w:tc>
      </w:tr>
    </w:tbl>
    <w:p w14:paraId="166DCAE2">
      <w:pPr>
        <w:spacing w:before="35"/>
        <w:jc w:val="right"/>
        <w:rPr>
          <w:rFonts w:hint="eastAsia" w:ascii="宋体" w:hAnsi="宋体" w:cs="宋体"/>
          <w:color w:val="auto"/>
          <w:sz w:val="26"/>
          <w:szCs w:val="26"/>
          <w:highlight w:val="none"/>
          <w:lang w:eastAsia="zh-CN"/>
        </w:rPr>
      </w:pPr>
      <w:r>
        <w:rPr>
          <w:rFonts w:hint="eastAsia" w:ascii="宋体" w:hAnsi="宋体" w:cs="宋体"/>
          <w:color w:val="auto"/>
          <w:highlight w:val="none"/>
          <w:lang w:eastAsia="zh-CN"/>
        </w:rPr>
        <w:br w:type="page"/>
      </w:r>
      <w:r>
        <w:rPr>
          <w:rFonts w:hint="eastAsia" w:ascii="宋体" w:hAnsi="宋体" w:cs="宋体"/>
          <w:color w:val="auto"/>
          <w:highlight w:val="none"/>
        </w:rPr>
        <w:t>续上表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
        <w:gridCol w:w="327"/>
        <w:gridCol w:w="478"/>
        <w:gridCol w:w="647"/>
        <w:gridCol w:w="1319"/>
        <w:gridCol w:w="690"/>
        <w:gridCol w:w="988"/>
        <w:gridCol w:w="4284"/>
      </w:tblGrid>
      <w:tr w14:paraId="6503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46" w:type="dxa"/>
            <w:gridSpan w:val="7"/>
            <w:noWrap w:val="0"/>
            <w:vAlign w:val="center"/>
          </w:tcPr>
          <w:p w14:paraId="3E4647E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b/>
                <w:bCs/>
                <w:color w:val="auto"/>
                <w:kern w:val="2"/>
                <w:sz w:val="21"/>
                <w:szCs w:val="21"/>
                <w:highlight w:val="none"/>
                <w:lang w:eastAsia="zh-CN"/>
              </w:rPr>
            </w:pPr>
            <w:r>
              <w:rPr>
                <w:rFonts w:hint="eastAsia" w:ascii="宋体" w:hAnsi="宋体" w:cs="宋体"/>
                <w:b/>
                <w:bCs/>
                <w:color w:val="auto"/>
                <w:kern w:val="2"/>
                <w:sz w:val="21"/>
                <w:szCs w:val="21"/>
                <w:highlight w:val="none"/>
                <w:lang w:eastAsia="zh-CN"/>
              </w:rPr>
              <w:t>评分因素与权重分值</w:t>
            </w:r>
          </w:p>
        </w:tc>
        <w:tc>
          <w:tcPr>
            <w:tcW w:w="5272" w:type="dxa"/>
            <w:gridSpan w:val="2"/>
            <w:vMerge w:val="restart"/>
            <w:noWrap w:val="0"/>
            <w:vAlign w:val="center"/>
          </w:tcPr>
          <w:p w14:paraId="275D4DC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b/>
                <w:bCs/>
                <w:color w:val="auto"/>
                <w:kern w:val="2"/>
                <w:sz w:val="21"/>
                <w:szCs w:val="21"/>
                <w:highlight w:val="none"/>
                <w:lang w:eastAsia="zh-CN"/>
              </w:rPr>
            </w:pPr>
            <w:r>
              <w:rPr>
                <w:rFonts w:hint="eastAsia" w:ascii="宋体" w:hAnsi="宋体" w:cs="宋体"/>
                <w:b/>
                <w:bCs/>
                <w:color w:val="auto"/>
                <w:kern w:val="2"/>
                <w:sz w:val="21"/>
                <w:szCs w:val="21"/>
                <w:highlight w:val="none"/>
                <w:lang w:eastAsia="zh-CN"/>
              </w:rPr>
              <w:t>评分标准</w:t>
            </w:r>
          </w:p>
        </w:tc>
      </w:tr>
      <w:tr w14:paraId="0AF9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noWrap w:val="0"/>
            <w:vAlign w:val="center"/>
          </w:tcPr>
          <w:p w14:paraId="2CA2FF9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b/>
                <w:bCs/>
                <w:color w:val="auto"/>
                <w:kern w:val="2"/>
                <w:sz w:val="21"/>
                <w:szCs w:val="21"/>
                <w:highlight w:val="none"/>
                <w:lang w:eastAsia="zh-CN"/>
              </w:rPr>
            </w:pPr>
            <w:r>
              <w:rPr>
                <w:rFonts w:hint="eastAsia" w:ascii="宋体" w:hAnsi="宋体" w:cs="宋体"/>
                <w:b/>
                <w:bCs/>
                <w:color w:val="auto"/>
                <w:kern w:val="2"/>
                <w:sz w:val="21"/>
                <w:szCs w:val="21"/>
                <w:highlight w:val="none"/>
                <w:lang w:eastAsia="zh-CN"/>
              </w:rPr>
              <w:t>条款号</w:t>
            </w:r>
          </w:p>
        </w:tc>
        <w:tc>
          <w:tcPr>
            <w:tcW w:w="862" w:type="dxa"/>
            <w:gridSpan w:val="3"/>
            <w:noWrap w:val="0"/>
            <w:vAlign w:val="center"/>
          </w:tcPr>
          <w:p w14:paraId="4F2CDC7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b/>
                <w:bCs/>
                <w:color w:val="auto"/>
                <w:kern w:val="2"/>
                <w:sz w:val="21"/>
                <w:szCs w:val="21"/>
                <w:highlight w:val="none"/>
                <w:lang w:eastAsia="zh-CN"/>
              </w:rPr>
            </w:pPr>
            <w:r>
              <w:rPr>
                <w:rFonts w:hint="eastAsia" w:ascii="宋体" w:hAnsi="宋体" w:cs="宋体"/>
                <w:b/>
                <w:bCs/>
                <w:color w:val="auto"/>
                <w:kern w:val="2"/>
                <w:sz w:val="21"/>
                <w:szCs w:val="21"/>
                <w:highlight w:val="none"/>
                <w:lang w:eastAsia="zh-CN"/>
              </w:rPr>
              <w:t>评分因素</w:t>
            </w:r>
          </w:p>
        </w:tc>
        <w:tc>
          <w:tcPr>
            <w:tcW w:w="647" w:type="dxa"/>
            <w:noWrap w:val="0"/>
            <w:vAlign w:val="center"/>
          </w:tcPr>
          <w:p w14:paraId="28F6D3B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b/>
                <w:bCs/>
                <w:color w:val="auto"/>
                <w:kern w:val="2"/>
                <w:sz w:val="21"/>
                <w:szCs w:val="21"/>
                <w:highlight w:val="none"/>
                <w:lang w:eastAsia="zh-CN"/>
              </w:rPr>
            </w:pPr>
            <w:r>
              <w:rPr>
                <w:rFonts w:hint="eastAsia" w:ascii="宋体" w:hAnsi="宋体" w:cs="宋体"/>
                <w:b/>
                <w:bCs/>
                <w:color w:val="auto"/>
                <w:kern w:val="2"/>
                <w:sz w:val="21"/>
                <w:szCs w:val="21"/>
                <w:highlight w:val="none"/>
                <w:lang w:eastAsia="zh-CN"/>
              </w:rPr>
              <w:t>评分因素权重分值</w:t>
            </w:r>
          </w:p>
        </w:tc>
        <w:tc>
          <w:tcPr>
            <w:tcW w:w="1319" w:type="dxa"/>
            <w:noWrap w:val="0"/>
            <w:vAlign w:val="center"/>
          </w:tcPr>
          <w:p w14:paraId="0B02580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b/>
                <w:bCs/>
                <w:color w:val="auto"/>
                <w:kern w:val="2"/>
                <w:sz w:val="21"/>
                <w:szCs w:val="21"/>
                <w:highlight w:val="none"/>
                <w:lang w:eastAsia="zh-CN"/>
              </w:rPr>
            </w:pPr>
            <w:r>
              <w:rPr>
                <w:rFonts w:hint="eastAsia" w:ascii="宋体" w:hAnsi="宋体" w:cs="宋体"/>
                <w:b/>
                <w:bCs/>
                <w:color w:val="auto"/>
                <w:kern w:val="2"/>
                <w:sz w:val="21"/>
                <w:szCs w:val="21"/>
                <w:highlight w:val="none"/>
                <w:lang w:eastAsia="zh-CN"/>
              </w:rPr>
              <w:t>各项评分因素细分项</w:t>
            </w:r>
          </w:p>
        </w:tc>
        <w:tc>
          <w:tcPr>
            <w:tcW w:w="690" w:type="dxa"/>
            <w:noWrap w:val="0"/>
            <w:vAlign w:val="center"/>
          </w:tcPr>
          <w:p w14:paraId="33E48B8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b/>
                <w:bCs/>
                <w:color w:val="auto"/>
                <w:kern w:val="2"/>
                <w:sz w:val="21"/>
                <w:szCs w:val="21"/>
                <w:highlight w:val="none"/>
                <w:lang w:eastAsia="zh-CN"/>
              </w:rPr>
            </w:pPr>
            <w:r>
              <w:rPr>
                <w:rFonts w:hint="eastAsia" w:ascii="宋体" w:hAnsi="宋体" w:cs="宋体"/>
                <w:b/>
                <w:bCs/>
                <w:color w:val="auto"/>
                <w:kern w:val="2"/>
                <w:sz w:val="21"/>
                <w:szCs w:val="21"/>
                <w:highlight w:val="none"/>
                <w:lang w:eastAsia="zh-CN"/>
              </w:rPr>
              <w:t>分值</w:t>
            </w:r>
          </w:p>
        </w:tc>
        <w:tc>
          <w:tcPr>
            <w:tcW w:w="5272" w:type="dxa"/>
            <w:gridSpan w:val="2"/>
            <w:vMerge w:val="continue"/>
            <w:noWrap w:val="0"/>
            <w:vAlign w:val="center"/>
          </w:tcPr>
          <w:p w14:paraId="1A39D05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b/>
                <w:bCs/>
                <w:color w:val="auto"/>
                <w:kern w:val="2"/>
                <w:sz w:val="21"/>
                <w:szCs w:val="21"/>
                <w:highlight w:val="none"/>
                <w:lang w:eastAsia="zh-CN"/>
              </w:rPr>
            </w:pPr>
          </w:p>
        </w:tc>
      </w:tr>
      <w:tr w14:paraId="44CD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828" w:type="dxa"/>
            <w:vMerge w:val="restart"/>
            <w:noWrap w:val="0"/>
            <w:vAlign w:val="center"/>
          </w:tcPr>
          <w:p w14:paraId="47B55A3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2.2.4（1）</w:t>
            </w:r>
          </w:p>
        </w:tc>
        <w:tc>
          <w:tcPr>
            <w:tcW w:w="862" w:type="dxa"/>
            <w:gridSpan w:val="3"/>
            <w:vMerge w:val="restart"/>
            <w:noWrap w:val="0"/>
            <w:vAlign w:val="center"/>
          </w:tcPr>
          <w:p w14:paraId="252BBBF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技术建议书</w:t>
            </w:r>
          </w:p>
        </w:tc>
        <w:tc>
          <w:tcPr>
            <w:tcW w:w="647" w:type="dxa"/>
            <w:vMerge w:val="restart"/>
            <w:noWrap w:val="0"/>
            <w:vAlign w:val="center"/>
          </w:tcPr>
          <w:p w14:paraId="145A260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30分</w:t>
            </w:r>
          </w:p>
        </w:tc>
        <w:tc>
          <w:tcPr>
            <w:tcW w:w="1319" w:type="dxa"/>
            <w:vMerge w:val="restart"/>
            <w:noWrap w:val="0"/>
            <w:vAlign w:val="center"/>
          </w:tcPr>
          <w:p w14:paraId="537AFE70">
            <w:pPr>
              <w:pStyle w:val="5"/>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监理大</w:t>
            </w:r>
          </w:p>
          <w:p w14:paraId="5D5D8315">
            <w:pPr>
              <w:pStyle w:val="5"/>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纲（或</w:t>
            </w:r>
          </w:p>
          <w:p w14:paraId="6F3A5796">
            <w:pPr>
              <w:pStyle w:val="5"/>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监理方</w:t>
            </w:r>
          </w:p>
          <w:p w14:paraId="1286EE58">
            <w:pPr>
              <w:pStyle w:val="5"/>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案）和</w:t>
            </w:r>
          </w:p>
          <w:p w14:paraId="07C6DC62">
            <w:pPr>
              <w:pStyle w:val="5"/>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措施</w:t>
            </w:r>
          </w:p>
        </w:tc>
        <w:tc>
          <w:tcPr>
            <w:tcW w:w="690" w:type="dxa"/>
            <w:vMerge w:val="restart"/>
            <w:noWrap w:val="0"/>
            <w:vAlign w:val="center"/>
          </w:tcPr>
          <w:p w14:paraId="1B26237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15分</w:t>
            </w:r>
          </w:p>
        </w:tc>
        <w:tc>
          <w:tcPr>
            <w:tcW w:w="988" w:type="dxa"/>
            <w:noWrap w:val="0"/>
            <w:vAlign w:val="center"/>
          </w:tcPr>
          <w:p w14:paraId="503D6890">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bCs/>
                <w:color w:val="auto"/>
                <w:kern w:val="0"/>
                <w:sz w:val="21"/>
                <w:szCs w:val="21"/>
                <w:highlight w:val="none"/>
                <w:lang w:eastAsia="zh-CN"/>
              </w:rPr>
              <w:t>质量和安全监理（5</w:t>
            </w:r>
            <w:r>
              <w:rPr>
                <w:rFonts w:hint="default" w:ascii="宋体" w:hAnsi="宋体" w:cs="宋体"/>
                <w:bCs/>
                <w:color w:val="auto"/>
                <w:kern w:val="0"/>
                <w:sz w:val="21"/>
                <w:szCs w:val="21"/>
                <w:highlight w:val="none"/>
                <w:lang w:eastAsia="zh-CN"/>
              </w:rPr>
              <w:t>分）</w:t>
            </w:r>
          </w:p>
        </w:tc>
        <w:tc>
          <w:tcPr>
            <w:tcW w:w="4284" w:type="dxa"/>
            <w:noWrap w:val="0"/>
            <w:vAlign w:val="center"/>
          </w:tcPr>
          <w:p w14:paraId="0FA31F7D">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cs="宋体"/>
                <w:color w:val="auto"/>
                <w:kern w:val="2"/>
                <w:sz w:val="21"/>
                <w:szCs w:val="21"/>
                <w:highlight w:val="none"/>
                <w:lang w:eastAsia="zh-CN"/>
              </w:rPr>
            </w:pPr>
            <w:r>
              <w:rPr>
                <w:rFonts w:hint="eastAsia" w:ascii="宋体" w:hAnsi="宋体" w:cs="宋体"/>
                <w:color w:val="auto"/>
                <w:kern w:val="0"/>
                <w:sz w:val="21"/>
                <w:szCs w:val="21"/>
                <w:highlight w:val="none"/>
                <w:lang w:eastAsia="zh-CN"/>
              </w:rPr>
              <w:t>质量和安全监理目标明确，且完全响应广东省施工标准化和安全标准化指南的得3.0分；监理措施具体且有效，对质量和安全问题所采取的对策及预控方法合理可行的，响应广东省施工标准化和安全标准化指南程度，酌情加</w:t>
            </w:r>
            <w:r>
              <w:rPr>
                <w:rFonts w:hint="default" w:ascii="宋体" w:hAnsi="宋体" w:cs="宋体"/>
                <w:color w:val="auto"/>
                <w:kern w:val="0"/>
                <w:sz w:val="21"/>
                <w:szCs w:val="21"/>
                <w:highlight w:val="none"/>
                <w:lang w:eastAsia="zh-CN"/>
              </w:rPr>
              <w:t>0-</w:t>
            </w:r>
            <w:r>
              <w:rPr>
                <w:rFonts w:hint="eastAsia" w:ascii="宋体" w:hAnsi="宋体" w:cs="宋体"/>
                <w:color w:val="auto"/>
                <w:kern w:val="0"/>
                <w:sz w:val="21"/>
                <w:szCs w:val="21"/>
                <w:highlight w:val="none"/>
                <w:lang w:eastAsia="zh-CN"/>
              </w:rPr>
              <w:t>2.0分；</w:t>
            </w:r>
          </w:p>
        </w:tc>
      </w:tr>
      <w:tr w14:paraId="2181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28" w:type="dxa"/>
            <w:vMerge w:val="continue"/>
            <w:noWrap w:val="0"/>
            <w:vAlign w:val="center"/>
          </w:tcPr>
          <w:p w14:paraId="50046D3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862" w:type="dxa"/>
            <w:gridSpan w:val="3"/>
            <w:vMerge w:val="continue"/>
            <w:noWrap w:val="0"/>
            <w:vAlign w:val="center"/>
          </w:tcPr>
          <w:p w14:paraId="3212EBA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647" w:type="dxa"/>
            <w:vMerge w:val="continue"/>
            <w:noWrap w:val="0"/>
            <w:vAlign w:val="center"/>
          </w:tcPr>
          <w:p w14:paraId="2FA586C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1319" w:type="dxa"/>
            <w:vMerge w:val="continue"/>
            <w:noWrap w:val="0"/>
            <w:vAlign w:val="center"/>
          </w:tcPr>
          <w:p w14:paraId="527A7135">
            <w:pPr>
              <w:pStyle w:val="5"/>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690" w:type="dxa"/>
            <w:vMerge w:val="continue"/>
            <w:noWrap w:val="0"/>
            <w:vAlign w:val="center"/>
          </w:tcPr>
          <w:p w14:paraId="2AF2CCE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988" w:type="dxa"/>
            <w:noWrap w:val="0"/>
            <w:vAlign w:val="center"/>
          </w:tcPr>
          <w:p w14:paraId="26CE9131">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bCs/>
                <w:color w:val="auto"/>
                <w:kern w:val="0"/>
                <w:sz w:val="21"/>
                <w:szCs w:val="21"/>
                <w:highlight w:val="none"/>
              </w:rPr>
              <w:t>进度监理（</w:t>
            </w:r>
            <w:r>
              <w:rPr>
                <w:rFonts w:hint="eastAsia" w:ascii="宋体" w:hAnsi="宋体" w:cs="宋体"/>
                <w:bCs/>
                <w:color w:val="auto"/>
                <w:kern w:val="0"/>
                <w:sz w:val="21"/>
                <w:szCs w:val="21"/>
                <w:highlight w:val="none"/>
                <w:lang w:eastAsia="zh-CN"/>
              </w:rPr>
              <w:t>5</w:t>
            </w:r>
            <w:r>
              <w:rPr>
                <w:rFonts w:hint="default" w:ascii="宋体" w:hAnsi="宋体" w:cs="宋体"/>
                <w:bCs/>
                <w:color w:val="auto"/>
                <w:kern w:val="0"/>
                <w:sz w:val="21"/>
                <w:szCs w:val="21"/>
                <w:highlight w:val="none"/>
              </w:rPr>
              <w:t>分）</w:t>
            </w:r>
          </w:p>
        </w:tc>
        <w:tc>
          <w:tcPr>
            <w:tcW w:w="4284" w:type="dxa"/>
            <w:noWrap w:val="0"/>
            <w:vAlign w:val="center"/>
          </w:tcPr>
          <w:p w14:paraId="223FF37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cs="宋体"/>
                <w:color w:val="auto"/>
                <w:kern w:val="2"/>
                <w:sz w:val="21"/>
                <w:szCs w:val="21"/>
                <w:highlight w:val="none"/>
                <w:lang w:eastAsia="zh-CN"/>
              </w:rPr>
            </w:pPr>
            <w:r>
              <w:rPr>
                <w:rFonts w:hint="eastAsia" w:ascii="宋体" w:hAnsi="宋体" w:cs="宋体"/>
                <w:color w:val="auto"/>
                <w:kern w:val="0"/>
                <w:sz w:val="21"/>
                <w:szCs w:val="21"/>
                <w:highlight w:val="none"/>
                <w:lang w:eastAsia="zh-CN"/>
              </w:rPr>
              <w:t>进度监理目标明确并满足招标文件的要求得3.0</w:t>
            </w:r>
            <w:r>
              <w:rPr>
                <w:rFonts w:hint="default" w:ascii="宋体" w:hAnsi="宋体" w:cs="宋体"/>
                <w:color w:val="auto"/>
                <w:kern w:val="0"/>
                <w:sz w:val="21"/>
                <w:szCs w:val="21"/>
                <w:highlight w:val="none"/>
                <w:lang w:eastAsia="zh-CN"/>
              </w:rPr>
              <w:t>分；监理措</w:t>
            </w:r>
            <w:r>
              <w:rPr>
                <w:rFonts w:hint="eastAsia" w:ascii="宋体" w:hAnsi="宋体" w:cs="宋体"/>
                <w:color w:val="auto"/>
                <w:kern w:val="0"/>
                <w:sz w:val="21"/>
                <w:szCs w:val="21"/>
                <w:highlight w:val="none"/>
                <w:lang w:eastAsia="zh-CN"/>
              </w:rPr>
              <w:t>施具体且有效，对保证工期所采取的对策及预控方法合理可行的，酌情加 0-2.0</w:t>
            </w:r>
            <w:r>
              <w:rPr>
                <w:rFonts w:hint="default" w:ascii="宋体" w:hAnsi="宋体" w:cs="宋体"/>
                <w:color w:val="auto"/>
                <w:kern w:val="0"/>
                <w:sz w:val="21"/>
                <w:szCs w:val="21"/>
                <w:highlight w:val="none"/>
                <w:lang w:eastAsia="zh-CN"/>
              </w:rPr>
              <w:t>分。</w:t>
            </w:r>
          </w:p>
        </w:tc>
      </w:tr>
      <w:tr w14:paraId="2912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828" w:type="dxa"/>
            <w:vMerge w:val="continue"/>
            <w:noWrap w:val="0"/>
            <w:vAlign w:val="center"/>
          </w:tcPr>
          <w:p w14:paraId="3A84CE0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862" w:type="dxa"/>
            <w:gridSpan w:val="3"/>
            <w:vMerge w:val="continue"/>
            <w:noWrap w:val="0"/>
            <w:vAlign w:val="center"/>
          </w:tcPr>
          <w:p w14:paraId="4C025AB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647" w:type="dxa"/>
            <w:vMerge w:val="continue"/>
            <w:noWrap w:val="0"/>
            <w:vAlign w:val="center"/>
          </w:tcPr>
          <w:p w14:paraId="5220265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1319" w:type="dxa"/>
            <w:vMerge w:val="continue"/>
            <w:noWrap w:val="0"/>
            <w:vAlign w:val="center"/>
          </w:tcPr>
          <w:p w14:paraId="2ED44D3A">
            <w:pPr>
              <w:pStyle w:val="5"/>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690" w:type="dxa"/>
            <w:vMerge w:val="continue"/>
            <w:noWrap w:val="0"/>
            <w:vAlign w:val="center"/>
          </w:tcPr>
          <w:p w14:paraId="388039C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988" w:type="dxa"/>
            <w:noWrap w:val="0"/>
            <w:vAlign w:val="center"/>
          </w:tcPr>
          <w:p w14:paraId="1ABCB739">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bCs/>
                <w:color w:val="auto"/>
                <w:kern w:val="0"/>
                <w:sz w:val="21"/>
                <w:szCs w:val="21"/>
                <w:highlight w:val="none"/>
                <w:lang w:eastAsia="zh-CN"/>
              </w:rPr>
              <w:t>费用和合同监理（3</w:t>
            </w:r>
            <w:r>
              <w:rPr>
                <w:rFonts w:hint="default" w:ascii="宋体" w:hAnsi="宋体" w:cs="宋体"/>
                <w:bCs/>
                <w:color w:val="auto"/>
                <w:kern w:val="0"/>
                <w:sz w:val="21"/>
                <w:szCs w:val="21"/>
                <w:highlight w:val="none"/>
                <w:lang w:eastAsia="zh-CN"/>
              </w:rPr>
              <w:t>分）</w:t>
            </w:r>
          </w:p>
        </w:tc>
        <w:tc>
          <w:tcPr>
            <w:tcW w:w="4284" w:type="dxa"/>
            <w:noWrap w:val="0"/>
            <w:vAlign w:val="center"/>
          </w:tcPr>
          <w:p w14:paraId="1BD0652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cs="宋体"/>
                <w:color w:val="auto"/>
                <w:kern w:val="2"/>
                <w:sz w:val="21"/>
                <w:szCs w:val="21"/>
                <w:highlight w:val="none"/>
                <w:lang w:eastAsia="zh-CN"/>
              </w:rPr>
            </w:pPr>
            <w:r>
              <w:rPr>
                <w:rFonts w:hint="eastAsia" w:ascii="宋体" w:hAnsi="宋体" w:cs="宋体"/>
                <w:color w:val="auto"/>
                <w:kern w:val="0"/>
                <w:sz w:val="21"/>
                <w:szCs w:val="21"/>
                <w:highlight w:val="none"/>
                <w:lang w:eastAsia="zh-CN"/>
              </w:rPr>
              <w:t>有工程计量与支付监理方面的具体管理方法和措施具体且有效，有明确的变更管理、预防索赔、减少合同纠纷的管理和控制措施得 1.8</w:t>
            </w:r>
            <w:r>
              <w:rPr>
                <w:rFonts w:hint="default" w:ascii="宋体" w:hAnsi="宋体" w:cs="宋体"/>
                <w:color w:val="auto"/>
                <w:kern w:val="0"/>
                <w:sz w:val="21"/>
                <w:szCs w:val="21"/>
                <w:highlight w:val="none"/>
                <w:lang w:eastAsia="zh-CN"/>
              </w:rPr>
              <w:t>分；有合理可</w:t>
            </w:r>
            <w:r>
              <w:rPr>
                <w:rFonts w:hint="eastAsia" w:ascii="宋体" w:hAnsi="宋体" w:cs="宋体"/>
                <w:color w:val="auto"/>
                <w:kern w:val="0"/>
                <w:sz w:val="21"/>
                <w:szCs w:val="21"/>
                <w:highlight w:val="none"/>
                <w:lang w:eastAsia="zh-CN"/>
              </w:rPr>
              <w:t>行的控制超计量支付及提前计量支付的预控方法的，酌情加0-1.2</w:t>
            </w:r>
            <w:r>
              <w:rPr>
                <w:rFonts w:hint="default" w:ascii="宋体" w:hAnsi="宋体" w:cs="宋体"/>
                <w:color w:val="auto"/>
                <w:kern w:val="0"/>
                <w:sz w:val="21"/>
                <w:szCs w:val="21"/>
                <w:highlight w:val="none"/>
                <w:lang w:eastAsia="zh-CN"/>
              </w:rPr>
              <w:t>分。</w:t>
            </w:r>
          </w:p>
        </w:tc>
      </w:tr>
      <w:tr w14:paraId="5FB6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828" w:type="dxa"/>
            <w:vMerge w:val="continue"/>
            <w:noWrap w:val="0"/>
            <w:vAlign w:val="center"/>
          </w:tcPr>
          <w:p w14:paraId="397CC85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862" w:type="dxa"/>
            <w:gridSpan w:val="3"/>
            <w:vMerge w:val="continue"/>
            <w:noWrap w:val="0"/>
            <w:vAlign w:val="center"/>
          </w:tcPr>
          <w:p w14:paraId="4192182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647" w:type="dxa"/>
            <w:vMerge w:val="continue"/>
            <w:noWrap w:val="0"/>
            <w:vAlign w:val="center"/>
          </w:tcPr>
          <w:p w14:paraId="300897F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1319" w:type="dxa"/>
            <w:vMerge w:val="continue"/>
            <w:noWrap w:val="0"/>
            <w:vAlign w:val="center"/>
          </w:tcPr>
          <w:p w14:paraId="523C69AB">
            <w:pPr>
              <w:pStyle w:val="5"/>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690" w:type="dxa"/>
            <w:vMerge w:val="continue"/>
            <w:noWrap w:val="0"/>
            <w:vAlign w:val="center"/>
          </w:tcPr>
          <w:p w14:paraId="7874D00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988" w:type="dxa"/>
            <w:noWrap w:val="0"/>
            <w:vAlign w:val="center"/>
          </w:tcPr>
          <w:p w14:paraId="1BC5BE1F">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bCs/>
                <w:color w:val="auto"/>
                <w:kern w:val="0"/>
                <w:sz w:val="21"/>
                <w:szCs w:val="21"/>
                <w:highlight w:val="none"/>
                <w:lang w:eastAsia="zh-CN"/>
              </w:rPr>
              <w:t>施工环境保护管理（</w:t>
            </w:r>
            <w:r>
              <w:rPr>
                <w:rFonts w:hint="default" w:ascii="宋体" w:hAnsi="宋体" w:cs="宋体"/>
                <w:bCs/>
                <w:color w:val="auto"/>
                <w:kern w:val="0"/>
                <w:sz w:val="21"/>
                <w:szCs w:val="21"/>
                <w:highlight w:val="none"/>
                <w:lang w:eastAsia="zh-CN"/>
              </w:rPr>
              <w:t>2分）</w:t>
            </w:r>
          </w:p>
        </w:tc>
        <w:tc>
          <w:tcPr>
            <w:tcW w:w="4284" w:type="dxa"/>
            <w:noWrap w:val="0"/>
            <w:vAlign w:val="center"/>
          </w:tcPr>
          <w:p w14:paraId="3488AD7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cs="宋体"/>
                <w:color w:val="auto"/>
                <w:kern w:val="2"/>
                <w:sz w:val="21"/>
                <w:szCs w:val="21"/>
                <w:highlight w:val="none"/>
                <w:lang w:eastAsia="zh-CN"/>
              </w:rPr>
            </w:pPr>
            <w:r>
              <w:rPr>
                <w:rFonts w:hint="eastAsia" w:ascii="宋体" w:hAnsi="宋体" w:cs="宋体"/>
                <w:color w:val="auto"/>
                <w:kern w:val="0"/>
                <w:sz w:val="21"/>
                <w:szCs w:val="21"/>
                <w:highlight w:val="none"/>
                <w:lang w:eastAsia="zh-CN"/>
              </w:rPr>
              <w:t xml:space="preserve">有环保监理措施，且完全响应广东省施工标准化和安全标准化指南的得 </w:t>
            </w:r>
            <w:r>
              <w:rPr>
                <w:rFonts w:hint="default" w:ascii="宋体" w:hAnsi="宋体" w:cs="宋体"/>
                <w:color w:val="auto"/>
                <w:kern w:val="0"/>
                <w:sz w:val="21"/>
                <w:szCs w:val="21"/>
                <w:highlight w:val="none"/>
                <w:lang w:eastAsia="zh-CN"/>
              </w:rPr>
              <w:t>1.2 分；环保监理</w:t>
            </w:r>
            <w:r>
              <w:rPr>
                <w:rFonts w:hint="eastAsia" w:ascii="宋体" w:hAnsi="宋体" w:cs="宋体"/>
                <w:color w:val="auto"/>
                <w:kern w:val="0"/>
                <w:sz w:val="21"/>
                <w:szCs w:val="21"/>
                <w:highlight w:val="none"/>
                <w:lang w:eastAsia="zh-CN"/>
              </w:rPr>
              <w:t>措施和方法具体且有效的，响应广东省施工标准化和安全标准化指南程度，</w:t>
            </w:r>
            <w:r>
              <w:rPr>
                <w:rFonts w:hint="default" w:ascii="宋体" w:hAnsi="宋体" w:cs="宋体"/>
                <w:color w:val="auto"/>
                <w:kern w:val="0"/>
                <w:sz w:val="21"/>
                <w:szCs w:val="21"/>
                <w:highlight w:val="none"/>
                <w:lang w:eastAsia="zh-CN"/>
              </w:rPr>
              <w:t>酌情加</w:t>
            </w:r>
            <w:r>
              <w:rPr>
                <w:rFonts w:hint="eastAsia" w:ascii="宋体" w:hAnsi="宋体" w:cs="宋体"/>
                <w:color w:val="auto"/>
                <w:kern w:val="0"/>
                <w:sz w:val="21"/>
                <w:szCs w:val="21"/>
                <w:highlight w:val="none"/>
                <w:lang w:eastAsia="zh-CN"/>
              </w:rPr>
              <w:t xml:space="preserve"> </w:t>
            </w:r>
            <w:r>
              <w:rPr>
                <w:rFonts w:hint="default" w:ascii="宋体" w:hAnsi="宋体" w:cs="宋体"/>
                <w:color w:val="auto"/>
                <w:kern w:val="0"/>
                <w:sz w:val="21"/>
                <w:szCs w:val="21"/>
                <w:highlight w:val="none"/>
                <w:lang w:eastAsia="zh-CN"/>
              </w:rPr>
              <w:t>0-0.8</w:t>
            </w:r>
            <w:r>
              <w:rPr>
                <w:rFonts w:hint="eastAsia" w:ascii="宋体" w:hAnsi="宋体" w:cs="宋体"/>
                <w:color w:val="auto"/>
                <w:kern w:val="0"/>
                <w:sz w:val="21"/>
                <w:szCs w:val="21"/>
                <w:highlight w:val="none"/>
                <w:lang w:eastAsia="zh-CN"/>
              </w:rPr>
              <w:t>分</w:t>
            </w:r>
          </w:p>
        </w:tc>
      </w:tr>
      <w:tr w14:paraId="74BD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vMerge w:val="continue"/>
            <w:noWrap w:val="0"/>
            <w:vAlign w:val="center"/>
          </w:tcPr>
          <w:p w14:paraId="496E175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862" w:type="dxa"/>
            <w:gridSpan w:val="3"/>
            <w:vMerge w:val="continue"/>
            <w:noWrap w:val="0"/>
            <w:vAlign w:val="center"/>
          </w:tcPr>
          <w:p w14:paraId="6F4C094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647" w:type="dxa"/>
            <w:vMerge w:val="continue"/>
            <w:noWrap w:val="0"/>
            <w:vAlign w:val="center"/>
          </w:tcPr>
          <w:p w14:paraId="5877856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1319" w:type="dxa"/>
            <w:noWrap w:val="0"/>
            <w:vAlign w:val="center"/>
          </w:tcPr>
          <w:p w14:paraId="03D7CB4A">
            <w:pPr>
              <w:pStyle w:val="5"/>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本工程监理工作的重点与难点分析</w:t>
            </w:r>
          </w:p>
        </w:tc>
        <w:tc>
          <w:tcPr>
            <w:tcW w:w="690" w:type="dxa"/>
            <w:noWrap w:val="0"/>
            <w:vAlign w:val="center"/>
          </w:tcPr>
          <w:p w14:paraId="163D8518">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bCs/>
                <w:color w:val="auto"/>
                <w:kern w:val="0"/>
                <w:sz w:val="21"/>
                <w:szCs w:val="21"/>
                <w:highlight w:val="none"/>
                <w:lang w:eastAsia="zh-CN"/>
              </w:rPr>
              <w:t>10</w:t>
            </w:r>
            <w:r>
              <w:rPr>
                <w:rFonts w:hint="eastAsia" w:ascii="宋体" w:hAnsi="宋体" w:cs="宋体"/>
                <w:bCs/>
                <w:color w:val="auto"/>
                <w:kern w:val="0"/>
                <w:sz w:val="21"/>
                <w:szCs w:val="21"/>
                <w:highlight w:val="none"/>
              </w:rPr>
              <w:t>分</w:t>
            </w:r>
          </w:p>
        </w:tc>
        <w:tc>
          <w:tcPr>
            <w:tcW w:w="5272" w:type="dxa"/>
            <w:gridSpan w:val="2"/>
            <w:noWrap w:val="0"/>
            <w:vAlign w:val="center"/>
          </w:tcPr>
          <w:p w14:paraId="79A9E69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Calibri" w:hAnsi="宋体" w:cs="宋体"/>
                <w:color w:val="auto"/>
                <w:kern w:val="2"/>
                <w:sz w:val="21"/>
                <w:szCs w:val="21"/>
                <w:highlight w:val="none"/>
                <w:lang w:eastAsia="zh-CN"/>
              </w:rPr>
            </w:pPr>
            <w:r>
              <w:rPr>
                <w:rFonts w:hint="eastAsia" w:ascii="宋体" w:hAnsi="宋体" w:cs="宋体"/>
                <w:color w:val="auto"/>
                <w:kern w:val="0"/>
                <w:sz w:val="21"/>
                <w:szCs w:val="21"/>
                <w:highlight w:val="none"/>
                <w:lang w:eastAsia="zh-CN"/>
              </w:rPr>
              <w:t>有对工程重点、难点的分析得6.0</w:t>
            </w:r>
            <w:r>
              <w:rPr>
                <w:rFonts w:hint="default" w:ascii="宋体" w:hAnsi="宋体" w:cs="宋体"/>
                <w:color w:val="auto"/>
                <w:kern w:val="0"/>
                <w:sz w:val="21"/>
                <w:szCs w:val="21"/>
                <w:highlight w:val="none"/>
                <w:lang w:eastAsia="zh-CN"/>
              </w:rPr>
              <w:t>分；分析</w:t>
            </w:r>
            <w:r>
              <w:rPr>
                <w:rFonts w:hint="eastAsia" w:ascii="宋体" w:hAnsi="宋体" w:cs="宋体"/>
                <w:color w:val="auto"/>
                <w:kern w:val="0"/>
                <w:sz w:val="21"/>
                <w:szCs w:val="21"/>
                <w:highlight w:val="none"/>
                <w:lang w:eastAsia="zh-CN"/>
              </w:rPr>
              <w:t>准确，且有合理可行的应对措施的，酌情加0-4.0</w:t>
            </w:r>
            <w:r>
              <w:rPr>
                <w:rFonts w:hint="default" w:ascii="宋体" w:hAnsi="宋体" w:cs="宋体"/>
                <w:color w:val="auto"/>
                <w:kern w:val="0"/>
                <w:sz w:val="21"/>
                <w:szCs w:val="21"/>
                <w:highlight w:val="none"/>
                <w:lang w:eastAsia="zh-CN"/>
              </w:rPr>
              <w:t>分。</w:t>
            </w:r>
          </w:p>
        </w:tc>
      </w:tr>
      <w:tr w14:paraId="5DEC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28" w:type="dxa"/>
            <w:vMerge w:val="continue"/>
            <w:noWrap w:val="0"/>
            <w:vAlign w:val="center"/>
          </w:tcPr>
          <w:p w14:paraId="5002673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862" w:type="dxa"/>
            <w:gridSpan w:val="3"/>
            <w:vMerge w:val="continue"/>
            <w:noWrap w:val="0"/>
            <w:vAlign w:val="center"/>
          </w:tcPr>
          <w:p w14:paraId="2B1AA72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647" w:type="dxa"/>
            <w:vMerge w:val="continue"/>
            <w:noWrap w:val="0"/>
            <w:vAlign w:val="center"/>
          </w:tcPr>
          <w:p w14:paraId="38DD0EB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1319" w:type="dxa"/>
            <w:noWrap w:val="0"/>
            <w:vAlign w:val="center"/>
          </w:tcPr>
          <w:p w14:paraId="216BF5EA">
            <w:pPr>
              <w:pStyle w:val="5"/>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对本工程的建议</w:t>
            </w:r>
          </w:p>
        </w:tc>
        <w:tc>
          <w:tcPr>
            <w:tcW w:w="690" w:type="dxa"/>
            <w:noWrap w:val="0"/>
            <w:vAlign w:val="center"/>
          </w:tcPr>
          <w:p w14:paraId="081D4247">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bCs/>
                <w:color w:val="auto"/>
                <w:kern w:val="0"/>
                <w:sz w:val="21"/>
                <w:szCs w:val="21"/>
                <w:highlight w:val="none"/>
                <w:lang w:eastAsia="zh-CN"/>
              </w:rPr>
              <w:t>5</w:t>
            </w:r>
            <w:r>
              <w:rPr>
                <w:rFonts w:hint="default" w:ascii="宋体" w:hAnsi="宋体" w:cs="宋体"/>
                <w:bCs/>
                <w:color w:val="auto"/>
                <w:kern w:val="0"/>
                <w:sz w:val="21"/>
                <w:szCs w:val="21"/>
                <w:highlight w:val="none"/>
              </w:rPr>
              <w:t>分</w:t>
            </w:r>
          </w:p>
        </w:tc>
        <w:tc>
          <w:tcPr>
            <w:tcW w:w="5272" w:type="dxa"/>
            <w:gridSpan w:val="2"/>
            <w:noWrap w:val="0"/>
            <w:vAlign w:val="center"/>
          </w:tcPr>
          <w:p w14:paraId="06605EE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Calibri" w:hAnsi="宋体" w:cs="宋体"/>
                <w:color w:val="auto"/>
                <w:kern w:val="2"/>
                <w:sz w:val="21"/>
                <w:szCs w:val="21"/>
                <w:highlight w:val="none"/>
                <w:lang w:eastAsia="zh-CN"/>
              </w:rPr>
            </w:pPr>
            <w:r>
              <w:rPr>
                <w:rFonts w:hint="eastAsia" w:ascii="宋体" w:hAnsi="宋体" w:cs="宋体"/>
                <w:color w:val="auto"/>
                <w:kern w:val="0"/>
                <w:sz w:val="21"/>
                <w:szCs w:val="21"/>
                <w:highlight w:val="none"/>
                <w:lang w:eastAsia="zh-CN"/>
              </w:rPr>
              <w:t>有对本工程的建议的得3.0</w:t>
            </w:r>
            <w:r>
              <w:rPr>
                <w:rFonts w:hint="default" w:ascii="宋体" w:hAnsi="宋体" w:cs="宋体"/>
                <w:color w:val="auto"/>
                <w:kern w:val="0"/>
                <w:sz w:val="21"/>
                <w:szCs w:val="21"/>
                <w:highlight w:val="none"/>
                <w:lang w:eastAsia="zh-CN"/>
              </w:rPr>
              <w:t>分；对管理模式、</w:t>
            </w:r>
            <w:r>
              <w:rPr>
                <w:rFonts w:hint="eastAsia" w:ascii="宋体" w:hAnsi="宋体" w:cs="宋体"/>
                <w:color w:val="auto"/>
                <w:kern w:val="0"/>
                <w:sz w:val="21"/>
                <w:szCs w:val="21"/>
                <w:highlight w:val="none"/>
                <w:lang w:eastAsia="zh-CN"/>
              </w:rPr>
              <w:t>工程质量、进度、投资控制、合同管理等方面均提出合理可行的建议的，</w:t>
            </w:r>
            <w:r>
              <w:rPr>
                <w:rFonts w:hint="default" w:ascii="宋体" w:hAnsi="宋体" w:cs="宋体"/>
                <w:color w:val="auto"/>
                <w:kern w:val="0"/>
                <w:sz w:val="21"/>
                <w:szCs w:val="21"/>
                <w:highlight w:val="none"/>
                <w:lang w:eastAsia="zh-CN"/>
              </w:rPr>
              <w:t>酌情加</w:t>
            </w:r>
            <w:r>
              <w:rPr>
                <w:rFonts w:hint="eastAsia" w:ascii="宋体" w:hAnsi="宋体" w:cs="宋体"/>
                <w:color w:val="auto"/>
                <w:kern w:val="0"/>
                <w:sz w:val="21"/>
                <w:szCs w:val="21"/>
                <w:highlight w:val="none"/>
                <w:lang w:eastAsia="zh-CN"/>
              </w:rPr>
              <w:t>0-2.0</w:t>
            </w:r>
            <w:r>
              <w:rPr>
                <w:rFonts w:hint="default" w:ascii="宋体" w:hAnsi="宋体" w:cs="宋体"/>
                <w:color w:val="auto"/>
                <w:kern w:val="0"/>
                <w:sz w:val="21"/>
                <w:szCs w:val="21"/>
                <w:highlight w:val="none"/>
                <w:lang w:eastAsia="zh-CN"/>
              </w:rPr>
              <w:t>分。</w:t>
            </w:r>
          </w:p>
        </w:tc>
      </w:tr>
      <w:tr w14:paraId="29A6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28" w:type="dxa"/>
            <w:noWrap w:val="0"/>
            <w:vAlign w:val="center"/>
          </w:tcPr>
          <w:p w14:paraId="7B69BC3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2.2.4（2）</w:t>
            </w:r>
          </w:p>
        </w:tc>
        <w:tc>
          <w:tcPr>
            <w:tcW w:w="862" w:type="dxa"/>
            <w:gridSpan w:val="3"/>
            <w:noWrap w:val="0"/>
            <w:vAlign w:val="center"/>
          </w:tcPr>
          <w:p w14:paraId="3FC94E8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主要</w:t>
            </w:r>
          </w:p>
          <w:p w14:paraId="2729676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人员</w:t>
            </w:r>
          </w:p>
        </w:tc>
        <w:tc>
          <w:tcPr>
            <w:tcW w:w="647" w:type="dxa"/>
            <w:noWrap w:val="0"/>
            <w:vAlign w:val="center"/>
          </w:tcPr>
          <w:p w14:paraId="2D0B06E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25分</w:t>
            </w:r>
          </w:p>
        </w:tc>
        <w:tc>
          <w:tcPr>
            <w:tcW w:w="1319" w:type="dxa"/>
            <w:noWrap w:val="0"/>
            <w:vAlign w:val="center"/>
          </w:tcPr>
          <w:p w14:paraId="074394B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总监理工程师任职资格与业绩</w:t>
            </w:r>
          </w:p>
        </w:tc>
        <w:tc>
          <w:tcPr>
            <w:tcW w:w="690" w:type="dxa"/>
            <w:noWrap w:val="0"/>
            <w:vAlign w:val="center"/>
          </w:tcPr>
          <w:p w14:paraId="22544DC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25分</w:t>
            </w:r>
          </w:p>
          <w:p w14:paraId="5CC06B6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5272" w:type="dxa"/>
            <w:gridSpan w:val="2"/>
            <w:noWrap w:val="0"/>
            <w:vAlign w:val="center"/>
          </w:tcPr>
          <w:p w14:paraId="7B4040F9">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总监理工程师（</w:t>
            </w:r>
            <w:r>
              <w:rPr>
                <w:rFonts w:hint="eastAsia" w:ascii="宋体" w:hAnsi="宋体" w:cs="宋体"/>
                <w:color w:val="auto"/>
                <w:kern w:val="2"/>
                <w:sz w:val="21"/>
                <w:szCs w:val="21"/>
                <w:highlight w:val="none"/>
                <w:lang w:val="en-US" w:eastAsia="zh-CN"/>
              </w:rPr>
              <w:t>含备选</w:t>
            </w:r>
            <w:r>
              <w:rPr>
                <w:rFonts w:hint="eastAsia" w:ascii="宋体" w:hAnsi="宋体" w:cs="宋体"/>
                <w:color w:val="auto"/>
                <w:kern w:val="2"/>
                <w:sz w:val="21"/>
                <w:szCs w:val="21"/>
                <w:highlight w:val="none"/>
                <w:lang w:eastAsia="zh-CN"/>
              </w:rPr>
              <w:t>）符合资格审查要求的，得25分。</w:t>
            </w:r>
          </w:p>
        </w:tc>
      </w:tr>
      <w:tr w14:paraId="1F31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noWrap w:val="0"/>
            <w:vAlign w:val="center"/>
          </w:tcPr>
          <w:p w14:paraId="0D8F51F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rPr>
              <w:t>2.2.4(3)</w:t>
            </w:r>
          </w:p>
        </w:tc>
        <w:tc>
          <w:tcPr>
            <w:tcW w:w="862" w:type="dxa"/>
            <w:gridSpan w:val="3"/>
            <w:noWrap w:val="0"/>
            <w:vAlign w:val="center"/>
          </w:tcPr>
          <w:p w14:paraId="34CFEAC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评标价</w:t>
            </w:r>
          </w:p>
        </w:tc>
        <w:tc>
          <w:tcPr>
            <w:tcW w:w="647" w:type="dxa"/>
            <w:noWrap w:val="0"/>
            <w:vAlign w:val="center"/>
          </w:tcPr>
          <w:p w14:paraId="3F78EB4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rPr>
              <w:t>10分</w:t>
            </w:r>
          </w:p>
        </w:tc>
        <w:tc>
          <w:tcPr>
            <w:tcW w:w="7281" w:type="dxa"/>
            <w:gridSpan w:val="4"/>
            <w:noWrap w:val="0"/>
            <w:vAlign w:val="center"/>
          </w:tcPr>
          <w:p w14:paraId="735C3187">
            <w:pPr>
              <w:keepNext w:val="0"/>
              <w:keepLines w:val="0"/>
              <w:suppressLineNumbers w:val="0"/>
              <w:adjustRightInd w:val="0"/>
              <w:snapToGrid w:val="0"/>
              <w:spacing w:before="0" w:beforeAutospacing="0" w:after="0" w:afterAutospacing="0" w:line="400" w:lineRule="exact"/>
              <w:ind w:left="0" w:right="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评标价得分计算公式示例：</w:t>
            </w:r>
          </w:p>
          <w:p w14:paraId="463F4683">
            <w:pPr>
              <w:keepNext w:val="0"/>
              <w:keepLines w:val="0"/>
              <w:suppressLineNumbers w:val="0"/>
              <w:adjustRightInd w:val="0"/>
              <w:snapToGrid w:val="0"/>
              <w:spacing w:before="0" w:beforeAutospacing="0" w:after="0" w:afterAutospacing="0" w:line="400" w:lineRule="exact"/>
              <w:ind w:left="0" w:right="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(1)如果投标人的评标价&gt;评标基准价，则评标价得分＝F－偏差率×100×E</w:t>
            </w:r>
            <w:r>
              <w:rPr>
                <w:rFonts w:hint="eastAsia" w:ascii="宋体" w:hAnsi="宋体" w:cs="宋体"/>
                <w:color w:val="auto"/>
                <w:kern w:val="2"/>
                <w:sz w:val="21"/>
                <w:szCs w:val="21"/>
                <w:highlight w:val="none"/>
                <w:vertAlign w:val="subscript"/>
                <w:lang w:eastAsia="zh-CN"/>
              </w:rPr>
              <w:t>1</w:t>
            </w:r>
            <w:r>
              <w:rPr>
                <w:rFonts w:hint="eastAsia" w:ascii="宋体" w:hAnsi="宋体" w:cs="宋体"/>
                <w:color w:val="auto"/>
                <w:kern w:val="2"/>
                <w:sz w:val="21"/>
                <w:szCs w:val="21"/>
                <w:highlight w:val="none"/>
                <w:lang w:eastAsia="zh-CN"/>
              </w:rPr>
              <w:t>；</w:t>
            </w:r>
          </w:p>
          <w:p w14:paraId="77AFE362">
            <w:pPr>
              <w:keepNext w:val="0"/>
              <w:keepLines w:val="0"/>
              <w:suppressLineNumbers w:val="0"/>
              <w:adjustRightInd w:val="0"/>
              <w:snapToGrid w:val="0"/>
              <w:spacing w:before="0" w:beforeAutospacing="0" w:after="0" w:afterAutospacing="0" w:line="400" w:lineRule="exact"/>
              <w:ind w:left="0" w:right="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(2)如果投标人的评标价≤评标基准价，则评标价得分＝F＋偏差率×100×E</w:t>
            </w:r>
            <w:r>
              <w:rPr>
                <w:rFonts w:hint="eastAsia" w:ascii="宋体" w:hAnsi="宋体" w:cs="宋体"/>
                <w:color w:val="auto"/>
                <w:kern w:val="2"/>
                <w:sz w:val="21"/>
                <w:szCs w:val="21"/>
                <w:highlight w:val="none"/>
                <w:vertAlign w:val="subscript"/>
                <w:lang w:eastAsia="zh-CN"/>
              </w:rPr>
              <w:t>2</w:t>
            </w:r>
            <w:r>
              <w:rPr>
                <w:rFonts w:hint="eastAsia" w:ascii="宋体" w:hAnsi="宋体" w:cs="宋体"/>
                <w:color w:val="auto"/>
                <w:kern w:val="2"/>
                <w:sz w:val="21"/>
                <w:szCs w:val="21"/>
                <w:highlight w:val="none"/>
                <w:lang w:eastAsia="zh-CN"/>
              </w:rPr>
              <w:t>。</w:t>
            </w:r>
          </w:p>
          <w:p w14:paraId="02372A9F">
            <w:pPr>
              <w:keepNext w:val="0"/>
              <w:keepLines w:val="0"/>
              <w:suppressLineNumbers w:val="0"/>
              <w:adjustRightInd w:val="0"/>
              <w:snapToGrid w:val="0"/>
              <w:spacing w:before="0" w:beforeAutospacing="0" w:after="0" w:afterAutospacing="0" w:line="400" w:lineRule="exact"/>
              <w:ind w:left="0" w:right="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其中：F=10，E</w:t>
            </w:r>
            <w:r>
              <w:rPr>
                <w:rFonts w:hint="eastAsia" w:ascii="宋体" w:hAnsi="宋体" w:cs="宋体"/>
                <w:color w:val="auto"/>
                <w:kern w:val="2"/>
                <w:sz w:val="21"/>
                <w:szCs w:val="21"/>
                <w:highlight w:val="none"/>
                <w:vertAlign w:val="subscript"/>
                <w:lang w:eastAsia="zh-CN"/>
              </w:rPr>
              <w:t>1</w:t>
            </w:r>
            <w:r>
              <w:rPr>
                <w:rFonts w:hint="eastAsia" w:ascii="宋体" w:hAnsi="宋体" w:cs="宋体"/>
                <w:color w:val="auto"/>
                <w:kern w:val="2"/>
                <w:sz w:val="21"/>
                <w:szCs w:val="21"/>
                <w:highlight w:val="none"/>
                <w:lang w:eastAsia="zh-CN"/>
              </w:rPr>
              <w:t>=1.0，E</w:t>
            </w:r>
            <w:r>
              <w:rPr>
                <w:rFonts w:hint="eastAsia" w:ascii="宋体" w:hAnsi="宋体" w:cs="宋体"/>
                <w:color w:val="auto"/>
                <w:kern w:val="2"/>
                <w:sz w:val="21"/>
                <w:szCs w:val="21"/>
                <w:highlight w:val="none"/>
                <w:vertAlign w:val="subscript"/>
                <w:lang w:eastAsia="zh-CN"/>
              </w:rPr>
              <w:t>2</w:t>
            </w:r>
            <w:r>
              <w:rPr>
                <w:rFonts w:hint="eastAsia" w:ascii="宋体" w:hAnsi="宋体" w:cs="宋体"/>
                <w:color w:val="auto"/>
                <w:kern w:val="2"/>
                <w:sz w:val="21"/>
                <w:szCs w:val="21"/>
                <w:highlight w:val="none"/>
                <w:lang w:eastAsia="zh-CN"/>
              </w:rPr>
              <w:t>=0.5，评标价得分保留小数点后四位，第五位四舍五入。</w:t>
            </w:r>
          </w:p>
        </w:tc>
      </w:tr>
      <w:tr w14:paraId="46D9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vMerge w:val="restart"/>
            <w:noWrap w:val="0"/>
            <w:vAlign w:val="center"/>
          </w:tcPr>
          <w:p w14:paraId="3925558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2.2.4（4）</w:t>
            </w:r>
          </w:p>
          <w:p w14:paraId="4B6221F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384" w:type="dxa"/>
            <w:gridSpan w:val="2"/>
            <w:vMerge w:val="restart"/>
            <w:noWrap w:val="0"/>
            <w:vAlign w:val="center"/>
          </w:tcPr>
          <w:p w14:paraId="4844C80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其他因素</w:t>
            </w:r>
          </w:p>
          <w:p w14:paraId="462B8FC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478" w:type="dxa"/>
            <w:noWrap w:val="0"/>
            <w:vAlign w:val="center"/>
          </w:tcPr>
          <w:p w14:paraId="321D155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技术能力</w:t>
            </w:r>
          </w:p>
        </w:tc>
        <w:tc>
          <w:tcPr>
            <w:tcW w:w="647" w:type="dxa"/>
            <w:noWrap w:val="0"/>
            <w:vAlign w:val="center"/>
          </w:tcPr>
          <w:p w14:paraId="675EB83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0分</w:t>
            </w:r>
          </w:p>
        </w:tc>
        <w:tc>
          <w:tcPr>
            <w:tcW w:w="7281" w:type="dxa"/>
            <w:gridSpan w:val="4"/>
            <w:noWrap w:val="0"/>
            <w:vAlign w:val="center"/>
          </w:tcPr>
          <w:p w14:paraId="3B3D89FD">
            <w:pPr>
              <w:keepNext w:val="0"/>
              <w:keepLines w:val="0"/>
              <w:suppressLineNumbers w:val="0"/>
              <w:adjustRightInd w:val="0"/>
              <w:snapToGrid w:val="0"/>
              <w:spacing w:before="0" w:beforeAutospacing="0" w:after="0" w:afterAutospacing="0" w:line="400" w:lineRule="exact"/>
              <w:ind w:left="0" w:right="0"/>
              <w:rPr>
                <w:rFonts w:hint="eastAsia" w:ascii="宋体" w:hAnsi="宋体" w:cs="宋体"/>
                <w:color w:val="auto"/>
                <w:kern w:val="2"/>
                <w:sz w:val="18"/>
                <w:szCs w:val="18"/>
                <w:highlight w:val="none"/>
                <w:lang w:eastAsia="zh-CN"/>
              </w:rPr>
            </w:pPr>
            <w:r>
              <w:rPr>
                <w:rFonts w:hint="eastAsia" w:ascii="宋体" w:hAnsi="宋体" w:cs="宋体"/>
                <w:color w:val="auto"/>
                <w:kern w:val="0"/>
                <w:sz w:val="21"/>
                <w:szCs w:val="21"/>
                <w:highlight w:val="none"/>
                <w:lang w:eastAsia="zh-CN"/>
              </w:rPr>
              <w:t>/</w:t>
            </w:r>
          </w:p>
        </w:tc>
      </w:tr>
      <w:tr w14:paraId="1CC4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vMerge w:val="continue"/>
            <w:noWrap w:val="0"/>
            <w:vAlign w:val="center"/>
          </w:tcPr>
          <w:p w14:paraId="1AD700E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384" w:type="dxa"/>
            <w:gridSpan w:val="2"/>
            <w:vMerge w:val="continue"/>
            <w:noWrap w:val="0"/>
            <w:vAlign w:val="center"/>
          </w:tcPr>
          <w:p w14:paraId="5E8D1BB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478" w:type="dxa"/>
            <w:vMerge w:val="restart"/>
            <w:noWrap w:val="0"/>
            <w:vAlign w:val="center"/>
          </w:tcPr>
          <w:p w14:paraId="2A7E4D7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业绩</w:t>
            </w:r>
          </w:p>
        </w:tc>
        <w:tc>
          <w:tcPr>
            <w:tcW w:w="647" w:type="dxa"/>
            <w:vMerge w:val="restart"/>
            <w:noWrap w:val="0"/>
            <w:vAlign w:val="center"/>
          </w:tcPr>
          <w:p w14:paraId="5B7CAC5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25分</w:t>
            </w:r>
          </w:p>
        </w:tc>
        <w:tc>
          <w:tcPr>
            <w:tcW w:w="1319" w:type="dxa"/>
            <w:noWrap w:val="0"/>
            <w:vAlign w:val="center"/>
          </w:tcPr>
          <w:p w14:paraId="677C48D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基本要求</w:t>
            </w:r>
          </w:p>
        </w:tc>
        <w:tc>
          <w:tcPr>
            <w:tcW w:w="690" w:type="dxa"/>
            <w:noWrap w:val="0"/>
            <w:vAlign w:val="center"/>
          </w:tcPr>
          <w:p w14:paraId="118F01B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15分</w:t>
            </w:r>
          </w:p>
        </w:tc>
        <w:tc>
          <w:tcPr>
            <w:tcW w:w="5272" w:type="dxa"/>
            <w:gridSpan w:val="2"/>
            <w:noWrap w:val="0"/>
            <w:vAlign w:val="center"/>
          </w:tcPr>
          <w:p w14:paraId="7D39AF2C">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满足</w:t>
            </w:r>
            <w:r>
              <w:rPr>
                <w:rFonts w:hint="eastAsia" w:ascii="宋体" w:hAnsi="宋体" w:cs="宋体"/>
                <w:color w:val="auto"/>
                <w:kern w:val="2"/>
                <w:sz w:val="21"/>
                <w:szCs w:val="21"/>
                <w:highlight w:val="none"/>
                <w:lang w:val="en-US" w:eastAsia="zh-CN"/>
              </w:rPr>
              <w:t>招标文件</w:t>
            </w:r>
            <w:r>
              <w:rPr>
                <w:rFonts w:hint="eastAsia" w:ascii="宋体" w:hAnsi="宋体" w:cs="宋体"/>
                <w:color w:val="auto"/>
                <w:kern w:val="2"/>
                <w:sz w:val="21"/>
                <w:szCs w:val="21"/>
                <w:highlight w:val="none"/>
                <w:lang w:eastAsia="zh-CN"/>
              </w:rPr>
              <w:t>附录2业绩最低要求的，得15分。</w:t>
            </w:r>
          </w:p>
        </w:tc>
      </w:tr>
      <w:tr w14:paraId="3885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vMerge w:val="continue"/>
            <w:noWrap w:val="0"/>
            <w:vAlign w:val="center"/>
          </w:tcPr>
          <w:p w14:paraId="4124F80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384" w:type="dxa"/>
            <w:gridSpan w:val="2"/>
            <w:vMerge w:val="continue"/>
            <w:noWrap w:val="0"/>
            <w:vAlign w:val="center"/>
          </w:tcPr>
          <w:p w14:paraId="5BC64B4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478" w:type="dxa"/>
            <w:vMerge w:val="continue"/>
            <w:noWrap w:val="0"/>
            <w:vAlign w:val="center"/>
          </w:tcPr>
          <w:p w14:paraId="471352B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rPr>
            </w:pPr>
          </w:p>
        </w:tc>
        <w:tc>
          <w:tcPr>
            <w:tcW w:w="647" w:type="dxa"/>
            <w:vMerge w:val="continue"/>
            <w:noWrap w:val="0"/>
            <w:vAlign w:val="center"/>
          </w:tcPr>
          <w:p w14:paraId="36A3B14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lang w:eastAsia="zh-CN"/>
              </w:rPr>
            </w:pPr>
          </w:p>
        </w:tc>
        <w:tc>
          <w:tcPr>
            <w:tcW w:w="1319" w:type="dxa"/>
            <w:noWrap w:val="0"/>
            <w:vAlign w:val="center"/>
          </w:tcPr>
          <w:p w14:paraId="340D1880">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2"/>
                <w:sz w:val="21"/>
                <w:szCs w:val="21"/>
                <w:highlight w:val="none"/>
                <w:lang w:eastAsia="zh-CN"/>
              </w:rPr>
            </w:pPr>
            <w:r>
              <w:rPr>
                <w:rFonts w:hint="eastAsia" w:ascii="宋体" w:hAnsi="宋体" w:eastAsia="宋体" w:cs="宋体"/>
                <w:color w:val="auto"/>
                <w:kern w:val="0"/>
                <w:sz w:val="21"/>
                <w:szCs w:val="21"/>
                <w:highlight w:val="none"/>
              </w:rPr>
              <w:t>路基工程</w:t>
            </w:r>
          </w:p>
        </w:tc>
        <w:tc>
          <w:tcPr>
            <w:tcW w:w="690" w:type="dxa"/>
            <w:noWrap w:val="0"/>
            <w:vAlign w:val="center"/>
          </w:tcPr>
          <w:p w14:paraId="02D78765">
            <w:pPr>
              <w:keepNext w:val="0"/>
              <w:keepLines w:val="0"/>
              <w:suppressLineNumbers w:val="0"/>
              <w:adjustRightInd w:val="0"/>
              <w:snapToGrid w:val="0"/>
              <w:spacing w:before="0" w:beforeAutospacing="0" w:after="0" w:afterAutospacing="0" w:line="400" w:lineRule="exact"/>
              <w:ind w:left="0" w:leftChars="0" w:right="0" w:rightChars="0"/>
              <w:jc w:val="center"/>
              <w:rPr>
                <w:rFonts w:hint="default"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u w:val="none"/>
                <w:lang w:val="en-US" w:eastAsia="zh-CN"/>
              </w:rPr>
              <w:t>2</w:t>
            </w:r>
            <w:r>
              <w:rPr>
                <w:rFonts w:hint="eastAsia" w:ascii="宋体" w:hAnsi="宋体" w:eastAsia="宋体" w:cs="宋体"/>
                <w:color w:val="auto"/>
                <w:kern w:val="2"/>
                <w:sz w:val="21"/>
                <w:szCs w:val="21"/>
                <w:highlight w:val="none"/>
                <w:u w:val="none"/>
                <w:lang w:eastAsia="zh-CN"/>
              </w:rPr>
              <w:t>分</w:t>
            </w:r>
          </w:p>
        </w:tc>
        <w:tc>
          <w:tcPr>
            <w:tcW w:w="5272" w:type="dxa"/>
            <w:gridSpan w:val="2"/>
            <w:noWrap w:val="0"/>
            <w:vAlign w:val="center"/>
          </w:tcPr>
          <w:p w14:paraId="256F278B">
            <w:pPr>
              <w:pStyle w:val="6"/>
              <w:keepNext w:val="0"/>
              <w:keepLines w:val="0"/>
              <w:suppressLineNumbers w:val="0"/>
              <w:adjustRightInd w:val="0"/>
              <w:snapToGrid w:val="0"/>
              <w:spacing w:before="0" w:beforeAutospacing="0" w:after="0" w:afterAutospacing="0" w:line="400" w:lineRule="exact"/>
              <w:ind w:left="0" w:leftChars="0" w:right="0" w:rightChars="0"/>
              <w:jc w:val="left"/>
              <w:rPr>
                <w:rFonts w:hint="default" w:ascii="宋体" w:hAnsi="宋体" w:cs="宋体"/>
                <w:color w:val="auto"/>
                <w:kern w:val="2"/>
                <w:sz w:val="21"/>
                <w:szCs w:val="21"/>
                <w:highlight w:val="none"/>
                <w:lang w:eastAsia="zh-CN"/>
              </w:rPr>
            </w:pPr>
            <w:r>
              <w:rPr>
                <w:rFonts w:hint="eastAsia" w:ascii="宋体" w:hAnsi="宋体" w:cs="宋体"/>
                <w:b w:val="0"/>
                <w:bCs/>
                <w:color w:val="auto"/>
                <w:kern w:val="0"/>
                <w:sz w:val="21"/>
                <w:szCs w:val="21"/>
                <w:highlight w:val="none"/>
                <w:lang w:eastAsia="zh-CN"/>
              </w:rPr>
              <w:t>在满足业绩最低要求的基础上，每增加</w:t>
            </w:r>
            <w:r>
              <w:rPr>
                <w:rFonts w:hint="eastAsia" w:ascii="宋体" w:hAnsi="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eastAsia="zh-CN"/>
              </w:rPr>
              <w:t>km（尾数不计）类似工程路基工程施工监理任务加1分，最多加</w:t>
            </w:r>
            <w:r>
              <w:rPr>
                <w:rFonts w:hint="eastAsia" w:ascii="宋体" w:hAnsi="宋体" w:cs="宋体"/>
                <w:b w:val="0"/>
                <w:bCs/>
                <w:color w:val="auto"/>
                <w:kern w:val="0"/>
                <w:sz w:val="21"/>
                <w:szCs w:val="21"/>
                <w:highlight w:val="none"/>
                <w:lang w:val="en-US" w:eastAsia="zh-CN"/>
              </w:rPr>
              <w:t>2</w:t>
            </w:r>
            <w:r>
              <w:rPr>
                <w:rFonts w:hint="eastAsia" w:ascii="宋体" w:hAnsi="宋体" w:cs="宋体"/>
                <w:b w:val="0"/>
                <w:bCs/>
                <w:color w:val="auto"/>
                <w:kern w:val="0"/>
                <w:sz w:val="21"/>
                <w:szCs w:val="21"/>
                <w:highlight w:val="none"/>
                <w:lang w:eastAsia="zh-CN"/>
              </w:rPr>
              <w:t>分。</w:t>
            </w:r>
          </w:p>
        </w:tc>
      </w:tr>
      <w:tr w14:paraId="7DA1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vMerge w:val="continue"/>
            <w:noWrap w:val="0"/>
            <w:vAlign w:val="center"/>
          </w:tcPr>
          <w:p w14:paraId="4B9282B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p w14:paraId="58874B3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384" w:type="dxa"/>
            <w:gridSpan w:val="2"/>
            <w:vMerge w:val="continue"/>
            <w:noWrap w:val="0"/>
            <w:vAlign w:val="center"/>
          </w:tcPr>
          <w:p w14:paraId="2E55005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478" w:type="dxa"/>
            <w:vMerge w:val="continue"/>
            <w:noWrap w:val="0"/>
            <w:vAlign w:val="center"/>
          </w:tcPr>
          <w:p w14:paraId="51F4405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rPr>
            </w:pPr>
          </w:p>
        </w:tc>
        <w:tc>
          <w:tcPr>
            <w:tcW w:w="647" w:type="dxa"/>
            <w:vMerge w:val="continue"/>
            <w:noWrap w:val="0"/>
            <w:vAlign w:val="center"/>
          </w:tcPr>
          <w:p w14:paraId="2E26F58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lang w:eastAsia="zh-CN"/>
              </w:rPr>
            </w:pPr>
          </w:p>
        </w:tc>
        <w:tc>
          <w:tcPr>
            <w:tcW w:w="1319" w:type="dxa"/>
            <w:noWrap w:val="0"/>
            <w:vAlign w:val="center"/>
          </w:tcPr>
          <w:p w14:paraId="0E9A194A">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2"/>
                <w:sz w:val="21"/>
                <w:szCs w:val="21"/>
                <w:highlight w:val="none"/>
                <w:lang w:eastAsia="zh-CN"/>
              </w:rPr>
            </w:pPr>
            <w:r>
              <w:rPr>
                <w:rFonts w:hint="eastAsia" w:ascii="宋体" w:hAnsi="宋体" w:eastAsia="宋体" w:cs="宋体"/>
                <w:color w:val="auto"/>
                <w:kern w:val="0"/>
                <w:sz w:val="21"/>
                <w:szCs w:val="21"/>
                <w:highlight w:val="none"/>
              </w:rPr>
              <w:t>路面工程</w:t>
            </w:r>
          </w:p>
        </w:tc>
        <w:tc>
          <w:tcPr>
            <w:tcW w:w="690" w:type="dxa"/>
            <w:noWrap w:val="0"/>
            <w:vAlign w:val="center"/>
          </w:tcPr>
          <w:p w14:paraId="3A1F1849">
            <w:pPr>
              <w:keepNext w:val="0"/>
              <w:keepLines w:val="0"/>
              <w:suppressLineNumbers w:val="0"/>
              <w:adjustRightInd w:val="0"/>
              <w:snapToGrid w:val="0"/>
              <w:spacing w:before="0" w:beforeAutospacing="0" w:after="0" w:afterAutospacing="0" w:line="400" w:lineRule="exact"/>
              <w:ind w:left="0" w:leftChars="0" w:right="0" w:rightChars="0"/>
              <w:jc w:val="center"/>
              <w:rPr>
                <w:rFonts w:hint="default"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u w:val="none"/>
                <w:lang w:val="en-US" w:eastAsia="zh-CN"/>
              </w:rPr>
              <w:t>2</w:t>
            </w:r>
            <w:r>
              <w:rPr>
                <w:rFonts w:hint="eastAsia" w:ascii="宋体" w:hAnsi="宋体" w:eastAsia="宋体" w:cs="宋体"/>
                <w:color w:val="auto"/>
                <w:kern w:val="2"/>
                <w:sz w:val="21"/>
                <w:szCs w:val="21"/>
                <w:highlight w:val="none"/>
                <w:u w:val="none"/>
                <w:lang w:eastAsia="zh-CN"/>
              </w:rPr>
              <w:t>分</w:t>
            </w:r>
          </w:p>
        </w:tc>
        <w:tc>
          <w:tcPr>
            <w:tcW w:w="5272" w:type="dxa"/>
            <w:gridSpan w:val="2"/>
            <w:noWrap w:val="0"/>
            <w:vAlign w:val="top"/>
          </w:tcPr>
          <w:p w14:paraId="116EE28D">
            <w:pPr>
              <w:keepNext w:val="0"/>
              <w:keepLines w:val="0"/>
              <w:suppressLineNumbers w:val="0"/>
              <w:spacing w:before="0" w:beforeAutospacing="0" w:after="0" w:afterAutospacing="0" w:line="380" w:lineRule="atLeast"/>
              <w:ind w:left="0" w:leftChars="0" w:right="0" w:rightChars="0"/>
              <w:jc w:val="left"/>
              <w:rPr>
                <w:rFonts w:hint="default"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在满足业绩最低要求的基础上，每增加</w:t>
            </w:r>
            <w:r>
              <w:rPr>
                <w:rFonts w:hint="eastAsia" w:ascii="宋体" w:hAnsi="宋体" w:eastAsia="宋体" w:cs="宋体"/>
                <w:color w:val="auto"/>
                <w:kern w:val="2"/>
                <w:sz w:val="21"/>
                <w:szCs w:val="21"/>
                <w:highlight w:val="none"/>
                <w:lang w:val="en-US" w:eastAsia="zh-CN"/>
              </w:rPr>
              <w:t>2</w:t>
            </w:r>
            <w:r>
              <w:rPr>
                <w:rFonts w:hint="default" w:ascii="宋体" w:hAnsi="宋体" w:eastAsia="宋体" w:cs="宋体"/>
                <w:color w:val="auto"/>
                <w:kern w:val="2"/>
                <w:sz w:val="21"/>
                <w:szCs w:val="21"/>
                <w:highlight w:val="none"/>
              </w:rPr>
              <w:t>km（尾数不计）类似工程沥青混凝土路面工程施工监理任务加</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分，最多加</w:t>
            </w:r>
            <w:r>
              <w:rPr>
                <w:rFonts w:hint="eastAsia" w:ascii="宋体" w:hAnsi="宋体" w:eastAsia="宋体" w:cs="宋体"/>
                <w:color w:val="auto"/>
                <w:kern w:val="2"/>
                <w:sz w:val="21"/>
                <w:szCs w:val="21"/>
                <w:highlight w:val="none"/>
                <w:lang w:val="en-US" w:eastAsia="zh-CN"/>
              </w:rPr>
              <w:t>2</w:t>
            </w:r>
            <w:r>
              <w:rPr>
                <w:rFonts w:hint="default" w:ascii="宋体" w:hAnsi="宋体" w:eastAsia="宋体" w:cs="宋体"/>
                <w:color w:val="auto"/>
                <w:kern w:val="2"/>
                <w:sz w:val="21"/>
                <w:szCs w:val="21"/>
                <w:highlight w:val="none"/>
              </w:rPr>
              <w:t>分。</w:t>
            </w:r>
          </w:p>
        </w:tc>
      </w:tr>
      <w:tr w14:paraId="176C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vMerge w:val="continue"/>
            <w:noWrap w:val="0"/>
            <w:vAlign w:val="center"/>
          </w:tcPr>
          <w:p w14:paraId="2E64B95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384" w:type="dxa"/>
            <w:gridSpan w:val="2"/>
            <w:vMerge w:val="continue"/>
            <w:noWrap w:val="0"/>
            <w:vAlign w:val="center"/>
          </w:tcPr>
          <w:p w14:paraId="330759F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478" w:type="dxa"/>
            <w:vMerge w:val="continue"/>
            <w:noWrap w:val="0"/>
            <w:vAlign w:val="center"/>
          </w:tcPr>
          <w:p w14:paraId="0F5FF6C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rPr>
            </w:pPr>
          </w:p>
        </w:tc>
        <w:tc>
          <w:tcPr>
            <w:tcW w:w="647" w:type="dxa"/>
            <w:vMerge w:val="continue"/>
            <w:noWrap w:val="0"/>
            <w:vAlign w:val="center"/>
          </w:tcPr>
          <w:p w14:paraId="4D24DB4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lang w:eastAsia="zh-CN"/>
              </w:rPr>
            </w:pPr>
          </w:p>
        </w:tc>
        <w:tc>
          <w:tcPr>
            <w:tcW w:w="1319" w:type="dxa"/>
            <w:noWrap w:val="0"/>
            <w:vAlign w:val="center"/>
          </w:tcPr>
          <w:p w14:paraId="63EDE9CB">
            <w:pPr>
              <w:keepNext w:val="0"/>
              <w:keepLines w:val="0"/>
              <w:suppressLineNumbers w:val="0"/>
              <w:spacing w:before="0" w:beforeAutospacing="0" w:after="0" w:afterAutospacing="0" w:line="380" w:lineRule="atLeast"/>
              <w:ind w:left="0" w:leftChars="0" w:right="0" w:rightChars="0"/>
              <w:jc w:val="center"/>
              <w:rPr>
                <w:rFonts w:hint="default"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桥梁工程</w:t>
            </w:r>
          </w:p>
        </w:tc>
        <w:tc>
          <w:tcPr>
            <w:tcW w:w="690" w:type="dxa"/>
            <w:noWrap w:val="0"/>
            <w:vAlign w:val="center"/>
          </w:tcPr>
          <w:p w14:paraId="149F00A3">
            <w:pPr>
              <w:keepNext w:val="0"/>
              <w:keepLines w:val="0"/>
              <w:suppressLineNumbers w:val="0"/>
              <w:adjustRightInd w:val="0"/>
              <w:snapToGrid w:val="0"/>
              <w:spacing w:before="0" w:beforeAutospacing="0" w:after="0" w:afterAutospacing="0" w:line="400" w:lineRule="exact"/>
              <w:ind w:left="0" w:leftChars="0" w:right="0" w:rightChars="0"/>
              <w:jc w:val="center"/>
              <w:rPr>
                <w:rFonts w:hint="default"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u w:val="none"/>
                <w:lang w:val="en-US" w:eastAsia="zh-CN"/>
              </w:rPr>
              <w:t>4</w:t>
            </w:r>
            <w:r>
              <w:rPr>
                <w:rFonts w:hint="eastAsia" w:ascii="宋体" w:hAnsi="宋体" w:eastAsia="宋体" w:cs="宋体"/>
                <w:color w:val="auto"/>
                <w:kern w:val="2"/>
                <w:sz w:val="21"/>
                <w:szCs w:val="21"/>
                <w:highlight w:val="none"/>
                <w:u w:val="none"/>
                <w:lang w:eastAsia="zh-CN"/>
              </w:rPr>
              <w:t>分</w:t>
            </w:r>
          </w:p>
        </w:tc>
        <w:tc>
          <w:tcPr>
            <w:tcW w:w="5272" w:type="dxa"/>
            <w:gridSpan w:val="2"/>
            <w:noWrap w:val="0"/>
            <w:vAlign w:val="top"/>
          </w:tcPr>
          <w:p w14:paraId="120E9795">
            <w:pPr>
              <w:keepNext w:val="0"/>
              <w:keepLines w:val="0"/>
              <w:suppressLineNumbers w:val="0"/>
              <w:spacing w:before="0" w:beforeAutospacing="0" w:after="0" w:afterAutospacing="0" w:line="380" w:lineRule="atLeast"/>
              <w:ind w:left="0" w:leftChars="0" w:right="0" w:rightChars="0"/>
              <w:jc w:val="both"/>
              <w:rPr>
                <w:rFonts w:hint="default"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在满足业绩最低要求的基础上，每增加</w:t>
            </w:r>
            <w:r>
              <w:rPr>
                <w:rFonts w:hint="default" w:ascii="宋体" w:hAnsi="宋体" w:eastAsia="宋体" w:cs="宋体"/>
                <w:color w:val="auto"/>
                <w:kern w:val="2"/>
                <w:sz w:val="21"/>
                <w:szCs w:val="21"/>
                <w:highlight w:val="none"/>
              </w:rPr>
              <w:t>1座类似工程</w:t>
            </w:r>
            <w:r>
              <w:rPr>
                <w:rFonts w:hint="eastAsia" w:ascii="宋体" w:hAnsi="宋体" w:eastAsia="宋体" w:cs="宋体"/>
                <w:color w:val="auto"/>
                <w:kern w:val="2"/>
                <w:sz w:val="21"/>
                <w:szCs w:val="21"/>
                <w:highlight w:val="none"/>
                <w:lang w:val="en-US" w:eastAsia="zh-CN"/>
              </w:rPr>
              <w:t>大桥施工监理任务的加2分，</w:t>
            </w:r>
            <w:r>
              <w:rPr>
                <w:rFonts w:hint="eastAsia" w:ascii="宋体" w:hAnsi="宋体" w:eastAsia="宋体" w:cs="宋体"/>
                <w:color w:val="auto"/>
                <w:kern w:val="2"/>
                <w:sz w:val="21"/>
                <w:szCs w:val="21"/>
                <w:highlight w:val="none"/>
              </w:rPr>
              <w:t>最多加</w:t>
            </w:r>
            <w:r>
              <w:rPr>
                <w:rFonts w:hint="default"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4</w:t>
            </w:r>
            <w:r>
              <w:rPr>
                <w:rFonts w:hint="default" w:ascii="宋体" w:hAnsi="宋体" w:eastAsia="宋体" w:cs="宋体"/>
                <w:color w:val="auto"/>
                <w:kern w:val="2"/>
                <w:sz w:val="21"/>
                <w:szCs w:val="21"/>
                <w:highlight w:val="none"/>
              </w:rPr>
              <w:t>分。</w:t>
            </w:r>
          </w:p>
        </w:tc>
      </w:tr>
      <w:tr w14:paraId="7C8B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28" w:type="dxa"/>
            <w:vMerge w:val="continue"/>
            <w:noWrap w:val="0"/>
            <w:vAlign w:val="center"/>
          </w:tcPr>
          <w:p w14:paraId="669F26F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384" w:type="dxa"/>
            <w:gridSpan w:val="2"/>
            <w:vMerge w:val="continue"/>
            <w:noWrap w:val="0"/>
            <w:vAlign w:val="center"/>
          </w:tcPr>
          <w:p w14:paraId="36E849D2">
            <w:pPr>
              <w:keepNext w:val="0"/>
              <w:keepLines w:val="0"/>
              <w:suppressLineNumbers w:val="0"/>
              <w:adjustRightInd w:val="0"/>
              <w:snapToGrid w:val="0"/>
              <w:spacing w:before="0" w:beforeAutospacing="0" w:after="0" w:afterAutospacing="0" w:line="400" w:lineRule="exact"/>
              <w:ind w:left="0" w:right="0"/>
              <w:rPr>
                <w:rFonts w:hint="eastAsia" w:ascii="宋体" w:hAnsi="宋体" w:cs="宋体"/>
                <w:color w:val="auto"/>
                <w:kern w:val="2"/>
                <w:sz w:val="21"/>
                <w:szCs w:val="21"/>
                <w:highlight w:val="none"/>
                <w:lang w:eastAsia="zh-CN"/>
              </w:rPr>
            </w:pPr>
          </w:p>
        </w:tc>
        <w:tc>
          <w:tcPr>
            <w:tcW w:w="478" w:type="dxa"/>
            <w:vMerge w:val="continue"/>
            <w:noWrap w:val="0"/>
            <w:vAlign w:val="center"/>
          </w:tcPr>
          <w:p w14:paraId="09BB2F3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lang w:eastAsia="zh-CN"/>
              </w:rPr>
            </w:pPr>
          </w:p>
        </w:tc>
        <w:tc>
          <w:tcPr>
            <w:tcW w:w="647" w:type="dxa"/>
            <w:vMerge w:val="continue"/>
            <w:noWrap w:val="0"/>
            <w:vAlign w:val="center"/>
          </w:tcPr>
          <w:p w14:paraId="19B282D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lang w:eastAsia="zh-CN"/>
              </w:rPr>
            </w:pPr>
          </w:p>
        </w:tc>
        <w:tc>
          <w:tcPr>
            <w:tcW w:w="1319" w:type="dxa"/>
            <w:noWrap w:val="0"/>
            <w:vAlign w:val="center"/>
          </w:tcPr>
          <w:p w14:paraId="59BCC7C5">
            <w:pPr>
              <w:keepNext w:val="0"/>
              <w:keepLines w:val="0"/>
              <w:suppressLineNumbers w:val="0"/>
              <w:spacing w:before="0" w:beforeAutospacing="0" w:after="0" w:afterAutospacing="0" w:line="380" w:lineRule="atLeast"/>
              <w:ind w:left="0" w:leftChars="0" w:right="0" w:rightChars="0"/>
              <w:jc w:val="center"/>
              <w:rPr>
                <w:rFonts w:hint="default"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交通安全设施工程</w:t>
            </w:r>
          </w:p>
        </w:tc>
        <w:tc>
          <w:tcPr>
            <w:tcW w:w="690" w:type="dxa"/>
            <w:noWrap w:val="0"/>
            <w:vAlign w:val="center"/>
          </w:tcPr>
          <w:p w14:paraId="63A7E6CD">
            <w:pPr>
              <w:keepNext w:val="0"/>
              <w:keepLines w:val="0"/>
              <w:suppressLineNumbers w:val="0"/>
              <w:adjustRightInd w:val="0"/>
              <w:snapToGrid w:val="0"/>
              <w:spacing w:before="0" w:beforeAutospacing="0" w:after="0" w:afterAutospacing="0" w:line="400" w:lineRule="exact"/>
              <w:ind w:left="0" w:leftChars="0" w:right="0" w:rightChars="0"/>
              <w:jc w:val="center"/>
              <w:rPr>
                <w:rFonts w:hint="default" w:ascii="宋体" w:hAnsi="宋体" w:cs="宋体"/>
                <w:color w:val="auto"/>
                <w:kern w:val="2"/>
                <w:sz w:val="21"/>
                <w:szCs w:val="21"/>
                <w:highlight w:val="none"/>
                <w:lang w:eastAsia="zh-CN"/>
              </w:rPr>
            </w:pPr>
            <w:r>
              <w:rPr>
                <w:rFonts w:hint="eastAsia" w:ascii="宋体" w:hAnsi="宋体" w:eastAsia="宋体" w:cs="宋体"/>
                <w:color w:val="auto"/>
                <w:kern w:val="2"/>
                <w:sz w:val="21"/>
                <w:szCs w:val="21"/>
                <w:highlight w:val="none"/>
                <w:u w:val="none"/>
                <w:lang w:val="en-US" w:eastAsia="zh-CN"/>
              </w:rPr>
              <w:t>2</w:t>
            </w:r>
            <w:r>
              <w:rPr>
                <w:rFonts w:hint="eastAsia" w:ascii="宋体" w:hAnsi="宋体" w:eastAsia="宋体" w:cs="宋体"/>
                <w:color w:val="auto"/>
                <w:kern w:val="2"/>
                <w:sz w:val="21"/>
                <w:szCs w:val="21"/>
                <w:highlight w:val="none"/>
                <w:u w:val="none"/>
                <w:lang w:eastAsia="zh-CN"/>
              </w:rPr>
              <w:t>分</w:t>
            </w:r>
          </w:p>
        </w:tc>
        <w:tc>
          <w:tcPr>
            <w:tcW w:w="5272" w:type="dxa"/>
            <w:gridSpan w:val="2"/>
            <w:noWrap w:val="0"/>
            <w:vAlign w:val="center"/>
          </w:tcPr>
          <w:p w14:paraId="6CED6882">
            <w:pPr>
              <w:keepNext w:val="0"/>
              <w:keepLines w:val="0"/>
              <w:suppressLineNumbers w:val="0"/>
              <w:spacing w:before="0" w:beforeAutospacing="0" w:after="0" w:afterAutospacing="0" w:line="380" w:lineRule="atLeast"/>
              <w:ind w:left="0" w:leftChars="0" w:right="0" w:rightChars="0"/>
              <w:jc w:val="left"/>
              <w:rPr>
                <w:rFonts w:hint="default" w:ascii="宋体" w:hAnsi="宋体" w:cs="宋体"/>
                <w:b w:val="0"/>
                <w:bCs/>
                <w:color w:val="auto"/>
                <w:kern w:val="2"/>
                <w:sz w:val="21"/>
                <w:szCs w:val="21"/>
                <w:highlight w:val="none"/>
                <w:lang w:eastAsia="zh-CN"/>
              </w:rPr>
            </w:pPr>
            <w:r>
              <w:rPr>
                <w:rFonts w:hint="eastAsia" w:ascii="宋体" w:hAnsi="宋体" w:eastAsia="宋体" w:cs="宋体"/>
                <w:color w:val="auto"/>
                <w:kern w:val="2"/>
                <w:sz w:val="21"/>
                <w:szCs w:val="21"/>
                <w:highlight w:val="none"/>
              </w:rPr>
              <w:t>在满足业绩最低要求的基础上，每增加</w:t>
            </w:r>
            <w:r>
              <w:rPr>
                <w:rFonts w:hint="eastAsia" w:ascii="宋体" w:hAnsi="宋体" w:eastAsia="宋体" w:cs="宋体"/>
                <w:color w:val="auto"/>
                <w:kern w:val="2"/>
                <w:sz w:val="21"/>
                <w:szCs w:val="21"/>
                <w:highlight w:val="none"/>
                <w:lang w:val="en-US" w:eastAsia="zh-CN"/>
              </w:rPr>
              <w:t>2</w:t>
            </w:r>
            <w:r>
              <w:rPr>
                <w:rFonts w:hint="default" w:ascii="宋体" w:hAnsi="宋体" w:eastAsia="宋体" w:cs="宋体"/>
                <w:color w:val="auto"/>
                <w:kern w:val="2"/>
                <w:sz w:val="21"/>
                <w:szCs w:val="21"/>
                <w:highlight w:val="none"/>
              </w:rPr>
              <w:t>km（尾数不计）类似工程交通安全设施工程施工监理任务加</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分，最多加</w:t>
            </w:r>
            <w:r>
              <w:rPr>
                <w:rFonts w:hint="eastAsia" w:ascii="宋体" w:hAnsi="宋体" w:eastAsia="宋体" w:cs="宋体"/>
                <w:color w:val="auto"/>
                <w:kern w:val="2"/>
                <w:sz w:val="21"/>
                <w:szCs w:val="21"/>
                <w:highlight w:val="none"/>
                <w:lang w:val="en-US" w:eastAsia="zh-CN"/>
              </w:rPr>
              <w:t>2</w:t>
            </w:r>
            <w:r>
              <w:rPr>
                <w:rFonts w:hint="default" w:ascii="宋体" w:hAnsi="宋体" w:eastAsia="宋体" w:cs="宋体"/>
                <w:color w:val="auto"/>
                <w:kern w:val="2"/>
                <w:sz w:val="21"/>
                <w:szCs w:val="21"/>
                <w:highlight w:val="none"/>
              </w:rPr>
              <w:t>分。</w:t>
            </w:r>
          </w:p>
        </w:tc>
      </w:tr>
      <w:tr w14:paraId="6920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8" w:type="dxa"/>
            <w:vMerge w:val="continue"/>
            <w:noWrap w:val="0"/>
            <w:vAlign w:val="center"/>
          </w:tcPr>
          <w:p w14:paraId="3644E17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384" w:type="dxa"/>
            <w:gridSpan w:val="2"/>
            <w:vMerge w:val="continue"/>
            <w:noWrap w:val="0"/>
            <w:vAlign w:val="center"/>
          </w:tcPr>
          <w:p w14:paraId="4D6D6B7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p>
        </w:tc>
        <w:tc>
          <w:tcPr>
            <w:tcW w:w="478" w:type="dxa"/>
            <w:noWrap w:val="0"/>
            <w:vAlign w:val="center"/>
          </w:tcPr>
          <w:p w14:paraId="746E03B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履约信誉</w:t>
            </w:r>
          </w:p>
        </w:tc>
        <w:tc>
          <w:tcPr>
            <w:tcW w:w="647" w:type="dxa"/>
            <w:noWrap w:val="0"/>
            <w:vAlign w:val="center"/>
          </w:tcPr>
          <w:p w14:paraId="7EB2E08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10分</w:t>
            </w:r>
          </w:p>
        </w:tc>
        <w:tc>
          <w:tcPr>
            <w:tcW w:w="1319" w:type="dxa"/>
            <w:noWrap w:val="0"/>
            <w:vAlign w:val="center"/>
          </w:tcPr>
          <w:p w14:paraId="26ADF9D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履约信誉</w:t>
            </w:r>
          </w:p>
        </w:tc>
        <w:tc>
          <w:tcPr>
            <w:tcW w:w="690" w:type="dxa"/>
            <w:noWrap w:val="0"/>
            <w:vAlign w:val="center"/>
          </w:tcPr>
          <w:p w14:paraId="5711D51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10分</w:t>
            </w:r>
          </w:p>
        </w:tc>
        <w:tc>
          <w:tcPr>
            <w:tcW w:w="5272" w:type="dxa"/>
            <w:gridSpan w:val="2"/>
            <w:noWrap w:val="0"/>
            <w:vAlign w:val="center"/>
          </w:tcPr>
          <w:p w14:paraId="5BC361F6">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⑴信用等级分值（5 分）</w:t>
            </w:r>
          </w:p>
          <w:p w14:paraId="643ABF06">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AA、A、B、C 级单位的信用等级分得分分别为 5.00、4.75、4.45、3.65 分。</w:t>
            </w:r>
          </w:p>
          <w:p w14:paraId="372F23A2">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注：信用等级的确定原则遵循投标人须知前附表10.2款的规定。</w:t>
            </w:r>
          </w:p>
          <w:p w14:paraId="2B1A284F">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⑵履约</w:t>
            </w:r>
            <w:r>
              <w:rPr>
                <w:rFonts w:hint="eastAsia" w:ascii="宋体" w:hAnsi="宋体" w:cs="宋体"/>
                <w:color w:val="auto"/>
                <w:kern w:val="2"/>
                <w:sz w:val="21"/>
                <w:szCs w:val="21"/>
                <w:highlight w:val="none"/>
                <w:lang w:val="en-US" w:eastAsia="zh-CN"/>
              </w:rPr>
              <w:t>情况</w:t>
            </w:r>
            <w:r>
              <w:rPr>
                <w:rFonts w:hint="eastAsia" w:ascii="宋体" w:hAnsi="宋体" w:cs="宋体"/>
                <w:color w:val="auto"/>
                <w:kern w:val="2"/>
                <w:sz w:val="21"/>
                <w:szCs w:val="21"/>
                <w:highlight w:val="none"/>
                <w:lang w:eastAsia="zh-CN"/>
              </w:rPr>
              <w:t>（5分）</w:t>
            </w:r>
          </w:p>
          <w:p w14:paraId="22C561C4">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若没出现下述情形得满分：</w:t>
            </w:r>
          </w:p>
          <w:p w14:paraId="5C8C561E">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投标文件递交截止日前1年内，</w:t>
            </w:r>
            <w:r>
              <w:rPr>
                <w:rFonts w:hint="eastAsia" w:ascii="宋体" w:hAnsi="宋体" w:cs="宋体"/>
                <w:color w:val="auto"/>
                <w:kern w:val="2"/>
                <w:sz w:val="21"/>
                <w:szCs w:val="21"/>
                <w:highlight w:val="none"/>
                <w:lang w:val="en-US" w:eastAsia="zh-CN"/>
              </w:rPr>
              <w:t>投标人</w:t>
            </w:r>
            <w:r>
              <w:rPr>
                <w:rFonts w:hint="eastAsia" w:ascii="宋体" w:hAnsi="宋体" w:cs="宋体"/>
                <w:color w:val="auto"/>
                <w:kern w:val="2"/>
                <w:sz w:val="21"/>
                <w:szCs w:val="21"/>
                <w:highlight w:val="none"/>
                <w:lang w:eastAsia="zh-CN"/>
              </w:rPr>
              <w:t>因公路工程（含附属设施）质量、安全、履约或招标投标问题等原因被：</w:t>
            </w:r>
          </w:p>
          <w:p w14:paraId="5ED96B1E">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①交通运输部行政处罚的，扣5分/次；</w:t>
            </w:r>
          </w:p>
          <w:p w14:paraId="5002F0F1">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②广东省交通运输厅行政处罚的，扣3分/次。</w:t>
            </w:r>
          </w:p>
          <w:p w14:paraId="2986314A">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③广州市交通运输局行政处罚的，扣1.5分/次。</w:t>
            </w:r>
          </w:p>
          <w:p w14:paraId="104BA735">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④广东省交通运输厅正式约谈的， 扣 0.1 分/次。</w:t>
            </w:r>
          </w:p>
          <w:p w14:paraId="5E312327">
            <w:pPr>
              <w:keepNext w:val="0"/>
              <w:keepLines w:val="0"/>
              <w:suppressLineNumbers w:val="0"/>
              <w:adjustRightInd w:val="0"/>
              <w:snapToGrid w:val="0"/>
              <w:spacing w:before="0" w:beforeAutospacing="0" w:after="0" w:afterAutospacing="0" w:line="400" w:lineRule="exact"/>
              <w:ind w:left="0" w:right="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注：</w:t>
            </w:r>
            <w:r>
              <w:rPr>
                <w:rFonts w:hint="eastAsia" w:ascii="宋体" w:hAnsi="宋体" w:cs="宋体"/>
                <w:color w:val="auto"/>
                <w:kern w:val="2"/>
                <w:sz w:val="21"/>
                <w:szCs w:val="21"/>
                <w:highlight w:val="none"/>
                <w:lang w:val="en-US" w:eastAsia="zh-CN"/>
              </w:rPr>
              <w:t>1.</w:t>
            </w:r>
            <w:r>
              <w:rPr>
                <w:rFonts w:hint="eastAsia" w:ascii="宋体" w:hAnsi="宋体" w:cs="宋体"/>
                <w:color w:val="auto"/>
                <w:kern w:val="2"/>
                <w:sz w:val="21"/>
                <w:szCs w:val="21"/>
                <w:highlight w:val="none"/>
                <w:lang w:eastAsia="zh-CN"/>
              </w:rPr>
              <w:t>同一事项同时被多个部门行政处罚或正式约谈只按最高的扣分计算1次。如果扣完本项分值，可以从总分中扣。</w:t>
            </w:r>
          </w:p>
          <w:p w14:paraId="175E0CA6">
            <w:pPr>
              <w:keepNext w:val="0"/>
              <w:keepLines w:val="0"/>
              <w:suppressLineNumbers w:val="0"/>
              <w:adjustRightInd w:val="0"/>
              <w:snapToGrid w:val="0"/>
              <w:spacing w:before="0" w:beforeAutospacing="0" w:after="0" w:afterAutospacing="0" w:line="400" w:lineRule="exact"/>
              <w:ind w:left="0" w:right="0"/>
              <w:jc w:val="both"/>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u w:val="single"/>
                <w:lang w:val="en-US" w:eastAsia="zh-CN"/>
              </w:rPr>
              <w:t>2.本条内容所指的行政处罚和正式约谈是指本范本施行之日（即2024年1月1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tc>
      </w:tr>
      <w:tr w14:paraId="08AB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618" w:type="dxa"/>
            <w:gridSpan w:val="9"/>
            <w:noWrap w:val="0"/>
            <w:vAlign w:val="center"/>
          </w:tcPr>
          <w:p w14:paraId="16557186">
            <w:pPr>
              <w:keepNext w:val="0"/>
              <w:keepLines w:val="0"/>
              <w:suppressLineNumbers w:val="0"/>
              <w:adjustRightInd w:val="0"/>
              <w:snapToGrid w:val="0"/>
              <w:spacing w:before="0" w:beforeAutospacing="0" w:after="0" w:afterAutospacing="0" w:line="400" w:lineRule="exact"/>
              <w:ind w:left="0" w:right="0"/>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rPr>
              <w:t>需要补充的其他内容</w:t>
            </w:r>
          </w:p>
        </w:tc>
      </w:tr>
      <w:tr w14:paraId="7235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gridSpan w:val="2"/>
            <w:noWrap w:val="0"/>
            <w:vAlign w:val="center"/>
          </w:tcPr>
          <w:p w14:paraId="4CF0D443">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rPr>
              <w:t>条款号</w:t>
            </w:r>
          </w:p>
        </w:tc>
        <w:tc>
          <w:tcPr>
            <w:tcW w:w="8733" w:type="dxa"/>
            <w:gridSpan w:val="7"/>
            <w:noWrap w:val="0"/>
            <w:vAlign w:val="center"/>
          </w:tcPr>
          <w:p w14:paraId="6153DE17">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rPr>
              <w:t>补充或修改的内容</w:t>
            </w:r>
          </w:p>
        </w:tc>
      </w:tr>
      <w:tr w14:paraId="0D00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gridSpan w:val="2"/>
            <w:noWrap w:val="0"/>
            <w:vAlign w:val="center"/>
          </w:tcPr>
          <w:p w14:paraId="08B0217A">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rPr>
              <w:t>1</w:t>
            </w:r>
          </w:p>
        </w:tc>
        <w:tc>
          <w:tcPr>
            <w:tcW w:w="8733" w:type="dxa"/>
            <w:gridSpan w:val="7"/>
            <w:noWrap w:val="0"/>
            <w:vAlign w:val="center"/>
          </w:tcPr>
          <w:p w14:paraId="1B85B1A0">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1.1评标方法</w:t>
            </w:r>
          </w:p>
          <w:p w14:paraId="04E3DC31">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本次评标采用双信封的综合评估法。评标委员会对满足招标文件实质性要求的投标文件，按照本章第 2.2 款规定的评分标准进行打分，并按得分由高到低顺序推荐中标候选人，但投标报价低于其成本的除外。综合评分相等时，评标委员会应按照评标办法前附表规定的优先次序推荐中标候选人。</w:t>
            </w:r>
          </w:p>
          <w:p w14:paraId="1EAC82C2">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1.2评标组织</w:t>
            </w:r>
          </w:p>
          <w:p w14:paraId="7A74C294">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1.2.1协助工作组</w:t>
            </w:r>
          </w:p>
          <w:p w14:paraId="44F5C1DD">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招标人可在评标工作开始前成立协助工作组，选派熟悉招标工作、政治素质高的人员组成，协助评标委员会工作。协助工作组人员的具体数量由招标人视评标工作量确定。</w:t>
            </w:r>
          </w:p>
          <w:p w14:paraId="5944053E">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招标人可以协助评标委员会开展下列工作并提供相关信息：</w:t>
            </w:r>
          </w:p>
          <w:p w14:paraId="1685863B">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（1）根据招标文件，编制评标使用的相应表格；</w:t>
            </w:r>
          </w:p>
          <w:p w14:paraId="05167E49">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（2）对投标报价进行算术性校核；</w:t>
            </w:r>
          </w:p>
          <w:p w14:paraId="51D0B3C4">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（3）以评标标准和方法为依据，列出投标文件相对于招标文件的所有偏差，并进行归类汇总；</w:t>
            </w:r>
          </w:p>
          <w:p w14:paraId="620F3574">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（4）查询全国公路建设市场监督管理系统，对</w:t>
            </w:r>
            <w:r>
              <w:rPr>
                <w:rFonts w:hint="eastAsia" w:ascii="宋体" w:hAnsi="宋体" w:cs="宋体"/>
                <w:color w:val="auto"/>
                <w:kern w:val="2"/>
                <w:sz w:val="21"/>
                <w:szCs w:val="21"/>
                <w:highlight w:val="none"/>
                <w:lang w:val="en-US" w:eastAsia="zh-CN"/>
              </w:rPr>
              <w:t>投标人</w:t>
            </w:r>
            <w:r>
              <w:rPr>
                <w:rFonts w:hint="eastAsia" w:ascii="宋体" w:hAnsi="宋体" w:cs="宋体"/>
                <w:color w:val="auto"/>
                <w:kern w:val="2"/>
                <w:sz w:val="21"/>
                <w:szCs w:val="21"/>
                <w:highlight w:val="none"/>
                <w:lang w:eastAsia="zh-CN"/>
              </w:rPr>
              <w:t>的资质、业绩、主要人员资历和目前在岗情况、信用等级进行核实（如有）。</w:t>
            </w:r>
          </w:p>
          <w:p w14:paraId="66E8C8E1">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招标人不得对投标文件作出任何评价，不得故意遗漏或者片面摘录，不得在评标委员会对所有偏差定性之前透露存有偏差的投标人名称。</w:t>
            </w:r>
          </w:p>
          <w:p w14:paraId="19C7B40C">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1.2.2评标委员会</w:t>
            </w:r>
          </w:p>
          <w:p w14:paraId="2B365EC9">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评标委员会由招标人按国家、广东省等的有关规定依法组建。评标委员人数参见本招标文件“投标人须知前附表第6.1.1款。评标委员会的主要工作内容包括：</w:t>
            </w:r>
          </w:p>
          <w:p w14:paraId="0D2F4E6A">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（1）评标委员会开始评标工作之前，首先听取招标人、协助工作组关于工程情况和辅助工作的说明，并认真研读招标文件，获取评标所需的重要信息和数据；</w:t>
            </w:r>
          </w:p>
          <w:p w14:paraId="697BE554">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（2）对协助工作组提供的评标工作用表和评标内容进行核查。</w:t>
            </w:r>
          </w:p>
          <w:p w14:paraId="15FF2ACD">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（3）按照以下1.3款程序进行各项评审工作。</w:t>
            </w:r>
          </w:p>
          <w:p w14:paraId="7B9451BA">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1.3评审工作程序</w:t>
            </w:r>
          </w:p>
          <w:p w14:paraId="45CA6ED4">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（一）第一信封（商务及技术文件）：</w:t>
            </w:r>
          </w:p>
          <w:p w14:paraId="06202ECA">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l、初步评审：包括形式评审与响应性评审、资格评审；</w:t>
            </w:r>
          </w:p>
          <w:p w14:paraId="44DC277C">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2、详细评审（评审打分）：评标委员会首先对通过初步评审的投标文件第一个信封（商务及技术文件）进行详细评审，对投标人的监理实施方案、主要人员、其他因素等分别评审打分。</w:t>
            </w:r>
          </w:p>
          <w:p w14:paraId="54314BD4">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（二）第二信封（报价文件）：</w:t>
            </w:r>
          </w:p>
          <w:p w14:paraId="530BECAF">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 xml:space="preserve"> 1、初步评审：</w:t>
            </w:r>
          </w:p>
          <w:p w14:paraId="41820517">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（1）只有投标文件第一个信封通过详细评审的投标人才能继续参加第二信封报价文件的形式评审与响应性评审；</w:t>
            </w:r>
          </w:p>
          <w:p w14:paraId="2EB8626F">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（2）报价算术性修正；</w:t>
            </w:r>
          </w:p>
          <w:p w14:paraId="1A94E138">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2、详细评审：计算评标基准价、评标价得分及综合得分；</w:t>
            </w:r>
          </w:p>
          <w:p w14:paraId="3D431F40">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（三）投标文件相关信息的核查。</w:t>
            </w:r>
          </w:p>
          <w:p w14:paraId="18D3B224">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（四）投标文件的澄清和说明（如有）</w:t>
            </w:r>
          </w:p>
          <w:p w14:paraId="3C57525A">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（五）按评标办法规定推荐中标候选人，编写评标报告。</w:t>
            </w:r>
          </w:p>
        </w:tc>
      </w:tr>
      <w:tr w14:paraId="5212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gridSpan w:val="2"/>
            <w:noWrap w:val="0"/>
            <w:vAlign w:val="center"/>
          </w:tcPr>
          <w:p w14:paraId="02C95D9B">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w:t>
            </w:r>
            <w:r>
              <w:rPr>
                <w:rFonts w:hint="eastAsia" w:ascii="宋体" w:hAnsi="宋体" w:cs="宋体"/>
                <w:color w:val="auto"/>
                <w:kern w:val="2"/>
                <w:sz w:val="21"/>
                <w:szCs w:val="21"/>
                <w:highlight w:val="none"/>
                <w:lang w:eastAsia="zh-CN"/>
              </w:rPr>
              <w:t>2</w:t>
            </w:r>
            <w:r>
              <w:rPr>
                <w:rFonts w:hint="eastAsia" w:ascii="宋体" w:hAnsi="宋体" w:cs="宋体"/>
                <w:color w:val="auto"/>
                <w:kern w:val="2"/>
                <w:sz w:val="21"/>
                <w:szCs w:val="21"/>
                <w:highlight w:val="none"/>
              </w:rPr>
              <w:t>.2</w:t>
            </w:r>
          </w:p>
        </w:tc>
        <w:tc>
          <w:tcPr>
            <w:tcW w:w="8733" w:type="dxa"/>
            <w:gridSpan w:val="7"/>
            <w:noWrap w:val="0"/>
            <w:vAlign w:val="center"/>
          </w:tcPr>
          <w:p w14:paraId="639798D5">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原3.2.2条款补充细化如下：</w:t>
            </w:r>
          </w:p>
          <w:p w14:paraId="4DC1D7D2">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评标委员会在第一个信封详细评审时，各评分因素（主要人员、技术能力（如有）、履约信誉除外）得分一般不得低于该权重分值的60%，评标委员会成员对某一项评分因素的评分低于权重值60%的，应当在评标报告中作出说明。</w:t>
            </w:r>
          </w:p>
          <w:p w14:paraId="3EBA99A3">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 xml:space="preserve">商务评分（主要人员、其他因素）得分应以评标委员会各成员的算术平均值确定。  </w:t>
            </w:r>
          </w:p>
          <w:p w14:paraId="71720B3F">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u w:val="none"/>
                <w:lang w:eastAsia="zh-CN"/>
              </w:rPr>
            </w:pPr>
            <w:r>
              <w:rPr>
                <w:rFonts w:hint="eastAsia" w:ascii="宋体" w:hAnsi="宋体" w:cs="宋体"/>
                <w:color w:val="auto"/>
                <w:kern w:val="2"/>
                <w:sz w:val="21"/>
                <w:szCs w:val="21"/>
                <w:highlight w:val="none"/>
                <w:u w:val="none"/>
                <w:lang w:eastAsia="zh-CN"/>
              </w:rPr>
              <w:t>评标委员会人数为9人时，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14:paraId="2994140D">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u w:val="none"/>
                <w:lang w:eastAsia="zh-CN"/>
              </w:rPr>
            </w:pPr>
            <w:r>
              <w:rPr>
                <w:rFonts w:hint="eastAsia" w:ascii="宋体" w:hAnsi="宋体" w:cs="宋体"/>
                <w:color w:val="auto"/>
                <w:kern w:val="2"/>
                <w:sz w:val="21"/>
                <w:szCs w:val="21"/>
                <w:highlight w:val="none"/>
                <w:u w:val="none"/>
                <w:lang w:eastAsia="zh-CN"/>
              </w:rPr>
              <w:t>取消其中1名评委所有评分的办法一（依次按照以下流程）：（1）对比上述出现技术评分总分差值最大值相等的评委的次分差值（次分差值＝某一评委技术评分总分的最高分－该评委技术评分总分的次低分），取消次分差值最大的评委所有评分；（2）如次分差值仍相同，则按随机抽取的方式选定取消1名评委评分。</w:t>
            </w:r>
          </w:p>
          <w:p w14:paraId="49FDCE12">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u w:val="none"/>
                <w:lang w:eastAsia="zh-CN"/>
              </w:rPr>
            </w:pPr>
            <w:r>
              <w:rPr>
                <w:rFonts w:hint="eastAsia" w:ascii="宋体" w:hAnsi="宋体" w:cs="宋体"/>
                <w:color w:val="auto"/>
                <w:kern w:val="2"/>
                <w:sz w:val="21"/>
                <w:szCs w:val="21"/>
                <w:highlight w:val="none"/>
                <w:u w:val="none"/>
                <w:lang w:eastAsia="zh-CN"/>
              </w:rPr>
              <w:t>取消其中 1 名评委所有评分的办法二：按随机抽取的方式选定取消 1 名评委评分。</w:t>
            </w:r>
          </w:p>
          <w:p w14:paraId="4D026CE9">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u w:val="none"/>
                <w:lang w:eastAsia="zh-CN"/>
              </w:rPr>
              <w:t>评标委员会人数为7人时，计算投标人技术得分时：各评分因素细分项中取消一个最高、一个最低分后计算算术平均值的和为投标人的最终技术得分，平均值计算保留小数点后三位，小数点后第四位“四舍五入”。</w:t>
            </w:r>
            <w:r>
              <w:rPr>
                <w:rFonts w:hint="eastAsia" w:ascii="宋体" w:hAnsi="宋体" w:cs="宋体"/>
                <w:color w:val="auto"/>
                <w:kern w:val="2"/>
                <w:sz w:val="21"/>
                <w:szCs w:val="21"/>
                <w:highlight w:val="none"/>
                <w:lang w:eastAsia="zh-CN"/>
              </w:rPr>
              <w:t xml:space="preserve"> </w:t>
            </w:r>
          </w:p>
          <w:p w14:paraId="173E072B">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 xml:space="preserve">以上评标委员会人数以实际参与评审的评标委员会人数数量为准。 </w:t>
            </w:r>
          </w:p>
          <w:p w14:paraId="2566CB99">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投标人的商务得分保留至小数点后两位，小数点后第三位“四舍五入”。</w:t>
            </w:r>
          </w:p>
        </w:tc>
      </w:tr>
      <w:tr w14:paraId="63E9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gridSpan w:val="2"/>
            <w:noWrap w:val="0"/>
            <w:vAlign w:val="center"/>
          </w:tcPr>
          <w:p w14:paraId="7A2B2561">
            <w:pPr>
              <w:keepNext w:val="0"/>
              <w:keepLines w:val="0"/>
              <w:widowControl/>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3.6.1</w:t>
            </w:r>
          </w:p>
        </w:tc>
        <w:tc>
          <w:tcPr>
            <w:tcW w:w="8733" w:type="dxa"/>
            <w:gridSpan w:val="7"/>
            <w:noWrap w:val="0"/>
            <w:vAlign w:val="center"/>
          </w:tcPr>
          <w:p w14:paraId="3290CB70">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 xml:space="preserve">3.6.1 项（2）目末增加以下条款： </w:t>
            </w:r>
          </w:p>
          <w:p w14:paraId="42ECD1BC">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g.广东省实施《中华人民共和国招标投标法》办法第十六条规定的情形。</w:t>
            </w:r>
          </w:p>
        </w:tc>
      </w:tr>
      <w:tr w14:paraId="321A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gridSpan w:val="2"/>
            <w:noWrap w:val="0"/>
            <w:vAlign w:val="center"/>
          </w:tcPr>
          <w:p w14:paraId="1C9B8A90">
            <w:pPr>
              <w:keepNext w:val="0"/>
              <w:keepLines w:val="0"/>
              <w:widowControl/>
              <w:suppressLineNumbers w:val="0"/>
              <w:adjustRightInd w:val="0"/>
              <w:snapToGrid w:val="0"/>
              <w:spacing w:before="0" w:beforeAutospacing="0" w:after="0" w:afterAutospacing="0" w:line="400" w:lineRule="exact"/>
              <w:ind w:left="0" w:right="0"/>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3.6.3</w:t>
            </w:r>
          </w:p>
        </w:tc>
        <w:tc>
          <w:tcPr>
            <w:tcW w:w="8733" w:type="dxa"/>
            <w:gridSpan w:val="7"/>
            <w:noWrap w:val="0"/>
            <w:vAlign w:val="center"/>
          </w:tcPr>
          <w:p w14:paraId="14542F99">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增加3.6.3项：</w:t>
            </w:r>
          </w:p>
          <w:p w14:paraId="376AC316">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579E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5" w:type="dxa"/>
            <w:gridSpan w:val="2"/>
            <w:noWrap w:val="0"/>
            <w:vAlign w:val="center"/>
          </w:tcPr>
          <w:p w14:paraId="12E006A8">
            <w:pPr>
              <w:keepNext w:val="0"/>
              <w:keepLines w:val="0"/>
              <w:widowControl/>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3.9</w:t>
            </w:r>
          </w:p>
        </w:tc>
        <w:tc>
          <w:tcPr>
            <w:tcW w:w="8733" w:type="dxa"/>
            <w:gridSpan w:val="7"/>
            <w:noWrap w:val="0"/>
            <w:vAlign w:val="center"/>
          </w:tcPr>
          <w:p w14:paraId="364BD64D">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增加3.9.3、3.9.4、3.9.5、3.9.6条款后增加：</w:t>
            </w:r>
          </w:p>
          <w:p w14:paraId="18951E8B">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3.9.</w:t>
            </w:r>
            <w:r>
              <w:rPr>
                <w:rFonts w:hint="default" w:ascii="宋体" w:hAnsi="宋体" w:cs="宋体"/>
                <w:color w:val="auto"/>
                <w:kern w:val="21"/>
                <w:sz w:val="21"/>
                <w:szCs w:val="21"/>
                <w:highlight w:val="none"/>
                <w:lang w:val="en-US" w:eastAsia="zh-CN"/>
              </w:rPr>
              <w:t>3</w:t>
            </w:r>
            <w:r>
              <w:rPr>
                <w:rFonts w:hint="eastAsia" w:ascii="宋体" w:hAnsi="宋体" w:cs="宋体"/>
                <w:color w:val="auto"/>
                <w:kern w:val="21"/>
                <w:sz w:val="21"/>
                <w:szCs w:val="21"/>
                <w:highlight w:val="none"/>
                <w:lang w:eastAsia="zh-CN"/>
              </w:rPr>
              <w:t xml:space="preserve"> 通过第一个信封商务和技术文件评审的投标人少于3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14:paraId="0AA49783">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3.9.</w:t>
            </w:r>
            <w:r>
              <w:rPr>
                <w:rFonts w:hint="default" w:ascii="宋体" w:hAnsi="宋体" w:cs="宋体"/>
                <w:color w:val="auto"/>
                <w:kern w:val="21"/>
                <w:sz w:val="21"/>
                <w:szCs w:val="21"/>
                <w:highlight w:val="none"/>
                <w:lang w:val="en-US" w:eastAsia="zh-CN"/>
              </w:rPr>
              <w:t>4</w:t>
            </w:r>
            <w:r>
              <w:rPr>
                <w:rFonts w:hint="eastAsia" w:ascii="宋体" w:hAnsi="宋体" w:cs="宋体"/>
                <w:color w:val="auto"/>
                <w:kern w:val="21"/>
                <w:sz w:val="21"/>
                <w:szCs w:val="21"/>
                <w:highlight w:val="none"/>
                <w:lang w:eastAsia="zh-CN"/>
              </w:rPr>
              <w:t xml:space="preserve"> 通过第一个信封商务和技术文件评审的投标人在3个及以上的，招标人应当按照招标文件规定的程序进行第二</w:t>
            </w:r>
            <w:bookmarkStart w:id="0" w:name="_GoBack"/>
            <w:bookmarkEnd w:id="0"/>
            <w:r>
              <w:rPr>
                <w:rFonts w:hint="eastAsia" w:ascii="宋体" w:hAnsi="宋体" w:cs="宋体"/>
                <w:color w:val="auto"/>
                <w:kern w:val="21"/>
                <w:sz w:val="21"/>
                <w:szCs w:val="21"/>
                <w:highlight w:val="none"/>
                <w:lang w:eastAsia="zh-CN"/>
              </w:rPr>
              <w:t>个信封报价文件开标；在对报价文件进行评审后，有效投标不足3个的，评标委员会可以否决全部投标。未否决全部投标的，评标委员会应当在评标报告中阐明理由并推荐中标候选人。</w:t>
            </w:r>
          </w:p>
          <w:p w14:paraId="7A6237C7">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3.9.</w:t>
            </w:r>
            <w:r>
              <w:rPr>
                <w:rFonts w:hint="default" w:ascii="宋体" w:hAnsi="宋体" w:cs="宋体"/>
                <w:color w:val="auto"/>
                <w:kern w:val="21"/>
                <w:sz w:val="21"/>
                <w:szCs w:val="21"/>
                <w:highlight w:val="none"/>
                <w:lang w:val="en-US" w:eastAsia="zh-CN"/>
              </w:rPr>
              <w:t>5</w:t>
            </w:r>
            <w:r>
              <w:rPr>
                <w:rFonts w:hint="eastAsia" w:ascii="宋体" w:hAnsi="宋体" w:cs="宋体"/>
                <w:color w:val="auto"/>
                <w:kern w:val="21"/>
                <w:sz w:val="21"/>
                <w:szCs w:val="21"/>
                <w:highlight w:val="none"/>
                <w:lang w:eastAsia="zh-CN"/>
              </w:rPr>
              <w:t xml:space="preserve"> 如果发生无法确定推荐中标候选人的其它意外情况，评标委员会可建议招标人重新招标。</w:t>
            </w:r>
          </w:p>
          <w:p w14:paraId="74A67282">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3.9.</w:t>
            </w:r>
            <w:r>
              <w:rPr>
                <w:rFonts w:hint="default" w:ascii="宋体" w:hAnsi="宋体" w:cs="宋体"/>
                <w:color w:val="auto"/>
                <w:kern w:val="21"/>
                <w:sz w:val="21"/>
                <w:szCs w:val="21"/>
                <w:highlight w:val="none"/>
                <w:lang w:val="en-US" w:eastAsia="zh-CN"/>
              </w:rPr>
              <w:t>6</w:t>
            </w:r>
            <w:r>
              <w:rPr>
                <w:rFonts w:hint="eastAsia" w:ascii="宋体" w:hAnsi="宋体" w:cs="宋体"/>
                <w:color w:val="auto"/>
                <w:kern w:val="21"/>
                <w:sz w:val="21"/>
                <w:szCs w:val="21"/>
                <w:highlight w:val="none"/>
                <w:lang w:eastAsia="zh-CN"/>
              </w:rPr>
              <w:t xml:space="preserve">本招标文件规定的否决投标条款包含在以下条款： </w:t>
            </w:r>
          </w:p>
          <w:p w14:paraId="2B206303">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 xml:space="preserve">（1）招标公告第 3 点 投标人资格要求； </w:t>
            </w:r>
          </w:p>
          <w:p w14:paraId="25D5B8CA">
            <w:pPr>
              <w:keepNext w:val="0"/>
              <w:keepLines w:val="0"/>
              <w:suppressLineNumbers w:val="0"/>
              <w:adjustRightInd w:val="0"/>
              <w:snapToGrid w:val="0"/>
              <w:spacing w:before="0" w:beforeAutospacing="0" w:after="0" w:afterAutospacing="0" w:line="400" w:lineRule="exact"/>
              <w:ind w:left="0" w:right="0" w:firstLine="420" w:firstLineChars="200"/>
              <w:jc w:val="both"/>
              <w:rPr>
                <w:rFonts w:hint="eastAsia"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（2）</w:t>
            </w:r>
            <w:r>
              <w:rPr>
                <w:rFonts w:hint="eastAsia" w:ascii="宋体" w:hAnsi="宋体" w:cs="宋体"/>
                <w:color w:val="auto"/>
                <w:kern w:val="21"/>
                <w:sz w:val="21"/>
                <w:szCs w:val="21"/>
                <w:highlight w:val="none"/>
                <w:u w:val="single"/>
                <w:lang w:eastAsia="zh-CN"/>
              </w:rPr>
              <w:t>投标人须知 1.4.3 项、1.4.4 项、1.4.5 项、1.12 项、3.5项</w:t>
            </w:r>
            <w:r>
              <w:rPr>
                <w:rFonts w:hint="eastAsia" w:ascii="宋体" w:hAnsi="宋体" w:cs="宋体"/>
                <w:color w:val="auto"/>
                <w:kern w:val="21"/>
                <w:sz w:val="21"/>
                <w:szCs w:val="21"/>
                <w:highlight w:val="none"/>
                <w:lang w:eastAsia="zh-CN"/>
              </w:rPr>
              <w:t xml:space="preserve">； </w:t>
            </w:r>
          </w:p>
          <w:p w14:paraId="2CA206BC">
            <w:pPr>
              <w:keepNext w:val="0"/>
              <w:keepLines w:val="0"/>
              <w:suppressLineNumbers w:val="0"/>
              <w:adjustRightInd w:val="0"/>
              <w:snapToGrid w:val="0"/>
              <w:spacing w:before="0" w:beforeAutospacing="0" w:after="0" w:afterAutospacing="0" w:line="400" w:lineRule="exact"/>
              <w:ind w:left="0" w:right="0" w:firstLine="420" w:firstLineChars="200"/>
              <w:jc w:val="both"/>
              <w:rPr>
                <w:rFonts w:hint="default" w:ascii="宋体" w:hAnsi="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（3）本评标办法的否决条款。</w:t>
            </w:r>
          </w:p>
        </w:tc>
      </w:tr>
    </w:tbl>
    <w:p w14:paraId="6CD92B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3CE3">
    <w:pPr>
      <w:pStyle w:val="2"/>
      <w:jc w:val="center"/>
    </w:pPr>
    <w:r>
      <w:fldChar w:fldCharType="begin"/>
    </w:r>
    <w:r>
      <w:instrText xml:space="preserve"> PAGE   \* MERGEFORMAT </w:instrText>
    </w:r>
    <w:r>
      <w:fldChar w:fldCharType="separate"/>
    </w:r>
    <w:r>
      <w:rPr>
        <w:lang w:val="zh-CN"/>
      </w:rPr>
      <w:t>28</w:t>
    </w:r>
    <w:r>
      <w:fldChar w:fldCharType="end"/>
    </w:r>
  </w:p>
  <w:p w14:paraId="4AAD1B3E">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55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imes New Roman" w:hAnsi="Times New Roman" w:eastAsia="宋体" w:cs="Times New Roman"/>
      <w:sz w:val="22"/>
      <w:szCs w:val="22"/>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customStyle="1" w:styleId="5">
    <w:name w:val="Table Paragraph"/>
    <w:basedOn w:val="1"/>
    <w:qFormat/>
    <w:uiPriority w:val="1"/>
  </w:style>
  <w:style w:type="paragraph" w:customStyle="1" w:styleId="6">
    <w:name w:val="样式 宋体 行距: 1.5 倍行距"/>
    <w:basedOn w:val="1"/>
    <w:qFormat/>
    <w:uiPriority w:val="0"/>
    <w:pPr>
      <w:jc w:val="center"/>
    </w:pPr>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2025-07-02T03:37:32Z</dcterms:created>
  <dc:creator>Administrator</dc:creator>
  <cp:lastModifiedBy>NTKO</cp:lastModifiedBy>
  <dcterms:modified xsi:type="dcterms:W3CDTF">2025-07-02T03:38:16Z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eyJoZGlkIjoiMDJmZDg4NzIzNTAyMjFkOGEyMjA2YTMwMDE0OGVmZjAiLCJ1c2VySWQiOiI1MDk3ODM1OTQifQ==</vt:lpwstr>
  </property>
  <property fmtid="{D5CDD505-2E9C-101B-9397-08002B2CF9AE}" pid="4" name="ICV">
    <vt:lpwstr>25DDEBF60DB8486595CF85E30BE280F2_12</vt:lpwstr>
  </property>
</Properties>
</file>