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</w:pPr>
      <w:bookmarkStart w:id="0" w:name="_Toc8445"/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  <w:t>附件A-项目信息清单</w:t>
      </w:r>
    </w:p>
    <w:p>
      <w:pPr>
        <w:pStyle w:val="2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  <w:t>标的名称：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highlight w:val="none"/>
          <w:u w:val="single"/>
        </w:rPr>
        <w:t>广东电网有限责任公司惠州博罗供电局杨村供电所技术业务用房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highlight w:val="none"/>
          <w:u w:val="single"/>
          <w:lang w:eastAsia="zh-CN"/>
        </w:rPr>
        <w:t>施工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highlight w:val="none"/>
          <w:u w:val="single"/>
        </w:rPr>
        <w:t xml:space="preserve"> </w:t>
      </w:r>
    </w:p>
    <w:p>
      <w:pPr>
        <w:pStyle w:val="2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  <w:t>标段名称：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highlight w:val="none"/>
          <w:u w:val="single"/>
        </w:rPr>
        <w:t>广东电网有限责任公司惠州博罗供电局杨村供电所技术业务用房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highlight w:val="none"/>
          <w:u w:val="single"/>
          <w:lang w:eastAsia="zh-CN"/>
        </w:rPr>
        <w:t>施工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highlight w:val="none"/>
          <w:u w:val="single"/>
        </w:rPr>
        <w:t xml:space="preserve"> </w:t>
      </w:r>
    </w:p>
    <w:p>
      <w:pPr>
        <w:pStyle w:val="2"/>
        <w:spacing w:line="360" w:lineRule="auto"/>
        <w:jc w:val="center"/>
        <w:rPr>
          <w:rFonts w:hAnsi="宋体" w:cs="宋体"/>
          <w:b/>
          <w:bCs/>
          <w:snapToGrid w:val="0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snapToGrid w:val="0"/>
          <w:sz w:val="21"/>
          <w:szCs w:val="21"/>
          <w:highlight w:val="none"/>
        </w:rPr>
        <w:t>项目信息表</w:t>
      </w:r>
    </w:p>
    <w:tbl>
      <w:tblPr>
        <w:tblStyle w:val="10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226"/>
        <w:gridCol w:w="5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06" w:type="pct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条款名称</w:t>
            </w:r>
          </w:p>
        </w:tc>
        <w:tc>
          <w:tcPr>
            <w:tcW w:w="3202" w:type="pct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可研批复文号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i/>
                <w:iCs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广电规〔2023〕209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项目备案文号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2406-441322-04-01-134599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初设批复文号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i/>
                <w:iCs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广电建〔2024〕132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资金落实情况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惠供电计〔2024〕23号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施工图预算批复文号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广电建〔2025〕29号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项目建设单位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广东电网有限责任公司惠州供电局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项目建设地点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广东省惠州市博罗</w:t>
            </w:r>
            <w:r>
              <w:rPr>
                <w:rFonts w:hint="eastAsia" w:ascii="宋体" w:hAnsi="宋体" w:cs="宋体"/>
                <w:bCs/>
                <w:szCs w:val="21"/>
                <w:highlight w:val="none"/>
                <w:lang w:eastAsia="zh-CN"/>
              </w:rPr>
              <w:t>县杨村镇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pStyle w:val="2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306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工     期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计划工期：304日历天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计划开工日期：2025年5月30日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计划竣工日期：2026年3月30日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306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项目可研单位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惠州电力勘察设计院有限公司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306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项目勘察设计单位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惠州电力勘察设计院有限公司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1306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项目监理单位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惠州市新科创工程建设监理有限公司</w:t>
            </w:r>
          </w:p>
        </w:tc>
      </w:tr>
    </w:tbl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</w:rPr>
        <w:t>（一）项目概况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：</w:t>
      </w:r>
      <w:bookmarkEnd w:id="0"/>
      <w:bookmarkStart w:id="1" w:name="_Toc28718"/>
      <w:bookmarkStart w:id="2" w:name="_Toc4755"/>
      <w:bookmarkStart w:id="3" w:name="_Toc13498"/>
    </w:p>
    <w:bookmarkEnd w:id="1"/>
    <w:bookmarkEnd w:id="2"/>
    <w:bookmarkEnd w:id="3"/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/>
          <w:bCs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本工程为惠州博罗供电局杨村供电所技术业务用房，位于广东省惠州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val="en-US" w:eastAsia="zh-CN"/>
        </w:rPr>
        <w:t>市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。项目总用地面积</w:t>
      </w:r>
      <w:r>
        <w:rPr>
          <w:rFonts w:hint="eastAsia" w:ascii="宋体" w:hAnsi="Courier New" w:eastAsia="宋体" w:cs="Times New Roman"/>
          <w:kern w:val="2"/>
          <w:sz w:val="21"/>
          <w:szCs w:val="20"/>
          <w:highlight w:val="none"/>
          <w:lang w:val="en-US" w:eastAsia="zh-CN" w:bidi="ar-SA"/>
        </w:rPr>
        <w:t>1196.10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平方米,本期用地面积:</w:t>
      </w:r>
      <w:r>
        <w:rPr>
          <w:rFonts w:hint="eastAsia" w:ascii="宋体" w:hAnsi="Courier New" w:eastAsia="宋体" w:cs="Times New Roman"/>
          <w:kern w:val="2"/>
          <w:sz w:val="21"/>
          <w:szCs w:val="20"/>
          <w:highlight w:val="none"/>
          <w:lang w:val="en-US" w:eastAsia="zh-CN" w:bidi="ar-SA"/>
        </w:rPr>
        <w:t>392.32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平方米，总建筑面积</w:t>
      </w:r>
      <w:r>
        <w:rPr>
          <w:rFonts w:hint="eastAsia" w:ascii="宋体" w:hAnsi="Courier New" w:eastAsia="宋体" w:cs="Times New Roman"/>
          <w:kern w:val="2"/>
          <w:sz w:val="21"/>
          <w:szCs w:val="20"/>
          <w:highlight w:val="none"/>
          <w:lang w:val="en-US" w:eastAsia="zh-CN" w:bidi="ar-SA"/>
        </w:rPr>
        <w:t>1196.10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 xml:space="preserve">平方米，建筑高度 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val="en-US" w:eastAsia="zh-CN"/>
        </w:rPr>
        <w:t>13.15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米，建筑层数为地上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层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eastAsia="zh-CN"/>
        </w:rPr>
        <w:t>。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  <w:highlight w:val="none"/>
        </w:rPr>
        <w:t>（二）采购范围：</w:t>
      </w:r>
    </w:p>
    <w:p>
      <w:pPr>
        <w:pStyle w:val="4"/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</w:rPr>
        <w:t>建筑工程包括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val="en-US" w:eastAsia="zh-CN"/>
        </w:rPr>
        <w:t>土石方工程、砌筑工程、混凝土及钢筋混凝土工程、门窗工程、屋面及防水工程、保温、隔热、防腐工程、楼地面装饰工程、墙、柱面装饰与隔断、幕墙工程、天棚工程、油漆、涂料、裱糊工程、其他装饰工程、措施项目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val="en-US" w:eastAsia="zh-CN"/>
        </w:rPr>
        <w:t>室外道路工程、园林绿化工程、围墙工程、场地大型土石方工程、边坡支护工程、拆除工程。</w:t>
      </w:r>
    </w:p>
    <w:p>
      <w:pPr>
        <w:pStyle w:val="4"/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</w:rPr>
        <w:t>安装工程包括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val="en-US" w:eastAsia="zh-CN"/>
        </w:rPr>
        <w:t>电气工程、给排水工程、暖通工程、智能化工程、室外电气工程、室外给排水工程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</w:rPr>
        <w:t>。</w:t>
      </w:r>
    </w:p>
    <w:p>
      <w:pPr>
        <w:pStyle w:val="4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t>（三）承包方式：</w:t>
      </w:r>
    </w:p>
    <w:p>
      <w:pPr>
        <w:pStyle w:val="2"/>
        <w:spacing w:line="360" w:lineRule="auto"/>
        <w:ind w:firstLine="420" w:firstLineChars="200"/>
        <w:rPr>
          <w:rFonts w:hAnsi="宋体"/>
          <w:b/>
          <w:bCs/>
          <w:kern w:val="2"/>
          <w:sz w:val="21"/>
          <w:szCs w:val="21"/>
          <w:highlight w:val="none"/>
          <w:u w:val="none"/>
        </w:rPr>
      </w:pPr>
      <w:r>
        <w:rPr>
          <w:rFonts w:hint="eastAsia" w:hAnsi="宋体" w:cs="宋体" w:eastAsiaTheme="minorEastAsia"/>
          <w:sz w:val="21"/>
          <w:szCs w:val="21"/>
          <w:highlight w:val="none"/>
          <w:u w:val="none"/>
          <w:lang w:val="en-US" w:eastAsia="zh-CN"/>
        </w:rPr>
        <w:t>包工包料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none"/>
        </w:rPr>
        <w:t>。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bCs/>
          <w:i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i w:val="0"/>
          <w:color w:val="auto"/>
          <w:sz w:val="21"/>
          <w:szCs w:val="21"/>
          <w:highlight w:val="none"/>
        </w:rPr>
        <w:t>（四）报价表</w:t>
      </w:r>
    </w:p>
    <w:p>
      <w:pPr>
        <w:rPr>
          <w:highlight w:val="none"/>
        </w:rPr>
      </w:pPr>
    </w:p>
    <w:tbl>
      <w:tblPr>
        <w:tblStyle w:val="9"/>
        <w:tblW w:w="833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9"/>
        <w:gridCol w:w="1425"/>
        <w:gridCol w:w="1275"/>
        <w:gridCol w:w="1065"/>
        <w:gridCol w:w="671"/>
        <w:gridCol w:w="539"/>
        <w:gridCol w:w="824"/>
        <w:gridCol w:w="1028"/>
        <w:gridCol w:w="784"/>
        <w:gridCol w:w="3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1" w:hRule="atLeast"/>
        </w:trPr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序　号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工程或费用名称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最高投标限价（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其中安全文明施工费（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暂估价（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投标下浮率（%）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投标报价（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其中安全文明施工费（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暂估价（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备  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广东电网有限责任公司惠州博罗供电局杨村供电所技术业务用房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609.289377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38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val="en-US" w:eastAsia="zh-CN" w:bidi="ar"/>
              </w:rPr>
              <w:t>/</w:t>
            </w:r>
          </w:p>
        </w:tc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合计（小写）：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609.289377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38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1</w:t>
            </w:r>
            <w:bookmarkStart w:id="4" w:name="_GoBack"/>
            <w:bookmarkEnd w:id="4"/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val="en-US" w:eastAsia="zh-CN" w:bidi="ar"/>
              </w:rPr>
              <w:t>/</w:t>
            </w:r>
          </w:p>
        </w:tc>
        <w:tc>
          <w:tcPr>
            <w:tcW w:w="5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7" w:hRule="atLeast"/>
        </w:trPr>
        <w:tc>
          <w:tcPr>
            <w:tcW w:w="8333" w:type="dxa"/>
            <w:gridSpan w:val="10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报价要求：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（1）金额报价，同时填报投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bidi="ar"/>
              </w:rPr>
              <w:t>标下浮率。投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标下浮率＝[1－(投标报价-安全文明施工费-暂估价）/（最高投标限价-安全文明施工费-暂估价)]×100%（保留两位小数，如：8.88%）。当投标金额报价与投标下浮率计算结果不一致时，以投标金额报价为准，按公式修订投标下浮率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（2）投标人所报的金额≤最高投标限价的为有效报价，为避免恶意竞争，低于成本价报价，投标报价＜最高限价的85%时应在投标文件中附成本分析报告。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（3）安全文明施工费、暂估价需按照公布的金额固定报价，不得自行变更，否则视为原则性不响应招标文件要求，作否决投标处理。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i/>
          <w:iCs/>
          <w:szCs w:val="21"/>
          <w:highlight w:val="none"/>
        </w:rPr>
      </w:pPr>
    </w:p>
    <w:p>
      <w:pPr>
        <w:pStyle w:val="2"/>
        <w:spacing w:line="480" w:lineRule="atLeast"/>
        <w:ind w:firstLine="400" w:firstLineChars="200"/>
        <w:rPr>
          <w:rFonts w:asciiTheme="minorEastAsia" w:hAnsiTheme="minorEastAsia" w:eastAsiaTheme="minorEastAsia" w:cstheme="minorEastAsia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3NjRjYzNlZWVmZTc3N2RkNGJmYTAxNWM2ZTlkZDQifQ=="/>
  </w:docVars>
  <w:rsids>
    <w:rsidRoot w:val="24F737D8"/>
    <w:rsid w:val="005015C0"/>
    <w:rsid w:val="006D23EA"/>
    <w:rsid w:val="00A93E5B"/>
    <w:rsid w:val="00E91CDA"/>
    <w:rsid w:val="04A24F71"/>
    <w:rsid w:val="0BC07002"/>
    <w:rsid w:val="0D5A4DF7"/>
    <w:rsid w:val="0F5F38ED"/>
    <w:rsid w:val="116419AD"/>
    <w:rsid w:val="11DF6CFE"/>
    <w:rsid w:val="14440D4B"/>
    <w:rsid w:val="14936962"/>
    <w:rsid w:val="15056A61"/>
    <w:rsid w:val="15BF0901"/>
    <w:rsid w:val="18E57496"/>
    <w:rsid w:val="196633D1"/>
    <w:rsid w:val="1B663F82"/>
    <w:rsid w:val="216F4D5B"/>
    <w:rsid w:val="24F737D8"/>
    <w:rsid w:val="2C111613"/>
    <w:rsid w:val="2FF65FF8"/>
    <w:rsid w:val="300D195C"/>
    <w:rsid w:val="30BF37B5"/>
    <w:rsid w:val="361736AD"/>
    <w:rsid w:val="36D200CF"/>
    <w:rsid w:val="38382DC3"/>
    <w:rsid w:val="38DE045C"/>
    <w:rsid w:val="3C3F16DA"/>
    <w:rsid w:val="3C4A35F1"/>
    <w:rsid w:val="3EE71BE4"/>
    <w:rsid w:val="44D414C9"/>
    <w:rsid w:val="45D87F45"/>
    <w:rsid w:val="46472D5E"/>
    <w:rsid w:val="4B3A1BDA"/>
    <w:rsid w:val="4E4361B3"/>
    <w:rsid w:val="4FFC1337"/>
    <w:rsid w:val="507B3005"/>
    <w:rsid w:val="52E734B9"/>
    <w:rsid w:val="55C3156A"/>
    <w:rsid w:val="608606DE"/>
    <w:rsid w:val="6619477B"/>
    <w:rsid w:val="66C35559"/>
    <w:rsid w:val="69320643"/>
    <w:rsid w:val="699A143B"/>
    <w:rsid w:val="6A287B5E"/>
    <w:rsid w:val="6B303A1A"/>
    <w:rsid w:val="6D5E30F4"/>
    <w:rsid w:val="6DAA2FDF"/>
    <w:rsid w:val="6E121228"/>
    <w:rsid w:val="7065127C"/>
    <w:rsid w:val="70D1495F"/>
    <w:rsid w:val="73982E36"/>
    <w:rsid w:val="776F3362"/>
    <w:rsid w:val="7D833355"/>
    <w:rsid w:val="7E3420E0"/>
    <w:rsid w:val="7F3A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unhideWhenUsed/>
    <w:qFormat/>
    <w:uiPriority w:val="99"/>
    <w:pPr>
      <w:autoSpaceDE w:val="0"/>
      <w:autoSpaceDN w:val="0"/>
      <w:adjustRightInd w:val="0"/>
      <w:outlineLvl w:val="0"/>
    </w:pPr>
    <w:rPr>
      <w:rFonts w:ascii="Arial" w:hAnsi="Arial"/>
      <w:b/>
      <w:color w:val="000000"/>
      <w:sz w:val="32"/>
    </w:rPr>
  </w:style>
  <w:style w:type="paragraph" w:styleId="4">
    <w:name w:val="heading 2"/>
    <w:basedOn w:val="1"/>
    <w:next w:val="1"/>
    <w:unhideWhenUsed/>
    <w:qFormat/>
    <w:uiPriority w:val="99"/>
    <w:pPr>
      <w:autoSpaceDE w:val="0"/>
      <w:autoSpaceDN w:val="0"/>
      <w:adjustRightInd w:val="0"/>
      <w:outlineLvl w:val="1"/>
    </w:pPr>
    <w:rPr>
      <w:rFonts w:ascii="Arial" w:hAnsi="Arial"/>
      <w:b/>
      <w:i/>
      <w:color w:val="000000"/>
      <w:sz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Normal Indent"/>
    <w:basedOn w:val="1"/>
    <w:qFormat/>
    <w:uiPriority w:val="0"/>
    <w:pPr>
      <w:ind w:firstLine="420"/>
    </w:pPr>
    <w:rPr>
      <w:rFonts w:ascii="Times New Roman" w:hAnsi="Times New Roman"/>
      <w:kern w:val="0"/>
      <w:sz w:val="20"/>
      <w:szCs w:val="20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character" w:customStyle="1" w:styleId="13">
    <w:name w:val="页眉 字符"/>
    <w:basedOn w:val="11"/>
    <w:link w:val="8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页脚 字符"/>
    <w:basedOn w:val="11"/>
    <w:link w:val="7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985</Words>
  <Characters>1123</Characters>
  <Lines>6</Lines>
  <Paragraphs>1</Paragraphs>
  <TotalTime>0</TotalTime>
  <ScaleCrop>false</ScaleCrop>
  <LinksUpToDate>false</LinksUpToDate>
  <CharactersWithSpaces>1153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林彩燕</cp:lastModifiedBy>
  <dcterms:modified xsi:type="dcterms:W3CDTF">2025-04-10T08:29:42Z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71A695512AD54C2FADD29DB3551318B0</vt:lpwstr>
  </property>
  <property fmtid="{D5CDD505-2E9C-101B-9397-08002B2CF9AE}" pid="4" name="KSOTemplateDocerSaveRecord">
    <vt:lpwstr>eyJoZGlkIjoiOGM3MTQ0NWQzYzZiY2M0MzM3NzhhMmYxYjIwNjdkNjYiLCJ1c2VySWQiOiI3MTEzOTIwNTcifQ==</vt:lpwstr>
  </property>
</Properties>
</file>