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bookmarkStart w:id="0" w:name="_Toc8445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附件A-项目信息清单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标的名称：韶关供电局变电管理所(巡线站)施工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标段名称： 韶关供电局变电管理所(巡线站)施工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hAnsi="宋体" w:cs="宋体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hAnsi="宋体" w:cs="宋体"/>
          <w:b/>
          <w:bCs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项目信息表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226"/>
        <w:gridCol w:w="5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6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条款名称</w:t>
            </w:r>
          </w:p>
        </w:tc>
        <w:tc>
          <w:tcPr>
            <w:tcW w:w="320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可研批复文号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广电规〔2023〕186号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项目备案文号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2411-440203-04-01-663954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初设批复文号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广电建〔2024〕143号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资金落实情况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韶供电计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〔202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施工图预算批复文号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广电建〔2025〕27号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项目建设单位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广东电网有限责任公司韶关供电局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06" w:type="pct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项目建设地点</w:t>
            </w:r>
          </w:p>
        </w:tc>
        <w:tc>
          <w:tcPr>
            <w:tcW w:w="3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韶关市武江区西联镇焦冲村220千伏芙蓉变电站南侧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/>
          <w:iCs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  <w:t>填写要求：根据可研勘察设计、监理、施工或总承包等不同采购类型选择填写批复文件，应提供的批复但还未提供的填“无”，无需提供的填“\”。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（一）项目概况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：</w:t>
      </w:r>
      <w:bookmarkEnd w:id="0"/>
      <w:bookmarkStart w:id="1" w:name="_Toc4755"/>
      <w:bookmarkStart w:id="2" w:name="_Toc28718"/>
      <w:bookmarkStart w:id="3" w:name="_Toc13498"/>
    </w:p>
    <w:bookmarkEnd w:id="1"/>
    <w:bookmarkEnd w:id="2"/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韶关供电局变电管理所(巡线站)，建设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</w:rPr>
        <w:t>地点位于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韶关市武江区西联镇焦冲村220千伏芙蓉变电站南侧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</w:rPr>
        <w:t>，项目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总建筑面积7153.82m2，地上6层建筑，地上建筑面积4972.36㎡，地下1层，地下建筑面积2181.46㎡，建筑高度23.5m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</w:rPr>
        <w:t>。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具体建设规模已施工图为准。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（二）采购范围：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施工图纸范围内建筑、安装，包括基础工程、地下室结构工程、地下室室内装修工程地上结构工程、地上室内装修工程、地上外立面装修工程、电气工程、给排水工程、通风、空调工程、智能化工程、消防工程、电梯工程、道路、场地工程、绿化工程、室外给排水工程、室外电气工程、围墙工程（含大门）、地基处理工程、基坑支护、大型土石方工程等，具体内容以施工图纸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  <w:t>（三）承包方式：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包工、包料、包工期、包质量、包安全、包文明施工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  <w:t>（四）报价表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4150" w:type="dxa"/>
        <w:tblInd w:w="-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529"/>
        <w:gridCol w:w="1823"/>
        <w:gridCol w:w="1688"/>
        <w:gridCol w:w="1687"/>
        <w:gridCol w:w="1513"/>
        <w:gridCol w:w="1650"/>
        <w:gridCol w:w="1637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　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工程或费用名称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最高投标限价（元）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其中绿色施工安全防护措施费（元）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暂估价（元）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12" w:name="_GoBack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其中绿色施工安全防护措施费</w:t>
            </w:r>
            <w:r>
              <w:rPr>
                <w:rFonts w:hint="eastAsia" w:hAnsi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（元）</w:t>
            </w:r>
            <w:bookmarkEnd w:id="12"/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暂估价</w:t>
            </w:r>
            <w:bookmarkEnd w:id="4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5" w:name="OLE_LINK8" w:colFirst="2" w:colLast="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  <w:t>韶关供电局变电管理所（巡线站）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33445063.54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1871643.19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731050.5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bookmarkEnd w:id="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6" w:name="OLE_LINK1" w:colFirst="3" w:colLast="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  <w:t>地下建筑结构工程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8682403.72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463114.63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  <w:t>地上建筑结构工程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12488043.08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869427.14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7" w:name="OLE_LINK7" w:colFirst="4" w:colLast="5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8417172.68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360435.02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215730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抗震支架</w:t>
            </w:r>
            <w:bookmarkStart w:id="8" w:name="OLE_LINK6"/>
            <w:bookmarkStart w:id="9" w:name="OLE_LINK4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暂估价</w:t>
            </w:r>
            <w:bookmarkEnd w:id="8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215730</w:t>
            </w:r>
            <w:bookmarkEnd w:id="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配套辅助工程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成品岗亭（门卫室）暂估价100000元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2354096.9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106573.25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215320.5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VI标识系统工程</w:t>
            </w:r>
            <w:bookmarkStart w:id="10" w:name="OLE_LINK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暂估价215320.5</w:t>
            </w:r>
            <w:bookmarkEnd w:id="1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818448.47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55429.62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  <w:t>红线外市政管网配套接入费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286377.12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2915.72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200000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室外给排水工程</w:t>
            </w:r>
            <w:bookmarkStart w:id="11" w:name="OLE_LINK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暂估价200000</w:t>
            </w:r>
            <w:bookmarkEnd w:id="1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highlight w:val="none"/>
                <w:u w:val="none"/>
              </w:rPr>
              <w:t>红线外路面硬化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298521.57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13747.81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bookmarkEnd w:id="6"/>
      <w:bookmarkEnd w:id="7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合计（小写）：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33445063.54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1871643.19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731050.5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报价要求：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1、投标人所报的金额≤最高投标限价的为有效报价，为避免恶意竞争，低于成本价报价，投标报价＜最高限价的（详见招标文件规定比例）比例时应在投标文件中附成本分析报告。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、绿色施工安全防护措施费、暂估价需按照公布的金额固定报价，不得自行变更，否则视为原则性不响应招标文件要求，作否决投标处理。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Y0YmM0NjMwZmQwYmQxZjM3YjBmZTBiZmI2OGUifQ=="/>
  </w:docVars>
  <w:rsids>
    <w:rsidRoot w:val="24F737D8"/>
    <w:rsid w:val="03B74BD9"/>
    <w:rsid w:val="04A24F71"/>
    <w:rsid w:val="0BC07002"/>
    <w:rsid w:val="0C2170B2"/>
    <w:rsid w:val="10DB1755"/>
    <w:rsid w:val="116419AD"/>
    <w:rsid w:val="11DF6CFE"/>
    <w:rsid w:val="12133065"/>
    <w:rsid w:val="14440D4B"/>
    <w:rsid w:val="15056A61"/>
    <w:rsid w:val="1872432F"/>
    <w:rsid w:val="18E57496"/>
    <w:rsid w:val="196633D1"/>
    <w:rsid w:val="1B663F82"/>
    <w:rsid w:val="1C3B419A"/>
    <w:rsid w:val="1D746848"/>
    <w:rsid w:val="1EA41670"/>
    <w:rsid w:val="216F4D5B"/>
    <w:rsid w:val="24F737D8"/>
    <w:rsid w:val="2FF65FF8"/>
    <w:rsid w:val="300D195C"/>
    <w:rsid w:val="30BF37B5"/>
    <w:rsid w:val="361736AD"/>
    <w:rsid w:val="36D200CF"/>
    <w:rsid w:val="38382DC3"/>
    <w:rsid w:val="38DE045C"/>
    <w:rsid w:val="39957106"/>
    <w:rsid w:val="3C4A35F1"/>
    <w:rsid w:val="44D414C9"/>
    <w:rsid w:val="46472D5E"/>
    <w:rsid w:val="49900741"/>
    <w:rsid w:val="4B3A1BDA"/>
    <w:rsid w:val="507B3005"/>
    <w:rsid w:val="52E734B9"/>
    <w:rsid w:val="54FA7165"/>
    <w:rsid w:val="55C3156A"/>
    <w:rsid w:val="5C845E51"/>
    <w:rsid w:val="608606DE"/>
    <w:rsid w:val="66C35559"/>
    <w:rsid w:val="699A143B"/>
    <w:rsid w:val="6A287B5E"/>
    <w:rsid w:val="6B303A1A"/>
    <w:rsid w:val="6CB04D38"/>
    <w:rsid w:val="6DAA2FDF"/>
    <w:rsid w:val="6E121228"/>
    <w:rsid w:val="6F247264"/>
    <w:rsid w:val="6F686493"/>
    <w:rsid w:val="70D1495F"/>
    <w:rsid w:val="73982E36"/>
    <w:rsid w:val="7A541D52"/>
    <w:rsid w:val="7E34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/>
      <w:kern w:val="0"/>
      <w:sz w:val="20"/>
      <w:szCs w:val="20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2021-02-24T07:45:00Z</dcterms:created>
  <dc:creator>maja</dc:creator>
  <cp:lastModifiedBy>陈成坚</cp:lastModifiedBy>
  <dcterms:modified xsi:type="dcterms:W3CDTF">2025-06-04T09:27:27Z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71A695512AD54C2FADD29DB3551318B0</vt:lpwstr>
  </property>
</Properties>
</file>