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4A93F">
      <w:pPr>
        <w:pStyle w:val="2"/>
        <w:ind w:firstLine="880"/>
        <w:rPr>
          <w:rFonts w:ascii="宋体" w:hAnsi="宋体" w:cs="宋体"/>
          <w:sz w:val="44"/>
          <w:szCs w:val="44"/>
          <w:highlight w:val="none"/>
        </w:rPr>
      </w:pPr>
    </w:p>
    <w:p w14:paraId="11DDD5E0">
      <w:pPr>
        <w:jc w:val="center"/>
        <w:rPr>
          <w:rFonts w:ascii="宋体" w:hAnsi="宋体" w:cs="宋体"/>
          <w:sz w:val="44"/>
          <w:szCs w:val="44"/>
          <w:highlight w:val="none"/>
        </w:rPr>
      </w:pPr>
    </w:p>
    <w:p w14:paraId="7C88D609">
      <w:pPr>
        <w:spacing w:line="276" w:lineRule="auto"/>
        <w:jc w:val="center"/>
        <w:rPr>
          <w:rFonts w:hint="eastAsia" w:ascii="宋体" w:hAnsi="宋体" w:eastAsia="宋体" w:cs="宋体"/>
          <w:b/>
          <w:bCs/>
          <w:sz w:val="48"/>
          <w:szCs w:val="48"/>
          <w:highlight w:val="none"/>
          <w:lang w:eastAsia="zh-CN"/>
        </w:rPr>
      </w:pPr>
      <w:bookmarkStart w:id="0" w:name="OLE_LINK1"/>
      <w:r>
        <w:rPr>
          <w:rFonts w:hint="eastAsia" w:ascii="宋体" w:hAnsi="宋体" w:cs="宋体"/>
          <w:b/>
          <w:bCs/>
          <w:sz w:val="48"/>
          <w:szCs w:val="48"/>
          <w:highlight w:val="none"/>
          <w:lang w:eastAsia="zh-CN"/>
        </w:rPr>
        <w:t>广东省国家紧急医学救援基地</w:t>
      </w:r>
      <w:r>
        <w:rPr>
          <w:rFonts w:hint="eastAsia" w:ascii="宋体" w:hAnsi="宋体" w:cs="宋体"/>
          <w:b/>
          <w:bCs/>
          <w:sz w:val="48"/>
          <w:szCs w:val="48"/>
          <w:highlight w:val="none"/>
          <w:lang w:val="en-US" w:eastAsia="zh-CN"/>
        </w:rPr>
        <w:t>项目</w:t>
      </w:r>
      <w:r>
        <w:rPr>
          <w:rFonts w:hint="eastAsia" w:ascii="宋体" w:hAnsi="宋体" w:cs="宋体"/>
          <w:b/>
          <w:bCs/>
          <w:sz w:val="48"/>
          <w:szCs w:val="48"/>
          <w:highlight w:val="none"/>
          <w:lang w:eastAsia="zh-CN"/>
        </w:rPr>
        <w:t>勘察设计</w:t>
      </w:r>
    </w:p>
    <w:bookmarkEnd w:id="0"/>
    <w:p w14:paraId="2A29EACF">
      <w:pPr>
        <w:rPr>
          <w:rFonts w:ascii="宋体" w:hAnsi="宋体" w:cs="宋体"/>
          <w:bCs/>
          <w:sz w:val="20"/>
          <w:szCs w:val="20"/>
          <w:highlight w:val="none"/>
        </w:rPr>
      </w:pPr>
    </w:p>
    <w:p w14:paraId="3A838551">
      <w:pPr>
        <w:rPr>
          <w:rFonts w:ascii="宋体" w:hAnsi="宋体" w:cs="宋体"/>
          <w:bCs/>
          <w:sz w:val="20"/>
          <w:szCs w:val="20"/>
          <w:highlight w:val="none"/>
        </w:rPr>
      </w:pPr>
    </w:p>
    <w:p w14:paraId="4F4042BE">
      <w:pPr>
        <w:jc w:val="center"/>
        <w:rPr>
          <w:rFonts w:ascii="宋体" w:hAnsi="宋体" w:cs="宋体"/>
          <w:sz w:val="96"/>
          <w:szCs w:val="84"/>
          <w:highlight w:val="none"/>
        </w:rPr>
      </w:pPr>
    </w:p>
    <w:p w14:paraId="6CFA12AF">
      <w:pPr>
        <w:jc w:val="center"/>
        <w:rPr>
          <w:rFonts w:ascii="宋体" w:hAnsi="宋体" w:cs="宋体"/>
          <w:sz w:val="96"/>
          <w:szCs w:val="84"/>
          <w:highlight w:val="none"/>
        </w:rPr>
      </w:pPr>
      <w:r>
        <w:rPr>
          <w:rFonts w:hint="eastAsia" w:ascii="宋体" w:hAnsi="宋体" w:cs="宋体"/>
          <w:sz w:val="96"/>
          <w:szCs w:val="84"/>
          <w:highlight w:val="none"/>
        </w:rPr>
        <w:t>招标公告</w:t>
      </w:r>
    </w:p>
    <w:p w14:paraId="46D2877E">
      <w:pPr>
        <w:rPr>
          <w:rFonts w:ascii="宋体" w:hAnsi="宋体" w:cs="宋体"/>
          <w:sz w:val="44"/>
          <w:szCs w:val="44"/>
          <w:highlight w:val="none"/>
        </w:rPr>
      </w:pPr>
    </w:p>
    <w:p w14:paraId="63C42DBD">
      <w:pPr>
        <w:rPr>
          <w:rFonts w:ascii="宋体" w:hAnsi="宋体" w:cs="宋体"/>
          <w:sz w:val="44"/>
          <w:szCs w:val="44"/>
          <w:highlight w:val="none"/>
        </w:rPr>
      </w:pPr>
    </w:p>
    <w:p w14:paraId="6039D211">
      <w:pPr>
        <w:rPr>
          <w:rFonts w:ascii="宋体" w:hAnsi="宋体" w:cs="宋体"/>
          <w:sz w:val="44"/>
          <w:szCs w:val="44"/>
          <w:highlight w:val="none"/>
        </w:rPr>
      </w:pPr>
    </w:p>
    <w:p w14:paraId="7E4FAE14">
      <w:pPr>
        <w:rPr>
          <w:rFonts w:ascii="宋体" w:hAnsi="宋体" w:cs="宋体"/>
          <w:sz w:val="44"/>
          <w:szCs w:val="44"/>
          <w:highlight w:val="none"/>
        </w:rPr>
      </w:pPr>
    </w:p>
    <w:p w14:paraId="3E872BFA">
      <w:pPr>
        <w:spacing w:before="8"/>
        <w:rPr>
          <w:rFonts w:ascii="宋体" w:hAnsi="宋体" w:cs="宋体"/>
          <w:sz w:val="33"/>
          <w:szCs w:val="33"/>
          <w:highlight w:val="none"/>
        </w:rPr>
      </w:pPr>
    </w:p>
    <w:p w14:paraId="0102D20E">
      <w:pPr>
        <w:pStyle w:val="9"/>
        <w:rPr>
          <w:rFonts w:cs="宋体"/>
          <w:sz w:val="33"/>
          <w:szCs w:val="33"/>
          <w:highlight w:val="none"/>
          <w:lang w:eastAsia="zh-CN"/>
        </w:rPr>
      </w:pPr>
    </w:p>
    <w:p w14:paraId="7533D38E">
      <w:pPr>
        <w:pStyle w:val="9"/>
        <w:rPr>
          <w:rFonts w:cs="宋体"/>
          <w:sz w:val="33"/>
          <w:szCs w:val="33"/>
          <w:highlight w:val="none"/>
          <w:lang w:eastAsia="zh-CN"/>
        </w:rPr>
      </w:pPr>
    </w:p>
    <w:p w14:paraId="202B7D94">
      <w:pPr>
        <w:pStyle w:val="9"/>
        <w:rPr>
          <w:rFonts w:cs="宋体"/>
          <w:sz w:val="33"/>
          <w:szCs w:val="33"/>
          <w:highlight w:val="none"/>
          <w:lang w:eastAsia="zh-CN"/>
        </w:rPr>
      </w:pPr>
    </w:p>
    <w:p w14:paraId="7B1D49BD">
      <w:pPr>
        <w:spacing w:before="8"/>
        <w:rPr>
          <w:rFonts w:ascii="宋体" w:hAnsi="宋体" w:cs="宋体"/>
          <w:sz w:val="33"/>
          <w:szCs w:val="33"/>
          <w:highlight w:val="none"/>
        </w:rPr>
      </w:pPr>
    </w:p>
    <w:p w14:paraId="37F6D0EA">
      <w:pPr>
        <w:spacing w:line="360" w:lineRule="auto"/>
        <w:ind w:firstLine="960" w:firstLineChars="300"/>
        <w:rPr>
          <w:rFonts w:ascii="宋体" w:hAnsi="宋体" w:cs="宋体"/>
          <w:sz w:val="32"/>
          <w:szCs w:val="32"/>
          <w:highlight w:val="none"/>
        </w:rPr>
      </w:pPr>
      <w:r>
        <w:rPr>
          <w:rFonts w:hint="eastAsia" w:ascii="宋体" w:hAnsi="宋体" w:cs="宋体"/>
          <w:sz w:val="32"/>
          <w:szCs w:val="32"/>
          <w:highlight w:val="none"/>
        </w:rPr>
        <w:t>招   标   人：广东省代建项目管理局</w:t>
      </w:r>
    </w:p>
    <w:p w14:paraId="0CDCB29E">
      <w:pPr>
        <w:spacing w:line="360" w:lineRule="auto"/>
        <w:ind w:firstLine="960" w:firstLineChars="300"/>
        <w:rPr>
          <w:rFonts w:hint="eastAsia" w:ascii="宋体" w:hAnsi="宋体" w:eastAsia="宋体" w:cs="宋体"/>
          <w:sz w:val="32"/>
          <w:szCs w:val="32"/>
          <w:highlight w:val="none"/>
          <w:lang w:eastAsia="zh-CN"/>
        </w:rPr>
      </w:pPr>
      <w:r>
        <w:rPr>
          <w:rFonts w:hint="eastAsia" w:ascii="宋体" w:hAnsi="宋体" w:cs="宋体"/>
          <w:sz w:val="32"/>
          <w:szCs w:val="32"/>
          <w:highlight w:val="none"/>
        </w:rPr>
        <w:t>招标代理机构：</w:t>
      </w:r>
      <w:r>
        <w:rPr>
          <w:rFonts w:hint="eastAsia" w:ascii="宋体" w:hAnsi="宋体" w:cs="宋体"/>
          <w:sz w:val="32"/>
          <w:highlight w:val="none"/>
          <w:lang w:eastAsia="zh-CN"/>
        </w:rPr>
        <w:t>广州市云兴建设工程监理有限公司</w:t>
      </w:r>
    </w:p>
    <w:p w14:paraId="01D0EA03">
      <w:pPr>
        <w:tabs>
          <w:tab w:val="left" w:pos="561"/>
        </w:tabs>
        <w:spacing w:line="360" w:lineRule="auto"/>
        <w:ind w:firstLine="960" w:firstLineChars="300"/>
        <w:rPr>
          <w:rFonts w:ascii="宋体" w:hAnsi="宋体" w:cs="宋体"/>
          <w:sz w:val="32"/>
          <w:szCs w:val="32"/>
          <w:highlight w:val="none"/>
        </w:rPr>
      </w:pPr>
      <w:r>
        <w:rPr>
          <w:rFonts w:hint="eastAsia" w:ascii="宋体" w:hAnsi="宋体" w:cs="宋体"/>
          <w:sz w:val="32"/>
          <w:szCs w:val="32"/>
          <w:highlight w:val="none"/>
        </w:rPr>
        <w:t>日        期：20</w:t>
      </w:r>
      <w:r>
        <w:rPr>
          <w:rFonts w:hint="eastAsia" w:ascii="宋体" w:hAnsi="宋体" w:cs="宋体"/>
          <w:sz w:val="32"/>
          <w:szCs w:val="32"/>
          <w:highlight w:val="none"/>
          <w:lang w:val="en-US" w:eastAsia="zh-CN"/>
        </w:rPr>
        <w:t>25</w:t>
      </w:r>
      <w:r>
        <w:rPr>
          <w:rFonts w:hint="eastAsia" w:ascii="宋体" w:hAnsi="宋体" w:cs="宋体"/>
          <w:sz w:val="32"/>
          <w:szCs w:val="32"/>
          <w:highlight w:val="none"/>
        </w:rPr>
        <w:t>年</w:t>
      </w:r>
      <w:r>
        <w:rPr>
          <w:rFonts w:hint="eastAsia" w:ascii="宋体" w:hAnsi="宋体" w:cs="宋体"/>
          <w:sz w:val="32"/>
          <w:szCs w:val="32"/>
          <w:highlight w:val="none"/>
          <w:lang w:val="en-US" w:eastAsia="zh-CN"/>
        </w:rPr>
        <w:t>7</w:t>
      </w:r>
      <w:bookmarkStart w:id="10" w:name="_GoBack"/>
      <w:bookmarkEnd w:id="10"/>
      <w:r>
        <w:rPr>
          <w:rFonts w:hint="eastAsia" w:ascii="宋体" w:hAnsi="宋体" w:cs="宋体"/>
          <w:sz w:val="32"/>
          <w:szCs w:val="32"/>
          <w:highlight w:val="none"/>
        </w:rPr>
        <w:t>月</w:t>
      </w:r>
    </w:p>
    <w:p w14:paraId="61A5FF27">
      <w:pPr>
        <w:spacing w:line="360" w:lineRule="auto"/>
        <w:jc w:val="center"/>
        <w:rPr>
          <w:rFonts w:ascii="宋体" w:hAnsi="宋体" w:cs="宋体"/>
          <w:sz w:val="40"/>
          <w:szCs w:val="40"/>
          <w:highlight w:val="none"/>
        </w:rPr>
        <w:sectPr>
          <w:footerReference r:id="rId5" w:type="first"/>
          <w:footerReference r:id="rId3" w:type="default"/>
          <w:footerReference r:id="rId4" w:type="even"/>
          <w:pgSz w:w="11906" w:h="16838"/>
          <w:pgMar w:top="1440" w:right="1134" w:bottom="1440" w:left="1417" w:header="851" w:footer="992" w:gutter="0"/>
          <w:pgNumType w:start="0"/>
          <w:cols w:space="0" w:num="1"/>
          <w:titlePg/>
          <w:rtlGutter w:val="0"/>
          <w:docGrid w:type="lines" w:linePitch="312" w:charSpace="0"/>
        </w:sectPr>
      </w:pPr>
    </w:p>
    <w:p w14:paraId="71414605">
      <w:pPr>
        <w:spacing w:line="360" w:lineRule="auto"/>
        <w:jc w:val="center"/>
        <w:rPr>
          <w:rFonts w:ascii="宋体" w:hAnsi="宋体" w:cs="宋体"/>
          <w:b/>
          <w:bCs/>
          <w:sz w:val="32"/>
          <w:szCs w:val="32"/>
          <w:highlight w:val="none"/>
        </w:rPr>
      </w:pPr>
      <w:r>
        <w:rPr>
          <w:rFonts w:hint="eastAsia" w:ascii="宋体" w:hAnsi="宋体" w:eastAsia="宋体" w:cs="宋体"/>
          <w:b/>
          <w:bCs/>
          <w:snapToGrid/>
          <w:color w:val="auto"/>
          <w:spacing w:val="0"/>
          <w:kern w:val="2"/>
          <w:sz w:val="32"/>
          <w:szCs w:val="32"/>
          <w:highlight w:val="none"/>
          <w:u w:val="none"/>
        </w:rPr>
        <w:t>广东</w:t>
      </w:r>
      <w:r>
        <w:rPr>
          <w:rFonts w:hint="eastAsia" w:ascii="宋体" w:hAnsi="宋体" w:eastAsia="宋体" w:cs="宋体"/>
          <w:b/>
          <w:bCs/>
          <w:snapToGrid/>
          <w:color w:val="auto"/>
          <w:spacing w:val="0"/>
          <w:kern w:val="2"/>
          <w:sz w:val="32"/>
          <w:szCs w:val="32"/>
          <w:highlight w:val="none"/>
          <w:u w:val="none"/>
          <w:lang w:val="en-US" w:eastAsia="zh-CN"/>
        </w:rPr>
        <w:t>省国家紧急医学救援基地</w:t>
      </w:r>
      <w:r>
        <w:rPr>
          <w:rFonts w:hint="eastAsia" w:ascii="宋体" w:hAnsi="宋体" w:cs="宋体"/>
          <w:b/>
          <w:bCs/>
          <w:snapToGrid/>
          <w:spacing w:val="0"/>
          <w:kern w:val="2"/>
          <w:sz w:val="32"/>
          <w:szCs w:val="32"/>
          <w:highlight w:val="none"/>
          <w:u w:val="none"/>
          <w:lang w:val="en-US" w:eastAsia="zh-CN"/>
        </w:rPr>
        <w:t>项目</w:t>
      </w:r>
      <w:r>
        <w:rPr>
          <w:rFonts w:hint="eastAsia" w:ascii="宋体" w:hAnsi="宋体" w:cs="宋体"/>
          <w:b/>
          <w:bCs/>
          <w:sz w:val="32"/>
          <w:szCs w:val="32"/>
          <w:highlight w:val="none"/>
        </w:rPr>
        <w:t>勘察设计</w:t>
      </w:r>
    </w:p>
    <w:p w14:paraId="106FBF4D">
      <w:pPr>
        <w:spacing w:line="360" w:lineRule="auto"/>
        <w:jc w:val="center"/>
        <w:rPr>
          <w:rFonts w:ascii="宋体" w:hAnsi="宋体" w:cs="宋体"/>
          <w:sz w:val="32"/>
          <w:szCs w:val="32"/>
          <w:highlight w:val="none"/>
        </w:rPr>
      </w:pPr>
      <w:r>
        <w:rPr>
          <w:rFonts w:hint="eastAsia" w:ascii="宋体" w:hAnsi="宋体" w:cs="宋体"/>
          <w:sz w:val="32"/>
          <w:szCs w:val="32"/>
          <w:highlight w:val="none"/>
        </w:rPr>
        <w:t>招标公告</w:t>
      </w:r>
    </w:p>
    <w:p w14:paraId="6FB19E0B">
      <w:pPr>
        <w:pStyle w:val="23"/>
        <w:rPr>
          <w:color w:val="auto"/>
          <w:highlight w:val="none"/>
        </w:rPr>
      </w:pPr>
    </w:p>
    <w:p w14:paraId="3E315633">
      <w:pPr>
        <w:pStyle w:val="7"/>
        <w:keepNext/>
        <w:keepLines/>
        <w:pageBreakBefore w:val="0"/>
        <w:widowControl w:val="0"/>
        <w:numPr>
          <w:ilvl w:val="0"/>
          <w:numId w:val="1"/>
        </w:numPr>
        <w:kinsoku/>
        <w:wordWrap/>
        <w:overflowPunct/>
        <w:topLinePunct w:val="0"/>
        <w:autoSpaceDE/>
        <w:autoSpaceDN/>
        <w:bidi w:val="0"/>
        <w:adjustRightInd/>
        <w:snapToGrid/>
        <w:spacing w:before="0" w:after="0"/>
        <w:textAlignment w:val="auto"/>
        <w:rPr>
          <w:highlight w:val="none"/>
        </w:rPr>
      </w:pPr>
      <w:r>
        <w:rPr>
          <w:rFonts w:hint="eastAsia"/>
          <w:highlight w:val="none"/>
        </w:rPr>
        <w:t>招标条件</w:t>
      </w:r>
    </w:p>
    <w:p w14:paraId="14BA9B1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本招标项目</w:t>
      </w:r>
      <w:r>
        <w:rPr>
          <w:rFonts w:hint="eastAsia" w:ascii="宋体" w:hAnsi="宋体" w:cs="宋体"/>
          <w:sz w:val="24"/>
          <w:szCs w:val="24"/>
          <w:highlight w:val="none"/>
          <w:u w:val="single"/>
        </w:rPr>
        <w:t>广东省</w:t>
      </w:r>
      <w:r>
        <w:rPr>
          <w:rFonts w:hint="eastAsia" w:ascii="宋体" w:hAnsi="宋体" w:cs="宋体"/>
          <w:sz w:val="24"/>
          <w:szCs w:val="24"/>
          <w:highlight w:val="none"/>
          <w:u w:val="single"/>
          <w:lang w:val="en-US" w:eastAsia="zh-CN"/>
        </w:rPr>
        <w:t>国家紧急医学救援基地</w:t>
      </w:r>
      <w:r>
        <w:rPr>
          <w:rFonts w:hint="eastAsia" w:ascii="宋体" w:hAnsi="宋体" w:cs="宋体"/>
          <w:sz w:val="24"/>
          <w:szCs w:val="24"/>
          <w:highlight w:val="none"/>
          <w:u w:val="single"/>
        </w:rPr>
        <w:t>项目</w:t>
      </w:r>
      <w:r>
        <w:rPr>
          <w:rFonts w:hint="eastAsia" w:ascii="宋体" w:hAnsi="宋体" w:cs="宋体"/>
          <w:sz w:val="24"/>
          <w:szCs w:val="24"/>
          <w:highlight w:val="none"/>
        </w:rPr>
        <w:t>已由</w:t>
      </w:r>
      <w:r>
        <w:rPr>
          <w:rFonts w:hint="eastAsia" w:ascii="宋体" w:hAnsi="宋体" w:cs="宋体"/>
          <w:sz w:val="24"/>
          <w:highlight w:val="none"/>
          <w:u w:val="single"/>
        </w:rPr>
        <w:t>广东省发展和改革委员会</w:t>
      </w:r>
      <w:r>
        <w:rPr>
          <w:rFonts w:hint="eastAsia" w:ascii="宋体" w:hAnsi="宋体"/>
          <w:sz w:val="24"/>
          <w:highlight w:val="none"/>
        </w:rPr>
        <w:t>以</w:t>
      </w:r>
      <w:r>
        <w:rPr>
          <w:rFonts w:hint="eastAsia" w:ascii="宋体" w:hAnsi="宋体"/>
          <w:sz w:val="24"/>
          <w:highlight w:val="none"/>
          <w:u w:val="single"/>
        </w:rPr>
        <w:t>《</w:t>
      </w:r>
      <w:r>
        <w:rPr>
          <w:rFonts w:hint="eastAsia" w:ascii="宋体" w:hAnsi="宋体" w:cs="宋体"/>
          <w:sz w:val="24"/>
          <w:highlight w:val="none"/>
          <w:u w:val="single"/>
        </w:rPr>
        <w:t>广东省发展改革委关于</w:t>
      </w:r>
      <w:r>
        <w:rPr>
          <w:rFonts w:hint="eastAsia" w:ascii="宋体" w:hAnsi="宋体" w:cs="宋体"/>
          <w:sz w:val="24"/>
          <w:szCs w:val="24"/>
          <w:highlight w:val="none"/>
          <w:u w:val="single"/>
        </w:rPr>
        <w:t>广东省</w:t>
      </w:r>
      <w:r>
        <w:rPr>
          <w:rFonts w:hint="eastAsia" w:ascii="宋体" w:hAnsi="宋体" w:cs="宋体"/>
          <w:sz w:val="24"/>
          <w:szCs w:val="24"/>
          <w:highlight w:val="none"/>
          <w:u w:val="single"/>
          <w:lang w:val="en-US" w:eastAsia="zh-CN"/>
        </w:rPr>
        <w:t>国家紧急医学救援基地</w:t>
      </w:r>
      <w:r>
        <w:rPr>
          <w:rFonts w:hint="eastAsia" w:ascii="宋体" w:hAnsi="宋体" w:cs="宋体"/>
          <w:sz w:val="24"/>
          <w:szCs w:val="24"/>
          <w:highlight w:val="none"/>
          <w:u w:val="single"/>
        </w:rPr>
        <w:t>项目</w:t>
      </w:r>
      <w:r>
        <w:rPr>
          <w:rFonts w:hint="eastAsia" w:ascii="宋体" w:hAnsi="宋体" w:cs="宋体"/>
          <w:sz w:val="24"/>
          <w:highlight w:val="none"/>
          <w:u w:val="single"/>
        </w:rPr>
        <w:t>可行性研究报告的批复</w:t>
      </w:r>
      <w:r>
        <w:rPr>
          <w:rFonts w:hint="eastAsia" w:ascii="宋体" w:hAnsi="宋体"/>
          <w:sz w:val="24"/>
          <w:highlight w:val="none"/>
          <w:u w:val="single"/>
        </w:rPr>
        <w:t>》（粤发改投审</w:t>
      </w:r>
      <w:r>
        <w:rPr>
          <w:rFonts w:hint="eastAsia" w:ascii="宋体" w:hAnsi="宋体" w:cs="宋体"/>
          <w:kern w:val="0"/>
          <w:sz w:val="24"/>
          <w:szCs w:val="24"/>
          <w:highlight w:val="none"/>
          <w:u w:val="single"/>
        </w:rPr>
        <w:t>〔</w:t>
      </w:r>
      <w:r>
        <w:rPr>
          <w:rFonts w:hint="eastAsia" w:ascii="宋体" w:hAnsi="宋体"/>
          <w:sz w:val="24"/>
          <w:highlight w:val="none"/>
          <w:u w:val="single"/>
        </w:rPr>
        <w:t>202</w:t>
      </w:r>
      <w:r>
        <w:rPr>
          <w:rFonts w:hint="eastAsia" w:ascii="宋体" w:hAnsi="宋体"/>
          <w:sz w:val="24"/>
          <w:highlight w:val="none"/>
          <w:u w:val="single"/>
          <w:lang w:val="en-US" w:eastAsia="zh-CN"/>
        </w:rPr>
        <w:t>5</w:t>
      </w:r>
      <w:r>
        <w:rPr>
          <w:rFonts w:hint="eastAsia" w:ascii="宋体" w:hAnsi="宋体" w:cs="宋体"/>
          <w:kern w:val="0"/>
          <w:sz w:val="24"/>
          <w:szCs w:val="24"/>
          <w:highlight w:val="none"/>
          <w:u w:val="single"/>
        </w:rPr>
        <w:t>〕</w:t>
      </w:r>
      <w:r>
        <w:rPr>
          <w:rFonts w:hint="eastAsia" w:ascii="宋体" w:hAnsi="宋体"/>
          <w:sz w:val="24"/>
          <w:highlight w:val="none"/>
          <w:u w:val="single"/>
          <w:lang w:val="en-US" w:eastAsia="zh-CN"/>
        </w:rPr>
        <w:t>45</w:t>
      </w:r>
      <w:r>
        <w:rPr>
          <w:rFonts w:hint="eastAsia" w:ascii="宋体" w:hAnsi="宋体"/>
          <w:sz w:val="24"/>
          <w:highlight w:val="none"/>
          <w:u w:val="single"/>
        </w:rPr>
        <w:t>号）</w:t>
      </w:r>
      <w:r>
        <w:rPr>
          <w:rFonts w:hint="eastAsia" w:ascii="宋体" w:hAnsi="宋体" w:cs="宋体"/>
          <w:sz w:val="24"/>
          <w:szCs w:val="24"/>
          <w:highlight w:val="none"/>
        </w:rPr>
        <w:t>批准建设，项目业主为</w:t>
      </w:r>
      <w:r>
        <w:rPr>
          <w:rFonts w:hint="eastAsia" w:ascii="宋体" w:hAnsi="宋体" w:cs="宋体"/>
          <w:sz w:val="24"/>
          <w:szCs w:val="24"/>
          <w:highlight w:val="none"/>
          <w:u w:val="single"/>
          <w:lang w:val="en-US" w:eastAsia="zh-CN"/>
        </w:rPr>
        <w:t>南方医科大学南方医院</w:t>
      </w:r>
      <w:r>
        <w:rPr>
          <w:rFonts w:hint="eastAsia" w:ascii="宋体" w:hAnsi="宋体" w:cs="宋体"/>
          <w:sz w:val="24"/>
          <w:szCs w:val="24"/>
          <w:highlight w:val="none"/>
        </w:rPr>
        <w:t>，项目资金来源为</w:t>
      </w:r>
      <w:r>
        <w:rPr>
          <w:rFonts w:hint="eastAsia" w:ascii="宋体" w:hAnsi="宋体" w:cs="宋体"/>
          <w:sz w:val="24"/>
          <w:szCs w:val="24"/>
          <w:highlight w:val="none"/>
          <w:u w:val="single"/>
          <w:lang w:val="en-US" w:eastAsia="zh-CN"/>
        </w:rPr>
        <w:t>中央预算、</w:t>
      </w:r>
      <w:r>
        <w:rPr>
          <w:rFonts w:hint="eastAsia" w:ascii="宋体" w:hAnsi="宋体" w:cs="宋体"/>
          <w:sz w:val="24"/>
          <w:highlight w:val="none"/>
          <w:u w:val="single"/>
        </w:rPr>
        <w:t>省财政</w:t>
      </w:r>
      <w:r>
        <w:rPr>
          <w:rFonts w:hint="eastAsia" w:ascii="宋体" w:hAnsi="宋体" w:cs="宋体"/>
          <w:sz w:val="24"/>
          <w:highlight w:val="none"/>
          <w:u w:val="single"/>
          <w:lang w:eastAsia="zh-CN"/>
        </w:rPr>
        <w:t>、</w:t>
      </w:r>
      <w:r>
        <w:rPr>
          <w:rFonts w:hint="eastAsia" w:ascii="宋体" w:hAnsi="宋体" w:cs="宋体"/>
          <w:sz w:val="24"/>
          <w:highlight w:val="none"/>
          <w:u w:val="single"/>
          <w:lang w:val="en-US" w:eastAsia="zh-CN"/>
        </w:rPr>
        <w:t>广州市、医院自筹资金</w:t>
      </w:r>
      <w:r>
        <w:rPr>
          <w:rFonts w:hint="eastAsia" w:ascii="宋体" w:hAnsi="宋体" w:cs="宋体"/>
          <w:sz w:val="24"/>
          <w:szCs w:val="24"/>
          <w:highlight w:val="none"/>
        </w:rPr>
        <w:t>。招标人为</w:t>
      </w:r>
      <w:r>
        <w:rPr>
          <w:rFonts w:hint="eastAsia" w:ascii="宋体" w:hAnsi="宋体" w:cs="宋体"/>
          <w:sz w:val="24"/>
          <w:szCs w:val="24"/>
          <w:highlight w:val="none"/>
          <w:u w:val="single"/>
        </w:rPr>
        <w:t>广东省代建项目管理局</w:t>
      </w:r>
      <w:r>
        <w:rPr>
          <w:rFonts w:hint="eastAsia" w:ascii="宋体" w:hAnsi="宋体" w:cs="宋体"/>
          <w:sz w:val="24"/>
          <w:szCs w:val="24"/>
          <w:highlight w:val="none"/>
        </w:rPr>
        <w:t>。项目已具备招标条件，现对该项目的</w:t>
      </w:r>
      <w:r>
        <w:rPr>
          <w:rFonts w:hint="eastAsia" w:ascii="宋体" w:hAnsi="宋体" w:cs="宋体"/>
          <w:sz w:val="24"/>
          <w:szCs w:val="24"/>
          <w:highlight w:val="none"/>
          <w:u w:val="single"/>
        </w:rPr>
        <w:t>勘察设计</w:t>
      </w:r>
      <w:r>
        <w:rPr>
          <w:rFonts w:hint="eastAsia" w:ascii="宋体" w:hAnsi="宋体" w:cs="宋体"/>
          <w:sz w:val="24"/>
          <w:szCs w:val="24"/>
          <w:highlight w:val="none"/>
        </w:rPr>
        <w:t>进行公开招标。</w:t>
      </w:r>
    </w:p>
    <w:p w14:paraId="35635374">
      <w:pPr>
        <w:rPr>
          <w:rFonts w:hint="eastAsia" w:asciiTheme="minorEastAsia" w:hAnsiTheme="minorEastAsia" w:eastAsiaTheme="minorEastAsia" w:cstheme="minorEastAsia"/>
          <w:sz w:val="24"/>
          <w:szCs w:val="24"/>
          <w:highlight w:val="none"/>
        </w:rPr>
      </w:pPr>
    </w:p>
    <w:p w14:paraId="64EE2DC6">
      <w:pPr>
        <w:pStyle w:val="7"/>
        <w:keepNext/>
        <w:keepLines/>
        <w:pageBreakBefore w:val="0"/>
        <w:widowControl w:val="0"/>
        <w:numPr>
          <w:ilvl w:val="0"/>
          <w:numId w:val="1"/>
        </w:numPr>
        <w:kinsoku/>
        <w:wordWrap/>
        <w:overflowPunct/>
        <w:topLinePunct w:val="0"/>
        <w:autoSpaceDE/>
        <w:autoSpaceDN/>
        <w:bidi w:val="0"/>
        <w:adjustRightInd/>
        <w:snapToGrid/>
        <w:spacing w:before="0" w:after="0"/>
        <w:textAlignment w:val="auto"/>
        <w:rPr>
          <w:rFonts w:hint="eastAsia" w:eastAsia="宋体" w:cs="Times New Roman"/>
          <w:b/>
          <w:highlight w:val="none"/>
          <w:lang w:val="en-US" w:eastAsia="zh-CN"/>
        </w:rPr>
      </w:pPr>
      <w:r>
        <w:rPr>
          <w:rFonts w:hint="eastAsia" w:eastAsia="宋体" w:cs="Times New Roman"/>
          <w:b/>
          <w:highlight w:val="none"/>
          <w:lang w:val="en-US" w:eastAsia="zh-CN"/>
        </w:rPr>
        <w:t>项目概况与招标范围</w:t>
      </w:r>
    </w:p>
    <w:p w14:paraId="7C882861">
      <w:pPr>
        <w:autoSpaceDE w:val="0"/>
        <w:autoSpaceDN w:val="0"/>
        <w:adjustRightInd w:val="0"/>
        <w:spacing w:before="7" w:line="360" w:lineRule="auto"/>
        <w:ind w:firstLine="480" w:firstLineChars="200"/>
        <w:jc w:val="left"/>
        <w:rPr>
          <w:rFonts w:ascii="宋体" w:hAnsi="宋体" w:cs="宋体"/>
          <w:sz w:val="24"/>
          <w:highlight w:val="none"/>
        </w:rPr>
      </w:pPr>
      <w:r>
        <w:rPr>
          <w:rFonts w:hint="eastAsia" w:ascii="宋体" w:hAnsi="宋体" w:cs="宋体"/>
          <w:sz w:val="24"/>
          <w:highlight w:val="none"/>
        </w:rPr>
        <w:t>2.1 招标项目概况</w:t>
      </w:r>
    </w:p>
    <w:p w14:paraId="7E999385">
      <w:pPr>
        <w:autoSpaceDE w:val="0"/>
        <w:autoSpaceDN w:val="0"/>
        <w:adjustRightInd w:val="0"/>
        <w:spacing w:before="7"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cs="宋体"/>
          <w:sz w:val="24"/>
          <w:highlight w:val="none"/>
        </w:rPr>
        <w:t>2.1.1 工程名称</w:t>
      </w:r>
      <w:r>
        <w:rPr>
          <w:rFonts w:hint="eastAsia" w:ascii="宋体" w:hAnsi="宋体" w:cs="宋体"/>
          <w:sz w:val="24"/>
          <w:szCs w:val="24"/>
          <w:highlight w:val="none"/>
        </w:rPr>
        <w:t>：</w:t>
      </w:r>
      <w:r>
        <w:rPr>
          <w:rFonts w:hint="eastAsia" w:ascii="宋体" w:hAnsi="宋体" w:cs="宋体"/>
          <w:sz w:val="24"/>
          <w:szCs w:val="24"/>
          <w:highlight w:val="none"/>
          <w:u w:val="single"/>
          <w:lang w:eastAsia="zh-CN"/>
        </w:rPr>
        <w:t>广东省国家紧急医学救援基地</w:t>
      </w:r>
      <w:r>
        <w:rPr>
          <w:rFonts w:hint="eastAsia" w:ascii="宋体" w:hAnsi="宋体" w:cs="宋体"/>
          <w:sz w:val="24"/>
          <w:szCs w:val="24"/>
          <w:highlight w:val="none"/>
          <w:u w:val="single"/>
          <w:lang w:val="en-US" w:eastAsia="zh-CN"/>
        </w:rPr>
        <w:t>项目</w:t>
      </w:r>
      <w:r>
        <w:rPr>
          <w:rFonts w:hint="eastAsia" w:ascii="宋体" w:hAnsi="宋体" w:cs="宋体"/>
          <w:sz w:val="24"/>
          <w:szCs w:val="24"/>
          <w:highlight w:val="none"/>
          <w:u w:val="single"/>
          <w:lang w:eastAsia="zh-CN"/>
        </w:rPr>
        <w:t>勘察设计</w:t>
      </w:r>
    </w:p>
    <w:p w14:paraId="18B83695">
      <w:pPr>
        <w:autoSpaceDE w:val="0"/>
        <w:autoSpaceDN w:val="0"/>
        <w:adjustRightInd w:val="0"/>
        <w:spacing w:before="7" w:line="360" w:lineRule="auto"/>
        <w:ind w:firstLine="480" w:firstLineChars="200"/>
        <w:jc w:val="left"/>
        <w:rPr>
          <w:rFonts w:hint="eastAsia" w:ascii="宋体" w:hAnsi="宋体" w:cs="宋体"/>
          <w:sz w:val="24"/>
          <w:szCs w:val="24"/>
          <w:highlight w:val="none"/>
          <w:u w:val="single"/>
          <w:lang w:eastAsia="zh-CN"/>
        </w:rPr>
      </w:pPr>
      <w:r>
        <w:rPr>
          <w:rFonts w:hint="eastAsia" w:ascii="宋体" w:hAnsi="宋体" w:cs="宋体"/>
          <w:sz w:val="24"/>
          <w:szCs w:val="24"/>
          <w:highlight w:val="none"/>
        </w:rPr>
        <w:t>2.1.2 工程位置：</w:t>
      </w:r>
      <w:r>
        <w:rPr>
          <w:rFonts w:hint="eastAsia" w:ascii="宋体" w:hAnsi="宋体" w:cs="宋体"/>
          <w:sz w:val="24"/>
          <w:szCs w:val="24"/>
          <w:highlight w:val="none"/>
          <w:u w:val="single"/>
          <w:lang w:val="en-US" w:eastAsia="zh-CN"/>
        </w:rPr>
        <w:t>广东省广州市广州大道北1838号（南方医科大学南方医院院内）</w:t>
      </w:r>
      <w:r>
        <w:rPr>
          <w:rFonts w:hint="eastAsia" w:ascii="宋体" w:hAnsi="宋体" w:cs="宋体"/>
          <w:sz w:val="24"/>
          <w:szCs w:val="24"/>
          <w:highlight w:val="none"/>
          <w:u w:val="single"/>
          <w:lang w:eastAsia="zh-CN"/>
        </w:rPr>
        <w:t>。</w:t>
      </w:r>
    </w:p>
    <w:p w14:paraId="67EFB52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2.1.3 </w:t>
      </w:r>
      <w:bookmarkStart w:id="1" w:name="OLE_LINK2"/>
      <w:r>
        <w:rPr>
          <w:rFonts w:hint="eastAsia" w:ascii="宋体" w:hAnsi="宋体" w:cs="宋体"/>
          <w:sz w:val="24"/>
          <w:szCs w:val="24"/>
          <w:highlight w:val="none"/>
        </w:rPr>
        <w:t>工程建设规模及内容：</w:t>
      </w:r>
    </w:p>
    <w:p w14:paraId="39D7AD4E">
      <w:pPr>
        <w:spacing w:line="360" w:lineRule="auto"/>
        <w:ind w:firstLine="480" w:firstLineChars="200"/>
        <w:rPr>
          <w:rFonts w:hint="default" w:ascii="宋体" w:hAnsi="宋体" w:eastAsia="宋体"/>
          <w:bCs/>
          <w:sz w:val="24"/>
          <w:highlight w:val="none"/>
          <w:u w:val="single"/>
          <w:lang w:val="en-US" w:eastAsia="zh-CN"/>
        </w:rPr>
      </w:pPr>
      <w:r>
        <w:rPr>
          <w:rFonts w:hint="eastAsia" w:ascii="宋体" w:hAnsi="宋体" w:eastAsia="宋体" w:cs="Times New Roman"/>
          <w:bCs/>
          <w:sz w:val="24"/>
          <w:highlight w:val="none"/>
          <w:u w:val="single"/>
          <w:lang w:val="en-US" w:eastAsia="zh-CN"/>
        </w:rPr>
        <w:t>项目总建筑面积26761平方米，其中地上建筑面积20512平方米，地下建筑面积6249平方米。</w:t>
      </w:r>
      <w:r>
        <w:rPr>
          <w:rFonts w:hint="eastAsia" w:ascii="宋体" w:hAnsi="宋体" w:cs="Times New Roman"/>
          <w:bCs/>
          <w:sz w:val="24"/>
          <w:highlight w:val="none"/>
          <w:u w:val="single"/>
          <w:lang w:val="en-US" w:eastAsia="zh-CN"/>
        </w:rPr>
        <w:t>主要建设批量伤员救治、应急指挥、培训演练、物资仓储等</w:t>
      </w:r>
      <w:r>
        <w:rPr>
          <w:rFonts w:hint="eastAsia" w:ascii="宋体" w:hAnsi="宋体" w:eastAsia="宋体" w:cs="Times New Roman"/>
          <w:bCs/>
          <w:sz w:val="24"/>
          <w:highlight w:val="none"/>
          <w:u w:val="single"/>
          <w:lang w:val="en-US" w:eastAsia="zh-CN"/>
        </w:rPr>
        <w:t>紧急医学救援</w:t>
      </w:r>
      <w:r>
        <w:rPr>
          <w:rFonts w:hint="eastAsia" w:ascii="宋体" w:hAnsi="宋体" w:cs="Times New Roman"/>
          <w:bCs/>
          <w:sz w:val="24"/>
          <w:highlight w:val="none"/>
          <w:u w:val="single"/>
          <w:lang w:val="en-US" w:eastAsia="zh-CN"/>
        </w:rPr>
        <w:t>相关业务用房及</w:t>
      </w:r>
      <w:r>
        <w:rPr>
          <w:rFonts w:hint="eastAsia" w:ascii="宋体" w:hAnsi="宋体" w:eastAsia="宋体" w:cs="Times New Roman"/>
          <w:bCs/>
          <w:sz w:val="24"/>
          <w:highlight w:val="none"/>
          <w:u w:val="single"/>
          <w:lang w:val="en-US" w:eastAsia="zh-CN"/>
        </w:rPr>
        <w:t>配套</w:t>
      </w:r>
      <w:r>
        <w:rPr>
          <w:rFonts w:hint="eastAsia" w:ascii="宋体" w:hAnsi="宋体" w:cs="Times New Roman"/>
          <w:bCs/>
          <w:sz w:val="24"/>
          <w:highlight w:val="none"/>
          <w:u w:val="single"/>
          <w:lang w:val="en-US" w:eastAsia="zh-CN"/>
        </w:rPr>
        <w:t>设施。</w:t>
      </w:r>
      <w:r>
        <w:rPr>
          <w:rFonts w:hint="eastAsia" w:ascii="宋体" w:hAnsi="宋体"/>
          <w:bCs/>
          <w:sz w:val="24"/>
          <w:highlight w:val="none"/>
          <w:u w:val="single"/>
          <w:lang w:eastAsia="zh-CN"/>
        </w:rPr>
        <w:t>本</w:t>
      </w:r>
      <w:r>
        <w:rPr>
          <w:rFonts w:hint="eastAsia" w:ascii="宋体" w:hAnsi="宋体"/>
          <w:bCs/>
          <w:sz w:val="24"/>
          <w:highlight w:val="none"/>
          <w:u w:val="single"/>
        </w:rPr>
        <w:t>项目</w:t>
      </w:r>
      <w:bookmarkStart w:id="2" w:name="OLE_LINK5"/>
      <w:r>
        <w:rPr>
          <w:rFonts w:hint="eastAsia" w:ascii="宋体" w:hAnsi="宋体"/>
          <w:bCs/>
          <w:sz w:val="24"/>
          <w:highlight w:val="none"/>
          <w:u w:val="single"/>
        </w:rPr>
        <w:t>最大单</w:t>
      </w:r>
      <w:bookmarkEnd w:id="2"/>
      <w:r>
        <w:rPr>
          <w:rFonts w:hint="eastAsia" w:ascii="宋体" w:hAnsi="宋体"/>
          <w:bCs/>
          <w:sz w:val="24"/>
          <w:highlight w:val="none"/>
          <w:u w:val="single"/>
        </w:rPr>
        <w:t>体建筑面积为</w:t>
      </w:r>
      <w:r>
        <w:rPr>
          <w:rFonts w:hint="eastAsia" w:ascii="宋体" w:hAnsi="宋体"/>
          <w:bCs/>
          <w:sz w:val="24"/>
          <w:highlight w:val="none"/>
          <w:u w:val="single"/>
          <w:lang w:val="en-US" w:eastAsia="zh-CN"/>
        </w:rPr>
        <w:t>26761</w:t>
      </w:r>
      <w:r>
        <w:rPr>
          <w:rFonts w:hint="eastAsia" w:ascii="宋体" w:hAnsi="宋体"/>
          <w:bCs/>
          <w:sz w:val="24"/>
          <w:highlight w:val="none"/>
          <w:u w:val="single"/>
        </w:rPr>
        <w:t>平方米，地上 15 层，地下 3 层，</w:t>
      </w:r>
      <w:r>
        <w:rPr>
          <w:rFonts w:ascii="宋体" w:hAnsi="宋体"/>
          <w:bCs/>
          <w:sz w:val="24"/>
          <w:highlight w:val="none"/>
          <w:u w:val="single"/>
        </w:rPr>
        <w:t>最高</w:t>
      </w:r>
      <w:r>
        <w:rPr>
          <w:rFonts w:hint="eastAsia" w:ascii="宋体" w:hAnsi="宋体"/>
          <w:bCs/>
          <w:sz w:val="24"/>
          <w:highlight w:val="none"/>
          <w:u w:val="single"/>
        </w:rPr>
        <w:t>建筑高度</w:t>
      </w:r>
      <w:r>
        <w:rPr>
          <w:rFonts w:hint="eastAsia" w:ascii="宋体" w:hAnsi="宋体"/>
          <w:bCs/>
          <w:sz w:val="24"/>
          <w:highlight w:val="none"/>
          <w:u w:val="single"/>
          <w:lang w:val="en-US" w:eastAsia="zh-CN"/>
        </w:rPr>
        <w:t>75.5</w:t>
      </w:r>
      <w:r>
        <w:rPr>
          <w:rFonts w:hint="eastAsia" w:ascii="宋体" w:hAnsi="宋体"/>
          <w:bCs/>
          <w:sz w:val="24"/>
          <w:highlight w:val="none"/>
          <w:u w:val="single"/>
        </w:rPr>
        <w:t>米</w:t>
      </w:r>
      <w:r>
        <w:rPr>
          <w:rFonts w:hint="eastAsia" w:ascii="宋体" w:hAnsi="宋体"/>
          <w:bCs/>
          <w:sz w:val="24"/>
          <w:highlight w:val="none"/>
          <w:u w:val="single"/>
          <w:lang w:val="en-US" w:eastAsia="zh-CN"/>
        </w:rPr>
        <w:t>，地基基础等级为甲级。</w:t>
      </w:r>
    </w:p>
    <w:p w14:paraId="75DDBCB2">
      <w:pPr>
        <w:spacing w:line="360" w:lineRule="auto"/>
        <w:ind w:firstLine="480" w:firstLineChars="200"/>
        <w:rPr>
          <w:highlight w:val="none"/>
        </w:rPr>
      </w:pPr>
      <w:r>
        <w:rPr>
          <w:rFonts w:hint="eastAsia" w:ascii="宋体" w:hAnsi="宋体"/>
          <w:bCs/>
          <w:sz w:val="24"/>
          <w:highlight w:val="none"/>
          <w:u w:val="single"/>
          <w:lang w:val="en-US" w:eastAsia="zh-CN"/>
        </w:rPr>
        <w:t>本次招标不包括信息化建设及设备购置内容。</w:t>
      </w:r>
    </w:p>
    <w:bookmarkEnd w:id="1"/>
    <w:p w14:paraId="2FCA172C">
      <w:pPr>
        <w:spacing w:line="360" w:lineRule="auto"/>
        <w:ind w:firstLine="480" w:firstLineChars="200"/>
        <w:jc w:val="left"/>
        <w:rPr>
          <w:rFonts w:ascii="宋体" w:hAnsi="宋体" w:cs="宋体"/>
          <w:sz w:val="24"/>
          <w:highlight w:val="none"/>
          <w:u w:val="single"/>
        </w:rPr>
      </w:pPr>
      <w:bookmarkStart w:id="3" w:name="OLE_LINK6"/>
      <w:r>
        <w:rPr>
          <w:rFonts w:hint="eastAsia" w:ascii="宋体" w:hAnsi="宋体" w:cs="宋体"/>
          <w:sz w:val="24"/>
          <w:highlight w:val="none"/>
        </w:rPr>
        <w:t>2.1.4 规划用地文件：</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穗规函[2011]3100号 </w:t>
      </w:r>
      <w:r>
        <w:rPr>
          <w:rFonts w:hint="eastAsia" w:ascii="宋体" w:hAnsi="宋体"/>
          <w:sz w:val="24"/>
          <w:highlight w:val="none"/>
          <w:u w:val="single"/>
        </w:rPr>
        <w:t>。</w:t>
      </w:r>
    </w:p>
    <w:bookmarkEnd w:id="3"/>
    <w:p w14:paraId="296108B7">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2.1.5 项目批准文件：</w:t>
      </w:r>
      <w:r>
        <w:rPr>
          <w:rFonts w:hint="eastAsia" w:ascii="宋体" w:hAnsi="宋体"/>
          <w:sz w:val="24"/>
          <w:highlight w:val="none"/>
          <w:u w:val="single"/>
        </w:rPr>
        <w:t>《</w:t>
      </w:r>
      <w:r>
        <w:rPr>
          <w:rFonts w:hint="eastAsia" w:ascii="宋体" w:hAnsi="宋体" w:cs="宋体"/>
          <w:sz w:val="24"/>
          <w:highlight w:val="none"/>
          <w:u w:val="single"/>
        </w:rPr>
        <w:t>广东省发展改革委关于</w:t>
      </w:r>
      <w:r>
        <w:rPr>
          <w:rFonts w:hint="eastAsia" w:ascii="宋体" w:hAnsi="宋体" w:cs="宋体"/>
          <w:sz w:val="24"/>
          <w:szCs w:val="24"/>
          <w:highlight w:val="none"/>
          <w:u w:val="single"/>
        </w:rPr>
        <w:t>广东省</w:t>
      </w:r>
      <w:r>
        <w:rPr>
          <w:rFonts w:hint="eastAsia" w:ascii="宋体" w:hAnsi="宋体" w:cs="宋体"/>
          <w:sz w:val="24"/>
          <w:szCs w:val="24"/>
          <w:highlight w:val="none"/>
          <w:u w:val="single"/>
          <w:lang w:val="en-US" w:eastAsia="zh-CN"/>
        </w:rPr>
        <w:t>国家紧急医学救援基地</w:t>
      </w:r>
      <w:r>
        <w:rPr>
          <w:rFonts w:hint="eastAsia" w:ascii="宋体" w:hAnsi="宋体" w:cs="宋体"/>
          <w:sz w:val="24"/>
          <w:szCs w:val="24"/>
          <w:highlight w:val="none"/>
          <w:u w:val="single"/>
        </w:rPr>
        <w:t>项目</w:t>
      </w:r>
      <w:r>
        <w:rPr>
          <w:rFonts w:hint="eastAsia" w:ascii="宋体" w:hAnsi="宋体" w:cs="宋体"/>
          <w:sz w:val="24"/>
          <w:highlight w:val="none"/>
          <w:u w:val="single"/>
        </w:rPr>
        <w:t>可行性研究报告的批复</w:t>
      </w:r>
      <w:r>
        <w:rPr>
          <w:rFonts w:hint="eastAsia" w:ascii="宋体" w:hAnsi="宋体"/>
          <w:sz w:val="24"/>
          <w:highlight w:val="none"/>
          <w:u w:val="single"/>
        </w:rPr>
        <w:t>》（粤发改投审</w:t>
      </w:r>
      <w:r>
        <w:rPr>
          <w:rFonts w:hint="eastAsia" w:ascii="宋体" w:hAnsi="宋体" w:cs="宋体"/>
          <w:kern w:val="0"/>
          <w:sz w:val="24"/>
          <w:szCs w:val="24"/>
          <w:highlight w:val="none"/>
          <w:u w:val="single"/>
        </w:rPr>
        <w:t>〔</w:t>
      </w:r>
      <w:r>
        <w:rPr>
          <w:rFonts w:hint="eastAsia" w:ascii="宋体" w:hAnsi="宋体"/>
          <w:sz w:val="24"/>
          <w:highlight w:val="none"/>
          <w:u w:val="single"/>
        </w:rPr>
        <w:t>202</w:t>
      </w:r>
      <w:r>
        <w:rPr>
          <w:rFonts w:hint="eastAsia" w:ascii="宋体" w:hAnsi="宋体"/>
          <w:sz w:val="24"/>
          <w:highlight w:val="none"/>
          <w:u w:val="single"/>
          <w:lang w:val="en-US" w:eastAsia="zh-CN"/>
        </w:rPr>
        <w:t>5</w:t>
      </w:r>
      <w:r>
        <w:rPr>
          <w:rFonts w:hint="eastAsia" w:ascii="宋体" w:hAnsi="宋体" w:cs="宋体"/>
          <w:kern w:val="0"/>
          <w:sz w:val="24"/>
          <w:szCs w:val="24"/>
          <w:highlight w:val="none"/>
          <w:u w:val="single"/>
        </w:rPr>
        <w:t>〕</w:t>
      </w:r>
      <w:r>
        <w:rPr>
          <w:rFonts w:hint="eastAsia" w:ascii="宋体" w:hAnsi="宋体"/>
          <w:sz w:val="24"/>
          <w:highlight w:val="none"/>
          <w:u w:val="single"/>
          <w:lang w:val="en-US" w:eastAsia="zh-CN"/>
        </w:rPr>
        <w:t>45</w:t>
      </w:r>
      <w:r>
        <w:rPr>
          <w:rFonts w:hint="eastAsia" w:ascii="宋体" w:hAnsi="宋体"/>
          <w:sz w:val="24"/>
          <w:highlight w:val="none"/>
          <w:u w:val="single"/>
        </w:rPr>
        <w:t>号）</w:t>
      </w:r>
      <w:r>
        <w:rPr>
          <w:rFonts w:hint="eastAsia" w:ascii="宋体" w:hAnsi="宋体" w:cs="宋体"/>
          <w:sz w:val="24"/>
          <w:szCs w:val="24"/>
          <w:highlight w:val="none"/>
          <w:u w:val="single"/>
        </w:rPr>
        <w:t>。</w:t>
      </w:r>
    </w:p>
    <w:p w14:paraId="7340264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2.1.6 资金来源：</w:t>
      </w:r>
      <w:r>
        <w:rPr>
          <w:rFonts w:hint="eastAsia" w:ascii="宋体" w:hAnsi="宋体" w:eastAsia="宋体" w:cs="宋体"/>
          <w:sz w:val="24"/>
          <w:highlight w:val="none"/>
          <w:u w:val="single"/>
        </w:rPr>
        <w:t>项目建设资金</w:t>
      </w:r>
      <w:r>
        <w:rPr>
          <w:rFonts w:hint="eastAsia" w:ascii="宋体" w:hAnsi="宋体" w:eastAsia="宋体" w:cs="宋体"/>
          <w:sz w:val="24"/>
          <w:highlight w:val="none"/>
          <w:u w:val="single"/>
          <w:lang w:val="en-US" w:eastAsia="zh-CN"/>
        </w:rPr>
        <w:t>除积极争取中央预算内投资补助40%外，其余60%资金约37234万元，由省财政、广州市、医院自筹各承担20%约12411万元，其中省财政承担部分通过省级专项债券安排，债券本息由省财政统借统还，具体年度安排金额结合项目实际需求确定。</w:t>
      </w:r>
    </w:p>
    <w:p w14:paraId="6E0A84C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highlight w:val="none"/>
          <w:u w:val="single"/>
          <w:lang w:val="en-US" w:eastAsia="zh-CN"/>
        </w:rPr>
      </w:pPr>
      <w:r>
        <w:rPr>
          <w:rFonts w:hint="eastAsia" w:ascii="宋体" w:hAnsi="宋体" w:eastAsia="宋体" w:cs="宋体"/>
          <w:sz w:val="24"/>
          <w:highlight w:val="none"/>
        </w:rPr>
        <w:t>2.1.7 投资总额：</w:t>
      </w:r>
      <w:r>
        <w:rPr>
          <w:rFonts w:hint="eastAsia" w:ascii="宋体" w:hAnsi="宋体" w:eastAsia="宋体" w:cs="宋体"/>
          <w:sz w:val="24"/>
          <w:highlight w:val="none"/>
          <w:u w:val="single"/>
        </w:rPr>
        <w:t>项目估算总投资</w:t>
      </w:r>
      <w:r>
        <w:rPr>
          <w:rFonts w:hint="eastAsia" w:ascii="宋体" w:hAnsi="宋体" w:eastAsia="宋体" w:cs="宋体"/>
          <w:sz w:val="24"/>
          <w:highlight w:val="none"/>
          <w:u w:val="single"/>
          <w:lang w:val="en-US" w:eastAsia="zh-CN"/>
        </w:rPr>
        <w:t>62057万元</w:t>
      </w:r>
      <w:r>
        <w:rPr>
          <w:rFonts w:hint="eastAsia" w:ascii="宋体" w:hAnsi="宋体" w:eastAsia="宋体" w:cs="宋体"/>
          <w:sz w:val="24"/>
          <w:highlight w:val="none"/>
          <w:u w:val="single"/>
        </w:rPr>
        <w:t>，</w:t>
      </w:r>
      <w:r>
        <w:rPr>
          <w:rFonts w:hint="eastAsia" w:ascii="宋体" w:hAnsi="宋体" w:eastAsia="宋体" w:cs="宋体"/>
          <w:sz w:val="24"/>
          <w:highlight w:val="none"/>
          <w:u w:val="single"/>
          <w:lang w:val="en-US" w:eastAsia="zh-CN"/>
        </w:rPr>
        <w:t>其中，建设投资24076.76万元、信息化建设费7540.17万元、医学装备购置费30440.07万元</w:t>
      </w:r>
      <w:r>
        <w:rPr>
          <w:rFonts w:hint="eastAsia" w:ascii="宋体" w:hAnsi="宋体" w:cs="宋体"/>
          <w:sz w:val="24"/>
          <w:highlight w:val="none"/>
          <w:u w:val="single"/>
          <w:lang w:val="en-US" w:eastAsia="zh-CN"/>
        </w:rPr>
        <w:t>（</w:t>
      </w:r>
      <w:r>
        <w:rPr>
          <w:rFonts w:hint="eastAsia" w:ascii="宋体" w:hAnsi="宋体"/>
          <w:bCs/>
          <w:sz w:val="24"/>
          <w:highlight w:val="none"/>
          <w:u w:val="single"/>
          <w:lang w:val="en-US" w:eastAsia="zh-CN"/>
        </w:rPr>
        <w:t>本次招标不包括信息化建设及设备购置内容）</w:t>
      </w:r>
      <w:r>
        <w:rPr>
          <w:rFonts w:hint="eastAsia" w:ascii="宋体" w:hAnsi="宋体" w:eastAsia="宋体" w:cs="宋体"/>
          <w:sz w:val="24"/>
          <w:highlight w:val="none"/>
          <w:u w:val="single"/>
          <w:lang w:val="en-US" w:eastAsia="zh-CN"/>
        </w:rPr>
        <w:t>。</w:t>
      </w:r>
    </w:p>
    <w:p w14:paraId="4EBEC6FF">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2.1.8标段划分：</w:t>
      </w:r>
      <w:r>
        <w:rPr>
          <w:rFonts w:hint="eastAsia" w:ascii="宋体" w:hAnsi="宋体" w:eastAsia="宋体" w:cs="宋体"/>
          <w:sz w:val="24"/>
          <w:highlight w:val="none"/>
          <w:u w:val="single"/>
        </w:rPr>
        <w:t>本项目设1个标段。</w:t>
      </w:r>
    </w:p>
    <w:p w14:paraId="08AA7C0E">
      <w:pPr>
        <w:spacing w:line="360" w:lineRule="auto"/>
        <w:ind w:left="817" w:leftChars="227" w:hanging="340" w:hangingChars="142"/>
        <w:jc w:val="left"/>
        <w:rPr>
          <w:rFonts w:ascii="宋体" w:hAnsi="宋体" w:cs="宋体"/>
          <w:sz w:val="24"/>
          <w:highlight w:val="none"/>
        </w:rPr>
      </w:pPr>
      <w:r>
        <w:rPr>
          <w:rFonts w:hint="eastAsia" w:ascii="宋体" w:hAnsi="宋体" w:cs="宋体"/>
          <w:sz w:val="24"/>
          <w:highlight w:val="none"/>
        </w:rPr>
        <w:t>2.2 招标范围及招标内容：</w:t>
      </w:r>
    </w:p>
    <w:p w14:paraId="7CA295A3">
      <w:pPr>
        <w:widowControl/>
        <w:spacing w:line="360" w:lineRule="auto"/>
        <w:ind w:firstLine="480" w:firstLineChars="200"/>
        <w:jc w:val="left"/>
        <w:rPr>
          <w:rFonts w:hint="eastAsia" w:ascii="宋体" w:hAnsi="宋体" w:cs="宋体"/>
          <w:sz w:val="24"/>
          <w:szCs w:val="22"/>
          <w:highlight w:val="none"/>
          <w:u w:val="single"/>
        </w:rPr>
      </w:pPr>
      <w:bookmarkStart w:id="4" w:name="_Hlk8595802"/>
      <w:r>
        <w:rPr>
          <w:rFonts w:hint="eastAsia" w:ascii="宋体" w:hAnsi="宋体" w:cs="宋体"/>
          <w:sz w:val="24"/>
          <w:szCs w:val="22"/>
          <w:highlight w:val="none"/>
          <w:u w:val="single"/>
        </w:rPr>
        <w:t>根据招标人基础资料、可行性研究报告要求，完成本项目范围内所有建设内容的勘察设计工作，主要包括：</w:t>
      </w:r>
    </w:p>
    <w:p w14:paraId="409EFA19">
      <w:pPr>
        <w:widowControl/>
        <w:spacing w:line="360" w:lineRule="auto"/>
        <w:ind w:left="0" w:leftChars="0" w:firstLine="480" w:firstLineChars="200"/>
        <w:jc w:val="left"/>
        <w:rPr>
          <w:rFonts w:hint="eastAsia" w:ascii="宋体" w:hAnsi="宋体" w:cs="宋体"/>
          <w:sz w:val="24"/>
          <w:szCs w:val="22"/>
          <w:highlight w:val="none"/>
          <w:u w:val="single"/>
        </w:rPr>
      </w:pPr>
      <w:r>
        <w:rPr>
          <w:rFonts w:hint="eastAsia" w:ascii="宋体" w:hAnsi="宋体" w:cs="宋体"/>
          <w:sz w:val="24"/>
          <w:szCs w:val="22"/>
          <w:highlight w:val="none"/>
          <w:u w:val="single"/>
        </w:rPr>
        <w:t>（1）工程勘察工作：包括但不限于岩土工程勘察（包含不限于详细勘察、基坑支护及开挖勘察、剪切波速试验、抽水试验、土壤氡浓度检测等，为确保通过施工图审查及基坑和地基基础分部工程验收所需开展的所有各项与勘察有关的工作）、超前钻（如有）、地形地貌测量、实物放线、水文地质勘察等工作，以及对应方案设计（含深化设计）、规划设计、初步设计、施工图设计、施工等各阶段的勘察要求。</w:t>
      </w:r>
    </w:p>
    <w:p w14:paraId="2556326F">
      <w:pPr>
        <w:widowControl/>
        <w:spacing w:line="360" w:lineRule="auto"/>
        <w:ind w:left="0" w:leftChars="0" w:firstLine="480" w:firstLineChars="200"/>
        <w:jc w:val="left"/>
        <w:rPr>
          <w:rFonts w:hint="eastAsia" w:ascii="宋体" w:hAnsi="宋体" w:cs="宋体"/>
          <w:sz w:val="24"/>
          <w:szCs w:val="22"/>
          <w:highlight w:val="none"/>
          <w:u w:val="single"/>
        </w:rPr>
      </w:pPr>
      <w:r>
        <w:rPr>
          <w:rFonts w:hint="eastAsia" w:ascii="宋体" w:hAnsi="宋体" w:cs="宋体"/>
          <w:sz w:val="24"/>
          <w:szCs w:val="22"/>
          <w:highlight w:val="none"/>
          <w:u w:val="single"/>
        </w:rPr>
        <w:t>（2）现状摸查及编制摸查报告：报告包含但不限于项目概况、项目现状、地下管线（对前期地下管线探测报告成果进行复核）、周边市政条件、报批报建工作进展、勘察设计工作进展、建设工作界面、勘察设计工作计划、存在的问题及相关建议等内容，前期摸查报告需经招标人审核通过后视为完成。</w:t>
      </w:r>
    </w:p>
    <w:p w14:paraId="1CE13406">
      <w:pPr>
        <w:widowControl/>
        <w:spacing w:line="360" w:lineRule="auto"/>
        <w:ind w:left="0" w:leftChars="0" w:firstLine="480" w:firstLineChars="200"/>
        <w:jc w:val="left"/>
        <w:rPr>
          <w:rFonts w:hint="eastAsia" w:ascii="宋体" w:hAnsi="宋体" w:cs="宋体"/>
          <w:sz w:val="24"/>
          <w:szCs w:val="22"/>
          <w:highlight w:val="none"/>
          <w:u w:val="single"/>
        </w:rPr>
      </w:pPr>
      <w:r>
        <w:rPr>
          <w:rFonts w:hint="eastAsia" w:ascii="宋体" w:hAnsi="宋体" w:cs="宋体"/>
          <w:sz w:val="24"/>
          <w:szCs w:val="22"/>
          <w:highlight w:val="none"/>
          <w:u w:val="single"/>
        </w:rPr>
        <w:t>（3）设计方案报审工作(含设计方案审查（房屋建筑类）设计工作）(如有）：在编制设计方案过程中，根据使用单位需求及发包人要求对实际功能布局进行深化优化，在现行政策规定下完成设计方案审查并同步推进控制性详细规划修正。设计方案审查范围包括总平面及竖向规划设计、管线综合设计、建筑布局、交通组织、景观绿化、建筑立面、环境节能保护等（具体以招标人要求为准）。</w:t>
      </w:r>
    </w:p>
    <w:p w14:paraId="25DF4BEE">
      <w:pPr>
        <w:widowControl/>
        <w:spacing w:line="360" w:lineRule="auto"/>
        <w:ind w:left="0" w:leftChars="0" w:firstLine="480" w:firstLineChars="200"/>
        <w:jc w:val="left"/>
        <w:rPr>
          <w:rFonts w:hint="eastAsia" w:ascii="宋体" w:hAnsi="宋体" w:cs="宋体"/>
          <w:sz w:val="24"/>
          <w:szCs w:val="22"/>
          <w:highlight w:val="none"/>
          <w:u w:val="single"/>
        </w:rPr>
      </w:pPr>
      <w:r>
        <w:rPr>
          <w:rFonts w:hint="eastAsia" w:ascii="宋体" w:hAnsi="宋体" w:cs="宋体"/>
          <w:sz w:val="24"/>
          <w:szCs w:val="22"/>
          <w:highlight w:val="none"/>
          <w:u w:val="single"/>
        </w:rPr>
        <w:t>（4）设计主要阶段：所有建设内容（含BIM设计）的方案设计、初步设计、施工图设计、竣工图编制。包括:总平面规划、建筑、结构、人防、消防、给排水、电气、暖通、市政管网、暗渠改道、园林道路及绿化景观、室内精装修、楼内标示系统。</w:t>
      </w:r>
    </w:p>
    <w:p w14:paraId="47F154F2">
      <w:pPr>
        <w:widowControl/>
        <w:spacing w:line="360" w:lineRule="auto"/>
        <w:ind w:left="0" w:leftChars="0" w:firstLine="480" w:firstLineChars="200"/>
        <w:jc w:val="left"/>
        <w:rPr>
          <w:rFonts w:hint="eastAsia" w:ascii="宋体" w:hAnsi="宋体" w:cs="宋体"/>
          <w:sz w:val="24"/>
          <w:szCs w:val="22"/>
          <w:highlight w:val="none"/>
          <w:u w:val="single"/>
        </w:rPr>
      </w:pPr>
      <w:r>
        <w:rPr>
          <w:rFonts w:hint="eastAsia" w:ascii="宋体" w:hAnsi="宋体" w:cs="宋体"/>
          <w:sz w:val="24"/>
          <w:szCs w:val="22"/>
          <w:highlight w:val="none"/>
          <w:u w:val="single"/>
        </w:rPr>
        <w:t>（5）建筑节能与新技术的应用及设计：包括节能、环保、绿色建筑、海绵城市、BIM等专项工程设计，项目设计全过程须应用BIM技术。</w:t>
      </w:r>
    </w:p>
    <w:p w14:paraId="12BF9BB6">
      <w:pPr>
        <w:widowControl/>
        <w:spacing w:line="360" w:lineRule="auto"/>
        <w:ind w:left="0" w:leftChars="0" w:firstLine="480" w:firstLineChars="200"/>
        <w:jc w:val="left"/>
        <w:rPr>
          <w:rFonts w:hint="eastAsia" w:ascii="宋体" w:hAnsi="宋体" w:cs="宋体"/>
          <w:sz w:val="24"/>
          <w:szCs w:val="22"/>
          <w:highlight w:val="none"/>
          <w:u w:val="single"/>
          <w:lang w:val="en-US"/>
        </w:rPr>
      </w:pPr>
      <w:r>
        <w:rPr>
          <w:rFonts w:hint="eastAsia" w:ascii="宋体" w:hAnsi="宋体" w:cs="宋体"/>
          <w:sz w:val="24"/>
          <w:szCs w:val="22"/>
          <w:highlight w:val="none"/>
          <w:u w:val="single"/>
          <w:lang w:val="en-US"/>
        </w:rPr>
        <w:t>（6）其他工作：</w:t>
      </w:r>
    </w:p>
    <w:p w14:paraId="1747BC49">
      <w:pPr>
        <w:widowControl/>
        <w:spacing w:line="360" w:lineRule="auto"/>
        <w:ind w:left="0" w:leftChars="0" w:firstLine="480" w:firstLineChars="200"/>
        <w:jc w:val="left"/>
        <w:rPr>
          <w:rFonts w:hint="eastAsia" w:ascii="宋体" w:hAnsi="宋体" w:cs="宋体"/>
          <w:sz w:val="24"/>
          <w:szCs w:val="22"/>
          <w:highlight w:val="none"/>
          <w:u w:val="single"/>
          <w:lang w:val="en-US"/>
        </w:rPr>
      </w:pPr>
      <w:r>
        <w:rPr>
          <w:rFonts w:hint="eastAsia" w:ascii="宋体" w:hAnsi="宋体" w:cs="宋体"/>
          <w:sz w:val="24"/>
          <w:szCs w:val="22"/>
          <w:highlight w:val="none"/>
          <w:u w:val="single"/>
          <w:lang w:val="en-US"/>
        </w:rPr>
        <w:t>1）造价文件编制工作：按照限额设计要求，完成本项目招标范围内工程投资方案设计估算、初步设计概算等造价文件的编制及相关配合报审工作，协助招标人取得发展改革部门的批复意见。还包括各阶段方案比选、技术选型比选的投资分析、施工阶段的设计变更造价变化分析、协助竣工图审核等。</w:t>
      </w:r>
    </w:p>
    <w:p w14:paraId="03DEC253">
      <w:pPr>
        <w:widowControl/>
        <w:spacing w:line="360" w:lineRule="auto"/>
        <w:ind w:left="0" w:leftChars="0" w:firstLine="480" w:firstLineChars="200"/>
        <w:jc w:val="left"/>
        <w:rPr>
          <w:rFonts w:hint="eastAsia" w:ascii="宋体" w:hAnsi="宋体" w:cs="宋体"/>
          <w:sz w:val="24"/>
          <w:szCs w:val="22"/>
          <w:highlight w:val="none"/>
          <w:u w:val="single"/>
          <w:lang w:val="en-US"/>
        </w:rPr>
      </w:pPr>
      <w:r>
        <w:rPr>
          <w:rFonts w:hint="eastAsia" w:ascii="宋体" w:hAnsi="宋体" w:cs="宋体"/>
          <w:sz w:val="24"/>
          <w:szCs w:val="22"/>
          <w:highlight w:val="none"/>
          <w:u w:val="single"/>
          <w:lang w:val="en-US"/>
        </w:rPr>
        <w:t>2）技术配合工作：招标人后续各类招标工作配合、施工配合、现场服务、竣工验收及概算清理、专题研究等；配合设计审查（概念方案审查、设计方案审查、初步设计审查和施工图设计审查）及相关配套设计服务（包括不限于修详通、报建通、竣工通）等项目全过程的设计服务。</w:t>
      </w:r>
    </w:p>
    <w:p w14:paraId="25B6142F">
      <w:pPr>
        <w:widowControl/>
        <w:spacing w:line="360" w:lineRule="auto"/>
        <w:ind w:left="0" w:leftChars="0" w:firstLine="480" w:firstLineChars="200"/>
        <w:jc w:val="left"/>
        <w:rPr>
          <w:rFonts w:hint="eastAsia" w:ascii="宋体" w:hAnsi="宋体" w:cs="宋体"/>
          <w:sz w:val="24"/>
          <w:szCs w:val="22"/>
          <w:highlight w:val="none"/>
          <w:u w:val="single"/>
          <w:lang w:val="en-US"/>
        </w:rPr>
      </w:pPr>
      <w:r>
        <w:rPr>
          <w:rFonts w:hint="eastAsia" w:ascii="宋体" w:hAnsi="宋体" w:cs="宋体"/>
          <w:sz w:val="24"/>
          <w:szCs w:val="22"/>
          <w:highlight w:val="none"/>
          <w:u w:val="single"/>
          <w:lang w:val="en-US"/>
        </w:rPr>
        <w:t>3）报批报建：立项（含可研）范围内综合管线规划设计报批、建筑设计方案审查等的所有用地、规划、建筑、技术、管线、专项等各类报建配合、协调工作等。</w:t>
      </w:r>
    </w:p>
    <w:p w14:paraId="6EA826E1">
      <w:pPr>
        <w:widowControl/>
        <w:spacing w:line="360" w:lineRule="auto"/>
        <w:ind w:left="0" w:leftChars="0" w:firstLine="480" w:firstLineChars="200"/>
        <w:jc w:val="left"/>
        <w:rPr>
          <w:rFonts w:hint="eastAsia" w:ascii="宋体" w:hAnsi="宋体" w:cs="宋体"/>
          <w:sz w:val="24"/>
          <w:szCs w:val="22"/>
          <w:highlight w:val="none"/>
          <w:u w:val="single"/>
          <w:lang w:val="en-US"/>
        </w:rPr>
      </w:pPr>
      <w:r>
        <w:rPr>
          <w:rFonts w:hint="eastAsia" w:ascii="宋体" w:hAnsi="宋体" w:cs="宋体"/>
          <w:sz w:val="24"/>
          <w:szCs w:val="22"/>
          <w:highlight w:val="none"/>
          <w:u w:val="single"/>
          <w:lang w:val="en-US"/>
        </w:rPr>
        <w:t>4）设计文件修改、完善工作：中标人应根据政府相关行政主管部门、行业主管部门的审批意见无条件地修改、完善各阶段的设计成果文件，确保其满足相关的审批要求；中标人应根据施工图审查单位的审查、招标人的设计评审、招标人组织的专业人士的意见对设计成果文件进行修改、完善。</w:t>
      </w:r>
    </w:p>
    <w:p w14:paraId="4FD4A94A">
      <w:pPr>
        <w:widowControl/>
        <w:spacing w:line="360" w:lineRule="auto"/>
        <w:ind w:left="0" w:leftChars="0" w:firstLine="480" w:firstLineChars="200"/>
        <w:jc w:val="left"/>
        <w:rPr>
          <w:rFonts w:hint="eastAsia" w:ascii="宋体" w:hAnsi="宋体" w:cs="宋体"/>
          <w:sz w:val="24"/>
          <w:szCs w:val="22"/>
          <w:highlight w:val="none"/>
          <w:u w:val="single"/>
        </w:rPr>
      </w:pPr>
      <w:r>
        <w:rPr>
          <w:rFonts w:hint="eastAsia" w:ascii="宋体" w:hAnsi="宋体" w:cs="宋体"/>
          <w:sz w:val="24"/>
          <w:szCs w:val="22"/>
          <w:highlight w:val="none"/>
          <w:u w:val="single"/>
          <w:lang w:val="en-US" w:eastAsia="zh-CN"/>
        </w:rPr>
        <w:t>（7）</w:t>
      </w:r>
      <w:r>
        <w:rPr>
          <w:rFonts w:hint="eastAsia" w:ascii="宋体" w:hAnsi="宋体" w:cs="宋体"/>
          <w:sz w:val="24"/>
          <w:szCs w:val="22"/>
          <w:highlight w:val="none"/>
          <w:u w:val="single"/>
        </w:rPr>
        <w:t>设计配合工作：</w:t>
      </w:r>
    </w:p>
    <w:p w14:paraId="45A948A3">
      <w:pPr>
        <w:widowControl/>
        <w:spacing w:line="360" w:lineRule="auto"/>
        <w:ind w:left="0" w:leftChars="0" w:firstLine="480" w:firstLineChars="200"/>
        <w:jc w:val="left"/>
        <w:rPr>
          <w:rFonts w:hint="eastAsia" w:ascii="宋体" w:hAnsi="宋体" w:cs="宋体"/>
          <w:sz w:val="24"/>
          <w:szCs w:val="22"/>
          <w:highlight w:val="none"/>
          <w:u w:val="single"/>
        </w:rPr>
      </w:pPr>
      <w:r>
        <w:rPr>
          <w:rFonts w:hint="eastAsia" w:ascii="宋体" w:hAnsi="宋体" w:cs="宋体"/>
          <w:sz w:val="24"/>
          <w:szCs w:val="22"/>
          <w:highlight w:val="none"/>
          <w:u w:val="single"/>
        </w:rPr>
        <w:t>①设计配合工作包括临水（临时外水）、临电（临时外电）、施工总平面等设计工作；</w:t>
      </w:r>
    </w:p>
    <w:p w14:paraId="32B4F40D">
      <w:pPr>
        <w:widowControl/>
        <w:spacing w:line="360" w:lineRule="auto"/>
        <w:ind w:left="0" w:leftChars="0" w:firstLine="480" w:firstLineChars="200"/>
        <w:jc w:val="left"/>
        <w:rPr>
          <w:rFonts w:hint="eastAsia" w:ascii="宋体" w:hAnsi="宋体" w:cs="宋体"/>
          <w:sz w:val="24"/>
          <w:szCs w:val="22"/>
          <w:highlight w:val="none"/>
          <w:u w:val="single"/>
        </w:rPr>
      </w:pPr>
      <w:r>
        <w:rPr>
          <w:rFonts w:hint="eastAsia" w:ascii="宋体" w:hAnsi="宋体" w:cs="宋体"/>
          <w:sz w:val="24"/>
          <w:szCs w:val="22"/>
          <w:highlight w:val="none"/>
          <w:u w:val="single"/>
        </w:rPr>
        <w:t>②若设计过程中有需要前往外地考察同类项目并借鉴其经验，中标人应予以协助和配合，考察费用已包含在投标报价中。</w:t>
      </w:r>
    </w:p>
    <w:p w14:paraId="64208FC5">
      <w:pPr>
        <w:widowControl/>
        <w:spacing w:line="360" w:lineRule="auto"/>
        <w:ind w:left="0" w:leftChars="0" w:firstLine="480" w:firstLineChars="200"/>
        <w:jc w:val="left"/>
        <w:rPr>
          <w:rFonts w:hint="eastAsia" w:ascii="宋体" w:hAnsi="宋体" w:cs="宋体"/>
          <w:sz w:val="24"/>
          <w:szCs w:val="22"/>
          <w:highlight w:val="none"/>
          <w:u w:val="single"/>
        </w:rPr>
      </w:pPr>
      <w:r>
        <w:rPr>
          <w:rFonts w:hint="eastAsia" w:ascii="宋体" w:hAnsi="宋体" w:cs="宋体"/>
          <w:sz w:val="24"/>
          <w:szCs w:val="22"/>
          <w:highlight w:val="none"/>
          <w:u w:val="single"/>
        </w:rPr>
        <w:t>③参加各类协调、论证、评审等会议，项目负责人及各专业负责人须到会，负责会议有关汇报文件、展示文件的制作和汇报。</w:t>
      </w:r>
    </w:p>
    <w:p w14:paraId="2BD1C61C">
      <w:pPr>
        <w:widowControl/>
        <w:spacing w:line="360" w:lineRule="auto"/>
        <w:ind w:left="0" w:leftChars="0" w:firstLine="480" w:firstLineChars="200"/>
        <w:jc w:val="left"/>
        <w:rPr>
          <w:rFonts w:hint="eastAsia" w:ascii="宋体" w:hAnsi="宋体" w:cs="宋体"/>
          <w:sz w:val="24"/>
          <w:szCs w:val="22"/>
          <w:highlight w:val="none"/>
          <w:u w:val="single"/>
        </w:rPr>
      </w:pPr>
      <w:r>
        <w:rPr>
          <w:rFonts w:hint="eastAsia" w:ascii="宋体" w:hAnsi="宋体" w:cs="宋体"/>
          <w:sz w:val="24"/>
          <w:szCs w:val="22"/>
          <w:highlight w:val="none"/>
          <w:u w:val="single"/>
        </w:rPr>
        <w:t>④参加由招标人或建设单位组织的专家评审，评审专家劳务费用由中标人负责。</w:t>
      </w:r>
    </w:p>
    <w:p w14:paraId="0F78E8BE">
      <w:pPr>
        <w:widowControl/>
        <w:spacing w:line="360" w:lineRule="auto"/>
        <w:ind w:left="0" w:leftChars="0" w:firstLine="480" w:firstLineChars="200"/>
        <w:jc w:val="left"/>
        <w:rPr>
          <w:rFonts w:hint="eastAsia" w:ascii="宋体" w:hAnsi="宋体" w:cs="宋体"/>
          <w:sz w:val="24"/>
          <w:szCs w:val="22"/>
          <w:highlight w:val="none"/>
          <w:u w:val="single"/>
        </w:rPr>
      </w:pPr>
      <w:r>
        <w:rPr>
          <w:rFonts w:hint="eastAsia" w:ascii="宋体" w:hAnsi="宋体" w:cs="宋体"/>
          <w:sz w:val="24"/>
          <w:szCs w:val="22"/>
          <w:highlight w:val="none"/>
          <w:u w:val="single"/>
        </w:rPr>
        <w:t>⑤对材料、设备的选型提出合理化建议。</w:t>
      </w:r>
    </w:p>
    <w:p w14:paraId="4014BB8D">
      <w:pPr>
        <w:widowControl/>
        <w:spacing w:line="360" w:lineRule="auto"/>
        <w:ind w:left="0" w:leftChars="0" w:firstLine="480" w:firstLineChars="200"/>
        <w:jc w:val="left"/>
        <w:rPr>
          <w:rFonts w:hint="eastAsia" w:ascii="宋体" w:hAnsi="宋体" w:cs="宋体"/>
          <w:sz w:val="24"/>
          <w:szCs w:val="22"/>
          <w:highlight w:val="none"/>
          <w:u w:val="single"/>
        </w:rPr>
      </w:pPr>
      <w:r>
        <w:rPr>
          <w:rFonts w:hint="eastAsia" w:ascii="宋体" w:hAnsi="宋体" w:cs="宋体"/>
          <w:sz w:val="24"/>
          <w:szCs w:val="22"/>
          <w:highlight w:val="none"/>
          <w:u w:val="single"/>
        </w:rPr>
        <w:t>⑥现场服务：现场指导与监督、施工配合（含派设计代表驻现场），及时处理现场设计问题。</w:t>
      </w:r>
    </w:p>
    <w:p w14:paraId="50D5BC8F">
      <w:pPr>
        <w:widowControl/>
        <w:spacing w:line="360" w:lineRule="auto"/>
        <w:ind w:left="0" w:leftChars="0" w:firstLine="480" w:firstLineChars="200"/>
        <w:jc w:val="left"/>
        <w:rPr>
          <w:rFonts w:hint="eastAsia" w:ascii="宋体" w:hAnsi="宋体" w:cs="宋体"/>
          <w:sz w:val="24"/>
          <w:szCs w:val="22"/>
          <w:highlight w:val="none"/>
          <w:u w:val="single"/>
        </w:rPr>
      </w:pPr>
      <w:r>
        <w:rPr>
          <w:rFonts w:hint="eastAsia" w:ascii="宋体" w:hAnsi="宋体" w:cs="宋体"/>
          <w:sz w:val="24"/>
          <w:szCs w:val="22"/>
          <w:highlight w:val="none"/>
          <w:u w:val="single"/>
        </w:rPr>
        <w:t>⑦协助提供工程实体质量监督抽测及监测等咨询工作的招标要求（包括技术要求及清单、预算）等；</w:t>
      </w:r>
    </w:p>
    <w:p w14:paraId="0EF358BB">
      <w:pPr>
        <w:widowControl/>
        <w:spacing w:line="360" w:lineRule="auto"/>
        <w:ind w:left="0" w:leftChars="0" w:firstLine="480" w:firstLineChars="200"/>
        <w:jc w:val="left"/>
        <w:rPr>
          <w:rFonts w:hint="eastAsia" w:ascii="宋体" w:hAnsi="宋体" w:cs="宋体"/>
          <w:sz w:val="24"/>
          <w:szCs w:val="22"/>
          <w:highlight w:val="none"/>
          <w:u w:val="single"/>
        </w:rPr>
      </w:pPr>
      <w:r>
        <w:rPr>
          <w:rFonts w:hint="eastAsia" w:ascii="宋体" w:hAnsi="宋体" w:cs="宋体"/>
          <w:sz w:val="24"/>
          <w:szCs w:val="22"/>
          <w:highlight w:val="none"/>
          <w:u w:val="single"/>
        </w:rPr>
        <w:t>⑧设计文件要根据招标人要求列出项目需求，逐一给出简要分析，并对每一项需求，说明在方案设计中如何满足。</w:t>
      </w:r>
    </w:p>
    <w:p w14:paraId="0F955D9B">
      <w:pPr>
        <w:widowControl/>
        <w:spacing w:line="360" w:lineRule="auto"/>
        <w:ind w:left="0" w:leftChars="0" w:firstLine="480" w:firstLineChars="200"/>
        <w:jc w:val="left"/>
        <w:rPr>
          <w:rFonts w:hint="eastAsia" w:ascii="宋体" w:hAnsi="宋体" w:cs="宋体"/>
          <w:sz w:val="24"/>
          <w:szCs w:val="22"/>
          <w:highlight w:val="none"/>
          <w:u w:val="single"/>
        </w:rPr>
      </w:pPr>
      <w:r>
        <w:rPr>
          <w:rFonts w:hint="eastAsia" w:ascii="宋体" w:hAnsi="宋体" w:cs="宋体"/>
          <w:sz w:val="24"/>
          <w:szCs w:val="22"/>
          <w:highlight w:val="none"/>
          <w:u w:val="single"/>
        </w:rPr>
        <w:t>⑨方案设计阶段要根据招标人要求，随时调整、改进方案设计，直至招标人满意并确认为止。初步设计阶段要根据招标人要求，提供本项目灯光、音响、视频、舞台机械、舞台专用设备系统等方面的布置、管线走向和控制设备原理等初步设计。</w:t>
      </w:r>
    </w:p>
    <w:p w14:paraId="7DEF651B">
      <w:pPr>
        <w:widowControl/>
        <w:spacing w:line="360" w:lineRule="auto"/>
        <w:ind w:left="0" w:leftChars="0" w:firstLine="480" w:firstLineChars="200"/>
        <w:jc w:val="left"/>
        <w:rPr>
          <w:rFonts w:hint="eastAsia" w:ascii="宋体" w:hAnsi="宋体" w:cs="宋体"/>
          <w:sz w:val="24"/>
          <w:szCs w:val="22"/>
          <w:highlight w:val="none"/>
          <w:u w:val="single"/>
        </w:rPr>
      </w:pPr>
      <w:r>
        <w:rPr>
          <w:rFonts w:hint="eastAsia" w:ascii="宋体" w:hAnsi="宋体" w:cs="宋体"/>
          <w:sz w:val="24"/>
          <w:szCs w:val="22"/>
          <w:highlight w:val="none"/>
          <w:u w:val="single"/>
        </w:rPr>
        <w:t>⑩工程量清单编制服务。根据审核完成的初步设计方案做好工程量清单的编制工作。</w:t>
      </w:r>
    </w:p>
    <w:p w14:paraId="08360563">
      <w:pPr>
        <w:widowControl/>
        <w:spacing w:line="360" w:lineRule="auto"/>
        <w:ind w:left="0" w:leftChars="0" w:firstLine="480" w:firstLineChars="200"/>
        <w:jc w:val="left"/>
        <w:rPr>
          <w:rFonts w:hint="eastAsia" w:ascii="宋体" w:hAnsi="宋体" w:cs="宋体"/>
          <w:sz w:val="24"/>
          <w:szCs w:val="22"/>
          <w:highlight w:val="none"/>
          <w:u w:val="single"/>
        </w:rPr>
      </w:pPr>
      <w:r>
        <w:rPr>
          <w:rFonts w:hint="eastAsia" w:ascii="宋体" w:hAnsi="宋体" w:cs="宋体"/>
          <w:sz w:val="24"/>
          <w:szCs w:val="22"/>
          <w:highlight w:val="none"/>
          <w:u w:val="single"/>
        </w:rPr>
        <w:t>（</w:t>
      </w:r>
      <w:r>
        <w:rPr>
          <w:rFonts w:hint="eastAsia" w:ascii="宋体" w:hAnsi="宋体" w:cs="宋体"/>
          <w:sz w:val="24"/>
          <w:szCs w:val="22"/>
          <w:highlight w:val="none"/>
          <w:u w:val="single"/>
          <w:lang w:val="en-US" w:eastAsia="zh-CN"/>
        </w:rPr>
        <w:t>8</w:t>
      </w:r>
      <w:r>
        <w:rPr>
          <w:rFonts w:hint="eastAsia" w:ascii="宋体" w:hAnsi="宋体" w:cs="宋体"/>
          <w:sz w:val="24"/>
          <w:szCs w:val="22"/>
          <w:highlight w:val="none"/>
          <w:u w:val="single"/>
        </w:rPr>
        <w:t>）各阶段设计文件深度要求必须满足《建筑工程设计文件编制深度规定》的要求，各专业还应该满足各专业工程设计文件编制深度规范或规定的要求。</w:t>
      </w:r>
    </w:p>
    <w:p w14:paraId="1C5FBEC0">
      <w:pPr>
        <w:widowControl/>
        <w:spacing w:line="360" w:lineRule="auto"/>
        <w:ind w:left="0" w:leftChars="0" w:firstLine="480" w:firstLineChars="200"/>
        <w:jc w:val="left"/>
        <w:rPr>
          <w:rFonts w:hint="eastAsia" w:ascii="宋体" w:hAnsi="宋体" w:cs="宋体"/>
          <w:sz w:val="24"/>
          <w:szCs w:val="22"/>
          <w:highlight w:val="none"/>
          <w:u w:val="single"/>
        </w:rPr>
      </w:pPr>
      <w:r>
        <w:rPr>
          <w:rFonts w:hint="eastAsia" w:ascii="宋体" w:hAnsi="宋体" w:cs="宋体"/>
          <w:sz w:val="24"/>
          <w:szCs w:val="22"/>
          <w:highlight w:val="none"/>
          <w:u w:val="single"/>
        </w:rPr>
        <w:t>（</w:t>
      </w:r>
      <w:r>
        <w:rPr>
          <w:rFonts w:hint="eastAsia" w:ascii="宋体" w:hAnsi="宋体" w:cs="宋体"/>
          <w:sz w:val="24"/>
          <w:szCs w:val="22"/>
          <w:highlight w:val="none"/>
          <w:u w:val="single"/>
          <w:lang w:val="en-US" w:eastAsia="zh-CN"/>
        </w:rPr>
        <w:t>9</w:t>
      </w:r>
      <w:r>
        <w:rPr>
          <w:rFonts w:hint="eastAsia" w:ascii="宋体" w:hAnsi="宋体" w:cs="宋体"/>
          <w:sz w:val="24"/>
          <w:szCs w:val="22"/>
          <w:highlight w:val="none"/>
          <w:u w:val="single"/>
        </w:rPr>
        <w:t>）BIM技术运用：整个设计过程运用BIM建筑信息模型，运用BIM检查初步设计中的错、漏、碰、缺，利用BIM技术进行管线综合平衡设计，要求实现项目参与各方在同一平台上项目信息数据共享，在BIM中插入、提取、更新和修改信息，确保各方协同作业。建立运营维护模型，指导实际运行、维护管理工作。BIM模型成果文件需上传到广东省代建项目管理局BIM协同管理平台上，且BIM技术要求必须达到《广东省代建项目管理局BIM实施管理标准2023修订版》、《广东省代建项目管理局BIM实施导则2023修订版》的要求，BIM完成情况纳入合同履约诚信考核。</w:t>
      </w:r>
    </w:p>
    <w:bookmarkEnd w:id="4"/>
    <w:p w14:paraId="0B366876">
      <w:pPr>
        <w:widowControl/>
        <w:spacing w:line="360" w:lineRule="auto"/>
        <w:ind w:left="0" w:leftChars="0" w:firstLine="480" w:firstLineChars="200"/>
        <w:jc w:val="left"/>
        <w:rPr>
          <w:rFonts w:hint="eastAsia" w:ascii="宋体" w:hAnsi="宋体" w:cs="宋体"/>
          <w:sz w:val="24"/>
          <w:szCs w:val="22"/>
          <w:highlight w:val="none"/>
          <w:u w:val="single"/>
        </w:rPr>
      </w:pPr>
      <w:r>
        <w:rPr>
          <w:rFonts w:hint="eastAsia" w:ascii="宋体" w:hAnsi="宋体" w:cs="宋体"/>
          <w:sz w:val="24"/>
          <w:szCs w:val="22"/>
          <w:highlight w:val="none"/>
          <w:u w:val="single"/>
        </w:rPr>
        <w:t>（</w:t>
      </w:r>
      <w:r>
        <w:rPr>
          <w:rFonts w:hint="eastAsia" w:ascii="宋体" w:hAnsi="宋体" w:cs="宋体"/>
          <w:sz w:val="24"/>
          <w:szCs w:val="22"/>
          <w:highlight w:val="none"/>
          <w:u w:val="single"/>
          <w:lang w:val="en-US" w:eastAsia="zh-CN"/>
        </w:rPr>
        <w:t>10</w:t>
      </w:r>
      <w:r>
        <w:rPr>
          <w:rFonts w:hint="eastAsia" w:ascii="宋体" w:hAnsi="宋体" w:cs="宋体"/>
          <w:sz w:val="24"/>
          <w:szCs w:val="22"/>
          <w:highlight w:val="none"/>
          <w:u w:val="single"/>
        </w:rPr>
        <w:t>）勘察设计合同中的其他要求。</w:t>
      </w:r>
    </w:p>
    <w:p w14:paraId="5355E3B6">
      <w:pPr>
        <w:widowControl/>
        <w:spacing w:line="360" w:lineRule="auto"/>
        <w:ind w:firstLine="480" w:firstLineChars="200"/>
        <w:jc w:val="left"/>
        <w:rPr>
          <w:rFonts w:hint="eastAsia" w:ascii="宋体" w:hAnsi="宋体" w:cs="宋体"/>
          <w:sz w:val="24"/>
          <w:highlight w:val="none"/>
          <w:u w:val="single"/>
        </w:rPr>
      </w:pPr>
      <w:r>
        <w:rPr>
          <w:rFonts w:hint="eastAsia" w:ascii="宋体" w:hAnsi="宋体" w:cs="宋体"/>
          <w:sz w:val="24"/>
          <w:szCs w:val="22"/>
          <w:highlight w:val="none"/>
          <w:u w:val="single"/>
        </w:rPr>
        <w:t>各阶段勘察设计工作的服务深度需满足现行国家、省、市有关规范规定以及有关职能审批部门的要求。具体工作内容及要求详见本项目可行性研究报告及合同条款的有关约定。</w:t>
      </w:r>
    </w:p>
    <w:p w14:paraId="4E7D643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2.3 质量要求：</w:t>
      </w:r>
    </w:p>
    <w:p w14:paraId="68D80352">
      <w:pP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本项目工程质量目标须符合《建设工程质量管理条例》、《建设工程勘察设计管理条例》、《建筑工程设计文件编制深度规定（2016年版）》等国家及地方有关工程设计管理法规和规章，达到行业相关规范技术标准等要求。绿色建筑目标为绿色建筑二星标准设计。</w:t>
      </w:r>
    </w:p>
    <w:p w14:paraId="77B7ABDC">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中标人各阶段设计工作及所提交的设计成果应满足上述目标的申报条件，同时中标人应配合上述目标的申报，为申报工作提供相关基础资料。相关费用已包含在投标报价中，招标人不再另行支付费用。</w:t>
      </w:r>
    </w:p>
    <w:p w14:paraId="63C4AAC3">
      <w:pPr>
        <w:spacing w:line="360" w:lineRule="auto"/>
        <w:ind w:firstLine="480" w:firstLineChars="200"/>
        <w:jc w:val="left"/>
        <w:rPr>
          <w:highlight w:val="none"/>
        </w:rPr>
      </w:pPr>
      <w:bookmarkStart w:id="5" w:name="OLE_LINK3"/>
      <w:r>
        <w:rPr>
          <w:rFonts w:hint="eastAsia" w:ascii="宋体" w:hAnsi="宋体" w:cs="宋体"/>
          <w:sz w:val="24"/>
          <w:highlight w:val="none"/>
        </w:rPr>
        <w:t>2.4 勘察设计服务期：</w:t>
      </w:r>
    </w:p>
    <w:p w14:paraId="1F0A71B1">
      <w:pP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2.4.1勘察工期（含外业和内业，出正式版勘察报告）：</w:t>
      </w:r>
      <w:r>
        <w:rPr>
          <w:rFonts w:hint="eastAsia" w:asciiTheme="minorEastAsia" w:hAnsiTheme="minorEastAsia" w:eastAsiaTheme="minorEastAsia"/>
          <w:sz w:val="24"/>
          <w:highlight w:val="none"/>
          <w:u w:val="single"/>
        </w:rPr>
        <w:t>中标人应在</w:t>
      </w:r>
      <w:r>
        <w:rPr>
          <w:rFonts w:hint="eastAsia" w:ascii="宋体" w:hAnsi="宋体" w:cs="宋体"/>
          <w:sz w:val="24"/>
          <w:highlight w:val="none"/>
          <w:u w:val="single"/>
        </w:rPr>
        <w:t>收到发包人发出的进场通知后不超过</w:t>
      </w:r>
      <w:r>
        <w:rPr>
          <w:rFonts w:hint="eastAsia" w:ascii="宋体" w:hAnsi="宋体" w:cs="宋体"/>
          <w:sz w:val="24"/>
          <w:highlight w:val="none"/>
          <w:u w:val="single"/>
          <w:lang w:val="en-US" w:eastAsia="zh-CN"/>
        </w:rPr>
        <w:t>45</w:t>
      </w:r>
      <w:r>
        <w:rPr>
          <w:rFonts w:hint="eastAsia" w:ascii="宋体" w:hAnsi="宋体" w:cs="宋体"/>
          <w:sz w:val="24"/>
          <w:highlight w:val="none"/>
          <w:u w:val="single"/>
        </w:rPr>
        <w:t>日历天内提交勘察成果文件。</w:t>
      </w:r>
    </w:p>
    <w:p w14:paraId="4D10B911">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u w:val="single"/>
        </w:rPr>
        <w:t>2.4.2设计工期:合同签订后120日历天内完成初步设计（含方案设计及确认时间），初步设计审查批准后45日历天内完成施工图设计，施工图设计文件经审查发现问题后20日历天内完成补充、修改。</w:t>
      </w:r>
      <w:bookmarkEnd w:id="5"/>
      <w:bookmarkStart w:id="6" w:name="OLE_LINK12"/>
    </w:p>
    <w:p w14:paraId="67C8D23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2.5 本项目最高投标限价为：</w:t>
      </w:r>
    </w:p>
    <w:p w14:paraId="695E7FEB">
      <w:pPr>
        <w:spacing w:line="360" w:lineRule="auto"/>
        <w:ind w:firstLine="480" w:firstLineChars="200"/>
        <w:rPr>
          <w:rFonts w:hint="eastAsia" w:ascii="宋体" w:hAnsi="宋体" w:cs="宋体"/>
          <w:sz w:val="24"/>
          <w:szCs w:val="24"/>
          <w:highlight w:val="none"/>
          <w:u w:val="single"/>
          <w:lang w:bidi="ar"/>
        </w:rPr>
      </w:pPr>
      <w:r>
        <w:rPr>
          <w:rFonts w:hint="eastAsia" w:ascii="宋体" w:hAnsi="宋体" w:cs="宋体"/>
          <w:sz w:val="24"/>
          <w:szCs w:val="24"/>
          <w:highlight w:val="none"/>
        </w:rPr>
        <w:t xml:space="preserve">2.5.1 </w:t>
      </w:r>
      <w:r>
        <w:rPr>
          <w:rFonts w:hint="eastAsia" w:ascii="宋体" w:hAnsi="宋体" w:cs="宋体"/>
          <w:sz w:val="24"/>
          <w:szCs w:val="24"/>
          <w:highlight w:val="none"/>
          <w:u w:val="single"/>
          <w:lang w:bidi="ar"/>
        </w:rPr>
        <w:t>本项目工程勘察设计费最高投标限价总价为</w:t>
      </w:r>
      <w:r>
        <w:rPr>
          <w:rFonts w:hint="eastAsia" w:ascii="宋体" w:hAnsi="宋体" w:cs="宋体"/>
          <w:sz w:val="24"/>
          <w:szCs w:val="24"/>
          <w:highlight w:val="none"/>
          <w:u w:val="single"/>
          <w:lang w:val="en-US" w:eastAsia="zh-CN" w:bidi="ar"/>
        </w:rPr>
        <w:t>697.86</w:t>
      </w:r>
      <w:r>
        <w:rPr>
          <w:rFonts w:hint="eastAsia" w:ascii="宋体" w:hAnsi="宋体" w:cs="宋体"/>
          <w:sz w:val="24"/>
          <w:szCs w:val="24"/>
          <w:highlight w:val="none"/>
          <w:u w:val="single"/>
          <w:lang w:bidi="ar"/>
        </w:rPr>
        <w:t>万元</w:t>
      </w:r>
      <w:r>
        <w:rPr>
          <w:rFonts w:hint="eastAsia" w:ascii="宋体" w:hAnsi="宋体" w:cs="宋体"/>
          <w:sz w:val="24"/>
          <w:szCs w:val="24"/>
          <w:highlight w:val="none"/>
          <w:u w:val="single"/>
          <w:lang w:eastAsia="zh-CN" w:bidi="ar"/>
        </w:rPr>
        <w:t>（含投标经济补偿费）</w:t>
      </w:r>
      <w:r>
        <w:rPr>
          <w:rFonts w:hint="eastAsia" w:ascii="宋体" w:hAnsi="宋体" w:cs="宋体"/>
          <w:sz w:val="24"/>
          <w:szCs w:val="24"/>
          <w:highlight w:val="none"/>
          <w:u w:val="single"/>
          <w:lang w:bidi="ar"/>
        </w:rPr>
        <w:t>，其中设计费最高投标限价为</w:t>
      </w:r>
      <w:r>
        <w:rPr>
          <w:rFonts w:hint="eastAsia" w:ascii="宋体" w:hAnsi="宋体" w:cs="宋体"/>
          <w:sz w:val="24"/>
          <w:szCs w:val="24"/>
          <w:highlight w:val="none"/>
          <w:u w:val="single"/>
          <w:lang w:val="en-US" w:eastAsia="zh-CN" w:bidi="ar"/>
        </w:rPr>
        <w:t>624.03</w:t>
      </w:r>
      <w:r>
        <w:rPr>
          <w:rFonts w:hint="eastAsia" w:ascii="宋体" w:hAnsi="宋体" w:cs="宋体"/>
          <w:sz w:val="24"/>
          <w:szCs w:val="24"/>
          <w:highlight w:val="none"/>
          <w:u w:val="single"/>
          <w:lang w:bidi="ar"/>
        </w:rPr>
        <w:t>万元(其中基本设计费最高投标限价为</w:t>
      </w:r>
      <w:r>
        <w:rPr>
          <w:rFonts w:hint="eastAsia" w:ascii="宋体" w:hAnsi="宋体" w:cs="宋体"/>
          <w:sz w:val="24"/>
          <w:szCs w:val="24"/>
          <w:highlight w:val="none"/>
          <w:u w:val="single"/>
          <w:lang w:val="en-US" w:eastAsia="zh-CN" w:bidi="ar"/>
        </w:rPr>
        <w:t>577.81</w:t>
      </w:r>
      <w:r>
        <w:rPr>
          <w:rFonts w:hint="eastAsia" w:ascii="宋体" w:hAnsi="宋体" w:cs="宋体"/>
          <w:sz w:val="24"/>
          <w:szCs w:val="24"/>
          <w:highlight w:val="none"/>
          <w:u w:val="single"/>
          <w:lang w:bidi="ar"/>
        </w:rPr>
        <w:t>万元，竣工图编制费最高投标限价为</w:t>
      </w:r>
      <w:r>
        <w:rPr>
          <w:rFonts w:hint="eastAsia" w:ascii="宋体" w:hAnsi="宋体" w:cs="宋体"/>
          <w:sz w:val="24"/>
          <w:szCs w:val="24"/>
          <w:highlight w:val="none"/>
          <w:u w:val="single"/>
          <w:lang w:val="en-US" w:eastAsia="zh-CN" w:bidi="ar"/>
        </w:rPr>
        <w:t>46.22</w:t>
      </w:r>
      <w:r>
        <w:rPr>
          <w:rFonts w:hint="eastAsia" w:ascii="宋体" w:hAnsi="宋体" w:cs="宋体"/>
          <w:sz w:val="24"/>
          <w:szCs w:val="24"/>
          <w:highlight w:val="none"/>
          <w:u w:val="single"/>
          <w:lang w:bidi="ar"/>
        </w:rPr>
        <w:t>万元）</w:t>
      </w:r>
      <w:r>
        <w:rPr>
          <w:rFonts w:ascii="宋体" w:hAnsi="宋体" w:cs="宋体"/>
          <w:sz w:val="24"/>
          <w:szCs w:val="24"/>
          <w:highlight w:val="none"/>
          <w:u w:val="single"/>
          <w:lang w:bidi="ar"/>
        </w:rPr>
        <w:t>；BIM</w:t>
      </w:r>
      <w:r>
        <w:rPr>
          <w:rFonts w:hint="eastAsia" w:ascii="宋体" w:hAnsi="宋体" w:cs="宋体"/>
          <w:sz w:val="24"/>
          <w:szCs w:val="24"/>
          <w:highlight w:val="none"/>
          <w:u w:val="single"/>
          <w:lang w:bidi="ar"/>
        </w:rPr>
        <w:t>技术应用费</w:t>
      </w:r>
      <w:r>
        <w:rPr>
          <w:rFonts w:ascii="宋体" w:hAnsi="宋体" w:cs="宋体"/>
          <w:sz w:val="24"/>
          <w:szCs w:val="24"/>
          <w:highlight w:val="none"/>
          <w:u w:val="single"/>
          <w:lang w:bidi="ar"/>
        </w:rPr>
        <w:t>最高投标限价为</w:t>
      </w:r>
      <w:r>
        <w:rPr>
          <w:rFonts w:hint="eastAsia" w:ascii="宋体" w:hAnsi="宋体" w:cs="宋体"/>
          <w:sz w:val="24"/>
          <w:szCs w:val="24"/>
          <w:highlight w:val="none"/>
          <w:u w:val="single"/>
          <w:lang w:val="en-US" w:eastAsia="zh-CN" w:bidi="ar"/>
        </w:rPr>
        <w:t>40.08</w:t>
      </w:r>
      <w:r>
        <w:rPr>
          <w:rFonts w:hint="eastAsia" w:ascii="宋体" w:hAnsi="宋体" w:cs="宋体"/>
          <w:sz w:val="24"/>
          <w:szCs w:val="24"/>
          <w:highlight w:val="none"/>
          <w:u w:val="single"/>
          <w:lang w:bidi="ar"/>
        </w:rPr>
        <w:t>万元；勘察费最高投标限价为</w:t>
      </w:r>
      <w:r>
        <w:rPr>
          <w:rFonts w:hint="eastAsia" w:ascii="宋体" w:hAnsi="宋体" w:cs="宋体"/>
          <w:sz w:val="24"/>
          <w:szCs w:val="24"/>
          <w:highlight w:val="none"/>
          <w:u w:val="single"/>
          <w:lang w:val="en-US" w:eastAsia="zh-CN" w:bidi="ar"/>
        </w:rPr>
        <w:t>33.75</w:t>
      </w:r>
      <w:r>
        <w:rPr>
          <w:rFonts w:hint="eastAsia" w:ascii="宋体" w:hAnsi="宋体" w:cs="宋体"/>
          <w:sz w:val="24"/>
          <w:szCs w:val="24"/>
          <w:highlight w:val="none"/>
          <w:u w:val="single"/>
          <w:lang w:bidi="ar"/>
        </w:rPr>
        <w:t>万元（岩土勘察费综合包干单价最高投标限价为</w:t>
      </w:r>
      <w:r>
        <w:rPr>
          <w:rFonts w:hint="eastAsia" w:ascii="宋体" w:hAnsi="宋体" w:cs="宋体"/>
          <w:sz w:val="24"/>
          <w:szCs w:val="24"/>
          <w:highlight w:val="none"/>
          <w:u w:val="single"/>
          <w:lang w:val="en-US" w:eastAsia="zh-CN" w:bidi="ar"/>
        </w:rPr>
        <w:t>150</w:t>
      </w:r>
      <w:r>
        <w:rPr>
          <w:rFonts w:hint="eastAsia" w:ascii="宋体" w:hAnsi="宋体" w:cs="宋体"/>
          <w:sz w:val="24"/>
          <w:szCs w:val="24"/>
          <w:highlight w:val="none"/>
          <w:u w:val="single"/>
          <w:lang w:bidi="ar"/>
        </w:rPr>
        <w:t>元/米</w:t>
      </w:r>
      <w:r>
        <w:rPr>
          <w:rFonts w:hint="eastAsia" w:ascii="宋体" w:hAnsi="宋体" w:cs="宋体"/>
          <w:sz w:val="24"/>
          <w:szCs w:val="24"/>
          <w:highlight w:val="none"/>
          <w:u w:val="single"/>
          <w:lang w:eastAsia="zh-CN" w:bidi="ar"/>
        </w:rPr>
        <w:t>，</w:t>
      </w:r>
      <w:r>
        <w:rPr>
          <w:rFonts w:hint="eastAsia" w:ascii="宋体" w:hAnsi="宋体" w:cs="宋体"/>
          <w:sz w:val="24"/>
          <w:szCs w:val="24"/>
          <w:highlight w:val="none"/>
          <w:u w:val="single"/>
          <w:lang w:bidi="ar"/>
        </w:rPr>
        <w:t>暂定勘察总量为</w:t>
      </w:r>
      <w:r>
        <w:rPr>
          <w:rFonts w:hint="eastAsia" w:ascii="宋体" w:hAnsi="宋体" w:cs="宋体"/>
          <w:sz w:val="24"/>
          <w:szCs w:val="24"/>
          <w:highlight w:val="none"/>
          <w:u w:val="single"/>
          <w:lang w:val="en-US" w:eastAsia="zh-CN" w:bidi="ar"/>
        </w:rPr>
        <w:t>2</w:t>
      </w:r>
      <w:r>
        <w:rPr>
          <w:rFonts w:hint="eastAsia" w:ascii="宋体" w:hAnsi="宋体" w:cs="宋体"/>
          <w:sz w:val="24"/>
          <w:szCs w:val="24"/>
          <w:highlight w:val="none"/>
          <w:u w:val="single"/>
          <w:lang w:bidi="ar"/>
        </w:rPr>
        <w:t>250米，</w:t>
      </w:r>
      <w:r>
        <w:rPr>
          <w:rFonts w:hint="eastAsia" w:ascii="宋体" w:hAnsi="宋体" w:cs="宋体"/>
          <w:sz w:val="24"/>
          <w:szCs w:val="24"/>
          <w:highlight w:val="none"/>
          <w:u w:val="single"/>
          <w:lang w:eastAsia="zh-CN" w:bidi="ar"/>
        </w:rPr>
        <w:t>结算</w:t>
      </w:r>
      <w:r>
        <w:rPr>
          <w:rFonts w:hint="eastAsia" w:ascii="宋体" w:hAnsi="宋体" w:cs="宋体"/>
          <w:sz w:val="24"/>
          <w:szCs w:val="24"/>
          <w:highlight w:val="none"/>
          <w:u w:val="single"/>
          <w:lang w:bidi="ar"/>
        </w:rPr>
        <w:t>以实际完成工程量为准</w:t>
      </w:r>
      <w:r>
        <w:rPr>
          <w:rFonts w:hint="eastAsia" w:ascii="宋体" w:hAnsi="宋体" w:cs="宋体"/>
          <w:sz w:val="24"/>
          <w:szCs w:val="24"/>
          <w:highlight w:val="none"/>
          <w:u w:val="single"/>
          <w:lang w:eastAsia="zh-CN" w:bidi="ar"/>
        </w:rPr>
        <w:t>）。</w:t>
      </w:r>
    </w:p>
    <w:p w14:paraId="003E3DB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ascii="宋体" w:hAnsi="宋体" w:cs="宋体"/>
          <w:sz w:val="24"/>
          <w:highlight w:val="none"/>
        </w:rPr>
      </w:pPr>
      <w:r>
        <w:rPr>
          <w:rFonts w:hint="eastAsia" w:ascii="宋体" w:hAnsi="宋体" w:cs="宋体"/>
          <w:sz w:val="24"/>
          <w:highlight w:val="none"/>
        </w:rPr>
        <w:t>2.5.2 投标人的投标总价或工程勘察费或工程设计费或基本设计费或竣工图编制费或BIM技术应用费或综合包干单价超过上述相应最高投标限价的为无效标。项目应实行限额设计，建筑设计暂以发改批复的可行性研究报告中涉及本次招标内容的建安工程费（</w:t>
      </w:r>
      <w:r>
        <w:rPr>
          <w:rFonts w:hint="eastAsia" w:ascii="宋体" w:hAnsi="宋体"/>
          <w:sz w:val="24"/>
          <w:highlight w:val="none"/>
          <w:u w:val="single"/>
          <w:lang w:val="en-US" w:eastAsia="zh-CN"/>
        </w:rPr>
        <w:t>20452.04</w:t>
      </w:r>
      <w:r>
        <w:rPr>
          <w:rFonts w:hint="eastAsia" w:ascii="宋体" w:hAnsi="宋体"/>
          <w:sz w:val="24"/>
          <w:highlight w:val="none"/>
          <w:u w:val="single"/>
        </w:rPr>
        <w:t>万元</w:t>
      </w:r>
      <w:r>
        <w:rPr>
          <w:rFonts w:hint="eastAsia" w:ascii="宋体" w:hAnsi="宋体" w:cs="宋体"/>
          <w:sz w:val="24"/>
          <w:highlight w:val="none"/>
        </w:rPr>
        <w:t>）作为设计限额。</w:t>
      </w:r>
    </w:p>
    <w:bookmarkEnd w:id="6"/>
    <w:p w14:paraId="5BF53A0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勘察设计收费实行市场调节价，投标人自主报价，投标报价不得高于勘察设计费的最高投标限价；在合同实施期间设计费总价包干，不因设计工作量调整及工程造价的变化而变化，最终结算根据省财政厅《关于规范省级项目主管部门对下属单位基本建设工程结（决）算审核工作的通知》（粤财建[2017]120号）等财政部门的相关规定办理。设计费已包含了后续项目变更的设计工作量，项目概算内产生的变更调整不再另行增加设计费。工程勘察费按中标单价包干，工程量按实结算，结算价不得超过勘察费最高投标限价的150%，超出部分不再另行计量。</w:t>
      </w:r>
    </w:p>
    <w:p w14:paraId="680754B3">
      <w:pPr>
        <w:rPr>
          <w:color w:val="auto"/>
          <w:highlight w:val="none"/>
        </w:rPr>
      </w:pPr>
    </w:p>
    <w:p w14:paraId="78EC21ED">
      <w:pPr>
        <w:pStyle w:val="7"/>
        <w:keepNext/>
        <w:keepLines/>
        <w:pageBreakBefore w:val="0"/>
        <w:widowControl w:val="0"/>
        <w:numPr>
          <w:ilvl w:val="0"/>
          <w:numId w:val="1"/>
        </w:numPr>
        <w:kinsoku/>
        <w:wordWrap/>
        <w:overflowPunct/>
        <w:topLinePunct w:val="0"/>
        <w:autoSpaceDE/>
        <w:autoSpaceDN/>
        <w:bidi w:val="0"/>
        <w:adjustRightInd/>
        <w:snapToGrid/>
        <w:spacing w:before="0" w:after="0"/>
        <w:textAlignment w:val="auto"/>
        <w:rPr>
          <w:rFonts w:hint="eastAsia" w:eastAsia="宋体" w:cs="Times New Roman"/>
          <w:b/>
          <w:highlight w:val="none"/>
          <w:lang w:val="en-US" w:eastAsia="zh-CN"/>
        </w:rPr>
      </w:pPr>
      <w:r>
        <w:rPr>
          <w:rFonts w:hint="eastAsia" w:eastAsia="宋体" w:cs="Times New Roman"/>
          <w:b/>
          <w:highlight w:val="none"/>
          <w:lang w:val="en-US" w:eastAsia="zh-CN"/>
        </w:rPr>
        <w:t>投标人资格要求</w:t>
      </w:r>
    </w:p>
    <w:p w14:paraId="5E647F70">
      <w:pPr>
        <w:autoSpaceDE w:val="0"/>
        <w:autoSpaceDN w:val="0"/>
        <w:adjustRightInd w:val="0"/>
        <w:spacing w:line="360" w:lineRule="auto"/>
        <w:ind w:firstLine="480" w:firstLineChars="200"/>
        <w:rPr>
          <w:rFonts w:ascii="宋体" w:hAnsi="宋体" w:cs="宋体"/>
          <w:sz w:val="24"/>
          <w:highlight w:val="none"/>
        </w:rPr>
      </w:pPr>
      <w:r>
        <w:rPr>
          <w:rFonts w:hint="eastAsia" w:ascii="宋体" w:hAnsi="宋体" w:cs="宋体"/>
          <w:sz w:val="24"/>
          <w:szCs w:val="24"/>
          <w:highlight w:val="none"/>
        </w:rPr>
        <w:t xml:space="preserve">3.1 </w:t>
      </w:r>
      <w:r>
        <w:rPr>
          <w:rFonts w:hint="eastAsia" w:ascii="宋体" w:hAnsi="宋体"/>
          <w:kern w:val="0"/>
          <w:sz w:val="24"/>
          <w:highlight w:val="none"/>
        </w:rPr>
        <w:t xml:space="preserve"> 投标人（如为联合体，则联合体各方）与招标人过去3年内无合同履约纠纷，没有不得参加投标的情形；（以投标人提供的《投标人声明》为评审依据。）</w:t>
      </w:r>
    </w:p>
    <w:p w14:paraId="174552F4">
      <w:pPr>
        <w:autoSpaceDE w:val="0"/>
        <w:autoSpaceDN w:val="0"/>
        <w:adjustRightInd w:val="0"/>
        <w:spacing w:line="360" w:lineRule="auto"/>
        <w:ind w:firstLine="480" w:firstLineChars="200"/>
        <w:rPr>
          <w:rFonts w:ascii="宋体" w:hAnsi="宋体"/>
          <w:spacing w:val="9"/>
          <w:kern w:val="0"/>
          <w:sz w:val="24"/>
          <w:highlight w:val="none"/>
        </w:rPr>
      </w:pPr>
      <w:r>
        <w:rPr>
          <w:rFonts w:hint="eastAsia" w:ascii="宋体" w:hAnsi="宋体"/>
          <w:kern w:val="0"/>
          <w:sz w:val="24"/>
          <w:highlight w:val="none"/>
        </w:rPr>
        <w:t xml:space="preserve">3.2  </w:t>
      </w:r>
      <w:r>
        <w:rPr>
          <w:rFonts w:hint="eastAsia" w:ascii="宋体" w:hAnsi="宋体"/>
          <w:spacing w:val="9"/>
          <w:kern w:val="0"/>
          <w:sz w:val="24"/>
          <w:highlight w:val="none"/>
        </w:rPr>
        <w:t>投标人须同时具备以下3.2.1</w:t>
      </w:r>
      <w:r>
        <w:rPr>
          <w:rFonts w:hint="eastAsia" w:ascii="宋体" w:hAnsi="宋体"/>
          <w:spacing w:val="9"/>
          <w:kern w:val="0"/>
          <w:sz w:val="24"/>
          <w:highlight w:val="none"/>
          <w:lang w:val="en-US" w:eastAsia="zh-CN"/>
        </w:rPr>
        <w:t>和</w:t>
      </w:r>
      <w:r>
        <w:rPr>
          <w:rFonts w:hint="eastAsia" w:ascii="宋体" w:hAnsi="宋体"/>
          <w:spacing w:val="9"/>
          <w:kern w:val="0"/>
          <w:sz w:val="24"/>
          <w:highlight w:val="none"/>
        </w:rPr>
        <w:t>3.2.2</w:t>
      </w:r>
      <w:r>
        <w:rPr>
          <w:rFonts w:hint="eastAsia" w:ascii="宋体" w:hAnsi="宋体"/>
          <w:spacing w:val="9"/>
          <w:kern w:val="0"/>
          <w:sz w:val="24"/>
          <w:highlight w:val="none"/>
          <w:lang w:val="en-US" w:eastAsia="zh-CN"/>
        </w:rPr>
        <w:t>条</w:t>
      </w:r>
      <w:r>
        <w:rPr>
          <w:rFonts w:hint="eastAsia" w:ascii="宋体" w:hAnsi="宋体"/>
          <w:spacing w:val="9"/>
          <w:kern w:val="0"/>
          <w:sz w:val="24"/>
          <w:highlight w:val="none"/>
        </w:rPr>
        <w:t>在有效期内的资质证书：</w:t>
      </w:r>
    </w:p>
    <w:p w14:paraId="72254138">
      <w:pPr>
        <w:autoSpaceDE w:val="0"/>
        <w:autoSpaceDN w:val="0"/>
        <w:adjustRightInd w:val="0"/>
        <w:spacing w:line="360" w:lineRule="auto"/>
        <w:ind w:firstLine="516" w:firstLineChars="200"/>
        <w:rPr>
          <w:rFonts w:ascii="宋体" w:hAnsi="宋体"/>
          <w:spacing w:val="9"/>
          <w:kern w:val="0"/>
          <w:sz w:val="24"/>
          <w:highlight w:val="none"/>
          <w:u w:val="single"/>
        </w:rPr>
      </w:pPr>
      <w:r>
        <w:rPr>
          <w:rFonts w:hint="eastAsia" w:ascii="宋体" w:hAnsi="宋体"/>
          <w:spacing w:val="9"/>
          <w:kern w:val="0"/>
          <w:sz w:val="24"/>
          <w:highlight w:val="none"/>
          <w:u w:val="single"/>
        </w:rPr>
        <w:t>3.2.1</w:t>
      </w:r>
      <w:r>
        <w:rPr>
          <w:rFonts w:hint="eastAsia" w:ascii="宋体" w:hAnsi="宋体"/>
          <w:b/>
          <w:bCs/>
          <w:spacing w:val="9"/>
          <w:kern w:val="0"/>
          <w:sz w:val="24"/>
          <w:highlight w:val="none"/>
          <w:u w:val="single"/>
        </w:rPr>
        <w:t>工程勘察资质</w:t>
      </w:r>
      <w:r>
        <w:rPr>
          <w:rFonts w:hint="eastAsia" w:ascii="宋体" w:hAnsi="宋体"/>
          <w:spacing w:val="9"/>
          <w:kern w:val="0"/>
          <w:sz w:val="24"/>
          <w:highlight w:val="none"/>
          <w:u w:val="single"/>
        </w:rPr>
        <w:t>（以下资质条件之一）：</w:t>
      </w:r>
    </w:p>
    <w:p w14:paraId="3FFC919F">
      <w:pPr>
        <w:autoSpaceDE w:val="0"/>
        <w:autoSpaceDN w:val="0"/>
        <w:adjustRightInd w:val="0"/>
        <w:spacing w:line="360" w:lineRule="auto"/>
        <w:ind w:firstLine="516" w:firstLineChars="200"/>
        <w:rPr>
          <w:rFonts w:ascii="宋体" w:hAnsi="宋体"/>
          <w:spacing w:val="9"/>
          <w:kern w:val="0"/>
          <w:sz w:val="24"/>
          <w:highlight w:val="none"/>
          <w:u w:val="single"/>
        </w:rPr>
      </w:pPr>
      <w:r>
        <w:rPr>
          <w:rFonts w:hint="eastAsia" w:ascii="宋体" w:hAnsi="宋体"/>
          <w:spacing w:val="9"/>
          <w:kern w:val="0"/>
          <w:sz w:val="24"/>
          <w:highlight w:val="none"/>
          <w:u w:val="single"/>
        </w:rPr>
        <w:t>（1）建设行政主管部门颁发的工程勘察综合甲级资质；</w:t>
      </w:r>
    </w:p>
    <w:p w14:paraId="408D01B0">
      <w:pPr>
        <w:autoSpaceDE w:val="0"/>
        <w:autoSpaceDN w:val="0"/>
        <w:adjustRightInd w:val="0"/>
        <w:spacing w:line="360" w:lineRule="auto"/>
        <w:ind w:firstLine="516" w:firstLineChars="200"/>
        <w:rPr>
          <w:rFonts w:ascii="宋体" w:hAnsi="宋体"/>
          <w:spacing w:val="9"/>
          <w:kern w:val="0"/>
          <w:sz w:val="24"/>
          <w:highlight w:val="none"/>
          <w:u w:val="single"/>
        </w:rPr>
      </w:pPr>
      <w:r>
        <w:rPr>
          <w:rFonts w:hint="eastAsia" w:ascii="宋体" w:hAnsi="宋体"/>
          <w:spacing w:val="9"/>
          <w:kern w:val="0"/>
          <w:sz w:val="24"/>
          <w:highlight w:val="none"/>
          <w:u w:val="single"/>
        </w:rPr>
        <w:t>（2）建设行政主管部门颁发的工程勘察专业类(岩土工程)甲级资质。</w:t>
      </w:r>
    </w:p>
    <w:p w14:paraId="1E263416">
      <w:pPr>
        <w:autoSpaceDE w:val="0"/>
        <w:autoSpaceDN w:val="0"/>
        <w:adjustRightInd w:val="0"/>
        <w:spacing w:line="360" w:lineRule="auto"/>
        <w:ind w:firstLine="516" w:firstLineChars="200"/>
        <w:rPr>
          <w:rFonts w:ascii="宋体" w:hAnsi="宋体" w:cs="宋体"/>
          <w:spacing w:val="9"/>
          <w:kern w:val="0"/>
          <w:sz w:val="24"/>
          <w:highlight w:val="none"/>
          <w:u w:val="single"/>
        </w:rPr>
      </w:pPr>
      <w:r>
        <w:rPr>
          <w:rFonts w:hint="eastAsia" w:ascii="宋体" w:hAnsi="宋体" w:cs="宋体"/>
          <w:spacing w:val="9"/>
          <w:kern w:val="0"/>
          <w:sz w:val="24"/>
          <w:highlight w:val="none"/>
          <w:u w:val="single"/>
        </w:rPr>
        <w:t>（3）建设行政主管部门颁发的</w:t>
      </w:r>
      <w:r>
        <w:rPr>
          <w:rFonts w:hint="eastAsia" w:ascii="宋体" w:hAnsi="宋体" w:cs="宋体"/>
          <w:kern w:val="0"/>
          <w:sz w:val="24"/>
          <w:highlight w:val="none"/>
          <w:u w:val="single"/>
          <w:lang w:bidi="ar"/>
        </w:rPr>
        <w:t>工程勘察专业类（岩土工程）（分项）岩土工程勘察</w:t>
      </w:r>
      <w:r>
        <w:rPr>
          <w:rFonts w:hint="eastAsia" w:ascii="宋体" w:hAnsi="宋体" w:cs="宋体"/>
          <w:spacing w:val="9"/>
          <w:kern w:val="0"/>
          <w:sz w:val="24"/>
          <w:highlight w:val="none"/>
          <w:u w:val="single"/>
        </w:rPr>
        <w:t>甲级资质。</w:t>
      </w:r>
    </w:p>
    <w:p w14:paraId="0D912724">
      <w:pPr>
        <w:autoSpaceDE w:val="0"/>
        <w:autoSpaceDN w:val="0"/>
        <w:adjustRightInd w:val="0"/>
        <w:spacing w:line="360" w:lineRule="auto"/>
        <w:ind w:firstLine="516" w:firstLineChars="200"/>
        <w:rPr>
          <w:rFonts w:ascii="宋体" w:hAnsi="宋体"/>
          <w:spacing w:val="9"/>
          <w:kern w:val="0"/>
          <w:sz w:val="24"/>
          <w:highlight w:val="none"/>
          <w:u w:val="single"/>
        </w:rPr>
      </w:pPr>
      <w:r>
        <w:rPr>
          <w:rFonts w:hint="eastAsia" w:ascii="宋体" w:hAnsi="宋体"/>
          <w:spacing w:val="9"/>
          <w:kern w:val="0"/>
          <w:sz w:val="24"/>
          <w:highlight w:val="none"/>
          <w:u w:val="single"/>
        </w:rPr>
        <w:t>3.2.2</w:t>
      </w:r>
      <w:r>
        <w:rPr>
          <w:rFonts w:hint="eastAsia" w:ascii="宋体" w:hAnsi="宋体"/>
          <w:b/>
          <w:bCs/>
          <w:spacing w:val="9"/>
          <w:kern w:val="0"/>
          <w:sz w:val="24"/>
          <w:highlight w:val="none"/>
          <w:u w:val="single"/>
        </w:rPr>
        <w:t>工程设计资质</w:t>
      </w:r>
      <w:r>
        <w:rPr>
          <w:rFonts w:hint="eastAsia" w:ascii="宋体" w:hAnsi="宋体"/>
          <w:spacing w:val="9"/>
          <w:kern w:val="0"/>
          <w:sz w:val="24"/>
          <w:highlight w:val="none"/>
          <w:u w:val="single"/>
        </w:rPr>
        <w:t>（以下资质条件之一）：</w:t>
      </w:r>
    </w:p>
    <w:p w14:paraId="0FF6E424">
      <w:pPr>
        <w:autoSpaceDE w:val="0"/>
        <w:autoSpaceDN w:val="0"/>
        <w:adjustRightInd w:val="0"/>
        <w:spacing w:line="360" w:lineRule="auto"/>
        <w:ind w:firstLine="516" w:firstLineChars="200"/>
        <w:rPr>
          <w:rFonts w:ascii="宋体" w:hAnsi="宋体"/>
          <w:spacing w:val="9"/>
          <w:kern w:val="0"/>
          <w:sz w:val="24"/>
          <w:highlight w:val="none"/>
          <w:u w:val="single"/>
        </w:rPr>
      </w:pPr>
      <w:r>
        <w:rPr>
          <w:rFonts w:hint="eastAsia" w:ascii="宋体" w:hAnsi="宋体"/>
          <w:spacing w:val="9"/>
          <w:kern w:val="0"/>
          <w:sz w:val="24"/>
          <w:highlight w:val="none"/>
          <w:u w:val="single"/>
        </w:rPr>
        <w:t>（1）建设行政主管部门颁发的工程设计综合甲级资质；</w:t>
      </w:r>
    </w:p>
    <w:p w14:paraId="28319AED">
      <w:pPr>
        <w:autoSpaceDE w:val="0"/>
        <w:autoSpaceDN w:val="0"/>
        <w:adjustRightInd w:val="0"/>
        <w:spacing w:line="360" w:lineRule="auto"/>
        <w:ind w:firstLine="516" w:firstLineChars="200"/>
        <w:rPr>
          <w:rFonts w:ascii="宋体" w:hAnsi="宋体"/>
          <w:spacing w:val="9"/>
          <w:kern w:val="0"/>
          <w:sz w:val="24"/>
          <w:highlight w:val="none"/>
          <w:u w:val="single"/>
        </w:rPr>
      </w:pPr>
      <w:r>
        <w:rPr>
          <w:rFonts w:hint="eastAsia" w:ascii="宋体" w:hAnsi="宋体"/>
          <w:spacing w:val="9"/>
          <w:kern w:val="0"/>
          <w:sz w:val="24"/>
          <w:highlight w:val="none"/>
          <w:u w:val="single"/>
        </w:rPr>
        <w:t>（2）建设行政主管部门颁发的工程设计建筑行业甲级资质；</w:t>
      </w:r>
    </w:p>
    <w:p w14:paraId="20971CDA">
      <w:pPr>
        <w:autoSpaceDE w:val="0"/>
        <w:autoSpaceDN w:val="0"/>
        <w:adjustRightInd w:val="0"/>
        <w:spacing w:line="360" w:lineRule="auto"/>
        <w:ind w:firstLine="516" w:firstLineChars="200"/>
        <w:rPr>
          <w:rFonts w:ascii="宋体" w:hAnsi="宋体"/>
          <w:spacing w:val="9"/>
          <w:kern w:val="0"/>
          <w:sz w:val="24"/>
          <w:highlight w:val="none"/>
          <w:u w:val="single"/>
        </w:rPr>
      </w:pPr>
      <w:r>
        <w:rPr>
          <w:rFonts w:hint="eastAsia" w:ascii="宋体" w:hAnsi="宋体"/>
          <w:spacing w:val="9"/>
          <w:kern w:val="0"/>
          <w:sz w:val="24"/>
          <w:highlight w:val="none"/>
          <w:u w:val="single"/>
        </w:rPr>
        <w:t>（3）建设行政主管部门颁发的建筑行业（建筑工程）专业设计甲级资质；</w:t>
      </w:r>
    </w:p>
    <w:p w14:paraId="4638E0AB">
      <w:pPr>
        <w:autoSpaceDE w:val="0"/>
        <w:autoSpaceDN w:val="0"/>
        <w:adjustRightInd w:val="0"/>
        <w:ind w:firstLine="516" w:firstLineChars="200"/>
        <w:rPr>
          <w:highlight w:val="none"/>
        </w:rPr>
      </w:pPr>
      <w:r>
        <w:rPr>
          <w:rFonts w:hint="eastAsia" w:ascii="宋体" w:hAnsi="宋体"/>
          <w:spacing w:val="9"/>
          <w:kern w:val="0"/>
          <w:sz w:val="24"/>
          <w:highlight w:val="none"/>
          <w:u w:val="single"/>
        </w:rPr>
        <w:t>（4）建设行政主管部门颁发的建筑设计事务所资质。</w:t>
      </w:r>
    </w:p>
    <w:p w14:paraId="15BD9F3B">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注：（1）国内申请人具体资质要求按照《建设工程勘察设计资质管理规定》（建设部令第160号）、《工程勘察资质分级标准》（建设[2001]22号）、《工程勘察、工程设计资质分级标准补充规定》（建设〔2001〕178号）、《工程设计资质标准》（建市〔2007〕86号）、《建设工程勘察设计资质管理规定实施意见》（建市[2007]202号）、《工程勘察资质标准》（建市[2013]9号）、《住房城乡建设部关于促进建筑工程设计事务所发展有关事项的通知》（建市〔2016〕261号）填写。</w:t>
      </w:r>
    </w:p>
    <w:p w14:paraId="78D068D4">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工程勘察、工程设计企业资质证书有效期按《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住房城乡建设部办公厅关于做好有关建设工程企业资质证书换领和延续工作的通知》（建办市〔2023〕47号）、</w:t>
      </w:r>
      <w:r>
        <w:rPr>
          <w:rFonts w:hint="eastAsia" w:ascii="宋体" w:hAnsi="宋体" w:cs="宋体"/>
          <w:sz w:val="24"/>
          <w:szCs w:val="24"/>
          <w:highlight w:val="none"/>
          <w:u w:val="single"/>
        </w:rPr>
        <w:t>《广东省住房和城乡建设厅关于做好有关建设工程企业资质证书换领工作的通知》（粤建许函〔2024〕124号）</w:t>
      </w:r>
      <w:r>
        <w:rPr>
          <w:rFonts w:hint="eastAsia" w:ascii="宋体" w:hAnsi="宋体" w:cs="宋体"/>
          <w:kern w:val="0"/>
          <w:sz w:val="24"/>
          <w:highlight w:val="none"/>
        </w:rPr>
        <w:t xml:space="preserve">等相关规定执行。根据上述文件的要求，投标人需办理企业资质有效期延续的，应当按照相关规定及时办理。 </w:t>
      </w:r>
    </w:p>
    <w:p w14:paraId="0D7A51C2">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（3）香港企业独立参加投标的，须在广东省住房和城乡建设主管部门备案且备案的业务范围应符合本招标项目对工程勘察、设计资质的要求。</w:t>
      </w:r>
    </w:p>
    <w:p w14:paraId="275FA72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宋体" w:hAnsi="宋体" w:cs="宋体"/>
          <w:kern w:val="0"/>
          <w:sz w:val="24"/>
          <w:highlight w:val="none"/>
        </w:rPr>
      </w:pPr>
      <w:r>
        <w:rPr>
          <w:rFonts w:hint="eastAsia" w:ascii="宋体" w:hAnsi="宋体" w:cs="宋体"/>
          <w:kern w:val="0"/>
          <w:sz w:val="24"/>
          <w:highlight w:val="none"/>
        </w:rPr>
        <w:t>香港企业备案的业务范围依据《广东省住房和城乡建设厅关于印发香港工程建设咨询企业和专业人士在粤港澳大湾区内地城市开业执业试点管理暂行办法的通知》（粤建规范〔2020〕1号，详见链接：</w:t>
      </w:r>
      <w:r>
        <w:rPr>
          <w:highlight w:val="none"/>
        </w:rPr>
        <w:fldChar w:fldCharType="begin"/>
      </w:r>
      <w:r>
        <w:rPr>
          <w:highlight w:val="none"/>
        </w:rPr>
        <w:instrText xml:space="preserve"> HYPERLINK "http://zfcxjst.gd.gov.cn/xxgk/wjtz/content/post_3137220.html）确定。香港企业须提供满足招标文件要求的相应资质证书及备案证明资料扫描件。" </w:instrText>
      </w:r>
      <w:r>
        <w:rPr>
          <w:highlight w:val="none"/>
        </w:rPr>
        <w:fldChar w:fldCharType="separate"/>
      </w:r>
      <w:r>
        <w:rPr>
          <w:rFonts w:hint="eastAsia" w:ascii="宋体" w:hAnsi="宋体" w:cs="宋体"/>
          <w:kern w:val="0"/>
          <w:sz w:val="24"/>
          <w:highlight w:val="none"/>
        </w:rPr>
        <w:t>http://zfcxjst.gd.gov.cn/xxgk/wjtz/content/post_3137220.html）确定。香港企业须提供满足招标文件要求的相应资质证书及备案证明资料扫描件。</w:t>
      </w:r>
      <w:r>
        <w:rPr>
          <w:rFonts w:hint="eastAsia" w:ascii="宋体" w:hAnsi="宋体" w:cs="宋体"/>
          <w:kern w:val="0"/>
          <w:sz w:val="24"/>
          <w:highlight w:val="none"/>
        </w:rPr>
        <w:fldChar w:fldCharType="end"/>
      </w:r>
    </w:p>
    <w:p w14:paraId="68F17F6F">
      <w:pPr>
        <w:autoSpaceDE w:val="0"/>
        <w:autoSpaceDN w:val="0"/>
        <w:adjustRightInd w:val="0"/>
        <w:spacing w:line="360" w:lineRule="auto"/>
        <w:ind w:firstLine="508" w:firstLineChars="200"/>
        <w:rPr>
          <w:rFonts w:ascii="宋体" w:hAnsi="宋体"/>
          <w:spacing w:val="7"/>
          <w:kern w:val="0"/>
          <w:sz w:val="24"/>
          <w:highlight w:val="none"/>
        </w:rPr>
      </w:pPr>
      <w:r>
        <w:rPr>
          <w:rFonts w:hint="eastAsia" w:ascii="宋体" w:hAnsi="宋体"/>
          <w:spacing w:val="7"/>
          <w:kern w:val="0"/>
          <w:sz w:val="24"/>
          <w:highlight w:val="none"/>
        </w:rPr>
        <w:t>3.3 外国或澳门、台湾的设计企业必须选择一家符合上述条件（招标公告第3.1条、第3.2.2条要求）的国内投标人进行合作设计。香港企业如不单独参加投标，也必须选择一家符合上述条件（招标公告</w:t>
      </w:r>
      <w:r>
        <w:rPr>
          <w:rFonts w:hint="eastAsia" w:ascii="宋体" w:hAnsi="宋体"/>
          <w:b/>
          <w:bCs/>
          <w:spacing w:val="7"/>
          <w:kern w:val="0"/>
          <w:sz w:val="24"/>
          <w:highlight w:val="none"/>
        </w:rPr>
        <w:t>第3.1条、第3.2.2条</w:t>
      </w:r>
      <w:r>
        <w:rPr>
          <w:rFonts w:hint="eastAsia" w:ascii="宋体" w:hAnsi="宋体"/>
          <w:spacing w:val="7"/>
          <w:kern w:val="0"/>
          <w:sz w:val="24"/>
          <w:highlight w:val="none"/>
        </w:rPr>
        <w:t>要求）的国内投标人进行合作设计。（需提供合作设计协议书。）</w:t>
      </w:r>
    </w:p>
    <w:p w14:paraId="072E500E">
      <w:pPr>
        <w:keepNext w:val="0"/>
        <w:keepLines w:val="0"/>
        <w:pageBreakBefore w:val="0"/>
        <w:widowControl w:val="0"/>
        <w:kinsoku/>
        <w:wordWrap w:val="0"/>
        <w:overflowPunct/>
        <w:topLinePunct w:val="0"/>
        <w:autoSpaceDE w:val="0"/>
        <w:autoSpaceDN w:val="0"/>
        <w:bidi w:val="0"/>
        <w:adjustRightInd w:val="0"/>
        <w:snapToGrid/>
        <w:spacing w:line="360" w:lineRule="auto"/>
        <w:ind w:firstLine="508" w:firstLineChars="200"/>
        <w:textAlignment w:val="auto"/>
        <w:rPr>
          <w:rFonts w:ascii="宋体" w:hAnsi="宋体"/>
          <w:spacing w:val="7"/>
          <w:kern w:val="0"/>
          <w:sz w:val="24"/>
          <w:highlight w:val="none"/>
        </w:rPr>
      </w:pPr>
      <w:r>
        <w:rPr>
          <w:rFonts w:hint="eastAsia" w:ascii="宋体" w:hAnsi="宋体"/>
          <w:spacing w:val="7"/>
          <w:kern w:val="0"/>
          <w:sz w:val="24"/>
          <w:highlight w:val="none"/>
        </w:rPr>
        <w:t>3.4 投标人</w:t>
      </w:r>
      <w:r>
        <w:rPr>
          <w:rFonts w:hint="eastAsia" w:ascii="宋体" w:hAnsi="宋体"/>
          <w:kern w:val="0"/>
          <w:sz w:val="24"/>
          <w:highlight w:val="none"/>
        </w:rPr>
        <w:t>（如为联合体，则联合体各方）</w:t>
      </w:r>
      <w:r>
        <w:rPr>
          <w:rFonts w:hint="eastAsia" w:ascii="宋体" w:hAnsi="宋体"/>
          <w:spacing w:val="7"/>
          <w:kern w:val="0"/>
          <w:sz w:val="24"/>
          <w:highlight w:val="none"/>
        </w:rPr>
        <w:t>已在</w:t>
      </w:r>
      <w:r>
        <w:rPr>
          <w:rFonts w:hint="eastAsia" w:ascii="宋体" w:hAnsi="宋体"/>
          <w:kern w:val="0"/>
          <w:sz w:val="24"/>
          <w:highlight w:val="none"/>
        </w:rPr>
        <w:t>广州市住房和城乡建设局</w:t>
      </w:r>
      <w:r>
        <w:rPr>
          <w:rFonts w:hint="eastAsia" w:ascii="宋体" w:hAnsi="宋体"/>
          <w:spacing w:val="7"/>
          <w:kern w:val="0"/>
          <w:sz w:val="24"/>
          <w:highlight w:val="none"/>
        </w:rPr>
        <w:t>建立企业信用档案，拟委派的项目负责人须是本企业信用档案中的在册人员。（信用档案办理详见《广州市住建行业信用管理平台勘察企业信息录入办理指引》</w:t>
      </w:r>
      <w:r>
        <w:rPr>
          <w:rFonts w:ascii="宋体" w:hAnsi="宋体"/>
          <w:spacing w:val="7"/>
          <w:kern w:val="0"/>
          <w:sz w:val="24"/>
          <w:highlight w:val="none"/>
        </w:rPr>
        <w:t>http://zfcj.gz.gov.cn/zwgk/zsdwxxgkzl/gzsjzyglfwzx/bszy/content/post_8077254.html</w:t>
      </w:r>
      <w:r>
        <w:rPr>
          <w:rFonts w:hint="eastAsia" w:ascii="宋体" w:hAnsi="宋体"/>
          <w:spacing w:val="7"/>
          <w:kern w:val="0"/>
          <w:sz w:val="24"/>
          <w:highlight w:val="none"/>
        </w:rPr>
        <w:t>、《广州市住建行业信用管理平台设计企业信息录入指引》http://zfcj.gz.gov.cn/zwgk/zsdwxxgkzl/gzsjzyglfwzx/bszy/content/post_9116013.html）。</w:t>
      </w:r>
    </w:p>
    <w:p w14:paraId="07A4E765">
      <w:pPr>
        <w:autoSpaceDE w:val="0"/>
        <w:autoSpaceDN w:val="0"/>
        <w:adjustRightInd w:val="0"/>
        <w:spacing w:line="360" w:lineRule="auto"/>
        <w:ind w:firstLine="508" w:firstLineChars="200"/>
        <w:rPr>
          <w:rFonts w:ascii="宋体" w:hAnsi="宋体"/>
          <w:spacing w:val="7"/>
          <w:kern w:val="0"/>
          <w:sz w:val="24"/>
          <w:highlight w:val="none"/>
        </w:rPr>
      </w:pPr>
      <w:r>
        <w:rPr>
          <w:rFonts w:hint="eastAsia" w:ascii="宋体" w:hAnsi="宋体"/>
          <w:spacing w:val="7"/>
          <w:kern w:val="0"/>
          <w:sz w:val="24"/>
          <w:highlight w:val="none"/>
          <w:u w:val="single"/>
        </w:rPr>
        <w:t>3.5 投标人委派的</w:t>
      </w:r>
      <w:r>
        <w:rPr>
          <w:rFonts w:hint="eastAsia" w:ascii="宋体" w:hAnsi="宋体"/>
          <w:b/>
          <w:bCs/>
          <w:spacing w:val="7"/>
          <w:kern w:val="0"/>
          <w:sz w:val="24"/>
          <w:highlight w:val="none"/>
          <w:u w:val="single"/>
        </w:rPr>
        <w:t>项目负责人</w:t>
      </w:r>
      <w:r>
        <w:rPr>
          <w:rFonts w:hint="eastAsia" w:ascii="宋体" w:hAnsi="宋体"/>
          <w:spacing w:val="7"/>
          <w:kern w:val="0"/>
          <w:sz w:val="24"/>
          <w:highlight w:val="none"/>
          <w:u w:val="single"/>
        </w:rPr>
        <w:t>须具备</w:t>
      </w:r>
      <w:r>
        <w:rPr>
          <w:rFonts w:hint="eastAsia" w:ascii="宋体" w:hAnsi="宋体"/>
          <w:b/>
          <w:bCs/>
          <w:spacing w:val="7"/>
          <w:kern w:val="0"/>
          <w:sz w:val="24"/>
          <w:highlight w:val="none"/>
          <w:u w:val="single"/>
        </w:rPr>
        <w:t>一级注册建筑师资格</w:t>
      </w:r>
      <w:r>
        <w:rPr>
          <w:rFonts w:hint="eastAsia" w:ascii="宋体" w:hAnsi="宋体"/>
          <w:spacing w:val="7"/>
          <w:kern w:val="0"/>
          <w:sz w:val="24"/>
          <w:highlight w:val="none"/>
          <w:u w:val="single"/>
        </w:rPr>
        <w:t>或备案的业务范围</w:t>
      </w:r>
      <w:bookmarkStart w:id="7" w:name="_Hlk106938609"/>
      <w:r>
        <w:rPr>
          <w:rFonts w:hint="eastAsia" w:ascii="宋体" w:hAnsi="宋体"/>
          <w:spacing w:val="7"/>
          <w:kern w:val="0"/>
          <w:sz w:val="24"/>
          <w:highlight w:val="none"/>
          <w:u w:val="single"/>
        </w:rPr>
        <w:t>相当于一级注册建筑师的</w:t>
      </w:r>
      <w:bookmarkEnd w:id="7"/>
      <w:r>
        <w:rPr>
          <w:rFonts w:hint="eastAsia" w:ascii="宋体" w:hAnsi="宋体"/>
          <w:spacing w:val="7"/>
          <w:kern w:val="0"/>
          <w:sz w:val="24"/>
          <w:highlight w:val="none"/>
          <w:u w:val="single"/>
        </w:rPr>
        <w:t>香港专业人士。</w:t>
      </w:r>
    </w:p>
    <w:p w14:paraId="25624053">
      <w:pPr>
        <w:autoSpaceDE w:val="0"/>
        <w:autoSpaceDN w:val="0"/>
        <w:adjustRightInd w:val="0"/>
        <w:spacing w:line="360" w:lineRule="auto"/>
        <w:ind w:firstLine="508" w:firstLineChars="200"/>
        <w:rPr>
          <w:rFonts w:hint="eastAsia" w:ascii="宋体" w:hAnsi="宋体" w:eastAsia="宋体" w:cs="Times New Roman"/>
          <w:spacing w:val="7"/>
          <w:kern w:val="0"/>
          <w:sz w:val="24"/>
          <w:highlight w:val="none"/>
        </w:rPr>
      </w:pPr>
      <w:r>
        <w:rPr>
          <w:rFonts w:hint="eastAsia" w:ascii="宋体" w:hAnsi="宋体" w:eastAsia="宋体" w:cs="Times New Roman"/>
          <w:spacing w:val="7"/>
          <w:kern w:val="0"/>
          <w:sz w:val="24"/>
          <w:highlight w:val="none"/>
        </w:rPr>
        <w:t>注：（1）根据《全国注册建筑师管理委员会关于开展使用一级注册建筑师电子注册证书工作的通知》（注建[2021]2号）要求，自2022年7月1日起，一级注册建筑师统一使用电子证书，纸质注册证书作废。若投标人提供的一级注册建筑师电子证书未在个人签名处手写签名或手写签名与签名图像笔迹存在差异的，或超过使用有效期的，资格审查时应通过“全国建筑市场监管公共服务平台”查询渠道查询持证人注册建筑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投标人提供一级注册建筑师证书电子证书的注册有效期或使用有效期内未在有效期内，该电子证书无效，投标人将自行承担资格审查不通过相应后果。</w:t>
      </w:r>
    </w:p>
    <w:p w14:paraId="7CC1FE2E">
      <w:pPr>
        <w:autoSpaceDE w:val="0"/>
        <w:autoSpaceDN w:val="0"/>
        <w:adjustRightInd w:val="0"/>
        <w:spacing w:line="360" w:lineRule="auto"/>
        <w:ind w:firstLine="508" w:firstLineChars="200"/>
        <w:rPr>
          <w:highlight w:val="none"/>
        </w:rPr>
      </w:pPr>
      <w:r>
        <w:rPr>
          <w:rFonts w:hint="eastAsia" w:ascii="宋体" w:hAnsi="宋体"/>
          <w:spacing w:val="7"/>
          <w:kern w:val="0"/>
          <w:sz w:val="24"/>
          <w:highlight w:val="none"/>
        </w:rPr>
        <w:t>（2）香港专业人士的备案业务范围依据《广东省住房和城乡建设厅关于印发香港工程建设咨询企业和专业人士在粤港澳大湾区内地城市开业执业试点管理暂行办法的通知》（粤建规范〔2020〕1号）确定。香港专业人士须提供满足招标文件要求的相应执业证书及备案证明资料扫描件。</w:t>
      </w:r>
    </w:p>
    <w:p w14:paraId="28472C45">
      <w:pPr>
        <w:spacing w:line="360" w:lineRule="auto"/>
        <w:ind w:firstLine="480"/>
        <w:rPr>
          <w:rFonts w:ascii="宋体" w:hAnsi="宋体" w:cs="宋体"/>
          <w:sz w:val="24"/>
          <w:highlight w:val="none"/>
          <w:u w:val="single"/>
        </w:rPr>
      </w:pPr>
      <w:r>
        <w:rPr>
          <w:rFonts w:hint="eastAsia" w:ascii="宋体" w:hAnsi="宋体"/>
          <w:spacing w:val="7"/>
          <w:kern w:val="0"/>
          <w:sz w:val="24"/>
          <w:highlight w:val="none"/>
          <w:u w:val="single"/>
        </w:rPr>
        <w:t xml:space="preserve">3.6 </w:t>
      </w:r>
      <w:r>
        <w:rPr>
          <w:rFonts w:hint="eastAsia" w:ascii="宋体" w:hAnsi="宋体" w:cs="宋体"/>
          <w:sz w:val="24"/>
          <w:highlight w:val="none"/>
          <w:u w:val="single"/>
        </w:rPr>
        <w:t>本次招标接受联合体投标，联合体投标的，应满足下列要求：</w:t>
      </w:r>
    </w:p>
    <w:p w14:paraId="5C2D0482">
      <w:pPr>
        <w:spacing w:line="360" w:lineRule="auto"/>
        <w:ind w:firstLine="480" w:firstLineChars="200"/>
        <w:rPr>
          <w:rFonts w:ascii="宋体" w:hAnsi="宋体"/>
          <w:sz w:val="24"/>
          <w:szCs w:val="24"/>
          <w:highlight w:val="none"/>
          <w:u w:val="single"/>
        </w:rPr>
      </w:pPr>
      <w:r>
        <w:rPr>
          <w:rFonts w:hint="eastAsia" w:ascii="宋体" w:hAnsi="宋体" w:cs="宋体"/>
          <w:sz w:val="24"/>
          <w:highlight w:val="none"/>
          <w:u w:val="single"/>
        </w:rPr>
        <w:t>投标人可以组成联合体投标，</w:t>
      </w:r>
      <w:r>
        <w:rPr>
          <w:rFonts w:hint="eastAsia" w:ascii="宋体" w:hAnsi="宋体"/>
          <w:sz w:val="24"/>
          <w:szCs w:val="24"/>
          <w:highlight w:val="none"/>
          <w:u w:val="single"/>
        </w:rPr>
        <w:t>但只接受最多由2家单位（即一家勘察单位、一家设计单位）组成的联合体。联合体投标的，应满足下列要求：</w:t>
      </w:r>
    </w:p>
    <w:p w14:paraId="3C4F100E">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如投标人组成联合体，应以具有符合本招标项目要求的工程设计资质的一方为联合体</w:t>
      </w:r>
      <w:r>
        <w:rPr>
          <w:rFonts w:hint="eastAsia" w:ascii="宋体" w:hAnsi="宋体" w:cs="宋体"/>
          <w:sz w:val="24"/>
          <w:highlight w:val="none"/>
          <w:u w:val="single"/>
        </w:rPr>
        <w:t>牵头方</w:t>
      </w:r>
      <w:r>
        <w:rPr>
          <w:rFonts w:hint="eastAsia" w:ascii="宋体" w:hAnsi="宋体"/>
          <w:sz w:val="24"/>
          <w:szCs w:val="24"/>
          <w:highlight w:val="none"/>
          <w:u w:val="single"/>
        </w:rPr>
        <w:t>，并签定联合体共同投标协议。</w:t>
      </w:r>
      <w:r>
        <w:rPr>
          <w:rFonts w:hint="eastAsia" w:ascii="宋体" w:hAnsi="宋体"/>
          <w:sz w:val="24"/>
          <w:highlight w:val="none"/>
          <w:u w:val="single"/>
        </w:rPr>
        <w:t>投标登记截止后联合体增减、更换成员的，其投标无效。</w:t>
      </w:r>
      <w:r>
        <w:rPr>
          <w:rFonts w:hint="eastAsia" w:ascii="宋体" w:hAnsi="宋体"/>
          <w:sz w:val="24"/>
          <w:szCs w:val="24"/>
          <w:highlight w:val="none"/>
          <w:u w:val="single"/>
        </w:rPr>
        <w:t>投标人拟任本招标项目负责人应为联合体</w:t>
      </w:r>
      <w:r>
        <w:rPr>
          <w:rFonts w:hint="eastAsia" w:ascii="宋体" w:hAnsi="宋体" w:cs="宋体"/>
          <w:sz w:val="24"/>
          <w:highlight w:val="none"/>
          <w:u w:val="single"/>
        </w:rPr>
        <w:t>牵头方</w:t>
      </w:r>
      <w:r>
        <w:rPr>
          <w:rFonts w:hint="eastAsia" w:ascii="宋体" w:hAnsi="宋体"/>
          <w:sz w:val="24"/>
          <w:szCs w:val="24"/>
          <w:highlight w:val="none"/>
          <w:u w:val="single"/>
        </w:rPr>
        <w:t>正式员工。</w:t>
      </w:r>
    </w:p>
    <w:p w14:paraId="10F4A0A5">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注：（1）联合体应签订一份联合体协议书（</w:t>
      </w:r>
      <w:r>
        <w:rPr>
          <w:rFonts w:hint="eastAsia" w:ascii="宋体" w:hAnsi="宋体" w:cs="宋体"/>
          <w:sz w:val="24"/>
          <w:highlight w:val="none"/>
          <w:u w:val="single"/>
        </w:rPr>
        <w:t>格式按本招标公告附件一</w:t>
      </w:r>
      <w:r>
        <w:rPr>
          <w:rFonts w:hint="eastAsia" w:ascii="宋体" w:hAnsi="宋体"/>
          <w:sz w:val="24"/>
          <w:szCs w:val="24"/>
          <w:highlight w:val="none"/>
          <w:u w:val="single"/>
        </w:rPr>
        <w:t>），明确约定联合体各方拟承担的工作和责任；</w:t>
      </w:r>
    </w:p>
    <w:p w14:paraId="2F40F9D2">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（2）联合体各方不得再单独或与其他单位组成联合体参与本项目投标。出现上述情况者，其投标和与此有关的联合体的投标将被拒绝；</w:t>
      </w:r>
    </w:p>
    <w:p w14:paraId="2B708B8F">
      <w:pPr>
        <w:spacing w:line="360" w:lineRule="auto"/>
        <w:ind w:firstLine="480"/>
        <w:rPr>
          <w:rFonts w:ascii="宋体" w:hAnsi="宋体"/>
          <w:sz w:val="24"/>
          <w:szCs w:val="24"/>
          <w:highlight w:val="none"/>
          <w:u w:val="single"/>
        </w:rPr>
      </w:pPr>
      <w:r>
        <w:rPr>
          <w:rFonts w:hint="eastAsia" w:ascii="宋体" w:hAnsi="宋体"/>
          <w:sz w:val="24"/>
          <w:szCs w:val="24"/>
          <w:highlight w:val="none"/>
          <w:u w:val="single"/>
        </w:rPr>
        <w:t>（3）联合体投标的除联合体协议书须联合体各方均签字盖章外，其余文件均可由联合体</w:t>
      </w:r>
      <w:r>
        <w:rPr>
          <w:rFonts w:hint="eastAsia" w:ascii="宋体" w:hAnsi="宋体" w:cs="宋体"/>
          <w:sz w:val="24"/>
          <w:highlight w:val="none"/>
          <w:u w:val="single"/>
        </w:rPr>
        <w:t>牵头方</w:t>
      </w:r>
      <w:r>
        <w:rPr>
          <w:rFonts w:hint="eastAsia" w:ascii="宋体" w:hAnsi="宋体"/>
          <w:sz w:val="24"/>
          <w:szCs w:val="24"/>
          <w:highlight w:val="none"/>
          <w:u w:val="single"/>
        </w:rPr>
        <w:t>签字盖章。</w:t>
      </w:r>
    </w:p>
    <w:p w14:paraId="782C23C6">
      <w:pPr>
        <w:spacing w:line="360" w:lineRule="auto"/>
        <w:ind w:firstLine="480" w:firstLineChars="200"/>
        <w:rPr>
          <w:rFonts w:ascii="宋体" w:hAnsi="宋体"/>
          <w:sz w:val="24"/>
          <w:szCs w:val="24"/>
          <w:highlight w:val="none"/>
          <w:u w:val="single"/>
        </w:rPr>
      </w:pPr>
      <w:r>
        <w:rPr>
          <w:rFonts w:hint="eastAsia" w:ascii="宋体" w:hAnsi="宋体"/>
          <w:sz w:val="24"/>
          <w:szCs w:val="24"/>
          <w:highlight w:val="none"/>
          <w:u w:val="single"/>
        </w:rPr>
        <w:t>3.7</w:t>
      </w:r>
      <w:r>
        <w:rPr>
          <w:rFonts w:hint="eastAsia" w:ascii="宋体" w:hAnsi="宋体"/>
          <w:sz w:val="24"/>
          <w:szCs w:val="24"/>
          <w:highlight w:val="none"/>
          <w:u w:val="single"/>
          <w:lang w:bidi="ar"/>
        </w:rPr>
        <w:t>投标人没有招标文件第二章第</w:t>
      </w:r>
      <w:r>
        <w:rPr>
          <w:rFonts w:ascii="宋体" w:hAnsi="宋体"/>
          <w:sz w:val="24"/>
          <w:szCs w:val="24"/>
          <w:highlight w:val="none"/>
          <w:u w:val="single"/>
          <w:lang w:bidi="ar"/>
        </w:rPr>
        <w:t>1.4.3项规定的任何一种情形（根据《投标人声明》进行评审），投标人须按《投标人声明》规定的格式填写并加盖投标人章）。</w:t>
      </w:r>
    </w:p>
    <w:p w14:paraId="6DB7709D">
      <w:pPr>
        <w:keepNext w:val="0"/>
        <w:keepLines w:val="0"/>
        <w:pageBreakBefore w:val="0"/>
        <w:widowControl w:val="0"/>
        <w:kinsoku/>
        <w:wordWrap/>
        <w:overflowPunct/>
        <w:topLinePunct w:val="0"/>
        <w:autoSpaceDE w:val="0"/>
        <w:autoSpaceDN w:val="0"/>
        <w:bidi w:val="0"/>
        <w:adjustRightInd w:val="0"/>
        <w:snapToGrid/>
        <w:spacing w:line="360" w:lineRule="auto"/>
        <w:ind w:firstLine="508" w:firstLineChars="200"/>
        <w:textAlignment w:val="auto"/>
        <w:rPr>
          <w:rFonts w:hint="eastAsia" w:ascii="宋体" w:hAnsi="宋体" w:eastAsia="宋体" w:cs="宋体"/>
          <w:spacing w:val="7"/>
          <w:kern w:val="0"/>
          <w:sz w:val="24"/>
          <w:highlight w:val="none"/>
        </w:rPr>
      </w:pPr>
      <w:r>
        <w:rPr>
          <w:rFonts w:hint="eastAsia" w:ascii="宋体" w:hAnsi="宋体" w:eastAsia="宋体" w:cs="宋体"/>
          <w:spacing w:val="7"/>
          <w:kern w:val="0"/>
          <w:sz w:val="24"/>
          <w:highlight w:val="none"/>
        </w:rPr>
        <w:t>3.</w:t>
      </w:r>
      <w:r>
        <w:rPr>
          <w:rFonts w:hint="eastAsia" w:ascii="宋体" w:hAnsi="宋体" w:cs="宋体"/>
          <w:spacing w:val="7"/>
          <w:kern w:val="0"/>
          <w:sz w:val="24"/>
          <w:highlight w:val="none"/>
          <w:lang w:val="en-US" w:eastAsia="zh-CN"/>
        </w:rPr>
        <w:t>8</w:t>
      </w:r>
      <w:r>
        <w:rPr>
          <w:rFonts w:hint="eastAsia" w:ascii="宋体" w:hAnsi="宋体" w:eastAsia="宋体" w:cs="宋体"/>
          <w:color w:val="auto"/>
          <w:spacing w:val="7"/>
          <w:kern w:val="0"/>
          <w:sz w:val="24"/>
          <w:highlight w:val="none"/>
          <w:u w:val="single"/>
        </w:rPr>
        <w:t>未被列入拖欠农民工工资失信联合惩戒对象名单</w:t>
      </w:r>
      <w:r>
        <w:rPr>
          <w:rFonts w:hint="eastAsia" w:ascii="宋体" w:hAnsi="宋体" w:eastAsia="宋体" w:cs="宋体"/>
          <w:spacing w:val="7"/>
          <w:kern w:val="0"/>
          <w:sz w:val="24"/>
          <w:highlight w:val="none"/>
        </w:rPr>
        <w:t>。</w:t>
      </w:r>
    </w:p>
    <w:p w14:paraId="666AD8C7">
      <w:pPr>
        <w:pStyle w:val="12"/>
        <w:keepNext w:val="0"/>
        <w:keepLines w:val="0"/>
        <w:pageBreakBefore w:val="0"/>
        <w:widowControl w:val="0"/>
        <w:kinsoku/>
        <w:wordWrap/>
        <w:overflowPunct/>
        <w:topLinePunct w:val="0"/>
        <w:bidi w:val="0"/>
        <w:snapToGrid/>
        <w:spacing w:line="360" w:lineRule="auto"/>
        <w:ind w:firstLine="508" w:firstLineChars="200"/>
        <w:textAlignment w:val="auto"/>
        <w:rPr>
          <w:rFonts w:hint="eastAsia" w:ascii="宋体" w:hAnsi="宋体" w:eastAsia="宋体" w:cs="宋体"/>
          <w:color w:val="auto"/>
          <w:spacing w:val="7"/>
          <w:kern w:val="0"/>
          <w:sz w:val="24"/>
          <w:szCs w:val="22"/>
          <w:highlight w:val="none"/>
          <w:u w:val="single"/>
          <w:lang w:val="en-US" w:eastAsia="zh-CN" w:bidi="ar-SA"/>
        </w:rPr>
      </w:pPr>
      <w:r>
        <w:rPr>
          <w:rFonts w:hint="eastAsia" w:ascii="宋体" w:hAnsi="宋体" w:cs="宋体"/>
          <w:color w:val="auto"/>
          <w:spacing w:val="7"/>
          <w:kern w:val="0"/>
          <w:sz w:val="24"/>
          <w:szCs w:val="22"/>
          <w:highlight w:val="none"/>
          <w:u w:val="single"/>
          <w:lang w:val="en-US" w:eastAsia="zh-CN" w:bidi="ar-SA"/>
        </w:rPr>
        <w:t>3.9</w:t>
      </w:r>
      <w:r>
        <w:rPr>
          <w:rFonts w:hint="eastAsia" w:ascii="宋体" w:hAnsi="宋体" w:eastAsia="宋体" w:cs="宋体"/>
          <w:color w:val="auto"/>
          <w:spacing w:val="7"/>
          <w:kern w:val="0"/>
          <w:sz w:val="24"/>
          <w:szCs w:val="22"/>
          <w:highlight w:val="none"/>
          <w:u w:val="single"/>
          <w:lang w:val="en-US" w:eastAsia="zh-CN" w:bidi="ar-SA"/>
        </w:rPr>
        <w:t>未在以往工程中因不充分履约行为被本项目招标人书面拒绝投标的（详见附件一《被本项目招标人书面拒绝投标的企业名单》）。</w:t>
      </w:r>
    </w:p>
    <w:p w14:paraId="62E9B0C3">
      <w:pPr>
        <w:rPr>
          <w:rFonts w:ascii="宋体" w:hAnsi="宋体" w:cs="宋体"/>
          <w:sz w:val="24"/>
          <w:szCs w:val="24"/>
          <w:highlight w:val="none"/>
          <w:u w:val="single"/>
        </w:rPr>
      </w:pPr>
    </w:p>
    <w:p w14:paraId="30A2CFF8">
      <w:pPr>
        <w:pStyle w:val="7"/>
        <w:keepNext/>
        <w:keepLines/>
        <w:pageBreakBefore w:val="0"/>
        <w:widowControl w:val="0"/>
        <w:numPr>
          <w:ilvl w:val="0"/>
          <w:numId w:val="1"/>
        </w:numPr>
        <w:kinsoku/>
        <w:wordWrap/>
        <w:overflowPunct/>
        <w:topLinePunct w:val="0"/>
        <w:autoSpaceDE/>
        <w:autoSpaceDN/>
        <w:bidi w:val="0"/>
        <w:adjustRightInd/>
        <w:snapToGrid/>
        <w:spacing w:before="0" w:after="0"/>
        <w:textAlignment w:val="auto"/>
        <w:rPr>
          <w:rFonts w:hint="eastAsia" w:eastAsia="宋体" w:cs="Times New Roman"/>
          <w:b/>
          <w:highlight w:val="none"/>
        </w:rPr>
      </w:pPr>
      <w:r>
        <w:rPr>
          <w:rFonts w:hint="eastAsia" w:eastAsia="宋体" w:cs="Times New Roman"/>
          <w:b/>
          <w:highlight w:val="none"/>
        </w:rPr>
        <w:t>技术成果经济补偿</w:t>
      </w:r>
    </w:p>
    <w:p w14:paraId="23E3B163">
      <w:pPr>
        <w:spacing w:line="380" w:lineRule="exact"/>
        <w:ind w:left="0" w:leftChars="0" w:firstLine="480" w:firstLineChars="200"/>
        <w:jc w:val="left"/>
        <w:rPr>
          <w:rFonts w:hint="eastAsia" w:ascii="宋体" w:hAnsi="宋体"/>
          <w:color w:val="auto"/>
          <w:sz w:val="24"/>
          <w:highlight w:val="none"/>
          <w:u w:val="single"/>
        </w:rPr>
      </w:pPr>
      <w:r>
        <w:rPr>
          <w:rFonts w:hint="eastAsia" w:ascii="宋体" w:hAnsi="宋体"/>
          <w:color w:val="auto"/>
          <w:sz w:val="24"/>
          <w:highlight w:val="none"/>
          <w:u w:val="single"/>
        </w:rPr>
        <w:t>本次招标对未中标人投标文件中的技术成果给予经济补偿。给予经济补偿的，招标人将按如下标准支付经济补偿费，分配办法如下：</w:t>
      </w:r>
    </w:p>
    <w:tbl>
      <w:tblPr>
        <w:tblStyle w:val="18"/>
        <w:tblW w:w="40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1135"/>
        <w:gridCol w:w="1072"/>
        <w:gridCol w:w="1140"/>
        <w:gridCol w:w="992"/>
        <w:gridCol w:w="999"/>
      </w:tblGrid>
      <w:tr w14:paraId="0ED0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72" w:type="pct"/>
            <w:noWrap w:val="0"/>
            <w:vAlign w:val="center"/>
          </w:tcPr>
          <w:p w14:paraId="12806D5C">
            <w:pPr>
              <w:spacing w:line="360" w:lineRule="auto"/>
              <w:jc w:val="center"/>
              <w:rPr>
                <w:rFonts w:hint="eastAsia" w:ascii="宋体" w:hAnsi="宋体"/>
                <w:color w:val="auto"/>
                <w:sz w:val="24"/>
                <w:highlight w:val="none"/>
              </w:rPr>
            </w:pPr>
            <w:r>
              <w:rPr>
                <w:rFonts w:hint="eastAsia" w:ascii="宋体" w:hAnsi="宋体"/>
                <w:color w:val="auto"/>
                <w:sz w:val="24"/>
                <w:highlight w:val="none"/>
                <w:lang w:val="en-US" w:eastAsia="zh-CN"/>
              </w:rPr>
              <w:t>勘察设计</w:t>
            </w:r>
            <w:r>
              <w:rPr>
                <w:rFonts w:hint="eastAsia" w:ascii="宋体" w:hAnsi="宋体"/>
                <w:color w:val="auto"/>
                <w:sz w:val="24"/>
                <w:highlight w:val="none"/>
              </w:rPr>
              <w:t>方案评审</w:t>
            </w:r>
          </w:p>
          <w:p w14:paraId="79C00219">
            <w:pPr>
              <w:spacing w:line="360" w:lineRule="auto"/>
              <w:jc w:val="center"/>
              <w:rPr>
                <w:rFonts w:ascii="宋体" w:hAnsi="宋体"/>
                <w:color w:val="auto"/>
                <w:sz w:val="24"/>
                <w:highlight w:val="none"/>
              </w:rPr>
            </w:pPr>
            <w:r>
              <w:rPr>
                <w:rFonts w:hint="eastAsia" w:ascii="宋体" w:hAnsi="宋体"/>
                <w:color w:val="auto"/>
                <w:sz w:val="24"/>
                <w:highlight w:val="none"/>
              </w:rPr>
              <w:t>排序</w:t>
            </w:r>
          </w:p>
        </w:tc>
        <w:tc>
          <w:tcPr>
            <w:tcW w:w="750" w:type="pct"/>
            <w:shd w:val="clear" w:color="auto" w:fill="auto"/>
            <w:noWrap w:val="0"/>
            <w:vAlign w:val="center"/>
          </w:tcPr>
          <w:p w14:paraId="595620C1">
            <w:pPr>
              <w:spacing w:line="360" w:lineRule="auto"/>
              <w:jc w:val="center"/>
              <w:rPr>
                <w:rFonts w:hint="eastAsia" w:ascii="宋体" w:hAnsi="宋体" w:eastAsia="宋体" w:cs="Times New Roman"/>
                <w:color w:val="auto"/>
                <w:kern w:val="2"/>
                <w:sz w:val="24"/>
                <w:szCs w:val="22"/>
                <w:highlight w:val="none"/>
                <w:lang w:val="en-US" w:eastAsia="zh-CN" w:bidi="ar-SA"/>
              </w:rPr>
            </w:pPr>
            <w:r>
              <w:rPr>
                <w:rFonts w:hint="eastAsia" w:ascii="宋体" w:hAnsi="宋体"/>
                <w:color w:val="auto"/>
                <w:sz w:val="24"/>
                <w:highlight w:val="none"/>
              </w:rPr>
              <w:t>第</w:t>
            </w:r>
            <w:r>
              <w:rPr>
                <w:rFonts w:ascii="宋体" w:hAnsi="宋体"/>
                <w:color w:val="auto"/>
                <w:sz w:val="24"/>
                <w:highlight w:val="none"/>
              </w:rPr>
              <w:t>1名</w:t>
            </w:r>
          </w:p>
        </w:tc>
        <w:tc>
          <w:tcPr>
            <w:tcW w:w="708" w:type="pct"/>
            <w:shd w:val="clear" w:color="auto" w:fill="auto"/>
            <w:noWrap w:val="0"/>
            <w:vAlign w:val="center"/>
          </w:tcPr>
          <w:p w14:paraId="1CF37EB7">
            <w:pPr>
              <w:spacing w:line="360" w:lineRule="auto"/>
              <w:jc w:val="center"/>
              <w:rPr>
                <w:rFonts w:hint="eastAsia" w:ascii="宋体" w:hAnsi="宋体" w:eastAsia="宋体" w:cs="Times New Roman"/>
                <w:color w:val="auto"/>
                <w:kern w:val="2"/>
                <w:sz w:val="24"/>
                <w:szCs w:val="22"/>
                <w:highlight w:val="none"/>
                <w:lang w:val="en-US" w:eastAsia="zh-CN" w:bidi="ar-SA"/>
              </w:rPr>
            </w:pPr>
            <w:r>
              <w:rPr>
                <w:rFonts w:hint="eastAsia" w:ascii="宋体" w:hAnsi="宋体"/>
                <w:color w:val="auto"/>
                <w:sz w:val="24"/>
                <w:highlight w:val="none"/>
              </w:rPr>
              <w:t>第</w:t>
            </w:r>
            <w:r>
              <w:rPr>
                <w:rFonts w:ascii="宋体" w:hAnsi="宋体"/>
                <w:color w:val="auto"/>
                <w:sz w:val="24"/>
                <w:highlight w:val="none"/>
              </w:rPr>
              <w:t>2名</w:t>
            </w:r>
          </w:p>
        </w:tc>
        <w:tc>
          <w:tcPr>
            <w:tcW w:w="753" w:type="pct"/>
            <w:shd w:val="clear" w:color="auto" w:fill="auto"/>
            <w:noWrap w:val="0"/>
            <w:vAlign w:val="center"/>
          </w:tcPr>
          <w:p w14:paraId="4195E47E">
            <w:pPr>
              <w:spacing w:line="360" w:lineRule="auto"/>
              <w:jc w:val="center"/>
              <w:rPr>
                <w:rFonts w:hint="eastAsia" w:ascii="宋体" w:hAnsi="宋体" w:eastAsia="宋体" w:cs="Times New Roman"/>
                <w:color w:val="auto"/>
                <w:kern w:val="2"/>
                <w:sz w:val="24"/>
                <w:szCs w:val="22"/>
                <w:highlight w:val="none"/>
                <w:lang w:val="en-US" w:eastAsia="zh-CN" w:bidi="ar-SA"/>
              </w:rPr>
            </w:pPr>
            <w:r>
              <w:rPr>
                <w:rFonts w:hint="eastAsia" w:ascii="宋体" w:hAnsi="宋体"/>
                <w:color w:val="auto"/>
                <w:sz w:val="24"/>
                <w:highlight w:val="none"/>
              </w:rPr>
              <w:t>第</w:t>
            </w:r>
            <w:r>
              <w:rPr>
                <w:rFonts w:ascii="宋体" w:hAnsi="宋体"/>
                <w:color w:val="auto"/>
                <w:sz w:val="24"/>
                <w:highlight w:val="none"/>
              </w:rPr>
              <w:t>3名</w:t>
            </w:r>
          </w:p>
        </w:tc>
        <w:tc>
          <w:tcPr>
            <w:tcW w:w="655" w:type="pct"/>
            <w:noWrap w:val="0"/>
            <w:vAlign w:val="center"/>
          </w:tcPr>
          <w:p w14:paraId="5CACF284">
            <w:pPr>
              <w:spacing w:line="360" w:lineRule="auto"/>
              <w:jc w:val="center"/>
              <w:rPr>
                <w:rFonts w:hint="eastAsia" w:ascii="宋体" w:hAnsi="宋体"/>
                <w:color w:val="auto"/>
                <w:sz w:val="24"/>
                <w:highlight w:val="none"/>
              </w:rPr>
            </w:pPr>
            <w:r>
              <w:rPr>
                <w:rFonts w:hint="eastAsia" w:ascii="宋体" w:hAnsi="宋体"/>
                <w:color w:val="auto"/>
                <w:sz w:val="24"/>
                <w:highlight w:val="none"/>
              </w:rPr>
              <w:t>第</w:t>
            </w:r>
            <w:r>
              <w:rPr>
                <w:rFonts w:hint="eastAsia" w:ascii="宋体" w:hAnsi="宋体"/>
                <w:color w:val="auto"/>
                <w:sz w:val="24"/>
                <w:highlight w:val="none"/>
                <w:lang w:val="en-US" w:eastAsia="zh-CN"/>
              </w:rPr>
              <w:t>4</w:t>
            </w:r>
            <w:r>
              <w:rPr>
                <w:rFonts w:ascii="宋体" w:hAnsi="宋体"/>
                <w:color w:val="auto"/>
                <w:sz w:val="24"/>
                <w:highlight w:val="none"/>
              </w:rPr>
              <w:t>名</w:t>
            </w:r>
          </w:p>
        </w:tc>
        <w:tc>
          <w:tcPr>
            <w:tcW w:w="660" w:type="pct"/>
            <w:noWrap w:val="0"/>
            <w:vAlign w:val="center"/>
          </w:tcPr>
          <w:p w14:paraId="33AD9450">
            <w:pPr>
              <w:spacing w:line="360" w:lineRule="auto"/>
              <w:jc w:val="center"/>
              <w:rPr>
                <w:rFonts w:hint="eastAsia" w:ascii="宋体" w:hAnsi="宋体"/>
                <w:color w:val="auto"/>
                <w:sz w:val="24"/>
                <w:highlight w:val="none"/>
              </w:rPr>
            </w:pPr>
            <w:r>
              <w:rPr>
                <w:rFonts w:hint="eastAsia" w:ascii="宋体" w:hAnsi="宋体"/>
                <w:color w:val="auto"/>
                <w:sz w:val="24"/>
                <w:highlight w:val="none"/>
              </w:rPr>
              <w:t>第</w:t>
            </w:r>
            <w:r>
              <w:rPr>
                <w:rFonts w:hint="eastAsia" w:ascii="宋体" w:hAnsi="宋体"/>
                <w:color w:val="auto"/>
                <w:sz w:val="24"/>
                <w:highlight w:val="none"/>
                <w:lang w:val="en-US" w:eastAsia="zh-CN"/>
              </w:rPr>
              <w:t>5</w:t>
            </w:r>
            <w:r>
              <w:rPr>
                <w:rFonts w:ascii="宋体" w:hAnsi="宋体"/>
                <w:color w:val="auto"/>
                <w:sz w:val="24"/>
                <w:highlight w:val="none"/>
              </w:rPr>
              <w:t>名</w:t>
            </w:r>
          </w:p>
        </w:tc>
      </w:tr>
      <w:tr w14:paraId="707D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472" w:type="pct"/>
            <w:noWrap w:val="0"/>
            <w:vAlign w:val="center"/>
          </w:tcPr>
          <w:p w14:paraId="5A7D0384">
            <w:pPr>
              <w:spacing w:line="360" w:lineRule="auto"/>
              <w:jc w:val="center"/>
              <w:rPr>
                <w:rFonts w:ascii="宋体" w:hAnsi="宋体"/>
                <w:color w:val="auto"/>
                <w:sz w:val="24"/>
                <w:highlight w:val="none"/>
              </w:rPr>
            </w:pPr>
            <w:r>
              <w:rPr>
                <w:rFonts w:hint="eastAsia" w:ascii="宋体" w:hAnsi="宋体"/>
                <w:color w:val="auto"/>
                <w:sz w:val="24"/>
                <w:highlight w:val="none"/>
              </w:rPr>
              <w:t>投标经济补偿金额</w:t>
            </w:r>
          </w:p>
          <w:p w14:paraId="39E9EEDF">
            <w:pPr>
              <w:spacing w:line="360" w:lineRule="auto"/>
              <w:jc w:val="center"/>
              <w:rPr>
                <w:rFonts w:ascii="宋体" w:hAnsi="宋体"/>
                <w:color w:val="auto"/>
                <w:sz w:val="24"/>
                <w:highlight w:val="none"/>
              </w:rPr>
            </w:pPr>
            <w:r>
              <w:rPr>
                <w:rFonts w:hint="eastAsia" w:ascii="宋体" w:hAnsi="宋体"/>
                <w:color w:val="auto"/>
                <w:sz w:val="24"/>
                <w:highlight w:val="none"/>
              </w:rPr>
              <w:t>（万元）</w:t>
            </w:r>
          </w:p>
        </w:tc>
        <w:tc>
          <w:tcPr>
            <w:tcW w:w="750" w:type="pct"/>
            <w:shd w:val="clear" w:color="auto" w:fill="auto"/>
            <w:noWrap w:val="0"/>
            <w:vAlign w:val="center"/>
          </w:tcPr>
          <w:p w14:paraId="4E604392">
            <w:pPr>
              <w:spacing w:line="360" w:lineRule="auto"/>
              <w:jc w:val="center"/>
              <w:rPr>
                <w:rFonts w:hint="default" w:ascii="宋体" w:hAnsi="宋体" w:eastAsia="宋体" w:cs="Times New Roman"/>
                <w:color w:val="auto"/>
                <w:kern w:val="2"/>
                <w:sz w:val="24"/>
                <w:szCs w:val="22"/>
                <w:highlight w:val="none"/>
                <w:lang w:val="en-US" w:eastAsia="zh-CN" w:bidi="ar-SA"/>
              </w:rPr>
            </w:pPr>
            <w:r>
              <w:rPr>
                <w:rFonts w:hint="eastAsia" w:ascii="宋体" w:hAnsi="宋体" w:cs="Times New Roman"/>
                <w:color w:val="auto"/>
                <w:kern w:val="2"/>
                <w:sz w:val="24"/>
                <w:szCs w:val="22"/>
                <w:highlight w:val="none"/>
                <w:lang w:val="en-US" w:eastAsia="zh-CN" w:bidi="ar-SA"/>
              </w:rPr>
              <w:t>8</w:t>
            </w:r>
          </w:p>
        </w:tc>
        <w:tc>
          <w:tcPr>
            <w:tcW w:w="708" w:type="pct"/>
            <w:shd w:val="clear" w:color="auto" w:fill="auto"/>
            <w:noWrap w:val="0"/>
            <w:vAlign w:val="center"/>
          </w:tcPr>
          <w:p w14:paraId="138BAA58">
            <w:pPr>
              <w:spacing w:line="360" w:lineRule="auto"/>
              <w:jc w:val="center"/>
              <w:rPr>
                <w:rFonts w:hint="default" w:ascii="宋体" w:hAnsi="宋体" w:eastAsia="宋体" w:cs="Times New Roman"/>
                <w:color w:val="auto"/>
                <w:kern w:val="2"/>
                <w:sz w:val="24"/>
                <w:szCs w:val="22"/>
                <w:highlight w:val="none"/>
                <w:lang w:val="en-US" w:eastAsia="zh-CN" w:bidi="ar-SA"/>
              </w:rPr>
            </w:pPr>
            <w:r>
              <w:rPr>
                <w:rFonts w:hint="eastAsia" w:ascii="宋体" w:hAnsi="宋体" w:cs="Times New Roman"/>
                <w:color w:val="auto"/>
                <w:kern w:val="2"/>
                <w:sz w:val="24"/>
                <w:szCs w:val="22"/>
                <w:highlight w:val="none"/>
                <w:lang w:val="en-US" w:eastAsia="zh-CN" w:bidi="ar-SA"/>
              </w:rPr>
              <w:t>6</w:t>
            </w:r>
          </w:p>
        </w:tc>
        <w:tc>
          <w:tcPr>
            <w:tcW w:w="753" w:type="pct"/>
            <w:shd w:val="clear" w:color="auto" w:fill="auto"/>
            <w:noWrap w:val="0"/>
            <w:vAlign w:val="center"/>
          </w:tcPr>
          <w:p w14:paraId="2B2C251B">
            <w:pPr>
              <w:spacing w:line="360" w:lineRule="auto"/>
              <w:jc w:val="center"/>
              <w:rPr>
                <w:rFonts w:hint="default" w:ascii="宋体" w:hAnsi="宋体" w:eastAsia="宋体" w:cs="Times New Roman"/>
                <w:color w:val="auto"/>
                <w:kern w:val="2"/>
                <w:sz w:val="24"/>
                <w:szCs w:val="22"/>
                <w:highlight w:val="none"/>
                <w:lang w:val="en-US" w:eastAsia="zh-CN" w:bidi="ar-SA"/>
              </w:rPr>
            </w:pPr>
            <w:r>
              <w:rPr>
                <w:rFonts w:hint="eastAsia" w:ascii="宋体" w:hAnsi="宋体" w:cs="Times New Roman"/>
                <w:color w:val="auto"/>
                <w:kern w:val="2"/>
                <w:sz w:val="24"/>
                <w:szCs w:val="22"/>
                <w:highlight w:val="none"/>
                <w:lang w:val="en-US" w:eastAsia="zh-CN" w:bidi="ar-SA"/>
              </w:rPr>
              <w:t>6</w:t>
            </w:r>
          </w:p>
        </w:tc>
        <w:tc>
          <w:tcPr>
            <w:tcW w:w="655" w:type="pct"/>
            <w:noWrap w:val="0"/>
            <w:vAlign w:val="center"/>
          </w:tcPr>
          <w:p w14:paraId="1D2A33AD">
            <w:pPr>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4</w:t>
            </w:r>
          </w:p>
        </w:tc>
        <w:tc>
          <w:tcPr>
            <w:tcW w:w="660" w:type="pct"/>
            <w:noWrap w:val="0"/>
            <w:vAlign w:val="center"/>
          </w:tcPr>
          <w:p w14:paraId="06450B9A">
            <w:pPr>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4</w:t>
            </w:r>
          </w:p>
        </w:tc>
      </w:tr>
    </w:tbl>
    <w:p w14:paraId="7A997E40">
      <w:pPr>
        <w:widowControl/>
        <w:tabs>
          <w:tab w:val="left" w:pos="105"/>
        </w:tabs>
        <w:snapToGrid w:val="0"/>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其余投标人费用自理。</w:t>
      </w:r>
    </w:p>
    <w:p w14:paraId="24B4DC6A">
      <w:pPr>
        <w:tabs>
          <w:tab w:val="left" w:pos="105"/>
        </w:tabs>
        <w:spacing w:line="360" w:lineRule="auto"/>
        <w:ind w:firstLine="480" w:firstLineChars="200"/>
        <w:rPr>
          <w:rFonts w:ascii="宋体" w:hAnsi="宋体"/>
          <w:color w:val="auto"/>
          <w:sz w:val="24"/>
          <w:highlight w:val="none"/>
          <w:u w:val="single"/>
        </w:rPr>
      </w:pPr>
      <w:r>
        <w:rPr>
          <w:rFonts w:hint="eastAsia" w:ascii="宋体" w:hAnsi="宋体" w:cs="宋体"/>
          <w:color w:val="auto"/>
          <w:kern w:val="0"/>
          <w:sz w:val="24"/>
          <w:highlight w:val="none"/>
          <w:u w:val="single"/>
        </w:rPr>
        <w:t>（</w:t>
      </w:r>
      <w:r>
        <w:rPr>
          <w:rFonts w:ascii="宋体" w:hAnsi="宋体" w:cs="宋体"/>
          <w:color w:val="auto"/>
          <w:kern w:val="0"/>
          <w:sz w:val="24"/>
          <w:highlight w:val="none"/>
          <w:u w:val="single"/>
        </w:rPr>
        <w:t>2）</w:t>
      </w:r>
      <w:r>
        <w:rPr>
          <w:rFonts w:hint="eastAsia" w:ascii="宋体" w:hAnsi="宋体"/>
          <w:color w:val="auto"/>
          <w:sz w:val="24"/>
          <w:highlight w:val="none"/>
          <w:u w:val="single"/>
        </w:rPr>
        <w:t>并列排名的原则：如出现并列名次的按一个名次计，后续名次空缺，例：如果第2名出现两个投标人并列，则下一名次的投标人排名第4名，如果第2名出现三个投标人并列，则下一名次的投标人排名第5，依次类推。</w:t>
      </w:r>
    </w:p>
    <w:p w14:paraId="529FE555">
      <w:pPr>
        <w:pStyle w:val="16"/>
        <w:wordWrap w:val="0"/>
        <w:spacing w:line="360" w:lineRule="auto"/>
        <w:ind w:left="0" w:firstLine="638" w:firstLineChars="266"/>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u w:val="single"/>
        </w:rPr>
        <w:t>（3）并列排名的补偿原则：如出现并列名次的，该排名补偿费总额=出现排名并列名次的补偿金额+空缺名次的补偿金额，则n个并列排名投标人的各个补偿金额=该排名补偿费总额/n。例：第2名出现两个投标人并列，则第2名的补偿费总额为</w:t>
      </w:r>
      <w:r>
        <w:rPr>
          <w:rFonts w:hint="eastAsia" w:cs="宋体"/>
          <w:color w:val="auto"/>
          <w:sz w:val="24"/>
          <w:szCs w:val="21"/>
          <w:highlight w:val="none"/>
          <w:u w:val="single"/>
          <w:lang w:val="en-US" w:eastAsia="zh-CN"/>
        </w:rPr>
        <w:t>6万</w:t>
      </w:r>
      <w:r>
        <w:rPr>
          <w:rFonts w:hint="eastAsia" w:ascii="宋体" w:hAnsi="宋体" w:eastAsia="宋体" w:cs="宋体"/>
          <w:color w:val="auto"/>
          <w:sz w:val="24"/>
          <w:szCs w:val="21"/>
          <w:highlight w:val="none"/>
          <w:u w:val="single"/>
        </w:rPr>
        <w:t>+</w:t>
      </w:r>
      <w:r>
        <w:rPr>
          <w:rFonts w:hint="eastAsia" w:cs="宋体"/>
          <w:color w:val="auto"/>
          <w:sz w:val="24"/>
          <w:szCs w:val="21"/>
          <w:highlight w:val="none"/>
          <w:u w:val="single"/>
          <w:lang w:val="en-US" w:eastAsia="zh-CN"/>
        </w:rPr>
        <w:t>6万</w:t>
      </w:r>
      <w:r>
        <w:rPr>
          <w:rFonts w:hint="eastAsia" w:ascii="宋体" w:hAnsi="宋体" w:eastAsia="宋体" w:cs="宋体"/>
          <w:color w:val="auto"/>
          <w:sz w:val="24"/>
          <w:szCs w:val="21"/>
          <w:highlight w:val="none"/>
          <w:u w:val="single"/>
        </w:rPr>
        <w:t>=</w:t>
      </w:r>
      <w:r>
        <w:rPr>
          <w:rFonts w:hint="eastAsia" w:cs="宋体"/>
          <w:color w:val="auto"/>
          <w:sz w:val="24"/>
          <w:szCs w:val="21"/>
          <w:highlight w:val="none"/>
          <w:u w:val="single"/>
          <w:lang w:val="en-US" w:eastAsia="zh-CN"/>
        </w:rPr>
        <w:t>12万</w:t>
      </w:r>
      <w:r>
        <w:rPr>
          <w:rFonts w:hint="eastAsia" w:ascii="宋体" w:hAnsi="宋体" w:eastAsia="宋体" w:cs="宋体"/>
          <w:color w:val="auto"/>
          <w:sz w:val="24"/>
          <w:szCs w:val="21"/>
          <w:highlight w:val="none"/>
          <w:u w:val="single"/>
        </w:rPr>
        <w:t>元，两个投标人的各个补偿金额为</w:t>
      </w:r>
      <w:r>
        <w:rPr>
          <w:rFonts w:hint="eastAsia" w:cs="宋体"/>
          <w:color w:val="auto"/>
          <w:sz w:val="24"/>
          <w:szCs w:val="21"/>
          <w:highlight w:val="none"/>
          <w:u w:val="single"/>
          <w:lang w:val="en-US" w:eastAsia="zh-CN"/>
        </w:rPr>
        <w:t>12/2=6万</w:t>
      </w:r>
      <w:r>
        <w:rPr>
          <w:rFonts w:hint="eastAsia" w:ascii="宋体" w:hAnsi="宋体" w:eastAsia="宋体" w:cs="宋体"/>
          <w:color w:val="auto"/>
          <w:sz w:val="24"/>
          <w:szCs w:val="21"/>
          <w:highlight w:val="none"/>
          <w:u w:val="single"/>
        </w:rPr>
        <w:t>元。</w:t>
      </w:r>
    </w:p>
    <w:p w14:paraId="2EA10CCF">
      <w:pPr>
        <w:shd w:val="clear" w:color="auto" w:fill="FFFFFF"/>
        <w:spacing w:line="400" w:lineRule="exact"/>
        <w:ind w:left="100" w:firstLine="369" w:firstLineChars="154"/>
        <w:rPr>
          <w:rFonts w:hint="eastAsia" w:ascii="宋体" w:hAnsi="宋体" w:cs="宋体"/>
          <w:color w:val="auto"/>
          <w:kern w:val="0"/>
          <w:sz w:val="24"/>
          <w:szCs w:val="21"/>
          <w:highlight w:val="none"/>
          <w:u w:val="single"/>
          <w:lang w:eastAsia="en-US"/>
        </w:rPr>
      </w:pPr>
      <w:r>
        <w:rPr>
          <w:rFonts w:hint="eastAsia" w:ascii="宋体" w:hAnsi="宋体" w:cs="宋体"/>
          <w:color w:val="auto"/>
          <w:kern w:val="0"/>
          <w:sz w:val="24"/>
          <w:szCs w:val="21"/>
          <w:highlight w:val="none"/>
          <w:u w:val="single"/>
          <w:lang w:eastAsia="en-US"/>
        </w:rPr>
        <w:t xml:space="preserve">投标经济补偿费包括在投标人中标价中，中标人根据评标委员会对投标人的评审排序，在签订合同后向招标人申请投标补偿费，并对设计方案部分得分排名1-5名的投标人给予补偿。如果招标失败，则当次不作投标经济补偿。 </w:t>
      </w:r>
    </w:p>
    <w:p w14:paraId="27A4D432">
      <w:pPr>
        <w:pStyle w:val="16"/>
        <w:wordWrap w:val="0"/>
        <w:ind w:lef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对出现无效标情形的投标人，将不作投标经济补偿，该部分投标经济补偿费支付给中标人。</w:t>
      </w:r>
    </w:p>
    <w:p w14:paraId="2298D8DB">
      <w:pPr>
        <w:pStyle w:val="12"/>
        <w:spacing w:line="360" w:lineRule="auto"/>
        <w:ind w:firstLine="480"/>
        <w:rPr>
          <w:rFonts w:hAnsi="宋体"/>
          <w:color w:val="auto"/>
          <w:highlight w:val="none"/>
          <w:u w:val="single"/>
        </w:rPr>
      </w:pPr>
      <w:r>
        <w:rPr>
          <w:rFonts w:hint="eastAsia" w:hAnsi="宋体" w:cs="宋体"/>
          <w:color w:val="auto"/>
          <w:sz w:val="24"/>
          <w:szCs w:val="24"/>
          <w:highlight w:val="none"/>
          <w:u w:val="single"/>
        </w:rPr>
        <w:t>招标人和中标人有权在实施方案中参考使用获得经济补偿的所有投标方案成果内容。</w:t>
      </w:r>
    </w:p>
    <w:p w14:paraId="22EC8701">
      <w:pPr>
        <w:pStyle w:val="7"/>
        <w:keepNext/>
        <w:keepLines/>
        <w:pageBreakBefore w:val="0"/>
        <w:widowControl w:val="0"/>
        <w:numPr>
          <w:ilvl w:val="0"/>
          <w:numId w:val="1"/>
        </w:numPr>
        <w:kinsoku/>
        <w:wordWrap/>
        <w:overflowPunct/>
        <w:topLinePunct w:val="0"/>
        <w:autoSpaceDE/>
        <w:autoSpaceDN/>
        <w:bidi w:val="0"/>
        <w:adjustRightInd/>
        <w:snapToGrid/>
        <w:spacing w:before="0" w:after="0"/>
        <w:textAlignment w:val="auto"/>
        <w:rPr>
          <w:rFonts w:hint="eastAsia" w:eastAsia="宋体" w:cs="Times New Roman"/>
          <w:b/>
          <w:highlight w:val="none"/>
        </w:rPr>
      </w:pPr>
      <w:r>
        <w:rPr>
          <w:rFonts w:hint="eastAsia" w:eastAsia="宋体" w:cs="Times New Roman"/>
          <w:b/>
          <w:highlight w:val="none"/>
        </w:rPr>
        <w:t>招标文件的获取及资格审查</w:t>
      </w:r>
    </w:p>
    <w:p w14:paraId="07B156A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5.1招标公告发布时间（含本日）：202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   月   日   时   分至202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   月  日   时   分。（北京时间，下同），凡有意参加投标者，请登录广州交易集团有限公司（广州公共资源交易中心）网站（http//www.gzggzy.cn）在本项目招标公告附件中下载电子招标文件。</w:t>
      </w:r>
    </w:p>
    <w:p w14:paraId="659DB775">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5.2 本项目采用全电子化资格后审方式。</w:t>
      </w:r>
    </w:p>
    <w:p w14:paraId="6A267C5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注：投标人通过广州交易集团有限公司（广州公共资源交易中心）交易平台递交电子投标文件。投标人应在递交投标文件截止时间前，登录广州交易集团有限公司（广州公共资源交易中心）网站办理网上投标登记手续。操作详见广州交易集团有限公司（广州公共资源交易中心）网站（网址：http://www.gzggzy.cn）。</w:t>
      </w:r>
    </w:p>
    <w:p w14:paraId="06C0FCB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5.3 招标公告网上发布时，同时发布招标文件等相关资料。招标公告发布之日起计算编制投标文件时间，编制投标文件的时间不得少于20天。如招标人需发布补充公告的，以最后发布的补充公告的时间起计算编制投标文件时间，并需在补充公告中明确说明。</w:t>
      </w:r>
    </w:p>
    <w:p w14:paraId="6332D0F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5.4 递交投标文件截止时间与开标时间是否有变化，请密切留意招标答疑中的相关信息。递交投标文件截止时间后，开标时间因故推迟的，相关评标信息仍以原递交投标文件截止时间的信息为准。</w:t>
      </w:r>
    </w:p>
    <w:p w14:paraId="23CA0FCD">
      <w:pPr>
        <w:pStyle w:val="2"/>
        <w:ind w:firstLine="440"/>
        <w:rPr>
          <w:rFonts w:hint="eastAsia" w:asciiTheme="minorEastAsia" w:hAnsiTheme="minorEastAsia" w:eastAsiaTheme="minorEastAsia" w:cstheme="minorEastAsia"/>
          <w:sz w:val="24"/>
          <w:szCs w:val="24"/>
          <w:highlight w:val="none"/>
          <w:lang w:eastAsia="zh-CN"/>
        </w:rPr>
      </w:pPr>
    </w:p>
    <w:p w14:paraId="3A9CF617">
      <w:pPr>
        <w:pStyle w:val="7"/>
        <w:keepNext/>
        <w:keepLines/>
        <w:pageBreakBefore w:val="0"/>
        <w:widowControl w:val="0"/>
        <w:numPr>
          <w:ilvl w:val="0"/>
          <w:numId w:val="1"/>
        </w:numPr>
        <w:kinsoku/>
        <w:wordWrap/>
        <w:overflowPunct/>
        <w:topLinePunct w:val="0"/>
        <w:autoSpaceDE/>
        <w:autoSpaceDN/>
        <w:bidi w:val="0"/>
        <w:adjustRightInd/>
        <w:snapToGrid/>
        <w:spacing w:before="0" w:after="0"/>
        <w:textAlignment w:val="auto"/>
        <w:rPr>
          <w:rFonts w:hint="eastAsia" w:eastAsia="宋体" w:cs="Times New Roman"/>
          <w:b/>
          <w:highlight w:val="none"/>
        </w:rPr>
      </w:pPr>
      <w:r>
        <w:rPr>
          <w:rFonts w:hint="eastAsia" w:eastAsia="宋体" w:cs="Times New Roman"/>
          <w:b/>
          <w:highlight w:val="none"/>
        </w:rPr>
        <w:t>投标文件的递交、开标时间</w:t>
      </w:r>
    </w:p>
    <w:p w14:paraId="2A54395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6.1 投标文件递交的截止时间（投标截止时间，下同）为202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   月   日   时   分，投标人应在截止时间前通过广州交易集团有限公司（广州公共资源交易中心）网站（网址：http://www.gzggzy.cn）递交电子投标文件。</w:t>
      </w:r>
    </w:p>
    <w:p w14:paraId="5B6F744B">
      <w:pPr>
        <w:pStyle w:val="2"/>
        <w:spacing w:line="360" w:lineRule="auto"/>
        <w:ind w:firstLine="480"/>
        <w:rPr>
          <w:rFonts w:ascii="宋体" w:hAnsi="宋体" w:cs="宋体"/>
          <w:sz w:val="24"/>
          <w:szCs w:val="24"/>
          <w:highlight w:val="none"/>
          <w:lang w:eastAsia="zh-CN"/>
        </w:rPr>
      </w:pPr>
      <w:r>
        <w:rPr>
          <w:rFonts w:hint="eastAsia" w:ascii="宋体" w:hAnsi="宋体" w:cs="宋体"/>
          <w:sz w:val="24"/>
          <w:szCs w:val="24"/>
          <w:highlight w:val="none"/>
          <w:lang w:eastAsia="zh-CN"/>
        </w:rPr>
        <w:t>6.2 投标人应在递交投标文件截止时间前，登录广州交易集团有限公司（广州公共资源交易中心）网站办理网上投标登记手续。操作详见广州交易集团有限公司（广州公共资源交易中心）网站（网址：http://www.gzggzy.cn）。</w:t>
      </w:r>
    </w:p>
    <w:p w14:paraId="54EAB84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6.3</w:t>
      </w:r>
      <w:bookmarkStart w:id="8" w:name="_Hlk106940116"/>
      <w:r>
        <w:rPr>
          <w:rFonts w:hint="eastAsia" w:ascii="宋体" w:hAnsi="宋体" w:cs="宋体"/>
          <w:sz w:val="24"/>
          <w:szCs w:val="24"/>
          <w:highlight w:val="none"/>
        </w:rPr>
        <w:t>递交备用投标文件电子光盘</w:t>
      </w:r>
      <w:bookmarkEnd w:id="8"/>
      <w:r>
        <w:rPr>
          <w:rFonts w:hint="eastAsia" w:ascii="宋体" w:hAnsi="宋体" w:cs="宋体"/>
          <w:sz w:val="24"/>
          <w:szCs w:val="24"/>
          <w:highlight w:val="none"/>
        </w:rPr>
        <w:t>的规定：</w:t>
      </w:r>
    </w:p>
    <w:p w14:paraId="3470C5C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时间为202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   月   日   时   分至202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   月   日   时   分；地点：广州交易集团有限公司（广州公共资源交易中心）</w:t>
      </w:r>
      <w:r>
        <w:rPr>
          <w:rFonts w:hint="eastAsia" w:ascii="宋体" w:hAnsi="宋体" w:cs="宋体"/>
          <w:sz w:val="24"/>
          <w:szCs w:val="24"/>
          <w:highlight w:val="none"/>
          <w:u w:val="single"/>
        </w:rPr>
        <w:t xml:space="preserve">   </w:t>
      </w:r>
      <w:r>
        <w:rPr>
          <w:rFonts w:hint="eastAsia" w:ascii="宋体" w:hAnsi="宋体" w:cs="宋体"/>
          <w:sz w:val="24"/>
          <w:szCs w:val="24"/>
          <w:highlight w:val="none"/>
        </w:rPr>
        <w:t>开标室,具体安排请投标人自行登陆“http://www.gzggzy.cn/xmcxjsgc/index.jhtml”进行查询。（投标人应在投标截止时间前，凭法定代表人证明书原件、法定代表人授权委托证明书原件（非法定代表人办理手续时提供）、本人身份证原件到达开标室递交投标文件光盘（备用）。电子光盘需按规定封装。投标人在将数据刻录到光盘之后，投标前自行检查文件是否可以读取。）</w:t>
      </w:r>
    </w:p>
    <w:p w14:paraId="7386D9E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6.4逾期送达的投标文件，电子招标投标交易平台将予以拒收。</w:t>
      </w:r>
    </w:p>
    <w:p w14:paraId="3D7B1D45">
      <w:pPr>
        <w:spacing w:line="360" w:lineRule="auto"/>
        <w:ind w:firstLine="480" w:firstLineChars="200"/>
        <w:jc w:val="left"/>
        <w:rPr>
          <w:rFonts w:ascii="宋体" w:hAnsi="宋体" w:cs="宋体"/>
          <w:sz w:val="24"/>
          <w:highlight w:val="none"/>
        </w:rPr>
      </w:pPr>
      <w:r>
        <w:rPr>
          <w:rFonts w:hint="eastAsia" w:ascii="宋体" w:hAnsi="宋体" w:cs="宋体"/>
          <w:sz w:val="24"/>
          <w:szCs w:val="24"/>
          <w:highlight w:val="none"/>
        </w:rPr>
        <w:t>6.5</w:t>
      </w:r>
      <w:r>
        <w:rPr>
          <w:rFonts w:hint="eastAsia" w:ascii="宋体" w:hAnsi="宋体" w:cs="宋体"/>
          <w:sz w:val="24"/>
          <w:highlight w:val="none"/>
        </w:rPr>
        <w:t>开标时间：202</w:t>
      </w:r>
      <w:r>
        <w:rPr>
          <w:rFonts w:hint="eastAsia" w:ascii="宋体" w:hAnsi="宋体" w:cs="宋体"/>
          <w:sz w:val="24"/>
          <w:highlight w:val="none"/>
          <w:lang w:val="en-US" w:eastAsia="zh-CN"/>
        </w:rPr>
        <w:t>5</w:t>
      </w:r>
      <w:r>
        <w:rPr>
          <w:rFonts w:hint="eastAsia" w:ascii="宋体" w:hAnsi="宋体" w:cs="宋体"/>
          <w:sz w:val="24"/>
          <w:highlight w:val="none"/>
        </w:rPr>
        <w:t>年  月  日  时  分。地点：广州交易集团有限公司（广州公共资源交易中心）</w:t>
      </w:r>
      <w:r>
        <w:rPr>
          <w:rFonts w:hint="eastAsia" w:ascii="宋体" w:hAnsi="宋体" w:cs="宋体"/>
          <w:sz w:val="24"/>
          <w:highlight w:val="none"/>
          <w:u w:val="single"/>
        </w:rPr>
        <w:t xml:space="preserve">   </w:t>
      </w:r>
      <w:r>
        <w:rPr>
          <w:rFonts w:hint="eastAsia" w:ascii="宋体" w:hAnsi="宋体" w:cs="宋体"/>
          <w:sz w:val="24"/>
          <w:highlight w:val="none"/>
        </w:rPr>
        <w:t>开标室,具体安排请投标人自行登陆“http://www.gzggzy.cn/xmcxjsgc/index.jhtml”进行查询。</w:t>
      </w:r>
    </w:p>
    <w:p w14:paraId="7A9730F9">
      <w:pPr>
        <w:spacing w:line="360" w:lineRule="auto"/>
        <w:ind w:firstLine="472" w:firstLineChars="200"/>
        <w:jc w:val="left"/>
        <w:rPr>
          <w:highlight w:val="none"/>
        </w:rPr>
      </w:pPr>
      <w:r>
        <w:rPr>
          <w:rFonts w:hint="eastAsia" w:ascii="宋体" w:hAnsi="宋体" w:cs="宋体"/>
          <w:spacing w:val="-2"/>
          <w:kern w:val="0"/>
          <w:sz w:val="24"/>
          <w:highlight w:val="none"/>
          <w:u w:val="single"/>
        </w:rPr>
        <w:t>备注：本项目具体的招投标活动日程安排及场地安排以广州交易集团有限公司（广州公共资源交易中心）</w:t>
      </w:r>
      <w:r>
        <w:rPr>
          <w:rFonts w:hint="eastAsia" w:ascii="宋体" w:hAnsi="宋体"/>
          <w:spacing w:val="-2"/>
          <w:kern w:val="0"/>
          <w:sz w:val="24"/>
          <w:highlight w:val="none"/>
          <w:u w:val="single"/>
        </w:rPr>
        <w:t>网站中“建设工程”→“项目查询（日程安排、答疑纪要）”公布的为准。</w:t>
      </w:r>
    </w:p>
    <w:p w14:paraId="7C46E704">
      <w:pPr>
        <w:pStyle w:val="2"/>
        <w:ind w:firstLine="440"/>
        <w:rPr>
          <w:rFonts w:hint="eastAsia" w:asciiTheme="minorEastAsia" w:hAnsiTheme="minorEastAsia" w:eastAsiaTheme="minorEastAsia" w:cstheme="minorEastAsia"/>
          <w:sz w:val="24"/>
          <w:szCs w:val="24"/>
          <w:highlight w:val="none"/>
          <w:lang w:eastAsia="zh-CN"/>
        </w:rPr>
      </w:pPr>
    </w:p>
    <w:p w14:paraId="3B77C8D6">
      <w:pPr>
        <w:pStyle w:val="7"/>
        <w:keepNext/>
        <w:keepLines/>
        <w:pageBreakBefore w:val="0"/>
        <w:widowControl w:val="0"/>
        <w:numPr>
          <w:ilvl w:val="0"/>
          <w:numId w:val="1"/>
        </w:numPr>
        <w:kinsoku/>
        <w:wordWrap/>
        <w:overflowPunct/>
        <w:topLinePunct w:val="0"/>
        <w:autoSpaceDE/>
        <w:autoSpaceDN/>
        <w:bidi w:val="0"/>
        <w:adjustRightInd/>
        <w:snapToGrid/>
        <w:spacing w:before="0" w:after="0"/>
        <w:textAlignment w:val="auto"/>
        <w:rPr>
          <w:rFonts w:hint="eastAsia" w:eastAsia="宋体" w:cs="Times New Roman"/>
          <w:b/>
          <w:highlight w:val="none"/>
        </w:rPr>
      </w:pPr>
      <w:r>
        <w:rPr>
          <w:rFonts w:hint="eastAsia" w:eastAsia="宋体" w:cs="Times New Roman"/>
          <w:b/>
          <w:highlight w:val="none"/>
        </w:rPr>
        <w:t>发布公告的媒介</w:t>
      </w:r>
    </w:p>
    <w:p w14:paraId="3E6B9716">
      <w:pPr>
        <w:widowControl/>
        <w:tabs>
          <w:tab w:val="left" w:pos="760"/>
        </w:tabs>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本次招标公告同时在广州交易集团有限公司（广州公共资源交易中心）网</w:t>
      </w:r>
      <w:r>
        <w:rPr>
          <w:rFonts w:hint="eastAsia" w:ascii="宋体" w:hAnsi="宋体" w:cs="宋体"/>
          <w:bCs/>
          <w:sz w:val="24"/>
          <w:szCs w:val="24"/>
          <w:highlight w:val="none"/>
          <w:lang w:val="en-US" w:eastAsia="zh-CN"/>
        </w:rPr>
        <w:t>站</w:t>
      </w:r>
      <w:r>
        <w:rPr>
          <w:rFonts w:hint="eastAsia" w:ascii="宋体" w:hAnsi="宋体" w:cs="宋体"/>
          <w:bCs/>
          <w:sz w:val="24"/>
          <w:szCs w:val="24"/>
          <w:highlight w:val="none"/>
        </w:rPr>
        <w:t>（网址：http://www.gzggzy.cn）、广东省招标投标监管网（网址：http://zbtb.gd.gov.cn）和中国招标投标公共服务平台（网址：http://www.cebpubservice.com/）上发布。本公告的修改、补充，在广州交易集团有限公司（广州公共资源交易中心）网</w:t>
      </w:r>
      <w:r>
        <w:rPr>
          <w:rFonts w:hint="eastAsia" w:ascii="宋体" w:hAnsi="宋体" w:cs="宋体"/>
          <w:bCs/>
          <w:sz w:val="24"/>
          <w:szCs w:val="24"/>
          <w:highlight w:val="none"/>
          <w:lang w:val="en-US" w:eastAsia="zh-CN"/>
        </w:rPr>
        <w:t>站</w:t>
      </w:r>
      <w:r>
        <w:rPr>
          <w:rFonts w:hint="eastAsia" w:ascii="宋体" w:hAnsi="宋体" w:cs="宋体"/>
          <w:bCs/>
          <w:sz w:val="24"/>
          <w:szCs w:val="24"/>
          <w:highlight w:val="none"/>
        </w:rPr>
        <w:t>发布。</w:t>
      </w:r>
    </w:p>
    <w:p w14:paraId="319A2973">
      <w:pPr>
        <w:pStyle w:val="2"/>
        <w:ind w:firstLine="440"/>
        <w:rPr>
          <w:rFonts w:ascii="宋体" w:hAnsi="宋体" w:cs="宋体"/>
          <w:bCs/>
          <w:sz w:val="24"/>
          <w:szCs w:val="24"/>
          <w:highlight w:val="none"/>
        </w:rPr>
      </w:pPr>
    </w:p>
    <w:p w14:paraId="5344B66C">
      <w:pPr>
        <w:pStyle w:val="7"/>
        <w:keepNext/>
        <w:keepLines/>
        <w:pageBreakBefore w:val="0"/>
        <w:widowControl w:val="0"/>
        <w:numPr>
          <w:ilvl w:val="0"/>
          <w:numId w:val="1"/>
        </w:numPr>
        <w:kinsoku/>
        <w:wordWrap/>
        <w:overflowPunct/>
        <w:topLinePunct w:val="0"/>
        <w:autoSpaceDE/>
        <w:autoSpaceDN/>
        <w:bidi w:val="0"/>
        <w:adjustRightInd/>
        <w:snapToGrid/>
        <w:spacing w:before="0" w:after="0"/>
        <w:textAlignment w:val="auto"/>
        <w:rPr>
          <w:rFonts w:hint="eastAsia" w:eastAsia="宋体" w:cs="Times New Roman"/>
          <w:b/>
          <w:highlight w:val="none"/>
        </w:rPr>
      </w:pPr>
      <w:r>
        <w:rPr>
          <w:rFonts w:hint="eastAsia" w:eastAsia="宋体" w:cs="Times New Roman"/>
          <w:b/>
          <w:highlight w:val="none"/>
        </w:rPr>
        <w:t>其他事项</w:t>
      </w:r>
    </w:p>
    <w:p w14:paraId="5CF34EA7">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8.1 投标时是否需要提交设计模型：</w:t>
      </w:r>
      <w:r>
        <w:rPr>
          <w:rFonts w:hint="eastAsia" w:ascii="宋体" w:hAnsi="宋体" w:cs="宋体"/>
          <w:bCs/>
          <w:sz w:val="24"/>
          <w:szCs w:val="24"/>
          <w:highlight w:val="none"/>
          <w:u w:val="single"/>
        </w:rPr>
        <w:t>不需要</w:t>
      </w:r>
      <w:r>
        <w:rPr>
          <w:rFonts w:hint="eastAsia" w:ascii="宋体" w:hAnsi="宋体" w:cs="宋体"/>
          <w:sz w:val="24"/>
          <w:szCs w:val="24"/>
          <w:highlight w:val="none"/>
        </w:rPr>
        <w:t>。</w:t>
      </w:r>
    </w:p>
    <w:p w14:paraId="48C5236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8.</w:t>
      </w:r>
      <w:r>
        <w:rPr>
          <w:rFonts w:hint="eastAsia" w:ascii="宋体" w:hAnsi="宋体" w:cs="宋体"/>
          <w:sz w:val="24"/>
          <w:szCs w:val="24"/>
          <w:highlight w:val="none"/>
          <w:lang w:val="en-US" w:eastAsia="zh-CN"/>
        </w:rPr>
        <w:t xml:space="preserve">2 </w:t>
      </w:r>
      <w:r>
        <w:rPr>
          <w:rFonts w:hint="eastAsia" w:ascii="宋体" w:hAnsi="宋体"/>
          <w:color w:val="auto"/>
          <w:sz w:val="24"/>
          <w:highlight w:val="none"/>
        </w:rPr>
        <w:t>招标项目的电子地形图由投标人自行收集</w:t>
      </w:r>
      <w:r>
        <w:rPr>
          <w:rFonts w:hint="eastAsia" w:ascii="宋体" w:hAnsi="宋体"/>
          <w:color w:val="auto"/>
          <w:sz w:val="24"/>
          <w:highlight w:val="none"/>
          <w:lang w:eastAsia="zh-CN"/>
        </w:rPr>
        <w:t>。</w:t>
      </w:r>
      <w:r>
        <w:rPr>
          <w:rFonts w:hint="eastAsia" w:ascii="宋体" w:hAnsi="宋体" w:cs="宋体"/>
          <w:sz w:val="24"/>
          <w:szCs w:val="24"/>
          <w:highlight w:val="none"/>
        </w:rPr>
        <w:t>投标人可通过</w:t>
      </w:r>
      <w:r>
        <w:rPr>
          <w:rFonts w:hint="eastAsia" w:ascii="宋体" w:hAnsi="宋体" w:cs="宋体"/>
          <w:sz w:val="24"/>
          <w:szCs w:val="24"/>
          <w:highlight w:val="none"/>
          <w:u w:val="single"/>
        </w:rPr>
        <w:t>http://map.baidu.com选择（地球模式）</w:t>
      </w:r>
      <w:r>
        <w:rPr>
          <w:rFonts w:hint="eastAsia" w:ascii="宋体" w:hAnsi="宋体" w:cs="宋体"/>
          <w:sz w:val="24"/>
          <w:szCs w:val="24"/>
          <w:highlight w:val="none"/>
        </w:rPr>
        <w:t>观察本项目的周边环境。</w:t>
      </w:r>
    </w:p>
    <w:p w14:paraId="35979E2B">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8.3 项目的其他情况在</w:t>
      </w:r>
      <w:r>
        <w:rPr>
          <w:rFonts w:hint="eastAsia" w:ascii="宋体" w:hAnsi="宋体"/>
          <w:color w:val="auto"/>
          <w:sz w:val="24"/>
          <w:highlight w:val="none"/>
        </w:rPr>
        <w:t>可行性研究报告中</w:t>
      </w:r>
      <w:r>
        <w:rPr>
          <w:rFonts w:hint="eastAsia" w:ascii="宋体" w:hAnsi="宋体" w:cs="宋体"/>
          <w:sz w:val="24"/>
          <w:szCs w:val="24"/>
          <w:highlight w:val="none"/>
        </w:rPr>
        <w:t>详细介绍。本公告为招标文件的组成部分，更详细的信息以招标文件为准。</w:t>
      </w:r>
    </w:p>
    <w:p w14:paraId="2875D168">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8.4 潜在投标人或利害关系人对本招标公告及招标文件有异议的，应当在投标截止时间10日前向招标人书面提出。</w:t>
      </w:r>
    </w:p>
    <w:p w14:paraId="37BBFC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u w:val="single"/>
        </w:rPr>
      </w:pPr>
      <w:r>
        <w:rPr>
          <w:rFonts w:hint="eastAsia" w:ascii="宋体" w:hAnsi="宋体" w:cs="宋体"/>
          <w:sz w:val="24"/>
          <w:szCs w:val="24"/>
          <w:highlight w:val="none"/>
        </w:rPr>
        <w:t>异议受理部门：</w:t>
      </w:r>
      <w:r>
        <w:rPr>
          <w:rFonts w:hint="eastAsia" w:ascii="宋体" w:hAnsi="宋体" w:cs="宋体"/>
          <w:sz w:val="24"/>
          <w:szCs w:val="24"/>
          <w:highlight w:val="none"/>
          <w:u w:val="single"/>
        </w:rPr>
        <w:t>广东省代建项目管理局</w:t>
      </w:r>
    </w:p>
    <w:p w14:paraId="31F0FB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u w:val="single"/>
        </w:rPr>
      </w:pPr>
      <w:r>
        <w:rPr>
          <w:rFonts w:hint="eastAsia" w:ascii="宋体" w:hAnsi="宋体" w:cs="宋体"/>
          <w:sz w:val="24"/>
          <w:szCs w:val="24"/>
          <w:highlight w:val="none"/>
        </w:rPr>
        <w:t>联系人：</w:t>
      </w:r>
      <w:r>
        <w:rPr>
          <w:rFonts w:hint="eastAsia" w:ascii="宋体" w:hAnsi="宋体" w:cs="宋体"/>
          <w:sz w:val="24"/>
          <w:szCs w:val="24"/>
          <w:highlight w:val="none"/>
          <w:u w:val="single"/>
          <w:lang w:val="en-US" w:eastAsia="zh-CN"/>
        </w:rPr>
        <w:t>叶</w:t>
      </w:r>
      <w:r>
        <w:rPr>
          <w:rFonts w:hint="eastAsia" w:ascii="宋体" w:hAnsi="宋体" w:cs="宋体"/>
          <w:sz w:val="24"/>
          <w:szCs w:val="24"/>
          <w:highlight w:val="none"/>
          <w:u w:val="single"/>
        </w:rPr>
        <w:t>工</w:t>
      </w:r>
    </w:p>
    <w:p w14:paraId="2FE2D7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电话：</w:t>
      </w:r>
      <w:r>
        <w:rPr>
          <w:rFonts w:hint="eastAsia" w:ascii="宋体" w:hAnsi="宋体" w:cs="宋体"/>
          <w:sz w:val="24"/>
          <w:szCs w:val="24"/>
          <w:highlight w:val="none"/>
          <w:u w:val="single"/>
        </w:rPr>
        <w:t>020-</w:t>
      </w:r>
      <w:r>
        <w:rPr>
          <w:rFonts w:hint="eastAsia" w:ascii="宋体" w:hAnsi="宋体" w:cs="宋体"/>
          <w:sz w:val="24"/>
          <w:szCs w:val="24"/>
          <w:highlight w:val="none"/>
          <w:u w:val="single"/>
          <w:lang w:val="en-US" w:eastAsia="zh-CN"/>
        </w:rPr>
        <w:t>83620867</w:t>
      </w:r>
    </w:p>
    <w:p w14:paraId="633EB2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u w:val="single"/>
        </w:rPr>
      </w:pPr>
      <w:r>
        <w:rPr>
          <w:rFonts w:hint="eastAsia" w:ascii="宋体" w:hAnsi="宋体" w:cs="宋体"/>
          <w:sz w:val="24"/>
          <w:szCs w:val="24"/>
          <w:highlight w:val="none"/>
        </w:rPr>
        <w:t>地址：</w:t>
      </w:r>
      <w:r>
        <w:rPr>
          <w:rFonts w:hint="eastAsia" w:ascii="宋体" w:hAnsi="宋体"/>
          <w:sz w:val="24"/>
          <w:szCs w:val="24"/>
          <w:highlight w:val="none"/>
          <w:u w:val="single"/>
        </w:rPr>
        <w:t>广州市黄埔大道西108号11楼</w:t>
      </w:r>
    </w:p>
    <w:p w14:paraId="299A87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41786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8.5 特别提示：投标人在本项目招标人的工程项目中存在下列行为的，将被拒绝</w:t>
      </w:r>
      <w:r>
        <w:rPr>
          <w:rFonts w:hint="eastAsia" w:ascii="宋体" w:hAnsi="宋体" w:eastAsia="宋体" w:cs="宋体"/>
          <w:sz w:val="24"/>
          <w:szCs w:val="24"/>
          <w:highlight w:val="none"/>
          <w:u w:val="single"/>
        </w:rPr>
        <w:t>一年内</w:t>
      </w:r>
      <w:r>
        <w:rPr>
          <w:rFonts w:hint="eastAsia" w:ascii="宋体" w:hAnsi="宋体" w:eastAsia="宋体" w:cs="宋体"/>
          <w:sz w:val="24"/>
          <w:szCs w:val="24"/>
          <w:highlight w:val="none"/>
        </w:rPr>
        <w:t>参与我单位后续工程投标：（注：拒绝投标时限自招标人发出通知之日起计）</w:t>
      </w:r>
    </w:p>
    <w:p w14:paraId="578942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（一）将中标工程转包或者违法分包的；</w:t>
      </w:r>
    </w:p>
    <w:p w14:paraId="1B1726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（二）存在围标或串通投标情形的；</w:t>
      </w:r>
    </w:p>
    <w:p w14:paraId="7D4C87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（三）存在弄虚作假骗取中标、行贿情形的；</w:t>
      </w:r>
    </w:p>
    <w:p w14:paraId="4DA482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（四）在中标工程中不执行质量、安全生产相关规定，造成质量或安全事故的；</w:t>
      </w:r>
    </w:p>
    <w:p w14:paraId="131D5E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出让投标资格的</w:t>
      </w:r>
      <w:r>
        <w:rPr>
          <w:rFonts w:hint="eastAsia" w:ascii="宋体" w:hAnsi="宋体" w:cs="宋体"/>
          <w:color w:val="auto"/>
          <w:sz w:val="24"/>
          <w:highlight w:val="none"/>
          <w:lang w:val="en-US" w:eastAsia="zh-CN"/>
        </w:rPr>
        <w:t>；</w:t>
      </w:r>
    </w:p>
    <w:p w14:paraId="256358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在投标文件中提供虚假材料的</w:t>
      </w:r>
      <w:r>
        <w:rPr>
          <w:rFonts w:hint="eastAsia" w:ascii="宋体" w:hAnsi="宋体" w:cs="宋体"/>
          <w:color w:val="auto"/>
          <w:sz w:val="24"/>
          <w:highlight w:val="none"/>
          <w:lang w:val="en-US" w:eastAsia="zh-CN"/>
        </w:rPr>
        <w:t>；</w:t>
      </w:r>
    </w:p>
    <w:p w14:paraId="138C0C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存在少放、不放业绩、奖项等客观评审资料，减少自身竞争力情形的</w:t>
      </w:r>
      <w:r>
        <w:rPr>
          <w:rFonts w:hint="eastAsia" w:ascii="宋体" w:hAnsi="宋体" w:cs="宋体"/>
          <w:color w:val="auto"/>
          <w:sz w:val="24"/>
          <w:highlight w:val="none"/>
          <w:lang w:val="en-US" w:eastAsia="zh-CN"/>
        </w:rPr>
        <w:t>；</w:t>
      </w:r>
    </w:p>
    <w:p w14:paraId="55EF31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八</w:t>
      </w:r>
      <w:r>
        <w:rPr>
          <w:rFonts w:hint="eastAsia" w:ascii="宋体" w:hAnsi="宋体" w:eastAsia="宋体" w:cs="宋体"/>
          <w:color w:val="auto"/>
          <w:sz w:val="24"/>
          <w:highlight w:val="none"/>
        </w:rPr>
        <w:t>）由于承包人原因拖欠农民工工资的；</w:t>
      </w:r>
    </w:p>
    <w:p w14:paraId="761376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）承包人因合同履行过错行为被生效法律文书认定承担违约或侵权责任的；</w:t>
      </w:r>
    </w:p>
    <w:p w14:paraId="12AA45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十</w:t>
      </w:r>
      <w:r>
        <w:rPr>
          <w:rFonts w:hint="eastAsia" w:ascii="宋体" w:hAnsi="宋体" w:eastAsia="宋体" w:cs="宋体"/>
          <w:color w:val="auto"/>
          <w:sz w:val="24"/>
          <w:highlight w:val="none"/>
        </w:rPr>
        <w:t>）由于承包人原因提交竣工结算申请时间超过两年的；</w:t>
      </w:r>
    </w:p>
    <w:p w14:paraId="319D3B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十一</w:t>
      </w:r>
      <w:r>
        <w:rPr>
          <w:rFonts w:hint="eastAsia" w:ascii="宋体" w:hAnsi="宋体" w:eastAsia="宋体" w:cs="宋体"/>
          <w:color w:val="auto"/>
          <w:sz w:val="24"/>
          <w:highlight w:val="none"/>
        </w:rPr>
        <w:t>）由于承包人原因未按合同约定工期完工超过两年的</w:t>
      </w:r>
      <w:r>
        <w:rPr>
          <w:rFonts w:hint="eastAsia" w:ascii="宋体" w:hAnsi="宋体" w:eastAsia="宋体" w:cs="宋体"/>
          <w:color w:val="auto"/>
          <w:sz w:val="24"/>
          <w:highlight w:val="none"/>
          <w:lang w:eastAsia="zh-CN"/>
        </w:rPr>
        <w:t>；</w:t>
      </w:r>
    </w:p>
    <w:p w14:paraId="2DA83B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十二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承包人如出现更换项目负责人的情况，发包人有权视情况认为存在不诚信行为或不充分履约行为的。</w:t>
      </w:r>
    </w:p>
    <w:p w14:paraId="3F6ECCD1">
      <w:pPr>
        <w:spacing w:line="440" w:lineRule="exact"/>
        <w:ind w:firstLine="480" w:firstLineChars="200"/>
        <w:rPr>
          <w:rFonts w:hint="eastAsia" w:ascii="宋体" w:hAnsi="宋体" w:eastAsia="宋体" w:cs="宋体"/>
          <w:sz w:val="24"/>
          <w:szCs w:val="24"/>
          <w:highlight w:val="none"/>
          <w:u w:val="single"/>
        </w:rPr>
      </w:pPr>
      <w:bookmarkStart w:id="9" w:name="OLE_LINK4"/>
      <w:r>
        <w:rPr>
          <w:rFonts w:hint="eastAsia" w:ascii="宋体" w:hAnsi="宋体" w:cs="宋体"/>
          <w:sz w:val="24"/>
          <w:szCs w:val="24"/>
          <w:highlight w:val="none"/>
        </w:rPr>
        <w:t>8.6 前期服务机构名称：</w:t>
      </w:r>
      <w:r>
        <w:rPr>
          <w:rFonts w:hint="eastAsia" w:ascii="宋体" w:hAnsi="宋体" w:eastAsia="宋体" w:cs="宋体"/>
          <w:sz w:val="24"/>
          <w:szCs w:val="24"/>
          <w:highlight w:val="none"/>
          <w:u w:val="single"/>
          <w:lang w:val="en-US" w:eastAsia="zh-CN"/>
        </w:rPr>
        <w:t>广东省国际工程咨询有限公司</w:t>
      </w:r>
      <w:r>
        <w:rPr>
          <w:rFonts w:hint="eastAsia" w:ascii="宋体" w:hAnsi="宋体" w:eastAsia="宋体" w:cs="宋体"/>
          <w:sz w:val="24"/>
          <w:szCs w:val="24"/>
          <w:highlight w:val="none"/>
          <w:u w:val="single"/>
        </w:rPr>
        <w:t>（可行性研究报告编制单位）</w:t>
      </w:r>
      <w:bookmarkEnd w:id="9"/>
    </w:p>
    <w:p w14:paraId="467AB0A8">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注：如果前期服务机构参加本次投标，应将本公告发布前最终完成的工作成果（含电子文件）在发布招标公告的同时提供给所有投标人参考，否则前期参与的服务机构中标无效。 </w:t>
      </w:r>
    </w:p>
    <w:p w14:paraId="4D0C7511">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8.7 本项目采用全电子化资格后审，由评标委员会负责对投标人的资格进行审查，评标时只对通过资格审查的投标人进行下一阶段的评审。满足资格审查合格条件的投标人不足3名，或经评审有效的投标单位不足3名时为招标失败。</w:t>
      </w:r>
    </w:p>
    <w:p w14:paraId="66DEB7BC">
      <w:pPr>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8.8 现场考察：</w:t>
      </w:r>
    </w:p>
    <w:p w14:paraId="4F229875">
      <w:pPr>
        <w:autoSpaceDE w:val="0"/>
        <w:autoSpaceDN w:val="0"/>
        <w:adjustRightInd w:val="0"/>
        <w:spacing w:before="16" w:line="440" w:lineRule="exact"/>
        <w:ind w:firstLine="960" w:firstLineChars="400"/>
        <w:jc w:val="left"/>
        <w:rPr>
          <w:rFonts w:ascii="宋体" w:hAnsi="宋体" w:cs="宋体"/>
          <w:sz w:val="24"/>
          <w:highlight w:val="none"/>
        </w:rPr>
      </w:pPr>
      <w:r>
        <w:rPr>
          <w:rFonts w:hint="eastAsia" w:ascii="宋体" w:hAnsi="宋体" w:cs="宋体"/>
          <w:sz w:val="24"/>
          <w:highlight w:val="none"/>
          <w:u w:val="single"/>
        </w:rPr>
        <w:t>时间：不安排统一考察，由投标人自行考察。</w:t>
      </w:r>
    </w:p>
    <w:p w14:paraId="74B5E80E">
      <w:pPr>
        <w:autoSpaceDE w:val="0"/>
        <w:autoSpaceDN w:val="0"/>
        <w:adjustRightInd w:val="0"/>
        <w:spacing w:before="16" w:line="440" w:lineRule="exact"/>
        <w:ind w:firstLine="960" w:firstLineChars="400"/>
        <w:jc w:val="left"/>
        <w:rPr>
          <w:rFonts w:ascii="宋体" w:hAnsi="宋体" w:cs="宋体"/>
          <w:sz w:val="24"/>
          <w:highlight w:val="none"/>
          <w:u w:val="single"/>
        </w:rPr>
      </w:pPr>
      <w:r>
        <w:rPr>
          <w:rFonts w:hint="eastAsia" w:ascii="宋体" w:hAnsi="宋体" w:cs="宋体"/>
          <w:sz w:val="24"/>
          <w:highlight w:val="none"/>
          <w:u w:val="single"/>
        </w:rPr>
        <w:t>地点：不安排统一考察，由投标人自行考察。</w:t>
      </w:r>
    </w:p>
    <w:p w14:paraId="74252B7E">
      <w:pPr>
        <w:pStyle w:val="2"/>
        <w:ind w:firstLine="440"/>
        <w:rPr>
          <w:highlight w:val="none"/>
          <w:lang w:eastAsia="zh-CN"/>
        </w:rPr>
      </w:pPr>
    </w:p>
    <w:p w14:paraId="3E72EE84">
      <w:pPr>
        <w:pStyle w:val="7"/>
        <w:keepNext/>
        <w:keepLines/>
        <w:pageBreakBefore w:val="0"/>
        <w:widowControl w:val="0"/>
        <w:numPr>
          <w:ilvl w:val="0"/>
          <w:numId w:val="1"/>
        </w:numPr>
        <w:kinsoku/>
        <w:wordWrap/>
        <w:overflowPunct/>
        <w:topLinePunct w:val="0"/>
        <w:autoSpaceDE/>
        <w:autoSpaceDN/>
        <w:bidi w:val="0"/>
        <w:adjustRightInd/>
        <w:snapToGrid/>
        <w:spacing w:before="0" w:after="0"/>
        <w:textAlignment w:val="auto"/>
        <w:rPr>
          <w:rFonts w:hint="eastAsia" w:eastAsia="宋体" w:cs="Times New Roman"/>
          <w:b/>
          <w:highlight w:val="none"/>
        </w:rPr>
      </w:pPr>
      <w:r>
        <w:rPr>
          <w:rFonts w:hint="eastAsia" w:eastAsia="宋体" w:cs="Times New Roman"/>
          <w:b/>
          <w:highlight w:val="none"/>
        </w:rPr>
        <w:t xml:space="preserve">联系方式 </w:t>
      </w:r>
    </w:p>
    <w:p w14:paraId="3EBE3E52">
      <w:pPr>
        <w:tabs>
          <w:tab w:val="left" w:pos="412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9.1招标人</w:t>
      </w:r>
    </w:p>
    <w:p w14:paraId="522B85C3">
      <w:pPr>
        <w:tabs>
          <w:tab w:val="left" w:pos="4120"/>
        </w:tabs>
        <w:spacing w:line="360" w:lineRule="auto"/>
        <w:ind w:firstLine="480" w:firstLineChars="200"/>
        <w:rPr>
          <w:rFonts w:ascii="宋体" w:hAnsi="宋体" w:cs="宋体"/>
          <w:bCs/>
          <w:sz w:val="24"/>
          <w:szCs w:val="24"/>
          <w:highlight w:val="none"/>
        </w:rPr>
      </w:pPr>
      <w:r>
        <w:rPr>
          <w:rFonts w:hint="eastAsia" w:ascii="宋体" w:hAnsi="宋体" w:cs="宋体"/>
          <w:sz w:val="24"/>
          <w:szCs w:val="24"/>
          <w:highlight w:val="none"/>
        </w:rPr>
        <w:t>9.1.1名</w:t>
      </w:r>
      <w:r>
        <w:rPr>
          <w:rFonts w:hint="eastAsia" w:ascii="宋体" w:hAnsi="宋体" w:cs="宋体"/>
          <w:bCs/>
          <w:sz w:val="24"/>
          <w:szCs w:val="24"/>
          <w:highlight w:val="none"/>
        </w:rPr>
        <w:t>称：</w:t>
      </w:r>
      <w:r>
        <w:rPr>
          <w:rFonts w:hint="eastAsia" w:ascii="宋体" w:hAnsi="宋体" w:cs="宋体"/>
          <w:sz w:val="24"/>
          <w:szCs w:val="24"/>
          <w:highlight w:val="none"/>
          <w:u w:val="single"/>
        </w:rPr>
        <w:t>广东省代建项目管理局</w:t>
      </w:r>
    </w:p>
    <w:p w14:paraId="0AF19CBE">
      <w:pPr>
        <w:tabs>
          <w:tab w:val="left" w:pos="4120"/>
        </w:tabs>
        <w:spacing w:line="360" w:lineRule="auto"/>
        <w:ind w:firstLine="480" w:firstLineChars="200"/>
        <w:rPr>
          <w:rFonts w:ascii="宋体" w:hAnsi="宋体" w:cs="宋体"/>
          <w:sz w:val="24"/>
          <w:szCs w:val="24"/>
          <w:highlight w:val="none"/>
          <w:u w:val="single"/>
        </w:rPr>
      </w:pPr>
      <w:r>
        <w:rPr>
          <w:rFonts w:hint="eastAsia" w:ascii="宋体" w:hAnsi="宋体" w:cs="宋体"/>
          <w:bCs/>
          <w:sz w:val="24"/>
          <w:szCs w:val="24"/>
          <w:highlight w:val="none"/>
        </w:rPr>
        <w:t>9.1.2 邮政编码、地址：</w:t>
      </w:r>
      <w:r>
        <w:rPr>
          <w:rFonts w:hint="eastAsia" w:ascii="宋体" w:hAnsi="宋体"/>
          <w:sz w:val="24"/>
          <w:szCs w:val="24"/>
          <w:highlight w:val="none"/>
          <w:u w:val="single"/>
        </w:rPr>
        <w:t>510000、广州市黄埔大道西108号11楼</w:t>
      </w:r>
    </w:p>
    <w:p w14:paraId="7AA6A9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u w:val="single"/>
          <w:lang w:val="en-US" w:eastAsia="zh-CN"/>
        </w:rPr>
      </w:pPr>
      <w:r>
        <w:rPr>
          <w:rFonts w:hint="eastAsia" w:ascii="宋体" w:hAnsi="宋体" w:cs="宋体"/>
          <w:bCs/>
          <w:sz w:val="24"/>
          <w:szCs w:val="24"/>
          <w:highlight w:val="none"/>
        </w:rPr>
        <w:t>9.1.3 电话号码：</w:t>
      </w:r>
      <w:r>
        <w:rPr>
          <w:rFonts w:hint="eastAsia" w:ascii="宋体" w:hAnsi="宋体" w:cs="宋体"/>
          <w:sz w:val="24"/>
          <w:szCs w:val="24"/>
          <w:highlight w:val="none"/>
          <w:u w:val="single"/>
        </w:rPr>
        <w:t>020-</w:t>
      </w:r>
      <w:r>
        <w:rPr>
          <w:rFonts w:hint="eastAsia" w:ascii="宋体" w:hAnsi="宋体" w:cs="宋体"/>
          <w:sz w:val="24"/>
          <w:szCs w:val="24"/>
          <w:highlight w:val="none"/>
          <w:u w:val="single"/>
          <w:lang w:val="en-US" w:eastAsia="zh-CN"/>
        </w:rPr>
        <w:t>83620867  叶工</w:t>
      </w:r>
    </w:p>
    <w:p w14:paraId="0A077F2F">
      <w:pPr>
        <w:tabs>
          <w:tab w:val="left" w:pos="4120"/>
        </w:tabs>
        <w:spacing w:line="360" w:lineRule="auto"/>
        <w:ind w:firstLine="480" w:firstLineChars="200"/>
        <w:rPr>
          <w:rFonts w:ascii="宋体" w:hAnsi="宋体" w:cs="宋体"/>
          <w:bCs/>
          <w:sz w:val="24"/>
          <w:szCs w:val="24"/>
          <w:highlight w:val="none"/>
          <w:u w:val="single"/>
        </w:rPr>
      </w:pPr>
      <w:r>
        <w:rPr>
          <w:rFonts w:hint="eastAsia" w:ascii="宋体" w:hAnsi="宋体" w:cs="宋体"/>
          <w:bCs/>
          <w:sz w:val="24"/>
          <w:szCs w:val="24"/>
          <w:highlight w:val="none"/>
        </w:rPr>
        <w:t>9.1.4 电子邮箱：</w:t>
      </w:r>
      <w:r>
        <w:rPr>
          <w:rFonts w:hint="eastAsia" w:ascii="宋体" w:hAnsi="宋体" w:cs="宋体"/>
          <w:bCs/>
          <w:sz w:val="24"/>
          <w:szCs w:val="24"/>
          <w:highlight w:val="none"/>
          <w:u w:val="single"/>
        </w:rPr>
        <w:t>/</w:t>
      </w:r>
    </w:p>
    <w:p w14:paraId="1C1E836F">
      <w:pPr>
        <w:pStyle w:val="2"/>
        <w:ind w:firstLine="480"/>
        <w:rPr>
          <w:rFonts w:ascii="宋体" w:hAnsi="宋体" w:cs="宋体"/>
          <w:sz w:val="24"/>
          <w:szCs w:val="24"/>
          <w:highlight w:val="none"/>
          <w:lang w:eastAsia="zh-CN"/>
        </w:rPr>
      </w:pPr>
    </w:p>
    <w:p w14:paraId="4A901B13">
      <w:pPr>
        <w:tabs>
          <w:tab w:val="left" w:pos="412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9.2  招标代理机构</w:t>
      </w:r>
    </w:p>
    <w:p w14:paraId="6866C48D">
      <w:pPr>
        <w:tabs>
          <w:tab w:val="left" w:pos="4120"/>
        </w:tabs>
        <w:spacing w:line="360" w:lineRule="auto"/>
        <w:ind w:firstLine="480" w:firstLineChars="200"/>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9.2.1 名称：</w:t>
      </w:r>
      <w:r>
        <w:rPr>
          <w:rFonts w:hint="eastAsia" w:ascii="宋体" w:hAnsi="宋体" w:cs="宋体"/>
          <w:sz w:val="24"/>
          <w:szCs w:val="24"/>
          <w:highlight w:val="none"/>
          <w:u w:val="single"/>
          <w:lang w:eastAsia="zh-CN"/>
        </w:rPr>
        <w:t>广州市云兴建设工程监理有限公司</w:t>
      </w:r>
    </w:p>
    <w:p w14:paraId="4D80A194">
      <w:pPr>
        <w:tabs>
          <w:tab w:val="left" w:pos="4120"/>
        </w:tabs>
        <w:spacing w:line="360" w:lineRule="auto"/>
        <w:ind w:firstLine="480" w:firstLineChars="200"/>
        <w:rPr>
          <w:rFonts w:hint="eastAsia" w:ascii="宋体" w:hAnsi="宋体" w:cs="宋体"/>
          <w:sz w:val="24"/>
          <w:szCs w:val="24"/>
          <w:highlight w:val="none"/>
          <w:u w:val="single"/>
          <w:lang w:val="en-US" w:eastAsia="zh-CN"/>
        </w:rPr>
      </w:pPr>
      <w:r>
        <w:rPr>
          <w:rFonts w:hint="eastAsia" w:ascii="宋体" w:hAnsi="宋体" w:cs="宋体"/>
          <w:bCs/>
          <w:sz w:val="24"/>
          <w:szCs w:val="24"/>
          <w:highlight w:val="none"/>
        </w:rPr>
        <w:t>9.2.2 邮政编码、地址：</w:t>
      </w:r>
      <w:r>
        <w:rPr>
          <w:rFonts w:hint="eastAsia" w:ascii="宋体" w:hAnsi="宋体" w:cs="宋体"/>
          <w:sz w:val="24"/>
          <w:szCs w:val="24"/>
          <w:highlight w:val="none"/>
          <w:u w:val="single"/>
        </w:rPr>
        <w:t>510</w:t>
      </w:r>
      <w:r>
        <w:rPr>
          <w:rFonts w:hint="eastAsia" w:ascii="宋体" w:hAnsi="宋体" w:cs="宋体"/>
          <w:sz w:val="24"/>
          <w:szCs w:val="24"/>
          <w:highlight w:val="none"/>
          <w:u w:val="single"/>
          <w:lang w:val="en-US" w:eastAsia="zh-CN"/>
        </w:rPr>
        <w:t>405</w:t>
      </w:r>
      <w:r>
        <w:rPr>
          <w:rFonts w:hint="eastAsia" w:ascii="宋体" w:hAnsi="宋体" w:cs="宋体"/>
          <w:sz w:val="24"/>
          <w:szCs w:val="24"/>
          <w:highlight w:val="none"/>
          <w:u w:val="single"/>
        </w:rPr>
        <w:t>、广东省广州市</w:t>
      </w:r>
      <w:r>
        <w:rPr>
          <w:rFonts w:hint="eastAsia" w:ascii="宋体" w:hAnsi="宋体" w:cs="宋体"/>
          <w:sz w:val="24"/>
          <w:szCs w:val="24"/>
          <w:highlight w:val="none"/>
          <w:u w:val="single"/>
          <w:lang w:val="en-US" w:eastAsia="zh-CN"/>
        </w:rPr>
        <w:t>白云区下塘西路686号302室</w:t>
      </w:r>
    </w:p>
    <w:p w14:paraId="4151530A">
      <w:pPr>
        <w:tabs>
          <w:tab w:val="left" w:pos="4120"/>
        </w:tabs>
        <w:spacing w:line="360" w:lineRule="auto"/>
        <w:ind w:firstLine="480" w:firstLineChars="20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9.2.3 电话（手机）号码：</w:t>
      </w:r>
      <w:r>
        <w:rPr>
          <w:rFonts w:hint="eastAsia" w:ascii="宋体" w:hAnsi="宋体" w:cs="宋体"/>
          <w:sz w:val="24"/>
          <w:szCs w:val="24"/>
          <w:highlight w:val="none"/>
          <w:u w:val="single"/>
        </w:rPr>
        <w:t>020-8</w:t>
      </w:r>
      <w:r>
        <w:rPr>
          <w:rFonts w:hint="eastAsia" w:ascii="宋体" w:hAnsi="宋体" w:cs="宋体"/>
          <w:sz w:val="24"/>
          <w:szCs w:val="24"/>
          <w:highlight w:val="none"/>
          <w:u w:val="single"/>
          <w:lang w:val="en-US" w:eastAsia="zh-CN"/>
        </w:rPr>
        <w:t>3851835、岑工</w:t>
      </w:r>
    </w:p>
    <w:p w14:paraId="0EC28E13">
      <w:pPr>
        <w:tabs>
          <w:tab w:val="left" w:pos="4120"/>
        </w:tabs>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9.2.4 电子邮箱：</w:t>
      </w:r>
      <w:r>
        <w:rPr>
          <w:rStyle w:val="21"/>
          <w:rFonts w:hint="eastAsia" w:ascii="宋体" w:hAnsi="宋体" w:eastAsia="宋体" w:cs="Times New Roman"/>
          <w:color w:val="auto"/>
          <w:sz w:val="24"/>
          <w:highlight w:val="none"/>
          <w:u w:val="none"/>
        </w:rPr>
        <w:fldChar w:fldCharType="begin"/>
      </w:r>
      <w:r>
        <w:rPr>
          <w:rStyle w:val="21"/>
          <w:rFonts w:hint="eastAsia" w:ascii="宋体" w:hAnsi="宋体" w:eastAsia="宋体" w:cs="Times New Roman"/>
          <w:color w:val="auto"/>
          <w:sz w:val="24"/>
          <w:highlight w:val="none"/>
          <w:u w:val="none"/>
        </w:rPr>
        <w:instrText xml:space="preserve"> HYPERLINK "mailto:bjzj_gz@163.com" </w:instrText>
      </w:r>
      <w:r>
        <w:rPr>
          <w:rStyle w:val="21"/>
          <w:rFonts w:hint="eastAsia" w:ascii="宋体" w:hAnsi="宋体" w:eastAsia="宋体" w:cs="Times New Roman"/>
          <w:color w:val="auto"/>
          <w:sz w:val="24"/>
          <w:highlight w:val="none"/>
          <w:u w:val="none"/>
        </w:rPr>
        <w:fldChar w:fldCharType="separate"/>
      </w:r>
      <w:r>
        <w:rPr>
          <w:rStyle w:val="21"/>
          <w:rFonts w:hint="eastAsia" w:ascii="宋体" w:hAnsi="宋体" w:eastAsia="宋体" w:cs="Times New Roman"/>
          <w:color w:val="auto"/>
          <w:sz w:val="24"/>
          <w:highlight w:val="none"/>
          <w:u w:val="none"/>
        </w:rPr>
        <w:t>83225943@</w:t>
      </w:r>
      <w:r>
        <w:rPr>
          <w:rStyle w:val="21"/>
          <w:rFonts w:hint="eastAsia" w:ascii="宋体" w:hAnsi="宋体" w:eastAsia="宋体" w:cs="Times New Roman"/>
          <w:color w:val="auto"/>
          <w:sz w:val="24"/>
          <w:highlight w:val="none"/>
          <w:u w:val="none"/>
          <w:lang w:val="en-US" w:eastAsia="zh-CN"/>
        </w:rPr>
        <w:t>qq</w:t>
      </w:r>
      <w:r>
        <w:rPr>
          <w:rStyle w:val="21"/>
          <w:rFonts w:hint="eastAsia" w:ascii="宋体" w:hAnsi="宋体" w:eastAsia="宋体" w:cs="Times New Roman"/>
          <w:color w:val="auto"/>
          <w:sz w:val="24"/>
          <w:highlight w:val="none"/>
          <w:u w:val="none"/>
        </w:rPr>
        <w:t>.com</w:t>
      </w:r>
      <w:r>
        <w:rPr>
          <w:rStyle w:val="21"/>
          <w:rFonts w:hint="eastAsia" w:ascii="宋体" w:hAnsi="宋体" w:eastAsia="宋体" w:cs="Times New Roman"/>
          <w:color w:val="auto"/>
          <w:sz w:val="24"/>
          <w:highlight w:val="none"/>
          <w:u w:val="none"/>
        </w:rPr>
        <w:fldChar w:fldCharType="end"/>
      </w:r>
    </w:p>
    <w:p w14:paraId="7EC09F51">
      <w:pPr>
        <w:tabs>
          <w:tab w:val="left" w:pos="4120"/>
        </w:tabs>
        <w:spacing w:line="360" w:lineRule="auto"/>
        <w:ind w:firstLine="480" w:firstLineChars="200"/>
        <w:rPr>
          <w:rFonts w:ascii="宋体" w:hAnsi="宋体" w:cs="宋体"/>
          <w:bCs/>
          <w:sz w:val="24"/>
          <w:szCs w:val="24"/>
          <w:highlight w:val="none"/>
        </w:rPr>
      </w:pPr>
    </w:p>
    <w:p w14:paraId="199C3D8D">
      <w:pPr>
        <w:tabs>
          <w:tab w:val="left" w:pos="412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9.3  交易服务机构</w:t>
      </w:r>
    </w:p>
    <w:p w14:paraId="41729CFD">
      <w:pPr>
        <w:tabs>
          <w:tab w:val="left" w:pos="4120"/>
        </w:tabs>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9.3.1 名称：</w:t>
      </w:r>
      <w:r>
        <w:rPr>
          <w:rFonts w:hint="eastAsia" w:ascii="宋体" w:hAnsi="宋体" w:cs="宋体"/>
          <w:bCs/>
          <w:sz w:val="24"/>
          <w:szCs w:val="24"/>
          <w:highlight w:val="none"/>
          <w:u w:val="single"/>
        </w:rPr>
        <w:t>广州交易集团有限公司（广州公共资源交易中心）</w:t>
      </w:r>
    </w:p>
    <w:p w14:paraId="15532533">
      <w:pPr>
        <w:tabs>
          <w:tab w:val="left" w:pos="4120"/>
        </w:tabs>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9.3.2 邮政编码、地址：</w:t>
      </w:r>
      <w:r>
        <w:rPr>
          <w:rFonts w:hint="eastAsia" w:ascii="宋体" w:hAnsi="宋体" w:cs="宋体"/>
          <w:bCs/>
          <w:sz w:val="24"/>
          <w:szCs w:val="24"/>
          <w:highlight w:val="none"/>
          <w:u w:val="single"/>
        </w:rPr>
        <w:t>510635、广州市天河区天润路333号</w:t>
      </w:r>
    </w:p>
    <w:p w14:paraId="6E11E349">
      <w:pPr>
        <w:tabs>
          <w:tab w:val="left" w:pos="4120"/>
        </w:tabs>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9.3.3 电话号码：</w:t>
      </w:r>
      <w:r>
        <w:rPr>
          <w:rFonts w:hint="eastAsia" w:ascii="宋体" w:hAnsi="宋体" w:cs="宋体"/>
          <w:bCs/>
          <w:sz w:val="24"/>
          <w:szCs w:val="24"/>
          <w:highlight w:val="none"/>
          <w:u w:val="single"/>
        </w:rPr>
        <w:t>020-28866000</w:t>
      </w:r>
    </w:p>
    <w:p w14:paraId="02660F6A">
      <w:pPr>
        <w:tabs>
          <w:tab w:val="left" w:pos="4120"/>
        </w:tabs>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9.3.4 传真号码：</w:t>
      </w:r>
      <w:r>
        <w:rPr>
          <w:rFonts w:ascii="宋体" w:hAnsi="宋体" w:cs="宋体"/>
          <w:bCs/>
          <w:sz w:val="24"/>
          <w:szCs w:val="24"/>
          <w:highlight w:val="none"/>
          <w:u w:val="single"/>
        </w:rPr>
        <w:t>020-28866095</w:t>
      </w:r>
    </w:p>
    <w:p w14:paraId="2FA9FA59">
      <w:pPr>
        <w:tabs>
          <w:tab w:val="left" w:pos="4120"/>
        </w:tabs>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9.3.5 网址：</w:t>
      </w:r>
      <w:r>
        <w:rPr>
          <w:rFonts w:hint="eastAsia" w:ascii="宋体" w:hAnsi="宋体" w:cs="宋体"/>
          <w:bCs/>
          <w:sz w:val="24"/>
          <w:szCs w:val="24"/>
          <w:highlight w:val="none"/>
          <w:u w:val="single"/>
        </w:rPr>
        <w:t>http://www.gzggzy.cn</w:t>
      </w:r>
    </w:p>
    <w:p w14:paraId="0F8CF645">
      <w:pPr>
        <w:pStyle w:val="2"/>
        <w:ind w:firstLine="440"/>
        <w:rPr>
          <w:rFonts w:ascii="宋体" w:hAnsi="宋体" w:cs="宋体"/>
          <w:highlight w:val="none"/>
        </w:rPr>
      </w:pPr>
    </w:p>
    <w:p w14:paraId="6E05D643">
      <w:pPr>
        <w:tabs>
          <w:tab w:val="left" w:pos="412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9.4  招标管理机构</w:t>
      </w:r>
    </w:p>
    <w:p w14:paraId="3C15FA84">
      <w:pPr>
        <w:spacing w:line="360" w:lineRule="auto"/>
        <w:ind w:left="976" w:leftChars="227" w:hanging="499" w:hangingChars="208"/>
        <w:jc w:val="left"/>
        <w:rPr>
          <w:rFonts w:ascii="宋体" w:hAnsi="宋体" w:cs="宋体"/>
          <w:bCs/>
          <w:sz w:val="24"/>
          <w:szCs w:val="24"/>
          <w:highlight w:val="none"/>
        </w:rPr>
      </w:pPr>
      <w:r>
        <w:rPr>
          <w:rFonts w:hint="eastAsia" w:ascii="宋体" w:hAnsi="宋体" w:cs="宋体"/>
          <w:bCs/>
          <w:sz w:val="24"/>
          <w:szCs w:val="24"/>
          <w:highlight w:val="none"/>
        </w:rPr>
        <w:t>9.4.1 名称：</w:t>
      </w:r>
      <w:r>
        <w:rPr>
          <w:rFonts w:hint="eastAsia" w:ascii="宋体" w:hAnsi="宋体"/>
          <w:bCs/>
          <w:sz w:val="24"/>
          <w:szCs w:val="24"/>
          <w:highlight w:val="none"/>
          <w:u w:val="single"/>
        </w:rPr>
        <w:t>广州市建设工程招标管理办公室</w:t>
      </w:r>
    </w:p>
    <w:p w14:paraId="1698D0BD">
      <w:pPr>
        <w:tabs>
          <w:tab w:val="left" w:pos="4120"/>
        </w:tabs>
        <w:spacing w:line="360" w:lineRule="auto"/>
        <w:ind w:firstLine="480" w:firstLineChars="200"/>
        <w:rPr>
          <w:rFonts w:ascii="宋体" w:hAnsi="宋体" w:cs="宋体"/>
          <w:bCs/>
          <w:sz w:val="24"/>
          <w:szCs w:val="24"/>
          <w:highlight w:val="none"/>
          <w:u w:val="single"/>
        </w:rPr>
      </w:pPr>
      <w:r>
        <w:rPr>
          <w:rFonts w:hint="eastAsia" w:ascii="宋体" w:hAnsi="宋体" w:cs="宋体"/>
          <w:bCs/>
          <w:sz w:val="24"/>
          <w:szCs w:val="24"/>
          <w:highlight w:val="none"/>
        </w:rPr>
        <w:t>9.4.2 邮政编码、地址：</w:t>
      </w:r>
      <w:r>
        <w:rPr>
          <w:rFonts w:hint="eastAsia" w:ascii="宋体" w:hAnsi="宋体"/>
          <w:bCs/>
          <w:sz w:val="24"/>
          <w:szCs w:val="24"/>
          <w:highlight w:val="none"/>
          <w:u w:val="single"/>
        </w:rPr>
        <w:t>510635、广州市天河区天润路333号3楼</w:t>
      </w:r>
    </w:p>
    <w:p w14:paraId="6A90782D">
      <w:pPr>
        <w:tabs>
          <w:tab w:val="left" w:pos="4120"/>
        </w:tabs>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9.4.3 电话号码：</w:t>
      </w:r>
      <w:r>
        <w:rPr>
          <w:rFonts w:ascii="宋体" w:hAnsi="宋体" w:cs="宋体"/>
          <w:bCs/>
          <w:sz w:val="24"/>
          <w:szCs w:val="24"/>
          <w:highlight w:val="none"/>
          <w:u w:val="single"/>
        </w:rPr>
        <w:t>020-</w:t>
      </w:r>
      <w:r>
        <w:rPr>
          <w:rFonts w:hint="eastAsia" w:ascii="宋体" w:hAnsi="宋体"/>
          <w:bCs/>
          <w:sz w:val="24"/>
          <w:szCs w:val="24"/>
          <w:highlight w:val="none"/>
          <w:u w:val="single"/>
        </w:rPr>
        <w:t>28866213</w:t>
      </w:r>
    </w:p>
    <w:p w14:paraId="1E531205">
      <w:pPr>
        <w:tabs>
          <w:tab w:val="left" w:pos="4120"/>
        </w:tabs>
        <w:spacing w:line="360" w:lineRule="auto"/>
        <w:ind w:firstLine="480" w:firstLineChars="200"/>
        <w:jc w:val="right"/>
        <w:rPr>
          <w:rFonts w:ascii="宋体" w:hAnsi="宋体" w:cs="宋体"/>
          <w:bCs/>
          <w:sz w:val="24"/>
          <w:szCs w:val="24"/>
          <w:highlight w:val="none"/>
        </w:rPr>
      </w:pPr>
    </w:p>
    <w:p w14:paraId="7DD23754">
      <w:pPr>
        <w:tabs>
          <w:tab w:val="left" w:pos="4120"/>
        </w:tabs>
        <w:spacing w:line="360" w:lineRule="auto"/>
        <w:ind w:firstLine="480" w:firstLineChars="200"/>
        <w:jc w:val="right"/>
        <w:rPr>
          <w:rFonts w:ascii="宋体" w:hAnsi="宋体" w:cs="宋体"/>
          <w:bCs/>
          <w:sz w:val="24"/>
          <w:szCs w:val="24"/>
          <w:highlight w:val="none"/>
        </w:rPr>
      </w:pPr>
    </w:p>
    <w:p w14:paraId="68A2F3B2">
      <w:pPr>
        <w:tabs>
          <w:tab w:val="left" w:pos="4120"/>
        </w:tabs>
        <w:spacing w:line="360" w:lineRule="auto"/>
        <w:ind w:firstLine="480" w:firstLineChars="200"/>
        <w:jc w:val="right"/>
        <w:rPr>
          <w:rFonts w:ascii="宋体" w:hAnsi="宋体" w:cs="宋体"/>
          <w:bCs/>
          <w:sz w:val="24"/>
          <w:szCs w:val="24"/>
          <w:highlight w:val="none"/>
        </w:rPr>
      </w:pPr>
      <w:r>
        <w:rPr>
          <w:rFonts w:hint="eastAsia" w:ascii="宋体" w:hAnsi="宋体" w:cs="宋体"/>
          <w:bCs/>
          <w:sz w:val="24"/>
          <w:szCs w:val="24"/>
          <w:highlight w:val="none"/>
        </w:rPr>
        <w:t>202</w:t>
      </w: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年</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月</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日</w:t>
      </w:r>
    </w:p>
    <w:p w14:paraId="3CDB52BA">
      <w:pPr>
        <w:rPr>
          <w:highlight w:val="none"/>
          <w:lang w:eastAsia="zh-CN"/>
        </w:rPr>
      </w:pPr>
    </w:p>
    <w:p w14:paraId="0BA6A095">
      <w:pPr>
        <w:rPr>
          <w:highlight w:val="none"/>
        </w:rPr>
      </w:pPr>
    </w:p>
    <w:p w14:paraId="45BC2B1A">
      <w:pPr>
        <w:bidi w:val="0"/>
        <w:rPr>
          <w:rFonts w:hint="eastAsia"/>
          <w:sz w:val="24"/>
          <w:szCs w:val="24"/>
          <w:highlight w:val="none"/>
          <w:lang w:eastAsia="zh-CN"/>
        </w:rPr>
      </w:pPr>
      <w:r>
        <w:rPr>
          <w:rFonts w:hint="eastAsia"/>
          <w:sz w:val="24"/>
          <w:szCs w:val="24"/>
          <w:highlight w:val="none"/>
          <w:lang w:eastAsia="zh-CN"/>
        </w:rPr>
        <w:br w:type="page"/>
      </w:r>
    </w:p>
    <w:p w14:paraId="4E61A023">
      <w:pPr>
        <w:pStyle w:val="4"/>
        <w:bidi w:val="0"/>
        <w:rPr>
          <w:sz w:val="24"/>
          <w:szCs w:val="24"/>
          <w:highlight w:val="none"/>
          <w:lang w:eastAsia="zh-CN"/>
        </w:rPr>
      </w:pPr>
      <w:r>
        <w:rPr>
          <w:rFonts w:hint="eastAsia"/>
          <w:sz w:val="24"/>
          <w:szCs w:val="24"/>
          <w:highlight w:val="none"/>
          <w:lang w:eastAsia="zh-CN"/>
        </w:rPr>
        <w:t>附件一：（参考格式）</w:t>
      </w:r>
    </w:p>
    <w:p w14:paraId="1E6886C8">
      <w:pPr>
        <w:autoSpaceDE w:val="0"/>
        <w:spacing w:line="360" w:lineRule="auto"/>
        <w:jc w:val="center"/>
        <w:rPr>
          <w:rFonts w:ascii="宋体" w:hAnsi="宋体"/>
          <w:kern w:val="0"/>
          <w:sz w:val="28"/>
          <w:szCs w:val="28"/>
          <w:highlight w:val="none"/>
        </w:rPr>
      </w:pPr>
      <w:r>
        <w:rPr>
          <w:rFonts w:hint="eastAsia" w:ascii="宋体" w:hAnsi="宋体" w:cs="宋体"/>
          <w:bCs/>
          <w:kern w:val="0"/>
          <w:sz w:val="28"/>
          <w:szCs w:val="28"/>
          <w:highlight w:val="none"/>
        </w:rPr>
        <w:t>联合体协议书</w:t>
      </w:r>
    </w:p>
    <w:p w14:paraId="4A5494AB">
      <w:pPr>
        <w:tabs>
          <w:tab w:val="left" w:pos="624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（所有成员单位名称）自愿组成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（联合体名称）联合体，共同参加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招标项目投标。现就联合体投标事宜订立如下协议。</w:t>
      </w:r>
    </w:p>
    <w:p w14:paraId="7BC06BA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（某成员单位名称）为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（联合体名称）牵头人。</w:t>
      </w:r>
    </w:p>
    <w:p w14:paraId="760D1802">
      <w:pPr>
        <w:numPr>
          <w:ilvl w:val="0"/>
          <w:numId w:val="2"/>
        </w:numPr>
        <w:tabs>
          <w:tab w:val="left" w:pos="1044"/>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p>
    <w:p w14:paraId="6D3FD171">
      <w:pPr>
        <w:numPr>
          <w:ilvl w:val="0"/>
          <w:numId w:val="2"/>
        </w:numPr>
        <w:tabs>
          <w:tab w:val="left" w:pos="1044"/>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联合体牵头人在本项目中签署的一切文件和处理的一切事宜，联合体各成员均予以承认。联合体各成员将严格按照招标文件、投标文件和合同的要求全面履行义务，并向招标人承担连带责任。</w:t>
      </w:r>
    </w:p>
    <w:p w14:paraId="2BFB44E0">
      <w:pPr>
        <w:tabs>
          <w:tab w:val="left" w:pos="898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 联合体各成员单位内部的职责分工如下：</w:t>
      </w:r>
    </w:p>
    <w:p w14:paraId="0B92140B">
      <w:pPr>
        <w:shd w:val="clear" w:color="auto" w:fill="FFFFFF"/>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①</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（联合体牵头人）：作为联合体的主办方除负责本工程的</w:t>
      </w:r>
      <w:r>
        <w:rPr>
          <w:rFonts w:hint="eastAsia" w:ascii="宋体" w:hAnsi="宋体" w:cs="宋体"/>
          <w:sz w:val="24"/>
          <w:szCs w:val="24"/>
          <w:highlight w:val="none"/>
          <w:lang w:val="en-US" w:eastAsia="zh-CN"/>
        </w:rPr>
        <w:t>设计工作</w:t>
      </w:r>
      <w:r>
        <w:rPr>
          <w:rFonts w:hint="eastAsia" w:ascii="宋体" w:hAnsi="宋体" w:eastAsia="宋体" w:cs="宋体"/>
          <w:sz w:val="24"/>
          <w:szCs w:val="24"/>
          <w:highlight w:val="none"/>
        </w:rPr>
        <w:t>外，还应负责</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。联合体其他相关方违约时，主办方应承担连带责任，具体按合同要求。</w:t>
      </w:r>
    </w:p>
    <w:p w14:paraId="4189366B">
      <w:pPr>
        <w:shd w:val="clear" w:color="auto" w:fill="FFFFFF"/>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②</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（联合体成员）：主要负责</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，具体按合同要求。</w:t>
      </w:r>
    </w:p>
    <w:p w14:paraId="1EF604FE">
      <w:pPr>
        <w:shd w:val="clear" w:color="auto" w:fill="FFFFFF"/>
        <w:topLinePunct/>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本协议书自所有成员单位法定代表人或其委托代理人签字或盖单位章之日起生效，合同履行完毕后自动失效。</w:t>
      </w:r>
    </w:p>
    <w:p w14:paraId="0CC3CA1F">
      <w:pPr>
        <w:numPr>
          <w:ilvl w:val="0"/>
          <w:numId w:val="3"/>
        </w:numPr>
        <w:tabs>
          <w:tab w:val="left" w:pos="104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本协议书一式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份，联合体成员和招标人各执一份。</w:t>
      </w:r>
    </w:p>
    <w:p w14:paraId="017A64F3">
      <w:pPr>
        <w:rPr>
          <w:rFonts w:hint="eastAsia" w:ascii="宋体" w:hAnsi="宋体" w:eastAsia="宋体" w:cs="宋体"/>
          <w:sz w:val="24"/>
          <w:szCs w:val="24"/>
          <w:highlight w:val="none"/>
        </w:rPr>
      </w:pPr>
    </w:p>
    <w:p w14:paraId="5D08A1BC">
      <w:pPr>
        <w:shd w:val="clear" w:color="auto" w:fill="FFFFFF"/>
        <w:topLinePunct/>
        <w:spacing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注：本协议书由法定代表人签字的，应附法定代表人身份证明；由委托代理人签字的，应附授权委托书。</w:t>
      </w:r>
    </w:p>
    <w:p w14:paraId="560964A8">
      <w:pPr>
        <w:spacing w:line="360" w:lineRule="auto"/>
        <w:ind w:right="-462" w:rightChars="-220" w:firstLine="4800" w:firstLineChars="2000"/>
        <w:rPr>
          <w:rFonts w:hint="eastAsia" w:ascii="宋体" w:hAnsi="宋体" w:eastAsia="宋体" w:cs="宋体"/>
          <w:sz w:val="24"/>
          <w:szCs w:val="24"/>
          <w:highlight w:val="none"/>
        </w:rPr>
      </w:pPr>
    </w:p>
    <w:p w14:paraId="6FF7208B">
      <w:pPr>
        <w:spacing w:line="360" w:lineRule="auto"/>
        <w:ind w:right="-462" w:rightChars="-220"/>
        <w:rPr>
          <w:rFonts w:hint="eastAsia" w:ascii="宋体" w:hAnsi="宋体" w:eastAsia="宋体" w:cs="宋体"/>
          <w:sz w:val="24"/>
          <w:szCs w:val="24"/>
          <w:highlight w:val="none"/>
        </w:rPr>
      </w:pPr>
      <w:r>
        <w:rPr>
          <w:rFonts w:hint="eastAsia" w:ascii="宋体" w:hAnsi="宋体" w:eastAsia="宋体" w:cs="宋体"/>
          <w:sz w:val="24"/>
          <w:szCs w:val="24"/>
          <w:highlight w:val="none"/>
        </w:rPr>
        <w:t>联合体牵头人名称：</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（盖单位章）</w:t>
      </w:r>
    </w:p>
    <w:p w14:paraId="62F0F18B">
      <w:pPr>
        <w:spacing w:line="360" w:lineRule="auto"/>
        <w:ind w:right="-462" w:rightChars="-22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（签字或盖章）</w:t>
      </w:r>
    </w:p>
    <w:p w14:paraId="465487CE">
      <w:pPr>
        <w:spacing w:line="360" w:lineRule="auto"/>
        <w:ind w:right="-462" w:rightChars="-220"/>
        <w:rPr>
          <w:rFonts w:hint="eastAsia" w:ascii="宋体" w:hAnsi="宋体" w:eastAsia="宋体" w:cs="宋体"/>
          <w:sz w:val="24"/>
          <w:szCs w:val="24"/>
          <w:highlight w:val="none"/>
        </w:rPr>
      </w:pPr>
      <w:r>
        <w:rPr>
          <w:rFonts w:hint="eastAsia" w:ascii="宋体" w:hAnsi="宋体" w:eastAsia="宋体" w:cs="宋体"/>
          <w:sz w:val="24"/>
          <w:szCs w:val="24"/>
          <w:highlight w:val="none"/>
        </w:rPr>
        <w:t>联合体成员名称：</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14:paraId="1D0E7292">
      <w:pPr>
        <w:spacing w:line="360" w:lineRule="auto"/>
        <w:ind w:right="-462" w:rightChars="-22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（签字或盖章）</w:t>
      </w:r>
    </w:p>
    <w:p w14:paraId="4B3AF315">
      <w:pPr>
        <w:spacing w:line="237" w:lineRule="exact"/>
        <w:rPr>
          <w:rFonts w:hint="eastAsia" w:ascii="宋体" w:hAnsi="宋体" w:eastAsia="宋体" w:cs="宋体"/>
          <w:sz w:val="24"/>
          <w:szCs w:val="24"/>
          <w:highlight w:val="none"/>
          <w:u w:val="single"/>
        </w:rPr>
      </w:pPr>
    </w:p>
    <w:p w14:paraId="77DBFEDF">
      <w:pPr>
        <w:snapToGrid w:val="0"/>
        <w:spacing w:line="360" w:lineRule="auto"/>
        <w:ind w:firstLine="3156" w:firstLineChars="1315"/>
        <w:jc w:val="righ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ab/>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14:paraId="2D7EEB87">
      <w:pPr>
        <w:pStyle w:val="17"/>
        <w:spacing w:after="0"/>
        <w:ind w:left="0" w:leftChars="0" w:firstLine="480"/>
        <w:rPr>
          <w:rFonts w:ascii="宋体" w:hAnsi="宋体"/>
          <w:sz w:val="24"/>
          <w:highlight w:val="none"/>
        </w:rPr>
      </w:pPr>
      <w:r>
        <w:rPr>
          <w:rFonts w:hint="eastAsia" w:ascii="宋体" w:hAnsi="宋体"/>
          <w:kern w:val="0"/>
          <w:sz w:val="24"/>
          <w:highlight w:val="none"/>
        </w:rPr>
        <w:t>注：非联合体投标人，无需提交本协议书。</w:t>
      </w:r>
    </w:p>
    <w:p w14:paraId="53C67A3A">
      <w:pPr>
        <w:pStyle w:val="4"/>
        <w:bidi w:val="0"/>
        <w:rPr>
          <w:rFonts w:hint="eastAsia" w:ascii="宋体" w:hAnsi="宋体" w:eastAsia="宋体" w:cs="Times New Roman"/>
          <w:sz w:val="24"/>
          <w:szCs w:val="24"/>
          <w:highlight w:val="none"/>
          <w:lang w:eastAsia="zh-CN"/>
        </w:rPr>
      </w:pPr>
      <w:r>
        <w:rPr>
          <w:highlight w:val="none"/>
        </w:rPr>
        <w:br w:type="column"/>
      </w:r>
      <w:r>
        <w:rPr>
          <w:rFonts w:hint="eastAsia" w:ascii="宋体" w:hAnsi="宋体" w:eastAsia="宋体" w:cs="Times New Roman"/>
          <w:sz w:val="24"/>
          <w:szCs w:val="24"/>
          <w:highlight w:val="none"/>
          <w:lang w:eastAsia="zh-CN"/>
        </w:rPr>
        <w:t>附件</w:t>
      </w:r>
      <w:r>
        <w:rPr>
          <w:rFonts w:hint="eastAsia" w:ascii="宋体" w:hAnsi="宋体" w:eastAsia="宋体" w:cs="Times New Roman"/>
          <w:sz w:val="24"/>
          <w:szCs w:val="24"/>
          <w:highlight w:val="none"/>
          <w:lang w:val="en-US" w:eastAsia="zh-CN"/>
        </w:rPr>
        <w:t>二</w:t>
      </w:r>
      <w:r>
        <w:rPr>
          <w:rFonts w:hint="eastAsia" w:ascii="宋体" w:hAnsi="宋体" w:eastAsia="宋体" w:cs="Times New Roman"/>
          <w:sz w:val="24"/>
          <w:szCs w:val="24"/>
          <w:highlight w:val="none"/>
          <w:lang w:eastAsia="zh-CN"/>
        </w:rPr>
        <w:t>：</w:t>
      </w:r>
    </w:p>
    <w:p w14:paraId="1DC63283">
      <w:pPr>
        <w:adjustRightInd w:val="0"/>
        <w:snapToGrid w:val="0"/>
        <w:spacing w:line="540" w:lineRule="exact"/>
        <w:ind w:right="11" w:firstLine="482" w:firstLineChars="200"/>
        <w:jc w:val="center"/>
        <w:rPr>
          <w:highlight w:val="none"/>
        </w:rPr>
      </w:pPr>
      <w:r>
        <w:rPr>
          <w:rFonts w:hint="eastAsia" w:ascii="宋体" w:hAnsi="宋体" w:cs="宋体"/>
          <w:b/>
          <w:sz w:val="24"/>
          <w:szCs w:val="24"/>
          <w:highlight w:val="none"/>
        </w:rPr>
        <w:t>被本项目招标人书面拒绝投标的企业名单</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3033"/>
        <w:gridCol w:w="5162"/>
      </w:tblGrid>
      <w:tr w14:paraId="6813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67" w:type="pct"/>
            <w:tcBorders>
              <w:top w:val="single" w:color="auto" w:sz="4" w:space="0"/>
              <w:left w:val="single" w:color="auto" w:sz="4" w:space="0"/>
              <w:bottom w:val="single" w:color="auto" w:sz="4" w:space="0"/>
              <w:right w:val="single" w:color="auto" w:sz="4" w:space="0"/>
            </w:tcBorders>
            <w:noWrap w:val="0"/>
            <w:vAlign w:val="center"/>
          </w:tcPr>
          <w:p w14:paraId="48A01534">
            <w:pPr>
              <w:adjustRightInd w:val="0"/>
              <w:snapToGrid w:val="0"/>
              <w:spacing w:line="560" w:lineRule="exact"/>
              <w:ind w:right="11"/>
              <w:jc w:val="center"/>
              <w:rPr>
                <w:rFonts w:ascii="宋体" w:hAnsi="宋体" w:eastAsia="宋体" w:cs="宋体"/>
                <w:sz w:val="24"/>
                <w:szCs w:val="24"/>
                <w:highlight w:val="none"/>
              </w:rPr>
            </w:pPr>
            <w:r>
              <w:rPr>
                <w:rFonts w:ascii="宋体" w:hAnsi="宋体" w:eastAsia="宋体" w:cs="宋体"/>
                <w:sz w:val="24"/>
                <w:szCs w:val="24"/>
                <w:highlight w:val="none"/>
              </w:rPr>
              <w:t>序号</w:t>
            </w:r>
          </w:p>
        </w:tc>
        <w:tc>
          <w:tcPr>
            <w:tcW w:w="1640" w:type="pct"/>
            <w:tcBorders>
              <w:top w:val="single" w:color="auto" w:sz="4" w:space="0"/>
              <w:left w:val="single" w:color="auto" w:sz="4" w:space="0"/>
              <w:bottom w:val="single" w:color="auto" w:sz="4" w:space="0"/>
              <w:right w:val="single" w:color="auto" w:sz="4" w:space="0"/>
            </w:tcBorders>
            <w:noWrap w:val="0"/>
            <w:vAlign w:val="center"/>
          </w:tcPr>
          <w:p w14:paraId="2407996D">
            <w:pPr>
              <w:adjustRightInd w:val="0"/>
              <w:snapToGrid w:val="0"/>
              <w:spacing w:line="560" w:lineRule="exact"/>
              <w:ind w:right="11" w:firstLine="480" w:firstLineChars="200"/>
              <w:jc w:val="center"/>
              <w:rPr>
                <w:rFonts w:ascii="宋体" w:hAnsi="宋体" w:eastAsia="宋体" w:cs="宋体"/>
                <w:sz w:val="24"/>
                <w:szCs w:val="24"/>
                <w:highlight w:val="none"/>
              </w:rPr>
            </w:pPr>
            <w:r>
              <w:rPr>
                <w:rFonts w:ascii="宋体" w:hAnsi="宋体" w:eastAsia="宋体" w:cs="宋体"/>
                <w:sz w:val="24"/>
                <w:szCs w:val="24"/>
                <w:highlight w:val="none"/>
              </w:rPr>
              <w:t>企业名称</w:t>
            </w:r>
          </w:p>
        </w:tc>
        <w:tc>
          <w:tcPr>
            <w:tcW w:w="2791" w:type="pct"/>
            <w:tcBorders>
              <w:top w:val="single" w:color="auto" w:sz="4" w:space="0"/>
              <w:left w:val="single" w:color="auto" w:sz="4" w:space="0"/>
              <w:bottom w:val="single" w:color="auto" w:sz="4" w:space="0"/>
              <w:right w:val="single" w:color="auto" w:sz="4" w:space="0"/>
            </w:tcBorders>
            <w:noWrap w:val="0"/>
            <w:vAlign w:val="center"/>
          </w:tcPr>
          <w:p w14:paraId="20A7B6CF">
            <w:pPr>
              <w:adjustRightInd w:val="0"/>
              <w:snapToGrid w:val="0"/>
              <w:spacing w:line="560" w:lineRule="exact"/>
              <w:ind w:right="11"/>
              <w:jc w:val="center"/>
              <w:rPr>
                <w:rFonts w:ascii="宋体" w:hAnsi="宋体" w:eastAsia="宋体" w:cs="宋体"/>
                <w:sz w:val="24"/>
                <w:szCs w:val="24"/>
                <w:highlight w:val="none"/>
              </w:rPr>
            </w:pPr>
            <w:r>
              <w:rPr>
                <w:rFonts w:ascii="宋体" w:hAnsi="宋体" w:eastAsia="宋体" w:cs="宋体"/>
                <w:sz w:val="24"/>
                <w:szCs w:val="24"/>
                <w:highlight w:val="none"/>
              </w:rPr>
              <w:t>拒绝投标时间</w:t>
            </w:r>
          </w:p>
        </w:tc>
      </w:tr>
      <w:tr w14:paraId="716C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7" w:type="pct"/>
            <w:tcBorders>
              <w:top w:val="single" w:color="auto" w:sz="4" w:space="0"/>
              <w:left w:val="single" w:color="auto" w:sz="4" w:space="0"/>
              <w:bottom w:val="single" w:color="auto" w:sz="4" w:space="0"/>
              <w:right w:val="single" w:color="auto" w:sz="4" w:space="0"/>
            </w:tcBorders>
            <w:noWrap w:val="0"/>
            <w:vAlign w:val="center"/>
          </w:tcPr>
          <w:p w14:paraId="3ED7D78C">
            <w:pPr>
              <w:adjustRightInd w:val="0"/>
              <w:snapToGrid w:val="0"/>
              <w:spacing w:line="560" w:lineRule="exact"/>
              <w:ind w:right="11"/>
              <w:jc w:val="center"/>
              <w:rPr>
                <w:rFonts w:ascii="宋体" w:hAnsi="宋体" w:eastAsia="宋体" w:cs="宋体"/>
                <w:sz w:val="24"/>
                <w:szCs w:val="24"/>
                <w:highlight w:val="none"/>
              </w:rPr>
            </w:pPr>
            <w:r>
              <w:rPr>
                <w:rFonts w:ascii="宋体" w:hAnsi="宋体" w:eastAsia="宋体" w:cs="宋体"/>
                <w:sz w:val="24"/>
                <w:szCs w:val="24"/>
                <w:highlight w:val="none"/>
              </w:rPr>
              <w:t>1</w:t>
            </w:r>
          </w:p>
        </w:tc>
        <w:tc>
          <w:tcPr>
            <w:tcW w:w="1640" w:type="pct"/>
            <w:tcBorders>
              <w:top w:val="single" w:color="auto" w:sz="4" w:space="0"/>
              <w:left w:val="single" w:color="auto" w:sz="4" w:space="0"/>
              <w:bottom w:val="single" w:color="auto" w:sz="4" w:space="0"/>
              <w:right w:val="single" w:color="auto" w:sz="4" w:space="0"/>
            </w:tcBorders>
            <w:noWrap w:val="0"/>
            <w:vAlign w:val="center"/>
          </w:tcPr>
          <w:p w14:paraId="172BE35C">
            <w:pPr>
              <w:adjustRightInd w:val="0"/>
              <w:snapToGrid w:val="0"/>
              <w:spacing w:line="560" w:lineRule="exact"/>
              <w:ind w:right="11"/>
              <w:jc w:val="center"/>
              <w:rPr>
                <w:rFonts w:ascii="宋体" w:hAnsi="宋体" w:eastAsia="宋体" w:cs="宋体"/>
                <w:sz w:val="24"/>
                <w:szCs w:val="24"/>
                <w:highlight w:val="none"/>
              </w:rPr>
            </w:pPr>
            <w:r>
              <w:rPr>
                <w:rFonts w:ascii="宋体" w:hAnsi="宋体" w:eastAsia="宋体" w:cs="宋体"/>
                <w:sz w:val="24"/>
                <w:szCs w:val="24"/>
                <w:highlight w:val="none"/>
              </w:rPr>
              <w:t>广东广信建筑工程监理有限公司</w:t>
            </w:r>
          </w:p>
        </w:tc>
        <w:tc>
          <w:tcPr>
            <w:tcW w:w="2791" w:type="pct"/>
            <w:tcBorders>
              <w:top w:val="single" w:color="auto" w:sz="4" w:space="0"/>
              <w:left w:val="single" w:color="auto" w:sz="4" w:space="0"/>
              <w:bottom w:val="single" w:color="auto" w:sz="4" w:space="0"/>
              <w:right w:val="single" w:color="auto" w:sz="4" w:space="0"/>
            </w:tcBorders>
            <w:noWrap w:val="0"/>
            <w:vAlign w:val="center"/>
          </w:tcPr>
          <w:p w14:paraId="0465FEBA">
            <w:pPr>
              <w:adjustRightInd w:val="0"/>
              <w:snapToGrid w:val="0"/>
              <w:spacing w:line="560" w:lineRule="exact"/>
              <w:ind w:right="11"/>
              <w:jc w:val="center"/>
              <w:rPr>
                <w:rFonts w:ascii="宋体" w:hAnsi="宋体" w:eastAsia="宋体" w:cs="宋体"/>
                <w:sz w:val="24"/>
                <w:szCs w:val="24"/>
                <w:highlight w:val="none"/>
              </w:rPr>
            </w:pPr>
            <w:r>
              <w:rPr>
                <w:rFonts w:ascii="宋体" w:hAnsi="宋体" w:eastAsia="宋体" w:cs="宋体"/>
                <w:sz w:val="24"/>
                <w:szCs w:val="24"/>
                <w:highlight w:val="none"/>
              </w:rPr>
              <w:t>拒绝企业参加省属代建项目招投标活动三年，自2023年7月14日起计</w:t>
            </w:r>
          </w:p>
        </w:tc>
      </w:tr>
    </w:tbl>
    <w:p w14:paraId="59839A4C">
      <w:pPr>
        <w:pStyle w:val="16"/>
        <w:rPr>
          <w:rFonts w:hint="eastAsia"/>
          <w:highlight w:val="none"/>
        </w:rPr>
      </w:pPr>
    </w:p>
    <w:p w14:paraId="5474A7DC">
      <w:pPr>
        <w:rPr>
          <w:rFonts w:hint="eastAsia"/>
          <w:highlight w:val="none"/>
        </w:rPr>
      </w:pPr>
    </w:p>
    <w:p w14:paraId="57934E3A">
      <w:pPr>
        <w:rPr>
          <w:highlight w:val="none"/>
        </w:rPr>
      </w:pPr>
    </w:p>
    <w:sectPr>
      <w:footerReference r:id="rId6" w:type="default"/>
      <w:pgSz w:w="11907" w:h="16840"/>
      <w:pgMar w:top="1440" w:right="1440" w:bottom="1440" w:left="1440" w:header="737" w:footer="850" w:gutter="0"/>
      <w:pgNumType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25375">
    <w:pPr>
      <w:pStyle w:val="14"/>
      <w:jc w:val="center"/>
    </w:pPr>
  </w:p>
  <w:p w14:paraId="0892AC9F">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A4A18">
    <w:pPr>
      <w:pStyle w:val="14"/>
      <w:framePr w:wrap="around" w:vAnchor="text" w:hAnchor="margin" w:xAlign="right" w:y="1"/>
      <w:rPr>
        <w:rStyle w:val="20"/>
      </w:rPr>
    </w:pPr>
    <w:r>
      <w:fldChar w:fldCharType="begin"/>
    </w:r>
    <w:r>
      <w:rPr>
        <w:rStyle w:val="20"/>
      </w:rPr>
      <w:instrText xml:space="preserve">PAGE  </w:instrText>
    </w:r>
    <w:r>
      <w:fldChar w:fldCharType="end"/>
    </w:r>
  </w:p>
  <w:p w14:paraId="19D83D09">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99E45">
    <w:pPr>
      <w:pStyle w:val="14"/>
      <w:jc w:val="center"/>
    </w:pPr>
  </w:p>
  <w:p w14:paraId="47BBD69B">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A0A34">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5E922C">
                          <w:pPr>
                            <w:pStyle w:val="1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05E922C">
                    <w:pPr>
                      <w:pStyle w:val="14"/>
                    </w:pPr>
                    <w:r>
                      <w:fldChar w:fldCharType="begin"/>
                    </w:r>
                    <w:r>
                      <w:instrText xml:space="preserve"> PAGE  \* MERGEFORMAT </w:instrText>
                    </w:r>
                    <w:r>
                      <w:fldChar w:fldCharType="separate"/>
                    </w:r>
                    <w:r>
                      <w:t>6</w:t>
                    </w:r>
                    <w:r>
                      <w:fldChar w:fldCharType="end"/>
                    </w:r>
                  </w:p>
                </w:txbxContent>
              </v:textbox>
            </v:shape>
          </w:pict>
        </mc:Fallback>
      </mc:AlternateContent>
    </w:r>
  </w:p>
  <w:p w14:paraId="5B653B11">
    <w:pPr>
      <w:pStyle w:val="1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ind w:left="0" w:firstLine="0"/>
      </w:pPr>
      <w:rPr>
        <w:rFonts w:hint="eastAsia"/>
      </w:rPr>
    </w:lvl>
    <w:lvl w:ilvl="1" w:tentative="0">
      <w:start w:val="1"/>
      <w:numFmt w:val="bullet"/>
      <w:lvlText w:val=""/>
      <w:lvlJc w:val="left"/>
      <w:pPr>
        <w:ind w:left="0" w:firstLine="0"/>
      </w:pPr>
      <w:rPr>
        <w:rFonts w:hint="eastAsia"/>
      </w:rPr>
    </w:lvl>
    <w:lvl w:ilvl="2" w:tentative="0">
      <w:start w:val="1"/>
      <w:numFmt w:val="bullet"/>
      <w:lvlText w:val=""/>
      <w:lvlJc w:val="left"/>
      <w:pPr>
        <w:ind w:left="0" w:firstLine="0"/>
      </w:pPr>
      <w:rPr>
        <w:rFonts w:hint="eastAsia"/>
      </w:rPr>
    </w:lvl>
    <w:lvl w:ilvl="3" w:tentative="0">
      <w:start w:val="1"/>
      <w:numFmt w:val="bullet"/>
      <w:lvlText w:val=""/>
      <w:lvlJc w:val="left"/>
      <w:pPr>
        <w:ind w:left="0" w:firstLine="0"/>
      </w:pPr>
      <w:rPr>
        <w:rFonts w:hint="eastAsia"/>
      </w:rPr>
    </w:lvl>
    <w:lvl w:ilvl="4" w:tentative="0">
      <w:start w:val="1"/>
      <w:numFmt w:val="bullet"/>
      <w:lvlText w:val=""/>
      <w:lvlJc w:val="left"/>
      <w:pPr>
        <w:ind w:left="0" w:firstLine="0"/>
      </w:pPr>
      <w:rPr>
        <w:rFonts w:hint="eastAsia"/>
      </w:rPr>
    </w:lvl>
    <w:lvl w:ilvl="5" w:tentative="0">
      <w:start w:val="1"/>
      <w:numFmt w:val="bullet"/>
      <w:lvlText w:val=""/>
      <w:lvlJc w:val="left"/>
      <w:pPr>
        <w:ind w:left="0" w:firstLine="0"/>
      </w:pPr>
      <w:rPr>
        <w:rFonts w:hint="eastAsia"/>
      </w:rPr>
    </w:lvl>
    <w:lvl w:ilvl="6" w:tentative="0">
      <w:start w:val="1"/>
      <w:numFmt w:val="bullet"/>
      <w:lvlText w:val=""/>
      <w:lvlJc w:val="left"/>
      <w:pPr>
        <w:ind w:left="0" w:firstLine="0"/>
      </w:pPr>
      <w:rPr>
        <w:rFonts w:hint="eastAsia"/>
      </w:rPr>
    </w:lvl>
    <w:lvl w:ilvl="7" w:tentative="0">
      <w:start w:val="1"/>
      <w:numFmt w:val="bullet"/>
      <w:lvlText w:val=""/>
      <w:lvlJc w:val="left"/>
      <w:pPr>
        <w:ind w:left="0" w:firstLine="0"/>
      </w:pPr>
      <w:rPr>
        <w:rFonts w:hint="eastAsia"/>
      </w:rPr>
    </w:lvl>
    <w:lvl w:ilvl="8" w:tentative="0">
      <w:start w:val="1"/>
      <w:numFmt w:val="bullet"/>
      <w:lvlText w:val=""/>
      <w:lvlJc w:val="left"/>
      <w:pPr>
        <w:ind w:left="0" w:firstLine="0"/>
      </w:pPr>
      <w:rPr>
        <w:rFonts w:hint="eastAsia"/>
      </w:rPr>
    </w:lvl>
  </w:abstractNum>
  <w:abstractNum w:abstractNumId="1">
    <w:nsid w:val="00000039"/>
    <w:multiLevelType w:val="multilevel"/>
    <w:tmpl w:val="00000039"/>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3A"/>
    <w:multiLevelType w:val="multilevel"/>
    <w:tmpl w:val="0000003A"/>
    <w:lvl w:ilvl="0" w:tentative="0">
      <w:start w:val="5"/>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YjdmNTRiOWNjODJiNGJiMDc5MjIzZTcxYjBlOWEifQ=="/>
  </w:docVars>
  <w:rsids>
    <w:rsidRoot w:val="72812A4F"/>
    <w:rsid w:val="002D55C2"/>
    <w:rsid w:val="009E6728"/>
    <w:rsid w:val="00A3510C"/>
    <w:rsid w:val="00DB07B2"/>
    <w:rsid w:val="00FA54E4"/>
    <w:rsid w:val="014557C2"/>
    <w:rsid w:val="01722330"/>
    <w:rsid w:val="0175504B"/>
    <w:rsid w:val="024E68F9"/>
    <w:rsid w:val="02A46519"/>
    <w:rsid w:val="0334789D"/>
    <w:rsid w:val="033B28FE"/>
    <w:rsid w:val="034C1D5D"/>
    <w:rsid w:val="038D3451"/>
    <w:rsid w:val="0429082A"/>
    <w:rsid w:val="045C093A"/>
    <w:rsid w:val="047F1167"/>
    <w:rsid w:val="04A24D2A"/>
    <w:rsid w:val="04B35139"/>
    <w:rsid w:val="04F35535"/>
    <w:rsid w:val="050B0AD1"/>
    <w:rsid w:val="051931EE"/>
    <w:rsid w:val="057E5747"/>
    <w:rsid w:val="05AF3B52"/>
    <w:rsid w:val="060F43B1"/>
    <w:rsid w:val="06FC2DC7"/>
    <w:rsid w:val="07921036"/>
    <w:rsid w:val="079D6A1F"/>
    <w:rsid w:val="07A24B5A"/>
    <w:rsid w:val="07A44131"/>
    <w:rsid w:val="08850B9A"/>
    <w:rsid w:val="08DA2C94"/>
    <w:rsid w:val="08DE5A83"/>
    <w:rsid w:val="09023F99"/>
    <w:rsid w:val="091F0FEF"/>
    <w:rsid w:val="09497E1A"/>
    <w:rsid w:val="096D3B08"/>
    <w:rsid w:val="09896468"/>
    <w:rsid w:val="09A31E2F"/>
    <w:rsid w:val="09C851E3"/>
    <w:rsid w:val="09E65669"/>
    <w:rsid w:val="09EB2C7F"/>
    <w:rsid w:val="0A14667A"/>
    <w:rsid w:val="0A36214C"/>
    <w:rsid w:val="0A5C592B"/>
    <w:rsid w:val="0A9F4195"/>
    <w:rsid w:val="0AE242B9"/>
    <w:rsid w:val="0AEE2450"/>
    <w:rsid w:val="0AF02C43"/>
    <w:rsid w:val="0B550CF8"/>
    <w:rsid w:val="0B6E64B6"/>
    <w:rsid w:val="0B925AA8"/>
    <w:rsid w:val="0C1C35C4"/>
    <w:rsid w:val="0C7451AE"/>
    <w:rsid w:val="0C7B2881"/>
    <w:rsid w:val="0C8E44C1"/>
    <w:rsid w:val="0CA23AC9"/>
    <w:rsid w:val="0CD567AD"/>
    <w:rsid w:val="0CF956B3"/>
    <w:rsid w:val="0D2E35AF"/>
    <w:rsid w:val="0D9217FF"/>
    <w:rsid w:val="0DB35977"/>
    <w:rsid w:val="0DD73C46"/>
    <w:rsid w:val="0E582D88"/>
    <w:rsid w:val="0E876466"/>
    <w:rsid w:val="0ED80E96"/>
    <w:rsid w:val="0F2C0B1F"/>
    <w:rsid w:val="0F4E126C"/>
    <w:rsid w:val="0F64150A"/>
    <w:rsid w:val="0F6C6610"/>
    <w:rsid w:val="0F9F6447"/>
    <w:rsid w:val="0FA83AEC"/>
    <w:rsid w:val="0FB10A42"/>
    <w:rsid w:val="102E42DC"/>
    <w:rsid w:val="103B4960"/>
    <w:rsid w:val="10E01064"/>
    <w:rsid w:val="114C04A7"/>
    <w:rsid w:val="115E22D4"/>
    <w:rsid w:val="11660B19"/>
    <w:rsid w:val="116E041E"/>
    <w:rsid w:val="11B06C88"/>
    <w:rsid w:val="11C71CC7"/>
    <w:rsid w:val="121F796A"/>
    <w:rsid w:val="127777A6"/>
    <w:rsid w:val="128123D2"/>
    <w:rsid w:val="12AC38F3"/>
    <w:rsid w:val="12AD1419"/>
    <w:rsid w:val="12BA3C99"/>
    <w:rsid w:val="12BE53D5"/>
    <w:rsid w:val="12C52FCD"/>
    <w:rsid w:val="12C77F94"/>
    <w:rsid w:val="136E509A"/>
    <w:rsid w:val="13821236"/>
    <w:rsid w:val="13A22600"/>
    <w:rsid w:val="13C4667A"/>
    <w:rsid w:val="13E175CD"/>
    <w:rsid w:val="145516E0"/>
    <w:rsid w:val="14643D5A"/>
    <w:rsid w:val="14C85D60"/>
    <w:rsid w:val="14CD7B51"/>
    <w:rsid w:val="14DE58BA"/>
    <w:rsid w:val="150157F0"/>
    <w:rsid w:val="15205ED3"/>
    <w:rsid w:val="152915D9"/>
    <w:rsid w:val="15677BE0"/>
    <w:rsid w:val="15B44E7E"/>
    <w:rsid w:val="15C20310"/>
    <w:rsid w:val="168C1346"/>
    <w:rsid w:val="16D01B7A"/>
    <w:rsid w:val="17103D25"/>
    <w:rsid w:val="1768583A"/>
    <w:rsid w:val="176D6287"/>
    <w:rsid w:val="17B2302E"/>
    <w:rsid w:val="186F4F79"/>
    <w:rsid w:val="187A0FA9"/>
    <w:rsid w:val="18D237FB"/>
    <w:rsid w:val="18F03E0E"/>
    <w:rsid w:val="19151AC7"/>
    <w:rsid w:val="19404D95"/>
    <w:rsid w:val="1AA650CC"/>
    <w:rsid w:val="1B5D49FB"/>
    <w:rsid w:val="1B9E2247"/>
    <w:rsid w:val="1BA86C22"/>
    <w:rsid w:val="1BB455C7"/>
    <w:rsid w:val="1BC81072"/>
    <w:rsid w:val="1BF9747E"/>
    <w:rsid w:val="1C2344FA"/>
    <w:rsid w:val="1C6B037B"/>
    <w:rsid w:val="1C905ABA"/>
    <w:rsid w:val="1D091942"/>
    <w:rsid w:val="1D81597C"/>
    <w:rsid w:val="1DFC3255"/>
    <w:rsid w:val="1E551DC9"/>
    <w:rsid w:val="1E71154D"/>
    <w:rsid w:val="1E764DB5"/>
    <w:rsid w:val="1E9E2BB8"/>
    <w:rsid w:val="1EF0755B"/>
    <w:rsid w:val="1FC1123D"/>
    <w:rsid w:val="20016901"/>
    <w:rsid w:val="21604585"/>
    <w:rsid w:val="21661111"/>
    <w:rsid w:val="2184648F"/>
    <w:rsid w:val="21893052"/>
    <w:rsid w:val="218A3F48"/>
    <w:rsid w:val="219F760A"/>
    <w:rsid w:val="22806319"/>
    <w:rsid w:val="22910410"/>
    <w:rsid w:val="22932E47"/>
    <w:rsid w:val="22F53D08"/>
    <w:rsid w:val="22FE5379"/>
    <w:rsid w:val="23332B6D"/>
    <w:rsid w:val="234436D4"/>
    <w:rsid w:val="234B4A63"/>
    <w:rsid w:val="238C2EFC"/>
    <w:rsid w:val="23944BA3"/>
    <w:rsid w:val="241C63FF"/>
    <w:rsid w:val="245C0DEF"/>
    <w:rsid w:val="249B7324"/>
    <w:rsid w:val="24F37160"/>
    <w:rsid w:val="25172CA2"/>
    <w:rsid w:val="253443D8"/>
    <w:rsid w:val="253634F0"/>
    <w:rsid w:val="255E0351"/>
    <w:rsid w:val="25874A21"/>
    <w:rsid w:val="25C127C5"/>
    <w:rsid w:val="25C30677"/>
    <w:rsid w:val="25FF5917"/>
    <w:rsid w:val="266D2F42"/>
    <w:rsid w:val="26E4504A"/>
    <w:rsid w:val="27521161"/>
    <w:rsid w:val="27675BE3"/>
    <w:rsid w:val="279A5E21"/>
    <w:rsid w:val="27C05A8A"/>
    <w:rsid w:val="28D81C9F"/>
    <w:rsid w:val="29177195"/>
    <w:rsid w:val="292A728C"/>
    <w:rsid w:val="29600B3C"/>
    <w:rsid w:val="297B066C"/>
    <w:rsid w:val="29D11DFC"/>
    <w:rsid w:val="29D30788"/>
    <w:rsid w:val="29F55728"/>
    <w:rsid w:val="2A0C7722"/>
    <w:rsid w:val="2AF245F3"/>
    <w:rsid w:val="2B081262"/>
    <w:rsid w:val="2B3729F9"/>
    <w:rsid w:val="2B3D5261"/>
    <w:rsid w:val="2B8F5708"/>
    <w:rsid w:val="2BA2368E"/>
    <w:rsid w:val="2BD7322E"/>
    <w:rsid w:val="2C2B5431"/>
    <w:rsid w:val="2C5F7BAE"/>
    <w:rsid w:val="2C8B1CF6"/>
    <w:rsid w:val="2CC118F2"/>
    <w:rsid w:val="2CDF0DB5"/>
    <w:rsid w:val="2D837574"/>
    <w:rsid w:val="2DE166FE"/>
    <w:rsid w:val="2DEA2A7C"/>
    <w:rsid w:val="2DF567F3"/>
    <w:rsid w:val="2E070A2A"/>
    <w:rsid w:val="2E150147"/>
    <w:rsid w:val="2E2574DE"/>
    <w:rsid w:val="2E5D564A"/>
    <w:rsid w:val="2EB931C8"/>
    <w:rsid w:val="2F102DB2"/>
    <w:rsid w:val="2F174378"/>
    <w:rsid w:val="2F2207DC"/>
    <w:rsid w:val="2F5E3398"/>
    <w:rsid w:val="2F932167"/>
    <w:rsid w:val="2FF72667"/>
    <w:rsid w:val="302B6404"/>
    <w:rsid w:val="30977539"/>
    <w:rsid w:val="30C61821"/>
    <w:rsid w:val="316C027E"/>
    <w:rsid w:val="318C216F"/>
    <w:rsid w:val="319A38D4"/>
    <w:rsid w:val="320F4EAD"/>
    <w:rsid w:val="32380BAE"/>
    <w:rsid w:val="32A95302"/>
    <w:rsid w:val="32B67A1F"/>
    <w:rsid w:val="32D95C04"/>
    <w:rsid w:val="32E91BA2"/>
    <w:rsid w:val="33196DEE"/>
    <w:rsid w:val="334D3EDF"/>
    <w:rsid w:val="3373755A"/>
    <w:rsid w:val="34B873E4"/>
    <w:rsid w:val="34DA17F1"/>
    <w:rsid w:val="34E37753"/>
    <w:rsid w:val="353719A0"/>
    <w:rsid w:val="35D02BA5"/>
    <w:rsid w:val="365735F9"/>
    <w:rsid w:val="36940077"/>
    <w:rsid w:val="36C247C9"/>
    <w:rsid w:val="36D52B69"/>
    <w:rsid w:val="36DE61B3"/>
    <w:rsid w:val="36F31241"/>
    <w:rsid w:val="373135E0"/>
    <w:rsid w:val="37501850"/>
    <w:rsid w:val="37841983"/>
    <w:rsid w:val="37895B10"/>
    <w:rsid w:val="379F0A81"/>
    <w:rsid w:val="37CF4BDA"/>
    <w:rsid w:val="38471167"/>
    <w:rsid w:val="391B123B"/>
    <w:rsid w:val="392D0F7F"/>
    <w:rsid w:val="394B7113"/>
    <w:rsid w:val="39A46823"/>
    <w:rsid w:val="39A74FB8"/>
    <w:rsid w:val="39A83ED2"/>
    <w:rsid w:val="3A092B2A"/>
    <w:rsid w:val="3A281202"/>
    <w:rsid w:val="3A313AB8"/>
    <w:rsid w:val="3A691216"/>
    <w:rsid w:val="3ADE7B13"/>
    <w:rsid w:val="3B23432C"/>
    <w:rsid w:val="3C061D69"/>
    <w:rsid w:val="3C06441F"/>
    <w:rsid w:val="3C1C4D96"/>
    <w:rsid w:val="3C9C5ED7"/>
    <w:rsid w:val="3CBA6812"/>
    <w:rsid w:val="3D1450B7"/>
    <w:rsid w:val="3D566E05"/>
    <w:rsid w:val="3D8863C7"/>
    <w:rsid w:val="3DE9394A"/>
    <w:rsid w:val="3E0E6771"/>
    <w:rsid w:val="3E2C6DE7"/>
    <w:rsid w:val="3E463D0C"/>
    <w:rsid w:val="3E4E3201"/>
    <w:rsid w:val="3E724EC3"/>
    <w:rsid w:val="3E974BA8"/>
    <w:rsid w:val="3EDC6A5F"/>
    <w:rsid w:val="3F255D10"/>
    <w:rsid w:val="3FC27A03"/>
    <w:rsid w:val="406960D0"/>
    <w:rsid w:val="40907037"/>
    <w:rsid w:val="409B3302"/>
    <w:rsid w:val="40EE1693"/>
    <w:rsid w:val="410D73A4"/>
    <w:rsid w:val="416C74FE"/>
    <w:rsid w:val="417E5BAB"/>
    <w:rsid w:val="41AB219B"/>
    <w:rsid w:val="41D67795"/>
    <w:rsid w:val="41E35950"/>
    <w:rsid w:val="41F81180"/>
    <w:rsid w:val="42251667"/>
    <w:rsid w:val="426918CC"/>
    <w:rsid w:val="42890CAC"/>
    <w:rsid w:val="42BE6BA7"/>
    <w:rsid w:val="43042FD3"/>
    <w:rsid w:val="43204DB5"/>
    <w:rsid w:val="438279FD"/>
    <w:rsid w:val="438D0328"/>
    <w:rsid w:val="4407632C"/>
    <w:rsid w:val="443F2FD9"/>
    <w:rsid w:val="445350CD"/>
    <w:rsid w:val="445F3A72"/>
    <w:rsid w:val="447514E8"/>
    <w:rsid w:val="44A973E3"/>
    <w:rsid w:val="44D049EE"/>
    <w:rsid w:val="44E67CEF"/>
    <w:rsid w:val="44EF5D36"/>
    <w:rsid w:val="454D7F3F"/>
    <w:rsid w:val="4554734F"/>
    <w:rsid w:val="456B28EB"/>
    <w:rsid w:val="45A100BA"/>
    <w:rsid w:val="45A71B75"/>
    <w:rsid w:val="45D264C6"/>
    <w:rsid w:val="4682613E"/>
    <w:rsid w:val="46A14816"/>
    <w:rsid w:val="46D06EA9"/>
    <w:rsid w:val="46F35D49"/>
    <w:rsid w:val="47321912"/>
    <w:rsid w:val="47376F28"/>
    <w:rsid w:val="474F057B"/>
    <w:rsid w:val="475E6263"/>
    <w:rsid w:val="476E221E"/>
    <w:rsid w:val="47762D81"/>
    <w:rsid w:val="47A773BE"/>
    <w:rsid w:val="47CD163B"/>
    <w:rsid w:val="48384D06"/>
    <w:rsid w:val="484C255F"/>
    <w:rsid w:val="48790E7B"/>
    <w:rsid w:val="48967C7F"/>
    <w:rsid w:val="48CC6AAE"/>
    <w:rsid w:val="490B2300"/>
    <w:rsid w:val="49437E06"/>
    <w:rsid w:val="499441BE"/>
    <w:rsid w:val="49A116F2"/>
    <w:rsid w:val="49C609C3"/>
    <w:rsid w:val="4A330333"/>
    <w:rsid w:val="4A6D6C6D"/>
    <w:rsid w:val="4A8A736F"/>
    <w:rsid w:val="4A936036"/>
    <w:rsid w:val="4AB82869"/>
    <w:rsid w:val="4B1D6435"/>
    <w:rsid w:val="4C4D6AA3"/>
    <w:rsid w:val="4C4E1B34"/>
    <w:rsid w:val="4C7330D4"/>
    <w:rsid w:val="4CE865CF"/>
    <w:rsid w:val="4CF520D9"/>
    <w:rsid w:val="4D3161C8"/>
    <w:rsid w:val="4D3A507C"/>
    <w:rsid w:val="4D8C33FE"/>
    <w:rsid w:val="4E013DEC"/>
    <w:rsid w:val="4E0B4C6B"/>
    <w:rsid w:val="4E274307"/>
    <w:rsid w:val="4E2C4EA2"/>
    <w:rsid w:val="4E453CD9"/>
    <w:rsid w:val="4E5D3E38"/>
    <w:rsid w:val="4E601150"/>
    <w:rsid w:val="4EFF385F"/>
    <w:rsid w:val="4F0E67C1"/>
    <w:rsid w:val="4F681AF1"/>
    <w:rsid w:val="4F8E7901"/>
    <w:rsid w:val="4FAB04B3"/>
    <w:rsid w:val="4FC275AB"/>
    <w:rsid w:val="50616DC4"/>
    <w:rsid w:val="508F56DF"/>
    <w:rsid w:val="50B20B36"/>
    <w:rsid w:val="50FD3F6A"/>
    <w:rsid w:val="51167BAE"/>
    <w:rsid w:val="514F30C0"/>
    <w:rsid w:val="519A433C"/>
    <w:rsid w:val="519F5DF6"/>
    <w:rsid w:val="51DC2FB4"/>
    <w:rsid w:val="51E25CE3"/>
    <w:rsid w:val="52992845"/>
    <w:rsid w:val="52C76699"/>
    <w:rsid w:val="52D7511B"/>
    <w:rsid w:val="52FE1861"/>
    <w:rsid w:val="53534F5B"/>
    <w:rsid w:val="53590C46"/>
    <w:rsid w:val="53850E81"/>
    <w:rsid w:val="53FF492A"/>
    <w:rsid w:val="54663B09"/>
    <w:rsid w:val="549F0B68"/>
    <w:rsid w:val="54F40207"/>
    <w:rsid w:val="55346855"/>
    <w:rsid w:val="55424CD0"/>
    <w:rsid w:val="5559450E"/>
    <w:rsid w:val="555B26F2"/>
    <w:rsid w:val="556275E9"/>
    <w:rsid w:val="557E3F74"/>
    <w:rsid w:val="559519EA"/>
    <w:rsid w:val="559B6709"/>
    <w:rsid w:val="55B968F9"/>
    <w:rsid w:val="55E93AE3"/>
    <w:rsid w:val="57EA3B43"/>
    <w:rsid w:val="58496ABB"/>
    <w:rsid w:val="58621ADB"/>
    <w:rsid w:val="586C6306"/>
    <w:rsid w:val="58D2260D"/>
    <w:rsid w:val="58ED74D9"/>
    <w:rsid w:val="58F95484"/>
    <w:rsid w:val="58FC1D80"/>
    <w:rsid w:val="59372DB8"/>
    <w:rsid w:val="59A321FB"/>
    <w:rsid w:val="59DA32C4"/>
    <w:rsid w:val="59FE7432"/>
    <w:rsid w:val="5A2C76FB"/>
    <w:rsid w:val="5A4E2167"/>
    <w:rsid w:val="5A555EB5"/>
    <w:rsid w:val="5AD85ED5"/>
    <w:rsid w:val="5AE35929"/>
    <w:rsid w:val="5B3B30DE"/>
    <w:rsid w:val="5B49484F"/>
    <w:rsid w:val="5B7E043C"/>
    <w:rsid w:val="5BAA5AC3"/>
    <w:rsid w:val="5BB4249E"/>
    <w:rsid w:val="5BD7618C"/>
    <w:rsid w:val="5BE10DB9"/>
    <w:rsid w:val="5C433822"/>
    <w:rsid w:val="5C9C7E47"/>
    <w:rsid w:val="5CA00C74"/>
    <w:rsid w:val="5D0E69D5"/>
    <w:rsid w:val="5D177188"/>
    <w:rsid w:val="5D443C29"/>
    <w:rsid w:val="5D9743A9"/>
    <w:rsid w:val="5DC80482"/>
    <w:rsid w:val="5E04332E"/>
    <w:rsid w:val="5E0B4267"/>
    <w:rsid w:val="5E315255"/>
    <w:rsid w:val="5E8925D7"/>
    <w:rsid w:val="5EA20173"/>
    <w:rsid w:val="5EF51EFA"/>
    <w:rsid w:val="5EFA466C"/>
    <w:rsid w:val="5F217E4A"/>
    <w:rsid w:val="5FCA586A"/>
    <w:rsid w:val="5FD504A9"/>
    <w:rsid w:val="5FFE462F"/>
    <w:rsid w:val="60237BF2"/>
    <w:rsid w:val="60341DFF"/>
    <w:rsid w:val="605D4BE9"/>
    <w:rsid w:val="606E61E9"/>
    <w:rsid w:val="60D4713E"/>
    <w:rsid w:val="60F90953"/>
    <w:rsid w:val="60FF240D"/>
    <w:rsid w:val="61191816"/>
    <w:rsid w:val="614E0DC0"/>
    <w:rsid w:val="61E37639"/>
    <w:rsid w:val="61E810DE"/>
    <w:rsid w:val="62181A8F"/>
    <w:rsid w:val="623213C3"/>
    <w:rsid w:val="627E55B4"/>
    <w:rsid w:val="62B66AFB"/>
    <w:rsid w:val="62F45876"/>
    <w:rsid w:val="62FD1102"/>
    <w:rsid w:val="632117EE"/>
    <w:rsid w:val="632E512A"/>
    <w:rsid w:val="633F55B6"/>
    <w:rsid w:val="63A04CC1"/>
    <w:rsid w:val="63D74F7B"/>
    <w:rsid w:val="64153CF6"/>
    <w:rsid w:val="642D6052"/>
    <w:rsid w:val="652561BA"/>
    <w:rsid w:val="6582360D"/>
    <w:rsid w:val="658334B0"/>
    <w:rsid w:val="65A43583"/>
    <w:rsid w:val="66884C53"/>
    <w:rsid w:val="66960020"/>
    <w:rsid w:val="66A070C9"/>
    <w:rsid w:val="66F26570"/>
    <w:rsid w:val="675045FD"/>
    <w:rsid w:val="675B5EC3"/>
    <w:rsid w:val="67AB24BF"/>
    <w:rsid w:val="67E00CFF"/>
    <w:rsid w:val="68055479"/>
    <w:rsid w:val="681F576B"/>
    <w:rsid w:val="682269E1"/>
    <w:rsid w:val="6874548F"/>
    <w:rsid w:val="68B0223F"/>
    <w:rsid w:val="68B0783F"/>
    <w:rsid w:val="68DD224F"/>
    <w:rsid w:val="6931505B"/>
    <w:rsid w:val="69AE40B0"/>
    <w:rsid w:val="6A5F3F1C"/>
    <w:rsid w:val="6A835585"/>
    <w:rsid w:val="6AA67D9D"/>
    <w:rsid w:val="6B105217"/>
    <w:rsid w:val="6B122D3D"/>
    <w:rsid w:val="6B2667E8"/>
    <w:rsid w:val="6B410A49"/>
    <w:rsid w:val="6B4E646B"/>
    <w:rsid w:val="6C74275A"/>
    <w:rsid w:val="6C8223C2"/>
    <w:rsid w:val="6CCE577C"/>
    <w:rsid w:val="6CE23D5D"/>
    <w:rsid w:val="6D154D66"/>
    <w:rsid w:val="6DB65A96"/>
    <w:rsid w:val="6DBD1686"/>
    <w:rsid w:val="6E1E36C5"/>
    <w:rsid w:val="6EB15E1E"/>
    <w:rsid w:val="6EBB43CA"/>
    <w:rsid w:val="6EFD4457"/>
    <w:rsid w:val="6F401AB6"/>
    <w:rsid w:val="6F4D6A39"/>
    <w:rsid w:val="6F6124E5"/>
    <w:rsid w:val="6F745D74"/>
    <w:rsid w:val="6F984159"/>
    <w:rsid w:val="6FBB14ED"/>
    <w:rsid w:val="6FE32EFA"/>
    <w:rsid w:val="70147557"/>
    <w:rsid w:val="70206757"/>
    <w:rsid w:val="70294DB1"/>
    <w:rsid w:val="705B0CE2"/>
    <w:rsid w:val="70894095"/>
    <w:rsid w:val="709A3F00"/>
    <w:rsid w:val="709F1517"/>
    <w:rsid w:val="70D34F79"/>
    <w:rsid w:val="71214D67"/>
    <w:rsid w:val="717007BD"/>
    <w:rsid w:val="71BB185D"/>
    <w:rsid w:val="71D01DEA"/>
    <w:rsid w:val="71ED1E0E"/>
    <w:rsid w:val="72812A4F"/>
    <w:rsid w:val="729329B5"/>
    <w:rsid w:val="72B017B9"/>
    <w:rsid w:val="737D580D"/>
    <w:rsid w:val="74122000"/>
    <w:rsid w:val="741915E0"/>
    <w:rsid w:val="74A546FF"/>
    <w:rsid w:val="74EB38E2"/>
    <w:rsid w:val="74F43D9E"/>
    <w:rsid w:val="75183697"/>
    <w:rsid w:val="753366D1"/>
    <w:rsid w:val="7541494A"/>
    <w:rsid w:val="75A3600B"/>
    <w:rsid w:val="75AD0232"/>
    <w:rsid w:val="75BF3AC1"/>
    <w:rsid w:val="75CD2682"/>
    <w:rsid w:val="75E31EA6"/>
    <w:rsid w:val="75E8126A"/>
    <w:rsid w:val="761C0F14"/>
    <w:rsid w:val="76AA4771"/>
    <w:rsid w:val="77C96E79"/>
    <w:rsid w:val="7806690A"/>
    <w:rsid w:val="780A371A"/>
    <w:rsid w:val="78994A9D"/>
    <w:rsid w:val="78CB4E1F"/>
    <w:rsid w:val="78E93563"/>
    <w:rsid w:val="792D2303"/>
    <w:rsid w:val="79444497"/>
    <w:rsid w:val="7A052F83"/>
    <w:rsid w:val="7A8336E6"/>
    <w:rsid w:val="7AD65B35"/>
    <w:rsid w:val="7ADA2D2C"/>
    <w:rsid w:val="7ADC79C1"/>
    <w:rsid w:val="7B7A33D1"/>
    <w:rsid w:val="7B900CE5"/>
    <w:rsid w:val="7B9A3006"/>
    <w:rsid w:val="7C1E6D5B"/>
    <w:rsid w:val="7C372603"/>
    <w:rsid w:val="7C5E5DE2"/>
    <w:rsid w:val="7C756AD6"/>
    <w:rsid w:val="7CA42236"/>
    <w:rsid w:val="7CA83501"/>
    <w:rsid w:val="7D423956"/>
    <w:rsid w:val="7D5304F2"/>
    <w:rsid w:val="7D621902"/>
    <w:rsid w:val="7D7D498E"/>
    <w:rsid w:val="7E046E5D"/>
    <w:rsid w:val="7E100354"/>
    <w:rsid w:val="7E63696B"/>
    <w:rsid w:val="7E7029F4"/>
    <w:rsid w:val="7EEF5417"/>
    <w:rsid w:val="7F264BB1"/>
    <w:rsid w:val="7F625BE9"/>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9"/>
    <w:pPr>
      <w:keepNext/>
      <w:keepLines/>
      <w:spacing w:before="340" w:after="330" w:line="576" w:lineRule="auto"/>
      <w:outlineLvl w:val="0"/>
    </w:pPr>
    <w:rPr>
      <w:b/>
      <w:kern w:val="44"/>
      <w:sz w:val="44"/>
      <w:szCs w:val="44"/>
    </w:rPr>
  </w:style>
  <w:style w:type="paragraph" w:styleId="4">
    <w:name w:val="heading 2"/>
    <w:basedOn w:val="1"/>
    <w:next w:val="1"/>
    <w:autoRedefine/>
    <w:qFormat/>
    <w:uiPriority w:val="99"/>
    <w:pPr>
      <w:ind w:left="3"/>
      <w:jc w:val="left"/>
      <w:outlineLvl w:val="1"/>
    </w:pPr>
    <w:rPr>
      <w:rFonts w:ascii="宋体" w:hAnsi="宋体"/>
      <w:kern w:val="0"/>
      <w:sz w:val="44"/>
      <w:szCs w:val="44"/>
      <w:lang w:eastAsia="en-US"/>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99"/>
    <w:pPr>
      <w:ind w:firstLine="420" w:firstLineChars="200"/>
      <w:jc w:val="left"/>
    </w:pPr>
    <w:rPr>
      <w:rFonts w:ascii="Times New Roman" w:hAnsi="Times New Roman" w:eastAsia="Calibri"/>
      <w:kern w:val="0"/>
      <w:sz w:val="22"/>
      <w:lang w:eastAsia="en-US"/>
    </w:rPr>
  </w:style>
  <w:style w:type="paragraph" w:styleId="8">
    <w:name w:val="annotation text"/>
    <w:basedOn w:val="1"/>
    <w:autoRedefine/>
    <w:qFormat/>
    <w:uiPriority w:val="0"/>
    <w:pPr>
      <w:jc w:val="left"/>
    </w:pPr>
  </w:style>
  <w:style w:type="paragraph" w:styleId="9">
    <w:name w:val="Body Text"/>
    <w:basedOn w:val="1"/>
    <w:autoRedefine/>
    <w:qFormat/>
    <w:uiPriority w:val="0"/>
    <w:pPr>
      <w:ind w:left="100"/>
      <w:jc w:val="left"/>
    </w:pPr>
    <w:rPr>
      <w:rFonts w:ascii="宋体" w:hAnsi="宋体"/>
      <w:kern w:val="0"/>
      <w:szCs w:val="21"/>
      <w:lang w:eastAsia="en-US"/>
    </w:rPr>
  </w:style>
  <w:style w:type="paragraph" w:styleId="10">
    <w:name w:val="Body Text Indent"/>
    <w:basedOn w:val="1"/>
    <w:next w:val="11"/>
    <w:autoRedefine/>
    <w:qFormat/>
    <w:uiPriority w:val="0"/>
    <w:pPr>
      <w:spacing w:line="360" w:lineRule="auto"/>
      <w:ind w:firstLine="560" w:firstLineChars="200"/>
    </w:pPr>
    <w:rPr>
      <w:rFonts w:ascii="Times New Roman" w:hAnsi="Times New Roman"/>
      <w:sz w:val="24"/>
    </w:rPr>
  </w:style>
  <w:style w:type="paragraph" w:styleId="11">
    <w:name w:val="envelope return"/>
    <w:basedOn w:val="1"/>
    <w:autoRedefine/>
    <w:qFormat/>
    <w:uiPriority w:val="0"/>
    <w:pPr>
      <w:snapToGrid w:val="0"/>
    </w:pPr>
    <w:rPr>
      <w:rFonts w:ascii="Arial" w:hAnsi="Arial"/>
    </w:rPr>
  </w:style>
  <w:style w:type="paragraph" w:styleId="12">
    <w:name w:val="Plain Text"/>
    <w:basedOn w:val="1"/>
    <w:next w:val="1"/>
    <w:unhideWhenUsed/>
    <w:qFormat/>
    <w:uiPriority w:val="0"/>
    <w:rPr>
      <w:rFonts w:ascii="宋体" w:hAnsi="Courier New"/>
      <w:kern w:val="0"/>
      <w:sz w:val="20"/>
      <w:szCs w:val="21"/>
    </w:rPr>
  </w:style>
  <w:style w:type="paragraph" w:styleId="13">
    <w:name w:val="Balloon Text"/>
    <w:basedOn w:val="1"/>
    <w:link w:val="25"/>
    <w:qFormat/>
    <w:uiPriority w:val="0"/>
    <w:rPr>
      <w:sz w:val="18"/>
      <w:szCs w:val="18"/>
    </w:rPr>
  </w:style>
  <w:style w:type="paragraph" w:styleId="14">
    <w:name w:val="footer"/>
    <w:basedOn w:val="1"/>
    <w:autoRedefine/>
    <w:unhideWhenUsed/>
    <w:qFormat/>
    <w:uiPriority w:val="99"/>
    <w:pPr>
      <w:tabs>
        <w:tab w:val="center" w:pos="4153"/>
        <w:tab w:val="right" w:pos="8306"/>
      </w:tabs>
      <w:snapToGrid w:val="0"/>
      <w:jc w:val="left"/>
    </w:pPr>
    <w:rPr>
      <w:kern w:val="0"/>
      <w:sz w:val="18"/>
      <w:szCs w:val="18"/>
    </w:rPr>
  </w:style>
  <w:style w:type="paragraph" w:styleId="15">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Body Text First Indent"/>
    <w:basedOn w:val="9"/>
    <w:unhideWhenUsed/>
    <w:qFormat/>
    <w:uiPriority w:val="99"/>
    <w:pPr>
      <w:ind w:firstLine="420" w:firstLineChars="100"/>
    </w:pPr>
  </w:style>
  <w:style w:type="paragraph" w:styleId="17">
    <w:name w:val="Body Text First Indent 2"/>
    <w:basedOn w:val="10"/>
    <w:autoRedefine/>
    <w:qFormat/>
    <w:uiPriority w:val="0"/>
    <w:pPr>
      <w:spacing w:after="120"/>
      <w:ind w:left="200" w:leftChars="200" w:firstLine="200"/>
    </w:pPr>
    <w:rPr>
      <w:rFonts w:ascii="Calibri" w:hAnsi="Calibri"/>
      <w:sz w:val="21"/>
      <w:szCs w:val="24"/>
    </w:rPr>
  </w:style>
  <w:style w:type="character" w:styleId="20">
    <w:name w:val="page number"/>
    <w:autoRedefine/>
    <w:qFormat/>
    <w:uiPriority w:val="0"/>
    <w:rPr>
      <w:rFonts w:ascii="Times New Roman" w:hAnsi="Times New Roman" w:eastAsia="宋体" w:cs="Times New Roman"/>
    </w:rPr>
  </w:style>
  <w:style w:type="character" w:styleId="21">
    <w:name w:val="Hyperlink"/>
    <w:autoRedefine/>
    <w:qFormat/>
    <w:uiPriority w:val="99"/>
    <w:rPr>
      <w:color w:val="0000FF"/>
      <w:u w:val="single"/>
    </w:rPr>
  </w:style>
  <w:style w:type="character" w:styleId="22">
    <w:name w:val="annotation reference"/>
    <w:autoRedefine/>
    <w:unhideWhenUsed/>
    <w:qFormat/>
    <w:uiPriority w:val="99"/>
    <w:rPr>
      <w:sz w:val="21"/>
      <w:szCs w:val="21"/>
    </w:rPr>
  </w:style>
  <w:style w:type="paragraph" w:customStyle="1" w:styleId="2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
    <w:name w:val="15"/>
    <w:basedOn w:val="19"/>
    <w:autoRedefine/>
    <w:qFormat/>
    <w:uiPriority w:val="0"/>
    <w:rPr>
      <w:rFonts w:hint="default" w:ascii="Times New Roman" w:hAnsi="Times New Roman" w:eastAsia="宋体" w:cs="Times New Roman"/>
    </w:rPr>
  </w:style>
  <w:style w:type="character" w:customStyle="1" w:styleId="25">
    <w:name w:val="批注框文本 Char"/>
    <w:basedOn w:val="19"/>
    <w:link w:val="13"/>
    <w:qFormat/>
    <w:uiPriority w:val="0"/>
    <w:rPr>
      <w:rFonts w:ascii="Calibri" w:hAnsi="Calibri"/>
      <w:kern w:val="2"/>
      <w:sz w:val="18"/>
      <w:szCs w:val="18"/>
    </w:rPr>
  </w:style>
  <w:style w:type="paragraph" w:customStyle="1" w:styleId="26">
    <w:name w:val="公文正文"/>
    <w:qFormat/>
    <w:uiPriority w:val="0"/>
    <w:pPr>
      <w:widowControl w:val="0"/>
      <w:spacing w:line="360" w:lineRule="auto"/>
      <w:ind w:firstLine="629"/>
      <w:jc w:val="both"/>
    </w:pPr>
    <w:rPr>
      <w:rFonts w:ascii="仿宋_GB2312" w:hAnsi="Calisto MT" w:eastAsia="仿宋_GB2312" w:cs="Calibri"/>
      <w:color w:val="000000"/>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9712</Words>
  <Characters>10821</Characters>
  <Lines>67</Lines>
  <Paragraphs>18</Paragraphs>
  <TotalTime>30</TotalTime>
  <ScaleCrop>false</ScaleCrop>
  <LinksUpToDate>false</LinksUpToDate>
  <CharactersWithSpaces>11107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2023-07-27T00:43:00Z</dcterms:created>
  <dc:creator>yunxing</dc:creator>
  <cp:lastModifiedBy>WPS_1671122073</cp:lastModifiedBy>
  <dcterms:modified xsi:type="dcterms:W3CDTF">2025-06-30T08:50:27Z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1DE3388F12414F05AE6E6399A15D57F8_13</vt:lpwstr>
  </property>
  <property fmtid="{D5CDD505-2E9C-101B-9397-08002B2CF9AE}" pid="4" name="KSOTemplateDocerSaveRecord">
    <vt:lpwstr>eyJoZGlkIjoiNGU5YTk2NWU3OTRhNTU0YjZlNWE0ODExMjY4YzM0MTgiLCJ1c2VySWQiOiIxNDU3OTc3Mjc3In0=</vt:lpwstr>
  </property>
</Properties>
</file>