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5C4D2">
      <w:pPr>
        <w:autoSpaceDE w:val="0"/>
        <w:autoSpaceDN w:val="0"/>
        <w:adjustRightInd w:val="0"/>
        <w:spacing w:line="640" w:lineRule="exact"/>
        <w:jc w:val="center"/>
        <w:rPr>
          <w:rFonts w:hint="eastAsia" w:ascii="仿宋_GB2312" w:hAnsi="仿宋_GB2312" w:eastAsia="仿宋_GB2312" w:cs="仿宋_GB2312"/>
          <w:b/>
          <w:color w:val="auto"/>
          <w:kern w:val="0"/>
          <w:sz w:val="24"/>
          <w:szCs w:val="24"/>
          <w:highlight w:val="none"/>
        </w:rPr>
      </w:pPr>
      <w:bookmarkStart w:id="12" w:name="_GoBack"/>
      <w:bookmarkEnd w:id="12"/>
    </w:p>
    <w:p w14:paraId="3A81641D">
      <w:pPr>
        <w:wordWrap w:val="0"/>
        <w:autoSpaceDE w:val="0"/>
        <w:autoSpaceDN w:val="0"/>
        <w:adjustRightInd w:val="0"/>
        <w:spacing w:line="640" w:lineRule="exact"/>
        <w:ind w:right="960"/>
        <w:jc w:val="right"/>
        <w:rPr>
          <w:rFonts w:hint="eastAsia" w:ascii="仿宋_GB2312" w:hAnsi="仿宋_GB2312" w:eastAsia="仿宋_GB2312" w:cs="仿宋_GB2312"/>
          <w:b/>
          <w:color w:val="auto"/>
          <w:kern w:val="0"/>
          <w:sz w:val="24"/>
          <w:szCs w:val="24"/>
          <w:highlight w:val="none"/>
          <w:lang w:val="en-US" w:eastAsia="zh-CN"/>
        </w:rPr>
      </w:pPr>
      <w:r>
        <w:rPr>
          <w:rFonts w:hint="eastAsia" w:ascii="仿宋_GB2312" w:hAnsi="仿宋_GB2312" w:eastAsia="仿宋_GB2312" w:cs="仿宋_GB2312"/>
          <w:b/>
          <w:color w:val="auto"/>
          <w:kern w:val="0"/>
          <w:sz w:val="24"/>
          <w:szCs w:val="24"/>
          <w:highlight w:val="none"/>
        </w:rPr>
        <w:t xml:space="preserve">     合同编号：</w:t>
      </w:r>
      <w:r>
        <w:rPr>
          <w:rFonts w:hint="eastAsia" w:ascii="仿宋_GB2312" w:hAnsi="仿宋_GB2312" w:eastAsia="仿宋_GB2312" w:cs="仿宋_GB2312"/>
          <w:b/>
          <w:color w:val="auto"/>
          <w:kern w:val="0"/>
          <w:sz w:val="24"/>
          <w:szCs w:val="24"/>
          <w:highlight w:val="none"/>
          <w:lang w:val="en-US" w:eastAsia="zh-CN"/>
        </w:rPr>
        <w:t xml:space="preserve">     </w:t>
      </w:r>
    </w:p>
    <w:p w14:paraId="225DCAC8">
      <w:pPr>
        <w:wordWrap w:val="0"/>
        <w:autoSpaceDE w:val="0"/>
        <w:autoSpaceDN w:val="0"/>
        <w:adjustRightInd w:val="0"/>
        <w:spacing w:line="640" w:lineRule="exact"/>
        <w:ind w:right="960"/>
        <w:jc w:val="righ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 xml:space="preserve">                  </w:t>
      </w:r>
    </w:p>
    <w:p w14:paraId="4A793018">
      <w:pPr>
        <w:autoSpaceDE w:val="0"/>
        <w:autoSpaceDN w:val="0"/>
        <w:adjustRightInd w:val="0"/>
        <w:spacing w:line="640" w:lineRule="exact"/>
        <w:ind w:left="260" w:leftChars="124" w:firstLine="384" w:firstLineChars="160"/>
        <w:jc w:val="left"/>
        <w:rPr>
          <w:rFonts w:hint="eastAsia" w:ascii="仿宋_GB2312" w:hAnsi="仿宋_GB2312" w:eastAsia="仿宋_GB2312" w:cs="仿宋_GB2312"/>
          <w:b/>
          <w:color w:val="auto"/>
          <w:kern w:val="0"/>
          <w:sz w:val="24"/>
          <w:szCs w:val="24"/>
          <w:highlight w:val="none"/>
        </w:rPr>
      </w:pPr>
    </w:p>
    <w:p w14:paraId="5608E373">
      <w:pPr>
        <w:autoSpaceDE w:val="0"/>
        <w:autoSpaceDN w:val="0"/>
        <w:adjustRightInd w:val="0"/>
        <w:spacing w:line="640" w:lineRule="exact"/>
        <w:ind w:left="260" w:leftChars="124" w:firstLine="384" w:firstLineChars="160"/>
        <w:jc w:val="left"/>
        <w:rPr>
          <w:rFonts w:hint="eastAsia" w:ascii="仿宋_GB2312" w:hAnsi="仿宋_GB2312" w:eastAsia="仿宋_GB2312" w:cs="仿宋_GB2312"/>
          <w:b/>
          <w:color w:val="auto"/>
          <w:kern w:val="0"/>
          <w:sz w:val="24"/>
          <w:szCs w:val="24"/>
          <w:highlight w:val="none"/>
        </w:rPr>
      </w:pPr>
    </w:p>
    <w:p w14:paraId="0A9B9613">
      <w:pPr>
        <w:autoSpaceDE w:val="0"/>
        <w:autoSpaceDN w:val="0"/>
        <w:adjustRightInd w:val="0"/>
        <w:spacing w:line="640" w:lineRule="exact"/>
        <w:ind w:left="260" w:leftChars="124" w:firstLine="384" w:firstLineChars="160"/>
        <w:jc w:val="center"/>
        <w:rPr>
          <w:rFonts w:hint="eastAsia" w:ascii="仿宋_GB2312" w:hAnsi="仿宋_GB2312" w:eastAsia="仿宋_GB2312" w:cs="仿宋_GB2312"/>
          <w:b/>
          <w:color w:val="auto"/>
          <w:kern w:val="0"/>
          <w:sz w:val="24"/>
          <w:szCs w:val="24"/>
          <w:highlight w:val="none"/>
        </w:rPr>
      </w:pPr>
    </w:p>
    <w:p w14:paraId="64384824">
      <w:pPr>
        <w:autoSpaceDE w:val="0"/>
        <w:autoSpaceDN w:val="0"/>
        <w:adjustRightInd w:val="0"/>
        <w:spacing w:line="640" w:lineRule="exact"/>
        <w:jc w:val="center"/>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建设工程</w:t>
      </w:r>
      <w:r>
        <w:rPr>
          <w:rFonts w:hint="eastAsia" w:ascii="仿宋_GB2312" w:hAnsi="仿宋_GB2312" w:eastAsia="仿宋_GB2312" w:cs="仿宋_GB2312"/>
          <w:b/>
          <w:color w:val="auto"/>
          <w:kern w:val="0"/>
          <w:sz w:val="24"/>
          <w:szCs w:val="24"/>
          <w:highlight w:val="none"/>
          <w:lang w:val="en-US" w:eastAsia="zh-CN"/>
        </w:rPr>
        <w:t>第三方</w:t>
      </w:r>
      <w:r>
        <w:rPr>
          <w:rFonts w:hint="eastAsia" w:ascii="仿宋_GB2312" w:hAnsi="仿宋_GB2312" w:eastAsia="仿宋_GB2312" w:cs="仿宋_GB2312"/>
          <w:b/>
          <w:color w:val="auto"/>
          <w:kern w:val="0"/>
          <w:sz w:val="24"/>
          <w:szCs w:val="24"/>
          <w:highlight w:val="none"/>
        </w:rPr>
        <w:t>质量检测</w:t>
      </w:r>
      <w:r>
        <w:rPr>
          <w:rFonts w:hint="eastAsia" w:ascii="仿宋_GB2312" w:hAnsi="仿宋_GB2312" w:eastAsia="仿宋_GB2312" w:cs="仿宋_GB2312"/>
          <w:b/>
          <w:color w:val="auto"/>
          <w:kern w:val="0"/>
          <w:sz w:val="24"/>
          <w:szCs w:val="24"/>
          <w:highlight w:val="none"/>
          <w:lang w:val="en-US" w:eastAsia="zh-CN"/>
        </w:rPr>
        <w:t>监测服务</w:t>
      </w:r>
      <w:r>
        <w:rPr>
          <w:rFonts w:hint="eastAsia" w:ascii="仿宋_GB2312" w:hAnsi="仿宋_GB2312" w:eastAsia="仿宋_GB2312" w:cs="仿宋_GB2312"/>
          <w:b/>
          <w:color w:val="auto"/>
          <w:kern w:val="0"/>
          <w:sz w:val="24"/>
          <w:szCs w:val="24"/>
          <w:highlight w:val="none"/>
        </w:rPr>
        <w:t>合同</w:t>
      </w:r>
    </w:p>
    <w:p w14:paraId="1A3BF968">
      <w:pPr>
        <w:spacing w:line="640" w:lineRule="exact"/>
        <w:jc w:val="center"/>
        <w:rPr>
          <w:rFonts w:hint="eastAsia" w:ascii="仿宋_GB2312" w:hAnsi="仿宋_GB2312" w:eastAsia="仿宋_GB2312" w:cs="仿宋_GB2312"/>
          <w:bCs/>
          <w:color w:val="auto"/>
          <w:sz w:val="24"/>
          <w:szCs w:val="24"/>
          <w:highlight w:val="none"/>
        </w:rPr>
      </w:pPr>
    </w:p>
    <w:p w14:paraId="25C4B3B3">
      <w:pPr>
        <w:spacing w:line="640" w:lineRule="exact"/>
        <w:rPr>
          <w:rFonts w:hint="eastAsia" w:ascii="仿宋_GB2312" w:hAnsi="仿宋_GB2312" w:eastAsia="仿宋_GB2312" w:cs="仿宋_GB2312"/>
          <w:bCs/>
          <w:color w:val="auto"/>
          <w:sz w:val="24"/>
          <w:szCs w:val="24"/>
          <w:highlight w:val="none"/>
        </w:rPr>
      </w:pPr>
    </w:p>
    <w:p w14:paraId="02E5D120">
      <w:pPr>
        <w:spacing w:line="640" w:lineRule="exact"/>
        <w:ind w:left="1767" w:leftChars="270" w:hanging="1200" w:hangingChars="500"/>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项目名称：</w:t>
      </w:r>
      <w:bookmarkStart w:id="0" w:name="_Hlk46334363"/>
      <w:r>
        <w:rPr>
          <w:rFonts w:hint="eastAsia" w:ascii="仿宋_GB2312" w:hAnsi="仿宋_GB2312" w:eastAsia="仿宋_GB2312" w:cs="仿宋_GB2312"/>
          <w:bCs/>
          <w:color w:val="auto"/>
          <w:sz w:val="24"/>
          <w:szCs w:val="24"/>
          <w:highlight w:val="none"/>
          <w:u w:val="single"/>
          <w:lang w:val="en-US" w:eastAsia="zh-CN"/>
        </w:rPr>
        <w:t>广州市黄埔区JKG-A-1地块项目</w:t>
      </w:r>
    </w:p>
    <w:bookmarkEnd w:id="0"/>
    <w:p w14:paraId="28816E6F">
      <w:pPr>
        <w:spacing w:line="640" w:lineRule="exact"/>
        <w:ind w:left="1781" w:leftChars="277" w:hanging="1200" w:hangingChars="5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签订</w:t>
      </w:r>
      <w:r>
        <w:rPr>
          <w:rFonts w:hint="eastAsia" w:ascii="仿宋_GB2312" w:hAnsi="仿宋_GB2312" w:eastAsia="仿宋_GB2312" w:cs="仿宋_GB2312"/>
          <w:bCs/>
          <w:color w:val="auto"/>
          <w:sz w:val="24"/>
          <w:szCs w:val="24"/>
          <w:highlight w:val="none"/>
        </w:rPr>
        <w:t>地点：</w:t>
      </w:r>
      <w:bookmarkStart w:id="1" w:name="_Hlk95134268"/>
      <w:r>
        <w:rPr>
          <w:rFonts w:hint="eastAsia" w:ascii="仿宋_GB2312" w:hAnsi="仿宋_GB2312" w:eastAsia="仿宋_GB2312" w:cs="仿宋_GB2312"/>
          <w:bCs/>
          <w:color w:val="auto"/>
          <w:sz w:val="24"/>
          <w:szCs w:val="24"/>
          <w:highlight w:val="none"/>
          <w:u w:val="single"/>
          <w:lang w:val="en-US" w:eastAsia="zh-CN"/>
        </w:rPr>
        <w:t>广州市黄埔区</w:t>
      </w:r>
      <w:bookmarkEnd w:id="1"/>
      <w:r>
        <w:rPr>
          <w:rFonts w:hint="eastAsia" w:ascii="仿宋_GB2312" w:hAnsi="仿宋_GB2312" w:eastAsia="仿宋_GB2312" w:cs="仿宋_GB2312"/>
          <w:bCs/>
          <w:color w:val="auto"/>
          <w:sz w:val="24"/>
          <w:szCs w:val="24"/>
          <w:highlight w:val="none"/>
        </w:rPr>
        <w:t xml:space="preserve">                                          </w:t>
      </w:r>
    </w:p>
    <w:p w14:paraId="5B218BB3">
      <w:pPr>
        <w:spacing w:line="640" w:lineRule="exact"/>
        <w:ind w:firstLine="424" w:firstLineChars="177"/>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委托单位（甲方）：</w:t>
      </w:r>
      <w:r>
        <w:rPr>
          <w:rFonts w:hint="eastAsia" w:ascii="仿宋_GB2312" w:hAnsi="仿宋_GB2312" w:eastAsia="仿宋_GB2312" w:cs="仿宋_GB2312"/>
          <w:bCs/>
          <w:color w:val="auto"/>
          <w:sz w:val="24"/>
          <w:szCs w:val="24"/>
          <w:highlight w:val="none"/>
          <w:u w:val="single"/>
          <w:lang w:val="en-US" w:eastAsia="zh-CN"/>
        </w:rPr>
        <w:t xml:space="preserve">知信(广州)投资开发有限公司 </w:t>
      </w:r>
    </w:p>
    <w:p w14:paraId="1C4BE68A">
      <w:pPr>
        <w:spacing w:line="640" w:lineRule="exact"/>
        <w:ind w:firstLine="424" w:firstLineChars="177"/>
        <w:rPr>
          <w:rFonts w:hint="eastAsia" w:ascii="仿宋_GB2312" w:hAnsi="仿宋_GB2312" w:eastAsia="仿宋_GB2312" w:cs="仿宋_GB2312"/>
          <w:bCs/>
          <w:color w:val="auto"/>
          <w:sz w:val="24"/>
          <w:szCs w:val="24"/>
          <w:highlight w:val="none"/>
          <w:u w:val="single"/>
          <w:lang w:val="en-US" w:eastAsia="zh-CN"/>
        </w:rPr>
      </w:pPr>
      <w:r>
        <w:rPr>
          <w:rFonts w:hint="eastAsia" w:ascii="仿宋_GB2312" w:hAnsi="仿宋_GB2312" w:eastAsia="仿宋_GB2312" w:cs="仿宋_GB2312"/>
          <w:bCs/>
          <w:color w:val="auto"/>
          <w:sz w:val="24"/>
          <w:szCs w:val="24"/>
          <w:highlight w:val="none"/>
        </w:rPr>
        <w:t>检测</w:t>
      </w:r>
      <w:r>
        <w:rPr>
          <w:rFonts w:hint="eastAsia" w:ascii="仿宋_GB2312" w:hAnsi="仿宋_GB2312" w:eastAsia="仿宋_GB2312" w:cs="仿宋_GB2312"/>
          <w:bCs/>
          <w:color w:val="auto"/>
          <w:sz w:val="24"/>
          <w:szCs w:val="24"/>
          <w:highlight w:val="none"/>
          <w:lang w:val="en-US" w:eastAsia="zh-CN"/>
        </w:rPr>
        <w:t>监测</w:t>
      </w:r>
      <w:r>
        <w:rPr>
          <w:rFonts w:hint="eastAsia" w:ascii="仿宋_GB2312" w:hAnsi="仿宋_GB2312" w:eastAsia="仿宋_GB2312" w:cs="仿宋_GB2312"/>
          <w:bCs/>
          <w:color w:val="auto"/>
          <w:sz w:val="24"/>
          <w:szCs w:val="24"/>
          <w:highlight w:val="none"/>
        </w:rPr>
        <w:t>单位（乙方）：</w:t>
      </w:r>
      <w:r>
        <w:rPr>
          <w:rFonts w:hint="eastAsia" w:ascii="仿宋_GB2312" w:hAnsi="仿宋_GB2312" w:eastAsia="仿宋_GB2312" w:cs="仿宋_GB2312"/>
          <w:bCs/>
          <w:color w:val="auto"/>
          <w:sz w:val="24"/>
          <w:szCs w:val="24"/>
          <w:highlight w:val="none"/>
          <w:u w:val="single"/>
          <w:lang w:val="en-US" w:eastAsia="zh-CN"/>
        </w:rPr>
        <w:t xml:space="preserve">                            </w:t>
      </w:r>
    </w:p>
    <w:p w14:paraId="440339AF">
      <w:pPr>
        <w:spacing w:after="120"/>
        <w:ind w:firstLine="240" w:firstLineChars="100"/>
        <w:rPr>
          <w:rFonts w:hint="eastAsia" w:ascii="仿宋_GB2312" w:hAnsi="仿宋_GB2312" w:eastAsia="仿宋_GB2312" w:cs="仿宋_GB2312"/>
          <w:bCs/>
          <w:color w:val="auto"/>
          <w:sz w:val="24"/>
          <w:szCs w:val="24"/>
          <w:highlight w:val="none"/>
        </w:rPr>
      </w:pPr>
    </w:p>
    <w:p w14:paraId="460AAB15">
      <w:pPr>
        <w:spacing w:after="120"/>
        <w:ind w:firstLine="240" w:firstLineChars="100"/>
        <w:rPr>
          <w:rFonts w:hint="eastAsia" w:ascii="仿宋_GB2312" w:hAnsi="仿宋_GB2312" w:eastAsia="仿宋_GB2312" w:cs="仿宋_GB2312"/>
          <w:bCs/>
          <w:color w:val="auto"/>
          <w:sz w:val="24"/>
          <w:szCs w:val="24"/>
          <w:highlight w:val="none"/>
        </w:rPr>
      </w:pPr>
    </w:p>
    <w:p w14:paraId="2C698202">
      <w:pPr>
        <w:spacing w:after="120"/>
        <w:ind w:firstLine="240" w:firstLineChars="100"/>
        <w:rPr>
          <w:rFonts w:hint="eastAsia" w:ascii="仿宋_GB2312" w:hAnsi="仿宋_GB2312" w:eastAsia="仿宋_GB2312" w:cs="仿宋_GB2312"/>
          <w:bCs/>
          <w:color w:val="auto"/>
          <w:sz w:val="24"/>
          <w:szCs w:val="24"/>
          <w:highlight w:val="none"/>
        </w:rPr>
      </w:pPr>
    </w:p>
    <w:p w14:paraId="6A769E1A">
      <w:pPr>
        <w:spacing w:after="120"/>
        <w:ind w:firstLine="1680" w:firstLineChars="700"/>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签订日期：</w:t>
      </w:r>
      <w:r>
        <w:rPr>
          <w:rFonts w:hint="eastAsia" w:ascii="仿宋_GB2312" w:hAnsi="仿宋_GB2312" w:eastAsia="仿宋_GB2312" w:cs="仿宋_GB2312"/>
          <w:bCs/>
          <w:color w:val="auto"/>
          <w:sz w:val="24"/>
          <w:szCs w:val="24"/>
          <w:highlight w:val="none"/>
          <w:lang w:val="en-US" w:eastAsia="zh-CN"/>
        </w:rPr>
        <w:t>20  年  月  日</w:t>
      </w:r>
    </w:p>
    <w:p w14:paraId="631438EB">
      <w:pPr>
        <w:spacing w:line="640" w:lineRule="exact"/>
        <w:rPr>
          <w:rFonts w:hint="eastAsia" w:ascii="仿宋_GB2312" w:hAnsi="仿宋_GB2312" w:eastAsia="仿宋_GB2312" w:cs="仿宋_GB2312"/>
          <w:bCs/>
          <w:color w:val="auto"/>
          <w:sz w:val="24"/>
          <w:szCs w:val="24"/>
          <w:highlight w:val="none"/>
        </w:rPr>
      </w:pPr>
    </w:p>
    <w:p w14:paraId="652772CF">
      <w:pPr>
        <w:spacing w:line="640" w:lineRule="exact"/>
        <w:rPr>
          <w:rFonts w:hint="eastAsia" w:ascii="仿宋_GB2312" w:hAnsi="仿宋_GB2312" w:eastAsia="仿宋_GB2312" w:cs="仿宋_GB2312"/>
          <w:bCs/>
          <w:color w:val="auto"/>
          <w:sz w:val="24"/>
          <w:szCs w:val="24"/>
          <w:highlight w:val="none"/>
        </w:rPr>
      </w:pPr>
    </w:p>
    <w:p w14:paraId="402039A2">
      <w:pPr>
        <w:spacing w:line="640" w:lineRule="exact"/>
        <w:rPr>
          <w:rFonts w:hint="eastAsia" w:ascii="仿宋_GB2312" w:hAnsi="仿宋_GB2312" w:eastAsia="仿宋_GB2312" w:cs="仿宋_GB2312"/>
          <w:bCs/>
          <w:color w:val="auto"/>
          <w:sz w:val="24"/>
          <w:szCs w:val="24"/>
          <w:highlight w:val="none"/>
        </w:rPr>
      </w:pPr>
    </w:p>
    <w:p w14:paraId="3A3462C9">
      <w:pPr>
        <w:spacing w:line="640" w:lineRule="exact"/>
        <w:rPr>
          <w:rFonts w:hint="eastAsia" w:ascii="仿宋_GB2312" w:hAnsi="仿宋_GB2312" w:eastAsia="仿宋_GB2312" w:cs="仿宋_GB2312"/>
          <w:bCs/>
          <w:color w:val="auto"/>
          <w:sz w:val="24"/>
          <w:szCs w:val="24"/>
          <w:highlight w:val="none"/>
        </w:rPr>
      </w:pPr>
    </w:p>
    <w:p w14:paraId="7D552728">
      <w:pPr>
        <w:spacing w:line="640" w:lineRule="exact"/>
        <w:rPr>
          <w:rFonts w:hint="eastAsia" w:ascii="仿宋_GB2312" w:hAnsi="仿宋_GB2312" w:eastAsia="仿宋_GB2312" w:cs="仿宋_GB2312"/>
          <w:bCs/>
          <w:color w:val="auto"/>
          <w:sz w:val="24"/>
          <w:szCs w:val="24"/>
          <w:highlight w:val="none"/>
        </w:rPr>
      </w:pPr>
    </w:p>
    <w:p w14:paraId="07507B55">
      <w:pPr>
        <w:spacing w:line="640" w:lineRule="exact"/>
        <w:rPr>
          <w:rFonts w:hint="eastAsia" w:ascii="仿宋_GB2312" w:hAnsi="仿宋_GB2312" w:eastAsia="仿宋_GB2312" w:cs="仿宋_GB2312"/>
          <w:bCs/>
          <w:color w:val="auto"/>
          <w:sz w:val="24"/>
          <w:szCs w:val="24"/>
          <w:highlight w:val="none"/>
        </w:rPr>
        <w:sectPr>
          <w:footerReference r:id="rId3" w:type="default"/>
          <w:pgSz w:w="11906" w:h="16838"/>
          <w:pgMar w:top="1440" w:right="1133" w:bottom="1440" w:left="1418" w:header="851" w:footer="992" w:gutter="0"/>
          <w:pgNumType w:start="0"/>
          <w:cols w:space="720" w:num="1"/>
          <w:titlePg/>
          <w:docGrid w:type="linesAndChars" w:linePitch="312" w:charSpace="0"/>
        </w:sectPr>
      </w:pPr>
    </w:p>
    <w:p w14:paraId="3CE3DB96">
      <w:pPr>
        <w:spacing w:line="640" w:lineRule="exact"/>
        <w:rPr>
          <w:rFonts w:hint="eastAsia" w:ascii="仿宋_GB2312" w:hAnsi="仿宋_GB2312" w:eastAsia="仿宋_GB2312" w:cs="仿宋_GB2312"/>
          <w:bCs/>
          <w:color w:val="auto"/>
          <w:sz w:val="24"/>
          <w:szCs w:val="24"/>
          <w:highlight w:val="none"/>
        </w:rPr>
      </w:pPr>
    </w:p>
    <w:p w14:paraId="0ACAFF21">
      <w:pPr>
        <w:spacing w:before="120" w:after="120"/>
        <w:ind w:left="-420" w:leftChars="-200"/>
        <w:jc w:val="center"/>
        <w:rPr>
          <w:rFonts w:hint="eastAsia" w:ascii="仿宋_GB2312" w:hAnsi="仿宋_GB2312" w:eastAsia="仿宋_GB2312" w:cs="仿宋_GB2312"/>
          <w:b/>
          <w:bCs/>
          <w:color w:val="auto"/>
          <w:sz w:val="24"/>
          <w:szCs w:val="24"/>
          <w:u w:val="single"/>
        </w:rPr>
      </w:pPr>
      <w:r>
        <w:rPr>
          <w:rFonts w:hint="eastAsia" w:ascii="仿宋_GB2312" w:hAnsi="仿宋_GB2312" w:eastAsia="仿宋_GB2312" w:cs="仿宋_GB2312"/>
          <w:b/>
          <w:bCs/>
          <w:color w:val="auto"/>
          <w:sz w:val="24"/>
          <w:szCs w:val="24"/>
          <w:u w:val="single"/>
          <w:lang w:val="en-US" w:eastAsia="zh-CN"/>
        </w:rPr>
        <w:t>广州市黄埔区JKGA-1地块</w:t>
      </w:r>
      <w:r>
        <w:rPr>
          <w:rFonts w:hint="eastAsia" w:ascii="仿宋_GB2312" w:hAnsi="仿宋_GB2312" w:eastAsia="仿宋_GB2312" w:cs="仿宋_GB2312"/>
          <w:b/>
          <w:bCs/>
          <w:color w:val="auto"/>
          <w:sz w:val="24"/>
          <w:szCs w:val="24"/>
          <w:u w:val="single"/>
        </w:rPr>
        <w:t>项目工程质量第三方检测监测服务</w:t>
      </w:r>
    </w:p>
    <w:p w14:paraId="1F9788F5">
      <w:pPr>
        <w:adjustRightInd w:val="0"/>
        <w:snapToGrid w:val="0"/>
        <w:spacing w:line="64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技术服务合同</w:t>
      </w:r>
    </w:p>
    <w:p w14:paraId="4DAB3A14">
      <w:pPr>
        <w:adjustRightInd w:val="0"/>
        <w:snapToGrid w:val="0"/>
        <w:spacing w:line="640" w:lineRule="exact"/>
        <w:jc w:val="center"/>
        <w:rPr>
          <w:rFonts w:hint="eastAsia" w:ascii="仿宋_GB2312" w:hAnsi="仿宋_GB2312" w:eastAsia="仿宋_GB2312" w:cs="仿宋_GB2312"/>
          <w:b/>
          <w:color w:val="auto"/>
          <w:sz w:val="24"/>
          <w:szCs w:val="24"/>
        </w:rPr>
      </w:pPr>
    </w:p>
    <w:p w14:paraId="4AFC7148">
      <w:pPr>
        <w:adjustRightInd w:val="0"/>
        <w:snapToGrid w:val="0"/>
        <w:spacing w:line="640" w:lineRule="exact"/>
        <w:rPr>
          <w:rFonts w:hint="default" w:ascii="仿宋_GB2312" w:hAnsi="仿宋_GB2312" w:eastAsia="仿宋_GB2312" w:cs="仿宋_GB2312"/>
          <w:bCs/>
          <w:color w:val="auto"/>
          <w:sz w:val="24"/>
          <w:szCs w:val="24"/>
          <w:highlight w:val="none"/>
          <w:u w:val="single"/>
          <w:lang w:val="en-US"/>
        </w:rPr>
      </w:pPr>
      <w:r>
        <w:rPr>
          <w:rFonts w:hint="eastAsia" w:ascii="仿宋_GB2312" w:hAnsi="仿宋_GB2312" w:eastAsia="仿宋_GB2312" w:cs="仿宋_GB2312"/>
          <w:b/>
          <w:color w:val="auto"/>
          <w:sz w:val="24"/>
          <w:szCs w:val="24"/>
          <w:highlight w:val="none"/>
        </w:rPr>
        <w:t>委托单位（甲方）：</w:t>
      </w:r>
      <w:r>
        <w:rPr>
          <w:rFonts w:hint="eastAsia" w:ascii="仿宋_GB2312" w:hAnsi="仿宋_GB2312" w:eastAsia="仿宋_GB2312" w:cs="仿宋_GB2312"/>
          <w:bCs/>
          <w:color w:val="auto"/>
          <w:sz w:val="24"/>
          <w:szCs w:val="24"/>
          <w:highlight w:val="none"/>
          <w:u w:val="single"/>
          <w:lang w:val="en-US" w:eastAsia="zh-CN"/>
        </w:rPr>
        <w:t>知信（广州）投资开发有限公司</w:t>
      </w:r>
    </w:p>
    <w:p w14:paraId="351E4237">
      <w:pPr>
        <w:adjustRightInd w:val="0"/>
        <w:snapToGrid w:val="0"/>
        <w:spacing w:line="640" w:lineRule="exact"/>
        <w:rPr>
          <w:rFonts w:hint="eastAsia" w:ascii="仿宋_GB2312" w:hAnsi="仿宋_GB2312" w:eastAsia="仿宋_GB2312" w:cs="仿宋_GB2312"/>
          <w:b/>
          <w:color w:val="auto"/>
          <w:sz w:val="24"/>
          <w:szCs w:val="24"/>
          <w:highlight w:val="none"/>
          <w:u w:val="single"/>
        </w:rPr>
      </w:pPr>
      <w:r>
        <w:rPr>
          <w:rFonts w:hint="eastAsia" w:ascii="仿宋_GB2312" w:hAnsi="仿宋_GB2312" w:eastAsia="仿宋_GB2312" w:cs="仿宋_GB2312"/>
          <w:b/>
          <w:color w:val="auto"/>
          <w:sz w:val="24"/>
          <w:szCs w:val="24"/>
          <w:highlight w:val="none"/>
        </w:rPr>
        <w:t>检测</w:t>
      </w:r>
      <w:r>
        <w:rPr>
          <w:rFonts w:hint="eastAsia" w:ascii="仿宋_GB2312" w:hAnsi="仿宋_GB2312" w:eastAsia="仿宋_GB2312" w:cs="仿宋_GB2312"/>
          <w:b/>
          <w:color w:val="auto"/>
          <w:sz w:val="24"/>
          <w:szCs w:val="24"/>
          <w:highlight w:val="none"/>
          <w:lang w:val="en-US" w:eastAsia="zh-CN"/>
        </w:rPr>
        <w:t>监测</w:t>
      </w:r>
      <w:r>
        <w:rPr>
          <w:rFonts w:hint="eastAsia" w:ascii="仿宋_GB2312" w:hAnsi="仿宋_GB2312" w:eastAsia="仿宋_GB2312" w:cs="仿宋_GB2312"/>
          <w:b/>
          <w:color w:val="auto"/>
          <w:sz w:val="24"/>
          <w:szCs w:val="24"/>
          <w:highlight w:val="none"/>
        </w:rPr>
        <w:t>单位（乙方）：</w:t>
      </w:r>
      <w:r>
        <w:rPr>
          <w:rFonts w:hint="eastAsia" w:ascii="仿宋_GB2312" w:hAnsi="仿宋_GB2312" w:eastAsia="仿宋_GB2312" w:cs="仿宋_GB2312"/>
          <w:bCs/>
          <w:color w:val="auto"/>
          <w:sz w:val="24"/>
          <w:szCs w:val="24"/>
          <w:highlight w:val="none"/>
          <w:u w:val="single"/>
          <w:lang w:val="en-US" w:eastAsia="zh-CN"/>
        </w:rPr>
        <w:t xml:space="preserve">                                </w:t>
      </w:r>
    </w:p>
    <w:p w14:paraId="0A1B36BC">
      <w:pPr>
        <w:adjustRightInd w:val="0"/>
        <w:snapToGrid w:val="0"/>
        <w:spacing w:line="640" w:lineRule="exact"/>
        <w:ind w:firstLine="640"/>
        <w:rPr>
          <w:rFonts w:hint="eastAsia" w:ascii="仿宋_GB2312" w:hAnsi="仿宋_GB2312" w:eastAsia="仿宋_GB2312" w:cs="仿宋_GB2312"/>
          <w:color w:val="auto"/>
          <w:sz w:val="24"/>
          <w:szCs w:val="24"/>
          <w:highlight w:val="none"/>
        </w:rPr>
      </w:pPr>
    </w:p>
    <w:p w14:paraId="5DC33B2C">
      <w:pPr>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根据《中华人民共和国民法典》及其他有关法律、法规，甲、乙双方在遵循平等、自愿、公平、互利和诚实信用的原则下，就下述建设工程</w:t>
      </w:r>
      <w:r>
        <w:rPr>
          <w:rFonts w:hint="eastAsia" w:ascii="仿宋_GB2312" w:hAnsi="仿宋_GB2312" w:eastAsia="仿宋_GB2312" w:cs="仿宋_GB2312"/>
          <w:color w:val="auto"/>
          <w:sz w:val="24"/>
          <w:szCs w:val="24"/>
          <w:highlight w:val="none"/>
          <w:lang w:val="en-US" w:eastAsia="zh-CN"/>
        </w:rPr>
        <w:t>第三方</w:t>
      </w:r>
      <w:r>
        <w:rPr>
          <w:rFonts w:hint="eastAsia" w:ascii="仿宋_GB2312" w:hAnsi="仿宋_GB2312" w:eastAsia="仿宋_GB2312" w:cs="仿宋_GB2312"/>
          <w:color w:val="auto"/>
          <w:sz w:val="24"/>
          <w:szCs w:val="24"/>
          <w:highlight w:val="none"/>
        </w:rPr>
        <w:t>检测</w:t>
      </w:r>
      <w:r>
        <w:rPr>
          <w:rFonts w:hint="eastAsia" w:ascii="仿宋_GB2312" w:hAnsi="仿宋_GB2312" w:eastAsia="仿宋_GB2312" w:cs="仿宋_GB2312"/>
          <w:color w:val="auto"/>
          <w:sz w:val="24"/>
          <w:szCs w:val="24"/>
          <w:highlight w:val="none"/>
          <w:lang w:val="en-US" w:eastAsia="zh-CN"/>
        </w:rPr>
        <w:t>监测</w:t>
      </w:r>
      <w:r>
        <w:rPr>
          <w:rFonts w:hint="eastAsia" w:ascii="仿宋_GB2312" w:hAnsi="仿宋_GB2312" w:eastAsia="仿宋_GB2312" w:cs="仿宋_GB2312"/>
          <w:color w:val="auto"/>
          <w:sz w:val="24"/>
          <w:szCs w:val="24"/>
          <w:highlight w:val="none"/>
        </w:rPr>
        <w:t>及相关服务事项协商一致，订立本合同。</w:t>
      </w:r>
    </w:p>
    <w:p w14:paraId="2BB11715">
      <w:pPr>
        <w:keepNext/>
        <w:keepLines/>
        <w:spacing w:before="260" w:after="260" w:line="400" w:lineRule="exact"/>
        <w:outlineLvl w:val="1"/>
        <w:rPr>
          <w:rFonts w:hint="eastAsia" w:ascii="仿宋_GB2312" w:hAnsi="仿宋_GB2312" w:eastAsia="仿宋_GB2312" w:cs="仿宋_GB2312"/>
          <w:b/>
          <w:bCs/>
          <w:color w:val="auto"/>
          <w:sz w:val="24"/>
          <w:szCs w:val="24"/>
          <w:highlight w:val="none"/>
        </w:rPr>
      </w:pPr>
      <w:bookmarkStart w:id="2" w:name="_Toc469384360"/>
      <w:r>
        <w:rPr>
          <w:rFonts w:hint="eastAsia" w:ascii="仿宋_GB2312" w:hAnsi="仿宋_GB2312" w:eastAsia="仿宋_GB2312" w:cs="仿宋_GB2312"/>
          <w:b/>
          <w:bCs/>
          <w:color w:val="auto"/>
          <w:sz w:val="24"/>
          <w:szCs w:val="24"/>
          <w:highlight w:val="none"/>
        </w:rPr>
        <w:t>一、项目概况</w:t>
      </w:r>
      <w:bookmarkEnd w:id="2"/>
    </w:p>
    <w:p w14:paraId="1C5D78C9">
      <w:pPr>
        <w:spacing w:line="400" w:lineRule="exact"/>
        <w:ind w:firstLine="480" w:firstLineChars="200"/>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lang w:val="en-US" w:eastAsia="zh-CN"/>
        </w:rPr>
        <w:t>广州市黄埔区JKG-A-1地块项目第三方检测监测</w:t>
      </w:r>
    </w:p>
    <w:p w14:paraId="680AEA8B">
      <w:pPr>
        <w:adjustRightInd w:val="0"/>
        <w:snapToGrid w:val="0"/>
        <w:spacing w:line="400" w:lineRule="exact"/>
        <w:ind w:firstLine="475" w:firstLineChars="198"/>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rPr>
        <w:t>工程规模：</w:t>
      </w:r>
      <w:r>
        <w:rPr>
          <w:rFonts w:hint="eastAsia" w:ascii="仿宋_GB2312" w:hAnsi="仿宋_GB2312" w:eastAsia="仿宋_GB2312" w:cs="仿宋_GB2312"/>
          <w:color w:val="auto"/>
          <w:sz w:val="24"/>
          <w:szCs w:val="24"/>
          <w:highlight w:val="none"/>
          <w:u w:val="single"/>
        </w:rPr>
        <w:t>项目总建设用地面积50322㎡，总建筑面积约为172446.80㎡。拟建设10栋高层(最高层数超20层)住宅(含地下室)、幼儿园、肉菜市场、邮政所、垃圾站、公交站、社区居委会等相关公建配套。具体以招标人最终实施的方案为准。基坑工程安全等级为一级、局部为二级；地基基础设计等级为甲级。（具体建设指标以正式项目规划报批文件为准）。</w:t>
      </w:r>
    </w:p>
    <w:p w14:paraId="5D943C88">
      <w:pPr>
        <w:adjustRightInd w:val="0"/>
        <w:snapToGrid w:val="0"/>
        <w:spacing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1.3</w:t>
      </w:r>
      <w:r>
        <w:rPr>
          <w:rFonts w:hint="eastAsia" w:ascii="仿宋_GB2312" w:hAnsi="仿宋_GB2312" w:eastAsia="仿宋_GB2312" w:cs="仿宋_GB2312"/>
          <w:color w:val="auto"/>
          <w:sz w:val="24"/>
          <w:szCs w:val="24"/>
          <w:highlight w:val="none"/>
        </w:rPr>
        <w:t>资金来源：</w:t>
      </w:r>
      <w:r>
        <w:rPr>
          <w:rFonts w:hint="eastAsia" w:ascii="仿宋_GB2312" w:hAnsi="仿宋_GB2312" w:eastAsia="仿宋_GB2312" w:cs="仿宋_GB2312"/>
          <w:color w:val="auto"/>
          <w:sz w:val="24"/>
          <w:szCs w:val="24"/>
          <w:highlight w:val="none"/>
          <w:u w:val="single"/>
        </w:rPr>
        <w:t xml:space="preserve"> 自筹资金 </w:t>
      </w:r>
    </w:p>
    <w:p w14:paraId="119459FD">
      <w:pPr>
        <w:adjustRightInd w:val="0"/>
        <w:snapToGrid w:val="0"/>
        <w:spacing w:line="400" w:lineRule="exact"/>
        <w:ind w:firstLine="475" w:firstLineChars="198"/>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工程地点：</w:t>
      </w:r>
      <w:r>
        <w:rPr>
          <w:rFonts w:hint="eastAsia" w:ascii="仿宋_GB2312" w:hAnsi="仿宋_GB2312" w:eastAsia="仿宋_GB2312" w:cs="仿宋_GB2312"/>
          <w:color w:val="auto"/>
          <w:sz w:val="24"/>
          <w:szCs w:val="24"/>
          <w:highlight w:val="none"/>
          <w:u w:val="single"/>
        </w:rPr>
        <w:t>广州市黄埔区JKG-A-1地块项目位于广州市黄埔区</w:t>
      </w:r>
      <w:r>
        <w:rPr>
          <w:rFonts w:hint="eastAsia" w:ascii="仿宋_GB2312" w:hAnsi="仿宋_GB2312" w:eastAsia="仿宋_GB2312" w:cs="仿宋_GB2312"/>
          <w:color w:val="auto"/>
          <w:sz w:val="24"/>
          <w:szCs w:val="24"/>
          <w:highlight w:val="none"/>
          <w:u w:val="single"/>
          <w:lang w:val="en-US" w:eastAsia="zh-CN"/>
        </w:rPr>
        <w:t>广汕公路以北、金坑地铁站以西（广州经济技术开发区）</w:t>
      </w:r>
    </w:p>
    <w:p w14:paraId="5EB7233A">
      <w:pPr>
        <w:keepNext/>
        <w:keepLines/>
        <w:spacing w:before="260" w:after="260" w:line="400" w:lineRule="exact"/>
        <w:outlineLvl w:val="1"/>
        <w:rPr>
          <w:rFonts w:hint="eastAsia" w:ascii="仿宋_GB2312" w:hAnsi="仿宋_GB2312" w:eastAsia="仿宋_GB2312" w:cs="仿宋_GB2312"/>
          <w:bCs/>
          <w:color w:val="auto"/>
          <w:sz w:val="24"/>
          <w:szCs w:val="24"/>
          <w:highlight w:val="none"/>
          <w:u w:val="single"/>
          <w:lang w:val="en-US" w:eastAsia="zh-CN"/>
        </w:rPr>
      </w:pPr>
      <w:bookmarkStart w:id="3" w:name="_Toc469384361"/>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val="en-US" w:eastAsia="zh-CN"/>
        </w:rPr>
        <w:t>检测、监测</w:t>
      </w:r>
      <w:r>
        <w:rPr>
          <w:rFonts w:hint="eastAsia" w:ascii="仿宋_GB2312" w:hAnsi="仿宋_GB2312" w:eastAsia="仿宋_GB2312" w:cs="仿宋_GB2312"/>
          <w:b/>
          <w:bCs/>
          <w:color w:val="auto"/>
          <w:sz w:val="24"/>
          <w:szCs w:val="24"/>
          <w:highlight w:val="none"/>
        </w:rPr>
        <w:t>内容</w:t>
      </w:r>
      <w:bookmarkEnd w:id="3"/>
      <w:r>
        <w:rPr>
          <w:rFonts w:hint="eastAsia" w:ascii="仿宋_GB2312" w:hAnsi="仿宋_GB2312" w:eastAsia="仿宋_GB2312" w:cs="仿宋_GB2312"/>
          <w:b/>
          <w:bCs/>
          <w:color w:val="auto"/>
          <w:sz w:val="24"/>
          <w:szCs w:val="24"/>
          <w:highlight w:val="none"/>
          <w:lang w:val="en-US" w:eastAsia="zh-CN"/>
        </w:rPr>
        <w:t>及要求</w:t>
      </w:r>
    </w:p>
    <w:p w14:paraId="75934710">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2.1检测</w:t>
      </w:r>
      <w:r>
        <w:rPr>
          <w:rFonts w:hint="eastAsia" w:ascii="仿宋_GB2312" w:hAnsi="仿宋_GB2312" w:eastAsia="仿宋_GB2312" w:cs="仿宋_GB2312"/>
          <w:color w:val="auto"/>
          <w:sz w:val="24"/>
          <w:szCs w:val="24"/>
          <w:highlight w:val="none"/>
        </w:rPr>
        <w:t>服务</w:t>
      </w:r>
      <w:r>
        <w:rPr>
          <w:rFonts w:hint="eastAsia" w:ascii="仿宋_GB2312" w:hAnsi="仿宋_GB2312" w:eastAsia="仿宋_GB2312" w:cs="仿宋_GB2312"/>
          <w:color w:val="auto"/>
          <w:sz w:val="24"/>
          <w:szCs w:val="24"/>
          <w:highlight w:val="none"/>
          <w:lang w:val="en-US" w:eastAsia="zh-CN"/>
        </w:rPr>
        <w:t>内容</w:t>
      </w:r>
      <w:r>
        <w:rPr>
          <w:rFonts w:hint="eastAsia" w:ascii="仿宋_GB2312" w:hAnsi="仿宋_GB2312" w:eastAsia="仿宋_GB2312" w:cs="仿宋_GB2312"/>
          <w:color w:val="auto"/>
          <w:sz w:val="24"/>
          <w:szCs w:val="24"/>
          <w:highlight w:val="none"/>
        </w:rPr>
        <w:t>：乙方按照国家有关检测规范和甲方的要求对甲方委托的服务项目进行检测，确保工程质量。</w:t>
      </w:r>
    </w:p>
    <w:p w14:paraId="1B4F6D0B">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2.1.1检测</w:t>
      </w:r>
      <w:r>
        <w:rPr>
          <w:rFonts w:hint="eastAsia" w:ascii="仿宋_GB2312" w:hAnsi="仿宋_GB2312" w:eastAsia="仿宋_GB2312" w:cs="仿宋_GB2312"/>
          <w:color w:val="auto"/>
          <w:sz w:val="24"/>
          <w:szCs w:val="24"/>
          <w:highlight w:val="none"/>
        </w:rPr>
        <w:t>服务范围：</w:t>
      </w:r>
      <w:r>
        <w:rPr>
          <w:rFonts w:hint="eastAsia" w:ascii="仿宋_GB2312" w:hAnsi="仿宋_GB2312" w:eastAsia="仿宋_GB2312" w:cs="仿宋_GB2312"/>
          <w:bCs/>
          <w:color w:val="auto"/>
          <w:sz w:val="24"/>
          <w:szCs w:val="24"/>
          <w:highlight w:val="none"/>
        </w:rPr>
        <w:t>为</w:t>
      </w:r>
      <w:r>
        <w:rPr>
          <w:rFonts w:hint="eastAsia" w:ascii="仿宋_GB2312" w:hAnsi="仿宋_GB2312" w:eastAsia="仿宋_GB2312" w:cs="仿宋_GB2312"/>
          <w:color w:val="auto"/>
          <w:sz w:val="24"/>
          <w:szCs w:val="24"/>
          <w:highlight w:val="none"/>
          <w:u w:val="none"/>
          <w:lang w:val="en-US" w:eastAsia="zh-CN"/>
        </w:rPr>
        <w:t>项目</w:t>
      </w:r>
      <w:r>
        <w:rPr>
          <w:rFonts w:hint="eastAsia" w:ascii="仿宋_GB2312" w:hAnsi="仿宋_GB2312" w:eastAsia="仿宋_GB2312" w:cs="仿宋_GB2312"/>
          <w:bCs/>
          <w:color w:val="auto"/>
          <w:sz w:val="24"/>
          <w:szCs w:val="24"/>
          <w:highlight w:val="none"/>
        </w:rPr>
        <w:t>提供</w:t>
      </w:r>
      <w:r>
        <w:rPr>
          <w:rFonts w:hint="eastAsia" w:ascii="仿宋_GB2312" w:hAnsi="仿宋_GB2312" w:eastAsia="仿宋_GB2312" w:cs="仿宋_GB2312"/>
          <w:bCs/>
          <w:color w:val="auto"/>
          <w:sz w:val="24"/>
          <w:szCs w:val="24"/>
          <w:highlight w:val="none"/>
          <w:u w:val="none"/>
        </w:rPr>
        <w:t>第三方检测</w:t>
      </w:r>
      <w:r>
        <w:rPr>
          <w:rFonts w:hint="eastAsia" w:ascii="仿宋_GB2312" w:hAnsi="仿宋_GB2312" w:eastAsia="仿宋_GB2312" w:cs="仿宋_GB2312"/>
          <w:bCs/>
          <w:color w:val="auto"/>
          <w:sz w:val="24"/>
          <w:szCs w:val="24"/>
          <w:highlight w:val="none"/>
        </w:rPr>
        <w:t>服务并提供合格的检测报告</w:t>
      </w:r>
      <w:r>
        <w:rPr>
          <w:rFonts w:hint="eastAsia" w:ascii="仿宋_GB2312" w:hAnsi="仿宋_GB2312" w:eastAsia="仿宋_GB2312" w:cs="仿宋_GB2312"/>
          <w:color w:val="auto"/>
          <w:sz w:val="24"/>
          <w:szCs w:val="24"/>
          <w:highlight w:val="none"/>
        </w:rPr>
        <w:t>。检测内容包括：施工及验收阶段相关的</w:t>
      </w:r>
      <w:r>
        <w:rPr>
          <w:rFonts w:hint="eastAsia" w:ascii="仿宋_GB2312" w:hAnsi="仿宋_GB2312" w:eastAsia="仿宋_GB2312" w:cs="仿宋_GB2312"/>
          <w:bCs/>
          <w:color w:val="auto"/>
          <w:sz w:val="24"/>
          <w:szCs w:val="24"/>
          <w:highlight w:val="none"/>
          <w:u w:val="single"/>
          <w:lang w:val="en-US" w:eastAsia="zh-CN"/>
        </w:rPr>
        <w:t xml:space="preserve"> 钢结构检测、地基基础及基坑边坡支护检测、主体结构检测、人防设备检测、防雷检测、室内环境检测、幕墙门窗检测、消防检测、建筑节能检测、智能化检测</w:t>
      </w:r>
      <w:r>
        <w:rPr>
          <w:rFonts w:hint="eastAsia" w:ascii="仿宋_GB2312" w:hAnsi="仿宋_GB2312" w:eastAsia="仿宋_GB2312" w:cs="仿宋_GB2312"/>
          <w:color w:val="auto"/>
          <w:sz w:val="24"/>
          <w:szCs w:val="24"/>
          <w:highlight w:val="none"/>
        </w:rPr>
        <w:t>等项目。检测工作须满足工程建设实际需要、甲方要求及质量要求，具体内容以现行相关规范为准，详见检测清单报价表。</w:t>
      </w:r>
    </w:p>
    <w:p w14:paraId="60049D7D">
      <w:p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具体工作内容及要求包括但不限于：</w:t>
      </w:r>
    </w:p>
    <w:p w14:paraId="7DA1B591">
      <w:p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①</w:t>
      </w:r>
      <w:r>
        <w:rPr>
          <w:rFonts w:hint="eastAsia" w:ascii="仿宋_GB2312" w:hAnsi="仿宋_GB2312" w:eastAsia="仿宋_GB2312" w:cs="仿宋_GB2312"/>
          <w:color w:val="auto"/>
          <w:sz w:val="24"/>
          <w:szCs w:val="24"/>
          <w:highlight w:val="none"/>
        </w:rPr>
        <w:t>具体检测项目及工程量以项目检测清单报价表、设计图纸及有关规范要求为准。检测工作须满足工程建设实际需要、甲方要求及质量要求。</w:t>
      </w:r>
    </w:p>
    <w:p w14:paraId="4495094C">
      <w:p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②</w:t>
      </w:r>
      <w:r>
        <w:rPr>
          <w:rFonts w:hint="eastAsia" w:ascii="仿宋_GB2312" w:hAnsi="仿宋_GB2312" w:eastAsia="仿宋_GB2312" w:cs="仿宋_GB2312"/>
          <w:color w:val="auto"/>
          <w:sz w:val="24"/>
          <w:szCs w:val="24"/>
          <w:highlight w:val="none"/>
        </w:rPr>
        <w:t>根据设计文件、施工组织设计、相关规范和相关行政职能部门及甲方、甲方委托的监理单位要求，结合项目实际情况，编制检测方案，并确保检测方案符合有关规范要求及通过工程所在行政区域的相关建设行政主管部门和监督部门的审批，同时负责协调相关工作，申报检测技术成果的审批，保证技术成果能够通过相关部门认可，确保不因检测工作影响本工程项目的建设进度和竣工验收，由此发生的费用已包含在综合单价中。</w:t>
      </w:r>
    </w:p>
    <w:p w14:paraId="190D5394">
      <w:p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③</w:t>
      </w:r>
      <w:r>
        <w:rPr>
          <w:rFonts w:hint="eastAsia" w:ascii="仿宋_GB2312" w:hAnsi="仿宋_GB2312" w:eastAsia="仿宋_GB2312" w:cs="仿宋_GB2312"/>
          <w:color w:val="auto"/>
          <w:sz w:val="24"/>
          <w:szCs w:val="24"/>
          <w:highlight w:val="none"/>
        </w:rPr>
        <w:t>在进行检测服务过程中，与该工程相关的施工、监理、设计、咨询、业主等相关单位及建设行政主管部门和监督部门协调工作，由此发生的费用已包含在综合单价中。</w:t>
      </w:r>
    </w:p>
    <w:p w14:paraId="16D8CFD8">
      <w:p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④</w:t>
      </w:r>
      <w:r>
        <w:rPr>
          <w:rFonts w:hint="eastAsia" w:ascii="仿宋_GB2312" w:hAnsi="仿宋_GB2312" w:eastAsia="仿宋_GB2312" w:cs="仿宋_GB2312"/>
          <w:color w:val="auto"/>
          <w:sz w:val="24"/>
          <w:szCs w:val="24"/>
          <w:highlight w:val="none"/>
        </w:rPr>
        <w:t>本检测项目已包含监督抽检的工作内容，监督抽检数量按建设行政主管部门要求实施，由此发生的费用已包含在综合单价中。</w:t>
      </w:r>
    </w:p>
    <w:p w14:paraId="4793C1D7">
      <w:p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⑤</w:t>
      </w:r>
      <w:r>
        <w:rPr>
          <w:rFonts w:hint="eastAsia" w:ascii="仿宋_GB2312" w:hAnsi="仿宋_GB2312" w:eastAsia="仿宋_GB2312" w:cs="仿宋_GB2312"/>
          <w:color w:val="auto"/>
          <w:sz w:val="24"/>
          <w:szCs w:val="24"/>
          <w:highlight w:val="none"/>
        </w:rPr>
        <w:t>检测数据的有关信息须按当地政府规定上传至广州市建设工程质量检测监管平台及其他政府指定的信息管理系统（如有），确保不因传输报送工作影响本工程项目的建设进度和竣工验收，由此发生的费用已包含在综合单价中。</w:t>
      </w:r>
    </w:p>
    <w:p w14:paraId="579F7826">
      <w:p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⑥</w:t>
      </w:r>
      <w:r>
        <w:rPr>
          <w:rFonts w:hint="eastAsia" w:ascii="仿宋_GB2312" w:hAnsi="仿宋_GB2312" w:eastAsia="仿宋_GB2312" w:cs="仿宋_GB2312"/>
          <w:color w:val="auto"/>
          <w:sz w:val="24"/>
          <w:szCs w:val="24"/>
          <w:highlight w:val="none"/>
        </w:rPr>
        <w:t>乙方提交的检测报告在甲方项目实施竣工验收备案时发现因乙方原因有遗漏或错误或需补充提供的，乙方应无条件进行补充或修订直至完成竣工验收备案相应工作并获得甲方认可，由此发生的费用已包含在综合单价中。</w:t>
      </w:r>
    </w:p>
    <w:p w14:paraId="507AA187">
      <w:pPr>
        <w:pStyle w:val="11"/>
        <w:widowControl/>
        <w:spacing w:beforeAutospacing="0" w:afterAutospacing="0" w:line="360" w:lineRule="auto"/>
        <w:ind w:firstLine="480" w:firstLineChars="200"/>
        <w:outlineLvl w:val="1"/>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sz w:val="24"/>
          <w:szCs w:val="24"/>
          <w:highlight w:val="none"/>
          <w:lang w:val="en-US" w:eastAsia="zh-CN"/>
        </w:rPr>
        <w:t>2.2监测服务内容：</w:t>
      </w:r>
      <w:r>
        <w:rPr>
          <w:rFonts w:hint="eastAsia" w:ascii="仿宋_GB2312" w:hAnsi="仿宋_GB2312" w:eastAsia="仿宋_GB2312" w:cs="仿宋_GB2312"/>
          <w:color w:val="auto"/>
          <w:kern w:val="2"/>
          <w:sz w:val="24"/>
          <w:szCs w:val="24"/>
          <w:highlight w:val="none"/>
        </w:rPr>
        <w:t>根据甲方提供的资料及现场情况，编制第三方监测方案</w:t>
      </w:r>
      <w:r>
        <w:rPr>
          <w:rFonts w:hint="eastAsia" w:ascii="仿宋_GB2312" w:hAnsi="仿宋_GB2312" w:eastAsia="仿宋_GB2312" w:cs="仿宋_GB2312"/>
          <w:color w:val="auto"/>
          <w:sz w:val="24"/>
          <w:szCs w:val="24"/>
          <w:highlight w:val="none"/>
        </w:rPr>
        <w:t>，并确保监测方案符合有关规范要求及通过工程所在行政区域的相关建设行政主管部门和监督部门的审批</w:t>
      </w:r>
      <w:r>
        <w:rPr>
          <w:rFonts w:hint="eastAsia" w:ascii="仿宋_GB2312" w:hAnsi="仿宋_GB2312" w:eastAsia="仿宋_GB2312" w:cs="仿宋_GB2312"/>
          <w:color w:val="auto"/>
          <w:kern w:val="2"/>
          <w:sz w:val="24"/>
          <w:szCs w:val="24"/>
          <w:highlight w:val="none"/>
        </w:rPr>
        <w:t>。现场进行</w:t>
      </w:r>
      <w:r>
        <w:rPr>
          <w:rFonts w:hint="eastAsia" w:ascii="仿宋_GB2312" w:hAnsi="仿宋_GB2312" w:eastAsia="仿宋_GB2312" w:cs="仿宋_GB2312"/>
          <w:color w:val="auto"/>
          <w:kern w:val="2"/>
          <w:sz w:val="24"/>
          <w:szCs w:val="24"/>
          <w:highlight w:val="none"/>
          <w:u w:val="none"/>
        </w:rPr>
        <w:t>第三方监测工作，</w:t>
      </w:r>
      <w:r>
        <w:rPr>
          <w:rFonts w:hint="eastAsia" w:ascii="仿宋_GB2312" w:hAnsi="仿宋_GB2312" w:eastAsia="仿宋_GB2312" w:cs="仿宋_GB2312"/>
          <w:color w:val="auto"/>
          <w:kern w:val="2"/>
          <w:sz w:val="24"/>
          <w:szCs w:val="24"/>
          <w:highlight w:val="none"/>
        </w:rPr>
        <w:t>具体工作量根据甲方确认的方案及规范要求实施。包括但不限于以下内容∶</w:t>
      </w:r>
    </w:p>
    <w:p w14:paraId="5799E110">
      <w:pPr>
        <w:pStyle w:val="11"/>
        <w:widowControl/>
        <w:spacing w:beforeAutospacing="0" w:afterAutospacing="0" w:line="360" w:lineRule="auto"/>
        <w:ind w:firstLine="480" w:firstLineChars="200"/>
        <w:rPr>
          <w:rFonts w:hint="eastAsia" w:ascii="仿宋_GB2312" w:hAnsi="仿宋_GB2312" w:eastAsia="仿宋_GB2312" w:cs="仿宋_GB2312"/>
          <w:color w:val="auto"/>
          <w:kern w:val="2"/>
          <w:sz w:val="24"/>
          <w:szCs w:val="24"/>
          <w:highlight w:val="none"/>
          <w:u w:val="single"/>
        </w:rPr>
      </w:pPr>
      <w:r>
        <w:rPr>
          <w:rFonts w:hint="eastAsia" w:ascii="仿宋_GB2312" w:hAnsi="仿宋_GB2312" w:eastAsia="仿宋_GB2312" w:cs="仿宋_GB2312"/>
          <w:color w:val="auto"/>
          <w:kern w:val="2"/>
          <w:sz w:val="24"/>
          <w:szCs w:val="24"/>
          <w:highlight w:val="none"/>
          <w:lang w:val="en-US" w:eastAsia="zh-CN"/>
        </w:rPr>
        <w:t>2.2.1</w:t>
      </w:r>
      <w:r>
        <w:rPr>
          <w:rFonts w:hint="eastAsia" w:ascii="仿宋_GB2312" w:hAnsi="仿宋_GB2312" w:eastAsia="仿宋_GB2312" w:cs="仿宋_GB2312"/>
          <w:color w:val="auto"/>
          <w:kern w:val="2"/>
          <w:sz w:val="24"/>
          <w:szCs w:val="24"/>
          <w:highlight w:val="none"/>
        </w:rPr>
        <w:t>监测内容：</w:t>
      </w:r>
      <w:r>
        <w:rPr>
          <w:rFonts w:hint="eastAsia" w:ascii="仿宋_GB2312" w:hAnsi="仿宋_GB2312" w:eastAsia="仿宋_GB2312" w:cs="仿宋_GB2312"/>
          <w:color w:val="auto"/>
          <w:sz w:val="24"/>
          <w:szCs w:val="24"/>
          <w:highlight w:val="none"/>
          <w:u w:val="single"/>
        </w:rPr>
        <w:t xml:space="preserve"> 基坑监测</w:t>
      </w:r>
      <w:r>
        <w:rPr>
          <w:rFonts w:hint="eastAsia" w:ascii="仿宋_GB2312" w:hAnsi="仿宋_GB2312" w:eastAsia="仿宋_GB2312" w:cs="仿宋_GB2312"/>
          <w:color w:val="auto"/>
          <w:sz w:val="24"/>
          <w:szCs w:val="24"/>
          <w:highlight w:val="none"/>
          <w:u w:val="single"/>
          <w:lang w:eastAsia="zh-CN"/>
        </w:rPr>
        <w:t>、边坡监测、主体沉降观测、</w:t>
      </w:r>
      <w:r>
        <w:rPr>
          <w:rFonts w:hint="eastAsia" w:ascii="仿宋_GB2312" w:hAnsi="仿宋_GB2312" w:eastAsia="仿宋_GB2312" w:cs="仿宋_GB2312"/>
          <w:color w:val="auto"/>
          <w:sz w:val="24"/>
          <w:szCs w:val="24"/>
          <w:highlight w:val="none"/>
          <w:u w:val="single"/>
          <w:lang w:val="en-US" w:eastAsia="zh-CN"/>
        </w:rPr>
        <w:t xml:space="preserve"> 高支模监测 </w:t>
      </w:r>
      <w:r>
        <w:rPr>
          <w:rFonts w:hint="eastAsia" w:ascii="仿宋_GB2312" w:hAnsi="仿宋_GB2312" w:eastAsia="仿宋_GB2312" w:cs="仿宋_GB2312"/>
          <w:color w:val="auto"/>
          <w:kern w:val="2"/>
          <w:sz w:val="24"/>
          <w:szCs w:val="24"/>
          <w:highlight w:val="none"/>
        </w:rPr>
        <w:t>等。</w:t>
      </w:r>
      <w:r>
        <w:rPr>
          <w:rFonts w:hint="eastAsia" w:ascii="仿宋_GB2312" w:hAnsi="仿宋_GB2312" w:eastAsia="仿宋_GB2312" w:cs="仿宋_GB2312"/>
          <w:color w:val="auto"/>
          <w:sz w:val="24"/>
          <w:szCs w:val="24"/>
          <w:highlight w:val="none"/>
        </w:rPr>
        <w:t>监测工作须满足工程建设实际需要及质量要求，具体内容以施工图纸及工程量清单为准。</w:t>
      </w:r>
    </w:p>
    <w:p w14:paraId="5E0AE6FD">
      <w:pPr>
        <w:pStyle w:val="11"/>
        <w:widowControl/>
        <w:spacing w:beforeAutospacing="0" w:afterAutospacing="0" w:line="360" w:lineRule="auto"/>
        <w:ind w:firstLine="480" w:firstLineChars="200"/>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2</w:t>
      </w:r>
      <w:r>
        <w:rPr>
          <w:rFonts w:hint="eastAsia" w:ascii="仿宋_GB2312" w:hAnsi="仿宋_GB2312" w:eastAsia="仿宋_GB2312" w:cs="仿宋_GB2312"/>
          <w:color w:val="auto"/>
          <w:kern w:val="2"/>
          <w:sz w:val="24"/>
          <w:szCs w:val="24"/>
          <w:highlight w:val="none"/>
          <w:lang w:val="en-US" w:eastAsia="zh-CN"/>
        </w:rPr>
        <w:t>.2.2</w:t>
      </w:r>
      <w:r>
        <w:rPr>
          <w:rFonts w:hint="eastAsia" w:ascii="仿宋_GB2312" w:hAnsi="仿宋_GB2312" w:eastAsia="仿宋_GB2312" w:cs="仿宋_GB2312"/>
          <w:color w:val="auto"/>
          <w:kern w:val="2"/>
          <w:sz w:val="24"/>
          <w:szCs w:val="24"/>
          <w:highlight w:val="none"/>
        </w:rPr>
        <w:t>服务范围除以上工程监测/观测、试验工作外，还包括∶</w:t>
      </w:r>
    </w:p>
    <w:p w14:paraId="646E0013">
      <w:pPr>
        <w:pStyle w:val="11"/>
        <w:widowControl/>
        <w:spacing w:beforeAutospacing="0" w:afterAutospacing="0" w:line="360" w:lineRule="auto"/>
        <w:ind w:firstLine="480" w:firstLineChars="200"/>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lang w:val="en-US" w:eastAsia="zh-CN"/>
        </w:rPr>
        <w:t>①</w:t>
      </w:r>
      <w:r>
        <w:rPr>
          <w:rFonts w:hint="eastAsia" w:ascii="仿宋_GB2312" w:hAnsi="仿宋_GB2312" w:eastAsia="仿宋_GB2312" w:cs="仿宋_GB2312"/>
          <w:color w:val="auto"/>
          <w:kern w:val="2"/>
          <w:sz w:val="24"/>
          <w:szCs w:val="24"/>
          <w:highlight w:val="none"/>
        </w:rPr>
        <w:t>根据《广州市城乡建设委员会关于启用地下工程及深基坑安全监测信息管理系统的通知》要求，乙方需做好信息化管理工作（含电子数据上传）；</w:t>
      </w:r>
    </w:p>
    <w:p w14:paraId="14798921">
      <w:pPr>
        <w:pStyle w:val="11"/>
        <w:widowControl/>
        <w:spacing w:beforeAutospacing="0" w:afterAutospacing="0" w:line="360" w:lineRule="auto"/>
        <w:ind w:firstLine="480" w:firstLineChars="200"/>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lang w:val="en-US" w:eastAsia="zh-CN"/>
        </w:rPr>
        <w:t>②</w:t>
      </w:r>
      <w:r>
        <w:rPr>
          <w:rFonts w:hint="eastAsia" w:ascii="仿宋_GB2312" w:hAnsi="仿宋_GB2312" w:eastAsia="仿宋_GB2312" w:cs="仿宋_GB2312"/>
          <w:color w:val="auto"/>
          <w:kern w:val="2"/>
          <w:sz w:val="24"/>
          <w:szCs w:val="24"/>
          <w:highlight w:val="none"/>
        </w:rPr>
        <w:t>与工程所在行政区域的相关建设行政主管部门和监督部门进行监测/观测工作的协调，申报监测/观测技术成果的审批。保证技术成果能够通过相关部门认可，确保不因监测/观测工作影响本工程项目的建设进度、竣工验收和在城建档案馆备案；</w:t>
      </w:r>
    </w:p>
    <w:p w14:paraId="30E2A19B">
      <w:pPr>
        <w:pStyle w:val="11"/>
        <w:widowControl/>
        <w:spacing w:beforeAutospacing="0" w:afterAutospacing="0" w:line="360" w:lineRule="auto"/>
        <w:ind w:firstLine="480" w:firstLineChars="200"/>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lang w:val="en-US" w:eastAsia="zh-CN"/>
        </w:rPr>
        <w:t>③</w:t>
      </w:r>
      <w:r>
        <w:rPr>
          <w:rFonts w:hint="eastAsia" w:ascii="仿宋_GB2312" w:hAnsi="仿宋_GB2312" w:eastAsia="仿宋_GB2312" w:cs="仿宋_GB2312"/>
          <w:color w:val="auto"/>
          <w:kern w:val="2"/>
          <w:sz w:val="24"/>
          <w:szCs w:val="24"/>
          <w:highlight w:val="none"/>
        </w:rPr>
        <w:t>在进行监测/观测任务的过程中与该工程相关的施工单位、监理单位、设计单位、咨询单位、建设主管部门等相关单位协调工作，相关费用</w:t>
      </w:r>
      <w:r>
        <w:rPr>
          <w:rFonts w:hint="eastAsia" w:ascii="仿宋_GB2312" w:hAnsi="仿宋_GB2312" w:eastAsia="仿宋_GB2312" w:cs="仿宋_GB2312"/>
          <w:color w:val="auto"/>
          <w:sz w:val="24"/>
          <w:szCs w:val="24"/>
          <w:highlight w:val="none"/>
        </w:rPr>
        <w:t>已包含在本合同综合单价中</w:t>
      </w:r>
      <w:r>
        <w:rPr>
          <w:rFonts w:hint="eastAsia" w:ascii="仿宋_GB2312" w:hAnsi="仿宋_GB2312" w:eastAsia="仿宋_GB2312" w:cs="仿宋_GB2312"/>
          <w:color w:val="auto"/>
          <w:kern w:val="2"/>
          <w:sz w:val="24"/>
          <w:szCs w:val="24"/>
          <w:highlight w:val="none"/>
        </w:rPr>
        <w:t>；</w:t>
      </w:r>
    </w:p>
    <w:p w14:paraId="60B2AA27">
      <w:pPr>
        <w:pStyle w:val="11"/>
        <w:widowControl/>
        <w:spacing w:beforeAutospacing="0" w:afterAutospacing="0" w:line="360" w:lineRule="auto"/>
        <w:ind w:firstLine="480" w:firstLineChars="200"/>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lang w:val="en-US" w:eastAsia="zh-CN"/>
        </w:rPr>
        <w:t>④</w:t>
      </w:r>
      <w:r>
        <w:rPr>
          <w:rFonts w:hint="eastAsia" w:ascii="仿宋_GB2312" w:hAnsi="仿宋_GB2312" w:eastAsia="仿宋_GB2312" w:cs="仿宋_GB2312"/>
          <w:color w:val="auto"/>
          <w:kern w:val="2"/>
          <w:sz w:val="24"/>
          <w:szCs w:val="24"/>
          <w:highlight w:val="none"/>
        </w:rPr>
        <w:t>通过连接系统对监测数据的有关信息进行传输报送（如需），相关费用</w:t>
      </w:r>
      <w:r>
        <w:rPr>
          <w:rFonts w:hint="eastAsia" w:ascii="仿宋_GB2312" w:hAnsi="仿宋_GB2312" w:eastAsia="仿宋_GB2312" w:cs="仿宋_GB2312"/>
          <w:color w:val="auto"/>
          <w:sz w:val="24"/>
          <w:szCs w:val="24"/>
          <w:highlight w:val="none"/>
        </w:rPr>
        <w:t>已包含在本合同综合单价中</w:t>
      </w:r>
      <w:r>
        <w:rPr>
          <w:rFonts w:hint="eastAsia" w:ascii="仿宋_GB2312" w:hAnsi="仿宋_GB2312" w:eastAsia="仿宋_GB2312" w:cs="仿宋_GB2312"/>
          <w:color w:val="auto"/>
          <w:kern w:val="2"/>
          <w:sz w:val="24"/>
          <w:szCs w:val="24"/>
          <w:highlight w:val="none"/>
        </w:rPr>
        <w:t>；</w:t>
      </w:r>
    </w:p>
    <w:p w14:paraId="1586BDFB">
      <w:pPr>
        <w:pStyle w:val="11"/>
        <w:widowControl/>
        <w:spacing w:beforeAutospacing="0" w:afterAutospacing="0" w:line="360" w:lineRule="auto"/>
        <w:ind w:firstLine="480" w:firstLineChars="200"/>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lang w:val="en-US" w:eastAsia="zh-CN"/>
        </w:rPr>
        <w:t>⑤</w:t>
      </w:r>
      <w:r>
        <w:rPr>
          <w:rFonts w:hint="eastAsia" w:ascii="仿宋_GB2312" w:hAnsi="仿宋_GB2312" w:eastAsia="仿宋_GB2312" w:cs="仿宋_GB2312"/>
          <w:color w:val="auto"/>
          <w:kern w:val="2"/>
          <w:sz w:val="24"/>
          <w:szCs w:val="24"/>
          <w:highlight w:val="none"/>
        </w:rPr>
        <w:t>用于完成本项目监测、观测的仪器、设备和材料由乙方自行配备、运输、存管。仪器、设备和材料应有产品出厂合格证、检定/校准证书等合格证明，同时符合相关技术标准和检定要求；</w:t>
      </w:r>
    </w:p>
    <w:p w14:paraId="59FD4204">
      <w:pPr>
        <w:pStyle w:val="11"/>
        <w:widowControl/>
        <w:spacing w:beforeAutospacing="0" w:afterAutospacing="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rPr>
        <w:t>⑥</w:t>
      </w:r>
      <w:r>
        <w:rPr>
          <w:rFonts w:hint="eastAsia" w:ascii="仿宋_GB2312" w:hAnsi="仿宋_GB2312" w:eastAsia="仿宋_GB2312" w:cs="仿宋_GB2312"/>
          <w:color w:val="auto"/>
          <w:kern w:val="2"/>
          <w:sz w:val="24"/>
          <w:szCs w:val="24"/>
          <w:highlight w:val="none"/>
        </w:rPr>
        <w:t>乙方提交的</w:t>
      </w:r>
      <w:r>
        <w:rPr>
          <w:rFonts w:hint="eastAsia" w:ascii="仿宋_GB2312" w:hAnsi="仿宋_GB2312" w:eastAsia="仿宋_GB2312" w:cs="仿宋_GB2312"/>
          <w:color w:val="auto"/>
          <w:sz w:val="24"/>
          <w:szCs w:val="24"/>
          <w:highlight w:val="none"/>
        </w:rPr>
        <w:t>监测报告在甲方项目实施竣工验收备案时发现因乙方原因有遗漏或错误或需补充提供的，乙方应无条件进行补充或修订直至完成竣工验收备案相应工作，由此发生的费用已包含在本合同综合单价中。</w:t>
      </w:r>
    </w:p>
    <w:p w14:paraId="64230F9B">
      <w:pPr>
        <w:spacing w:before="50" w:after="50" w:line="360" w:lineRule="auto"/>
        <w:ind w:left="48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kern w:val="0"/>
          <w:sz w:val="24"/>
          <w:szCs w:val="24"/>
          <w:highlight w:val="none"/>
          <w:lang w:val="en-US" w:eastAsia="zh-CN" w:bidi="ar-SA"/>
        </w:rPr>
        <w:t>2.3检测、监测要求：必须符合国家、省、市有关规范规程和规定的要求。</w:t>
      </w:r>
    </w:p>
    <w:p w14:paraId="70C23352">
      <w:pPr>
        <w:keepNext/>
        <w:keepLines/>
        <w:spacing w:before="260" w:after="260" w:line="400" w:lineRule="exact"/>
        <w:outlineLvl w:val="1"/>
        <w:rPr>
          <w:rFonts w:hint="eastAsia" w:ascii="仿宋_GB2312" w:hAnsi="仿宋_GB2312" w:eastAsia="仿宋_GB2312" w:cs="仿宋_GB2312"/>
          <w:b/>
          <w:bCs/>
          <w:color w:val="auto"/>
          <w:sz w:val="24"/>
          <w:szCs w:val="24"/>
          <w:highlight w:val="none"/>
        </w:rPr>
      </w:pPr>
      <w:bookmarkStart w:id="4" w:name="_Toc469384362"/>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val="en-US" w:eastAsia="zh-CN"/>
        </w:rPr>
        <w:t>检测、监测</w:t>
      </w:r>
      <w:r>
        <w:rPr>
          <w:rFonts w:hint="eastAsia" w:ascii="仿宋_GB2312" w:hAnsi="仿宋_GB2312" w:eastAsia="仿宋_GB2312" w:cs="仿宋_GB2312"/>
          <w:b/>
          <w:bCs/>
          <w:color w:val="auto"/>
          <w:sz w:val="24"/>
          <w:szCs w:val="24"/>
          <w:highlight w:val="none"/>
        </w:rPr>
        <w:t>服务期限</w:t>
      </w:r>
      <w:bookmarkEnd w:id="4"/>
    </w:p>
    <w:p w14:paraId="083B9521">
      <w:p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本工程的具体开工日期以甲方书面通知为准。为配合现场工期进度，服务周期需按甲方或甲方委托的监理单位要求确定，甲方有权对实际工期根据项目实际施工进度进行调整，乙方检测</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监测</w:t>
      </w:r>
      <w:r>
        <w:rPr>
          <w:rFonts w:hint="eastAsia" w:ascii="仿宋_GB2312" w:hAnsi="仿宋_GB2312" w:eastAsia="仿宋_GB2312" w:cs="仿宋_GB2312"/>
          <w:color w:val="auto"/>
          <w:sz w:val="24"/>
          <w:szCs w:val="24"/>
          <w:highlight w:val="none"/>
        </w:rPr>
        <w:t>工作进度必须满足现场施工和甲方的要求，工期调整等已于综合单价中综合考虑，不再另行计取费用或调增相关费用，乙方不得因此拒绝履行本合同项下义务。</w:t>
      </w:r>
      <w:bookmarkStart w:id="5" w:name="_Toc469384363"/>
      <w:bookmarkStart w:id="6" w:name="_Hlk49778475"/>
    </w:p>
    <w:p w14:paraId="2A38194A">
      <w:pPr>
        <w:keepNext/>
        <w:keepLines/>
        <w:numPr>
          <w:ilvl w:val="0"/>
          <w:numId w:val="0"/>
        </w:numPr>
        <w:spacing w:before="260" w:after="260" w:line="400" w:lineRule="exact"/>
        <w:outlineLvl w:val="1"/>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kern w:val="2"/>
          <w:sz w:val="24"/>
          <w:szCs w:val="24"/>
          <w:lang w:val="en-US" w:eastAsia="zh-CN" w:bidi="ar-SA"/>
        </w:rPr>
        <w:t>四、</w:t>
      </w:r>
      <w:r>
        <w:rPr>
          <w:rFonts w:hint="eastAsia" w:ascii="仿宋_GB2312" w:hAnsi="仿宋_GB2312" w:eastAsia="仿宋_GB2312" w:cs="仿宋_GB2312"/>
          <w:b/>
          <w:bCs/>
          <w:color w:val="auto"/>
          <w:sz w:val="24"/>
          <w:szCs w:val="24"/>
          <w:highlight w:val="none"/>
          <w:lang w:val="en-US" w:eastAsia="zh-CN"/>
        </w:rPr>
        <w:t>工作要求</w:t>
      </w:r>
    </w:p>
    <w:p w14:paraId="3C7F757D">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4.1</w:t>
      </w:r>
      <w:r>
        <w:rPr>
          <w:rFonts w:hint="eastAsia" w:ascii="仿宋_GB2312" w:hAnsi="仿宋_GB2312" w:eastAsia="仿宋_GB2312" w:cs="仿宋_GB2312"/>
          <w:color w:val="auto"/>
          <w:sz w:val="24"/>
          <w:szCs w:val="24"/>
        </w:rPr>
        <w:t>工作方案要求：</w:t>
      </w:r>
    </w:p>
    <w:p w14:paraId="36AFBEDE">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在监测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检测前向甲方提交监测、检测工作方案（含相关配套方案）。乙方编制的本项目监测、检测工作方案必须满足设计文件、国家现行技术规范及相关主管部门的要求，观测点布置及数量必须确保满足工程及周围环境安全，并按相关程序报审（涉及需要组织专家论证的，由乙方组织并承担相关费用，相关费用已包含在单价中），经甲方审批后实施。</w:t>
      </w:r>
    </w:p>
    <w:p w14:paraId="2A965101">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4.2</w:t>
      </w:r>
      <w:r>
        <w:rPr>
          <w:rFonts w:hint="eastAsia" w:ascii="仿宋_GB2312" w:hAnsi="仿宋_GB2312" w:eastAsia="仿宋_GB2312" w:cs="仿宋_GB2312"/>
          <w:color w:val="auto"/>
          <w:sz w:val="24"/>
          <w:szCs w:val="24"/>
        </w:rPr>
        <w:t>监测或检测频率和要求：</w:t>
      </w:r>
    </w:p>
    <w:p w14:paraId="20FF2DD5">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测点布置及频率按设计要求，并且须满足、符合建设行政主管部门和安全监督部门的相关要求。</w:t>
      </w:r>
    </w:p>
    <w:p w14:paraId="58C6310D">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4.3</w:t>
      </w:r>
      <w:r>
        <w:rPr>
          <w:rFonts w:hint="eastAsia" w:ascii="仿宋_GB2312" w:hAnsi="仿宋_GB2312" w:eastAsia="仿宋_GB2312" w:cs="仿宋_GB2312"/>
          <w:color w:val="auto"/>
          <w:sz w:val="24"/>
          <w:szCs w:val="24"/>
        </w:rPr>
        <w:t>成果报告要求：</w:t>
      </w:r>
    </w:p>
    <w:p w14:paraId="4D19CD28">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4.3.1</w:t>
      </w:r>
      <w:r>
        <w:rPr>
          <w:rFonts w:hint="eastAsia" w:ascii="仿宋_GB2312" w:hAnsi="仿宋_GB2312" w:eastAsia="仿宋_GB2312" w:cs="仿宋_GB2312"/>
          <w:color w:val="auto"/>
          <w:sz w:val="24"/>
          <w:szCs w:val="24"/>
        </w:rPr>
        <w:t>每次监测、检测后两个工作日内将监测、检测结果以书面形式一式伍份通知现场监理人员及甲方；现场全部监测、检测完成后三个工作日内提交正式检测报告（壹式 捌 份）。</w:t>
      </w:r>
    </w:p>
    <w:p w14:paraId="6709842E">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4.3.2</w:t>
      </w:r>
      <w:r>
        <w:rPr>
          <w:rFonts w:hint="eastAsia" w:ascii="仿宋_GB2312" w:hAnsi="仿宋_GB2312" w:eastAsia="仿宋_GB2312" w:cs="仿宋_GB2312"/>
          <w:color w:val="auto"/>
          <w:sz w:val="24"/>
          <w:szCs w:val="24"/>
        </w:rPr>
        <w:t>所有检测、监测均应有详细完整的记录表、数据报表、图形和曲线等书面报告。</w:t>
      </w:r>
    </w:p>
    <w:p w14:paraId="2AC51295">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4.3.3</w:t>
      </w:r>
      <w:r>
        <w:rPr>
          <w:rFonts w:hint="eastAsia" w:ascii="仿宋_GB2312" w:hAnsi="仿宋_GB2312" w:eastAsia="仿宋_GB2312" w:cs="仿宋_GB2312"/>
          <w:color w:val="auto"/>
          <w:sz w:val="24"/>
          <w:szCs w:val="24"/>
        </w:rPr>
        <w:t>根据项目需要按甲方要求提供中间成果报告（周报、月报等）。</w:t>
      </w:r>
    </w:p>
    <w:p w14:paraId="115014F1">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4.3.4</w:t>
      </w:r>
      <w:r>
        <w:rPr>
          <w:rFonts w:hint="eastAsia" w:ascii="仿宋_GB2312" w:hAnsi="仿宋_GB2312" w:eastAsia="仿宋_GB2312" w:cs="仿宋_GB2312"/>
          <w:color w:val="auto"/>
          <w:sz w:val="24"/>
          <w:szCs w:val="24"/>
        </w:rPr>
        <w:t>乙方提供的监测数据应满足广州市建委的规定，按时上传，并按每周、每月及时上报监测简报。</w:t>
      </w:r>
    </w:p>
    <w:p w14:paraId="36914CFD">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4.3.5</w:t>
      </w:r>
      <w:r>
        <w:rPr>
          <w:rFonts w:hint="eastAsia" w:ascii="仿宋_GB2312" w:hAnsi="仿宋_GB2312" w:eastAsia="仿宋_GB2312" w:cs="仿宋_GB2312"/>
          <w:color w:val="auto"/>
          <w:sz w:val="24"/>
          <w:szCs w:val="24"/>
        </w:rPr>
        <w:t>检测、监测报告需要符合区安监站、质监站等相关主管部门要求。</w:t>
      </w:r>
    </w:p>
    <w:p w14:paraId="7432A177">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4.3.6</w:t>
      </w:r>
      <w:r>
        <w:rPr>
          <w:rFonts w:hint="eastAsia" w:ascii="仿宋_GB2312" w:hAnsi="仿宋_GB2312" w:eastAsia="仿宋_GB2312" w:cs="仿宋_GB2312"/>
          <w:color w:val="auto"/>
          <w:sz w:val="24"/>
          <w:szCs w:val="24"/>
        </w:rPr>
        <w:t>提交的检测、监测试验报告应具有法定效力。</w:t>
      </w:r>
    </w:p>
    <w:p w14:paraId="074F187F">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4.4</w:t>
      </w:r>
      <w:r>
        <w:rPr>
          <w:rFonts w:hint="eastAsia" w:ascii="仿宋_GB2312" w:hAnsi="仿宋_GB2312" w:eastAsia="仿宋_GB2312" w:cs="仿宋_GB2312"/>
          <w:color w:val="auto"/>
          <w:sz w:val="24"/>
          <w:szCs w:val="24"/>
        </w:rPr>
        <w:t>现场工作要求：</w:t>
      </w:r>
    </w:p>
    <w:p w14:paraId="56E3F3AF">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4.4.1</w:t>
      </w:r>
      <w:r>
        <w:rPr>
          <w:rFonts w:hint="eastAsia" w:ascii="仿宋_GB2312" w:hAnsi="仿宋_GB2312" w:eastAsia="仿宋_GB2312" w:cs="仿宋_GB2312"/>
          <w:color w:val="auto"/>
          <w:sz w:val="24"/>
          <w:szCs w:val="24"/>
        </w:rPr>
        <w:t>乙方应严格按照设计要求、建设行政主管部门和安全监督部门的相关要求及现场监理人员要求，配合工程进度，及时到现场进行检（监）测工作。进场后必须接受甲方及现场监理的监督并予以积极配合。</w:t>
      </w:r>
    </w:p>
    <w:p w14:paraId="55ECFC2A">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4.4.</w:t>
      </w:r>
      <w:r>
        <w:rPr>
          <w:rFonts w:hint="eastAsia" w:ascii="仿宋_GB2312" w:hAnsi="仿宋_GB2312" w:eastAsia="仿宋_GB2312" w:cs="仿宋_GB2312"/>
          <w:color w:val="auto"/>
          <w:sz w:val="24"/>
          <w:szCs w:val="24"/>
        </w:rPr>
        <w:t>2检（监）测工作需按甲方要求24小时内到场检（监）测，并在甲方指定的时间内按质按量完成，不能影响工程其他工序的实施。若未在规定时间内到场，则视为乙方违约并承担违约责任。</w:t>
      </w:r>
    </w:p>
    <w:p w14:paraId="51473988">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4.4.</w:t>
      </w:r>
      <w:r>
        <w:rPr>
          <w:rFonts w:hint="eastAsia" w:ascii="仿宋_GB2312" w:hAnsi="仿宋_GB2312" w:eastAsia="仿宋_GB2312" w:cs="仿宋_GB2312"/>
          <w:color w:val="auto"/>
          <w:sz w:val="24"/>
          <w:szCs w:val="24"/>
        </w:rPr>
        <w:t>3乙方在检（监）测过程中，若发现检（监）测结果异常时，需及时通知甲方、施工方及监理。对检（监）测过程中发现存在的质量问题，提出具体的处理意见和建议。乙方应无条件配合复检（监）。由此产生的相关费用由乙方承担。</w:t>
      </w:r>
    </w:p>
    <w:p w14:paraId="479AFB4E">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4.4.</w:t>
      </w:r>
      <w:r>
        <w:rPr>
          <w:rFonts w:hint="eastAsia" w:ascii="仿宋_GB2312" w:hAnsi="仿宋_GB2312" w:eastAsia="仿宋_GB2312" w:cs="仿宋_GB2312"/>
          <w:color w:val="auto"/>
          <w:sz w:val="24"/>
          <w:szCs w:val="24"/>
        </w:rPr>
        <w:t>4工程出现质量隐患时，必须立即上报甲方，因乙方未及时上报情况，而造成安全事故的，乙方需负相关责任，对甲方造成损失的，乙方应负责赔偿。</w:t>
      </w:r>
    </w:p>
    <w:p w14:paraId="5E96C30A">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4.4.</w:t>
      </w:r>
      <w:r>
        <w:rPr>
          <w:rFonts w:hint="eastAsia" w:ascii="仿宋_GB2312" w:hAnsi="仿宋_GB2312" w:eastAsia="仿宋_GB2312" w:cs="仿宋_GB2312"/>
          <w:color w:val="auto"/>
          <w:sz w:val="24"/>
          <w:szCs w:val="24"/>
        </w:rPr>
        <w:t>5乙方必须按照国家、省、市、市政建筑相关的检（监）测规程及其工程质量检验评定标准、本合同的技术条件来开展进行检（监）测工程；由于乙方原因造成的停工、返工、窝工，由乙方自行承担全部责任并不得向甲方收取其他费用；同时乙方须承担因此给甲方造成的损失。</w:t>
      </w:r>
    </w:p>
    <w:p w14:paraId="40E58B9B">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4.4.</w:t>
      </w:r>
      <w:r>
        <w:rPr>
          <w:rFonts w:hint="eastAsia" w:ascii="仿宋_GB2312" w:hAnsi="仿宋_GB2312" w:eastAsia="仿宋_GB2312" w:cs="仿宋_GB2312"/>
          <w:color w:val="auto"/>
          <w:sz w:val="24"/>
          <w:szCs w:val="24"/>
        </w:rPr>
        <w:t>6由于乙方原因造成工程检（监）测返工或增加工作量，甲方不另外支付费用。</w:t>
      </w:r>
    </w:p>
    <w:p w14:paraId="194D8E7C">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4.5</w:t>
      </w:r>
      <w:r>
        <w:rPr>
          <w:rFonts w:hint="eastAsia" w:ascii="仿宋_GB2312" w:hAnsi="仿宋_GB2312" w:eastAsia="仿宋_GB2312" w:cs="仿宋_GB2312"/>
          <w:color w:val="auto"/>
          <w:sz w:val="24"/>
          <w:szCs w:val="24"/>
        </w:rPr>
        <w:t>检（监）测人员要求：</w:t>
      </w:r>
    </w:p>
    <w:p w14:paraId="5736B0DE">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4.5.1</w:t>
      </w:r>
      <w:r>
        <w:rPr>
          <w:rFonts w:hint="eastAsia" w:ascii="仿宋_GB2312" w:hAnsi="仿宋_GB2312" w:eastAsia="仿宋_GB2312" w:cs="仿宋_GB2312"/>
          <w:color w:val="auto"/>
          <w:sz w:val="24"/>
          <w:szCs w:val="24"/>
        </w:rPr>
        <w:t>乙方检测人员必须持证上岗，甲方有权对现场检测人员的上岗证进行查实，如出现无证上岗现象甲方有权作出处罚或上报主管部门。乙方必须按投标承诺派出满足本检（监）测服务需要人员，全部人员资格报业主备案，乙方不得擅自更换人员。</w:t>
      </w:r>
    </w:p>
    <w:p w14:paraId="7E0EDAD5">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4.5.2</w:t>
      </w:r>
      <w:r>
        <w:rPr>
          <w:rFonts w:hint="eastAsia" w:ascii="仿宋_GB2312" w:hAnsi="仿宋_GB2312" w:eastAsia="仿宋_GB2312" w:cs="仿宋_GB2312"/>
          <w:color w:val="auto"/>
          <w:sz w:val="24"/>
          <w:szCs w:val="24"/>
        </w:rPr>
        <w:t>甲方有权以书面形式要求乙方更换不能按照合同的规定履行的检（监）测人员，对违反合同对甲方或工程造成损失或不良影响的检（监）测人员，甲方有权对其进行警告、通报批评、罚款，直到清退；对触犯法律的，将依法追究其法律责任。</w:t>
      </w:r>
    </w:p>
    <w:p w14:paraId="0297EDAE">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4.5.3</w:t>
      </w:r>
      <w:r>
        <w:rPr>
          <w:rFonts w:hint="eastAsia" w:ascii="仿宋_GB2312" w:hAnsi="仿宋_GB2312" w:eastAsia="仿宋_GB2312" w:cs="仿宋_GB2312"/>
          <w:color w:val="auto"/>
          <w:sz w:val="24"/>
          <w:szCs w:val="24"/>
        </w:rPr>
        <w:t>即使是甲方要求或同意更换的检（监）测人员，其代替的检（监）测人员的资质需不低于投标文件的承诺，并且应得到甲方的认可。</w:t>
      </w:r>
    </w:p>
    <w:p w14:paraId="20B59D8B">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4.6</w:t>
      </w:r>
      <w:r>
        <w:rPr>
          <w:rFonts w:hint="eastAsia" w:ascii="仿宋_GB2312" w:hAnsi="仿宋_GB2312" w:eastAsia="仿宋_GB2312" w:cs="仿宋_GB2312"/>
          <w:color w:val="auto"/>
          <w:sz w:val="24"/>
          <w:szCs w:val="24"/>
        </w:rPr>
        <w:t>其他要求：</w:t>
      </w:r>
    </w:p>
    <w:p w14:paraId="71F098EC">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4.6.1</w:t>
      </w:r>
      <w:r>
        <w:rPr>
          <w:rFonts w:hint="eastAsia" w:ascii="仿宋_GB2312" w:hAnsi="仿宋_GB2312" w:eastAsia="仿宋_GB2312" w:cs="仿宋_GB2312"/>
          <w:color w:val="auto"/>
          <w:sz w:val="24"/>
          <w:szCs w:val="24"/>
        </w:rPr>
        <w:t>乙方应自行解决现场项目组的办公和生活用房、设施、配套水电，以及检（监）测人员交通、通讯费和本项目检（监）测用水电费等，由此发生的费用已包含在综合单价中。</w:t>
      </w:r>
    </w:p>
    <w:p w14:paraId="67C0E28C">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4.6.2</w:t>
      </w:r>
      <w:r>
        <w:rPr>
          <w:rFonts w:hint="eastAsia" w:ascii="仿宋_GB2312" w:hAnsi="仿宋_GB2312" w:eastAsia="仿宋_GB2312" w:cs="仿宋_GB2312"/>
          <w:color w:val="auto"/>
          <w:sz w:val="24"/>
          <w:szCs w:val="24"/>
        </w:rPr>
        <w:t>乙方在施工作业期间应对自己员工行为负责，不得损害或恶意中伤甲方、监理人以及施工单位人员。乙方对第三方责任造成的任何经济损失，由乙方自行承担责任。</w:t>
      </w:r>
    </w:p>
    <w:p w14:paraId="211E8EA1">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4.6.3</w:t>
      </w:r>
      <w:r>
        <w:rPr>
          <w:rFonts w:hint="eastAsia" w:ascii="仿宋_GB2312" w:hAnsi="仿宋_GB2312" w:eastAsia="仿宋_GB2312" w:cs="仿宋_GB2312"/>
          <w:color w:val="auto"/>
          <w:sz w:val="24"/>
          <w:szCs w:val="24"/>
        </w:rPr>
        <w:t>在现场工作的乙方的人员，应遵守甲方的安全保卫及其它有关的规章制度，承担其有关资料保密义务。</w:t>
      </w:r>
    </w:p>
    <w:p w14:paraId="51ED844E">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4.6.4</w:t>
      </w:r>
      <w:r>
        <w:rPr>
          <w:rFonts w:hint="eastAsia" w:ascii="仿宋_GB2312" w:hAnsi="仿宋_GB2312" w:eastAsia="仿宋_GB2312" w:cs="仿宋_GB2312"/>
          <w:color w:val="auto"/>
          <w:sz w:val="24"/>
          <w:szCs w:val="24"/>
        </w:rPr>
        <w:t>乙方在进行工作时，应采取相应的安全、保卫和环境保护措施，并遵守甲方制定的质量、进度、安全、文明施工等各项管理规定和制度。</w:t>
      </w:r>
    </w:p>
    <w:p w14:paraId="56DFE11A">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4.6.5</w:t>
      </w:r>
      <w:r>
        <w:rPr>
          <w:rFonts w:hint="eastAsia" w:ascii="仿宋_GB2312" w:hAnsi="仿宋_GB2312" w:eastAsia="仿宋_GB2312" w:cs="仿宋_GB2312"/>
          <w:color w:val="auto"/>
          <w:sz w:val="24"/>
          <w:szCs w:val="24"/>
        </w:rPr>
        <w:t>乙方需为投入本项目的工作人员购买相应的保险。乙方工作期间发生的有关安全事故、人身伤亡、罚款、损失赔偿、诉讼费及其他一切责任由乙方自行负责。</w:t>
      </w:r>
    </w:p>
    <w:p w14:paraId="2A806219">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4.6.6</w:t>
      </w:r>
      <w:r>
        <w:rPr>
          <w:rFonts w:hint="eastAsia" w:ascii="仿宋_GB2312" w:hAnsi="仿宋_GB2312" w:eastAsia="仿宋_GB2312" w:cs="仿宋_GB2312"/>
          <w:color w:val="auto"/>
          <w:sz w:val="24"/>
          <w:szCs w:val="24"/>
        </w:rPr>
        <w:t>工作全部完成后三天内，乙方及时清理现场垃圾，拆除临时设施，并负责运出现场，做到工完场清，且乙方人员亦全部撤离现场，否则视为违约并承担违约责任。</w:t>
      </w:r>
    </w:p>
    <w:p w14:paraId="51B79BFA">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4.6.7</w:t>
      </w:r>
      <w:r>
        <w:rPr>
          <w:rFonts w:hint="eastAsia" w:ascii="仿宋_GB2312" w:hAnsi="仿宋_GB2312" w:eastAsia="仿宋_GB2312" w:cs="仿宋_GB2312"/>
          <w:color w:val="auto"/>
          <w:sz w:val="24"/>
          <w:szCs w:val="24"/>
        </w:rPr>
        <w:t>乙方应执行甲方制定的相关工程变更管理办法规定，任何类别的变更必须按甲方规定的程序和审批进行，严格遵守“先批准，后变更”的纪律，未经甲方批准自行变更，乙方需承担由此引起的自身和工程施工承包方的责任，且甲方不予支付费用。若由于乙方原因引起的变更，由乙方承担由此产生的相关责任，且甲方不予支付费用。</w:t>
      </w:r>
    </w:p>
    <w:p w14:paraId="75AB098E">
      <w:pPr>
        <w:pStyle w:val="3"/>
        <w:keepNext w:val="0"/>
        <w:keepLines w:val="0"/>
        <w:spacing w:before="166" w:beforeLines="50" w:after="166" w:afterLines="50" w:line="360" w:lineRule="auto"/>
        <w:ind w:firstLine="0" w:firstLineChars="0"/>
        <w:rPr>
          <w:rFonts w:ascii="仿宋_GB2312" w:hAnsi="宋体" w:eastAsia="仿宋_GB2312"/>
          <w:b/>
          <w:color w:val="000000"/>
          <w:sz w:val="24"/>
          <w:szCs w:val="24"/>
        </w:rPr>
      </w:pPr>
      <w:r>
        <w:rPr>
          <w:rFonts w:hint="eastAsia" w:ascii="仿宋_GB2312" w:hAnsi="宋体" w:eastAsia="仿宋_GB2312"/>
          <w:b/>
          <w:color w:val="000000"/>
          <w:sz w:val="24"/>
          <w:szCs w:val="24"/>
        </w:rPr>
        <w:t>五、检测、监测依据</w:t>
      </w:r>
    </w:p>
    <w:p w14:paraId="70DEC2EB">
      <w:pPr>
        <w:spacing w:line="460" w:lineRule="exact"/>
        <w:ind w:firstLine="480" w:firstLineChars="200"/>
        <w:rPr>
          <w:rFonts w:ascii="仿宋" w:hAnsi="仿宋" w:eastAsia="仿宋"/>
          <w:color w:val="000000"/>
          <w:sz w:val="24"/>
          <w:szCs w:val="24"/>
        </w:rPr>
      </w:pPr>
      <w:r>
        <w:rPr>
          <w:rFonts w:hint="eastAsia" w:ascii="仿宋" w:hAnsi="仿宋" w:eastAsia="仿宋" w:cs="宋体"/>
          <w:color w:val="000000"/>
          <w:sz w:val="24"/>
          <w:szCs w:val="24"/>
        </w:rPr>
        <w:t>按照国家、地方政府以及行业主管部门现行有效的规范、标准、规程和文件，</w:t>
      </w:r>
      <w:r>
        <w:rPr>
          <w:rFonts w:hint="eastAsia" w:ascii="仿宋" w:hAnsi="仿宋" w:eastAsia="仿宋"/>
          <w:color w:val="000000"/>
          <w:sz w:val="24"/>
          <w:szCs w:val="24"/>
        </w:rPr>
        <w:t>本合同约定的质量检测/监测服务适用的技术标准、规范等依据必须符合相关监督管理部门的规范标准。</w:t>
      </w:r>
    </w:p>
    <w:p w14:paraId="2CE259AA">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p>
    <w:p w14:paraId="28D523E1">
      <w:pPr>
        <w:keepNext/>
        <w:keepLines/>
        <w:numPr>
          <w:ilvl w:val="0"/>
          <w:numId w:val="0"/>
        </w:numPr>
        <w:spacing w:before="260" w:after="260" w:line="400" w:lineRule="exact"/>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2"/>
          <w:sz w:val="24"/>
          <w:szCs w:val="24"/>
          <w:lang w:val="en-US" w:eastAsia="zh-CN" w:bidi="ar-SA"/>
        </w:rPr>
        <w:t>六、</w:t>
      </w:r>
      <w:r>
        <w:rPr>
          <w:rFonts w:hint="eastAsia" w:ascii="仿宋_GB2312" w:hAnsi="仿宋_GB2312" w:eastAsia="仿宋_GB2312" w:cs="仿宋_GB2312"/>
          <w:b/>
          <w:bCs/>
          <w:color w:val="auto"/>
          <w:sz w:val="24"/>
          <w:szCs w:val="24"/>
          <w:highlight w:val="none"/>
        </w:rPr>
        <w:t>费用及计算方式</w:t>
      </w:r>
      <w:bookmarkEnd w:id="5"/>
    </w:p>
    <w:p w14:paraId="4DF5436D">
      <w:pPr>
        <w:numPr>
          <w:ilvl w:val="0"/>
          <w:numId w:val="0"/>
        </w:numPr>
        <w:adjustRightInd w:val="0"/>
        <w:snapToGrid w:val="0"/>
        <w:spacing w:before="156" w:beforeLines="50" w:line="400" w:lineRule="exact"/>
        <w:ind w:firstLine="475" w:firstLineChars="198"/>
        <w:rPr>
          <w:rFonts w:hint="default" w:ascii="仿宋_GB2312" w:hAnsi="仿宋_GB2312" w:eastAsia="仿宋_GB2312" w:cs="仿宋_GB2312"/>
          <w:b/>
          <w:bCs/>
          <w:color w:val="auto"/>
          <w:kern w:val="2"/>
          <w:sz w:val="24"/>
          <w:szCs w:val="24"/>
          <w:lang w:val="en-US" w:eastAsia="zh-CN" w:bidi="ar-SA"/>
        </w:rPr>
      </w:pPr>
      <w:bookmarkStart w:id="7" w:name="_Hlk89262651"/>
      <w:r>
        <w:rPr>
          <w:rFonts w:hint="eastAsia" w:ascii="仿宋_GB2312" w:hAnsi="仿宋_GB2312" w:eastAsia="仿宋_GB2312" w:cs="仿宋_GB2312"/>
          <w:b/>
          <w:bCs/>
          <w:color w:val="auto"/>
          <w:kern w:val="2"/>
          <w:sz w:val="24"/>
          <w:szCs w:val="24"/>
          <w:lang w:val="en-US" w:eastAsia="zh-CN" w:bidi="ar-SA"/>
        </w:rPr>
        <w:t>6.1合同价款</w:t>
      </w:r>
    </w:p>
    <w:p w14:paraId="68092D8A">
      <w:pPr>
        <w:numPr>
          <w:ilvl w:val="0"/>
          <w:numId w:val="0"/>
        </w:numPr>
        <w:adjustRightInd w:val="0"/>
        <w:snapToGrid w:val="0"/>
        <w:spacing w:before="156" w:beforeLines="50" w:line="400" w:lineRule="exact"/>
        <w:ind w:firstLine="475" w:firstLineChars="198"/>
        <w:rPr>
          <w:rFonts w:hint="eastAsia" w:ascii="仿宋" w:hAnsi="仿宋" w:eastAsia="仿宋"/>
          <w:color w:val="000000"/>
          <w:sz w:val="24"/>
          <w:szCs w:val="24"/>
        </w:rPr>
      </w:pPr>
      <w:r>
        <w:rPr>
          <w:rFonts w:hint="eastAsia" w:ascii="仿宋_GB2312" w:hAnsi="仿宋_GB2312" w:eastAsia="仿宋_GB2312" w:cs="仿宋_GB2312"/>
          <w:color w:val="auto"/>
          <w:sz w:val="24"/>
          <w:szCs w:val="24"/>
          <w:highlight w:val="none"/>
          <w:lang w:val="en-US" w:eastAsia="zh-CN"/>
        </w:rPr>
        <w:t>本合同暂定总价（含税）为</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，人民币大写：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rPr>
        <w:t>不含税价为¥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元，不含税大写：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，税率为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其中第三方</w:t>
      </w:r>
      <w:r>
        <w:rPr>
          <w:rFonts w:hint="eastAsia" w:ascii="仿宋_GB2312" w:hAnsi="仿宋_GB2312" w:eastAsia="仿宋_GB2312" w:cs="仿宋_GB2312"/>
          <w:color w:val="auto"/>
          <w:sz w:val="24"/>
          <w:szCs w:val="24"/>
          <w:highlight w:val="none"/>
        </w:rPr>
        <w:t>检测费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含税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暂定为元</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，人民币大写：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不含税价¥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元，不含税大写为：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，税率为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第三方监测</w:t>
      </w:r>
      <w:r>
        <w:rPr>
          <w:rFonts w:hint="eastAsia" w:ascii="仿宋_GB2312" w:hAnsi="仿宋_GB2312" w:eastAsia="仿宋_GB2312" w:cs="仿宋_GB2312"/>
          <w:color w:val="auto"/>
          <w:sz w:val="24"/>
          <w:szCs w:val="24"/>
          <w:highlight w:val="none"/>
        </w:rPr>
        <w:t>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含税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暂定为</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元，人民币大写：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rPr>
        <w:t>不含税价为¥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元，不含税大写为：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），税率为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bookmarkEnd w:id="7"/>
      <w:r>
        <w:rPr>
          <w:rFonts w:hint="eastAsia" w:ascii="仿宋" w:hAnsi="仿宋" w:eastAsia="仿宋"/>
          <w:color w:val="000000"/>
          <w:sz w:val="24"/>
          <w:szCs w:val="24"/>
        </w:rPr>
        <w:t>在合同履行期间，由于乙方自身纳税人身份、纳税方式及国家税制改革原因带来税种及税率的变化，非经甲方书面同意，本合同不含税价不予调整，含税价随之进行调整。</w:t>
      </w:r>
    </w:p>
    <w:p w14:paraId="0E97CA97">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6.1.1</w:t>
      </w:r>
      <w:r>
        <w:rPr>
          <w:rFonts w:hint="eastAsia" w:ascii="仿宋_GB2312" w:hAnsi="仿宋_GB2312" w:eastAsia="仿宋_GB2312" w:cs="仿宋_GB2312"/>
          <w:color w:val="auto"/>
          <w:sz w:val="24"/>
          <w:szCs w:val="24"/>
          <w:highlight w:val="none"/>
        </w:rPr>
        <w:t>本工程采用综合单价包干，该综合单价已包括但不限于</w:t>
      </w:r>
      <w:r>
        <w:rPr>
          <w:rFonts w:hint="eastAsia" w:ascii="仿宋_GB2312" w:hAnsi="仿宋_GB2312" w:eastAsia="仿宋_GB2312" w:cs="仿宋_GB2312"/>
          <w:color w:val="auto"/>
          <w:sz w:val="24"/>
          <w:szCs w:val="24"/>
          <w:highlight w:val="none"/>
          <w:lang w:val="en-US" w:eastAsia="zh-CN"/>
        </w:rPr>
        <w:t>完成检测监测工作所需的</w:t>
      </w:r>
      <w:r>
        <w:rPr>
          <w:rFonts w:hint="eastAsia" w:ascii="仿宋_GB2312" w:hAnsi="仿宋_GB2312" w:eastAsia="仿宋_GB2312" w:cs="仿宋_GB2312"/>
          <w:color w:val="auto"/>
          <w:sz w:val="24"/>
          <w:szCs w:val="24"/>
          <w:highlight w:val="none"/>
        </w:rPr>
        <w:t>人工费、材料费、技术服务费、设备费、各项措施费（包括但不限于安全文明施工、临水临电安装及使用、机械设备进出场、工作面清理及整理、检测</w:t>
      </w:r>
      <w:r>
        <w:rPr>
          <w:rFonts w:hint="eastAsia" w:ascii="仿宋_GB2312" w:hAnsi="仿宋_GB2312" w:eastAsia="仿宋_GB2312" w:cs="仿宋_GB2312"/>
          <w:color w:val="auto"/>
          <w:sz w:val="24"/>
          <w:szCs w:val="24"/>
          <w:highlight w:val="none"/>
          <w:lang w:val="en-US" w:eastAsia="zh-CN"/>
        </w:rPr>
        <w:t>监测</w:t>
      </w:r>
      <w:r>
        <w:rPr>
          <w:rFonts w:hint="eastAsia" w:ascii="仿宋_GB2312" w:hAnsi="仿宋_GB2312" w:eastAsia="仿宋_GB2312" w:cs="仿宋_GB2312"/>
          <w:color w:val="auto"/>
          <w:sz w:val="24"/>
          <w:szCs w:val="24"/>
          <w:highlight w:val="none"/>
        </w:rPr>
        <w:t>配载等相关费用）、设备进退场费、检测</w:t>
      </w:r>
      <w:r>
        <w:rPr>
          <w:rFonts w:hint="eastAsia" w:ascii="仿宋_GB2312" w:hAnsi="仿宋_GB2312" w:eastAsia="仿宋_GB2312" w:cs="仿宋_GB2312"/>
          <w:color w:val="auto"/>
          <w:sz w:val="24"/>
          <w:szCs w:val="24"/>
          <w:highlight w:val="none"/>
          <w:lang w:val="en-US" w:eastAsia="zh-CN"/>
        </w:rPr>
        <w:t>监测</w:t>
      </w:r>
      <w:r>
        <w:rPr>
          <w:rFonts w:hint="eastAsia" w:ascii="仿宋_GB2312" w:hAnsi="仿宋_GB2312" w:eastAsia="仿宋_GB2312" w:cs="仿宋_GB2312"/>
          <w:color w:val="auto"/>
          <w:sz w:val="24"/>
          <w:szCs w:val="24"/>
          <w:highlight w:val="none"/>
        </w:rPr>
        <w:t>费、检测</w:t>
      </w:r>
      <w:r>
        <w:rPr>
          <w:rFonts w:hint="eastAsia" w:ascii="仿宋_GB2312" w:hAnsi="仿宋_GB2312" w:eastAsia="仿宋_GB2312" w:cs="仿宋_GB2312"/>
          <w:color w:val="auto"/>
          <w:sz w:val="24"/>
          <w:szCs w:val="24"/>
          <w:highlight w:val="none"/>
          <w:lang w:val="en-US" w:eastAsia="zh-CN"/>
        </w:rPr>
        <w:t>监测</w:t>
      </w:r>
      <w:r>
        <w:rPr>
          <w:rFonts w:hint="eastAsia" w:ascii="仿宋_GB2312" w:hAnsi="仿宋_GB2312" w:eastAsia="仿宋_GB2312" w:cs="仿宋_GB2312"/>
          <w:color w:val="auto"/>
          <w:sz w:val="24"/>
          <w:szCs w:val="24"/>
          <w:highlight w:val="none"/>
        </w:rPr>
        <w:t>试验费、报告编写费、资料整理费、出报告费、报告修改费、报告递送费、知识产权费用、工程验收配合费、水电费、配合协调费、工程保险费、各类税金、各类保险费、各类风险费（</w:t>
      </w:r>
      <w:r>
        <w:rPr>
          <w:rFonts w:hint="eastAsia" w:ascii="仿宋_GB2312" w:hAnsi="仿宋_GB2312" w:eastAsia="仿宋_GB2312" w:cs="仿宋_GB2312"/>
          <w:b/>
          <w:bCs/>
          <w:color w:val="auto"/>
          <w:sz w:val="24"/>
          <w:szCs w:val="24"/>
          <w:highlight w:val="none"/>
        </w:rPr>
        <w:t>乙方确认其在报价</w:t>
      </w:r>
      <w:r>
        <w:rPr>
          <w:rFonts w:hint="eastAsia" w:ascii="仿宋_GB2312" w:hAnsi="仿宋_GB2312" w:eastAsia="仿宋_GB2312" w:cs="仿宋_GB2312"/>
          <w:b/>
          <w:bCs/>
          <w:color w:val="auto"/>
          <w:sz w:val="24"/>
          <w:szCs w:val="24"/>
          <w:highlight w:val="none"/>
          <w:lang w:val="en-US" w:eastAsia="zh-CN"/>
        </w:rPr>
        <w:t>时</w:t>
      </w:r>
      <w:r>
        <w:rPr>
          <w:rFonts w:hint="eastAsia" w:ascii="仿宋_GB2312" w:hAnsi="仿宋_GB2312" w:eastAsia="仿宋_GB2312" w:cs="仿宋_GB2312"/>
          <w:b/>
          <w:bCs/>
          <w:color w:val="auto"/>
          <w:sz w:val="24"/>
          <w:szCs w:val="24"/>
          <w:highlight w:val="none"/>
        </w:rPr>
        <w:t>已自行了解本项目</w:t>
      </w:r>
      <w:r>
        <w:rPr>
          <w:rFonts w:hint="eastAsia" w:ascii="仿宋_GB2312" w:hAnsi="仿宋_GB2312" w:eastAsia="仿宋_GB2312" w:cs="仿宋_GB2312"/>
          <w:b/>
          <w:bCs/>
          <w:color w:val="auto"/>
          <w:sz w:val="24"/>
          <w:szCs w:val="24"/>
          <w:highlight w:val="none"/>
          <w:lang w:val="en-US" w:eastAsia="zh-CN"/>
        </w:rPr>
        <w:t>背景、</w:t>
      </w:r>
      <w:r>
        <w:rPr>
          <w:rFonts w:hint="eastAsia" w:ascii="仿宋_GB2312" w:hAnsi="仿宋_GB2312" w:eastAsia="仿宋_GB2312" w:cs="仿宋_GB2312"/>
          <w:b/>
          <w:bCs/>
          <w:color w:val="auto"/>
          <w:sz w:val="24"/>
          <w:szCs w:val="24"/>
          <w:highlight w:val="none"/>
        </w:rPr>
        <w:t>状况、条件，已</w:t>
      </w:r>
      <w:r>
        <w:rPr>
          <w:rFonts w:hint="eastAsia" w:ascii="仿宋_GB2312" w:hAnsi="仿宋_GB2312" w:eastAsia="仿宋_GB2312" w:cs="仿宋_GB2312"/>
          <w:b/>
          <w:bCs/>
          <w:color w:val="auto"/>
          <w:kern w:val="0"/>
          <w:sz w:val="24"/>
          <w:szCs w:val="24"/>
          <w:highlight w:val="none"/>
        </w:rPr>
        <w:t>充分考虑履约过程中一切因素所引起的风险及可能产生</w:t>
      </w:r>
      <w:r>
        <w:rPr>
          <w:rFonts w:hint="eastAsia" w:ascii="仿宋_GB2312" w:hAnsi="仿宋_GB2312" w:eastAsia="仿宋_GB2312" w:cs="仿宋_GB2312"/>
          <w:b/>
          <w:bCs/>
          <w:color w:val="auto"/>
          <w:kern w:val="0"/>
          <w:sz w:val="24"/>
          <w:szCs w:val="24"/>
          <w:highlight w:val="none"/>
          <w:lang w:val="en-US" w:eastAsia="zh-CN"/>
        </w:rPr>
        <w:t>的</w:t>
      </w:r>
      <w:r>
        <w:rPr>
          <w:rFonts w:hint="eastAsia" w:ascii="仿宋_GB2312" w:hAnsi="仿宋_GB2312" w:eastAsia="仿宋_GB2312" w:cs="仿宋_GB2312"/>
          <w:b/>
          <w:bCs/>
          <w:color w:val="auto"/>
          <w:kern w:val="0"/>
          <w:sz w:val="24"/>
          <w:szCs w:val="24"/>
          <w:highlight w:val="none"/>
        </w:rPr>
        <w:t>其他费用及风险，包括但不限于</w:t>
      </w:r>
      <w:r>
        <w:rPr>
          <w:rFonts w:hint="eastAsia" w:ascii="仿宋_GB2312" w:hAnsi="仿宋_GB2312" w:eastAsia="仿宋_GB2312" w:cs="仿宋_GB2312"/>
          <w:b/>
          <w:bCs/>
          <w:color w:val="auto"/>
          <w:kern w:val="0"/>
          <w:sz w:val="24"/>
          <w:szCs w:val="24"/>
          <w:highlight w:val="none"/>
          <w:lang w:val="en-US" w:eastAsia="zh-CN"/>
        </w:rPr>
        <w:t>因</w:t>
      </w:r>
      <w:r>
        <w:rPr>
          <w:rFonts w:hint="eastAsia" w:ascii="仿宋_GB2312" w:hAnsi="仿宋_GB2312" w:eastAsia="仿宋_GB2312" w:cs="仿宋_GB2312"/>
          <w:b/>
          <w:bCs/>
          <w:color w:val="auto"/>
          <w:kern w:val="0"/>
          <w:sz w:val="24"/>
          <w:szCs w:val="24"/>
          <w:highlight w:val="none"/>
        </w:rPr>
        <w:t>各种政策性</w:t>
      </w:r>
      <w:r>
        <w:rPr>
          <w:rFonts w:hint="eastAsia" w:ascii="仿宋_GB2312" w:hAnsi="仿宋_GB2312" w:eastAsia="仿宋_GB2312" w:cs="仿宋_GB2312"/>
          <w:b/>
          <w:bCs/>
          <w:color w:val="auto"/>
          <w:kern w:val="0"/>
          <w:sz w:val="24"/>
          <w:szCs w:val="24"/>
          <w:highlight w:val="none"/>
          <w:lang w:val="en-US" w:eastAsia="zh-CN"/>
        </w:rPr>
        <w:t>变动</w:t>
      </w:r>
      <w:r>
        <w:rPr>
          <w:rFonts w:hint="eastAsia" w:ascii="仿宋_GB2312" w:hAnsi="仿宋_GB2312" w:eastAsia="仿宋_GB2312" w:cs="仿宋_GB2312"/>
          <w:b/>
          <w:bCs/>
          <w:color w:val="auto"/>
          <w:kern w:val="0"/>
          <w:sz w:val="24"/>
          <w:szCs w:val="24"/>
          <w:highlight w:val="none"/>
        </w:rPr>
        <w:t>、</w:t>
      </w:r>
      <w:r>
        <w:rPr>
          <w:rFonts w:hint="eastAsia" w:ascii="仿宋_GB2312" w:hAnsi="仿宋_GB2312" w:eastAsia="仿宋_GB2312" w:cs="仿宋_GB2312"/>
          <w:b/>
          <w:bCs/>
          <w:color w:val="auto"/>
          <w:kern w:val="0"/>
          <w:sz w:val="24"/>
          <w:szCs w:val="24"/>
          <w:highlight w:val="none"/>
          <w:lang w:val="en-US" w:eastAsia="zh-CN"/>
        </w:rPr>
        <w:t>检测</w:t>
      </w:r>
      <w:r>
        <w:rPr>
          <w:rFonts w:hint="eastAsia" w:ascii="仿宋_GB2312" w:hAnsi="仿宋_GB2312" w:eastAsia="仿宋_GB2312" w:cs="仿宋_GB2312"/>
          <w:b/>
          <w:bCs/>
          <w:color w:val="auto"/>
          <w:kern w:val="0"/>
          <w:sz w:val="24"/>
          <w:szCs w:val="24"/>
          <w:highlight w:val="none"/>
        </w:rPr>
        <w:t>监测清单报价表所列清单</w:t>
      </w:r>
      <w:r>
        <w:rPr>
          <w:rFonts w:hint="eastAsia" w:ascii="仿宋_GB2312" w:hAnsi="仿宋_GB2312" w:eastAsia="仿宋_GB2312" w:cs="仿宋_GB2312"/>
          <w:b/>
          <w:bCs/>
          <w:color w:val="auto"/>
          <w:kern w:val="0"/>
          <w:sz w:val="24"/>
          <w:szCs w:val="24"/>
          <w:highlight w:val="none"/>
          <w:lang w:val="en-US" w:eastAsia="zh-CN"/>
        </w:rPr>
        <w:t>未</w:t>
      </w:r>
      <w:r>
        <w:rPr>
          <w:rFonts w:hint="eastAsia" w:ascii="仿宋_GB2312" w:hAnsi="仿宋_GB2312" w:eastAsia="仿宋_GB2312" w:cs="仿宋_GB2312"/>
          <w:b/>
          <w:bCs/>
          <w:color w:val="auto"/>
          <w:kern w:val="0"/>
          <w:sz w:val="24"/>
          <w:szCs w:val="24"/>
          <w:highlight w:val="none"/>
        </w:rPr>
        <w:t>完全涵盖现政府规范要求、市场</w:t>
      </w:r>
      <w:r>
        <w:rPr>
          <w:rFonts w:hint="eastAsia" w:ascii="仿宋_GB2312" w:hAnsi="仿宋_GB2312" w:eastAsia="仿宋_GB2312" w:cs="仿宋_GB2312"/>
          <w:b/>
          <w:bCs/>
          <w:color w:val="auto"/>
          <w:kern w:val="0"/>
          <w:sz w:val="24"/>
          <w:szCs w:val="24"/>
          <w:highlight w:val="none"/>
          <w:lang w:val="en-US" w:eastAsia="zh-CN"/>
        </w:rPr>
        <w:t>或</w:t>
      </w:r>
      <w:r>
        <w:rPr>
          <w:rFonts w:hint="eastAsia" w:ascii="仿宋_GB2312" w:hAnsi="仿宋_GB2312" w:eastAsia="仿宋_GB2312" w:cs="仿宋_GB2312"/>
          <w:b/>
          <w:bCs/>
          <w:color w:val="auto"/>
          <w:kern w:val="0"/>
          <w:sz w:val="24"/>
          <w:szCs w:val="24"/>
          <w:highlight w:val="none"/>
        </w:rPr>
        <w:t>政府规范调整</w:t>
      </w:r>
      <w:r>
        <w:rPr>
          <w:rFonts w:hint="eastAsia" w:ascii="仿宋_GB2312" w:hAnsi="仿宋_GB2312" w:eastAsia="仿宋_GB2312" w:cs="仿宋_GB2312"/>
          <w:b/>
          <w:bCs/>
          <w:color w:val="auto"/>
          <w:kern w:val="0"/>
          <w:sz w:val="24"/>
          <w:szCs w:val="24"/>
          <w:highlight w:val="none"/>
          <w:lang w:val="en-US" w:eastAsia="zh-CN"/>
        </w:rPr>
        <w:t>等可能增加的工程量、成本</w:t>
      </w:r>
      <w:r>
        <w:rPr>
          <w:rFonts w:hint="eastAsia" w:ascii="仿宋_GB2312" w:hAnsi="仿宋_GB2312" w:eastAsia="仿宋_GB2312" w:cs="仿宋_GB2312"/>
          <w:b/>
          <w:bCs/>
          <w:color w:val="auto"/>
          <w:kern w:val="0"/>
          <w:sz w:val="24"/>
          <w:szCs w:val="24"/>
          <w:highlight w:val="none"/>
        </w:rPr>
        <w:t>等</w:t>
      </w:r>
      <w:r>
        <w:rPr>
          <w:rFonts w:hint="eastAsia" w:ascii="仿宋_GB2312" w:hAnsi="仿宋_GB2312" w:eastAsia="仿宋_GB2312" w:cs="仿宋_GB2312"/>
          <w:color w:val="auto"/>
          <w:sz w:val="24"/>
          <w:szCs w:val="24"/>
          <w:highlight w:val="none"/>
        </w:rPr>
        <w:t>）、各类管理费、规费、利润等全部费用，不因工期、工作量、成本等因素的变化而调整。具体检测</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监测</w:t>
      </w:r>
      <w:r>
        <w:rPr>
          <w:rFonts w:hint="eastAsia" w:ascii="仿宋_GB2312" w:hAnsi="仿宋_GB2312" w:eastAsia="仿宋_GB2312" w:cs="仿宋_GB2312"/>
          <w:color w:val="auto"/>
          <w:sz w:val="24"/>
          <w:szCs w:val="24"/>
          <w:highlight w:val="none"/>
        </w:rPr>
        <w:t>项目及工程量以项目检测</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监测</w:t>
      </w:r>
      <w:r>
        <w:rPr>
          <w:rFonts w:hint="eastAsia" w:ascii="仿宋_GB2312" w:hAnsi="仿宋_GB2312" w:eastAsia="仿宋_GB2312" w:cs="仿宋_GB2312"/>
          <w:color w:val="auto"/>
          <w:sz w:val="24"/>
          <w:szCs w:val="24"/>
          <w:highlight w:val="none"/>
        </w:rPr>
        <w:t>清单报价表、设</w:t>
      </w:r>
      <w:r>
        <w:rPr>
          <w:rFonts w:hint="eastAsia" w:ascii="仿宋_GB2312" w:hAnsi="仿宋_GB2312" w:eastAsia="仿宋_GB2312" w:cs="仿宋_GB2312"/>
          <w:color w:val="auto"/>
          <w:sz w:val="24"/>
          <w:szCs w:val="24"/>
          <w:highlight w:val="none"/>
          <w:lang w:eastAsia="zh-CN"/>
        </w:rPr>
        <w:t>计图纸及有关规范要求为准。</w:t>
      </w:r>
    </w:p>
    <w:p w14:paraId="1BB5B9A8">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6.1.2</w:t>
      </w:r>
      <w:r>
        <w:rPr>
          <w:rFonts w:hint="eastAsia" w:ascii="仿宋_GB2312" w:hAnsi="仿宋_GB2312" w:eastAsia="仿宋_GB2312" w:cs="仿宋_GB2312"/>
          <w:color w:val="auto"/>
          <w:sz w:val="24"/>
          <w:szCs w:val="24"/>
          <w:highlight w:val="none"/>
          <w:lang w:eastAsia="zh-CN"/>
        </w:rPr>
        <w:t>清单</w:t>
      </w:r>
      <w:r>
        <w:rPr>
          <w:rFonts w:hint="eastAsia" w:ascii="仿宋_GB2312" w:hAnsi="仿宋_GB2312" w:eastAsia="仿宋_GB2312" w:cs="仿宋_GB2312"/>
          <w:color w:val="auto"/>
          <w:sz w:val="24"/>
          <w:szCs w:val="24"/>
          <w:highlight w:val="none"/>
        </w:rPr>
        <w:t>检测/监测内容及检测/监测工程量需满足有关规范要求，如有缺漏项</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rPr>
        <w:t>工程项目实施期间，政府新规范要求必须进行检测/监测而清单报价表中未列检测/监测项目需按实际需求进行检测，相关价格以甲方审核价格为准，总价投标报价时应综合考虑，结算不超</w:t>
      </w:r>
      <w:r>
        <w:rPr>
          <w:rFonts w:hint="eastAsia" w:ascii="仿宋_GB2312" w:hAnsi="仿宋_GB2312" w:eastAsia="仿宋_GB2312" w:cs="仿宋_GB2312"/>
          <w:color w:val="auto"/>
          <w:sz w:val="24"/>
          <w:szCs w:val="24"/>
          <w:highlight w:val="none"/>
          <w:lang w:val="en-US" w:eastAsia="zh-CN"/>
        </w:rPr>
        <w:t>本项目控制价</w:t>
      </w:r>
      <w:r>
        <w:rPr>
          <w:rFonts w:hint="eastAsia" w:ascii="仿宋_GB2312" w:hAnsi="仿宋_GB2312" w:eastAsia="仿宋_GB2312" w:cs="仿宋_GB2312"/>
          <w:color w:val="auto"/>
          <w:sz w:val="24"/>
          <w:szCs w:val="24"/>
          <w:highlight w:val="none"/>
        </w:rPr>
        <w:t>。</w:t>
      </w:r>
    </w:p>
    <w:p w14:paraId="3E34467D">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乙方未具有该部分检测项目相关资质的，甲方有权要求乙方合法自行委托其他具备资质的单位完成该项目参数的检验检测试验业务，保证完成整体项目所有检验检测试验工作，甲方亦有权根据情况另行委托。</w:t>
      </w:r>
    </w:p>
    <w:p w14:paraId="5B921B8F">
      <w:pPr>
        <w:pStyle w:val="2"/>
        <w:jc w:val="left"/>
        <w:rPr>
          <w:rFonts w:hint="eastAsia" w:eastAsiaTheme="minorEastAsia"/>
          <w:lang w:eastAsia="zh-CN"/>
        </w:rPr>
      </w:pPr>
    </w:p>
    <w:bookmarkEnd w:id="6"/>
    <w:p w14:paraId="40985A84">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b/>
          <w:bCs/>
          <w:color w:val="auto"/>
          <w:sz w:val="24"/>
          <w:szCs w:val="24"/>
          <w:highlight w:val="none"/>
        </w:rPr>
      </w:pPr>
      <w:bookmarkStart w:id="8" w:name="_Toc469384366"/>
      <w:r>
        <w:rPr>
          <w:rFonts w:hint="eastAsia" w:ascii="仿宋_GB2312" w:hAnsi="仿宋_GB2312" w:eastAsia="仿宋_GB2312" w:cs="仿宋_GB2312"/>
          <w:b/>
          <w:bCs/>
          <w:color w:val="auto"/>
          <w:sz w:val="24"/>
          <w:szCs w:val="24"/>
          <w:highlight w:val="none"/>
          <w:lang w:val="en-US" w:eastAsia="zh-CN"/>
        </w:rPr>
        <w:t>6.2</w:t>
      </w:r>
      <w:r>
        <w:rPr>
          <w:rFonts w:hint="eastAsia" w:ascii="仿宋_GB2312" w:hAnsi="仿宋_GB2312" w:eastAsia="仿宋_GB2312" w:cs="仿宋_GB2312"/>
          <w:b/>
          <w:bCs/>
          <w:color w:val="auto"/>
          <w:sz w:val="24"/>
          <w:szCs w:val="24"/>
          <w:highlight w:val="none"/>
        </w:rPr>
        <w:t>结算方式</w:t>
      </w:r>
    </w:p>
    <w:p w14:paraId="0FDE9608">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6.2.1</w:t>
      </w:r>
      <w:r>
        <w:rPr>
          <w:rFonts w:hint="eastAsia" w:ascii="仿宋_GB2312" w:hAnsi="仿宋_GB2312" w:eastAsia="仿宋_GB2312" w:cs="仿宋_GB2312"/>
          <w:color w:val="auto"/>
          <w:sz w:val="24"/>
          <w:szCs w:val="24"/>
          <w:highlight w:val="none"/>
        </w:rPr>
        <w:t>本工程检测</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监测</w:t>
      </w:r>
      <w:r>
        <w:rPr>
          <w:rFonts w:hint="eastAsia" w:ascii="仿宋_GB2312" w:hAnsi="仿宋_GB2312" w:eastAsia="仿宋_GB2312" w:cs="仿宋_GB2312"/>
          <w:color w:val="auto"/>
          <w:sz w:val="24"/>
          <w:szCs w:val="24"/>
          <w:highlight w:val="none"/>
        </w:rPr>
        <w:t>费结算按甲方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监理单位</w:t>
      </w:r>
      <w:r>
        <w:rPr>
          <w:rFonts w:hint="eastAsia" w:ascii="仿宋_GB2312" w:hAnsi="仿宋_GB2312" w:eastAsia="仿宋_GB2312" w:cs="仿宋_GB2312"/>
          <w:color w:val="auto"/>
          <w:sz w:val="24"/>
          <w:szCs w:val="24"/>
          <w:highlight w:val="none"/>
        </w:rPr>
        <w:t>确认的有效工程量乘以</w:t>
      </w:r>
      <w:r>
        <w:rPr>
          <w:rFonts w:hint="eastAsia" w:ascii="仿宋_GB2312" w:hAnsi="仿宋_GB2312" w:eastAsia="仿宋_GB2312" w:cs="仿宋_GB2312"/>
          <w:color w:val="auto"/>
          <w:sz w:val="24"/>
          <w:szCs w:val="24"/>
          <w:highlight w:val="none"/>
          <w:lang w:val="en-US" w:eastAsia="zh-CN"/>
        </w:rPr>
        <w:t>包干</w:t>
      </w:r>
      <w:r>
        <w:rPr>
          <w:rFonts w:hint="eastAsia" w:ascii="仿宋_GB2312" w:hAnsi="仿宋_GB2312" w:eastAsia="仿宋_GB2312" w:cs="仿宋_GB2312"/>
          <w:color w:val="auto"/>
          <w:sz w:val="24"/>
          <w:szCs w:val="24"/>
          <w:highlight w:val="none"/>
        </w:rPr>
        <w:t>综合单价计算</w:t>
      </w:r>
      <w:r>
        <w:rPr>
          <w:rFonts w:hint="eastAsia" w:ascii="仿宋" w:hAnsi="仿宋" w:eastAsia="仿宋"/>
          <w:color w:val="000000"/>
          <w:sz w:val="24"/>
          <w:szCs w:val="24"/>
        </w:rPr>
        <w:t>（其中按建筑面积计入的检测费用结算时总价按照</w:t>
      </w:r>
      <w:r>
        <w:rPr>
          <w:rFonts w:hint="eastAsia" w:ascii="仿宋" w:hAnsi="仿宋" w:eastAsia="仿宋"/>
          <w:color w:val="000000"/>
          <w:sz w:val="24"/>
          <w:szCs w:val="24"/>
          <w:lang w:val="en-US" w:eastAsia="zh-CN"/>
        </w:rPr>
        <w:t>包干</w:t>
      </w:r>
      <w:r>
        <w:rPr>
          <w:rFonts w:hint="eastAsia" w:ascii="仿宋" w:hAnsi="仿宋" w:eastAsia="仿宋"/>
          <w:color w:val="000000"/>
          <w:sz w:val="24"/>
          <w:szCs w:val="24"/>
        </w:rPr>
        <w:t>综合单价乘以《建设工程规划许可证》中批准的总建筑面积计算）</w:t>
      </w:r>
      <w:r>
        <w:rPr>
          <w:rFonts w:hint="eastAsia" w:ascii="仿宋_GB2312" w:hAnsi="仿宋_GB2312" w:eastAsia="仿宋_GB2312" w:cs="仿宋_GB2312"/>
          <w:color w:val="auto"/>
          <w:sz w:val="24"/>
          <w:szCs w:val="24"/>
          <w:highlight w:val="none"/>
        </w:rPr>
        <w:t>。最终合同结算价以甲方审定为准，以</w:t>
      </w:r>
      <w:r>
        <w:rPr>
          <w:rFonts w:hint="eastAsia" w:ascii="仿宋_GB2312" w:hAnsi="仿宋_GB2312" w:eastAsia="仿宋_GB2312" w:cs="仿宋_GB2312"/>
          <w:color w:val="auto"/>
          <w:sz w:val="24"/>
          <w:szCs w:val="24"/>
          <w:highlight w:val="none"/>
          <w:lang w:val="en-US" w:eastAsia="zh-CN"/>
        </w:rPr>
        <w:t>本项目控制价</w:t>
      </w:r>
      <w:r>
        <w:rPr>
          <w:rFonts w:hint="eastAsia" w:ascii="仿宋_GB2312" w:hAnsi="仿宋_GB2312" w:eastAsia="仿宋_GB2312" w:cs="仿宋_GB2312"/>
          <w:color w:val="auto"/>
          <w:sz w:val="24"/>
          <w:szCs w:val="24"/>
          <w:highlight w:val="none"/>
        </w:rPr>
        <w:t>为上限，仅可据实调减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最终结算价不得超本项目控制价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如审计部门审计发现本合同结算价款存在超付的情形，甲方有权据实要求乙方返还该部分款项。</w:t>
      </w:r>
    </w:p>
    <w:p w14:paraId="4238B389">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6.2.2</w:t>
      </w:r>
      <w:r>
        <w:rPr>
          <w:rFonts w:hint="eastAsia" w:ascii="仿宋_GB2312" w:hAnsi="仿宋_GB2312" w:eastAsia="仿宋_GB2312" w:cs="仿宋_GB2312"/>
          <w:color w:val="auto"/>
          <w:sz w:val="24"/>
          <w:szCs w:val="24"/>
          <w:highlight w:val="none"/>
        </w:rPr>
        <w:t>工程项目实施期间，政府新规范要求须进行</w:t>
      </w:r>
      <w:r>
        <w:rPr>
          <w:rFonts w:hint="eastAsia" w:ascii="仿宋_GB2312" w:hAnsi="仿宋_GB2312" w:eastAsia="仿宋_GB2312" w:cs="仿宋_GB2312"/>
          <w:color w:val="auto"/>
          <w:sz w:val="24"/>
          <w:szCs w:val="24"/>
          <w:highlight w:val="none"/>
          <w:lang w:val="en-US" w:eastAsia="zh-CN"/>
        </w:rPr>
        <w:t>检测</w:t>
      </w:r>
      <w:r>
        <w:rPr>
          <w:rFonts w:hint="eastAsia" w:ascii="仿宋_GB2312" w:hAnsi="仿宋_GB2312" w:eastAsia="仿宋_GB2312" w:cs="仿宋_GB2312"/>
          <w:color w:val="auto"/>
          <w:sz w:val="24"/>
          <w:szCs w:val="24"/>
          <w:highlight w:val="none"/>
        </w:rPr>
        <w:t>监测而工程量清单中未列</w:t>
      </w:r>
      <w:r>
        <w:rPr>
          <w:rFonts w:hint="eastAsia" w:ascii="仿宋_GB2312" w:hAnsi="仿宋_GB2312" w:eastAsia="仿宋_GB2312" w:cs="仿宋_GB2312"/>
          <w:color w:val="auto"/>
          <w:sz w:val="24"/>
          <w:szCs w:val="24"/>
          <w:highlight w:val="none"/>
          <w:lang w:val="en-US" w:eastAsia="zh-CN"/>
        </w:rPr>
        <w:t>检测</w:t>
      </w:r>
      <w:r>
        <w:rPr>
          <w:rFonts w:hint="eastAsia" w:ascii="仿宋_GB2312" w:hAnsi="仿宋_GB2312" w:eastAsia="仿宋_GB2312" w:cs="仿宋_GB2312"/>
          <w:color w:val="auto"/>
          <w:sz w:val="24"/>
          <w:szCs w:val="24"/>
          <w:highlight w:val="none"/>
        </w:rPr>
        <w:t>监测清单项目，该费用均已包含在合同综合单价中，对于甲方确定的新增工程，乙方不得推诿，最终合同结算总价不得超过</w:t>
      </w:r>
      <w:r>
        <w:rPr>
          <w:rFonts w:hint="eastAsia" w:ascii="仿宋_GB2312" w:hAnsi="仿宋_GB2312" w:eastAsia="仿宋_GB2312" w:cs="仿宋_GB2312"/>
          <w:color w:val="auto"/>
          <w:sz w:val="24"/>
          <w:szCs w:val="24"/>
          <w:highlight w:val="none"/>
          <w:lang w:val="en-US" w:eastAsia="zh-CN"/>
        </w:rPr>
        <w:t>本项目控制价</w:t>
      </w:r>
      <w:r>
        <w:rPr>
          <w:rFonts w:hint="eastAsia" w:ascii="仿宋_GB2312" w:hAnsi="仿宋_GB2312" w:eastAsia="仿宋_GB2312" w:cs="仿宋_GB2312"/>
          <w:color w:val="auto"/>
          <w:sz w:val="24"/>
          <w:szCs w:val="24"/>
          <w:highlight w:val="none"/>
        </w:rPr>
        <w:t>。</w:t>
      </w:r>
    </w:p>
    <w:p w14:paraId="68506D38">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6.3支付</w:t>
      </w:r>
      <w:r>
        <w:rPr>
          <w:rFonts w:hint="eastAsia" w:ascii="仿宋_GB2312" w:hAnsi="仿宋_GB2312" w:eastAsia="仿宋_GB2312" w:cs="仿宋_GB2312"/>
          <w:b/>
          <w:bCs/>
          <w:color w:val="auto"/>
          <w:sz w:val="24"/>
          <w:szCs w:val="24"/>
          <w:highlight w:val="none"/>
        </w:rPr>
        <w:t>方式</w:t>
      </w:r>
    </w:p>
    <w:p w14:paraId="1F3C1370">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6.3.</w:t>
      </w:r>
      <w:r>
        <w:rPr>
          <w:rFonts w:hint="eastAsia" w:ascii="仿宋_GB2312" w:hAnsi="仿宋_GB2312" w:eastAsia="仿宋_GB2312" w:cs="仿宋_GB2312"/>
          <w:color w:val="auto"/>
          <w:sz w:val="24"/>
          <w:szCs w:val="24"/>
          <w:highlight w:val="none"/>
        </w:rPr>
        <w:t>1从乙方接到甲方首次进场通知之日起至检测/监测工作全部完成前，每三个月请款一次，乙方在请款当月5日前统计当期所发生的经甲方、监理单位确认后的工作量并提供当期相关过程报告文件后申报进度款。乙方提交发票且经甲方审定后</w:t>
      </w:r>
      <w:r>
        <w:rPr>
          <w:rFonts w:hint="eastAsia" w:ascii="仿宋_GB2312" w:hAnsi="仿宋_GB2312" w:eastAsia="仿宋_GB2312" w:cs="仿宋_GB2312"/>
          <w:color w:val="auto"/>
          <w:sz w:val="24"/>
          <w:szCs w:val="24"/>
          <w:highlight w:val="none"/>
          <w:lang w:val="en-US" w:eastAsia="zh-CN"/>
        </w:rPr>
        <w:t>30天</w:t>
      </w:r>
      <w:r>
        <w:rPr>
          <w:rFonts w:hint="eastAsia" w:ascii="仿宋_GB2312" w:hAnsi="仿宋_GB2312" w:eastAsia="仿宋_GB2312" w:cs="仿宋_GB2312"/>
          <w:color w:val="auto"/>
          <w:sz w:val="24"/>
          <w:szCs w:val="24"/>
          <w:highlight w:val="none"/>
        </w:rPr>
        <w:t>内，按甲方确认的有效工作量乘以</w:t>
      </w:r>
      <w:r>
        <w:rPr>
          <w:rFonts w:hint="eastAsia" w:ascii="仿宋_GB2312" w:hAnsi="仿宋_GB2312" w:eastAsia="仿宋_GB2312" w:cs="仿宋_GB2312"/>
          <w:color w:val="auto"/>
          <w:sz w:val="24"/>
          <w:szCs w:val="24"/>
          <w:highlight w:val="none"/>
          <w:lang w:val="en-US" w:eastAsia="zh-CN"/>
        </w:rPr>
        <w:t>包干</w:t>
      </w:r>
      <w:r>
        <w:rPr>
          <w:rFonts w:hint="eastAsia" w:ascii="仿宋_GB2312" w:hAnsi="仿宋_GB2312" w:eastAsia="仿宋_GB2312" w:cs="仿宋_GB2312"/>
          <w:color w:val="auto"/>
          <w:sz w:val="24"/>
          <w:szCs w:val="24"/>
          <w:highlight w:val="none"/>
        </w:rPr>
        <w:t>综合单价后的80%支付检测/监测服务费进度款。支付进度款时，如有违约金，需缴清当期检测/监测费对应的违约金后方可支付该次进度检测/监测费，或直接在该次进度检测/监测费中予以扣除。</w:t>
      </w:r>
      <w:r>
        <w:rPr>
          <w:rFonts w:hint="eastAsia" w:ascii="仿宋_GB2312" w:hAnsi="仿宋_GB2312" w:eastAsia="仿宋_GB2312" w:cs="仿宋_GB2312"/>
          <w:color w:val="auto"/>
          <w:sz w:val="24"/>
          <w:szCs w:val="24"/>
          <w:highlight w:val="none"/>
          <w:lang w:val="en-US" w:eastAsia="zh-CN"/>
        </w:rPr>
        <w:t>进度款</w:t>
      </w:r>
      <w:r>
        <w:rPr>
          <w:rFonts w:hint="eastAsia" w:ascii="仿宋_GB2312" w:hAnsi="仿宋_GB2312" w:eastAsia="仿宋_GB2312" w:cs="仿宋_GB2312"/>
          <w:color w:val="auto"/>
          <w:sz w:val="24"/>
          <w:szCs w:val="24"/>
          <w:highlight w:val="none"/>
        </w:rPr>
        <w:t>累计支付不超过合同暂定金额的80%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余款待结算经甲方审定后支付</w:t>
      </w:r>
      <w:r>
        <w:rPr>
          <w:rFonts w:hint="eastAsia" w:ascii="仿宋_GB2312" w:hAnsi="仿宋_GB2312" w:eastAsia="仿宋_GB2312" w:cs="仿宋_GB2312"/>
          <w:color w:val="auto"/>
          <w:sz w:val="24"/>
          <w:szCs w:val="24"/>
          <w:highlight w:val="none"/>
        </w:rPr>
        <w:t>。</w:t>
      </w:r>
    </w:p>
    <w:p w14:paraId="6C5551E7">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6.3.2结算及支付：</w:t>
      </w:r>
      <w:r>
        <w:rPr>
          <w:rFonts w:hint="eastAsia" w:ascii="仿宋_GB2312" w:hAnsi="仿宋_GB2312" w:eastAsia="仿宋_GB2312" w:cs="仿宋_GB2312"/>
          <w:color w:val="auto"/>
          <w:sz w:val="24"/>
          <w:szCs w:val="24"/>
          <w:highlight w:val="none"/>
        </w:rPr>
        <w:t>乙方按照合同要求完成所有的检测、监测工作，并按甲方要求提交全部检测、监测成果报告和合格的申请资料后，双方根据实际完成工程量和甲方有关结算计量及管理的规定流程办理结算，结算审批完成后</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w:t>
      </w:r>
      <w:r>
        <w:rPr>
          <w:rFonts w:hint="eastAsia" w:ascii="仿宋_GB2312" w:hAnsi="仿宋_GB2312" w:eastAsia="仿宋_GB2312" w:cs="仿宋_GB2312"/>
          <w:color w:val="auto"/>
          <w:sz w:val="24"/>
          <w:szCs w:val="24"/>
          <w:highlight w:val="none"/>
          <w:lang w:val="en-US" w:eastAsia="zh-CN"/>
        </w:rPr>
        <w:t>天</w:t>
      </w:r>
      <w:r>
        <w:rPr>
          <w:rFonts w:hint="eastAsia" w:ascii="仿宋_GB2312" w:hAnsi="仿宋_GB2312" w:eastAsia="仿宋_GB2312" w:cs="仿宋_GB2312"/>
          <w:color w:val="auto"/>
          <w:sz w:val="24"/>
          <w:szCs w:val="24"/>
          <w:highlight w:val="none"/>
        </w:rPr>
        <w:t>内甲方支付至结算金额的100％。</w:t>
      </w:r>
    </w:p>
    <w:p w14:paraId="04AB1E8A">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6.3.2</w:t>
      </w:r>
      <w:r>
        <w:rPr>
          <w:rFonts w:hint="eastAsia" w:ascii="仿宋_GB2312" w:hAnsi="仿宋_GB2312" w:eastAsia="仿宋_GB2312" w:cs="仿宋_GB2312"/>
          <w:color w:val="auto"/>
          <w:sz w:val="24"/>
          <w:szCs w:val="24"/>
          <w:highlight w:val="none"/>
        </w:rPr>
        <w:t>乙方向甲方申请付款前，乙方须先向甲方提供等额合法有效的增值税专用发票。乙方因收取费用所须缴纳的税费，由乙方自行承担；因乙方未及时提供发票等原因致使甲方逾期付款的，责任由乙方承担；乙方未提供发票给甲方的，甲方可以顺延付款日期。</w:t>
      </w:r>
    </w:p>
    <w:p w14:paraId="59149EA3">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6.4</w:t>
      </w:r>
      <w:r>
        <w:rPr>
          <w:rFonts w:hint="eastAsia" w:ascii="仿宋_GB2312" w:hAnsi="仿宋_GB2312" w:eastAsia="仿宋_GB2312" w:cs="仿宋_GB2312"/>
          <w:b/>
          <w:bCs/>
          <w:color w:val="auto"/>
          <w:sz w:val="24"/>
          <w:szCs w:val="24"/>
          <w:highlight w:val="none"/>
        </w:rPr>
        <w:t>开票信息</w:t>
      </w:r>
    </w:p>
    <w:tbl>
      <w:tblPr>
        <w:tblStyle w:val="14"/>
        <w:tblW w:w="43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38"/>
        <w:gridCol w:w="5393"/>
      </w:tblGrid>
      <w:tr w14:paraId="5DC18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763" w:type="pct"/>
            <w:tcBorders>
              <w:top w:val="single" w:color="000000" w:sz="4" w:space="0"/>
              <w:left w:val="single" w:color="000000" w:sz="4" w:space="0"/>
              <w:bottom w:val="single" w:color="000000" w:sz="4" w:space="0"/>
              <w:right w:val="single" w:color="000000" w:sz="4" w:space="0"/>
            </w:tcBorders>
            <w:noWrap w:val="0"/>
            <w:vAlign w:val="center"/>
          </w:tcPr>
          <w:p w14:paraId="113B89E6">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公司名称</w:t>
            </w:r>
          </w:p>
        </w:tc>
        <w:tc>
          <w:tcPr>
            <w:tcW w:w="3236" w:type="pct"/>
            <w:tcBorders>
              <w:top w:val="single" w:color="000000" w:sz="4" w:space="0"/>
              <w:left w:val="single" w:color="000000" w:sz="4" w:space="0"/>
              <w:bottom w:val="single" w:color="000000" w:sz="4" w:space="0"/>
              <w:right w:val="single" w:color="000000" w:sz="4" w:space="0"/>
            </w:tcBorders>
            <w:noWrap w:val="0"/>
            <w:vAlign w:val="top"/>
          </w:tcPr>
          <w:p w14:paraId="4957638A">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p>
        </w:tc>
      </w:tr>
      <w:tr w14:paraId="65191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763" w:type="pct"/>
            <w:tcBorders>
              <w:top w:val="single" w:color="000000" w:sz="4" w:space="0"/>
              <w:left w:val="single" w:color="000000" w:sz="4" w:space="0"/>
              <w:bottom w:val="single" w:color="000000" w:sz="4" w:space="0"/>
              <w:right w:val="single" w:color="000000" w:sz="4" w:space="0"/>
            </w:tcBorders>
            <w:noWrap w:val="0"/>
            <w:vAlign w:val="center"/>
          </w:tcPr>
          <w:p w14:paraId="64D0779D">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税号</w:t>
            </w:r>
          </w:p>
        </w:tc>
        <w:tc>
          <w:tcPr>
            <w:tcW w:w="3236" w:type="pct"/>
            <w:tcBorders>
              <w:top w:val="single" w:color="000000" w:sz="4" w:space="0"/>
              <w:left w:val="single" w:color="000000" w:sz="4" w:space="0"/>
              <w:bottom w:val="single" w:color="000000" w:sz="4" w:space="0"/>
              <w:right w:val="single" w:color="000000" w:sz="4" w:space="0"/>
            </w:tcBorders>
            <w:noWrap w:val="0"/>
            <w:vAlign w:val="top"/>
          </w:tcPr>
          <w:p w14:paraId="1E347113">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p>
        </w:tc>
      </w:tr>
      <w:tr w14:paraId="560BE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763" w:type="pct"/>
            <w:tcBorders>
              <w:top w:val="single" w:color="000000" w:sz="4" w:space="0"/>
              <w:left w:val="single" w:color="000000" w:sz="4" w:space="0"/>
              <w:bottom w:val="single" w:color="000000" w:sz="4" w:space="0"/>
              <w:right w:val="single" w:color="000000" w:sz="4" w:space="0"/>
            </w:tcBorders>
            <w:noWrap w:val="0"/>
            <w:vAlign w:val="center"/>
          </w:tcPr>
          <w:p w14:paraId="37662E9F">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w:t>
            </w:r>
          </w:p>
        </w:tc>
        <w:tc>
          <w:tcPr>
            <w:tcW w:w="3236" w:type="pct"/>
            <w:tcBorders>
              <w:top w:val="single" w:color="000000" w:sz="4" w:space="0"/>
              <w:left w:val="single" w:color="000000" w:sz="4" w:space="0"/>
              <w:bottom w:val="single" w:color="000000" w:sz="4" w:space="0"/>
              <w:right w:val="single" w:color="000000" w:sz="4" w:space="0"/>
            </w:tcBorders>
            <w:noWrap w:val="0"/>
            <w:vAlign w:val="top"/>
          </w:tcPr>
          <w:p w14:paraId="15F6E5E7">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p>
        </w:tc>
      </w:tr>
      <w:tr w14:paraId="2C735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763" w:type="pct"/>
            <w:tcBorders>
              <w:top w:val="single" w:color="000000" w:sz="4" w:space="0"/>
              <w:left w:val="single" w:color="000000" w:sz="4" w:space="0"/>
              <w:bottom w:val="single" w:color="000000" w:sz="4" w:space="0"/>
              <w:right w:val="single" w:color="000000" w:sz="4" w:space="0"/>
            </w:tcBorders>
            <w:noWrap w:val="0"/>
            <w:vAlign w:val="center"/>
          </w:tcPr>
          <w:p w14:paraId="47CF6573">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p>
        </w:tc>
        <w:tc>
          <w:tcPr>
            <w:tcW w:w="3236" w:type="pct"/>
            <w:tcBorders>
              <w:top w:val="single" w:color="000000" w:sz="4" w:space="0"/>
              <w:left w:val="single" w:color="000000" w:sz="4" w:space="0"/>
              <w:bottom w:val="single" w:color="000000" w:sz="4" w:space="0"/>
              <w:right w:val="single" w:color="000000" w:sz="4" w:space="0"/>
            </w:tcBorders>
            <w:noWrap w:val="0"/>
            <w:vAlign w:val="top"/>
          </w:tcPr>
          <w:p w14:paraId="65E9F377">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p>
        </w:tc>
      </w:tr>
      <w:tr w14:paraId="67625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763" w:type="pct"/>
            <w:tcBorders>
              <w:top w:val="single" w:color="000000" w:sz="4" w:space="0"/>
              <w:left w:val="single" w:color="000000" w:sz="4" w:space="0"/>
              <w:bottom w:val="single" w:color="000000" w:sz="4" w:space="0"/>
              <w:right w:val="single" w:color="000000" w:sz="4" w:space="0"/>
            </w:tcBorders>
            <w:noWrap w:val="0"/>
            <w:vAlign w:val="center"/>
          </w:tcPr>
          <w:p w14:paraId="215E083F">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p>
        </w:tc>
        <w:tc>
          <w:tcPr>
            <w:tcW w:w="3236" w:type="pct"/>
            <w:tcBorders>
              <w:top w:val="single" w:color="000000" w:sz="4" w:space="0"/>
              <w:left w:val="single" w:color="000000" w:sz="4" w:space="0"/>
              <w:bottom w:val="single" w:color="000000" w:sz="4" w:space="0"/>
              <w:right w:val="single" w:color="000000" w:sz="4" w:space="0"/>
            </w:tcBorders>
            <w:noWrap w:val="0"/>
            <w:vAlign w:val="top"/>
          </w:tcPr>
          <w:p w14:paraId="2BDFF5AB">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p>
        </w:tc>
      </w:tr>
      <w:tr w14:paraId="593BB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763" w:type="pct"/>
            <w:tcBorders>
              <w:top w:val="single" w:color="000000" w:sz="4" w:space="0"/>
              <w:left w:val="single" w:color="000000" w:sz="4" w:space="0"/>
              <w:bottom w:val="single" w:color="000000" w:sz="4" w:space="0"/>
              <w:right w:val="single" w:color="000000" w:sz="4" w:space="0"/>
            </w:tcBorders>
            <w:noWrap w:val="0"/>
            <w:vAlign w:val="center"/>
          </w:tcPr>
          <w:p w14:paraId="7AC9ABDD">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银行账号</w:t>
            </w:r>
          </w:p>
        </w:tc>
        <w:tc>
          <w:tcPr>
            <w:tcW w:w="3236" w:type="pct"/>
            <w:tcBorders>
              <w:top w:val="single" w:color="000000" w:sz="4" w:space="0"/>
              <w:left w:val="single" w:color="000000" w:sz="4" w:space="0"/>
              <w:bottom w:val="single" w:color="000000" w:sz="4" w:space="0"/>
              <w:right w:val="single" w:color="000000" w:sz="4" w:space="0"/>
            </w:tcBorders>
            <w:noWrap w:val="0"/>
            <w:vAlign w:val="top"/>
          </w:tcPr>
          <w:p w14:paraId="4920D819">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p>
        </w:tc>
      </w:tr>
    </w:tbl>
    <w:p w14:paraId="10165D02">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6.5</w:t>
      </w:r>
      <w:r>
        <w:rPr>
          <w:rFonts w:hint="eastAsia" w:ascii="仿宋_GB2312" w:hAnsi="仿宋_GB2312" w:eastAsia="仿宋_GB2312" w:cs="仿宋_GB2312"/>
          <w:color w:val="auto"/>
          <w:sz w:val="24"/>
          <w:szCs w:val="24"/>
          <w:highlight w:val="none"/>
        </w:rPr>
        <w:t>甲方采取银行转账的方式付款至乙方指定银行账户，乙方接受汇款的基本账户信息如下（以下信息如有变更，乙方应当及时通知甲方；如未及时通知甲方信息变更导致甲方转账发生错误的，视为甲方已经交付款项，由乙方承担一切责任）。若为联合体中标，应明确联合体主办方为收款单位，联合体成员方应收费用由联合体主办方按联合体协议自行拨付。（非联合体中标删除）</w:t>
      </w:r>
    </w:p>
    <w:p w14:paraId="761CF13D">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乙方账户信息：</w:t>
      </w:r>
    </w:p>
    <w:p w14:paraId="2588F016">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开户名称：                                                 </w:t>
      </w:r>
    </w:p>
    <w:p w14:paraId="3A499789">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开户银行：                                                 </w:t>
      </w:r>
    </w:p>
    <w:p w14:paraId="528B8FDB">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地    址：                                                 </w:t>
      </w:r>
    </w:p>
    <w:p w14:paraId="02DDBE3D">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    号：</w:t>
      </w:r>
    </w:p>
    <w:p w14:paraId="43A5677A">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 xml:space="preserve">6.5履约保函    </w:t>
      </w:r>
      <w:r>
        <w:rPr>
          <w:rFonts w:hint="eastAsia" w:ascii="仿宋_GB2312" w:hAnsi="仿宋_GB2312" w:eastAsia="仿宋_GB2312" w:cs="仿宋_GB2312"/>
          <w:color w:val="auto"/>
          <w:sz w:val="24"/>
          <w:szCs w:val="24"/>
          <w:highlight w:val="none"/>
        </w:rPr>
        <w:t xml:space="preserve"> </w:t>
      </w:r>
    </w:p>
    <w:p w14:paraId="744210F6">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6.5.1</w:t>
      </w:r>
      <w:r>
        <w:rPr>
          <w:rFonts w:hint="eastAsia" w:ascii="仿宋_GB2312" w:hAnsi="仿宋_GB2312" w:eastAsia="仿宋_GB2312" w:cs="仿宋_GB2312"/>
          <w:color w:val="auto"/>
          <w:sz w:val="24"/>
          <w:szCs w:val="24"/>
          <w:highlight w:val="none"/>
        </w:rPr>
        <w:t>履约担保形式：</w:t>
      </w:r>
      <w:r>
        <w:rPr>
          <w:rFonts w:hint="eastAsia" w:ascii="仿宋_GB2312" w:hAnsi="仿宋_GB2312" w:eastAsia="仿宋_GB2312" w:cs="仿宋_GB2312"/>
          <w:color w:val="auto"/>
          <w:sz w:val="24"/>
          <w:szCs w:val="24"/>
          <w:highlight w:val="none"/>
          <w:lang w:val="en-US" w:eastAsia="zh-CN"/>
        </w:rPr>
        <w:t>银行保函、保证保险、担保保函。</w:t>
      </w:r>
    </w:p>
    <w:p w14:paraId="3F0AA2A1">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6.5.2</w:t>
      </w:r>
      <w:r>
        <w:rPr>
          <w:rFonts w:hint="eastAsia" w:ascii="仿宋_GB2312" w:hAnsi="仿宋_GB2312" w:eastAsia="仿宋_GB2312" w:cs="仿宋_GB2312"/>
          <w:color w:val="auto"/>
          <w:sz w:val="24"/>
          <w:szCs w:val="24"/>
          <w:highlight w:val="none"/>
        </w:rPr>
        <w:t>履约担保提交时间：</w:t>
      </w:r>
      <w:r>
        <w:rPr>
          <w:rFonts w:hint="eastAsia" w:ascii="仿宋_GB2312" w:hAnsi="仿宋_GB2312" w:eastAsia="仿宋_GB2312" w:cs="仿宋_GB2312"/>
          <w:color w:val="auto"/>
          <w:sz w:val="24"/>
          <w:szCs w:val="24"/>
          <w:highlight w:val="none"/>
          <w:lang w:val="en-US" w:eastAsia="zh-CN"/>
        </w:rPr>
        <w:t>乙方请第一笔进度款需提供</w:t>
      </w:r>
      <w:r>
        <w:rPr>
          <w:rFonts w:hint="eastAsia" w:ascii="仿宋_GB2312" w:hAnsi="仿宋_GB2312" w:eastAsia="仿宋_GB2312" w:cs="仿宋_GB2312"/>
          <w:color w:val="auto"/>
          <w:sz w:val="24"/>
          <w:szCs w:val="24"/>
          <w:highlight w:val="none"/>
        </w:rPr>
        <w:t>。</w:t>
      </w:r>
    </w:p>
    <w:p w14:paraId="38998D7A">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6.5.3</w:t>
      </w:r>
      <w:r>
        <w:rPr>
          <w:rFonts w:hint="eastAsia" w:ascii="仿宋_GB2312" w:hAnsi="仿宋_GB2312" w:eastAsia="仿宋_GB2312" w:cs="仿宋_GB2312"/>
          <w:color w:val="auto"/>
          <w:sz w:val="24"/>
          <w:szCs w:val="24"/>
          <w:highlight w:val="none"/>
          <w:lang w:eastAsia="zh-CN"/>
        </w:rPr>
        <w:t>由在中华人民共和国注册的广州地区的银行出具</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lang w:eastAsia="zh-CN"/>
        </w:rPr>
        <w:t>或在广州市注册成立的国有企业融资性担保机构出具</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无条件、不可撤销、见索即付的银行保函</w:t>
      </w:r>
      <w:r>
        <w:rPr>
          <w:rFonts w:hint="eastAsia" w:ascii="仿宋_GB2312" w:hAnsi="仿宋_GB2312" w:eastAsia="仿宋_GB2312" w:cs="仿宋_GB2312"/>
          <w:color w:val="auto"/>
          <w:sz w:val="24"/>
          <w:szCs w:val="24"/>
          <w:highlight w:val="none"/>
          <w:lang w:val="en-US" w:eastAsia="zh-CN"/>
        </w:rPr>
        <w:t>、保证保险、担保保函。</w:t>
      </w:r>
    </w:p>
    <w:p w14:paraId="26F78289">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6.5.4</w:t>
      </w:r>
      <w:r>
        <w:rPr>
          <w:rFonts w:hint="eastAsia" w:ascii="仿宋_GB2312" w:hAnsi="仿宋_GB2312" w:eastAsia="仿宋_GB2312" w:cs="仿宋_GB2312"/>
          <w:color w:val="auto"/>
          <w:sz w:val="24"/>
          <w:szCs w:val="24"/>
          <w:highlight w:val="none"/>
        </w:rPr>
        <w:t>乙方所提供的保函有效期应当自开立之日起，至本项目竣工验收之日起3个月后止。如果履约担保因有效期届满，致使履约担保自动失效，而乙方尚未完成本合同承包范围内容或本合同服务期限尚未到期的，乙方应在担保有效期满前3个月无条件办理担保续保，并向甲方提交同样格式且更新日期后的有效担保，否则甲方有权暂停付款。</w:t>
      </w:r>
    </w:p>
    <w:p w14:paraId="00A3624B">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6.5.5</w:t>
      </w:r>
      <w:r>
        <w:rPr>
          <w:rFonts w:hint="eastAsia" w:ascii="仿宋_GB2312" w:hAnsi="仿宋_GB2312" w:eastAsia="仿宋_GB2312" w:cs="仿宋_GB2312"/>
          <w:color w:val="auto"/>
          <w:sz w:val="24"/>
          <w:szCs w:val="24"/>
          <w:highlight w:val="none"/>
        </w:rPr>
        <w:t>履约担保金额为合同总价的10%。</w:t>
      </w:r>
    </w:p>
    <w:p w14:paraId="628F35A0">
      <w:pPr>
        <w:numPr>
          <w:ilvl w:val="0"/>
          <w:numId w:val="0"/>
        </w:numPr>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bookmarkEnd w:id="8"/>
    <w:p w14:paraId="0C332E55">
      <w:pPr>
        <w:keepNext/>
        <w:keepLines/>
        <w:numPr>
          <w:ilvl w:val="0"/>
          <w:numId w:val="0"/>
        </w:numPr>
        <w:spacing w:before="260" w:after="260" w:line="400" w:lineRule="exact"/>
        <w:outlineLvl w:val="1"/>
        <w:rPr>
          <w:rFonts w:hint="eastAsia" w:ascii="仿宋_GB2312" w:hAnsi="仿宋_GB2312" w:eastAsia="仿宋_GB2312" w:cs="仿宋_GB2312"/>
          <w:b/>
          <w:bCs/>
          <w:color w:val="auto"/>
          <w:kern w:val="2"/>
          <w:sz w:val="24"/>
          <w:szCs w:val="24"/>
          <w:lang w:val="en-US" w:eastAsia="zh-CN" w:bidi="ar-SA"/>
        </w:rPr>
      </w:pPr>
      <w:bookmarkStart w:id="9" w:name="_Toc469384367"/>
      <w:r>
        <w:rPr>
          <w:rFonts w:hint="eastAsia" w:ascii="仿宋_GB2312" w:hAnsi="仿宋_GB2312" w:eastAsia="仿宋_GB2312" w:cs="仿宋_GB2312"/>
          <w:b/>
          <w:bCs/>
          <w:color w:val="auto"/>
          <w:kern w:val="2"/>
          <w:sz w:val="24"/>
          <w:szCs w:val="24"/>
          <w:lang w:val="en-US" w:eastAsia="zh-CN" w:bidi="ar-SA"/>
        </w:rPr>
        <w:t>七、权利和义务</w:t>
      </w:r>
    </w:p>
    <w:p w14:paraId="60DB2808">
      <w:pPr>
        <w:spacing w:before="156" w:beforeLines="50" w:after="156" w:afterLines="50" w:line="360" w:lineRule="auto"/>
        <w:ind w:firstLine="480" w:firstLineChars="200"/>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7.1</w:t>
      </w:r>
      <w:r>
        <w:rPr>
          <w:rFonts w:hint="eastAsia" w:ascii="仿宋_GB2312" w:hAnsi="仿宋_GB2312" w:eastAsia="仿宋_GB2312" w:cs="仿宋_GB2312"/>
          <w:b/>
          <w:bCs/>
          <w:color w:val="auto"/>
          <w:sz w:val="24"/>
          <w:szCs w:val="24"/>
        </w:rPr>
        <w:t>甲方的权利和义务</w:t>
      </w:r>
    </w:p>
    <w:bookmarkEnd w:id="9"/>
    <w:p w14:paraId="28B1C709">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bookmarkStart w:id="10" w:name="_Toc469384368"/>
      <w:r>
        <w:rPr>
          <w:rFonts w:hint="eastAsia" w:ascii="仿宋_GB2312" w:hAnsi="仿宋_GB2312" w:eastAsia="仿宋_GB2312" w:cs="仿宋_GB2312"/>
          <w:color w:val="auto"/>
          <w:sz w:val="24"/>
          <w:szCs w:val="24"/>
        </w:rPr>
        <w:t>7.1.甲方选派姓名：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strike/>
          <w:dstrike w:val="0"/>
          <w:color w:val="auto"/>
          <w:sz w:val="24"/>
          <w:szCs w:val="24"/>
        </w:rPr>
        <w:t xml:space="preserve">       </w:t>
      </w:r>
      <w:r>
        <w:rPr>
          <w:rFonts w:hint="eastAsia" w:ascii="仿宋_GB2312" w:hAnsi="仿宋_GB2312" w:eastAsia="仿宋_GB2312" w:cs="仿宋_GB2312"/>
          <w:color w:val="auto"/>
          <w:sz w:val="24"/>
          <w:szCs w:val="24"/>
        </w:rPr>
        <w:t xml:space="preserve"> ，为本项目负责人，负责本合同履行的有关事项，包括但不限于布置检测任务、指挥联络、现场监督、确认检测工作量、跟进送检等工作。</w:t>
      </w:r>
    </w:p>
    <w:p w14:paraId="2A932491">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7.1.2甲方应当在合同约定范围内向乙方提供与本合同检测业务有关的资料。在本合同履行过程中，甲方应及时向乙方提供最新的与本合同检测业务有关的资料。</w:t>
      </w:r>
    </w:p>
    <w:p w14:paraId="17C8CD5D">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7.1.3甲方项目负责人应对乙方按要求完成的工作量予以签字确认。</w:t>
      </w:r>
    </w:p>
    <w:p w14:paraId="4A15681B">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7.1.4若检测内容或工作量等要求发生变化时，甲方应及时以书面的形式通知乙方。</w:t>
      </w:r>
    </w:p>
    <w:p w14:paraId="20F57F7F">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7.1.5甲方应按约定的期限验收检测成果报告，审核结算，支付乙方应得款项。</w:t>
      </w:r>
    </w:p>
    <w:bookmarkEnd w:id="10"/>
    <w:p w14:paraId="0C222E63">
      <w:pPr>
        <w:spacing w:before="156" w:beforeLines="50" w:after="156" w:afterLines="50" w:line="360" w:lineRule="auto"/>
        <w:ind w:firstLine="480"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7.2乙方的权利和义务</w:t>
      </w:r>
    </w:p>
    <w:p w14:paraId="55673080">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7.2.1乙方选派姓名：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为本工程负责人。乙方应选派具备相应检测/监测能力的人员作为项目负责人，负责本合同的履行，并跟进检测事宜。</w:t>
      </w:r>
    </w:p>
    <w:p w14:paraId="54584558">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7.2.2在本合同履行过程中，乙方人员应保持相对稳定且具备相应资格，以保证检测/监测工作正常进行。乙方可根据工程进展和工作需要等情形调整检测/监测人员，但调整人员的资质不得低于被调整人员的资质，且须向监理报备；更换项目负责人时应征得甲方书面同意后方可更换。</w:t>
      </w:r>
    </w:p>
    <w:p w14:paraId="416940B5">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7.2.3乙方须具有相关资质，并应在签订合同后5个工作日内向甲方提供相关资质文件供甲方核对，同时向甲方交付复印件以备查看。</w:t>
      </w:r>
    </w:p>
    <w:p w14:paraId="3D9FA4BB">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7.2.4当甲方的现场配合条件不能满足监测/观测要求时，乙方可向甲方提出推迟进场申请，经甲方书面同意后方可推迟进场。</w:t>
      </w:r>
    </w:p>
    <w:p w14:paraId="168F7B4E">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7.2.5乙方无条件承诺：争议发生后，乙方必须在做好现场证据保全后继续按照合同要求进行检测，不得以解决争议为由单方面停工，或者以争议解决需要时日为由拖延施工。否则，甲方有权先行解除与乙方的合同。</w:t>
      </w:r>
    </w:p>
    <w:p w14:paraId="6E4FC7B6">
      <w:pPr>
        <w:pStyle w:val="3"/>
        <w:keepNext w:val="0"/>
        <w:keepLines w:val="0"/>
        <w:spacing w:before="166" w:beforeLines="50" w:after="166" w:afterLines="50" w:line="360" w:lineRule="auto"/>
        <w:ind w:firstLine="0" w:firstLineChars="0"/>
        <w:rPr>
          <w:rFonts w:ascii="仿宋_GB2312" w:hAnsi="宋体" w:eastAsia="仿宋_GB2312"/>
          <w:b/>
          <w:color w:val="000000"/>
          <w:sz w:val="24"/>
          <w:szCs w:val="24"/>
        </w:rPr>
      </w:pPr>
      <w:r>
        <w:rPr>
          <w:rFonts w:hint="eastAsia" w:ascii="仿宋_GB2312" w:hAnsi="宋体" w:eastAsia="仿宋_GB2312"/>
          <w:b/>
          <w:color w:val="000000"/>
          <w:sz w:val="24"/>
          <w:szCs w:val="24"/>
        </w:rPr>
        <w:t>八、违约责任</w:t>
      </w:r>
    </w:p>
    <w:p w14:paraId="45BBC176">
      <w:pPr>
        <w:adjustRightInd w:val="0"/>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8.1乙方应确保交付的成果质量符合本合同约定，否则甲方有权拒收，且乙方应在甲方限定时间内予以返工并重新交付成果。乙方拒绝返工或重新交付的成果质量仍然不合格的，甲方有权单方解除本合同并另行委托，乙方应按本合同暂定总额的2</w:t>
      </w:r>
      <w:r>
        <w:rPr>
          <w:rFonts w:ascii="仿宋" w:hAnsi="仿宋" w:eastAsia="仿宋"/>
          <w:color w:val="000000"/>
          <w:sz w:val="24"/>
          <w:szCs w:val="24"/>
        </w:rPr>
        <w:t>0%向甲方支付违约金</w:t>
      </w:r>
      <w:r>
        <w:rPr>
          <w:rFonts w:hint="eastAsia" w:ascii="仿宋" w:hAnsi="仿宋" w:eastAsia="仿宋"/>
          <w:color w:val="000000"/>
          <w:sz w:val="24"/>
          <w:szCs w:val="24"/>
        </w:rPr>
        <w:t>，如违约金</w:t>
      </w:r>
      <w:r>
        <w:rPr>
          <w:rFonts w:ascii="仿宋" w:hAnsi="仿宋" w:eastAsia="仿宋"/>
          <w:color w:val="000000"/>
          <w:sz w:val="24"/>
          <w:szCs w:val="24"/>
        </w:rPr>
        <w:t>不足弥补</w:t>
      </w:r>
      <w:r>
        <w:rPr>
          <w:rFonts w:hint="eastAsia" w:ascii="仿宋" w:hAnsi="仿宋" w:eastAsia="仿宋"/>
          <w:color w:val="000000"/>
          <w:sz w:val="24"/>
          <w:szCs w:val="24"/>
        </w:rPr>
        <w:t>甲方全部损失（包括但不限于甲方另行聘请检测单位所支付的费用、律师费、诉讼费、保全费、鉴定费、差旅费等）的，乙方还应承担赔偿责任。</w:t>
      </w:r>
    </w:p>
    <w:p w14:paraId="42A02605">
      <w:pPr>
        <w:adjustRightInd w:val="0"/>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8.2乙方应对甲方提供的技术资料和检测/监测结果保密，乙方违反本合同有关保密的规定或因职员失职、渎职造成甲方经济损失的，应按本合同暂定总额的20%向甲方支付违约金，违约金不足弥补甲方全部损失（包括但不限于甲方另行聘请检测单位所支付的费用、律师费、诉讼费、保全费、鉴定费、差旅费等）的，乙方还应承担赔偿责任。</w:t>
      </w:r>
    </w:p>
    <w:p w14:paraId="60207CB4">
      <w:pPr>
        <w:adjustRightInd w:val="0"/>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8.</w:t>
      </w:r>
      <w:r>
        <w:rPr>
          <w:rFonts w:ascii="仿宋" w:hAnsi="仿宋" w:eastAsia="仿宋"/>
          <w:color w:val="000000"/>
          <w:sz w:val="24"/>
          <w:szCs w:val="24"/>
        </w:rPr>
        <w:t>3</w:t>
      </w:r>
      <w:r>
        <w:rPr>
          <w:rFonts w:hint="eastAsia" w:ascii="仿宋" w:hAnsi="仿宋" w:eastAsia="仿宋"/>
          <w:color w:val="000000"/>
          <w:sz w:val="24"/>
          <w:szCs w:val="24"/>
        </w:rPr>
        <w:t>乙方进场检测，须遵守甲方项目管理规定，服从现场监理及项目经理的管理，如因不服从管理，造成甲方经济损失，甲方有权要求乙方退还甲方已支付的费用，并赔偿甲方因此所受到的全部损失（包括但不限于甲方另行聘请检测单位所支付的费用、律师费、诉讼费、保全费、鉴定费、差旅费等）。</w:t>
      </w:r>
    </w:p>
    <w:p w14:paraId="23FDACDC">
      <w:pPr>
        <w:adjustRightInd w:val="0"/>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8.4在检测/监测工作中，由于乙方原因发生安全事故，造成人员人身伤害、检测/监测设备损坏或其它经济损失的，由乙方承担甲方及第三方所受的全部损失，甲方有权要求乙方退还甲方已支付的费用，并赔偿甲方因此所受到的全部损失。</w:t>
      </w:r>
    </w:p>
    <w:p w14:paraId="18E7490E">
      <w:pPr>
        <w:spacing w:before="166" w:beforeLines="50"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8.5如乙方因自身原因未能如期提供符合本合同约定的检测/监测报告，每逾期一日，应向甲方支付5000元违约金，逾期超过10日的，甲方有权解除本合同，乙方并应按合同暂定总额的20%向甲方支付违约金</w:t>
      </w:r>
      <w:r>
        <w:rPr>
          <w:rFonts w:ascii="仿宋" w:hAnsi="仿宋" w:eastAsia="仿宋"/>
          <w:color w:val="000000"/>
          <w:sz w:val="24"/>
          <w:szCs w:val="24"/>
        </w:rPr>
        <w:t>，</w:t>
      </w:r>
      <w:r>
        <w:rPr>
          <w:rFonts w:hint="eastAsia" w:ascii="仿宋" w:hAnsi="仿宋" w:eastAsia="仿宋"/>
          <w:color w:val="000000"/>
          <w:sz w:val="24"/>
          <w:szCs w:val="24"/>
        </w:rPr>
        <w:t>并退还甲方已支付的费用，如仍不足弥补甲方全部损失的，乙方还应承担赔偿责任。</w:t>
      </w:r>
    </w:p>
    <w:p w14:paraId="08FCF0A2">
      <w:pPr>
        <w:spacing w:before="166" w:beforeLines="50"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8.6乙方投入的人员与本合同附件2约定不符或未经甲方同意擅自更换的，每更换一次，按下表《人员违约金一览表》的约定向甲方支付违约金。因特殊情况需要，乙方确需更换项目负责人（技术负责人）或项目主要人员的，乙方应至少提前7天以书面形式向监理单位提出意向（附前任和后任人员的详细履历资料），经总监理工程师签署意见后向甲方提出申请，经甲方书面同意后方可更换，但乙方仍需按下表《人员违约金一览表》的违约金额的20%向甲方支付违约金。</w:t>
      </w:r>
    </w:p>
    <w:p w14:paraId="3992C4F2">
      <w:pPr>
        <w:adjustRightInd w:val="0"/>
        <w:snapToGrid w:val="0"/>
        <w:spacing w:line="360" w:lineRule="auto"/>
        <w:ind w:left="-105" w:leftChars="-50" w:firstLine="480" w:firstLineChars="200"/>
        <w:jc w:val="center"/>
        <w:rPr>
          <w:rFonts w:ascii="仿宋" w:hAnsi="仿宋" w:eastAsia="仿宋" w:cs="仿宋"/>
          <w:snapToGrid w:val="0"/>
          <w:color w:val="000000"/>
          <w:kern w:val="0"/>
          <w:sz w:val="24"/>
          <w:szCs w:val="20"/>
        </w:rPr>
      </w:pPr>
      <w:r>
        <w:rPr>
          <w:rFonts w:hint="eastAsia" w:ascii="仿宋" w:hAnsi="仿宋" w:eastAsia="仿宋" w:cs="仿宋"/>
          <w:snapToGrid w:val="0"/>
          <w:color w:val="000000"/>
          <w:kern w:val="0"/>
          <w:sz w:val="24"/>
          <w:szCs w:val="20"/>
        </w:rPr>
        <w:t>人员违约金一览表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522"/>
        <w:gridCol w:w="3573"/>
      </w:tblGrid>
      <w:tr w14:paraId="2085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14:paraId="6D778661">
            <w:pPr>
              <w:adjustRightInd w:val="0"/>
              <w:snapToGrid w:val="0"/>
              <w:spacing w:line="360" w:lineRule="auto"/>
              <w:jc w:val="center"/>
              <w:rPr>
                <w:rFonts w:ascii="仿宋" w:hAnsi="仿宋" w:eastAsia="仿宋" w:cs="仿宋"/>
                <w:snapToGrid w:val="0"/>
                <w:color w:val="000000"/>
                <w:kern w:val="0"/>
                <w:sz w:val="24"/>
                <w:szCs w:val="20"/>
              </w:rPr>
            </w:pPr>
            <w:r>
              <w:rPr>
                <w:rFonts w:hint="eastAsia" w:ascii="仿宋" w:hAnsi="仿宋" w:eastAsia="仿宋" w:cs="仿宋"/>
                <w:snapToGrid w:val="0"/>
                <w:color w:val="000000"/>
                <w:kern w:val="0"/>
                <w:sz w:val="24"/>
                <w:szCs w:val="20"/>
              </w:rPr>
              <w:t>序号</w:t>
            </w:r>
          </w:p>
        </w:tc>
        <w:tc>
          <w:tcPr>
            <w:tcW w:w="3522" w:type="dxa"/>
            <w:tcBorders>
              <w:top w:val="single" w:color="auto" w:sz="4" w:space="0"/>
              <w:left w:val="single" w:color="auto" w:sz="4" w:space="0"/>
              <w:bottom w:val="single" w:color="auto" w:sz="4" w:space="0"/>
              <w:right w:val="single" w:color="auto" w:sz="4" w:space="0"/>
            </w:tcBorders>
            <w:noWrap w:val="0"/>
            <w:vAlign w:val="center"/>
          </w:tcPr>
          <w:p w14:paraId="2B8B3CE0">
            <w:pPr>
              <w:adjustRightInd w:val="0"/>
              <w:snapToGrid w:val="0"/>
              <w:spacing w:line="360" w:lineRule="auto"/>
              <w:jc w:val="center"/>
              <w:rPr>
                <w:rFonts w:ascii="仿宋" w:hAnsi="仿宋" w:eastAsia="仿宋" w:cs="仿宋"/>
                <w:snapToGrid w:val="0"/>
                <w:color w:val="000000"/>
                <w:kern w:val="0"/>
                <w:sz w:val="24"/>
                <w:szCs w:val="20"/>
              </w:rPr>
            </w:pPr>
            <w:r>
              <w:rPr>
                <w:rFonts w:hint="eastAsia" w:ascii="仿宋" w:hAnsi="仿宋" w:eastAsia="仿宋" w:cs="仿宋"/>
                <w:snapToGrid w:val="0"/>
                <w:color w:val="000000"/>
                <w:kern w:val="0"/>
                <w:sz w:val="24"/>
                <w:szCs w:val="20"/>
              </w:rPr>
              <w:t>项目主要人员</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7F08F5D7">
            <w:pPr>
              <w:adjustRightInd w:val="0"/>
              <w:snapToGrid w:val="0"/>
              <w:spacing w:line="360" w:lineRule="auto"/>
              <w:jc w:val="center"/>
              <w:rPr>
                <w:rFonts w:ascii="仿宋" w:hAnsi="仿宋" w:eastAsia="仿宋" w:cs="仿宋"/>
                <w:snapToGrid w:val="0"/>
                <w:color w:val="000000"/>
                <w:kern w:val="0"/>
                <w:sz w:val="24"/>
                <w:szCs w:val="20"/>
              </w:rPr>
            </w:pPr>
            <w:r>
              <w:rPr>
                <w:rFonts w:hint="eastAsia" w:ascii="仿宋" w:hAnsi="仿宋" w:eastAsia="仿宋" w:cs="仿宋"/>
                <w:snapToGrid w:val="0"/>
                <w:color w:val="000000"/>
                <w:kern w:val="0"/>
                <w:sz w:val="24"/>
                <w:szCs w:val="20"/>
              </w:rPr>
              <w:t>违约金额</w:t>
            </w:r>
          </w:p>
        </w:tc>
      </w:tr>
      <w:tr w14:paraId="47DD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14:paraId="5A266362">
            <w:pPr>
              <w:adjustRightInd w:val="0"/>
              <w:snapToGrid w:val="0"/>
              <w:spacing w:line="360" w:lineRule="auto"/>
              <w:jc w:val="center"/>
              <w:rPr>
                <w:rFonts w:ascii="仿宋" w:hAnsi="仿宋" w:eastAsia="仿宋" w:cs="仿宋"/>
                <w:snapToGrid w:val="0"/>
                <w:color w:val="000000"/>
                <w:kern w:val="0"/>
                <w:sz w:val="24"/>
                <w:szCs w:val="20"/>
              </w:rPr>
            </w:pPr>
            <w:r>
              <w:rPr>
                <w:rFonts w:hint="eastAsia" w:ascii="仿宋" w:hAnsi="仿宋" w:eastAsia="仿宋" w:cs="仿宋"/>
                <w:snapToGrid w:val="0"/>
                <w:color w:val="000000"/>
                <w:kern w:val="0"/>
                <w:sz w:val="24"/>
                <w:szCs w:val="20"/>
              </w:rPr>
              <w:t>1</w:t>
            </w:r>
          </w:p>
        </w:tc>
        <w:tc>
          <w:tcPr>
            <w:tcW w:w="3522" w:type="dxa"/>
            <w:tcBorders>
              <w:top w:val="single" w:color="auto" w:sz="4" w:space="0"/>
              <w:left w:val="single" w:color="auto" w:sz="4" w:space="0"/>
              <w:bottom w:val="single" w:color="auto" w:sz="4" w:space="0"/>
              <w:right w:val="single" w:color="auto" w:sz="4" w:space="0"/>
            </w:tcBorders>
            <w:noWrap w:val="0"/>
            <w:vAlign w:val="center"/>
          </w:tcPr>
          <w:p w14:paraId="2F7B5E66">
            <w:pPr>
              <w:adjustRightInd w:val="0"/>
              <w:snapToGrid w:val="0"/>
              <w:spacing w:line="360" w:lineRule="auto"/>
              <w:jc w:val="center"/>
              <w:rPr>
                <w:rFonts w:ascii="仿宋" w:hAnsi="仿宋" w:eastAsia="仿宋" w:cs="仿宋"/>
                <w:snapToGrid w:val="0"/>
                <w:color w:val="000000"/>
                <w:kern w:val="0"/>
                <w:sz w:val="24"/>
                <w:szCs w:val="20"/>
              </w:rPr>
            </w:pPr>
            <w:r>
              <w:rPr>
                <w:rFonts w:hint="eastAsia" w:ascii="仿宋" w:hAnsi="仿宋" w:eastAsia="仿宋" w:cs="仿宋"/>
                <w:snapToGrid w:val="0"/>
                <w:color w:val="000000"/>
                <w:kern w:val="0"/>
                <w:sz w:val="24"/>
                <w:szCs w:val="20"/>
              </w:rPr>
              <w:t>项目负责人（技术负责人）</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5B313AF4">
            <w:pPr>
              <w:adjustRightInd w:val="0"/>
              <w:snapToGrid w:val="0"/>
              <w:spacing w:line="360" w:lineRule="auto"/>
              <w:jc w:val="center"/>
              <w:rPr>
                <w:rFonts w:ascii="仿宋" w:hAnsi="仿宋" w:eastAsia="仿宋" w:cs="仿宋"/>
                <w:snapToGrid w:val="0"/>
                <w:color w:val="000000"/>
                <w:kern w:val="0"/>
                <w:sz w:val="24"/>
                <w:szCs w:val="20"/>
              </w:rPr>
            </w:pPr>
            <w:r>
              <w:rPr>
                <w:rFonts w:hint="eastAsia" w:ascii="仿宋" w:hAnsi="仿宋" w:eastAsia="仿宋" w:cs="仿宋"/>
                <w:snapToGrid w:val="0"/>
                <w:color w:val="000000"/>
                <w:kern w:val="0"/>
                <w:sz w:val="24"/>
                <w:szCs w:val="20"/>
              </w:rPr>
              <w:t>人民币5千元/人</w:t>
            </w:r>
          </w:p>
        </w:tc>
      </w:tr>
      <w:tr w14:paraId="0FC4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14:paraId="40CEE23D">
            <w:pPr>
              <w:adjustRightInd w:val="0"/>
              <w:snapToGrid w:val="0"/>
              <w:spacing w:line="360" w:lineRule="auto"/>
              <w:jc w:val="center"/>
              <w:rPr>
                <w:rFonts w:ascii="仿宋" w:hAnsi="仿宋" w:eastAsia="仿宋" w:cs="仿宋"/>
                <w:snapToGrid w:val="0"/>
                <w:color w:val="000000"/>
                <w:kern w:val="0"/>
                <w:sz w:val="24"/>
                <w:szCs w:val="20"/>
              </w:rPr>
            </w:pPr>
            <w:r>
              <w:rPr>
                <w:rFonts w:hint="eastAsia" w:ascii="仿宋" w:hAnsi="仿宋" w:eastAsia="仿宋" w:cs="仿宋"/>
                <w:snapToGrid w:val="0"/>
                <w:color w:val="000000"/>
                <w:kern w:val="0"/>
                <w:sz w:val="24"/>
                <w:szCs w:val="20"/>
              </w:rPr>
              <w:t>2</w:t>
            </w:r>
          </w:p>
        </w:tc>
        <w:tc>
          <w:tcPr>
            <w:tcW w:w="3522" w:type="dxa"/>
            <w:tcBorders>
              <w:top w:val="single" w:color="auto" w:sz="4" w:space="0"/>
              <w:left w:val="single" w:color="auto" w:sz="4" w:space="0"/>
              <w:bottom w:val="single" w:color="auto" w:sz="4" w:space="0"/>
              <w:right w:val="single" w:color="auto" w:sz="4" w:space="0"/>
            </w:tcBorders>
            <w:noWrap w:val="0"/>
            <w:vAlign w:val="center"/>
          </w:tcPr>
          <w:p w14:paraId="09BB17CD">
            <w:pPr>
              <w:adjustRightInd w:val="0"/>
              <w:snapToGrid w:val="0"/>
              <w:spacing w:line="360" w:lineRule="auto"/>
              <w:jc w:val="center"/>
              <w:rPr>
                <w:rFonts w:ascii="仿宋" w:hAnsi="仿宋" w:eastAsia="仿宋" w:cs="仿宋"/>
                <w:snapToGrid w:val="0"/>
                <w:color w:val="000000"/>
                <w:kern w:val="0"/>
                <w:sz w:val="24"/>
                <w:szCs w:val="20"/>
              </w:rPr>
            </w:pPr>
            <w:r>
              <w:rPr>
                <w:rFonts w:hint="eastAsia" w:ascii="仿宋" w:hAnsi="仿宋" w:eastAsia="仿宋" w:cs="仿宋"/>
                <w:color w:val="000000"/>
                <w:sz w:val="24"/>
                <w:szCs w:val="20"/>
              </w:rPr>
              <w:t>主要人员</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353956F3">
            <w:pPr>
              <w:adjustRightInd w:val="0"/>
              <w:snapToGrid w:val="0"/>
              <w:spacing w:line="360" w:lineRule="auto"/>
              <w:jc w:val="center"/>
              <w:rPr>
                <w:rFonts w:ascii="仿宋" w:hAnsi="仿宋" w:eastAsia="仿宋" w:cs="仿宋"/>
                <w:snapToGrid w:val="0"/>
                <w:color w:val="000000"/>
                <w:kern w:val="0"/>
                <w:sz w:val="24"/>
                <w:szCs w:val="20"/>
              </w:rPr>
            </w:pPr>
            <w:r>
              <w:rPr>
                <w:rFonts w:hint="eastAsia" w:ascii="仿宋" w:hAnsi="仿宋" w:eastAsia="仿宋" w:cs="仿宋"/>
                <w:snapToGrid w:val="0"/>
                <w:color w:val="000000"/>
                <w:kern w:val="0"/>
                <w:sz w:val="24"/>
                <w:szCs w:val="20"/>
              </w:rPr>
              <w:t>人民币1千元/人</w:t>
            </w:r>
          </w:p>
        </w:tc>
      </w:tr>
    </w:tbl>
    <w:p w14:paraId="0BC0E2EC">
      <w:pPr>
        <w:spacing w:before="166" w:beforeLines="50"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8.7在未取得甲方书面同意的情况下，若乙方擅自将本合同服务内容全部或部分转包或分包给第三方的，甲方有权解除本合同，乙方并应按合同暂定总额的30%向甲方支付违约金，违约金不足以弥补甲方因此遭受的全部损失的，乙方还应负责赔偿。</w:t>
      </w:r>
    </w:p>
    <w:p w14:paraId="0DDC0594">
      <w:pPr>
        <w:spacing w:before="166" w:beforeLines="50"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8.8在现场工作的乙方人员应遵守甲方的安全有关的规章制度，如因乙方原因导致甲方的人员工伤、任何第三方的人身安全事故或造成财产损失的，乙方应承担一切法律责任和经济责任，并赔偿由此给甲方造成的全部损失。</w:t>
      </w:r>
    </w:p>
    <w:p w14:paraId="5BAE9C19">
      <w:pPr>
        <w:spacing w:before="166" w:beforeLines="50"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8.9因乙方原因未能按甲方的合理要求及时进场作业导致工期延误的，乙方应承担责任并支付甲方合同暂定总额20%的违约金。乙方不按时进场开工时间超过7天，甲方有权单方面解除合同，乙方还应承担甲方因此遭受的全部损失。</w:t>
      </w:r>
    </w:p>
    <w:p w14:paraId="4174A183">
      <w:pPr>
        <w:spacing w:after="120" w:line="460" w:lineRule="exact"/>
        <w:ind w:firstLine="482"/>
        <w:rPr>
          <w:rFonts w:ascii="仿宋" w:hAnsi="仿宋" w:eastAsia="仿宋"/>
          <w:color w:val="000000"/>
          <w:sz w:val="24"/>
          <w:szCs w:val="24"/>
        </w:rPr>
      </w:pPr>
      <w:r>
        <w:rPr>
          <w:rFonts w:hint="eastAsia" w:ascii="仿宋" w:hAnsi="仿宋" w:eastAsia="仿宋"/>
          <w:color w:val="000000"/>
          <w:sz w:val="24"/>
          <w:szCs w:val="24"/>
        </w:rPr>
        <w:t>8.10由于乙方原因造成检测/监测成果报告不符合国家技术规范、标准、规程及甲方的有关要求，乙方必须在甲方要求的时间内负责无偿给予修正、补充和完善。检测报告信息错误、未按照约定检测依据进行检测或者检测结论判断错误的，乙方应进行更正或免费重新进行检测，给甲方造成全部损失的应予以赔偿，由甲方原因造成上述错误的除外。</w:t>
      </w:r>
    </w:p>
    <w:p w14:paraId="1C09C5F3">
      <w:pPr>
        <w:spacing w:before="166" w:beforeLines="50" w:line="400" w:lineRule="exact"/>
        <w:ind w:firstLine="480" w:firstLineChars="200"/>
        <w:rPr>
          <w:color w:val="000000"/>
        </w:rPr>
      </w:pPr>
      <w:r>
        <w:rPr>
          <w:rFonts w:hint="eastAsia" w:ascii="仿宋" w:hAnsi="仿宋" w:eastAsia="仿宋"/>
          <w:color w:val="000000"/>
          <w:sz w:val="24"/>
          <w:szCs w:val="24"/>
        </w:rPr>
        <w:t>8.11因乙方自身原因擅自停工、消极怠工或拒不执行甲方工作指令，甲方有权单方面解除合同，乙方应向甲方支付本合同暂定总额30%的违约金；乙方必须在3日内停止全部工作，并配合甲方完成现场工作和有关资料的移交，并于完成交接工作当日内离场。乙方应保证所移交的资料齐全完整，乙方无特殊原因未在规定期限内完成交接和离场或所移交的资料不完整的，甲方有权处理其留在现场的材料、设备和其他物件，处理费用由乙方承担，如果引致甲方工期延误和其他方面的损失，甲方将要求乙方赔偿</w:t>
      </w:r>
      <w:r>
        <w:rPr>
          <w:rFonts w:ascii="仿宋" w:hAnsi="仿宋" w:eastAsia="仿宋"/>
          <w:color w:val="000000"/>
          <w:sz w:val="24"/>
          <w:szCs w:val="24"/>
        </w:rPr>
        <w:t>实际</w:t>
      </w:r>
      <w:r>
        <w:rPr>
          <w:rFonts w:hint="eastAsia" w:ascii="仿宋" w:hAnsi="仿宋" w:eastAsia="仿宋"/>
          <w:color w:val="000000"/>
          <w:sz w:val="24"/>
          <w:szCs w:val="24"/>
        </w:rPr>
        <w:t>损失。甲方在发出解除合同的通知后，甲方即可发包给新的承接被解除的全部检测工作，全部费用由乙方承担。同时，乙方不得影响或阻碍新的检测单位办理进场手续和相关工作。甲方有权针对乙方的不诚信行为或不充分履约行为实施惩戒措施，并书面报集团公司备案。集团公司将乙方纳入企业不良记录，并拒绝其在一年内参与集团公司后续工程投标或报价。</w:t>
      </w:r>
    </w:p>
    <w:p w14:paraId="3E7F5581">
      <w:pPr>
        <w:adjustRightInd w:val="0"/>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8.1</w:t>
      </w:r>
      <w:r>
        <w:rPr>
          <w:rFonts w:ascii="仿宋" w:hAnsi="仿宋" w:eastAsia="仿宋"/>
          <w:color w:val="000000"/>
          <w:sz w:val="24"/>
          <w:szCs w:val="24"/>
        </w:rPr>
        <w:t>2乙方违反本合同其他约定的，则每违反1次，应向甲方支付相当于本合同暂定总额1‰的违约金。</w:t>
      </w:r>
    </w:p>
    <w:p w14:paraId="2A9CE051">
      <w:pPr>
        <w:spacing w:before="156" w:beforeLines="50" w:after="156" w:afterLines="50"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8.13</w:t>
      </w:r>
      <w:r>
        <w:rPr>
          <w:rFonts w:hint="eastAsia" w:ascii="仿宋_GB2312" w:hAnsi="仿宋_GB2312" w:eastAsia="仿宋_GB2312" w:cs="仿宋_GB2312"/>
          <w:color w:val="auto"/>
          <w:sz w:val="24"/>
          <w:szCs w:val="24"/>
        </w:rPr>
        <w:t>上述违约金、赔偿金，甲方有权在履约保证金、进度款或结算金额中扣除，不足以扣除的，乙方须在收到甲方通知的十天内向甲方付清。上述损失范围包括但不限于工程修复、损毁而支付的费用、对第三方作出的赔偿、律师费、差旅费、诉讼费和仲裁费、公证费、公告费、评估费、鉴定费、邮寄送达费、印刷费、执行费、拍卖费等。</w:t>
      </w:r>
    </w:p>
    <w:p w14:paraId="67F5C0D5">
      <w:pPr>
        <w:pStyle w:val="3"/>
        <w:keepNext w:val="0"/>
        <w:keepLines w:val="0"/>
        <w:spacing w:before="166" w:beforeLines="50" w:after="166" w:afterLines="50" w:line="360" w:lineRule="auto"/>
        <w:ind w:firstLine="0" w:firstLineChars="0"/>
        <w:rPr>
          <w:rFonts w:ascii="仿宋_GB2312" w:hAnsi="宋体" w:eastAsia="仿宋_GB2312"/>
          <w:b/>
          <w:color w:val="000000"/>
          <w:sz w:val="24"/>
          <w:szCs w:val="24"/>
        </w:rPr>
      </w:pPr>
      <w:r>
        <w:rPr>
          <w:rFonts w:hint="eastAsia" w:ascii="仿宋_GB2312" w:hAnsi="宋体" w:eastAsia="仿宋_GB2312"/>
          <w:b/>
          <w:color w:val="000000"/>
          <w:sz w:val="24"/>
          <w:szCs w:val="24"/>
        </w:rPr>
        <w:t>十、不可抗力</w:t>
      </w:r>
    </w:p>
    <w:p w14:paraId="1F22D8C1">
      <w:pPr>
        <w:spacing w:line="46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10.1不可抗力事件指合同当事人不能预见、不能避免、不能克服的客观情况，包括但不限于地震、水灾、雷击、雪灾等自然事件以及战争、罢工、恐怖活动等社会事件。由于不可抗力因素致使合同无法履行时，双方应及时协商解决。</w:t>
      </w:r>
    </w:p>
    <w:p w14:paraId="1B0ADFD9">
      <w:pPr>
        <w:spacing w:line="46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10.2如在项目实施期间，因政策变化、计划调整及其它不可抗力的自然及人为原因，造成本项目停建、缓建，则乙方必须接受甲方要求终止服务，并应积极配合甲方做好善后工作，按甲方确认的已发生有效工作量结算检测/监测费，并且不能要求额外费用及任何形式补偿。</w:t>
      </w:r>
    </w:p>
    <w:p w14:paraId="1C7B037F">
      <w:pPr>
        <w:pStyle w:val="3"/>
        <w:keepNext w:val="0"/>
        <w:keepLines w:val="0"/>
        <w:spacing w:before="166" w:beforeLines="50" w:after="166" w:afterLines="50" w:line="360" w:lineRule="auto"/>
        <w:ind w:firstLine="0" w:firstLineChars="0"/>
        <w:rPr>
          <w:rFonts w:ascii="仿宋_GB2312" w:hAnsi="宋体" w:eastAsia="仿宋_GB2312"/>
          <w:b/>
          <w:color w:val="000000"/>
          <w:sz w:val="24"/>
          <w:szCs w:val="24"/>
        </w:rPr>
      </w:pPr>
      <w:r>
        <w:rPr>
          <w:rFonts w:hint="eastAsia" w:ascii="仿宋_GB2312" w:hAnsi="宋体" w:eastAsia="仿宋_GB2312"/>
          <w:b/>
          <w:color w:val="000000"/>
          <w:sz w:val="24"/>
          <w:szCs w:val="24"/>
        </w:rPr>
        <w:t>十一、争议解决</w:t>
      </w:r>
    </w:p>
    <w:p w14:paraId="2AFE3943">
      <w:pPr>
        <w:adjustRightInd w:val="0"/>
        <w:snapToGrid w:val="0"/>
        <w:spacing w:line="460" w:lineRule="exact"/>
        <w:ind w:firstLine="475" w:firstLineChars="198"/>
        <w:rPr>
          <w:rFonts w:ascii="仿宋" w:hAnsi="仿宋" w:eastAsia="仿宋"/>
          <w:color w:val="000000"/>
          <w:sz w:val="24"/>
          <w:szCs w:val="24"/>
        </w:rPr>
      </w:pPr>
      <w:r>
        <w:rPr>
          <w:rFonts w:ascii="仿宋" w:hAnsi="仿宋" w:eastAsia="仿宋"/>
          <w:color w:val="000000"/>
          <w:sz w:val="24"/>
          <w:szCs w:val="24"/>
        </w:rPr>
        <w:t>在履行合同的过程中，若发生纠纷，双方应协商解决；协商解决不成的，</w:t>
      </w:r>
      <w:r>
        <w:rPr>
          <w:rFonts w:hint="eastAsia" w:ascii="仿宋" w:hAnsi="仿宋" w:eastAsia="仿宋"/>
          <w:color w:val="000000"/>
          <w:sz w:val="24"/>
          <w:szCs w:val="24"/>
        </w:rPr>
        <w:t>双方有权向</w:t>
      </w:r>
      <w:r>
        <w:rPr>
          <w:rFonts w:hint="eastAsia" w:ascii="仿宋" w:hAnsi="仿宋" w:eastAsia="仿宋"/>
          <w:color w:val="000000"/>
          <w:sz w:val="24"/>
          <w:szCs w:val="24"/>
          <w:u w:val="single"/>
        </w:rPr>
        <w:t>甲方所在地</w:t>
      </w:r>
      <w:r>
        <w:rPr>
          <w:rFonts w:hint="eastAsia" w:ascii="仿宋" w:hAnsi="仿宋" w:eastAsia="仿宋"/>
          <w:color w:val="000000"/>
          <w:sz w:val="24"/>
          <w:szCs w:val="24"/>
        </w:rPr>
        <w:t>有管辖权人民法院提起诉讼。</w:t>
      </w:r>
    </w:p>
    <w:p w14:paraId="244E59B2">
      <w:pPr>
        <w:pStyle w:val="3"/>
        <w:keepNext w:val="0"/>
        <w:keepLines w:val="0"/>
        <w:spacing w:before="166" w:beforeLines="50" w:after="166" w:afterLines="50" w:line="360" w:lineRule="auto"/>
        <w:ind w:firstLine="0" w:firstLineChars="0"/>
        <w:rPr>
          <w:rFonts w:ascii="仿宋_GB2312" w:hAnsi="宋体" w:eastAsia="仿宋_GB2312"/>
          <w:b/>
          <w:color w:val="000000"/>
          <w:sz w:val="24"/>
          <w:szCs w:val="24"/>
        </w:rPr>
      </w:pPr>
      <w:r>
        <w:rPr>
          <w:rFonts w:hint="eastAsia" w:ascii="仿宋_GB2312" w:hAnsi="宋体" w:eastAsia="仿宋_GB2312"/>
          <w:b/>
          <w:color w:val="000000"/>
          <w:sz w:val="24"/>
          <w:szCs w:val="24"/>
        </w:rPr>
        <w:t>十二、合同变更、解除与终止</w:t>
      </w:r>
    </w:p>
    <w:p w14:paraId="2B5C12F3">
      <w:pPr>
        <w:adjustRightInd w:val="0"/>
        <w:snapToGrid w:val="0"/>
        <w:spacing w:before="66" w:beforeLines="20" w:after="66" w:afterLines="20" w:line="460" w:lineRule="exact"/>
        <w:ind w:firstLine="480" w:firstLineChars="200"/>
        <w:rPr>
          <w:rFonts w:ascii="仿宋" w:hAnsi="仿宋" w:eastAsia="仿宋"/>
          <w:b/>
          <w:bCs/>
          <w:color w:val="000000"/>
          <w:sz w:val="24"/>
          <w:szCs w:val="24"/>
        </w:rPr>
      </w:pPr>
      <w:r>
        <w:rPr>
          <w:rFonts w:hint="eastAsia" w:ascii="仿宋" w:hAnsi="仿宋" w:eastAsia="仿宋"/>
          <w:b/>
          <w:bCs/>
          <w:color w:val="000000"/>
          <w:sz w:val="24"/>
          <w:szCs w:val="24"/>
        </w:rPr>
        <w:t>11.1合同变更</w:t>
      </w:r>
    </w:p>
    <w:p w14:paraId="6046EE3D">
      <w:pPr>
        <w:snapToGrid w:val="0"/>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任何一方以书面形式提出变更请求时，双方经协商一致后可进行变更。</w:t>
      </w:r>
    </w:p>
    <w:p w14:paraId="50EAE8EF">
      <w:pPr>
        <w:adjustRightInd w:val="0"/>
        <w:snapToGrid w:val="0"/>
        <w:spacing w:before="66" w:beforeLines="20" w:after="66" w:afterLines="20" w:line="460" w:lineRule="exact"/>
        <w:ind w:firstLine="480" w:firstLineChars="200"/>
        <w:rPr>
          <w:rFonts w:ascii="仿宋" w:hAnsi="仿宋" w:eastAsia="仿宋"/>
          <w:b/>
          <w:bCs/>
          <w:color w:val="000000"/>
          <w:sz w:val="24"/>
          <w:szCs w:val="24"/>
        </w:rPr>
      </w:pPr>
      <w:r>
        <w:rPr>
          <w:rFonts w:hint="eastAsia" w:ascii="仿宋" w:hAnsi="仿宋" w:eastAsia="仿宋"/>
          <w:b/>
          <w:bCs/>
          <w:color w:val="000000"/>
          <w:sz w:val="24"/>
          <w:szCs w:val="24"/>
        </w:rPr>
        <w:t>11.2合同解除</w:t>
      </w:r>
    </w:p>
    <w:p w14:paraId="29BDA9FB">
      <w:pPr>
        <w:snapToGrid w:val="0"/>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11.2.1甲方与乙方协商一致，可以解除合同。</w:t>
      </w:r>
    </w:p>
    <w:p w14:paraId="5CDB8E73">
      <w:pPr>
        <w:adjustRightInd w:val="0"/>
        <w:snapToGrid w:val="0"/>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11.2.2有下列情形之一的，合同当事人一方或双方可以解除合同：</w:t>
      </w:r>
    </w:p>
    <w:p w14:paraId="0BD70CC7">
      <w:pPr>
        <w:adjustRightInd w:val="0"/>
        <w:snapToGrid w:val="0"/>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①乙方提供的质量检测服务不符合合同约定的要求，经甲方催告仍不能达到合同约定要求，甲方可以解除合同；</w:t>
      </w:r>
    </w:p>
    <w:p w14:paraId="225A675B">
      <w:pPr>
        <w:adjustRightInd w:val="0"/>
        <w:snapToGrid w:val="0"/>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②因不可抗力致使合同无法履行；</w:t>
      </w:r>
    </w:p>
    <w:p w14:paraId="3391B98D">
      <w:pPr>
        <w:adjustRightInd w:val="0"/>
        <w:snapToGrid w:val="0"/>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③因一方违约致使合同无法实际履行或实际履行已无必要。</w:t>
      </w:r>
    </w:p>
    <w:p w14:paraId="745CB94E">
      <w:pPr>
        <w:snapToGrid w:val="0"/>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11.2.3因甲方自身原因导致的合同解除，甲方应按照合同约定向乙方支付已完成部分的检测费用。因乙方自身原因导致的合同解除，按照违约责任8.11条处理。</w:t>
      </w:r>
    </w:p>
    <w:p w14:paraId="6EE805A8">
      <w:pPr>
        <w:adjustRightInd w:val="0"/>
        <w:snapToGrid w:val="0"/>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11.2.4本合同解除后，本合同约定的有关结算、争议解决方式、保密的条款仍然有效。</w:t>
      </w:r>
    </w:p>
    <w:p w14:paraId="4B0F989F">
      <w:pPr>
        <w:adjustRightInd w:val="0"/>
        <w:snapToGrid w:val="0"/>
        <w:spacing w:before="66" w:beforeLines="20" w:after="66" w:afterLines="20" w:line="460" w:lineRule="exact"/>
        <w:ind w:firstLine="480" w:firstLineChars="200"/>
        <w:rPr>
          <w:rFonts w:ascii="仿宋" w:hAnsi="仿宋" w:eastAsia="仿宋"/>
          <w:b/>
          <w:bCs/>
          <w:color w:val="000000"/>
          <w:sz w:val="24"/>
          <w:szCs w:val="24"/>
        </w:rPr>
      </w:pPr>
      <w:r>
        <w:rPr>
          <w:rFonts w:hint="eastAsia" w:ascii="仿宋" w:hAnsi="仿宋" w:eastAsia="仿宋"/>
          <w:b/>
          <w:bCs/>
          <w:color w:val="000000"/>
          <w:sz w:val="24"/>
          <w:szCs w:val="24"/>
        </w:rPr>
        <w:t>11.3合同终止满足条件</w:t>
      </w:r>
    </w:p>
    <w:p w14:paraId="5FF46053">
      <w:pPr>
        <w:snapToGrid w:val="0"/>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除合同解除外，以下条件全部满足时，本合同终止：</w:t>
      </w:r>
    </w:p>
    <w:p w14:paraId="07D4B90B">
      <w:pPr>
        <w:snapToGrid w:val="0"/>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11.3.1乙方完成本合同约定的全部工作；</w:t>
      </w:r>
    </w:p>
    <w:p w14:paraId="39EC326A">
      <w:pPr>
        <w:adjustRightInd w:val="0"/>
        <w:snapToGrid w:val="0"/>
        <w:spacing w:line="460" w:lineRule="exact"/>
        <w:ind w:firstLine="475" w:firstLineChars="198"/>
        <w:rPr>
          <w:rFonts w:ascii="仿宋" w:hAnsi="仿宋" w:eastAsia="仿宋"/>
          <w:color w:val="000000"/>
          <w:sz w:val="24"/>
          <w:szCs w:val="24"/>
        </w:rPr>
      </w:pPr>
      <w:r>
        <w:rPr>
          <w:rFonts w:hint="eastAsia" w:ascii="仿宋" w:hAnsi="仿宋" w:eastAsia="仿宋"/>
          <w:color w:val="000000"/>
          <w:sz w:val="24"/>
          <w:szCs w:val="24"/>
        </w:rPr>
        <w:t>11.3.2甲方与乙方结清并支付检测费用。</w:t>
      </w:r>
    </w:p>
    <w:p w14:paraId="62C06F0C">
      <w:pPr>
        <w:pStyle w:val="3"/>
        <w:keepNext w:val="0"/>
        <w:keepLines w:val="0"/>
        <w:spacing w:before="166" w:beforeLines="50" w:after="166" w:afterLines="50" w:line="360" w:lineRule="auto"/>
        <w:ind w:firstLine="0" w:firstLineChars="0"/>
        <w:rPr>
          <w:rFonts w:ascii="仿宋_GB2312" w:hAnsi="宋体" w:eastAsia="仿宋_GB2312"/>
          <w:b/>
          <w:color w:val="000000"/>
          <w:sz w:val="24"/>
          <w:szCs w:val="24"/>
        </w:rPr>
      </w:pPr>
      <w:r>
        <w:rPr>
          <w:rFonts w:hint="eastAsia" w:ascii="仿宋_GB2312" w:hAnsi="宋体" w:eastAsia="仿宋_GB2312"/>
          <w:b/>
          <w:color w:val="000000"/>
          <w:sz w:val="24"/>
          <w:szCs w:val="24"/>
        </w:rPr>
        <w:t>十三、合同订立与份数</w:t>
      </w:r>
    </w:p>
    <w:p w14:paraId="6EAB0980">
      <w:pPr>
        <w:adjustRightInd w:val="0"/>
        <w:snapToGrid w:val="0"/>
        <w:spacing w:before="66" w:beforeLines="20" w:after="66" w:afterLines="20" w:line="460" w:lineRule="exact"/>
        <w:ind w:firstLine="480" w:firstLineChars="200"/>
        <w:rPr>
          <w:rFonts w:ascii="仿宋" w:hAnsi="仿宋" w:eastAsia="仿宋"/>
          <w:b/>
          <w:bCs/>
          <w:color w:val="000000"/>
          <w:sz w:val="24"/>
          <w:szCs w:val="24"/>
        </w:rPr>
      </w:pPr>
      <w:r>
        <w:rPr>
          <w:rFonts w:hint="eastAsia" w:ascii="仿宋" w:hAnsi="仿宋" w:eastAsia="仿宋"/>
          <w:b/>
          <w:bCs/>
          <w:color w:val="000000"/>
          <w:sz w:val="24"/>
          <w:szCs w:val="24"/>
        </w:rPr>
        <w:t>13.1合同订立</w:t>
      </w:r>
    </w:p>
    <w:p w14:paraId="33FB7BD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13.1.1订立时间：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月</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日。</w:t>
      </w:r>
    </w:p>
    <w:p w14:paraId="4AECF41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13.1.2订立地点：广州市黄埔区。</w:t>
      </w:r>
    </w:p>
    <w:p w14:paraId="5A8FCAC8">
      <w:pPr>
        <w:adjustRightInd w:val="0"/>
        <w:snapToGrid w:val="0"/>
        <w:spacing w:before="66" w:beforeLines="20" w:after="66" w:afterLines="20" w:line="460" w:lineRule="exact"/>
        <w:ind w:firstLine="480" w:firstLineChars="200"/>
        <w:rPr>
          <w:rFonts w:ascii="仿宋" w:hAnsi="仿宋" w:eastAsia="仿宋"/>
          <w:b/>
          <w:bCs/>
          <w:color w:val="000000"/>
          <w:sz w:val="24"/>
          <w:szCs w:val="24"/>
        </w:rPr>
      </w:pPr>
      <w:r>
        <w:rPr>
          <w:rFonts w:hint="eastAsia" w:ascii="仿宋" w:hAnsi="仿宋" w:eastAsia="仿宋"/>
          <w:b/>
          <w:bCs/>
          <w:color w:val="000000"/>
          <w:sz w:val="24"/>
          <w:szCs w:val="24"/>
        </w:rPr>
        <w:t>13.2合同份数</w:t>
      </w:r>
    </w:p>
    <w:p w14:paraId="765182A5">
      <w:pPr>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本合同自双方签字盖章后生效。</w:t>
      </w:r>
    </w:p>
    <w:p w14:paraId="12967E50">
      <w:pPr>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本合同一式</w:t>
      </w:r>
      <w:r>
        <w:rPr>
          <w:rFonts w:hint="eastAsia" w:ascii="仿宋" w:hAnsi="仿宋" w:eastAsia="仿宋"/>
          <w:color w:val="000000"/>
          <w:sz w:val="24"/>
          <w:szCs w:val="24"/>
          <w:u w:val="single"/>
        </w:rPr>
        <w:t xml:space="preserve"> </w:t>
      </w:r>
      <w:r>
        <w:rPr>
          <w:rFonts w:ascii="仿宋" w:hAnsi="仿宋" w:eastAsia="仿宋"/>
          <w:color w:val="000000"/>
          <w:sz w:val="24"/>
          <w:szCs w:val="24"/>
          <w:u w:val="single"/>
        </w:rPr>
        <w:t xml:space="preserve">  </w:t>
      </w:r>
      <w:r>
        <w:rPr>
          <w:rFonts w:hint="eastAsia" w:ascii="仿宋" w:hAnsi="仿宋" w:eastAsia="仿宋"/>
          <w:color w:val="000000"/>
          <w:sz w:val="24"/>
          <w:szCs w:val="24"/>
        </w:rPr>
        <w:t>份，具有同等法律效力，其中甲方执</w:t>
      </w:r>
      <w:r>
        <w:rPr>
          <w:rFonts w:hint="eastAsia" w:ascii="仿宋" w:hAnsi="仿宋" w:eastAsia="仿宋"/>
          <w:color w:val="000000"/>
          <w:sz w:val="24"/>
          <w:szCs w:val="24"/>
          <w:u w:val="single"/>
        </w:rPr>
        <w:t xml:space="preserve"> 伍 </w:t>
      </w:r>
      <w:r>
        <w:rPr>
          <w:rFonts w:hint="eastAsia" w:ascii="仿宋" w:hAnsi="仿宋" w:eastAsia="仿宋"/>
          <w:color w:val="000000"/>
          <w:sz w:val="24"/>
          <w:szCs w:val="24"/>
        </w:rPr>
        <w:t>份，乙方执</w:t>
      </w:r>
      <w:r>
        <w:rPr>
          <w:rFonts w:hint="eastAsia" w:ascii="仿宋" w:hAnsi="仿宋" w:eastAsia="仿宋"/>
          <w:color w:val="000000"/>
          <w:sz w:val="24"/>
          <w:szCs w:val="24"/>
          <w:u w:val="single"/>
        </w:rPr>
        <w:t xml:space="preserve"> </w:t>
      </w:r>
      <w:r>
        <w:rPr>
          <w:rFonts w:ascii="仿宋" w:hAnsi="仿宋" w:eastAsia="仿宋"/>
          <w:color w:val="000000"/>
          <w:sz w:val="24"/>
          <w:szCs w:val="24"/>
          <w:u w:val="single"/>
        </w:rPr>
        <w:t xml:space="preserve">  </w:t>
      </w:r>
      <w:r>
        <w:rPr>
          <w:rFonts w:hint="eastAsia" w:ascii="仿宋" w:hAnsi="仿宋" w:eastAsia="仿宋"/>
          <w:color w:val="000000"/>
          <w:sz w:val="24"/>
          <w:szCs w:val="24"/>
        </w:rPr>
        <w:t>份。</w:t>
      </w:r>
    </w:p>
    <w:p w14:paraId="6636D7B6">
      <w:pPr>
        <w:spacing w:line="460" w:lineRule="exact"/>
        <w:jc w:val="left"/>
        <w:rPr>
          <w:rFonts w:ascii="仿宋" w:hAnsi="仿宋" w:eastAsia="仿宋"/>
          <w:color w:val="000000"/>
          <w:sz w:val="24"/>
          <w:szCs w:val="24"/>
        </w:rPr>
      </w:pPr>
    </w:p>
    <w:p w14:paraId="01C5BA26">
      <w:pPr>
        <w:spacing w:line="46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附件1：工程建设项目廉政责任书</w:t>
      </w:r>
    </w:p>
    <w:p w14:paraId="034844E6">
      <w:pPr>
        <w:spacing w:line="46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附件2：项目负责人、技术负责人及本项目的主要技术人员的组成</w:t>
      </w:r>
    </w:p>
    <w:p w14:paraId="09A17C8A">
      <w:pPr>
        <w:spacing w:before="50" w:after="50" w:line="360" w:lineRule="auto"/>
        <w:ind w:firstLine="480"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highlight w:val="none"/>
        </w:rPr>
        <w:t>附件3：检测</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监测</w:t>
      </w:r>
      <w:r>
        <w:rPr>
          <w:rFonts w:hint="eastAsia" w:ascii="仿宋_GB2312" w:hAnsi="仿宋_GB2312" w:eastAsia="仿宋_GB2312" w:cs="仿宋_GB2312"/>
          <w:color w:val="auto"/>
          <w:sz w:val="24"/>
          <w:szCs w:val="24"/>
          <w:highlight w:val="none"/>
        </w:rPr>
        <w:t>清单报价表</w:t>
      </w:r>
    </w:p>
    <w:p w14:paraId="052535CF">
      <w:pPr>
        <w:spacing w:line="460" w:lineRule="exact"/>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附件</w:t>
      </w: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招标答疑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如有</w:t>
      </w:r>
      <w:r>
        <w:rPr>
          <w:rFonts w:hint="eastAsia" w:ascii="仿宋_GB2312" w:hAnsi="仿宋_GB2312" w:eastAsia="仿宋_GB2312" w:cs="仿宋_GB2312"/>
          <w:color w:val="auto"/>
          <w:sz w:val="24"/>
          <w:szCs w:val="24"/>
          <w:highlight w:val="none"/>
          <w:lang w:eastAsia="zh-CN"/>
        </w:rPr>
        <w:t>）</w:t>
      </w:r>
    </w:p>
    <w:p w14:paraId="5AEC4DE7">
      <w:pPr>
        <w:spacing w:line="46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附件</w:t>
      </w: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联合体协议书（如有）</w:t>
      </w:r>
    </w:p>
    <w:p w14:paraId="16F2DB69">
      <w:pPr>
        <w:spacing w:line="460" w:lineRule="exact"/>
        <w:ind w:firstLine="480" w:firstLineChars="200"/>
        <w:jc w:val="left"/>
        <w:rPr>
          <w:rFonts w:hint="eastAsia" w:ascii="仿宋_GB2312" w:hAnsi="仿宋_GB2312" w:eastAsia="仿宋_GB2312" w:cs="仿宋_GB2312"/>
          <w:color w:val="auto"/>
          <w:sz w:val="24"/>
          <w:szCs w:val="24"/>
          <w:highlight w:val="none"/>
        </w:rPr>
      </w:pPr>
    </w:p>
    <w:p w14:paraId="11979B89">
      <w:pPr>
        <w:spacing w:line="46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（以下无正文，本页为签署页）</w:t>
      </w:r>
    </w:p>
    <w:p w14:paraId="00D5C7C0">
      <w:pPr>
        <w:adjustRightInd w:val="0"/>
        <w:snapToGrid w:val="0"/>
        <w:spacing w:before="156" w:beforeLines="50" w:after="156" w:afterLines="50" w:line="360" w:lineRule="auto"/>
        <w:jc w:val="left"/>
        <w:rPr>
          <w:rFonts w:hint="eastAsia" w:ascii="仿宋_GB2312" w:hAnsi="仿宋_GB2312" w:eastAsia="仿宋_GB2312" w:cs="仿宋_GB2312"/>
          <w:color w:val="auto"/>
          <w:sz w:val="24"/>
          <w:szCs w:val="24"/>
        </w:rPr>
      </w:pPr>
    </w:p>
    <w:p w14:paraId="520CC286">
      <w:pPr>
        <w:spacing w:line="400" w:lineRule="exact"/>
        <w:ind w:firstLine="480" w:firstLineChars="200"/>
        <w:rPr>
          <w:rFonts w:hint="eastAsia" w:ascii="仿宋_GB2312" w:hAnsi="仿宋_GB2312" w:eastAsia="仿宋_GB2312" w:cs="仿宋_GB2312"/>
          <w:color w:val="auto"/>
          <w:sz w:val="24"/>
          <w:szCs w:val="24"/>
          <w:highlight w:val="none"/>
        </w:rPr>
      </w:pPr>
    </w:p>
    <w:p w14:paraId="573BC277">
      <w:pPr>
        <w:spacing w:line="400" w:lineRule="exact"/>
        <w:outlineLvl w:val="0"/>
        <w:rPr>
          <w:rFonts w:hint="eastAsia" w:ascii="仿宋_GB2312" w:hAnsi="仿宋_GB2312" w:eastAsia="仿宋_GB2312" w:cs="仿宋_GB2312"/>
          <w:color w:val="auto"/>
          <w:sz w:val="24"/>
          <w:szCs w:val="24"/>
          <w:highlight w:val="none"/>
        </w:rPr>
      </w:pPr>
    </w:p>
    <w:p w14:paraId="47053728">
      <w:pPr>
        <w:spacing w:line="400" w:lineRule="exact"/>
        <w:outlineLvl w:val="0"/>
        <w:rPr>
          <w:rFonts w:hint="eastAsia" w:ascii="仿宋_GB2312" w:hAnsi="仿宋_GB2312" w:eastAsia="仿宋_GB2312" w:cs="仿宋_GB2312"/>
          <w:color w:val="auto"/>
          <w:sz w:val="24"/>
          <w:szCs w:val="24"/>
          <w:highlight w:val="none"/>
        </w:rPr>
        <w:sectPr>
          <w:type w:val="continuous"/>
          <w:pgSz w:w="11906" w:h="16838"/>
          <w:pgMar w:top="1440" w:right="1133" w:bottom="1440" w:left="1418" w:header="851" w:footer="992" w:gutter="0"/>
          <w:cols w:space="720" w:num="1"/>
          <w:docGrid w:type="linesAndChars" w:linePitch="312" w:charSpace="0"/>
        </w:sectPr>
      </w:pPr>
    </w:p>
    <w:tbl>
      <w:tblPr>
        <w:tblStyle w:val="14"/>
        <w:tblW w:w="10895" w:type="dxa"/>
        <w:tblInd w:w="-929" w:type="dxa"/>
        <w:tblLayout w:type="fixed"/>
        <w:tblCellMar>
          <w:top w:w="0" w:type="dxa"/>
          <w:left w:w="108" w:type="dxa"/>
          <w:bottom w:w="0" w:type="dxa"/>
          <w:right w:w="108" w:type="dxa"/>
        </w:tblCellMar>
      </w:tblPr>
      <w:tblGrid>
        <w:gridCol w:w="1812"/>
        <w:gridCol w:w="3683"/>
        <w:gridCol w:w="1883"/>
        <w:gridCol w:w="3517"/>
      </w:tblGrid>
      <w:tr w14:paraId="33FFE89C">
        <w:tblPrEx>
          <w:tblCellMar>
            <w:top w:w="0" w:type="dxa"/>
            <w:left w:w="108" w:type="dxa"/>
            <w:bottom w:w="0" w:type="dxa"/>
            <w:right w:w="108" w:type="dxa"/>
          </w:tblCellMar>
        </w:tblPrEx>
        <w:trPr>
          <w:trHeight w:val="1009" w:hRule="atLeast"/>
        </w:trPr>
        <w:tc>
          <w:tcPr>
            <w:tcW w:w="1812" w:type="dxa"/>
            <w:vAlign w:val="center"/>
          </w:tcPr>
          <w:p w14:paraId="43F361D4">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甲方：</w:t>
            </w:r>
          </w:p>
        </w:tc>
        <w:tc>
          <w:tcPr>
            <w:tcW w:w="3683" w:type="dxa"/>
            <w:vAlign w:val="center"/>
          </w:tcPr>
          <w:p w14:paraId="4D7A4C94">
            <w:pPr>
              <w:widowControl/>
              <w:adjustRightInd w:val="0"/>
              <w:snapToGrid w:val="0"/>
              <w:spacing w:before="156" w:beforeLines="50" w:line="4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lang w:val="en-US" w:eastAsia="zh-CN"/>
              </w:rPr>
              <w:t xml:space="preserve"> </w:t>
            </w:r>
          </w:p>
        </w:tc>
        <w:tc>
          <w:tcPr>
            <w:tcW w:w="1883" w:type="dxa"/>
            <w:vAlign w:val="center"/>
          </w:tcPr>
          <w:p w14:paraId="6E9F5378">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乙方：</w:t>
            </w:r>
          </w:p>
        </w:tc>
        <w:tc>
          <w:tcPr>
            <w:tcW w:w="3517" w:type="dxa"/>
            <w:vAlign w:val="center"/>
          </w:tcPr>
          <w:p w14:paraId="7C52B1E5">
            <w:pPr>
              <w:pStyle w:val="5"/>
              <w:adjustRightInd w:val="0"/>
              <w:snapToGrid w:val="0"/>
              <w:spacing w:after="0"/>
              <w:rPr>
                <w:rFonts w:hint="eastAsia" w:ascii="仿宋_GB2312" w:hAnsi="仿宋_GB2312" w:eastAsia="仿宋_GB2312" w:cs="仿宋_GB2312"/>
                <w:color w:val="auto"/>
                <w:sz w:val="24"/>
                <w:szCs w:val="24"/>
                <w:highlight w:val="none"/>
              </w:rPr>
            </w:pPr>
          </w:p>
        </w:tc>
      </w:tr>
      <w:tr w14:paraId="311BFD9B">
        <w:tblPrEx>
          <w:tblCellMar>
            <w:top w:w="0" w:type="dxa"/>
            <w:left w:w="108" w:type="dxa"/>
            <w:bottom w:w="0" w:type="dxa"/>
            <w:right w:w="108" w:type="dxa"/>
          </w:tblCellMar>
        </w:tblPrEx>
        <w:trPr>
          <w:trHeight w:val="926" w:hRule="atLeast"/>
        </w:trPr>
        <w:tc>
          <w:tcPr>
            <w:tcW w:w="1812" w:type="dxa"/>
            <w:vAlign w:val="center"/>
          </w:tcPr>
          <w:p w14:paraId="5F33CA38">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单位地址：</w:t>
            </w:r>
          </w:p>
        </w:tc>
        <w:tc>
          <w:tcPr>
            <w:tcW w:w="3683" w:type="dxa"/>
            <w:vAlign w:val="center"/>
          </w:tcPr>
          <w:p w14:paraId="0DA84D3B">
            <w:pPr>
              <w:widowControl/>
              <w:adjustRightInd w:val="0"/>
              <w:snapToGrid w:val="0"/>
              <w:spacing w:before="156" w:beforeLines="50" w:line="400" w:lineRule="exact"/>
              <w:rPr>
                <w:rFonts w:hint="eastAsia" w:ascii="仿宋_GB2312" w:hAnsi="仿宋_GB2312" w:eastAsia="仿宋_GB2312" w:cs="仿宋_GB2312"/>
                <w:color w:val="auto"/>
                <w:sz w:val="24"/>
                <w:szCs w:val="24"/>
                <w:highlight w:val="none"/>
              </w:rPr>
            </w:pPr>
          </w:p>
        </w:tc>
        <w:tc>
          <w:tcPr>
            <w:tcW w:w="1883" w:type="dxa"/>
            <w:vAlign w:val="center"/>
          </w:tcPr>
          <w:p w14:paraId="14F2C7DC">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单位地址：</w:t>
            </w:r>
          </w:p>
        </w:tc>
        <w:tc>
          <w:tcPr>
            <w:tcW w:w="3517" w:type="dxa"/>
            <w:vAlign w:val="center"/>
          </w:tcPr>
          <w:p w14:paraId="01780F55">
            <w:pPr>
              <w:widowControl/>
              <w:topLinePunct/>
              <w:adjustRightInd w:val="0"/>
              <w:snapToGrid w:val="0"/>
              <w:rPr>
                <w:rFonts w:hint="eastAsia" w:ascii="仿宋_GB2312" w:hAnsi="仿宋_GB2312" w:eastAsia="仿宋_GB2312" w:cs="仿宋_GB2312"/>
                <w:color w:val="auto"/>
                <w:sz w:val="24"/>
                <w:szCs w:val="24"/>
                <w:highlight w:val="none"/>
              </w:rPr>
            </w:pPr>
          </w:p>
        </w:tc>
      </w:tr>
      <w:tr w14:paraId="79A46C05">
        <w:tblPrEx>
          <w:tblCellMar>
            <w:top w:w="0" w:type="dxa"/>
            <w:left w:w="108" w:type="dxa"/>
            <w:bottom w:w="0" w:type="dxa"/>
            <w:right w:w="108" w:type="dxa"/>
          </w:tblCellMar>
        </w:tblPrEx>
        <w:trPr>
          <w:trHeight w:val="1368" w:hRule="atLeast"/>
        </w:trPr>
        <w:tc>
          <w:tcPr>
            <w:tcW w:w="1812" w:type="dxa"/>
            <w:vAlign w:val="center"/>
          </w:tcPr>
          <w:p w14:paraId="697CC93F">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法定代表人或委托代理人：</w:t>
            </w:r>
          </w:p>
        </w:tc>
        <w:tc>
          <w:tcPr>
            <w:tcW w:w="3683" w:type="dxa"/>
            <w:vAlign w:val="center"/>
          </w:tcPr>
          <w:p w14:paraId="7BDF305D">
            <w:pPr>
              <w:widowControl/>
              <w:adjustRightInd w:val="0"/>
              <w:snapToGrid w:val="0"/>
              <w:spacing w:before="156" w:beforeLines="50" w:line="400" w:lineRule="exact"/>
              <w:ind w:firstLine="475" w:firstLineChars="198"/>
              <w:rPr>
                <w:rFonts w:hint="eastAsia" w:ascii="仿宋_GB2312" w:hAnsi="仿宋_GB2312" w:eastAsia="仿宋_GB2312" w:cs="仿宋_GB2312"/>
                <w:color w:val="auto"/>
                <w:sz w:val="24"/>
                <w:szCs w:val="24"/>
                <w:highlight w:val="none"/>
              </w:rPr>
            </w:pPr>
          </w:p>
        </w:tc>
        <w:tc>
          <w:tcPr>
            <w:tcW w:w="1883" w:type="dxa"/>
            <w:vAlign w:val="center"/>
          </w:tcPr>
          <w:p w14:paraId="602022EC">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法定代表人或委托代理人：</w:t>
            </w:r>
          </w:p>
        </w:tc>
        <w:tc>
          <w:tcPr>
            <w:tcW w:w="3517" w:type="dxa"/>
            <w:vAlign w:val="center"/>
          </w:tcPr>
          <w:p w14:paraId="1929A9C4">
            <w:pPr>
              <w:widowControl/>
              <w:topLinePunct/>
              <w:adjustRightInd w:val="0"/>
              <w:snapToGrid w:val="0"/>
              <w:jc w:val="left"/>
              <w:rPr>
                <w:rFonts w:hint="eastAsia" w:ascii="仿宋_GB2312" w:hAnsi="仿宋_GB2312" w:eastAsia="仿宋_GB2312" w:cs="仿宋_GB2312"/>
                <w:color w:val="auto"/>
                <w:sz w:val="24"/>
                <w:szCs w:val="24"/>
                <w:highlight w:val="none"/>
              </w:rPr>
            </w:pPr>
          </w:p>
        </w:tc>
      </w:tr>
      <w:tr w14:paraId="69B41702">
        <w:tblPrEx>
          <w:tblCellMar>
            <w:top w:w="0" w:type="dxa"/>
            <w:left w:w="108" w:type="dxa"/>
            <w:bottom w:w="0" w:type="dxa"/>
            <w:right w:w="108" w:type="dxa"/>
          </w:tblCellMar>
        </w:tblPrEx>
        <w:trPr>
          <w:trHeight w:val="579" w:hRule="atLeast"/>
        </w:trPr>
        <w:tc>
          <w:tcPr>
            <w:tcW w:w="1812" w:type="dxa"/>
            <w:vAlign w:val="center"/>
          </w:tcPr>
          <w:p w14:paraId="50D8489B">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电    话：</w:t>
            </w:r>
          </w:p>
        </w:tc>
        <w:tc>
          <w:tcPr>
            <w:tcW w:w="3683" w:type="dxa"/>
            <w:vAlign w:val="center"/>
          </w:tcPr>
          <w:p w14:paraId="3A8A4FD3">
            <w:pPr>
              <w:widowControl/>
              <w:adjustRightInd w:val="0"/>
              <w:snapToGrid w:val="0"/>
              <w:spacing w:before="156" w:beforeLines="50" w:line="400" w:lineRule="exact"/>
              <w:rPr>
                <w:rFonts w:hint="eastAsia" w:ascii="仿宋_GB2312" w:hAnsi="仿宋_GB2312" w:eastAsia="仿宋_GB2312" w:cs="仿宋_GB2312"/>
                <w:color w:val="auto"/>
                <w:sz w:val="24"/>
                <w:szCs w:val="24"/>
                <w:highlight w:val="none"/>
              </w:rPr>
            </w:pPr>
          </w:p>
        </w:tc>
        <w:tc>
          <w:tcPr>
            <w:tcW w:w="1883" w:type="dxa"/>
            <w:vAlign w:val="center"/>
          </w:tcPr>
          <w:p w14:paraId="2BC6265C">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电    话：</w:t>
            </w:r>
          </w:p>
        </w:tc>
        <w:tc>
          <w:tcPr>
            <w:tcW w:w="3517" w:type="dxa"/>
            <w:vAlign w:val="center"/>
          </w:tcPr>
          <w:p w14:paraId="71DCC28B">
            <w:pPr>
              <w:widowControl/>
              <w:topLinePunct/>
              <w:adjustRightInd w:val="0"/>
              <w:snapToGrid w:val="0"/>
              <w:rPr>
                <w:rFonts w:hint="eastAsia" w:ascii="仿宋_GB2312" w:hAnsi="仿宋_GB2312" w:eastAsia="仿宋_GB2312" w:cs="仿宋_GB2312"/>
                <w:color w:val="auto"/>
                <w:sz w:val="24"/>
                <w:szCs w:val="24"/>
                <w:highlight w:val="none"/>
              </w:rPr>
            </w:pPr>
          </w:p>
        </w:tc>
      </w:tr>
      <w:tr w14:paraId="03D27ABF">
        <w:tblPrEx>
          <w:tblCellMar>
            <w:top w:w="0" w:type="dxa"/>
            <w:left w:w="108" w:type="dxa"/>
            <w:bottom w:w="0" w:type="dxa"/>
            <w:right w:w="108" w:type="dxa"/>
          </w:tblCellMar>
        </w:tblPrEx>
        <w:trPr>
          <w:trHeight w:val="724" w:hRule="atLeast"/>
        </w:trPr>
        <w:tc>
          <w:tcPr>
            <w:tcW w:w="1812" w:type="dxa"/>
            <w:vAlign w:val="center"/>
          </w:tcPr>
          <w:p w14:paraId="1D0AA1C4">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税    号：</w:t>
            </w:r>
          </w:p>
        </w:tc>
        <w:tc>
          <w:tcPr>
            <w:tcW w:w="3683" w:type="dxa"/>
            <w:vAlign w:val="center"/>
          </w:tcPr>
          <w:p w14:paraId="60288E78">
            <w:pPr>
              <w:widowControl/>
              <w:adjustRightInd w:val="0"/>
              <w:snapToGrid w:val="0"/>
              <w:spacing w:before="156" w:beforeLines="50" w:line="400" w:lineRule="exact"/>
              <w:rPr>
                <w:rFonts w:hint="eastAsia" w:ascii="仿宋_GB2312" w:hAnsi="仿宋_GB2312" w:eastAsia="仿宋_GB2312" w:cs="仿宋_GB2312"/>
                <w:color w:val="auto"/>
                <w:sz w:val="24"/>
                <w:szCs w:val="24"/>
                <w:highlight w:val="none"/>
              </w:rPr>
            </w:pPr>
          </w:p>
        </w:tc>
        <w:tc>
          <w:tcPr>
            <w:tcW w:w="1883" w:type="dxa"/>
            <w:vAlign w:val="center"/>
          </w:tcPr>
          <w:p w14:paraId="2A0DD300">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税    号：</w:t>
            </w:r>
          </w:p>
        </w:tc>
        <w:tc>
          <w:tcPr>
            <w:tcW w:w="3517" w:type="dxa"/>
            <w:vAlign w:val="center"/>
          </w:tcPr>
          <w:p w14:paraId="38F103B0">
            <w:pPr>
              <w:widowControl/>
              <w:topLinePunct/>
              <w:adjustRightInd w:val="0"/>
              <w:snapToGrid w:val="0"/>
              <w:rPr>
                <w:rFonts w:hint="eastAsia" w:ascii="仿宋_GB2312" w:hAnsi="仿宋_GB2312" w:eastAsia="仿宋_GB2312" w:cs="仿宋_GB2312"/>
                <w:color w:val="auto"/>
                <w:sz w:val="24"/>
                <w:szCs w:val="24"/>
                <w:highlight w:val="none"/>
              </w:rPr>
            </w:pPr>
          </w:p>
        </w:tc>
      </w:tr>
      <w:tr w14:paraId="6241A30F">
        <w:tblPrEx>
          <w:tblCellMar>
            <w:top w:w="0" w:type="dxa"/>
            <w:left w:w="108" w:type="dxa"/>
            <w:bottom w:w="0" w:type="dxa"/>
            <w:right w:w="108" w:type="dxa"/>
          </w:tblCellMar>
        </w:tblPrEx>
        <w:trPr>
          <w:trHeight w:val="1131" w:hRule="atLeast"/>
        </w:trPr>
        <w:tc>
          <w:tcPr>
            <w:tcW w:w="1812" w:type="dxa"/>
            <w:vAlign w:val="center"/>
          </w:tcPr>
          <w:p w14:paraId="0FBBA183">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开户银行：</w:t>
            </w:r>
          </w:p>
        </w:tc>
        <w:tc>
          <w:tcPr>
            <w:tcW w:w="3683" w:type="dxa"/>
            <w:vAlign w:val="center"/>
          </w:tcPr>
          <w:p w14:paraId="529D8CDD">
            <w:pPr>
              <w:widowControl/>
              <w:adjustRightInd w:val="0"/>
              <w:snapToGrid w:val="0"/>
              <w:spacing w:before="156" w:beforeLines="50" w:line="400" w:lineRule="exact"/>
              <w:rPr>
                <w:rFonts w:hint="eastAsia" w:ascii="仿宋_GB2312" w:hAnsi="仿宋_GB2312" w:eastAsia="仿宋_GB2312" w:cs="仿宋_GB2312"/>
                <w:color w:val="auto"/>
                <w:sz w:val="24"/>
                <w:szCs w:val="24"/>
                <w:highlight w:val="none"/>
              </w:rPr>
            </w:pPr>
          </w:p>
        </w:tc>
        <w:tc>
          <w:tcPr>
            <w:tcW w:w="1883" w:type="dxa"/>
            <w:vAlign w:val="center"/>
          </w:tcPr>
          <w:p w14:paraId="3272A29A">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开户银行：</w:t>
            </w:r>
          </w:p>
        </w:tc>
        <w:tc>
          <w:tcPr>
            <w:tcW w:w="3517" w:type="dxa"/>
            <w:vAlign w:val="center"/>
          </w:tcPr>
          <w:p w14:paraId="4A671946">
            <w:pPr>
              <w:widowControl/>
              <w:topLinePunct/>
              <w:adjustRightInd w:val="0"/>
              <w:snapToGrid w:val="0"/>
              <w:rPr>
                <w:rFonts w:hint="eastAsia" w:ascii="仿宋_GB2312" w:hAnsi="仿宋_GB2312" w:eastAsia="仿宋_GB2312" w:cs="仿宋_GB2312"/>
                <w:color w:val="auto"/>
                <w:sz w:val="24"/>
                <w:szCs w:val="24"/>
                <w:highlight w:val="none"/>
              </w:rPr>
            </w:pPr>
          </w:p>
        </w:tc>
      </w:tr>
      <w:tr w14:paraId="56E7D27B">
        <w:tblPrEx>
          <w:tblCellMar>
            <w:top w:w="0" w:type="dxa"/>
            <w:left w:w="108" w:type="dxa"/>
            <w:bottom w:w="0" w:type="dxa"/>
            <w:right w:w="108" w:type="dxa"/>
          </w:tblCellMar>
        </w:tblPrEx>
        <w:trPr>
          <w:trHeight w:val="694" w:hRule="atLeast"/>
        </w:trPr>
        <w:tc>
          <w:tcPr>
            <w:tcW w:w="1812" w:type="dxa"/>
            <w:vAlign w:val="center"/>
          </w:tcPr>
          <w:p w14:paraId="4C6EAEEB">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账    号：</w:t>
            </w:r>
          </w:p>
        </w:tc>
        <w:tc>
          <w:tcPr>
            <w:tcW w:w="3683" w:type="dxa"/>
            <w:vAlign w:val="center"/>
          </w:tcPr>
          <w:p w14:paraId="25D97B1F">
            <w:pPr>
              <w:widowControl/>
              <w:adjustRightInd w:val="0"/>
              <w:snapToGrid w:val="0"/>
              <w:spacing w:before="156" w:beforeLines="50" w:line="400" w:lineRule="exact"/>
              <w:rPr>
                <w:rFonts w:hint="eastAsia" w:ascii="仿宋_GB2312" w:hAnsi="仿宋_GB2312" w:eastAsia="仿宋_GB2312" w:cs="仿宋_GB2312"/>
                <w:color w:val="auto"/>
                <w:sz w:val="24"/>
                <w:szCs w:val="24"/>
                <w:highlight w:val="none"/>
              </w:rPr>
            </w:pPr>
          </w:p>
        </w:tc>
        <w:tc>
          <w:tcPr>
            <w:tcW w:w="1883" w:type="dxa"/>
            <w:vAlign w:val="center"/>
          </w:tcPr>
          <w:p w14:paraId="5F0D71EF">
            <w:pPr>
              <w:widowControl/>
              <w:wordWrap w:val="0"/>
              <w:topLinePunct/>
              <w:adjustRightInd w:val="0"/>
              <w:snapToGrid w:val="0"/>
              <w:spacing w:line="48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账    号：</w:t>
            </w:r>
          </w:p>
        </w:tc>
        <w:tc>
          <w:tcPr>
            <w:tcW w:w="3517" w:type="dxa"/>
            <w:vAlign w:val="center"/>
          </w:tcPr>
          <w:p w14:paraId="3991BDF1">
            <w:pPr>
              <w:widowControl/>
              <w:topLinePunct/>
              <w:adjustRightInd w:val="0"/>
              <w:snapToGrid w:val="0"/>
              <w:rPr>
                <w:rFonts w:hint="eastAsia" w:ascii="仿宋_GB2312" w:hAnsi="仿宋_GB2312" w:eastAsia="仿宋_GB2312" w:cs="仿宋_GB2312"/>
                <w:color w:val="auto"/>
                <w:sz w:val="24"/>
                <w:szCs w:val="24"/>
                <w:highlight w:val="none"/>
              </w:rPr>
            </w:pPr>
          </w:p>
        </w:tc>
      </w:tr>
    </w:tbl>
    <w:p w14:paraId="7B8E0F4B">
      <w:pPr>
        <w:spacing w:line="360" w:lineRule="auto"/>
        <w:rPr>
          <w:rFonts w:hint="eastAsia" w:ascii="仿宋_GB2312" w:hAnsi="仿宋_GB2312" w:eastAsia="仿宋_GB2312" w:cs="仿宋_GB2312"/>
          <w:color w:val="auto"/>
          <w:sz w:val="24"/>
          <w:szCs w:val="24"/>
          <w:highlight w:val="none"/>
        </w:rPr>
      </w:pPr>
    </w:p>
    <w:p w14:paraId="4F0CA7C9">
      <w:pPr>
        <w:adjustRightInd w:val="0"/>
        <w:snapToGrid w:val="0"/>
        <w:spacing w:line="360" w:lineRule="auto"/>
        <w:ind w:firstLine="2880" w:firstLineChars="1200"/>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签约时间：</w:t>
      </w:r>
      <w:r>
        <w:rPr>
          <w:rFonts w:hint="eastAsia" w:ascii="仿宋_GB2312" w:hAnsi="仿宋_GB2312" w:eastAsia="仿宋_GB2312" w:cs="仿宋_GB2312"/>
          <w:color w:val="auto"/>
          <w:sz w:val="24"/>
          <w:szCs w:val="24"/>
          <w:highlight w:val="none"/>
          <w:lang w:val="en-US" w:eastAsia="zh-CN"/>
        </w:rPr>
        <w:t>20 年 月 日</w:t>
      </w:r>
    </w:p>
    <w:p w14:paraId="21786C87">
      <w:pPr>
        <w:adjustRightInd w:val="0"/>
        <w:snapToGrid w:val="0"/>
        <w:spacing w:line="360" w:lineRule="auto"/>
        <w:ind w:right="11"/>
        <w:jc w:val="center"/>
        <w:rPr>
          <w:rFonts w:hint="eastAsia" w:ascii="仿宋_GB2312" w:hAnsi="仿宋_GB2312" w:eastAsia="仿宋_GB2312" w:cs="仿宋_GB2312"/>
          <w:b/>
          <w:bCs/>
          <w:color w:val="auto"/>
          <w:sz w:val="24"/>
          <w:szCs w:val="24"/>
          <w:highlight w:val="none"/>
        </w:rPr>
      </w:pPr>
    </w:p>
    <w:p w14:paraId="4CCB33F9">
      <w:pPr>
        <w:spacing w:line="400" w:lineRule="exact"/>
        <w:jc w:val="center"/>
        <w:outlineLvl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签订地点：广东省广州市黄埔区</w:t>
      </w:r>
    </w:p>
    <w:p w14:paraId="2F5447F7">
      <w:pPr>
        <w:spacing w:line="400" w:lineRule="exact"/>
        <w:ind w:firstLine="480" w:firstLineChars="200"/>
        <w:rPr>
          <w:rFonts w:hint="eastAsia" w:ascii="仿宋_GB2312" w:hAnsi="仿宋_GB2312" w:eastAsia="仿宋_GB2312" w:cs="仿宋_GB2312"/>
          <w:color w:val="auto"/>
          <w:sz w:val="24"/>
          <w:szCs w:val="24"/>
          <w:highlight w:val="none"/>
        </w:rPr>
      </w:pPr>
      <w:bookmarkStart w:id="11" w:name="_Toc469384369"/>
      <w:r>
        <w:rPr>
          <w:rFonts w:hint="eastAsia" w:ascii="仿宋_GB2312" w:hAnsi="仿宋_GB2312" w:eastAsia="仿宋_GB2312" w:cs="仿宋_GB2312"/>
          <w:b/>
          <w:bCs/>
          <w:color w:val="auto"/>
          <w:kern w:val="44"/>
          <w:sz w:val="24"/>
          <w:szCs w:val="24"/>
          <w:highlight w:val="none"/>
        </w:rPr>
        <w:br w:type="page"/>
      </w:r>
      <w:bookmarkEnd w:id="11"/>
    </w:p>
    <w:p w14:paraId="2B9EBFE8">
      <w:pPr>
        <w:spacing w:line="46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附件1：</w:t>
      </w:r>
    </w:p>
    <w:p w14:paraId="5BCEACB6">
      <w:pPr>
        <w:spacing w:line="500" w:lineRule="exact"/>
        <w:ind w:firstLine="880"/>
        <w:jc w:val="center"/>
        <w:rPr>
          <w:rFonts w:hint="eastAsia" w:ascii="仿宋_GB2312" w:hAnsi="仿宋_GB2312" w:eastAsia="仿宋_GB2312" w:cs="仿宋_GB2312"/>
          <w:color w:val="auto"/>
          <w:spacing w:val="4"/>
          <w:kern w:val="0"/>
          <w:sz w:val="24"/>
          <w:szCs w:val="24"/>
          <w:highlight w:val="none"/>
        </w:rPr>
      </w:pPr>
      <w:r>
        <w:rPr>
          <w:rFonts w:hint="eastAsia" w:ascii="仿宋_GB2312" w:hAnsi="仿宋_GB2312" w:eastAsia="仿宋_GB2312" w:cs="仿宋_GB2312"/>
          <w:color w:val="auto"/>
          <w:sz w:val="24"/>
          <w:szCs w:val="24"/>
          <w:highlight w:val="none"/>
        </w:rPr>
        <w:t>工程建设项目廉政责任书</w:t>
      </w:r>
    </w:p>
    <w:p w14:paraId="72569110">
      <w:pPr>
        <w:spacing w:line="500" w:lineRule="exact"/>
        <w:ind w:firstLine="496" w:firstLineChars="200"/>
        <w:jc w:val="left"/>
        <w:rPr>
          <w:rFonts w:hint="eastAsia" w:ascii="仿宋_GB2312" w:hAnsi="仿宋_GB2312" w:eastAsia="仿宋_GB2312" w:cs="仿宋_GB2312"/>
          <w:color w:val="auto"/>
          <w:spacing w:val="4"/>
          <w:kern w:val="0"/>
          <w:sz w:val="24"/>
          <w:szCs w:val="24"/>
          <w:highlight w:val="none"/>
        </w:rPr>
      </w:pPr>
    </w:p>
    <w:p w14:paraId="5555CB42">
      <w:pPr>
        <w:adjustRightInd w:val="0"/>
        <w:snapToGrid w:val="0"/>
        <w:spacing w:line="360" w:lineRule="auto"/>
        <w:ind w:left="495" w:hanging="495"/>
        <w:rPr>
          <w:rFonts w:hint="eastAsia" w:ascii="仿宋_GB2312" w:hAnsi="仿宋_GB2312" w:eastAsia="仿宋_GB2312" w:cs="仿宋_GB2312"/>
          <w:kern w:val="0"/>
          <w:sz w:val="24"/>
          <w:szCs w:val="24"/>
          <w:u w:val="single"/>
          <w:lang w:val="en-US" w:eastAsia="zh-CN"/>
        </w:rPr>
      </w:pPr>
      <w:r>
        <w:rPr>
          <w:rFonts w:hint="eastAsia" w:ascii="仿宋_GB2312" w:hAnsi="仿宋_GB2312" w:eastAsia="仿宋_GB2312" w:cs="仿宋_GB2312"/>
          <w:sz w:val="24"/>
          <w:szCs w:val="24"/>
        </w:rPr>
        <w:t>工程项目名称：</w:t>
      </w:r>
      <w:r>
        <w:rPr>
          <w:rFonts w:hint="eastAsia" w:ascii="仿宋_GB2312" w:hAnsi="仿宋_GB2312" w:eastAsia="仿宋_GB2312" w:cs="仿宋_GB2312"/>
          <w:kern w:val="0"/>
          <w:sz w:val="24"/>
          <w:szCs w:val="24"/>
          <w:u w:val="single"/>
          <w:lang w:val="en-US" w:eastAsia="zh-CN"/>
        </w:rPr>
        <w:t xml:space="preserve">                                  </w:t>
      </w:r>
    </w:p>
    <w:p w14:paraId="1F719C27">
      <w:pPr>
        <w:adjustRightInd w:val="0"/>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工程项目地址：</w:t>
      </w:r>
      <w:r>
        <w:rPr>
          <w:rFonts w:hint="eastAsia" w:ascii="仿宋_GB2312" w:hAnsi="仿宋_GB2312" w:eastAsia="仿宋_GB2312" w:cs="仿宋_GB2312"/>
          <w:kern w:val="0"/>
          <w:sz w:val="24"/>
          <w:szCs w:val="24"/>
          <w:u w:val="single"/>
          <w:lang w:val="en-US" w:eastAsia="zh-CN"/>
        </w:rPr>
        <w:t xml:space="preserve">                                  </w:t>
      </w:r>
    </w:p>
    <w:p w14:paraId="399B947B">
      <w:pPr>
        <w:adjustRightInd w:val="0"/>
        <w:snapToGrid w:val="0"/>
        <w:spacing w:line="360" w:lineRule="auto"/>
        <w:rPr>
          <w:rFonts w:hint="eastAsia" w:ascii="仿宋_GB2312" w:hAnsi="仿宋_GB2312" w:eastAsia="仿宋_GB2312" w:cs="仿宋_GB2312"/>
          <w:kern w:val="0"/>
          <w:sz w:val="24"/>
          <w:szCs w:val="24"/>
          <w:u w:val="single"/>
        </w:rPr>
      </w:pPr>
      <w:r>
        <w:rPr>
          <w:rFonts w:hint="eastAsia" w:ascii="仿宋_GB2312" w:hAnsi="仿宋_GB2312" w:eastAsia="仿宋_GB2312" w:cs="仿宋_GB2312"/>
          <w:sz w:val="24"/>
          <w:szCs w:val="24"/>
        </w:rPr>
        <w:t>甲        方：</w:t>
      </w:r>
      <w:r>
        <w:rPr>
          <w:rFonts w:hint="eastAsia" w:ascii="仿宋_GB2312" w:hAnsi="仿宋_GB2312" w:eastAsia="仿宋_GB2312" w:cs="仿宋_GB2312"/>
          <w:kern w:val="0"/>
          <w:sz w:val="24"/>
          <w:szCs w:val="24"/>
          <w:u w:val="single"/>
          <w:lang w:val="en-US" w:eastAsia="zh-CN"/>
        </w:rPr>
        <w:t xml:space="preserve">                                  </w:t>
      </w:r>
    </w:p>
    <w:p w14:paraId="11F8CC80">
      <w:pPr>
        <w:adjustRightInd w:val="0"/>
        <w:snapToGrid w:val="0"/>
        <w:spacing w:line="360" w:lineRule="auto"/>
        <w:jc w:val="left"/>
        <w:rPr>
          <w:rFonts w:hint="eastAsia" w:ascii="仿宋_GB2312" w:hAnsi="仿宋_GB2312" w:eastAsia="仿宋_GB2312" w:cs="仿宋_GB2312"/>
          <w:kern w:val="0"/>
          <w:sz w:val="24"/>
          <w:szCs w:val="24"/>
          <w:u w:val="single"/>
        </w:rPr>
      </w:pPr>
      <w:r>
        <w:rPr>
          <w:rFonts w:hint="eastAsia" w:ascii="仿宋_GB2312" w:hAnsi="仿宋_GB2312" w:eastAsia="仿宋_GB2312" w:cs="仿宋_GB2312"/>
          <w:sz w:val="24"/>
          <w:szCs w:val="24"/>
        </w:rPr>
        <w:t>乙        方：</w:t>
      </w:r>
      <w:r>
        <w:rPr>
          <w:rFonts w:hint="eastAsia" w:ascii="仿宋_GB2312" w:hAnsi="仿宋_GB2312" w:eastAsia="仿宋_GB2312" w:cs="仿宋_GB2312"/>
          <w:kern w:val="0"/>
          <w:sz w:val="24"/>
          <w:szCs w:val="24"/>
          <w:u w:val="single"/>
          <w:lang w:val="en-US" w:eastAsia="zh-CN"/>
        </w:rPr>
        <w:t xml:space="preserve">                                  </w:t>
      </w:r>
    </w:p>
    <w:p w14:paraId="68A44707">
      <w:pPr>
        <w:adjustRightInd w:val="0"/>
        <w:snapToGrid w:val="0"/>
        <w:spacing w:line="360" w:lineRule="auto"/>
        <w:ind w:firstLine="480" w:firstLineChars="2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3DFEC871">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 xml:space="preserve">第一条 </w:t>
      </w:r>
      <w:r>
        <w:rPr>
          <w:rFonts w:hint="eastAsia" w:ascii="仿宋_GB2312" w:hAnsi="仿宋_GB2312" w:eastAsia="仿宋_GB2312" w:cs="仿宋_GB2312"/>
          <w:color w:val="auto"/>
          <w:sz w:val="24"/>
          <w:szCs w:val="24"/>
          <w:highlight w:val="none"/>
        </w:rPr>
        <w:t>甲、乙双方的责任</w:t>
      </w:r>
    </w:p>
    <w:p w14:paraId="394B9CE9">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（一）应严格遵守国家关于市场准入、项目招标投标、工程建设、施工安装和市场活动等有关法律法规、相关政策，以及廉政建设的各项规定。</w:t>
      </w:r>
    </w:p>
    <w:p w14:paraId="65D7A789">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（二）严格执行建设工程项目承发包合同文件，自觉按合同办事。</w:t>
      </w:r>
    </w:p>
    <w:p w14:paraId="72095880">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（三）业务活动必须坚持公开、公平、公正、诚信、透明的原则（除法律法规另有规定者外），不得为获取不正当的利益，损害国家、集体和对方利益，不得违反工程建设管理的规章制度。</w:t>
      </w:r>
    </w:p>
    <w:p w14:paraId="5E06815D">
      <w:pPr>
        <w:adjustRightInd w:val="0"/>
        <w:snapToGrid w:val="0"/>
        <w:spacing w:line="360" w:lineRule="auto"/>
        <w:ind w:firstLine="48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（四）发现对方在业务活动中有违规、违纪、违法行为的，应及时提醒对方，情节严重的，应向其上级主管部门或纪检监察、司法等有关机关举报。</w:t>
      </w:r>
    </w:p>
    <w:p w14:paraId="59CD19F4">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 xml:space="preserve">第二条 </w:t>
      </w:r>
      <w:r>
        <w:rPr>
          <w:rFonts w:hint="eastAsia" w:ascii="仿宋_GB2312" w:hAnsi="仿宋_GB2312" w:eastAsia="仿宋_GB2312" w:cs="仿宋_GB2312"/>
          <w:color w:val="auto"/>
          <w:sz w:val="24"/>
          <w:szCs w:val="24"/>
          <w:highlight w:val="none"/>
        </w:rPr>
        <w:t>甲方的责任</w:t>
      </w:r>
    </w:p>
    <w:p w14:paraId="26E4AAC9">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甲方的领导和从事本建设工程项目的工作人员，在工程建设的事前、事中、事后应遵守以下规定：</w:t>
      </w:r>
    </w:p>
    <w:p w14:paraId="612A1C14">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（一）不准向乙方和相关单位索要或接受回扣、礼金、有价证券、贵重物品和好处费、感谢费等。</w:t>
      </w:r>
    </w:p>
    <w:p w14:paraId="5F88B681">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（二）不准在乙方和相关单位报销任何应由甲方或个人支付的费用。</w:t>
      </w:r>
    </w:p>
    <w:p w14:paraId="7017FF01">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（三）不准要求、暗示或接受乙方和相关单位为个人装修住房、婚丧嫁娶、配偶子女的工作安排以及出国（境）、旅游等提供方便。</w:t>
      </w:r>
    </w:p>
    <w:p w14:paraId="0C7DDE73">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（四）不准参加有可能影响公正执行公务的乙方及相关单位的宴请、健身、娱乐等活动。</w:t>
      </w:r>
    </w:p>
    <w:p w14:paraId="34150952">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（五）不准向乙方介绍或为配偶、子女、亲属参与同甲方项目工程合同有关的设备、材料、工程分包、劳务等经济活动。不得以任何理由向乙方和相关单位推荐分包单位。</w:t>
      </w:r>
    </w:p>
    <w:p w14:paraId="40C81045">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 xml:space="preserve">第三条 </w:t>
      </w:r>
      <w:r>
        <w:rPr>
          <w:rFonts w:hint="eastAsia" w:ascii="仿宋_GB2312" w:hAnsi="仿宋_GB2312" w:eastAsia="仿宋_GB2312" w:cs="仿宋_GB2312"/>
          <w:color w:val="auto"/>
          <w:sz w:val="24"/>
          <w:szCs w:val="24"/>
          <w:highlight w:val="none"/>
        </w:rPr>
        <w:t>乙方的责任</w:t>
      </w:r>
    </w:p>
    <w:p w14:paraId="376E9CDF">
      <w:pPr>
        <w:adjustRightInd w:val="0"/>
        <w:snapToGrid w:val="0"/>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应与甲方保持正常的业务交往，按照有关法律法规和程序开展业务工作，严格执行工程建设过程管理的有关方针、政策，尤其是强制性标准和规范，并遵守以下规定：</w:t>
      </w:r>
    </w:p>
    <w:p w14:paraId="79D1590E">
      <w:pPr>
        <w:adjustRightInd w:val="0"/>
        <w:snapToGrid w:val="0"/>
        <w:spacing w:line="440" w:lineRule="exact"/>
        <w:ind w:firstLine="482"/>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（一）不准以任何理由向甲方、相关单位及其工作人员索要、接受或赠送礼金、有价证券、贵重物品及回扣、好处费、感谢费等。</w:t>
      </w:r>
    </w:p>
    <w:p w14:paraId="7698F535">
      <w:pPr>
        <w:adjustRightInd w:val="0"/>
        <w:snapToGrid w:val="0"/>
        <w:spacing w:line="440" w:lineRule="exact"/>
        <w:ind w:firstLine="482"/>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（二）不准以任何理由为甲方和相关单位报销应由对方或个人支付的费用。</w:t>
      </w:r>
    </w:p>
    <w:p w14:paraId="27AEE1B9">
      <w:pPr>
        <w:adjustRightInd w:val="0"/>
        <w:snapToGrid w:val="0"/>
        <w:spacing w:line="440" w:lineRule="exact"/>
        <w:ind w:firstLine="482"/>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（三）不准接受或暗示为甲方、相关单位或个人装修住房、婚丧嫁娶、配偶子女的工作安排以及出国（境）、旅游等提供方便。</w:t>
      </w:r>
    </w:p>
    <w:p w14:paraId="66A39D5D">
      <w:pPr>
        <w:adjustRightInd w:val="0"/>
        <w:snapToGrid w:val="0"/>
        <w:spacing w:line="440" w:lineRule="exact"/>
        <w:ind w:firstLine="482"/>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（四）不准以任何理由为甲方、相关单位或个人组织有可能影响公正执行公务的宴请、健身、娱乐等活动。</w:t>
      </w:r>
    </w:p>
    <w:p w14:paraId="1981B28B">
      <w:pPr>
        <w:adjustRightInd w:val="0"/>
        <w:snapToGrid w:val="0"/>
        <w:spacing w:line="440" w:lineRule="exact"/>
        <w:ind w:firstLine="482"/>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snapToGrid w:val="0"/>
          <w:color w:val="auto"/>
          <w:kern w:val="0"/>
          <w:sz w:val="24"/>
          <w:szCs w:val="24"/>
          <w:highlight w:val="none"/>
        </w:rPr>
        <w:t>第四条</w:t>
      </w:r>
      <w:r>
        <w:rPr>
          <w:rFonts w:hint="eastAsia" w:ascii="仿宋_GB2312" w:hAnsi="仿宋_GB2312" w:eastAsia="仿宋_GB2312" w:cs="仿宋_GB2312"/>
          <w:snapToGrid w:val="0"/>
          <w:color w:val="auto"/>
          <w:kern w:val="0"/>
          <w:sz w:val="24"/>
          <w:szCs w:val="24"/>
          <w:highlight w:val="none"/>
        </w:rPr>
        <w:t>违约责任</w:t>
      </w:r>
    </w:p>
    <w:p w14:paraId="6F6FAA7F">
      <w:pPr>
        <w:adjustRightInd w:val="0"/>
        <w:snapToGrid w:val="0"/>
        <w:spacing w:line="440" w:lineRule="exact"/>
        <w:ind w:firstLine="482"/>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51CE2FA3">
      <w:pPr>
        <w:adjustRightInd w:val="0"/>
        <w:snapToGrid w:val="0"/>
        <w:spacing w:line="440" w:lineRule="exact"/>
        <w:ind w:firstLine="482"/>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6618214C">
      <w:pPr>
        <w:adjustRightInd w:val="0"/>
        <w:snapToGrid w:val="0"/>
        <w:spacing w:line="440" w:lineRule="exact"/>
        <w:ind w:firstLine="482"/>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snapToGrid w:val="0"/>
          <w:color w:val="auto"/>
          <w:kern w:val="0"/>
          <w:sz w:val="24"/>
          <w:szCs w:val="24"/>
          <w:highlight w:val="none"/>
        </w:rPr>
        <w:t>第五条</w:t>
      </w:r>
      <w:r>
        <w:rPr>
          <w:rFonts w:hint="eastAsia" w:ascii="仿宋_GB2312" w:hAnsi="仿宋_GB2312" w:eastAsia="仿宋_GB2312" w:cs="仿宋_GB2312"/>
          <w:snapToGrid w:val="0"/>
          <w:color w:val="auto"/>
          <w:kern w:val="0"/>
          <w:sz w:val="24"/>
          <w:szCs w:val="24"/>
          <w:highlight w:val="none"/>
        </w:rPr>
        <w:t>本廉政责任书作为合同的附件，与合同具有同等法律效力。经双方签署后立即生效。</w:t>
      </w:r>
    </w:p>
    <w:p w14:paraId="57C1B175">
      <w:pPr>
        <w:adjustRightInd w:val="0"/>
        <w:snapToGrid w:val="0"/>
        <w:spacing w:line="440" w:lineRule="exact"/>
        <w:ind w:firstLine="482"/>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snapToGrid w:val="0"/>
          <w:color w:val="auto"/>
          <w:kern w:val="0"/>
          <w:sz w:val="24"/>
          <w:szCs w:val="24"/>
          <w:highlight w:val="none"/>
        </w:rPr>
        <w:t>第六条</w:t>
      </w:r>
      <w:r>
        <w:rPr>
          <w:rFonts w:hint="eastAsia" w:ascii="仿宋_GB2312" w:hAnsi="仿宋_GB2312" w:eastAsia="仿宋_GB2312" w:cs="仿宋_GB2312"/>
          <w:snapToGrid w:val="0"/>
          <w:color w:val="auto"/>
          <w:kern w:val="0"/>
          <w:sz w:val="24"/>
          <w:szCs w:val="24"/>
          <w:highlight w:val="none"/>
        </w:rPr>
        <w:t>本廉政责任书的有效期与合同的有效期相同。</w:t>
      </w:r>
    </w:p>
    <w:p w14:paraId="185C01F1">
      <w:pPr>
        <w:adjustRightInd w:val="0"/>
        <w:snapToGrid w:val="0"/>
        <w:spacing w:line="440" w:lineRule="exact"/>
        <w:ind w:firstLine="480" w:firstLineChars="200"/>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
          <w:snapToGrid w:val="0"/>
          <w:color w:val="auto"/>
          <w:kern w:val="0"/>
          <w:sz w:val="24"/>
          <w:szCs w:val="24"/>
          <w:highlight w:val="none"/>
        </w:rPr>
        <w:t>第七条</w:t>
      </w:r>
      <w:r>
        <w:rPr>
          <w:rFonts w:hint="eastAsia" w:ascii="仿宋_GB2312" w:hAnsi="仿宋_GB2312" w:eastAsia="仿宋_GB2312" w:cs="仿宋_GB2312"/>
          <w:snapToGrid w:val="0"/>
          <w:color w:val="auto"/>
          <w:kern w:val="0"/>
          <w:sz w:val="24"/>
          <w:szCs w:val="24"/>
          <w:highlight w:val="none"/>
        </w:rPr>
        <w:t>本廉政责任书份数与合同份数一致</w:t>
      </w:r>
      <w:r>
        <w:rPr>
          <w:rFonts w:hint="eastAsia" w:ascii="仿宋_GB2312" w:hAnsi="仿宋_GB2312" w:eastAsia="仿宋_GB2312" w:cs="仿宋_GB2312"/>
          <w:bCs/>
          <w:color w:val="auto"/>
          <w:kern w:val="0"/>
          <w:sz w:val="24"/>
          <w:szCs w:val="24"/>
          <w:highlight w:val="none"/>
        </w:rPr>
        <w:t>。</w:t>
      </w:r>
    </w:p>
    <w:p w14:paraId="525B1BE6">
      <w:pPr>
        <w:adjustRightInd w:val="0"/>
        <w:snapToGrid w:val="0"/>
        <w:spacing w:line="440" w:lineRule="exact"/>
        <w:ind w:firstLine="480" w:firstLineChars="200"/>
        <w:rPr>
          <w:rFonts w:hint="eastAsia" w:ascii="仿宋_GB2312" w:hAnsi="仿宋_GB2312" w:eastAsia="仿宋_GB2312" w:cs="仿宋_GB2312"/>
          <w:bCs/>
          <w:color w:val="auto"/>
          <w:kern w:val="0"/>
          <w:sz w:val="24"/>
          <w:szCs w:val="24"/>
          <w:highlight w:val="none"/>
        </w:rPr>
      </w:pPr>
    </w:p>
    <w:p w14:paraId="42C295EA">
      <w:pPr>
        <w:spacing w:line="400" w:lineRule="exact"/>
        <w:ind w:firstLine="480" w:firstLineChars="200"/>
        <w:rPr>
          <w:rFonts w:hint="eastAsia" w:ascii="仿宋_GB2312" w:hAnsi="仿宋_GB2312" w:eastAsia="仿宋_GB2312" w:cs="仿宋_GB2312"/>
          <w:color w:val="auto"/>
          <w:sz w:val="24"/>
          <w:szCs w:val="24"/>
          <w:highlight w:val="none"/>
        </w:rPr>
      </w:pPr>
    </w:p>
    <w:p w14:paraId="30E31C80">
      <w:pPr>
        <w:spacing w:line="400" w:lineRule="exact"/>
        <w:ind w:firstLine="480" w:firstLineChars="200"/>
        <w:rPr>
          <w:rFonts w:hint="eastAsia" w:ascii="仿宋_GB2312" w:hAnsi="仿宋_GB2312" w:eastAsia="仿宋_GB2312" w:cs="仿宋_GB2312"/>
          <w:color w:val="auto"/>
          <w:sz w:val="24"/>
          <w:szCs w:val="24"/>
          <w:highlight w:val="none"/>
        </w:rPr>
      </w:pPr>
    </w:p>
    <w:p w14:paraId="373BE749">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color w:val="auto"/>
          <w:sz w:val="24"/>
          <w:szCs w:val="24"/>
          <w:highlight w:val="none"/>
        </w:rPr>
        <w:t>（以下无正文）</w:t>
      </w:r>
    </w:p>
    <w:p w14:paraId="260018C8">
      <w:pPr>
        <w:tabs>
          <w:tab w:val="left" w:pos="540"/>
        </w:tabs>
        <w:spacing w:line="360" w:lineRule="auto"/>
        <w:rPr>
          <w:rFonts w:hint="eastAsia" w:ascii="仿宋_GB2312" w:hAnsi="仿宋_GB2312" w:eastAsia="仿宋_GB2312" w:cs="仿宋_GB2312"/>
          <w:color w:val="auto"/>
          <w:kern w:val="10"/>
          <w:sz w:val="24"/>
          <w:szCs w:val="24"/>
          <w:highlight w:val="none"/>
        </w:rPr>
      </w:pPr>
    </w:p>
    <w:p w14:paraId="42FCA6C3">
      <w:pPr>
        <w:tabs>
          <w:tab w:val="left" w:pos="540"/>
        </w:tabs>
        <w:spacing w:line="360" w:lineRule="auto"/>
        <w:rPr>
          <w:rFonts w:hint="eastAsia" w:ascii="仿宋_GB2312" w:hAnsi="仿宋_GB2312" w:eastAsia="仿宋_GB2312" w:cs="仿宋_GB2312"/>
          <w:color w:val="auto"/>
          <w:kern w:val="10"/>
          <w:sz w:val="24"/>
          <w:szCs w:val="24"/>
          <w:highlight w:val="none"/>
        </w:rPr>
      </w:pPr>
    </w:p>
    <w:p w14:paraId="03CEC69E">
      <w:pPr>
        <w:spacing w:line="360" w:lineRule="auto"/>
        <w:ind w:left="1800" w:hanging="1800" w:hangingChars="7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委托单位：（盖章）                       检测</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监测</w:t>
      </w:r>
      <w:r>
        <w:rPr>
          <w:rFonts w:hint="eastAsia" w:ascii="仿宋_GB2312" w:hAnsi="仿宋_GB2312" w:eastAsia="仿宋_GB2312" w:cs="仿宋_GB2312"/>
          <w:color w:val="auto"/>
          <w:sz w:val="24"/>
          <w:szCs w:val="24"/>
          <w:highlight w:val="none"/>
        </w:rPr>
        <w:t xml:space="preserve">单位：（盖章）                                                       </w:t>
      </w:r>
      <w:r>
        <w:rPr>
          <w:rFonts w:hint="eastAsia" w:ascii="仿宋_GB2312" w:hAnsi="仿宋_GB2312" w:eastAsia="仿宋_GB2312" w:cs="仿宋_GB2312"/>
          <w:color w:val="auto"/>
          <w:kern w:val="0"/>
          <w:sz w:val="24"/>
          <w:szCs w:val="24"/>
          <w:highlight w:val="none"/>
        </w:rPr>
        <w:t xml:space="preserve">             </w:t>
      </w:r>
    </w:p>
    <w:p w14:paraId="455924FD">
      <w:pPr>
        <w:spacing w:line="360" w:lineRule="auto"/>
        <w:rPr>
          <w:rFonts w:hint="eastAsia" w:ascii="仿宋_GB2312" w:hAnsi="仿宋_GB2312" w:eastAsia="仿宋_GB2312" w:cs="仿宋_GB2312"/>
          <w:color w:val="auto"/>
          <w:kern w:val="0"/>
          <w:sz w:val="24"/>
          <w:szCs w:val="24"/>
          <w:highlight w:val="none"/>
          <w:u w:val="single"/>
        </w:rPr>
      </w:pPr>
    </w:p>
    <w:p w14:paraId="135936A9">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      </w:t>
      </w:r>
    </w:p>
    <w:p w14:paraId="748CA8C4">
      <w:pPr>
        <w:spacing w:line="360" w:lineRule="auto"/>
        <w:rPr>
          <w:rFonts w:hint="eastAsia" w:ascii="仿宋_GB2312" w:hAnsi="仿宋_GB2312" w:eastAsia="仿宋_GB2312" w:cs="仿宋_GB2312"/>
          <w:color w:val="auto"/>
          <w:sz w:val="24"/>
          <w:szCs w:val="24"/>
          <w:highlight w:val="none"/>
        </w:rPr>
      </w:pPr>
    </w:p>
    <w:p w14:paraId="736CDF09">
      <w:pPr>
        <w:adjustRightInd w:val="0"/>
        <w:snapToGrid w:val="0"/>
        <w:spacing w:line="6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法定代表人或授权委托人：                 法定代表人或授权委托人：</w:t>
      </w:r>
    </w:p>
    <w:p w14:paraId="2D946181">
      <w:pPr>
        <w:spacing w:after="120"/>
        <w:rPr>
          <w:rFonts w:hint="eastAsia" w:ascii="仿宋_GB2312" w:hAnsi="仿宋_GB2312" w:eastAsia="仿宋_GB2312" w:cs="仿宋_GB2312"/>
          <w:color w:val="auto"/>
          <w:sz w:val="24"/>
          <w:szCs w:val="24"/>
          <w:highlight w:val="none"/>
        </w:rPr>
      </w:pPr>
    </w:p>
    <w:p w14:paraId="4F5EF4A3">
      <w:pPr>
        <w:spacing w:after="120"/>
        <w:rPr>
          <w:rFonts w:hint="eastAsia" w:ascii="仿宋_GB2312" w:hAnsi="仿宋_GB2312" w:eastAsia="仿宋_GB2312" w:cs="仿宋_GB2312"/>
          <w:color w:val="auto"/>
          <w:sz w:val="24"/>
          <w:szCs w:val="24"/>
          <w:highlight w:val="none"/>
        </w:rPr>
      </w:pPr>
    </w:p>
    <w:p w14:paraId="20C78373">
      <w:pPr>
        <w:spacing w:after="120"/>
        <w:rPr>
          <w:rFonts w:hint="eastAsia" w:ascii="仿宋_GB2312" w:hAnsi="仿宋_GB2312" w:eastAsia="仿宋_GB2312" w:cs="仿宋_GB2312"/>
          <w:color w:val="auto"/>
          <w:sz w:val="24"/>
          <w:szCs w:val="24"/>
          <w:highlight w:val="none"/>
        </w:rPr>
      </w:pPr>
    </w:p>
    <w:p w14:paraId="3FA19297">
      <w:pPr>
        <w:pStyle w:val="18"/>
        <w:ind w:firstLine="0" w:firstLineChars="0"/>
        <w:rPr>
          <w:rFonts w:hint="eastAsia" w:ascii="仿宋_GB2312" w:hAnsi="仿宋_GB2312" w:eastAsia="仿宋_GB2312" w:cs="仿宋_GB2312"/>
          <w:color w:val="auto"/>
          <w:sz w:val="24"/>
          <w:szCs w:val="24"/>
          <w:highlight w:val="none"/>
        </w:rPr>
      </w:pPr>
    </w:p>
    <w:p w14:paraId="3A8119E6">
      <w:pPr>
        <w:spacing w:after="120"/>
        <w:rPr>
          <w:rFonts w:hint="eastAsia" w:ascii="仿宋_GB2312" w:hAnsi="仿宋_GB2312" w:eastAsia="仿宋_GB2312" w:cs="仿宋_GB2312"/>
          <w:color w:val="auto"/>
          <w:sz w:val="24"/>
          <w:szCs w:val="24"/>
          <w:highlight w:val="none"/>
        </w:rPr>
      </w:pPr>
    </w:p>
    <w:p w14:paraId="1106B3A9">
      <w:pPr>
        <w:spacing w:after="120"/>
        <w:rPr>
          <w:rFonts w:hint="eastAsia" w:ascii="仿宋_GB2312" w:hAnsi="仿宋_GB2312" w:eastAsia="仿宋_GB2312" w:cs="仿宋_GB2312"/>
          <w:color w:val="auto"/>
          <w:sz w:val="24"/>
          <w:szCs w:val="24"/>
          <w:highlight w:val="none"/>
        </w:rPr>
        <w:sectPr>
          <w:pgSz w:w="11906" w:h="16838"/>
          <w:pgMar w:top="1440" w:right="1133" w:bottom="1440" w:left="1418" w:header="851" w:footer="992" w:gutter="0"/>
          <w:cols w:space="720" w:num="1"/>
          <w:docGrid w:type="linesAndChars" w:linePitch="312" w:charSpace="0"/>
        </w:sectPr>
      </w:pPr>
    </w:p>
    <w:p w14:paraId="6BB0C22D">
      <w:pPr>
        <w:spacing w:line="360" w:lineRule="auto"/>
        <w:rPr>
          <w:rFonts w:hint="eastAsia" w:ascii="仿宋_GB2312" w:hAnsi="仿宋_GB2312" w:eastAsia="仿宋_GB2312" w:cs="仿宋_GB2312"/>
          <w:b w:val="0"/>
          <w:bCs w:val="0"/>
          <w:snapToGrid w:val="0"/>
          <w:color w:val="auto"/>
          <w:spacing w:val="4"/>
          <w:kern w:val="0"/>
          <w:sz w:val="24"/>
          <w:szCs w:val="24"/>
          <w:highlight w:val="none"/>
        </w:rPr>
      </w:pPr>
      <w:r>
        <w:rPr>
          <w:rFonts w:hint="eastAsia" w:ascii="仿宋_GB2312" w:hAnsi="仿宋_GB2312" w:eastAsia="仿宋_GB2312" w:cs="仿宋_GB2312"/>
          <w:b w:val="0"/>
          <w:bCs w:val="0"/>
          <w:color w:val="auto"/>
          <w:sz w:val="24"/>
          <w:szCs w:val="24"/>
          <w:highlight w:val="none"/>
        </w:rPr>
        <w:t>附件2：项目负责人、技术负责人及本项目的主要技术人员的组成</w:t>
      </w:r>
    </w:p>
    <w:p w14:paraId="7BA344C7">
      <w:pPr>
        <w:spacing w:line="360" w:lineRule="auto"/>
        <w:rPr>
          <w:rFonts w:hint="eastAsia" w:ascii="仿宋_GB2312" w:hAnsi="仿宋_GB2312" w:eastAsia="仿宋_GB2312" w:cs="仿宋_GB2312"/>
          <w:b w:val="0"/>
          <w:bCs w:val="0"/>
          <w:color w:val="auto"/>
          <w:sz w:val="24"/>
          <w:szCs w:val="24"/>
          <w:highlight w:val="none"/>
        </w:rPr>
      </w:pPr>
    </w:p>
    <w:p w14:paraId="73880435">
      <w:pPr>
        <w:spacing w:line="360" w:lineRule="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附件3：</w:t>
      </w:r>
      <w:r>
        <w:rPr>
          <w:rFonts w:hint="eastAsia" w:ascii="仿宋_GB2312" w:hAnsi="仿宋_GB2312" w:eastAsia="仿宋_GB2312" w:cs="仿宋_GB2312"/>
          <w:b w:val="0"/>
          <w:bCs w:val="0"/>
          <w:color w:val="auto"/>
          <w:sz w:val="24"/>
          <w:szCs w:val="24"/>
          <w:highlight w:val="none"/>
        </w:rPr>
        <w:t>检测</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监测</w:t>
      </w:r>
      <w:r>
        <w:rPr>
          <w:rFonts w:hint="eastAsia" w:ascii="仿宋_GB2312" w:hAnsi="仿宋_GB2312" w:eastAsia="仿宋_GB2312" w:cs="仿宋_GB2312"/>
          <w:b w:val="0"/>
          <w:bCs w:val="0"/>
          <w:color w:val="auto"/>
          <w:sz w:val="24"/>
          <w:szCs w:val="24"/>
          <w:highlight w:val="none"/>
        </w:rPr>
        <w:t>清单报价</w:t>
      </w:r>
    </w:p>
    <w:p w14:paraId="1805AF2D">
      <w:pPr>
        <w:pStyle w:val="2"/>
        <w:rPr>
          <w:rFonts w:hint="eastAsia"/>
        </w:rPr>
      </w:pPr>
    </w:p>
    <w:p w14:paraId="716BE6DD">
      <w:pPr>
        <w:spacing w:line="360"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附件</w:t>
      </w:r>
      <w:r>
        <w:rPr>
          <w:rFonts w:hint="eastAsia" w:ascii="仿宋_GB2312" w:hAnsi="仿宋_GB2312" w:eastAsia="仿宋_GB2312" w:cs="仿宋_GB2312"/>
          <w:b w:val="0"/>
          <w:bCs w:val="0"/>
          <w:color w:val="auto"/>
          <w:sz w:val="24"/>
          <w:szCs w:val="24"/>
          <w:highlight w:val="none"/>
        </w:rPr>
        <w:t>4</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招标答疑</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如有</w:t>
      </w:r>
      <w:r>
        <w:rPr>
          <w:rFonts w:hint="eastAsia" w:ascii="仿宋_GB2312" w:hAnsi="仿宋_GB2312" w:eastAsia="仿宋_GB2312" w:cs="仿宋_GB2312"/>
          <w:b w:val="0"/>
          <w:bCs w:val="0"/>
          <w:color w:val="auto"/>
          <w:sz w:val="24"/>
          <w:szCs w:val="24"/>
          <w:highlight w:val="none"/>
          <w:lang w:eastAsia="zh-CN"/>
        </w:rPr>
        <w:t>）</w:t>
      </w:r>
    </w:p>
    <w:p w14:paraId="026F8510">
      <w:pPr>
        <w:pStyle w:val="2"/>
        <w:rPr>
          <w:rFonts w:hint="eastAsia"/>
          <w:lang w:eastAsia="zh-CN"/>
        </w:rPr>
      </w:pPr>
    </w:p>
    <w:p w14:paraId="77B9129F">
      <w:pPr>
        <w:spacing w:line="360" w:lineRule="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附件</w:t>
      </w:r>
      <w:r>
        <w:rPr>
          <w:rFonts w:hint="eastAsia" w:ascii="仿宋_GB2312" w:hAnsi="仿宋_GB2312" w:eastAsia="仿宋_GB2312" w:cs="仿宋_GB2312"/>
          <w:b w:val="0"/>
          <w:bCs w:val="0"/>
          <w:color w:val="auto"/>
          <w:sz w:val="24"/>
          <w:szCs w:val="24"/>
          <w:highlight w:val="none"/>
        </w:rPr>
        <w:t>5</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联合体协议书（如有）</w:t>
      </w:r>
    </w:p>
    <w:p w14:paraId="0E2A0536">
      <w:pPr>
        <w:pStyle w:val="13"/>
        <w:rPr>
          <w:rFonts w:hint="eastAsia" w:ascii="仿宋_GB2312" w:hAnsi="仿宋_GB2312" w:eastAsia="仿宋_GB2312" w:cs="仿宋_GB2312"/>
          <w:b/>
          <w:bCs/>
          <w:sz w:val="24"/>
          <w:szCs w:val="24"/>
        </w:rPr>
      </w:pPr>
    </w:p>
    <w:p w14:paraId="30E7D50E">
      <w:pPr>
        <w:pStyle w:val="13"/>
        <w:rPr>
          <w:rFonts w:hint="eastAsia" w:ascii="仿宋_GB2312" w:hAnsi="仿宋_GB2312" w:eastAsia="仿宋_GB2312" w:cs="仿宋_GB2312"/>
          <w:b/>
          <w:bCs/>
          <w:sz w:val="24"/>
          <w:szCs w:val="24"/>
        </w:rPr>
      </w:pPr>
    </w:p>
    <w:p w14:paraId="239BCDD8">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color w:val="auto"/>
          <w:sz w:val="24"/>
          <w:szCs w:val="24"/>
          <w:highlight w:val="none"/>
        </w:rPr>
      </w:pPr>
    </w:p>
    <w:sectPr>
      <w:pgSz w:w="11906" w:h="16838"/>
      <w:pgMar w:top="1440" w:right="1133"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111473"/>
    </w:sdtPr>
    <w:sdtContent>
      <w:p w14:paraId="7C6C7DE2">
        <w:pPr>
          <w:pStyle w:val="8"/>
          <w:jc w:val="center"/>
        </w:pPr>
        <w:r>
          <w:fldChar w:fldCharType="begin"/>
        </w:r>
        <w:r>
          <w:instrText xml:space="preserve">PAGE   \* MERGEFORMAT</w:instrText>
        </w:r>
        <w:r>
          <w:fldChar w:fldCharType="separate"/>
        </w:r>
        <w:r>
          <w:rPr>
            <w:lang w:val="zh-CN"/>
          </w:rPr>
          <w:t>2</w:t>
        </w:r>
        <w:r>
          <w:fldChar w:fldCharType="end"/>
        </w:r>
      </w:p>
    </w:sdtContent>
  </w:sdt>
  <w:p w14:paraId="2B27762E">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revisionView w:markup="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wNjZkM2YzNDQ0NDZmOTJkZmQ0NTc1YjFlNmFkM2EifQ=="/>
  </w:docVars>
  <w:rsids>
    <w:rsidRoot w:val="00F04903"/>
    <w:rsid w:val="000157E7"/>
    <w:rsid w:val="00035A40"/>
    <w:rsid w:val="00047B31"/>
    <w:rsid w:val="00126F2B"/>
    <w:rsid w:val="00275395"/>
    <w:rsid w:val="002A26C6"/>
    <w:rsid w:val="002B65A1"/>
    <w:rsid w:val="002E2367"/>
    <w:rsid w:val="00343181"/>
    <w:rsid w:val="003D6B0A"/>
    <w:rsid w:val="00593065"/>
    <w:rsid w:val="005B472A"/>
    <w:rsid w:val="00616C51"/>
    <w:rsid w:val="00656350"/>
    <w:rsid w:val="006575DE"/>
    <w:rsid w:val="00691B66"/>
    <w:rsid w:val="006A2FFE"/>
    <w:rsid w:val="006B020B"/>
    <w:rsid w:val="00717764"/>
    <w:rsid w:val="0074238C"/>
    <w:rsid w:val="007B788B"/>
    <w:rsid w:val="008C4483"/>
    <w:rsid w:val="008F4882"/>
    <w:rsid w:val="00961CFA"/>
    <w:rsid w:val="00A06A57"/>
    <w:rsid w:val="00BC23FF"/>
    <w:rsid w:val="00C20239"/>
    <w:rsid w:val="00C623F7"/>
    <w:rsid w:val="00CD0C2D"/>
    <w:rsid w:val="00D85792"/>
    <w:rsid w:val="00DA3C55"/>
    <w:rsid w:val="00E31817"/>
    <w:rsid w:val="00F01D5B"/>
    <w:rsid w:val="00F04903"/>
    <w:rsid w:val="00F45B37"/>
    <w:rsid w:val="00F96632"/>
    <w:rsid w:val="02C463CA"/>
    <w:rsid w:val="034C55C0"/>
    <w:rsid w:val="03EE5F06"/>
    <w:rsid w:val="04654DE0"/>
    <w:rsid w:val="054C5E01"/>
    <w:rsid w:val="06100EEC"/>
    <w:rsid w:val="061870B9"/>
    <w:rsid w:val="0624009C"/>
    <w:rsid w:val="06483DF7"/>
    <w:rsid w:val="067F1848"/>
    <w:rsid w:val="06A87B1D"/>
    <w:rsid w:val="0731723B"/>
    <w:rsid w:val="07CF4BCE"/>
    <w:rsid w:val="0EDD48DA"/>
    <w:rsid w:val="10182ADD"/>
    <w:rsid w:val="10B524A1"/>
    <w:rsid w:val="10CF71B3"/>
    <w:rsid w:val="11204AC7"/>
    <w:rsid w:val="11C2631D"/>
    <w:rsid w:val="1278085C"/>
    <w:rsid w:val="13FA0462"/>
    <w:rsid w:val="143C2747"/>
    <w:rsid w:val="16165F18"/>
    <w:rsid w:val="166044FE"/>
    <w:rsid w:val="17A1082E"/>
    <w:rsid w:val="19EB7BC7"/>
    <w:rsid w:val="1A5E6626"/>
    <w:rsid w:val="1AFF4A80"/>
    <w:rsid w:val="1B216D76"/>
    <w:rsid w:val="1EAD26FD"/>
    <w:rsid w:val="1F2A29B3"/>
    <w:rsid w:val="20606F8A"/>
    <w:rsid w:val="214271D1"/>
    <w:rsid w:val="219B50B6"/>
    <w:rsid w:val="21C00F8D"/>
    <w:rsid w:val="22CD4C5E"/>
    <w:rsid w:val="238A680D"/>
    <w:rsid w:val="241A3A11"/>
    <w:rsid w:val="247A4674"/>
    <w:rsid w:val="24E269B8"/>
    <w:rsid w:val="28AB520F"/>
    <w:rsid w:val="2A314C1F"/>
    <w:rsid w:val="2B7E66A0"/>
    <w:rsid w:val="2B804A2D"/>
    <w:rsid w:val="2D4454D3"/>
    <w:rsid w:val="2DD946E2"/>
    <w:rsid w:val="32555475"/>
    <w:rsid w:val="34DD1230"/>
    <w:rsid w:val="35441E49"/>
    <w:rsid w:val="35635C3C"/>
    <w:rsid w:val="366604CF"/>
    <w:rsid w:val="36E80DC6"/>
    <w:rsid w:val="37CB57EC"/>
    <w:rsid w:val="38830FF4"/>
    <w:rsid w:val="38A547BD"/>
    <w:rsid w:val="39FD2C7B"/>
    <w:rsid w:val="3A9C5E7F"/>
    <w:rsid w:val="3AFF6ADA"/>
    <w:rsid w:val="3C5C469D"/>
    <w:rsid w:val="3C936903"/>
    <w:rsid w:val="3D63325C"/>
    <w:rsid w:val="401B2233"/>
    <w:rsid w:val="40845E44"/>
    <w:rsid w:val="47711CBA"/>
    <w:rsid w:val="47867568"/>
    <w:rsid w:val="48A962B0"/>
    <w:rsid w:val="49CF67A3"/>
    <w:rsid w:val="4B7B2088"/>
    <w:rsid w:val="4B92472D"/>
    <w:rsid w:val="4CB2063F"/>
    <w:rsid w:val="4F363263"/>
    <w:rsid w:val="501F0567"/>
    <w:rsid w:val="53A20E9F"/>
    <w:rsid w:val="57A379D4"/>
    <w:rsid w:val="58F24A5D"/>
    <w:rsid w:val="592B1D03"/>
    <w:rsid w:val="5B273CBB"/>
    <w:rsid w:val="5BBF1AEE"/>
    <w:rsid w:val="5D4645D7"/>
    <w:rsid w:val="5EBD2F7D"/>
    <w:rsid w:val="61195C24"/>
    <w:rsid w:val="614A05A1"/>
    <w:rsid w:val="62F9262C"/>
    <w:rsid w:val="651E3D42"/>
    <w:rsid w:val="685060E5"/>
    <w:rsid w:val="68C023CA"/>
    <w:rsid w:val="6C1A0A9F"/>
    <w:rsid w:val="6CD27708"/>
    <w:rsid w:val="6CFC3CA5"/>
    <w:rsid w:val="6DB00663"/>
    <w:rsid w:val="6DB7659B"/>
    <w:rsid w:val="6DF15613"/>
    <w:rsid w:val="712D5C60"/>
    <w:rsid w:val="74481C69"/>
    <w:rsid w:val="74F463A4"/>
    <w:rsid w:val="76F01072"/>
    <w:rsid w:val="77CD31A1"/>
    <w:rsid w:val="790A246E"/>
    <w:rsid w:val="7AE94C7B"/>
    <w:rsid w:val="7B297560"/>
    <w:rsid w:val="7DBC75B9"/>
    <w:rsid w:val="7F0F4B15"/>
    <w:rsid w:val="7F9D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
    <w:pPr>
      <w:keepNext/>
      <w:keepLines/>
      <w:spacing w:before="260" w:after="260" w:line="412" w:lineRule="auto"/>
      <w:ind w:firstLine="49" w:firstLineChars="49"/>
      <w:outlineLvl w:val="2"/>
    </w:pPr>
    <w:rPr>
      <w:rFonts w:ascii="黑体" w:eastAsia="黑体"/>
      <w:sz w:val="28"/>
      <w:szCs w:val="20"/>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4">
    <w:name w:val="annotation text"/>
    <w:basedOn w:val="1"/>
    <w:link w:val="24"/>
    <w:autoRedefine/>
    <w:semiHidden/>
    <w:unhideWhenUsed/>
    <w:qFormat/>
    <w:uiPriority w:val="99"/>
    <w:pPr>
      <w:jc w:val="left"/>
    </w:pPr>
  </w:style>
  <w:style w:type="paragraph" w:styleId="5">
    <w:name w:val="Body Text"/>
    <w:basedOn w:val="1"/>
    <w:next w:val="1"/>
    <w:autoRedefine/>
    <w:unhideWhenUsed/>
    <w:qFormat/>
    <w:uiPriority w:val="0"/>
    <w:pPr>
      <w:spacing w:after="120"/>
    </w:pPr>
  </w:style>
  <w:style w:type="paragraph" w:styleId="6">
    <w:name w:val="Body Text Indent"/>
    <w:basedOn w:val="1"/>
    <w:next w:val="7"/>
    <w:autoRedefine/>
    <w:qFormat/>
    <w:uiPriority w:val="0"/>
    <w:pPr>
      <w:spacing w:line="400" w:lineRule="atLeast"/>
      <w:ind w:firstLine="480"/>
    </w:pPr>
    <w:rPr>
      <w:rFonts w:ascii="宋体"/>
      <w:sz w:val="24"/>
    </w:rPr>
  </w:style>
  <w:style w:type="paragraph" w:styleId="7">
    <w:name w:val="envelope return"/>
    <w:basedOn w:val="1"/>
    <w:autoRedefine/>
    <w:qFormat/>
    <w:uiPriority w:val="0"/>
    <w:pPr>
      <w:snapToGrid w:val="0"/>
    </w:pPr>
    <w:rPr>
      <w:rFonts w:ascii="Arial" w:hAnsi="Arial" w:cs="Arial"/>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420" w:leftChars="200"/>
    </w:pPr>
    <w:rPr>
      <w:rFonts w:ascii="等线" w:hAnsi="等线" w:eastAsia="等线" w:cs="等线"/>
    </w:r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next w:val="4"/>
    <w:link w:val="25"/>
    <w:autoRedefine/>
    <w:semiHidden/>
    <w:unhideWhenUsed/>
    <w:qFormat/>
    <w:uiPriority w:val="99"/>
    <w:rPr>
      <w:b/>
      <w:bCs/>
    </w:rPr>
  </w:style>
  <w:style w:type="paragraph" w:styleId="13">
    <w:name w:val="Body Text First Indent"/>
    <w:basedOn w:val="5"/>
    <w:autoRedefine/>
    <w:qFormat/>
    <w:uiPriority w:val="99"/>
    <w:pPr>
      <w:spacing w:line="312" w:lineRule="auto"/>
      <w:ind w:firstLine="420"/>
    </w:pPr>
  </w:style>
  <w:style w:type="table" w:styleId="15">
    <w:name w:val="Table Grid"/>
    <w:basedOn w:val="1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autoRedefine/>
    <w:semiHidden/>
    <w:unhideWhenUsed/>
    <w:qFormat/>
    <w:uiPriority w:val="99"/>
    <w:rPr>
      <w:sz w:val="21"/>
      <w:szCs w:val="21"/>
    </w:rPr>
  </w:style>
  <w:style w:type="paragraph" w:customStyle="1" w:styleId="18">
    <w:name w:val="正文首行缩进1"/>
    <w:basedOn w:val="5"/>
    <w:autoRedefine/>
    <w:qFormat/>
    <w:uiPriority w:val="0"/>
    <w:pPr>
      <w:ind w:firstLine="420" w:firstLineChars="100"/>
    </w:pPr>
    <w:rPr>
      <w:szCs w:val="21"/>
    </w:rPr>
  </w:style>
  <w:style w:type="character" w:customStyle="1" w:styleId="19">
    <w:name w:val="页眉 字符"/>
    <w:basedOn w:val="16"/>
    <w:link w:val="9"/>
    <w:autoRedefine/>
    <w:qFormat/>
    <w:uiPriority w:val="99"/>
    <w:rPr>
      <w:sz w:val="18"/>
      <w:szCs w:val="18"/>
    </w:rPr>
  </w:style>
  <w:style w:type="character" w:customStyle="1" w:styleId="20">
    <w:name w:val="页脚 字符"/>
    <w:basedOn w:val="16"/>
    <w:link w:val="8"/>
    <w:autoRedefine/>
    <w:qFormat/>
    <w:uiPriority w:val="99"/>
    <w:rPr>
      <w:sz w:val="18"/>
      <w:szCs w:val="18"/>
    </w:rPr>
  </w:style>
  <w:style w:type="paragraph" w:customStyle="1" w:styleId="2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文字 字符"/>
    <w:basedOn w:val="16"/>
    <w:link w:val="4"/>
    <w:autoRedefine/>
    <w:semiHidden/>
    <w:qFormat/>
    <w:uiPriority w:val="99"/>
    <w:rPr>
      <w:rFonts w:asciiTheme="minorHAnsi" w:hAnsiTheme="minorHAnsi" w:eastAsiaTheme="minorEastAsia" w:cstheme="minorBidi"/>
      <w:kern w:val="2"/>
      <w:sz w:val="21"/>
      <w:szCs w:val="22"/>
    </w:rPr>
  </w:style>
  <w:style w:type="character" w:customStyle="1" w:styleId="25">
    <w:name w:val="批注主题 字符"/>
    <w:basedOn w:val="24"/>
    <w:link w:val="12"/>
    <w:autoRedefine/>
    <w:semiHidden/>
    <w:qFormat/>
    <w:uiPriority w:val="99"/>
    <w:rPr>
      <w:rFonts w:asciiTheme="minorHAnsi" w:hAnsiTheme="minorHAnsi" w:eastAsiaTheme="minorEastAsia" w:cstheme="minorBidi"/>
      <w:b/>
      <w:bCs/>
      <w:kern w:val="2"/>
      <w:sz w:val="21"/>
      <w:szCs w:val="22"/>
    </w:rPr>
  </w:style>
  <w:style w:type="paragraph" w:customStyle="1" w:styleId="26">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正文 New New"/>
    <w:autoRedefine/>
    <w:qFormat/>
    <w:uiPriority w:val="0"/>
    <w:pPr>
      <w:widowControl w:val="0"/>
      <w:jc w:val="both"/>
    </w:pPr>
    <w:rPr>
      <w:rFonts w:ascii="Times New Roman" w:hAnsi="Times New Roman" w:eastAsia="宋体"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66D69-8830-40B9-8D07-9CA4FDEDF159}">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11159</Words>
  <Characters>11550</Characters>
  <Lines>96</Lines>
  <Paragraphs>27</Paragraphs>
  <TotalTime>12</TotalTime>
  <ScaleCrop>false</ScaleCrop>
  <LinksUpToDate>false</LinksUpToDate>
  <CharactersWithSpaces>12433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2023-09-19T03:26:00Z</dcterms:created>
  <dc:creator>li xin</dc:creator>
  <cp:lastModifiedBy>fang</cp:lastModifiedBy>
  <cp:lastPrinted>2021-12-17T01:33:00Z</cp:lastPrinted>
  <dcterms:modified xsi:type="dcterms:W3CDTF">2025-06-30T01:37:52Z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A67923383EA1464B80EBBB101768EEA6_13</vt:lpwstr>
  </property>
  <property fmtid="{D5CDD505-2E9C-101B-9397-08002B2CF9AE}" pid="4" name="KSOTemplateDocerSaveRecord">
    <vt:lpwstr>eyJoZGlkIjoiNWZkZDUxYTE2NGY4MGE3Yjk2N2ZmM2U5ZWFmNDhlZTEiLCJ1c2VySWQiOiI1MTIxMDM0MDAifQ==</vt:lpwstr>
  </property>
</Properties>
</file>