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2639A2">
      <w:pPr>
        <w:spacing w:line="360" w:lineRule="auto"/>
        <w:ind w:firstLine="5737" w:firstLineChars="1905"/>
        <w:rPr>
          <w:rFonts w:asciiTheme="minorEastAsia" w:hAnsiTheme="minorEastAsia" w:eastAsiaTheme="minorEastAsia"/>
          <w:b/>
          <w:sz w:val="30"/>
          <w:szCs w:val="30"/>
          <w:highlight w:val="none"/>
        </w:rPr>
      </w:pPr>
    </w:p>
    <w:p w14:paraId="0C65DAB5">
      <w:pPr>
        <w:spacing w:line="360" w:lineRule="auto"/>
        <w:jc w:val="center"/>
        <w:rPr>
          <w:rFonts w:asciiTheme="minorEastAsia" w:hAnsiTheme="minorEastAsia" w:eastAsiaTheme="minorEastAsia"/>
          <w:b/>
          <w:sz w:val="52"/>
          <w:szCs w:val="52"/>
          <w:highlight w:val="none"/>
        </w:rPr>
      </w:pPr>
    </w:p>
    <w:p w14:paraId="5B8A82F7">
      <w:pPr>
        <w:pStyle w:val="13"/>
        <w:rPr>
          <w:highlight w:val="none"/>
        </w:rPr>
      </w:pPr>
    </w:p>
    <w:p w14:paraId="35B0ECDB">
      <w:pPr>
        <w:spacing w:line="360" w:lineRule="auto"/>
        <w:jc w:val="center"/>
        <w:rPr>
          <w:rFonts w:asciiTheme="minorEastAsia" w:hAnsiTheme="minorEastAsia" w:eastAsiaTheme="minorEastAsia"/>
          <w:b/>
          <w:sz w:val="52"/>
          <w:szCs w:val="52"/>
          <w:highlight w:val="none"/>
        </w:rPr>
      </w:pPr>
      <w:r>
        <w:rPr>
          <w:rFonts w:hint="eastAsia" w:cs="Times New Roman" w:asciiTheme="minorEastAsia" w:hAnsiTheme="minorEastAsia" w:eastAsiaTheme="minorEastAsia"/>
          <w:b/>
          <w:bCs w:val="0"/>
          <w:sz w:val="52"/>
          <w:szCs w:val="52"/>
          <w:highlight w:val="none"/>
          <w:lang w:eastAsia="zh-CN"/>
        </w:rPr>
        <w:t>广东省国家紧急医学救援基地</w:t>
      </w:r>
      <w:r>
        <w:rPr>
          <w:rFonts w:hint="eastAsia" w:cs="Times New Roman" w:asciiTheme="minorEastAsia" w:hAnsiTheme="minorEastAsia" w:eastAsiaTheme="minorEastAsia"/>
          <w:b/>
          <w:bCs w:val="0"/>
          <w:sz w:val="52"/>
          <w:szCs w:val="52"/>
          <w:highlight w:val="none"/>
          <w:lang w:val="en-US" w:eastAsia="zh-CN"/>
        </w:rPr>
        <w:t>项目</w:t>
      </w:r>
      <w:r>
        <w:rPr>
          <w:rFonts w:hint="eastAsia" w:cs="Times New Roman" w:asciiTheme="minorEastAsia" w:hAnsiTheme="minorEastAsia" w:eastAsiaTheme="minorEastAsia"/>
          <w:b/>
          <w:bCs w:val="0"/>
          <w:sz w:val="52"/>
          <w:szCs w:val="52"/>
          <w:highlight w:val="none"/>
          <w:lang w:eastAsia="zh-CN"/>
        </w:rPr>
        <w:t>勘察设计</w:t>
      </w:r>
      <w:r>
        <w:rPr>
          <w:rFonts w:hint="eastAsia" w:asciiTheme="minorEastAsia" w:hAnsiTheme="minorEastAsia" w:eastAsiaTheme="minorEastAsia"/>
          <w:b/>
          <w:sz w:val="52"/>
          <w:szCs w:val="52"/>
          <w:highlight w:val="none"/>
        </w:rPr>
        <w:t>合同</w:t>
      </w:r>
      <w:bookmarkStart w:id="1551" w:name="_GoBack"/>
      <w:bookmarkEnd w:id="1551"/>
    </w:p>
    <w:p w14:paraId="5DD1CECA">
      <w:pPr>
        <w:spacing w:line="360" w:lineRule="auto"/>
        <w:jc w:val="center"/>
        <w:rPr>
          <w:rFonts w:asciiTheme="minorEastAsia" w:hAnsiTheme="minorEastAsia" w:eastAsiaTheme="minorEastAsia"/>
          <w:b/>
          <w:sz w:val="52"/>
          <w:szCs w:val="52"/>
          <w:highlight w:val="none"/>
        </w:rPr>
      </w:pPr>
    </w:p>
    <w:p w14:paraId="605BD4CF">
      <w:pPr>
        <w:pStyle w:val="13"/>
        <w:rPr>
          <w:rFonts w:asciiTheme="minorEastAsia" w:hAnsiTheme="minorEastAsia" w:eastAsiaTheme="minorEastAsia"/>
          <w:b/>
          <w:sz w:val="52"/>
          <w:szCs w:val="52"/>
          <w:highlight w:val="none"/>
        </w:rPr>
      </w:pPr>
    </w:p>
    <w:p w14:paraId="7DE29CBA">
      <w:pPr>
        <w:rPr>
          <w:highlight w:val="none"/>
        </w:rPr>
      </w:pPr>
    </w:p>
    <w:p w14:paraId="0C1B2B6F">
      <w:pPr>
        <w:pStyle w:val="13"/>
        <w:rPr>
          <w:highlight w:val="none"/>
        </w:rPr>
      </w:pPr>
    </w:p>
    <w:p w14:paraId="5AC498AB">
      <w:pPr>
        <w:rPr>
          <w:highlight w:val="none"/>
        </w:rPr>
      </w:pPr>
    </w:p>
    <w:p w14:paraId="5F06D941">
      <w:pPr>
        <w:pStyle w:val="13"/>
        <w:rPr>
          <w:highlight w:val="none"/>
        </w:rPr>
      </w:pPr>
    </w:p>
    <w:p w14:paraId="72169B65">
      <w:pPr>
        <w:rPr>
          <w:highlight w:val="none"/>
        </w:rPr>
      </w:pPr>
    </w:p>
    <w:p w14:paraId="4C30D89D">
      <w:pPr>
        <w:pStyle w:val="13"/>
        <w:rPr>
          <w:highlight w:val="none"/>
        </w:rPr>
      </w:pPr>
    </w:p>
    <w:p w14:paraId="2F7D9D41">
      <w:pPr>
        <w:rPr>
          <w:highlight w:val="none"/>
        </w:rPr>
      </w:pPr>
    </w:p>
    <w:p w14:paraId="31D80217">
      <w:pPr>
        <w:pStyle w:val="260"/>
        <w:tabs>
          <w:tab w:val="left" w:pos="2520"/>
        </w:tabs>
        <w:spacing w:before="0" w:line="360" w:lineRule="auto"/>
        <w:ind w:leftChars="600"/>
        <w:jc w:val="both"/>
        <w:rPr>
          <w:rFonts w:asciiTheme="minorEastAsia" w:hAnsiTheme="minorEastAsia" w:eastAsiaTheme="minorEastAsia"/>
          <w:bCs w:val="0"/>
          <w:color w:val="auto"/>
          <w:sz w:val="30"/>
          <w:szCs w:val="30"/>
          <w:highlight w:val="none"/>
        </w:rPr>
      </w:pPr>
      <w:r>
        <w:rPr>
          <w:rFonts w:hint="eastAsia" w:asciiTheme="minorEastAsia" w:hAnsiTheme="minorEastAsia" w:eastAsiaTheme="minorEastAsia"/>
          <w:bCs w:val="0"/>
          <w:color w:val="auto"/>
          <w:sz w:val="30"/>
          <w:szCs w:val="30"/>
          <w:highlight w:val="none"/>
        </w:rPr>
        <w:t>发 包 方：</w:t>
      </w:r>
      <w:r>
        <w:rPr>
          <w:rFonts w:hint="eastAsia" w:asciiTheme="minorEastAsia" w:hAnsiTheme="minorEastAsia" w:eastAsiaTheme="minorEastAsia"/>
          <w:bCs w:val="0"/>
          <w:color w:val="auto"/>
          <w:sz w:val="30"/>
          <w:szCs w:val="30"/>
          <w:highlight w:val="none"/>
          <w:u w:val="single"/>
          <w:lang w:val="en-US" w:eastAsia="zh-CN"/>
        </w:rPr>
        <w:t xml:space="preserve">                         </w:t>
      </w:r>
      <w:r>
        <w:rPr>
          <w:rFonts w:hint="eastAsia" w:asciiTheme="minorEastAsia" w:hAnsiTheme="minorEastAsia" w:eastAsiaTheme="minorEastAsia"/>
          <w:bCs w:val="0"/>
          <w:color w:val="auto"/>
          <w:sz w:val="30"/>
          <w:szCs w:val="30"/>
          <w:highlight w:val="none"/>
          <w:u w:val="single"/>
        </w:rPr>
        <w:t>　</w:t>
      </w:r>
    </w:p>
    <w:p w14:paraId="205C4E09">
      <w:pPr>
        <w:pStyle w:val="260"/>
        <w:spacing w:before="0" w:line="360" w:lineRule="auto"/>
        <w:ind w:leftChars="600"/>
        <w:jc w:val="both"/>
        <w:rPr>
          <w:rFonts w:hint="default" w:asciiTheme="minorEastAsia" w:hAnsiTheme="minorEastAsia" w:eastAsiaTheme="minorEastAsia"/>
          <w:bCs w:val="0"/>
          <w:color w:val="auto"/>
          <w:sz w:val="30"/>
          <w:szCs w:val="30"/>
          <w:highlight w:val="none"/>
          <w:u w:val="single"/>
          <w:lang w:val="en-US" w:eastAsia="zh-CN"/>
        </w:rPr>
      </w:pPr>
      <w:r>
        <w:rPr>
          <w:rFonts w:hint="eastAsia" w:asciiTheme="minorEastAsia" w:hAnsiTheme="minorEastAsia" w:eastAsiaTheme="minorEastAsia"/>
          <w:bCs w:val="0"/>
          <w:color w:val="auto"/>
          <w:sz w:val="30"/>
          <w:szCs w:val="30"/>
          <w:highlight w:val="none"/>
        </w:rPr>
        <w:t>承 包 方：</w:t>
      </w:r>
      <w:r>
        <w:rPr>
          <w:rFonts w:hint="eastAsia" w:asciiTheme="minorEastAsia" w:hAnsiTheme="minorEastAsia" w:eastAsiaTheme="minorEastAsia"/>
          <w:bCs w:val="0"/>
          <w:color w:val="auto"/>
          <w:sz w:val="30"/>
          <w:szCs w:val="30"/>
          <w:highlight w:val="none"/>
          <w:lang w:val="en-US" w:eastAsia="zh-CN"/>
        </w:rPr>
        <w:t xml:space="preserve">                           </w:t>
      </w:r>
    </w:p>
    <w:p w14:paraId="552F5591">
      <w:pPr>
        <w:spacing w:line="360" w:lineRule="auto"/>
        <w:ind w:firstLine="1200" w:firstLineChars="400"/>
        <w:rPr>
          <w:rFonts w:hint="default" w:asciiTheme="minorEastAsia" w:hAnsiTheme="minorEastAsia" w:eastAsiaTheme="minorEastAsia"/>
          <w:b/>
          <w:sz w:val="28"/>
          <w:szCs w:val="28"/>
          <w:highlight w:val="none"/>
          <w:lang w:val="en-US" w:eastAsia="zh-CN"/>
        </w:rPr>
      </w:pPr>
      <w:r>
        <w:rPr>
          <w:rFonts w:hint="eastAsia" w:asciiTheme="minorEastAsia" w:hAnsiTheme="minorEastAsia" w:eastAsiaTheme="minorEastAsia"/>
          <w:bCs w:val="0"/>
          <w:color w:val="auto"/>
          <w:sz w:val="30"/>
          <w:szCs w:val="30"/>
          <w:highlight w:val="none"/>
        </w:rPr>
        <w:t>日</w:t>
      </w:r>
      <w:r>
        <w:rPr>
          <w:rFonts w:hint="eastAsia" w:asciiTheme="minorEastAsia" w:hAnsiTheme="minorEastAsia" w:eastAsiaTheme="minorEastAsia"/>
          <w:bCs w:val="0"/>
          <w:color w:val="auto"/>
          <w:sz w:val="30"/>
          <w:szCs w:val="30"/>
          <w:highlight w:val="none"/>
          <w:lang w:eastAsia="zh-CN"/>
        </w:rPr>
        <w:t>　　</w:t>
      </w:r>
      <w:r>
        <w:rPr>
          <w:rFonts w:hint="eastAsia" w:asciiTheme="minorEastAsia" w:hAnsiTheme="minorEastAsia" w:eastAsiaTheme="minorEastAsia"/>
          <w:bCs w:val="0"/>
          <w:color w:val="auto"/>
          <w:sz w:val="30"/>
          <w:szCs w:val="30"/>
          <w:highlight w:val="none"/>
          <w:lang w:val="en-US" w:eastAsia="zh-CN"/>
        </w:rPr>
        <w:t xml:space="preserve"> </w:t>
      </w:r>
      <w:r>
        <w:rPr>
          <w:rFonts w:hint="eastAsia" w:asciiTheme="minorEastAsia" w:hAnsiTheme="minorEastAsia" w:eastAsiaTheme="minorEastAsia"/>
          <w:bCs w:val="0"/>
          <w:color w:val="auto"/>
          <w:sz w:val="30"/>
          <w:szCs w:val="30"/>
          <w:highlight w:val="none"/>
        </w:rPr>
        <w:t>期：</w:t>
      </w:r>
      <w:r>
        <w:rPr>
          <w:rFonts w:hint="eastAsia" w:asciiTheme="minorEastAsia" w:hAnsiTheme="minorEastAsia" w:eastAsiaTheme="minorEastAsia"/>
          <w:bCs w:val="0"/>
          <w:color w:val="auto"/>
          <w:sz w:val="30"/>
          <w:szCs w:val="30"/>
          <w:highlight w:val="none"/>
          <w:u w:val="single"/>
          <w:lang w:val="en-US" w:eastAsia="zh-CN"/>
        </w:rPr>
        <w:t xml:space="preserve">                           </w:t>
      </w:r>
    </w:p>
    <w:p w14:paraId="70A99EC7">
      <w:pPr>
        <w:spacing w:line="360" w:lineRule="auto"/>
        <w:rPr>
          <w:rFonts w:asciiTheme="minorEastAsia" w:hAnsiTheme="minorEastAsia" w:eastAsiaTheme="minorEastAsia"/>
          <w:b/>
          <w:sz w:val="28"/>
          <w:szCs w:val="28"/>
          <w:highlight w:val="none"/>
        </w:rPr>
      </w:pPr>
    </w:p>
    <w:p w14:paraId="5B7850E9">
      <w:pPr>
        <w:pStyle w:val="260"/>
        <w:spacing w:before="0" w:line="360" w:lineRule="auto"/>
        <w:jc w:val="center"/>
        <w:rPr>
          <w:rFonts w:asciiTheme="minorEastAsia" w:hAnsiTheme="minorEastAsia" w:eastAsiaTheme="minorEastAsia"/>
          <w:b w:val="0"/>
          <w:color w:val="auto"/>
          <w:highlight w:val="none"/>
        </w:rPr>
      </w:pPr>
      <w:r>
        <w:rPr>
          <w:rFonts w:hint="eastAsia" w:asciiTheme="minorEastAsia" w:hAnsiTheme="minorEastAsia" w:eastAsiaTheme="minorEastAsia"/>
          <w:b w:val="0"/>
          <w:color w:val="auto"/>
          <w:highlight w:val="none"/>
        </w:rPr>
        <w:br w:type="page"/>
      </w:r>
      <w:bookmarkStart w:id="0" w:name="_Toc296890982"/>
      <w:bookmarkStart w:id="1" w:name="_Toc296503025"/>
    </w:p>
    <w:p w14:paraId="769D6B69">
      <w:pPr>
        <w:pStyle w:val="260"/>
        <w:tabs>
          <w:tab w:val="right" w:leader="middleDot" w:pos="8400"/>
        </w:tabs>
        <w:spacing w:before="120" w:after="120" w:line="360" w:lineRule="auto"/>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val="zh-CN"/>
        </w:rPr>
        <w:t>目  录</w:t>
      </w:r>
    </w:p>
    <w:p w14:paraId="79B33916">
      <w:pPr>
        <w:pStyle w:val="29"/>
        <w:tabs>
          <w:tab w:val="right" w:leader="middleDot" w:pos="8400"/>
          <w:tab w:val="right" w:leader="dot" w:pos="8810"/>
        </w:tabs>
        <w:spacing w:line="360" w:lineRule="auto"/>
        <w:ind w:left="0" w:leftChars="0" w:firstLine="240" w:firstLineChars="100"/>
        <w:rPr>
          <w:rFonts w:asciiTheme="minorEastAsia" w:hAnsiTheme="minorEastAsia" w:eastAsiaTheme="minorEastAsia"/>
          <w:b/>
          <w:sz w:val="24"/>
          <w:szCs w:val="24"/>
          <w:highlight w:val="none"/>
        </w:rPr>
      </w:pPr>
      <w:r>
        <w:rPr>
          <w:rFonts w:hint="eastAsia" w:asciiTheme="minorEastAsia" w:hAnsiTheme="minorEastAsia" w:eastAsiaTheme="minorEastAsia"/>
          <w:sz w:val="24"/>
          <w:szCs w:val="24"/>
          <w:highlight w:val="none"/>
        </w:rPr>
        <w:fldChar w:fldCharType="begin"/>
      </w:r>
      <w:r>
        <w:rPr>
          <w:rFonts w:hint="eastAsia" w:asciiTheme="minorEastAsia" w:hAnsiTheme="minorEastAsia" w:eastAsiaTheme="minorEastAsia"/>
          <w:sz w:val="24"/>
          <w:szCs w:val="24"/>
          <w:highlight w:val="none"/>
        </w:rPr>
        <w:instrText xml:space="preserve"> TOC \o "1-5" \h \z \u </w:instrText>
      </w:r>
      <w:r>
        <w:rPr>
          <w:rFonts w:hint="eastAsia" w:asciiTheme="minorEastAsia" w:hAnsiTheme="minorEastAsia" w:eastAsiaTheme="minorEastAsia"/>
          <w:sz w:val="24"/>
          <w:szCs w:val="24"/>
          <w:highlight w:val="none"/>
        </w:rPr>
        <w:fldChar w:fldCharType="separate"/>
      </w:r>
      <w:r>
        <w:rPr>
          <w:highlight w:val="none"/>
        </w:rPr>
        <w:fldChar w:fldCharType="begin"/>
      </w:r>
      <w:r>
        <w:rPr>
          <w:highlight w:val="none"/>
        </w:rPr>
        <w:instrText xml:space="preserve"> HYPERLINK \l "_Toc351203480" </w:instrText>
      </w:r>
      <w:r>
        <w:rPr>
          <w:highlight w:val="none"/>
        </w:rPr>
        <w:fldChar w:fldCharType="separate"/>
      </w:r>
      <w:r>
        <w:rPr>
          <w:rStyle w:val="63"/>
          <w:rFonts w:hint="eastAsia" w:asciiTheme="minorEastAsia" w:hAnsiTheme="minorEastAsia" w:eastAsiaTheme="minorEastAsia"/>
          <w:b/>
          <w:color w:val="auto"/>
          <w:sz w:val="24"/>
          <w:szCs w:val="24"/>
          <w:highlight w:val="none"/>
        </w:rPr>
        <w:t>第一部分 合同协议书</w:t>
      </w:r>
      <w:r>
        <w:rPr>
          <w:rStyle w:val="63"/>
          <w:rFonts w:hint="eastAsia" w:asciiTheme="minorEastAsia" w:hAnsiTheme="minorEastAsia" w:eastAsiaTheme="minorEastAsia"/>
          <w:b/>
          <w:color w:val="auto"/>
          <w:sz w:val="24"/>
          <w:szCs w:val="24"/>
          <w:highlight w:val="none"/>
        </w:rPr>
        <w:fldChar w:fldCharType="end"/>
      </w:r>
      <w:r>
        <w:rPr>
          <w:rFonts w:hint="eastAsia" w:asciiTheme="minorEastAsia" w:hAnsiTheme="minorEastAsia" w:eastAsiaTheme="minorEastAsia"/>
          <w:bCs/>
          <w:sz w:val="24"/>
          <w:szCs w:val="24"/>
          <w:highlight w:val="none"/>
        </w:rPr>
        <w:tab/>
      </w:r>
      <w:r>
        <w:rPr>
          <w:rFonts w:hint="eastAsia" w:asciiTheme="minorEastAsia" w:hAnsiTheme="minorEastAsia" w:eastAsiaTheme="minorEastAsia"/>
          <w:bCs/>
          <w:sz w:val="24"/>
          <w:szCs w:val="24"/>
          <w:highlight w:val="none"/>
        </w:rPr>
        <w:t>7</w:t>
      </w:r>
    </w:p>
    <w:p w14:paraId="028E9A64">
      <w:pPr>
        <w:pStyle w:val="29"/>
        <w:tabs>
          <w:tab w:val="right" w:leader="middleDot" w:pos="8400"/>
          <w:tab w:val="right" w:leader="dot" w:pos="8810"/>
        </w:tabs>
        <w:spacing w:line="360" w:lineRule="auto"/>
        <w:ind w:left="0" w:leftChars="0" w:firstLine="198" w:firstLineChars="99"/>
        <w:rPr>
          <w:rFonts w:asciiTheme="minorEastAsia" w:hAnsiTheme="minorEastAsia" w:eastAsiaTheme="minorEastAsia"/>
          <w:b/>
          <w:sz w:val="24"/>
          <w:szCs w:val="24"/>
          <w:highlight w:val="none"/>
        </w:rPr>
      </w:pPr>
      <w:r>
        <w:rPr>
          <w:highlight w:val="none"/>
        </w:rPr>
        <w:fldChar w:fldCharType="begin"/>
      </w:r>
      <w:r>
        <w:rPr>
          <w:highlight w:val="none"/>
        </w:rPr>
        <w:instrText xml:space="preserve"> HYPERLINK \l "_Toc351203494" </w:instrText>
      </w:r>
      <w:r>
        <w:rPr>
          <w:highlight w:val="none"/>
        </w:rPr>
        <w:fldChar w:fldCharType="separate"/>
      </w:r>
      <w:r>
        <w:rPr>
          <w:rStyle w:val="63"/>
          <w:rFonts w:hint="eastAsia" w:asciiTheme="minorEastAsia" w:hAnsiTheme="minorEastAsia" w:eastAsiaTheme="minorEastAsia"/>
          <w:b/>
          <w:color w:val="auto"/>
          <w:sz w:val="24"/>
          <w:szCs w:val="24"/>
          <w:highlight w:val="none"/>
        </w:rPr>
        <w:t>第二部分 通用合同</w:t>
      </w:r>
      <w:bookmarkStart w:id="2" w:name="_Hlt278396651"/>
      <w:r>
        <w:rPr>
          <w:rStyle w:val="63"/>
          <w:rFonts w:hint="eastAsia" w:asciiTheme="minorEastAsia" w:hAnsiTheme="minorEastAsia" w:eastAsiaTheme="minorEastAsia"/>
          <w:b/>
          <w:color w:val="auto"/>
          <w:sz w:val="24"/>
          <w:szCs w:val="24"/>
          <w:highlight w:val="none"/>
        </w:rPr>
        <w:t>条</w:t>
      </w:r>
      <w:bookmarkEnd w:id="2"/>
      <w:r>
        <w:rPr>
          <w:rStyle w:val="63"/>
          <w:rFonts w:hint="eastAsia" w:asciiTheme="minorEastAsia" w:hAnsiTheme="minorEastAsia" w:eastAsiaTheme="minorEastAsia"/>
          <w:b/>
          <w:color w:val="auto"/>
          <w:sz w:val="24"/>
          <w:szCs w:val="24"/>
          <w:highlight w:val="none"/>
        </w:rPr>
        <w:t>款</w:t>
      </w:r>
      <w:r>
        <w:rPr>
          <w:rStyle w:val="63"/>
          <w:rFonts w:hint="eastAsia" w:asciiTheme="minorEastAsia" w:hAnsiTheme="minorEastAsia" w:eastAsiaTheme="minorEastAsia"/>
          <w:b/>
          <w:color w:val="auto"/>
          <w:sz w:val="24"/>
          <w:szCs w:val="24"/>
          <w:highlight w:val="none"/>
        </w:rPr>
        <w:fldChar w:fldCharType="end"/>
      </w:r>
      <w:r>
        <w:rPr>
          <w:rFonts w:hint="eastAsia" w:asciiTheme="minorEastAsia" w:hAnsiTheme="minorEastAsia" w:eastAsiaTheme="minorEastAsia"/>
          <w:bCs/>
          <w:sz w:val="24"/>
          <w:szCs w:val="24"/>
          <w:highlight w:val="none"/>
        </w:rPr>
        <w:tab/>
      </w:r>
      <w:r>
        <w:rPr>
          <w:rFonts w:hint="eastAsia" w:asciiTheme="minorEastAsia" w:hAnsiTheme="minorEastAsia" w:eastAsiaTheme="minorEastAsia"/>
          <w:bCs/>
          <w:sz w:val="24"/>
          <w:szCs w:val="24"/>
          <w:highlight w:val="none"/>
        </w:rPr>
        <w:t>11</w:t>
      </w:r>
    </w:p>
    <w:p w14:paraId="2E19E225">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"_Toc351203495" </w:instrText>
      </w:r>
      <w:r>
        <w:rPr>
          <w:highlight w:val="none"/>
        </w:rPr>
        <w:fldChar w:fldCharType="separate"/>
      </w:r>
      <w:r>
        <w:rPr>
          <w:rStyle w:val="63"/>
          <w:rFonts w:hint="eastAsia" w:asciiTheme="minorEastAsia" w:hAnsiTheme="minorEastAsia" w:eastAsiaTheme="minorEastAsia"/>
          <w:color w:val="auto"/>
          <w:sz w:val="24"/>
          <w:szCs w:val="24"/>
          <w:highlight w:val="none"/>
        </w:rPr>
        <w:t>1. 一般约定</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11</w:t>
      </w:r>
    </w:p>
    <w:p w14:paraId="50CCF0C0">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"_Toc351203496" </w:instrText>
      </w:r>
      <w:r>
        <w:rPr>
          <w:highlight w:val="none"/>
        </w:rPr>
        <w:fldChar w:fldCharType="separate"/>
      </w:r>
      <w:r>
        <w:rPr>
          <w:rStyle w:val="63"/>
          <w:rFonts w:hint="eastAsia" w:asciiTheme="minorEastAsia" w:hAnsiTheme="minorEastAsia" w:eastAsiaTheme="minorEastAsia"/>
          <w:color w:val="auto"/>
          <w:sz w:val="24"/>
          <w:szCs w:val="24"/>
          <w:highlight w:val="none"/>
        </w:rPr>
        <w:t>1.1 词语定义与解释</w:t>
      </w:r>
      <w:r>
        <w:rPr>
          <w:rStyle w:val="63"/>
          <w:rFonts w:hint="eastAsia" w:asciiTheme="minorEastAsia" w:hAnsiTheme="minorEastAsia" w:eastAsiaTheme="minorEastAsia"/>
          <w:color w:val="auto"/>
          <w:sz w:val="24"/>
          <w:szCs w:val="24"/>
          <w:highlight w:val="none"/>
        </w:rPr>
        <w:fldChar w:fldCharType="end"/>
      </w:r>
    </w:p>
    <w:p w14:paraId="062BC36C">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"_Toc351203497" </w:instrText>
      </w:r>
      <w:r>
        <w:rPr>
          <w:highlight w:val="none"/>
        </w:rPr>
        <w:fldChar w:fldCharType="separate"/>
      </w:r>
      <w:r>
        <w:rPr>
          <w:rStyle w:val="63"/>
          <w:rFonts w:hint="eastAsia" w:asciiTheme="minorEastAsia" w:hAnsiTheme="minorEastAsia" w:eastAsiaTheme="minorEastAsia"/>
          <w:color w:val="auto"/>
          <w:sz w:val="24"/>
          <w:szCs w:val="24"/>
          <w:highlight w:val="none"/>
        </w:rPr>
        <w:t>1.2 语言文字</w:t>
      </w:r>
      <w:r>
        <w:rPr>
          <w:rStyle w:val="63"/>
          <w:rFonts w:hint="eastAsia" w:asciiTheme="minorEastAsia" w:hAnsiTheme="minorEastAsia" w:eastAsiaTheme="minorEastAsia"/>
          <w:color w:val="auto"/>
          <w:sz w:val="24"/>
          <w:szCs w:val="24"/>
          <w:highlight w:val="none"/>
        </w:rPr>
        <w:fldChar w:fldCharType="end"/>
      </w:r>
    </w:p>
    <w:p w14:paraId="6A6FCDFF">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"_Toc351203498" </w:instrText>
      </w:r>
      <w:r>
        <w:rPr>
          <w:highlight w:val="none"/>
        </w:rPr>
        <w:fldChar w:fldCharType="separate"/>
      </w:r>
      <w:r>
        <w:rPr>
          <w:rStyle w:val="63"/>
          <w:rFonts w:hint="eastAsia" w:asciiTheme="minorEastAsia" w:hAnsiTheme="minorEastAsia" w:eastAsiaTheme="minorEastAsia"/>
          <w:color w:val="auto"/>
          <w:sz w:val="24"/>
          <w:szCs w:val="24"/>
          <w:highlight w:val="none"/>
        </w:rPr>
        <w:t>1.3 法律</w:t>
      </w:r>
      <w:r>
        <w:rPr>
          <w:rStyle w:val="63"/>
          <w:rFonts w:hint="eastAsia" w:asciiTheme="minorEastAsia" w:hAnsiTheme="minorEastAsia" w:eastAsiaTheme="minorEastAsia"/>
          <w:color w:val="auto"/>
          <w:sz w:val="24"/>
          <w:szCs w:val="24"/>
          <w:highlight w:val="none"/>
        </w:rPr>
        <w:fldChar w:fldCharType="end"/>
      </w:r>
    </w:p>
    <w:p w14:paraId="7A18AAA0">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"_Toc351203499" </w:instrText>
      </w:r>
      <w:r>
        <w:rPr>
          <w:highlight w:val="none"/>
        </w:rPr>
        <w:fldChar w:fldCharType="separate"/>
      </w:r>
      <w:r>
        <w:rPr>
          <w:rStyle w:val="63"/>
          <w:rFonts w:hint="eastAsia" w:asciiTheme="minorEastAsia" w:hAnsiTheme="minorEastAsia" w:eastAsiaTheme="minorEastAsia"/>
          <w:color w:val="auto"/>
          <w:sz w:val="24"/>
          <w:szCs w:val="24"/>
          <w:highlight w:val="none"/>
        </w:rPr>
        <w:t>1.4 技术标准</w:t>
      </w:r>
      <w:r>
        <w:rPr>
          <w:rStyle w:val="63"/>
          <w:rFonts w:hint="eastAsia" w:asciiTheme="minorEastAsia" w:hAnsiTheme="minorEastAsia" w:eastAsiaTheme="minorEastAsia"/>
          <w:color w:val="auto"/>
          <w:sz w:val="24"/>
          <w:szCs w:val="24"/>
          <w:highlight w:val="none"/>
        </w:rPr>
        <w:fldChar w:fldCharType="end"/>
      </w:r>
    </w:p>
    <w:p w14:paraId="41B441C0">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"_Toc351203500" </w:instrText>
      </w:r>
      <w:r>
        <w:rPr>
          <w:highlight w:val="none"/>
        </w:rPr>
        <w:fldChar w:fldCharType="separate"/>
      </w:r>
      <w:r>
        <w:rPr>
          <w:rStyle w:val="63"/>
          <w:rFonts w:hint="eastAsia" w:asciiTheme="minorEastAsia" w:hAnsiTheme="minorEastAsia" w:eastAsiaTheme="minorEastAsia"/>
          <w:color w:val="auto"/>
          <w:sz w:val="24"/>
          <w:szCs w:val="24"/>
          <w:highlight w:val="none"/>
        </w:rPr>
        <w:t>1.5 合同文件的优先顺序</w:t>
      </w:r>
      <w:r>
        <w:rPr>
          <w:rStyle w:val="63"/>
          <w:rFonts w:hint="eastAsia" w:asciiTheme="minorEastAsia" w:hAnsiTheme="minorEastAsia" w:eastAsiaTheme="minorEastAsia"/>
          <w:color w:val="auto"/>
          <w:sz w:val="24"/>
          <w:szCs w:val="24"/>
          <w:highlight w:val="none"/>
        </w:rPr>
        <w:fldChar w:fldCharType="end"/>
      </w:r>
    </w:p>
    <w:p w14:paraId="6FC5EBAE">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"_Toc351203501" </w:instrText>
      </w:r>
      <w:r>
        <w:rPr>
          <w:highlight w:val="none"/>
        </w:rPr>
        <w:fldChar w:fldCharType="separate"/>
      </w:r>
      <w:r>
        <w:rPr>
          <w:rStyle w:val="63"/>
          <w:rFonts w:hint="eastAsia" w:asciiTheme="minorEastAsia" w:hAnsiTheme="minorEastAsia" w:eastAsiaTheme="minorEastAsia"/>
          <w:color w:val="auto"/>
          <w:sz w:val="24"/>
          <w:szCs w:val="24"/>
          <w:highlight w:val="none"/>
        </w:rPr>
        <w:t>1.6 联络</w:t>
      </w:r>
      <w:r>
        <w:rPr>
          <w:rStyle w:val="63"/>
          <w:rFonts w:hint="eastAsia" w:asciiTheme="minorEastAsia" w:hAnsiTheme="minorEastAsia" w:eastAsiaTheme="minorEastAsia"/>
          <w:color w:val="auto"/>
          <w:sz w:val="24"/>
          <w:szCs w:val="24"/>
          <w:highlight w:val="none"/>
        </w:rPr>
        <w:fldChar w:fldCharType="end"/>
      </w:r>
    </w:p>
    <w:p w14:paraId="5E821B19">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"_Toc351203502" </w:instrText>
      </w:r>
      <w:r>
        <w:rPr>
          <w:highlight w:val="none"/>
        </w:rPr>
        <w:fldChar w:fldCharType="separate"/>
      </w:r>
      <w:r>
        <w:rPr>
          <w:rStyle w:val="63"/>
          <w:rFonts w:hint="eastAsia" w:asciiTheme="minorEastAsia" w:hAnsiTheme="minorEastAsia" w:eastAsiaTheme="minorEastAsia"/>
          <w:color w:val="auto"/>
          <w:sz w:val="24"/>
          <w:szCs w:val="24"/>
          <w:highlight w:val="none"/>
        </w:rPr>
        <w:t>1.7 严禁贿赂</w:t>
      </w:r>
      <w:r>
        <w:rPr>
          <w:rStyle w:val="63"/>
          <w:rFonts w:hint="eastAsia" w:asciiTheme="minorEastAsia" w:hAnsiTheme="minorEastAsia" w:eastAsiaTheme="minorEastAsia"/>
          <w:color w:val="auto"/>
          <w:sz w:val="24"/>
          <w:szCs w:val="24"/>
          <w:highlight w:val="none"/>
        </w:rPr>
        <w:fldChar w:fldCharType="end"/>
      </w:r>
    </w:p>
    <w:p w14:paraId="60A090AD">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"_Toc351203503" </w:instrText>
      </w:r>
      <w:r>
        <w:rPr>
          <w:highlight w:val="none"/>
        </w:rPr>
        <w:fldChar w:fldCharType="separate"/>
      </w:r>
      <w:r>
        <w:rPr>
          <w:rStyle w:val="63"/>
          <w:rFonts w:hint="eastAsia" w:asciiTheme="minorEastAsia" w:hAnsiTheme="minorEastAsia" w:eastAsiaTheme="minorEastAsia"/>
          <w:color w:val="auto"/>
          <w:sz w:val="24"/>
          <w:szCs w:val="24"/>
          <w:highlight w:val="none"/>
        </w:rPr>
        <w:t>1.8 保密</w:t>
      </w:r>
      <w:r>
        <w:rPr>
          <w:rStyle w:val="63"/>
          <w:rFonts w:hint="eastAsia" w:asciiTheme="minorEastAsia" w:hAnsiTheme="minorEastAsia" w:eastAsiaTheme="minorEastAsia"/>
          <w:color w:val="auto"/>
          <w:sz w:val="24"/>
          <w:szCs w:val="24"/>
          <w:highlight w:val="none"/>
        </w:rPr>
        <w:fldChar w:fldCharType="end"/>
      </w:r>
    </w:p>
    <w:p w14:paraId="032CECA5">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"_Toc351203509" </w:instrText>
      </w:r>
      <w:r>
        <w:rPr>
          <w:highlight w:val="none"/>
        </w:rPr>
        <w:fldChar w:fldCharType="separate"/>
      </w:r>
      <w:r>
        <w:rPr>
          <w:rStyle w:val="63"/>
          <w:rFonts w:hint="eastAsia" w:asciiTheme="minorEastAsia" w:hAnsiTheme="minorEastAsia" w:eastAsiaTheme="minorEastAsia"/>
          <w:color w:val="auto"/>
          <w:sz w:val="24"/>
          <w:szCs w:val="24"/>
          <w:highlight w:val="none"/>
        </w:rPr>
        <w:t>2. 发包人</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18</w:t>
      </w:r>
    </w:p>
    <w:p w14:paraId="081F9201">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"_Toc351203510" </w:instrText>
      </w:r>
      <w:r>
        <w:rPr>
          <w:highlight w:val="none"/>
        </w:rPr>
        <w:fldChar w:fldCharType="separate"/>
      </w:r>
      <w:r>
        <w:rPr>
          <w:rStyle w:val="63"/>
          <w:rFonts w:hint="eastAsia" w:asciiTheme="minorEastAsia" w:hAnsiTheme="minorEastAsia" w:eastAsiaTheme="minorEastAsia"/>
          <w:color w:val="auto"/>
          <w:sz w:val="24"/>
          <w:szCs w:val="24"/>
          <w:highlight w:val="none"/>
        </w:rPr>
        <w:t>2.1 发包人一般义务</w:t>
      </w:r>
      <w:r>
        <w:rPr>
          <w:rStyle w:val="63"/>
          <w:rFonts w:hint="eastAsia" w:asciiTheme="minorEastAsia" w:hAnsiTheme="minorEastAsia" w:eastAsiaTheme="minorEastAsia"/>
          <w:color w:val="auto"/>
          <w:sz w:val="24"/>
          <w:szCs w:val="24"/>
          <w:highlight w:val="none"/>
        </w:rPr>
        <w:fldChar w:fldCharType="end"/>
      </w:r>
    </w:p>
    <w:p w14:paraId="66279DBA">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"_Toc351203511" </w:instrText>
      </w:r>
      <w:r>
        <w:rPr>
          <w:highlight w:val="none"/>
        </w:rPr>
        <w:fldChar w:fldCharType="separate"/>
      </w:r>
      <w:r>
        <w:rPr>
          <w:rStyle w:val="63"/>
          <w:rFonts w:hint="eastAsia" w:asciiTheme="minorEastAsia" w:hAnsiTheme="minorEastAsia" w:eastAsiaTheme="minorEastAsia"/>
          <w:color w:val="auto"/>
          <w:sz w:val="24"/>
          <w:szCs w:val="24"/>
          <w:highlight w:val="none"/>
        </w:rPr>
        <w:t>2.2 发包人代表</w:t>
      </w:r>
      <w:r>
        <w:rPr>
          <w:rStyle w:val="63"/>
          <w:rFonts w:hint="eastAsia" w:asciiTheme="minorEastAsia" w:hAnsiTheme="minorEastAsia" w:eastAsiaTheme="minorEastAsia"/>
          <w:color w:val="auto"/>
          <w:sz w:val="24"/>
          <w:szCs w:val="24"/>
          <w:highlight w:val="none"/>
        </w:rPr>
        <w:fldChar w:fldCharType="end"/>
      </w:r>
    </w:p>
    <w:p w14:paraId="12E16797">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"_Toc351203512" </w:instrText>
      </w:r>
      <w:r>
        <w:rPr>
          <w:highlight w:val="none"/>
        </w:rPr>
        <w:fldChar w:fldCharType="separate"/>
      </w:r>
      <w:r>
        <w:rPr>
          <w:rStyle w:val="63"/>
          <w:rFonts w:hint="eastAsia" w:asciiTheme="minorEastAsia" w:hAnsiTheme="minorEastAsia" w:eastAsiaTheme="minorEastAsia"/>
          <w:color w:val="auto"/>
          <w:sz w:val="24"/>
          <w:szCs w:val="24"/>
          <w:highlight w:val="none"/>
        </w:rPr>
        <w:t>2.3 发包人决定</w:t>
      </w:r>
      <w:r>
        <w:rPr>
          <w:rStyle w:val="63"/>
          <w:rFonts w:hint="eastAsia" w:asciiTheme="minorEastAsia" w:hAnsiTheme="minorEastAsia" w:eastAsiaTheme="minorEastAsia"/>
          <w:color w:val="auto"/>
          <w:sz w:val="24"/>
          <w:szCs w:val="24"/>
          <w:highlight w:val="none"/>
        </w:rPr>
        <w:fldChar w:fldCharType="end"/>
      </w:r>
    </w:p>
    <w:p w14:paraId="701D9C3A">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"_Toc351203513" </w:instrText>
      </w:r>
      <w:r>
        <w:rPr>
          <w:highlight w:val="none"/>
        </w:rPr>
        <w:fldChar w:fldCharType="separate"/>
      </w:r>
      <w:r>
        <w:rPr>
          <w:rStyle w:val="63"/>
          <w:rFonts w:hint="eastAsia" w:asciiTheme="minorEastAsia" w:hAnsiTheme="minorEastAsia" w:eastAsiaTheme="minorEastAsia"/>
          <w:color w:val="auto"/>
          <w:sz w:val="24"/>
          <w:szCs w:val="24"/>
          <w:highlight w:val="none"/>
        </w:rPr>
        <w:t>2.4 支付合同价款</w:t>
      </w:r>
      <w:r>
        <w:rPr>
          <w:rStyle w:val="63"/>
          <w:rFonts w:hint="eastAsia" w:asciiTheme="minorEastAsia" w:hAnsiTheme="minorEastAsia" w:eastAsiaTheme="minorEastAsia"/>
          <w:color w:val="auto"/>
          <w:sz w:val="24"/>
          <w:szCs w:val="24"/>
          <w:highlight w:val="none"/>
        </w:rPr>
        <w:fldChar w:fldCharType="end"/>
      </w:r>
    </w:p>
    <w:p w14:paraId="1BC2DB1D">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"_Toc351203514" </w:instrText>
      </w:r>
      <w:r>
        <w:rPr>
          <w:highlight w:val="none"/>
        </w:rPr>
        <w:fldChar w:fldCharType="separate"/>
      </w:r>
      <w:r>
        <w:rPr>
          <w:rStyle w:val="63"/>
          <w:rFonts w:hint="eastAsia" w:asciiTheme="minorEastAsia" w:hAnsiTheme="minorEastAsia" w:eastAsiaTheme="minorEastAsia"/>
          <w:color w:val="auto"/>
          <w:sz w:val="24"/>
          <w:szCs w:val="24"/>
          <w:highlight w:val="none"/>
        </w:rPr>
        <w:t>2.5 设计文件接收</w:t>
      </w:r>
      <w:r>
        <w:rPr>
          <w:rStyle w:val="63"/>
          <w:rFonts w:hint="eastAsia" w:asciiTheme="minorEastAsia" w:hAnsiTheme="minorEastAsia" w:eastAsiaTheme="minorEastAsia"/>
          <w:color w:val="auto"/>
          <w:sz w:val="24"/>
          <w:szCs w:val="24"/>
          <w:highlight w:val="none"/>
        </w:rPr>
        <w:fldChar w:fldCharType="end"/>
      </w:r>
    </w:p>
    <w:p w14:paraId="5CDC29E3">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"_Toc351203518" </w:instrText>
      </w:r>
      <w:r>
        <w:rPr>
          <w:highlight w:val="none"/>
        </w:rPr>
        <w:fldChar w:fldCharType="separate"/>
      </w:r>
      <w:r>
        <w:rPr>
          <w:rStyle w:val="63"/>
          <w:rFonts w:hint="eastAsia" w:asciiTheme="minorEastAsia" w:hAnsiTheme="minorEastAsia" w:eastAsiaTheme="minorEastAsia"/>
          <w:color w:val="auto"/>
          <w:sz w:val="24"/>
          <w:szCs w:val="24"/>
          <w:highlight w:val="none"/>
        </w:rPr>
        <w:t>3. 设计人</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19</w:t>
      </w:r>
    </w:p>
    <w:p w14:paraId="0D0CFCA6">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"_Toc351203519" </w:instrText>
      </w:r>
      <w:r>
        <w:rPr>
          <w:highlight w:val="none"/>
        </w:rPr>
        <w:fldChar w:fldCharType="separate"/>
      </w:r>
      <w:r>
        <w:rPr>
          <w:rStyle w:val="63"/>
          <w:rFonts w:hint="eastAsia" w:asciiTheme="minorEastAsia" w:hAnsiTheme="minorEastAsia" w:eastAsiaTheme="minorEastAsia"/>
          <w:color w:val="auto"/>
          <w:sz w:val="24"/>
          <w:szCs w:val="24"/>
          <w:highlight w:val="none"/>
        </w:rPr>
        <w:t>3.1 设计人一般义务</w:t>
      </w:r>
      <w:r>
        <w:rPr>
          <w:rStyle w:val="63"/>
          <w:rFonts w:hint="eastAsia" w:asciiTheme="minorEastAsia" w:hAnsiTheme="minorEastAsia" w:eastAsiaTheme="minorEastAsia"/>
          <w:color w:val="auto"/>
          <w:sz w:val="24"/>
          <w:szCs w:val="24"/>
          <w:highlight w:val="none"/>
        </w:rPr>
        <w:fldChar w:fldCharType="end"/>
      </w:r>
    </w:p>
    <w:p w14:paraId="37C370F7">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"_Toc351203520" </w:instrText>
      </w:r>
      <w:r>
        <w:rPr>
          <w:highlight w:val="none"/>
        </w:rPr>
        <w:fldChar w:fldCharType="separate"/>
      </w:r>
      <w:r>
        <w:rPr>
          <w:rStyle w:val="63"/>
          <w:rFonts w:hint="eastAsia" w:asciiTheme="minorEastAsia" w:hAnsiTheme="minorEastAsia" w:eastAsiaTheme="minorEastAsia"/>
          <w:color w:val="auto"/>
          <w:sz w:val="24"/>
          <w:szCs w:val="24"/>
          <w:highlight w:val="none"/>
        </w:rPr>
        <w:t>3.2 项目负责人</w:t>
      </w:r>
      <w:r>
        <w:rPr>
          <w:rStyle w:val="63"/>
          <w:rFonts w:hint="eastAsia" w:asciiTheme="minorEastAsia" w:hAnsiTheme="minorEastAsia" w:eastAsiaTheme="minorEastAsia"/>
          <w:color w:val="auto"/>
          <w:sz w:val="24"/>
          <w:szCs w:val="24"/>
          <w:highlight w:val="none"/>
        </w:rPr>
        <w:fldChar w:fldCharType="end"/>
      </w:r>
    </w:p>
    <w:p w14:paraId="0382DDEF">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"_Toc351203521" </w:instrText>
      </w:r>
      <w:r>
        <w:rPr>
          <w:highlight w:val="none"/>
        </w:rPr>
        <w:fldChar w:fldCharType="separate"/>
      </w:r>
      <w:r>
        <w:rPr>
          <w:rStyle w:val="63"/>
          <w:rFonts w:hint="eastAsia" w:asciiTheme="minorEastAsia" w:hAnsiTheme="minorEastAsia" w:eastAsiaTheme="minorEastAsia"/>
          <w:color w:val="auto"/>
          <w:sz w:val="24"/>
          <w:szCs w:val="24"/>
          <w:highlight w:val="none"/>
        </w:rPr>
        <w:t>3.3 设计人人员</w:t>
      </w:r>
      <w:r>
        <w:rPr>
          <w:rStyle w:val="63"/>
          <w:rFonts w:hint="eastAsia" w:asciiTheme="minorEastAsia" w:hAnsiTheme="minorEastAsia" w:eastAsiaTheme="minorEastAsia"/>
          <w:color w:val="auto"/>
          <w:sz w:val="24"/>
          <w:szCs w:val="24"/>
          <w:highlight w:val="none"/>
        </w:rPr>
        <w:fldChar w:fldCharType="end"/>
      </w:r>
    </w:p>
    <w:p w14:paraId="3C7C8B7C">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"_Toc351203522" </w:instrText>
      </w:r>
      <w:r>
        <w:rPr>
          <w:highlight w:val="none"/>
        </w:rPr>
        <w:fldChar w:fldCharType="separate"/>
      </w:r>
      <w:r>
        <w:rPr>
          <w:rStyle w:val="63"/>
          <w:rFonts w:hint="eastAsia" w:asciiTheme="minorEastAsia" w:hAnsiTheme="minorEastAsia" w:eastAsiaTheme="minorEastAsia"/>
          <w:color w:val="auto"/>
          <w:sz w:val="24"/>
          <w:szCs w:val="24"/>
          <w:highlight w:val="none"/>
        </w:rPr>
        <w:t>3.4 设计分包</w:t>
      </w:r>
      <w:r>
        <w:rPr>
          <w:rStyle w:val="63"/>
          <w:rFonts w:hint="eastAsia" w:asciiTheme="minorEastAsia" w:hAnsiTheme="minorEastAsia" w:eastAsiaTheme="minorEastAsia"/>
          <w:color w:val="auto"/>
          <w:sz w:val="24"/>
          <w:szCs w:val="24"/>
          <w:highlight w:val="none"/>
        </w:rPr>
        <w:fldChar w:fldCharType="end"/>
      </w:r>
    </w:p>
    <w:p w14:paraId="00944940">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"_Toc351203523" </w:instrText>
      </w:r>
      <w:r>
        <w:rPr>
          <w:highlight w:val="none"/>
        </w:rPr>
        <w:fldChar w:fldCharType="separate"/>
      </w:r>
      <w:r>
        <w:rPr>
          <w:rStyle w:val="63"/>
          <w:rFonts w:hint="eastAsia" w:asciiTheme="minorEastAsia" w:hAnsiTheme="minorEastAsia" w:eastAsiaTheme="minorEastAsia"/>
          <w:color w:val="auto"/>
          <w:sz w:val="24"/>
          <w:szCs w:val="24"/>
          <w:highlight w:val="none"/>
        </w:rPr>
        <w:t>3.5 联合体</w:t>
      </w:r>
      <w:r>
        <w:rPr>
          <w:rStyle w:val="63"/>
          <w:rFonts w:hint="eastAsia" w:asciiTheme="minorEastAsia" w:hAnsiTheme="minorEastAsia" w:eastAsiaTheme="minorEastAsia"/>
          <w:color w:val="auto"/>
          <w:sz w:val="24"/>
          <w:szCs w:val="24"/>
          <w:highlight w:val="none"/>
        </w:rPr>
        <w:fldChar w:fldCharType="end"/>
      </w:r>
    </w:p>
    <w:p w14:paraId="60F00A61">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"_Toc351203532" </w:instrText>
      </w:r>
      <w:r>
        <w:rPr>
          <w:highlight w:val="none"/>
        </w:rPr>
        <w:fldChar w:fldCharType="separate"/>
      </w:r>
      <w:r>
        <w:rPr>
          <w:rStyle w:val="63"/>
          <w:rFonts w:hint="eastAsia" w:asciiTheme="minorEastAsia" w:hAnsiTheme="minorEastAsia" w:eastAsiaTheme="minorEastAsia"/>
          <w:color w:val="auto"/>
          <w:sz w:val="24"/>
          <w:szCs w:val="24"/>
          <w:highlight w:val="none"/>
        </w:rPr>
        <w:t>4. 工程设计</w:t>
      </w:r>
      <w:r>
        <w:rPr>
          <w:rStyle w:val="63"/>
          <w:rFonts w:hint="eastAsia" w:asciiTheme="minorEastAsia" w:hAnsiTheme="minorEastAsia" w:eastAsiaTheme="minorEastAsia"/>
          <w:color w:val="auto"/>
          <w:sz w:val="24"/>
          <w:szCs w:val="24"/>
          <w:highlight w:val="none"/>
        </w:rPr>
        <w:fldChar w:fldCharType="end"/>
      </w:r>
      <w:r>
        <w:rPr>
          <w:rStyle w:val="63"/>
          <w:rFonts w:hint="eastAsia" w:asciiTheme="minorEastAsia" w:hAnsiTheme="minorEastAsia" w:eastAsiaTheme="minorEastAsia"/>
          <w:color w:val="auto"/>
          <w:sz w:val="24"/>
          <w:szCs w:val="24"/>
          <w:highlight w:val="none"/>
        </w:rPr>
        <w:t>资料</w:t>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23</w:t>
      </w:r>
    </w:p>
    <w:p w14:paraId="31DB8B18">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"_Toc351203533" </w:instrText>
      </w:r>
      <w:r>
        <w:rPr>
          <w:highlight w:val="none"/>
        </w:rPr>
        <w:fldChar w:fldCharType="separate"/>
      </w:r>
      <w:r>
        <w:rPr>
          <w:rStyle w:val="63"/>
          <w:rFonts w:hint="eastAsia" w:asciiTheme="minorEastAsia" w:hAnsiTheme="minorEastAsia" w:eastAsiaTheme="minorEastAsia"/>
          <w:color w:val="auto"/>
          <w:sz w:val="24"/>
          <w:szCs w:val="24"/>
          <w:highlight w:val="none"/>
        </w:rPr>
        <w:t>4.1 提供工程设计资料</w:t>
      </w:r>
      <w:r>
        <w:rPr>
          <w:rStyle w:val="63"/>
          <w:rFonts w:hint="eastAsia" w:asciiTheme="minorEastAsia" w:hAnsiTheme="minorEastAsia" w:eastAsiaTheme="minorEastAsia"/>
          <w:color w:val="auto"/>
          <w:sz w:val="24"/>
          <w:szCs w:val="24"/>
          <w:highlight w:val="none"/>
        </w:rPr>
        <w:fldChar w:fldCharType="end"/>
      </w:r>
    </w:p>
    <w:p w14:paraId="5F235D27">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"_Toc351203534" </w:instrText>
      </w:r>
      <w:r>
        <w:rPr>
          <w:highlight w:val="none"/>
        </w:rPr>
        <w:fldChar w:fldCharType="separate"/>
      </w:r>
      <w:r>
        <w:rPr>
          <w:rStyle w:val="63"/>
          <w:rFonts w:hint="eastAsia" w:asciiTheme="minorEastAsia" w:hAnsiTheme="minorEastAsia" w:eastAsiaTheme="minorEastAsia"/>
          <w:color w:val="auto"/>
          <w:sz w:val="24"/>
          <w:szCs w:val="24"/>
          <w:highlight w:val="none"/>
        </w:rPr>
        <w:t>4.2 逾期提供的责任</w:t>
      </w:r>
      <w:r>
        <w:rPr>
          <w:rStyle w:val="63"/>
          <w:rFonts w:hint="eastAsia" w:asciiTheme="minorEastAsia" w:hAnsiTheme="minorEastAsia" w:eastAsiaTheme="minorEastAsia"/>
          <w:color w:val="auto"/>
          <w:sz w:val="24"/>
          <w:szCs w:val="24"/>
          <w:highlight w:val="none"/>
        </w:rPr>
        <w:fldChar w:fldCharType="end"/>
      </w:r>
    </w:p>
    <w:p w14:paraId="7AD50535">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"_Toc351203538" </w:instrText>
      </w:r>
      <w:r>
        <w:rPr>
          <w:highlight w:val="none"/>
        </w:rPr>
        <w:fldChar w:fldCharType="separate"/>
      </w:r>
      <w:r>
        <w:rPr>
          <w:rStyle w:val="63"/>
          <w:rFonts w:hint="eastAsia" w:asciiTheme="minorEastAsia" w:hAnsiTheme="minorEastAsia" w:eastAsiaTheme="minorEastAsia"/>
          <w:color w:val="auto"/>
          <w:sz w:val="24"/>
          <w:szCs w:val="24"/>
          <w:highlight w:val="none"/>
        </w:rPr>
        <w:t>5. 工程设计要求</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24</w:t>
      </w:r>
    </w:p>
    <w:p w14:paraId="18E89727">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"_Toc351203539" </w:instrText>
      </w:r>
      <w:r>
        <w:rPr>
          <w:highlight w:val="none"/>
        </w:rPr>
        <w:fldChar w:fldCharType="separate"/>
      </w:r>
      <w:r>
        <w:rPr>
          <w:rStyle w:val="63"/>
          <w:rFonts w:hint="eastAsia" w:asciiTheme="minorEastAsia" w:hAnsiTheme="minorEastAsia" w:eastAsiaTheme="minorEastAsia"/>
          <w:color w:val="auto"/>
          <w:sz w:val="24"/>
          <w:szCs w:val="24"/>
          <w:highlight w:val="none"/>
        </w:rPr>
        <w:t>5.1 工程设计一般要求</w:t>
      </w:r>
      <w:r>
        <w:rPr>
          <w:rStyle w:val="63"/>
          <w:rFonts w:hint="eastAsia" w:asciiTheme="minorEastAsia" w:hAnsiTheme="minorEastAsia" w:eastAsiaTheme="minorEastAsia"/>
          <w:color w:val="auto"/>
          <w:sz w:val="24"/>
          <w:szCs w:val="24"/>
          <w:highlight w:val="none"/>
        </w:rPr>
        <w:fldChar w:fldCharType="end"/>
      </w:r>
    </w:p>
    <w:p w14:paraId="1A7A95AB">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"_Toc351203540" </w:instrText>
      </w:r>
      <w:r>
        <w:rPr>
          <w:highlight w:val="none"/>
        </w:rPr>
        <w:fldChar w:fldCharType="separate"/>
      </w:r>
      <w:r>
        <w:rPr>
          <w:rStyle w:val="63"/>
          <w:rFonts w:hint="eastAsia" w:asciiTheme="minorEastAsia" w:hAnsiTheme="minorEastAsia" w:eastAsiaTheme="minorEastAsia"/>
          <w:color w:val="auto"/>
          <w:sz w:val="24"/>
          <w:szCs w:val="24"/>
          <w:highlight w:val="none"/>
        </w:rPr>
        <w:t>5.2 工程设计保证措施</w:t>
      </w:r>
      <w:r>
        <w:rPr>
          <w:rStyle w:val="63"/>
          <w:rFonts w:hint="eastAsia" w:asciiTheme="minorEastAsia" w:hAnsiTheme="minorEastAsia" w:eastAsiaTheme="minorEastAsia"/>
          <w:color w:val="auto"/>
          <w:sz w:val="24"/>
          <w:szCs w:val="24"/>
          <w:highlight w:val="none"/>
        </w:rPr>
        <w:fldChar w:fldCharType="end"/>
      </w:r>
    </w:p>
    <w:p w14:paraId="51320421">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"_Toc351203541" </w:instrText>
      </w:r>
      <w:r>
        <w:rPr>
          <w:highlight w:val="none"/>
        </w:rPr>
        <w:fldChar w:fldCharType="separate"/>
      </w:r>
      <w:r>
        <w:rPr>
          <w:rStyle w:val="63"/>
          <w:rFonts w:hint="eastAsia" w:asciiTheme="minorEastAsia" w:hAnsiTheme="minorEastAsia" w:eastAsiaTheme="minorEastAsia"/>
          <w:color w:val="auto"/>
          <w:sz w:val="24"/>
          <w:szCs w:val="24"/>
          <w:highlight w:val="none"/>
        </w:rPr>
        <w:t>5.3 工程设计文件的要求</w:t>
      </w:r>
      <w:r>
        <w:rPr>
          <w:rStyle w:val="63"/>
          <w:rFonts w:hint="eastAsia" w:asciiTheme="minorEastAsia" w:hAnsiTheme="minorEastAsia" w:eastAsiaTheme="minorEastAsia"/>
          <w:color w:val="auto"/>
          <w:sz w:val="24"/>
          <w:szCs w:val="24"/>
          <w:highlight w:val="none"/>
        </w:rPr>
        <w:fldChar w:fldCharType="end"/>
      </w:r>
    </w:p>
    <w:p w14:paraId="75ED7CAF">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"_Toc351203541" </w:instrText>
      </w:r>
      <w:r>
        <w:rPr>
          <w:highlight w:val="none"/>
        </w:rPr>
        <w:fldChar w:fldCharType="separate"/>
      </w:r>
      <w:r>
        <w:rPr>
          <w:rStyle w:val="63"/>
          <w:rFonts w:hint="eastAsia" w:asciiTheme="minorEastAsia" w:hAnsiTheme="minorEastAsia" w:eastAsiaTheme="minorEastAsia"/>
          <w:color w:val="auto"/>
          <w:sz w:val="24"/>
          <w:szCs w:val="24"/>
          <w:highlight w:val="none"/>
        </w:rPr>
        <w:t>5.4 不合格工程设计文件的处理</w:t>
      </w:r>
      <w:r>
        <w:rPr>
          <w:rStyle w:val="63"/>
          <w:rFonts w:hint="eastAsia" w:asciiTheme="minorEastAsia" w:hAnsiTheme="minorEastAsia" w:eastAsiaTheme="minorEastAsia"/>
          <w:color w:val="auto"/>
          <w:sz w:val="24"/>
          <w:szCs w:val="24"/>
          <w:highlight w:val="none"/>
        </w:rPr>
        <w:fldChar w:fldCharType="end"/>
      </w:r>
    </w:p>
    <w:p w14:paraId="271A0253">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"_Toc351203542" </w:instrText>
      </w:r>
      <w:r>
        <w:rPr>
          <w:highlight w:val="none"/>
        </w:rPr>
        <w:fldChar w:fldCharType="separate"/>
      </w:r>
      <w:r>
        <w:rPr>
          <w:rStyle w:val="63"/>
          <w:rFonts w:hint="eastAsia" w:asciiTheme="minorEastAsia" w:hAnsiTheme="minorEastAsia" w:eastAsiaTheme="minorEastAsia"/>
          <w:color w:val="auto"/>
          <w:sz w:val="24"/>
          <w:szCs w:val="24"/>
          <w:highlight w:val="none"/>
        </w:rPr>
        <w:t>6. 工程设计进度与周期</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27</w:t>
      </w:r>
    </w:p>
    <w:p w14:paraId="3CF9BFCE">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"_Toc351203543" </w:instrText>
      </w:r>
      <w:r>
        <w:rPr>
          <w:highlight w:val="none"/>
        </w:rPr>
        <w:fldChar w:fldCharType="separate"/>
      </w:r>
      <w:r>
        <w:rPr>
          <w:rStyle w:val="63"/>
          <w:rFonts w:hint="eastAsia" w:asciiTheme="minorEastAsia" w:hAnsiTheme="minorEastAsia" w:eastAsiaTheme="minorEastAsia"/>
          <w:color w:val="auto"/>
          <w:sz w:val="24"/>
          <w:szCs w:val="24"/>
          <w:highlight w:val="none"/>
        </w:rPr>
        <w:t>6.1 工程设计进度计划</w:t>
      </w:r>
      <w:r>
        <w:rPr>
          <w:rStyle w:val="63"/>
          <w:rFonts w:hint="eastAsia" w:asciiTheme="minorEastAsia" w:hAnsiTheme="minorEastAsia" w:eastAsiaTheme="minorEastAsia"/>
          <w:color w:val="auto"/>
          <w:sz w:val="24"/>
          <w:szCs w:val="24"/>
          <w:highlight w:val="none"/>
        </w:rPr>
        <w:fldChar w:fldCharType="end"/>
      </w:r>
    </w:p>
    <w:p w14:paraId="6D7289AA">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"_Toc351203544" </w:instrText>
      </w:r>
      <w:r>
        <w:rPr>
          <w:highlight w:val="none"/>
        </w:rPr>
        <w:fldChar w:fldCharType="separate"/>
      </w:r>
      <w:r>
        <w:rPr>
          <w:rStyle w:val="63"/>
          <w:rFonts w:hint="eastAsia" w:asciiTheme="minorEastAsia" w:hAnsiTheme="minorEastAsia" w:eastAsiaTheme="minorEastAsia"/>
          <w:color w:val="auto"/>
          <w:sz w:val="24"/>
          <w:szCs w:val="24"/>
          <w:highlight w:val="none"/>
        </w:rPr>
        <w:t>6.2 工程设计开始</w:t>
      </w:r>
      <w:r>
        <w:rPr>
          <w:rStyle w:val="63"/>
          <w:rFonts w:hint="eastAsia" w:asciiTheme="minorEastAsia" w:hAnsiTheme="minorEastAsia" w:eastAsiaTheme="minorEastAsia"/>
          <w:color w:val="auto"/>
          <w:sz w:val="24"/>
          <w:szCs w:val="24"/>
          <w:highlight w:val="none"/>
        </w:rPr>
        <w:fldChar w:fldCharType="end"/>
      </w:r>
    </w:p>
    <w:p w14:paraId="3D4000A2">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"_Toc351203545" </w:instrText>
      </w:r>
      <w:r>
        <w:rPr>
          <w:highlight w:val="none"/>
        </w:rPr>
        <w:fldChar w:fldCharType="separate"/>
      </w:r>
      <w:r>
        <w:rPr>
          <w:rStyle w:val="63"/>
          <w:rFonts w:hint="eastAsia" w:asciiTheme="minorEastAsia" w:hAnsiTheme="minorEastAsia" w:eastAsiaTheme="minorEastAsia"/>
          <w:color w:val="auto"/>
          <w:sz w:val="24"/>
          <w:szCs w:val="24"/>
          <w:highlight w:val="none"/>
        </w:rPr>
        <w:t>6.3 工程设计进度延误</w:t>
      </w:r>
      <w:r>
        <w:rPr>
          <w:rStyle w:val="63"/>
          <w:rFonts w:hint="eastAsia" w:asciiTheme="minorEastAsia" w:hAnsiTheme="minorEastAsia" w:eastAsiaTheme="minorEastAsia"/>
          <w:color w:val="auto"/>
          <w:sz w:val="24"/>
          <w:szCs w:val="24"/>
          <w:highlight w:val="none"/>
        </w:rPr>
        <w:fldChar w:fldCharType="end"/>
      </w:r>
    </w:p>
    <w:p w14:paraId="652FB72B">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"_Toc351203546" </w:instrText>
      </w:r>
      <w:r>
        <w:rPr>
          <w:highlight w:val="none"/>
        </w:rPr>
        <w:fldChar w:fldCharType="separate"/>
      </w:r>
      <w:r>
        <w:rPr>
          <w:rStyle w:val="63"/>
          <w:rFonts w:hint="eastAsia" w:asciiTheme="minorEastAsia" w:hAnsiTheme="minorEastAsia" w:eastAsiaTheme="minorEastAsia"/>
          <w:color w:val="auto"/>
          <w:sz w:val="24"/>
          <w:szCs w:val="24"/>
          <w:highlight w:val="none"/>
        </w:rPr>
        <w:t>6.4 暂停设计</w:t>
      </w:r>
      <w:r>
        <w:rPr>
          <w:rStyle w:val="63"/>
          <w:rFonts w:hint="eastAsia" w:asciiTheme="minorEastAsia" w:hAnsiTheme="minorEastAsia" w:eastAsiaTheme="minorEastAsia"/>
          <w:color w:val="auto"/>
          <w:sz w:val="24"/>
          <w:szCs w:val="24"/>
          <w:highlight w:val="none"/>
        </w:rPr>
        <w:fldChar w:fldCharType="end"/>
      </w:r>
    </w:p>
    <w:p w14:paraId="4876F556">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"_Toc351203547" </w:instrText>
      </w:r>
      <w:r>
        <w:rPr>
          <w:highlight w:val="none"/>
        </w:rPr>
        <w:fldChar w:fldCharType="separate"/>
      </w:r>
      <w:r>
        <w:rPr>
          <w:rStyle w:val="63"/>
          <w:rFonts w:hint="eastAsia" w:asciiTheme="minorEastAsia" w:hAnsiTheme="minorEastAsia" w:eastAsiaTheme="minorEastAsia"/>
          <w:color w:val="auto"/>
          <w:sz w:val="24"/>
          <w:szCs w:val="24"/>
          <w:highlight w:val="none"/>
        </w:rPr>
        <w:t>6.5 提前交付工程设计文件</w:t>
      </w:r>
      <w:r>
        <w:rPr>
          <w:rStyle w:val="63"/>
          <w:rFonts w:hint="eastAsia" w:asciiTheme="minorEastAsia" w:hAnsiTheme="minorEastAsia" w:eastAsiaTheme="minorEastAsia"/>
          <w:color w:val="auto"/>
          <w:sz w:val="24"/>
          <w:szCs w:val="24"/>
          <w:highlight w:val="none"/>
        </w:rPr>
        <w:fldChar w:fldCharType="end"/>
      </w:r>
    </w:p>
    <w:p w14:paraId="49BE7241">
      <w:pPr>
        <w:pStyle w:val="39"/>
        <w:tabs>
          <w:tab w:val="right" w:leader="middleDot" w:pos="8400"/>
        </w:tabs>
        <w:spacing w:line="360" w:lineRule="auto"/>
        <w:ind w:firstLine="240" w:firstLineChars="1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7</w:t>
      </w:r>
      <w:r>
        <w:rPr>
          <w:highlight w:val="none"/>
        </w:rPr>
        <w:fldChar w:fldCharType="begin"/>
      </w:r>
      <w:r>
        <w:rPr>
          <w:highlight w:val="none"/>
        </w:rPr>
        <w:instrText xml:space="preserve"> HYPERLINK \l "_Toc351203562" </w:instrText>
      </w:r>
      <w:r>
        <w:rPr>
          <w:highlight w:val="none"/>
        </w:rPr>
        <w:fldChar w:fldCharType="separate"/>
      </w:r>
      <w:r>
        <w:rPr>
          <w:rStyle w:val="63"/>
          <w:rFonts w:hint="eastAsia" w:asciiTheme="minorEastAsia" w:hAnsiTheme="minorEastAsia" w:eastAsiaTheme="minorEastAsia"/>
          <w:color w:val="auto"/>
          <w:sz w:val="24"/>
          <w:szCs w:val="24"/>
          <w:highlight w:val="none"/>
        </w:rPr>
        <w:t>. 工程设计文件交付</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31</w:t>
      </w:r>
    </w:p>
    <w:p w14:paraId="330CCBA7">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"_Toc351203562" </w:instrText>
      </w:r>
      <w:r>
        <w:rPr>
          <w:highlight w:val="none"/>
        </w:rPr>
        <w:fldChar w:fldCharType="separate"/>
      </w:r>
      <w:r>
        <w:rPr>
          <w:rStyle w:val="63"/>
          <w:rFonts w:hint="eastAsia" w:asciiTheme="minorEastAsia" w:hAnsiTheme="minorEastAsia" w:eastAsiaTheme="minorEastAsia"/>
          <w:color w:val="auto"/>
          <w:sz w:val="24"/>
          <w:szCs w:val="24"/>
          <w:highlight w:val="none"/>
        </w:rPr>
        <w:t>8. 工程设计文件审查</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32</w:t>
      </w:r>
    </w:p>
    <w:p w14:paraId="35010201">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"_Toc351203562" </w:instrText>
      </w:r>
      <w:r>
        <w:rPr>
          <w:highlight w:val="none"/>
        </w:rPr>
        <w:fldChar w:fldCharType="separate"/>
      </w:r>
      <w:r>
        <w:rPr>
          <w:rStyle w:val="63"/>
          <w:rFonts w:hint="eastAsia" w:asciiTheme="minorEastAsia" w:hAnsiTheme="minorEastAsia" w:eastAsiaTheme="minorEastAsia"/>
          <w:color w:val="auto"/>
          <w:sz w:val="24"/>
          <w:szCs w:val="24"/>
          <w:highlight w:val="none"/>
        </w:rPr>
        <w:t>9. 施工现场配合服务</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34</w:t>
      </w:r>
    </w:p>
    <w:p w14:paraId="4944368F">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"_Toc351203562" </w:instrText>
      </w:r>
      <w:r>
        <w:rPr>
          <w:highlight w:val="none"/>
        </w:rPr>
        <w:fldChar w:fldCharType="separate"/>
      </w:r>
      <w:r>
        <w:rPr>
          <w:rStyle w:val="63"/>
          <w:rFonts w:hint="eastAsia" w:asciiTheme="minorEastAsia" w:hAnsiTheme="minorEastAsia" w:eastAsiaTheme="minorEastAsia"/>
          <w:color w:val="auto"/>
          <w:sz w:val="24"/>
          <w:szCs w:val="24"/>
          <w:highlight w:val="none"/>
        </w:rPr>
        <w:t>10. 合同价款与支付</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34</w:t>
      </w:r>
    </w:p>
    <w:p w14:paraId="64987F77">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"_Toc351203546" </w:instrText>
      </w:r>
      <w:r>
        <w:rPr>
          <w:highlight w:val="none"/>
        </w:rPr>
        <w:fldChar w:fldCharType="separate"/>
      </w:r>
      <w:r>
        <w:rPr>
          <w:rStyle w:val="63"/>
          <w:rFonts w:hint="eastAsia" w:asciiTheme="minorEastAsia" w:hAnsiTheme="minorEastAsia" w:eastAsiaTheme="minorEastAsia"/>
          <w:color w:val="auto"/>
          <w:sz w:val="24"/>
          <w:szCs w:val="24"/>
          <w:highlight w:val="none"/>
        </w:rPr>
        <w:t>10.1 合同价款组成</w:t>
      </w:r>
      <w:r>
        <w:rPr>
          <w:rStyle w:val="63"/>
          <w:rFonts w:hint="eastAsia" w:asciiTheme="minorEastAsia" w:hAnsiTheme="minorEastAsia" w:eastAsiaTheme="minorEastAsia"/>
          <w:color w:val="auto"/>
          <w:sz w:val="24"/>
          <w:szCs w:val="24"/>
          <w:highlight w:val="none"/>
        </w:rPr>
        <w:fldChar w:fldCharType="end"/>
      </w:r>
    </w:p>
    <w:p w14:paraId="5A75AFD1">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"_Toc351203546" </w:instrText>
      </w:r>
      <w:r>
        <w:rPr>
          <w:highlight w:val="none"/>
        </w:rPr>
        <w:fldChar w:fldCharType="separate"/>
      </w:r>
      <w:r>
        <w:rPr>
          <w:rStyle w:val="63"/>
          <w:rFonts w:hint="eastAsia" w:asciiTheme="minorEastAsia" w:hAnsiTheme="minorEastAsia" w:eastAsiaTheme="minorEastAsia"/>
          <w:color w:val="auto"/>
          <w:sz w:val="24"/>
          <w:szCs w:val="24"/>
          <w:highlight w:val="none"/>
        </w:rPr>
        <w:t>10.2 合同价格形式</w:t>
      </w:r>
      <w:bookmarkStart w:id="3" w:name="_Hlt370150699"/>
      <w:bookmarkEnd w:id="3"/>
      <w:bookmarkStart w:id="4" w:name="_Hlt370150698"/>
      <w:bookmarkEnd w:id="4"/>
      <w:r>
        <w:rPr>
          <w:rStyle w:val="63"/>
          <w:rFonts w:hint="eastAsia" w:asciiTheme="minorEastAsia" w:hAnsiTheme="minorEastAsia" w:eastAsiaTheme="minorEastAsia"/>
          <w:color w:val="auto"/>
          <w:sz w:val="24"/>
          <w:szCs w:val="24"/>
          <w:highlight w:val="none"/>
        </w:rPr>
        <w:fldChar w:fldCharType="end"/>
      </w:r>
    </w:p>
    <w:p w14:paraId="35AE9CB6">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"_Toc351203546" </w:instrText>
      </w:r>
      <w:r>
        <w:rPr>
          <w:highlight w:val="none"/>
        </w:rPr>
        <w:fldChar w:fldCharType="separate"/>
      </w:r>
      <w:r>
        <w:rPr>
          <w:rStyle w:val="63"/>
          <w:rFonts w:hint="eastAsia" w:asciiTheme="minorEastAsia" w:hAnsiTheme="minorEastAsia" w:eastAsiaTheme="minorEastAsia"/>
          <w:color w:val="auto"/>
          <w:sz w:val="24"/>
          <w:szCs w:val="24"/>
          <w:highlight w:val="none"/>
        </w:rPr>
        <w:t>10.3 定金</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或预付款</w:t>
      </w:r>
    </w:p>
    <w:p w14:paraId="0BAD781F">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"_Toc351203546" </w:instrText>
      </w:r>
      <w:r>
        <w:rPr>
          <w:highlight w:val="none"/>
        </w:rPr>
        <w:fldChar w:fldCharType="separate"/>
      </w:r>
      <w:r>
        <w:rPr>
          <w:rStyle w:val="63"/>
          <w:rFonts w:hint="eastAsia" w:asciiTheme="minorEastAsia" w:hAnsiTheme="minorEastAsia" w:eastAsiaTheme="minorEastAsia"/>
          <w:color w:val="auto"/>
          <w:sz w:val="24"/>
          <w:szCs w:val="24"/>
          <w:highlight w:val="none"/>
        </w:rPr>
        <w:t>10.4 进度款支付</w:t>
      </w:r>
      <w:r>
        <w:rPr>
          <w:rStyle w:val="63"/>
          <w:rFonts w:hint="eastAsia" w:asciiTheme="minorEastAsia" w:hAnsiTheme="minorEastAsia" w:eastAsiaTheme="minorEastAsia"/>
          <w:color w:val="auto"/>
          <w:sz w:val="24"/>
          <w:szCs w:val="24"/>
          <w:highlight w:val="none"/>
        </w:rPr>
        <w:fldChar w:fldCharType="end"/>
      </w:r>
    </w:p>
    <w:p w14:paraId="17758D05">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"_Toc351203546" </w:instrText>
      </w:r>
      <w:r>
        <w:rPr>
          <w:highlight w:val="none"/>
        </w:rPr>
        <w:fldChar w:fldCharType="separate"/>
      </w:r>
      <w:r>
        <w:rPr>
          <w:rStyle w:val="63"/>
          <w:rFonts w:hint="eastAsia" w:asciiTheme="minorEastAsia" w:hAnsiTheme="minorEastAsia" w:eastAsiaTheme="minorEastAsia"/>
          <w:color w:val="auto"/>
          <w:sz w:val="24"/>
          <w:szCs w:val="24"/>
          <w:highlight w:val="none"/>
        </w:rPr>
        <w:t>10.5 合同价款的结算与支付</w:t>
      </w:r>
      <w:r>
        <w:rPr>
          <w:rStyle w:val="63"/>
          <w:rFonts w:hint="eastAsia" w:asciiTheme="minorEastAsia" w:hAnsiTheme="minorEastAsia" w:eastAsiaTheme="minorEastAsia"/>
          <w:color w:val="auto"/>
          <w:sz w:val="24"/>
          <w:szCs w:val="24"/>
          <w:highlight w:val="none"/>
        </w:rPr>
        <w:fldChar w:fldCharType="end"/>
      </w:r>
    </w:p>
    <w:p w14:paraId="211DF933">
      <w:pPr>
        <w:pStyle w:val="28"/>
        <w:tabs>
          <w:tab w:val="right" w:leader="middleDot" w:pos="8400"/>
        </w:tabs>
        <w:spacing w:line="360" w:lineRule="auto"/>
        <w:ind w:firstLine="210" w:firstLineChars="100"/>
        <w:rPr>
          <w:rStyle w:val="63"/>
          <w:rFonts w:asciiTheme="minorEastAsia" w:hAnsiTheme="minorEastAsia" w:eastAsiaTheme="minorEastAsia"/>
          <w:color w:val="auto"/>
          <w:sz w:val="24"/>
          <w:szCs w:val="24"/>
          <w:highlight w:val="none"/>
        </w:rPr>
      </w:pPr>
      <w:r>
        <w:rPr>
          <w:highlight w:val="none"/>
        </w:rPr>
        <w:fldChar w:fldCharType="begin"/>
      </w:r>
      <w:r>
        <w:rPr>
          <w:highlight w:val="none"/>
        </w:rPr>
        <w:instrText xml:space="preserve"> HYPERLINK \l "_Toc351203546" </w:instrText>
      </w:r>
      <w:r>
        <w:rPr>
          <w:highlight w:val="none"/>
        </w:rPr>
        <w:fldChar w:fldCharType="separate"/>
      </w:r>
      <w:r>
        <w:rPr>
          <w:rStyle w:val="63"/>
          <w:rFonts w:hint="eastAsia" w:asciiTheme="minorEastAsia" w:hAnsiTheme="minorEastAsia" w:eastAsiaTheme="minorEastAsia"/>
          <w:color w:val="auto"/>
          <w:sz w:val="24"/>
          <w:szCs w:val="24"/>
          <w:highlight w:val="none"/>
        </w:rPr>
        <w:t>10.6 支付账户</w:t>
      </w:r>
      <w:r>
        <w:rPr>
          <w:rStyle w:val="63"/>
          <w:rFonts w:hint="eastAsia" w:asciiTheme="minorEastAsia" w:hAnsiTheme="minorEastAsia" w:eastAsiaTheme="minorEastAsia"/>
          <w:color w:val="auto"/>
          <w:sz w:val="24"/>
          <w:szCs w:val="24"/>
          <w:highlight w:val="none"/>
        </w:rPr>
        <w:fldChar w:fldCharType="end"/>
      </w:r>
    </w:p>
    <w:p w14:paraId="0E36DAB0">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"_Toc351203567" </w:instrText>
      </w:r>
      <w:r>
        <w:rPr>
          <w:highlight w:val="none"/>
        </w:rPr>
        <w:fldChar w:fldCharType="separate"/>
      </w:r>
      <w:r>
        <w:rPr>
          <w:rStyle w:val="63"/>
          <w:rFonts w:hint="eastAsia" w:asciiTheme="minorEastAsia" w:hAnsiTheme="minorEastAsia" w:eastAsiaTheme="minorEastAsia"/>
          <w:color w:val="auto"/>
          <w:sz w:val="24"/>
          <w:szCs w:val="24"/>
          <w:highlight w:val="none"/>
        </w:rPr>
        <w:t>11. 工程设计变更与索赔</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37</w:t>
      </w:r>
    </w:p>
    <w:p w14:paraId="5C8697FB">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"_Toc351203577" </w:instrText>
      </w:r>
      <w:r>
        <w:rPr>
          <w:highlight w:val="none"/>
        </w:rPr>
        <w:fldChar w:fldCharType="separate"/>
      </w:r>
      <w:r>
        <w:rPr>
          <w:rStyle w:val="63"/>
          <w:rFonts w:hint="eastAsia" w:asciiTheme="minorEastAsia" w:hAnsiTheme="minorEastAsia" w:eastAsiaTheme="minorEastAsia"/>
          <w:color w:val="auto"/>
          <w:sz w:val="24"/>
          <w:szCs w:val="24"/>
          <w:highlight w:val="none"/>
        </w:rPr>
        <w:t>12. 专业责任与保险</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38</w:t>
      </w:r>
    </w:p>
    <w:p w14:paraId="2FE6E782">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"_Toc351203580" </w:instrText>
      </w:r>
      <w:r>
        <w:rPr>
          <w:highlight w:val="none"/>
        </w:rPr>
        <w:fldChar w:fldCharType="separate"/>
      </w:r>
      <w:r>
        <w:rPr>
          <w:rStyle w:val="63"/>
          <w:rFonts w:hint="eastAsia" w:asciiTheme="minorEastAsia" w:hAnsiTheme="minorEastAsia" w:eastAsiaTheme="minorEastAsia"/>
          <w:color w:val="auto"/>
          <w:sz w:val="24"/>
          <w:szCs w:val="24"/>
          <w:highlight w:val="none"/>
        </w:rPr>
        <w:t>13. 知识产权</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39</w:t>
      </w:r>
    </w:p>
    <w:p w14:paraId="63C2CD8B">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"_Toc351203603" </w:instrText>
      </w:r>
      <w:r>
        <w:rPr>
          <w:highlight w:val="none"/>
        </w:rPr>
        <w:fldChar w:fldCharType="separate"/>
      </w:r>
      <w:r>
        <w:rPr>
          <w:rStyle w:val="63"/>
          <w:rFonts w:hint="eastAsia" w:asciiTheme="minorEastAsia" w:hAnsiTheme="minorEastAsia" w:eastAsiaTheme="minorEastAsia"/>
          <w:color w:val="auto"/>
          <w:sz w:val="24"/>
          <w:szCs w:val="24"/>
          <w:highlight w:val="none"/>
        </w:rPr>
        <w:t>14. 违约责任</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40</w:t>
      </w:r>
    </w:p>
    <w:p w14:paraId="2A76996F">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"_Toc351203604" </w:instrText>
      </w:r>
      <w:r>
        <w:rPr>
          <w:highlight w:val="none"/>
        </w:rPr>
        <w:fldChar w:fldCharType="separate"/>
      </w:r>
      <w:r>
        <w:rPr>
          <w:rStyle w:val="63"/>
          <w:rFonts w:hint="eastAsia" w:asciiTheme="minorEastAsia" w:hAnsiTheme="minorEastAsia" w:eastAsiaTheme="minorEastAsia"/>
          <w:color w:val="auto"/>
          <w:sz w:val="24"/>
          <w:szCs w:val="24"/>
          <w:highlight w:val="none"/>
        </w:rPr>
        <w:t>14.1 发包人违约责任</w:t>
      </w:r>
      <w:r>
        <w:rPr>
          <w:rStyle w:val="63"/>
          <w:rFonts w:hint="eastAsia" w:asciiTheme="minorEastAsia" w:hAnsiTheme="minorEastAsia" w:eastAsiaTheme="minorEastAsia"/>
          <w:color w:val="auto"/>
          <w:sz w:val="24"/>
          <w:szCs w:val="24"/>
          <w:highlight w:val="none"/>
        </w:rPr>
        <w:fldChar w:fldCharType="end"/>
      </w:r>
    </w:p>
    <w:p w14:paraId="75BAB3CE">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"_Toc351203605" </w:instrText>
      </w:r>
      <w:r>
        <w:rPr>
          <w:highlight w:val="none"/>
        </w:rPr>
        <w:fldChar w:fldCharType="separate"/>
      </w:r>
      <w:r>
        <w:rPr>
          <w:rStyle w:val="63"/>
          <w:rFonts w:hint="eastAsia" w:asciiTheme="minorEastAsia" w:hAnsiTheme="minorEastAsia" w:eastAsiaTheme="minorEastAsia"/>
          <w:color w:val="auto"/>
          <w:sz w:val="24"/>
          <w:szCs w:val="24"/>
          <w:highlight w:val="none"/>
        </w:rPr>
        <w:t>14.2 设计人违约责任</w:t>
      </w:r>
      <w:r>
        <w:rPr>
          <w:rStyle w:val="63"/>
          <w:rFonts w:hint="eastAsia" w:asciiTheme="minorEastAsia" w:hAnsiTheme="minorEastAsia" w:eastAsiaTheme="minorEastAsia"/>
          <w:color w:val="auto"/>
          <w:sz w:val="24"/>
          <w:szCs w:val="24"/>
          <w:highlight w:val="none"/>
        </w:rPr>
        <w:fldChar w:fldCharType="end"/>
      </w:r>
    </w:p>
    <w:p w14:paraId="7A20425F">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"_Toc351203607" </w:instrText>
      </w:r>
      <w:r>
        <w:rPr>
          <w:highlight w:val="none"/>
        </w:rPr>
        <w:fldChar w:fldCharType="separate"/>
      </w:r>
      <w:r>
        <w:rPr>
          <w:rStyle w:val="63"/>
          <w:rFonts w:hint="eastAsia" w:asciiTheme="minorEastAsia" w:hAnsiTheme="minorEastAsia" w:eastAsiaTheme="minorEastAsia"/>
          <w:color w:val="auto"/>
          <w:sz w:val="24"/>
          <w:szCs w:val="24"/>
          <w:highlight w:val="none"/>
        </w:rPr>
        <w:t>15. 不可抗力</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41</w:t>
      </w:r>
    </w:p>
    <w:p w14:paraId="34E8F1FA">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"_Toc351203608" </w:instrText>
      </w:r>
      <w:r>
        <w:rPr>
          <w:highlight w:val="none"/>
        </w:rPr>
        <w:fldChar w:fldCharType="separate"/>
      </w:r>
      <w:r>
        <w:rPr>
          <w:rStyle w:val="63"/>
          <w:rFonts w:hint="eastAsia" w:asciiTheme="minorEastAsia" w:hAnsiTheme="minorEastAsia" w:eastAsiaTheme="minorEastAsia"/>
          <w:color w:val="auto"/>
          <w:sz w:val="24"/>
          <w:szCs w:val="24"/>
          <w:highlight w:val="none"/>
        </w:rPr>
        <w:t>15.1 不可抗力的确认</w:t>
      </w:r>
      <w:r>
        <w:rPr>
          <w:rStyle w:val="63"/>
          <w:rFonts w:hint="eastAsia" w:asciiTheme="minorEastAsia" w:hAnsiTheme="minorEastAsia" w:eastAsiaTheme="minorEastAsia"/>
          <w:color w:val="auto"/>
          <w:sz w:val="24"/>
          <w:szCs w:val="24"/>
          <w:highlight w:val="none"/>
        </w:rPr>
        <w:fldChar w:fldCharType="end"/>
      </w:r>
    </w:p>
    <w:p w14:paraId="4D23E578">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"_Toc351203609" </w:instrText>
      </w:r>
      <w:r>
        <w:rPr>
          <w:highlight w:val="none"/>
        </w:rPr>
        <w:fldChar w:fldCharType="separate"/>
      </w:r>
      <w:r>
        <w:rPr>
          <w:rStyle w:val="63"/>
          <w:rFonts w:hint="eastAsia" w:asciiTheme="minorEastAsia" w:hAnsiTheme="minorEastAsia" w:eastAsiaTheme="minorEastAsia"/>
          <w:color w:val="auto"/>
          <w:sz w:val="24"/>
          <w:szCs w:val="24"/>
          <w:highlight w:val="none"/>
        </w:rPr>
        <w:t>15.2 不可抗力的通知</w:t>
      </w:r>
      <w:r>
        <w:rPr>
          <w:rStyle w:val="63"/>
          <w:rFonts w:hint="eastAsia" w:asciiTheme="minorEastAsia" w:hAnsiTheme="minorEastAsia" w:eastAsiaTheme="minorEastAsia"/>
          <w:color w:val="auto"/>
          <w:sz w:val="24"/>
          <w:szCs w:val="24"/>
          <w:highlight w:val="none"/>
        </w:rPr>
        <w:fldChar w:fldCharType="end"/>
      </w:r>
    </w:p>
    <w:p w14:paraId="73CE229E">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"_Toc351203610" </w:instrText>
      </w:r>
      <w:r>
        <w:rPr>
          <w:highlight w:val="none"/>
        </w:rPr>
        <w:fldChar w:fldCharType="separate"/>
      </w:r>
      <w:r>
        <w:rPr>
          <w:rStyle w:val="63"/>
          <w:rFonts w:hint="eastAsia" w:asciiTheme="minorEastAsia" w:hAnsiTheme="minorEastAsia" w:eastAsiaTheme="minorEastAsia"/>
          <w:color w:val="auto"/>
          <w:sz w:val="24"/>
          <w:szCs w:val="24"/>
          <w:highlight w:val="none"/>
        </w:rPr>
        <w:t>15.3 不可抗力后果的承担</w:t>
      </w:r>
      <w:r>
        <w:rPr>
          <w:rStyle w:val="63"/>
          <w:rFonts w:hint="eastAsia" w:asciiTheme="minorEastAsia" w:hAnsiTheme="minorEastAsia" w:eastAsiaTheme="minorEastAsia"/>
          <w:color w:val="auto"/>
          <w:sz w:val="24"/>
          <w:szCs w:val="24"/>
          <w:highlight w:val="none"/>
        </w:rPr>
        <w:fldChar w:fldCharType="end"/>
      </w:r>
    </w:p>
    <w:p w14:paraId="41CF580D">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"_Toc351203607" </w:instrText>
      </w:r>
      <w:r>
        <w:rPr>
          <w:highlight w:val="none"/>
        </w:rPr>
        <w:fldChar w:fldCharType="separate"/>
      </w:r>
      <w:r>
        <w:rPr>
          <w:rStyle w:val="63"/>
          <w:rFonts w:hint="eastAsia" w:asciiTheme="minorEastAsia" w:hAnsiTheme="minorEastAsia" w:eastAsiaTheme="minorEastAsia"/>
          <w:color w:val="auto"/>
          <w:sz w:val="24"/>
          <w:szCs w:val="24"/>
          <w:highlight w:val="none"/>
        </w:rPr>
        <w:t>16. 合同解除</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43</w:t>
      </w:r>
    </w:p>
    <w:p w14:paraId="0264EA84">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"_Toc351203626" </w:instrText>
      </w:r>
      <w:r>
        <w:rPr>
          <w:highlight w:val="none"/>
        </w:rPr>
        <w:fldChar w:fldCharType="separate"/>
      </w:r>
      <w:r>
        <w:rPr>
          <w:rStyle w:val="63"/>
          <w:rFonts w:hint="eastAsia" w:asciiTheme="minorEastAsia" w:hAnsiTheme="minorEastAsia" w:eastAsiaTheme="minorEastAsia"/>
          <w:color w:val="auto"/>
          <w:sz w:val="24"/>
          <w:szCs w:val="24"/>
          <w:highlight w:val="none"/>
        </w:rPr>
        <w:t>17. 争议解决</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43</w:t>
      </w:r>
    </w:p>
    <w:p w14:paraId="744B0483">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"_Toc351203627" </w:instrText>
      </w:r>
      <w:r>
        <w:rPr>
          <w:highlight w:val="none"/>
        </w:rPr>
        <w:fldChar w:fldCharType="separate"/>
      </w:r>
      <w:r>
        <w:rPr>
          <w:rStyle w:val="63"/>
          <w:rFonts w:hint="eastAsia" w:asciiTheme="minorEastAsia" w:hAnsiTheme="minorEastAsia" w:eastAsiaTheme="minorEastAsia"/>
          <w:color w:val="auto"/>
          <w:sz w:val="24"/>
          <w:szCs w:val="24"/>
          <w:highlight w:val="none"/>
        </w:rPr>
        <w:t>17.1 和解</w:t>
      </w:r>
      <w:r>
        <w:rPr>
          <w:rStyle w:val="63"/>
          <w:rFonts w:hint="eastAsia" w:asciiTheme="minorEastAsia" w:hAnsiTheme="minorEastAsia" w:eastAsiaTheme="minorEastAsia"/>
          <w:color w:val="auto"/>
          <w:sz w:val="24"/>
          <w:szCs w:val="24"/>
          <w:highlight w:val="none"/>
        </w:rPr>
        <w:fldChar w:fldCharType="end"/>
      </w:r>
    </w:p>
    <w:p w14:paraId="79809664">
      <w:pPr>
        <w:pStyle w:val="28"/>
        <w:tabs>
          <w:tab w:val="right" w:leader="middleDot" w:pos="8400"/>
        </w:tabs>
        <w:spacing w:line="360" w:lineRule="auto"/>
        <w:ind w:firstLine="240" w:firstLineChars="1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r>
        <w:rPr>
          <w:highlight w:val="none"/>
        </w:rPr>
        <w:fldChar w:fldCharType="begin"/>
      </w:r>
      <w:r>
        <w:rPr>
          <w:highlight w:val="none"/>
        </w:rPr>
        <w:instrText xml:space="preserve"> HYPERLINK \l "_Toc351203628" </w:instrText>
      </w:r>
      <w:r>
        <w:rPr>
          <w:highlight w:val="none"/>
        </w:rPr>
        <w:fldChar w:fldCharType="separate"/>
      </w:r>
      <w:r>
        <w:rPr>
          <w:rStyle w:val="63"/>
          <w:rFonts w:hint="eastAsia" w:asciiTheme="minorEastAsia" w:hAnsiTheme="minorEastAsia" w:eastAsiaTheme="minorEastAsia"/>
          <w:color w:val="auto"/>
          <w:sz w:val="24"/>
          <w:szCs w:val="24"/>
          <w:highlight w:val="none"/>
        </w:rPr>
        <w:t>7.2 调解</w:t>
      </w:r>
      <w:r>
        <w:rPr>
          <w:rStyle w:val="63"/>
          <w:rFonts w:hint="eastAsia" w:asciiTheme="minorEastAsia" w:hAnsiTheme="minorEastAsia" w:eastAsiaTheme="minorEastAsia"/>
          <w:color w:val="auto"/>
          <w:sz w:val="24"/>
          <w:szCs w:val="24"/>
          <w:highlight w:val="none"/>
        </w:rPr>
        <w:fldChar w:fldCharType="end"/>
      </w:r>
    </w:p>
    <w:p w14:paraId="3DB8F397">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"_Toc351203629" </w:instrText>
      </w:r>
      <w:r>
        <w:rPr>
          <w:highlight w:val="none"/>
        </w:rPr>
        <w:fldChar w:fldCharType="separate"/>
      </w:r>
      <w:r>
        <w:rPr>
          <w:rStyle w:val="63"/>
          <w:rFonts w:hint="eastAsia" w:asciiTheme="minorEastAsia" w:hAnsiTheme="minorEastAsia" w:eastAsiaTheme="minorEastAsia"/>
          <w:color w:val="auto"/>
          <w:sz w:val="24"/>
          <w:szCs w:val="24"/>
          <w:highlight w:val="none"/>
        </w:rPr>
        <w:t>17.3 争议评审</w:t>
      </w:r>
      <w:r>
        <w:rPr>
          <w:rStyle w:val="63"/>
          <w:rFonts w:hint="eastAsia" w:asciiTheme="minorEastAsia" w:hAnsiTheme="minorEastAsia" w:eastAsiaTheme="minorEastAsia"/>
          <w:color w:val="auto"/>
          <w:sz w:val="24"/>
          <w:szCs w:val="24"/>
          <w:highlight w:val="none"/>
        </w:rPr>
        <w:fldChar w:fldCharType="end"/>
      </w:r>
    </w:p>
    <w:p w14:paraId="474FE46F">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"_Toc351203630" </w:instrText>
      </w:r>
      <w:r>
        <w:rPr>
          <w:highlight w:val="none"/>
        </w:rPr>
        <w:fldChar w:fldCharType="separate"/>
      </w:r>
      <w:r>
        <w:rPr>
          <w:rStyle w:val="63"/>
          <w:rFonts w:hint="eastAsia" w:asciiTheme="minorEastAsia" w:hAnsiTheme="minorEastAsia" w:eastAsiaTheme="minorEastAsia"/>
          <w:color w:val="auto"/>
          <w:sz w:val="24"/>
          <w:szCs w:val="24"/>
          <w:highlight w:val="none"/>
        </w:rPr>
        <w:t>17.4 仲裁或诉讼</w:t>
      </w:r>
      <w:r>
        <w:rPr>
          <w:rStyle w:val="63"/>
          <w:rFonts w:hint="eastAsia" w:asciiTheme="minorEastAsia" w:hAnsiTheme="minorEastAsia" w:eastAsiaTheme="minorEastAsia"/>
          <w:color w:val="auto"/>
          <w:sz w:val="24"/>
          <w:szCs w:val="24"/>
          <w:highlight w:val="none"/>
        </w:rPr>
        <w:fldChar w:fldCharType="end"/>
      </w:r>
    </w:p>
    <w:p w14:paraId="00F0F532">
      <w:pPr>
        <w:pStyle w:val="28"/>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"_Toc351203631" </w:instrText>
      </w:r>
      <w:r>
        <w:rPr>
          <w:highlight w:val="none"/>
        </w:rPr>
        <w:fldChar w:fldCharType="separate"/>
      </w:r>
      <w:r>
        <w:rPr>
          <w:rStyle w:val="63"/>
          <w:rFonts w:hint="eastAsia" w:asciiTheme="minorEastAsia" w:hAnsiTheme="minorEastAsia" w:eastAsiaTheme="minorEastAsia"/>
          <w:color w:val="auto"/>
          <w:sz w:val="24"/>
          <w:szCs w:val="24"/>
          <w:highlight w:val="none"/>
        </w:rPr>
        <w:t>17.5 争议解决条款效力</w:t>
      </w:r>
      <w:r>
        <w:rPr>
          <w:rStyle w:val="63"/>
          <w:rFonts w:hint="eastAsia" w:asciiTheme="minorEastAsia" w:hAnsiTheme="minorEastAsia" w:eastAsiaTheme="minorEastAsia"/>
          <w:color w:val="auto"/>
          <w:sz w:val="24"/>
          <w:szCs w:val="24"/>
          <w:highlight w:val="none"/>
        </w:rPr>
        <w:fldChar w:fldCharType="end"/>
      </w:r>
    </w:p>
    <w:p w14:paraId="3093FF35">
      <w:pPr>
        <w:pStyle w:val="29"/>
        <w:tabs>
          <w:tab w:val="right" w:leader="middleDot" w:pos="8400"/>
        </w:tabs>
        <w:spacing w:line="360" w:lineRule="auto"/>
        <w:ind w:left="0" w:leftChars="0" w:firstLine="20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"_Toc351203632" </w:instrText>
      </w:r>
      <w:r>
        <w:rPr>
          <w:highlight w:val="none"/>
        </w:rPr>
        <w:fldChar w:fldCharType="separate"/>
      </w:r>
      <w:r>
        <w:rPr>
          <w:rStyle w:val="63"/>
          <w:rFonts w:hint="eastAsia" w:asciiTheme="minorEastAsia" w:hAnsiTheme="minorEastAsia" w:eastAsiaTheme="minorEastAsia"/>
          <w:b/>
          <w:color w:val="auto"/>
          <w:sz w:val="24"/>
          <w:szCs w:val="24"/>
          <w:highlight w:val="none"/>
        </w:rPr>
        <w:t>第三部分 专用合同条款</w:t>
      </w:r>
      <w:r>
        <w:rPr>
          <w:rStyle w:val="63"/>
          <w:rFonts w:hint="eastAsia" w:asciiTheme="minorEastAsia" w:hAnsiTheme="minorEastAsia" w:eastAsiaTheme="minorEastAsia"/>
          <w:b/>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46</w:t>
      </w:r>
    </w:p>
    <w:p w14:paraId="6EF17457">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"_Toc351203633" </w:instrText>
      </w:r>
      <w:r>
        <w:rPr>
          <w:highlight w:val="none"/>
        </w:rPr>
        <w:fldChar w:fldCharType="separate"/>
      </w:r>
      <w:r>
        <w:rPr>
          <w:rStyle w:val="63"/>
          <w:rFonts w:hint="eastAsia" w:asciiTheme="minorEastAsia" w:hAnsiTheme="minorEastAsia" w:eastAsiaTheme="minorEastAsia"/>
          <w:color w:val="auto"/>
          <w:sz w:val="24"/>
          <w:szCs w:val="24"/>
          <w:highlight w:val="none"/>
        </w:rPr>
        <w:t>1. 一般约定</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46</w:t>
      </w:r>
    </w:p>
    <w:p w14:paraId="66462AF9">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"_Toc351203634" </w:instrText>
      </w:r>
      <w:r>
        <w:rPr>
          <w:highlight w:val="none"/>
        </w:rPr>
        <w:fldChar w:fldCharType="separate"/>
      </w:r>
      <w:r>
        <w:rPr>
          <w:rStyle w:val="63"/>
          <w:rFonts w:hint="eastAsia" w:asciiTheme="minorEastAsia" w:hAnsiTheme="minorEastAsia" w:eastAsiaTheme="minorEastAsia"/>
          <w:color w:val="auto"/>
          <w:sz w:val="24"/>
          <w:szCs w:val="24"/>
          <w:highlight w:val="none"/>
        </w:rPr>
        <w:t>2. 发包人</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48</w:t>
      </w:r>
    </w:p>
    <w:p w14:paraId="3EEA6358">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"_Toc351203635" </w:instrText>
      </w:r>
      <w:r>
        <w:rPr>
          <w:highlight w:val="none"/>
        </w:rPr>
        <w:fldChar w:fldCharType="separate"/>
      </w:r>
      <w:r>
        <w:rPr>
          <w:rStyle w:val="63"/>
          <w:rFonts w:hint="eastAsia" w:asciiTheme="minorEastAsia" w:hAnsiTheme="minorEastAsia" w:eastAsiaTheme="minorEastAsia"/>
          <w:color w:val="auto"/>
          <w:sz w:val="24"/>
          <w:szCs w:val="24"/>
          <w:highlight w:val="none"/>
        </w:rPr>
        <w:t>3. 设计人</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49</w:t>
      </w:r>
    </w:p>
    <w:p w14:paraId="6A2BE406">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"_Toc351203637" </w:instrText>
      </w:r>
      <w:r>
        <w:rPr>
          <w:highlight w:val="none"/>
        </w:rPr>
        <w:fldChar w:fldCharType="separate"/>
      </w:r>
      <w:r>
        <w:rPr>
          <w:rStyle w:val="63"/>
          <w:rFonts w:hint="eastAsia" w:asciiTheme="minorEastAsia" w:hAnsiTheme="minorEastAsia" w:eastAsiaTheme="minorEastAsia"/>
          <w:color w:val="auto"/>
          <w:sz w:val="24"/>
          <w:szCs w:val="24"/>
          <w:highlight w:val="none"/>
        </w:rPr>
        <w:t>5. 工程设计要求</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51</w:t>
      </w:r>
    </w:p>
    <w:p w14:paraId="7092918D">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"_Toc351203639" </w:instrText>
      </w:r>
      <w:r>
        <w:rPr>
          <w:highlight w:val="none"/>
        </w:rPr>
        <w:fldChar w:fldCharType="separate"/>
      </w:r>
      <w:r>
        <w:rPr>
          <w:rStyle w:val="63"/>
          <w:rFonts w:hint="eastAsia" w:asciiTheme="minorEastAsia" w:hAnsiTheme="minorEastAsia" w:eastAsiaTheme="minorEastAsia"/>
          <w:color w:val="auto"/>
          <w:sz w:val="24"/>
          <w:szCs w:val="24"/>
          <w:highlight w:val="none"/>
        </w:rPr>
        <w:t>6. 工程设计进度与周期</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51</w:t>
      </w:r>
    </w:p>
    <w:p w14:paraId="32C6D8A1">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"_Toc351203639" </w:instrText>
      </w:r>
      <w:r>
        <w:rPr>
          <w:highlight w:val="none"/>
        </w:rPr>
        <w:fldChar w:fldCharType="separate"/>
      </w:r>
      <w:r>
        <w:rPr>
          <w:rStyle w:val="63"/>
          <w:rFonts w:hint="eastAsia" w:asciiTheme="minorEastAsia" w:hAnsiTheme="minorEastAsia" w:eastAsiaTheme="minorEastAsia"/>
          <w:color w:val="auto"/>
          <w:sz w:val="24"/>
          <w:szCs w:val="24"/>
          <w:highlight w:val="none"/>
        </w:rPr>
        <w:t>7. 工程设计文件交付</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52</w:t>
      </w:r>
    </w:p>
    <w:p w14:paraId="58730353">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"_Toc351203642" </w:instrText>
      </w:r>
      <w:r>
        <w:rPr>
          <w:highlight w:val="none"/>
        </w:rPr>
        <w:fldChar w:fldCharType="separate"/>
      </w:r>
      <w:r>
        <w:rPr>
          <w:rStyle w:val="63"/>
          <w:rFonts w:hint="eastAsia" w:asciiTheme="minorEastAsia" w:hAnsiTheme="minorEastAsia" w:eastAsiaTheme="minorEastAsia"/>
          <w:color w:val="auto"/>
          <w:sz w:val="24"/>
          <w:szCs w:val="24"/>
          <w:highlight w:val="none"/>
        </w:rPr>
        <w:t>8. 工程设计文件审查</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53</w:t>
      </w:r>
    </w:p>
    <w:p w14:paraId="3458DE7A">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"_Toc351203642" </w:instrText>
      </w:r>
      <w:r>
        <w:rPr>
          <w:highlight w:val="none"/>
        </w:rPr>
        <w:fldChar w:fldCharType="separate"/>
      </w:r>
      <w:r>
        <w:rPr>
          <w:rStyle w:val="63"/>
          <w:rFonts w:hint="eastAsia" w:asciiTheme="minorEastAsia" w:hAnsiTheme="minorEastAsia" w:eastAsiaTheme="minorEastAsia"/>
          <w:color w:val="auto"/>
          <w:sz w:val="24"/>
          <w:szCs w:val="24"/>
          <w:highlight w:val="none"/>
        </w:rPr>
        <w:t>9. 施工现场配合服务</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53</w:t>
      </w:r>
    </w:p>
    <w:p w14:paraId="523C283E">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"_Toc351203643" </w:instrText>
      </w:r>
      <w:r>
        <w:rPr>
          <w:highlight w:val="none"/>
        </w:rPr>
        <w:fldChar w:fldCharType="separate"/>
      </w:r>
      <w:r>
        <w:rPr>
          <w:rStyle w:val="63"/>
          <w:rFonts w:hint="eastAsia" w:asciiTheme="minorEastAsia" w:hAnsiTheme="minorEastAsia" w:eastAsiaTheme="minorEastAsia"/>
          <w:color w:val="auto"/>
          <w:sz w:val="24"/>
          <w:szCs w:val="24"/>
          <w:highlight w:val="none"/>
        </w:rPr>
        <w:t>10. 合同价款与支付</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53</w:t>
      </w:r>
    </w:p>
    <w:p w14:paraId="4F52246F">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"_Toc351203567" </w:instrText>
      </w:r>
      <w:r>
        <w:rPr>
          <w:highlight w:val="none"/>
        </w:rPr>
        <w:fldChar w:fldCharType="separate"/>
      </w:r>
      <w:r>
        <w:rPr>
          <w:rStyle w:val="63"/>
          <w:rFonts w:hint="eastAsia" w:asciiTheme="minorEastAsia" w:hAnsiTheme="minorEastAsia" w:eastAsiaTheme="minorEastAsia"/>
          <w:color w:val="auto"/>
          <w:sz w:val="24"/>
          <w:szCs w:val="24"/>
          <w:highlight w:val="none"/>
        </w:rPr>
        <w:t>11. 工程设计变更与索赔</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54</w:t>
      </w:r>
    </w:p>
    <w:p w14:paraId="3494EBEF">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"_Toc351203643" </w:instrText>
      </w:r>
      <w:r>
        <w:rPr>
          <w:highlight w:val="none"/>
        </w:rPr>
        <w:fldChar w:fldCharType="separate"/>
      </w:r>
      <w:r>
        <w:rPr>
          <w:rStyle w:val="63"/>
          <w:rFonts w:hint="eastAsia" w:asciiTheme="minorEastAsia" w:hAnsiTheme="minorEastAsia" w:eastAsiaTheme="minorEastAsia"/>
          <w:color w:val="auto"/>
          <w:sz w:val="24"/>
          <w:szCs w:val="24"/>
          <w:highlight w:val="none"/>
        </w:rPr>
        <w:t>12. 专业责任与保险</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55</w:t>
      </w:r>
    </w:p>
    <w:p w14:paraId="3F3615B8">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"_Toc351203645" </w:instrText>
      </w:r>
      <w:r>
        <w:rPr>
          <w:highlight w:val="none"/>
        </w:rPr>
        <w:fldChar w:fldCharType="separate"/>
      </w:r>
      <w:r>
        <w:rPr>
          <w:rStyle w:val="63"/>
          <w:rFonts w:hint="eastAsia" w:asciiTheme="minorEastAsia" w:hAnsiTheme="minorEastAsia" w:eastAsiaTheme="minorEastAsia"/>
          <w:color w:val="auto"/>
          <w:sz w:val="24"/>
          <w:szCs w:val="24"/>
          <w:highlight w:val="none"/>
        </w:rPr>
        <w:t>13. 知识产权</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55</w:t>
      </w:r>
    </w:p>
    <w:p w14:paraId="3CCA439B">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"_Toc351203648" </w:instrText>
      </w:r>
      <w:r>
        <w:rPr>
          <w:highlight w:val="none"/>
        </w:rPr>
        <w:fldChar w:fldCharType="separate"/>
      </w:r>
      <w:r>
        <w:rPr>
          <w:rStyle w:val="63"/>
          <w:rFonts w:hint="eastAsia" w:asciiTheme="minorEastAsia" w:hAnsiTheme="minorEastAsia" w:eastAsiaTheme="minorEastAsia"/>
          <w:color w:val="auto"/>
          <w:sz w:val="24"/>
          <w:szCs w:val="24"/>
          <w:highlight w:val="none"/>
        </w:rPr>
        <w:t>14. 违约责任</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55</w:t>
      </w:r>
    </w:p>
    <w:p w14:paraId="2137D8D6">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"_Toc351203649" </w:instrText>
      </w:r>
      <w:r>
        <w:rPr>
          <w:highlight w:val="none"/>
        </w:rPr>
        <w:fldChar w:fldCharType="separate"/>
      </w:r>
      <w:r>
        <w:rPr>
          <w:rStyle w:val="63"/>
          <w:rFonts w:hint="eastAsia" w:asciiTheme="minorEastAsia" w:hAnsiTheme="minorEastAsia" w:eastAsiaTheme="minorEastAsia"/>
          <w:color w:val="auto"/>
          <w:sz w:val="24"/>
          <w:szCs w:val="24"/>
          <w:highlight w:val="none"/>
        </w:rPr>
        <w:t>15. 不可抗力</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56</w:t>
      </w:r>
    </w:p>
    <w:p w14:paraId="238BD1BE">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"_Toc351203649" </w:instrText>
      </w:r>
      <w:r>
        <w:rPr>
          <w:highlight w:val="none"/>
        </w:rPr>
        <w:fldChar w:fldCharType="separate"/>
      </w:r>
      <w:r>
        <w:rPr>
          <w:rStyle w:val="63"/>
          <w:rFonts w:hint="eastAsia" w:asciiTheme="minorEastAsia" w:hAnsiTheme="minorEastAsia" w:eastAsiaTheme="minorEastAsia"/>
          <w:color w:val="auto"/>
          <w:sz w:val="24"/>
          <w:szCs w:val="24"/>
          <w:highlight w:val="none"/>
        </w:rPr>
        <w:t>16. 合同解除</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56</w:t>
      </w:r>
    </w:p>
    <w:p w14:paraId="0E41D8FC">
      <w:pPr>
        <w:tabs>
          <w:tab w:val="right" w:leader="middleDot" w:pos="8400"/>
        </w:tabs>
        <w:spacing w:line="360" w:lineRule="auto"/>
        <w:ind w:left="630" w:leftChars="300"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"_Toc351203651" </w:instrText>
      </w:r>
      <w:r>
        <w:rPr>
          <w:highlight w:val="none"/>
        </w:rPr>
        <w:fldChar w:fldCharType="separate"/>
      </w:r>
      <w:r>
        <w:rPr>
          <w:rStyle w:val="63"/>
          <w:rFonts w:hint="eastAsia" w:asciiTheme="minorEastAsia" w:hAnsiTheme="minorEastAsia" w:eastAsiaTheme="minorEastAsia"/>
          <w:color w:val="auto"/>
          <w:sz w:val="24"/>
          <w:szCs w:val="24"/>
          <w:highlight w:val="none"/>
        </w:rPr>
        <w:t>17. 争议解决</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57</w:t>
      </w:r>
    </w:p>
    <w:p w14:paraId="7BF43937">
      <w:pPr>
        <w:tabs>
          <w:tab w:val="right" w:leader="middleDot" w:pos="8400"/>
        </w:tabs>
        <w:spacing w:line="360" w:lineRule="auto"/>
        <w:ind w:left="630" w:leftChars="300" w:firstLine="240" w:firstLineChars="1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18. 其他</w:t>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57</w:t>
      </w:r>
    </w:p>
    <w:p w14:paraId="7F4E9166">
      <w:pPr>
        <w:pStyle w:val="39"/>
        <w:tabs>
          <w:tab w:val="right" w:leader="middleDot" w:pos="8400"/>
        </w:tabs>
        <w:spacing w:line="360" w:lineRule="auto"/>
        <w:ind w:firstLine="210" w:firstLineChars="100"/>
        <w:rPr>
          <w:rFonts w:asciiTheme="minorEastAsia" w:hAnsiTheme="minorEastAsia" w:eastAsiaTheme="minorEastAsia"/>
          <w:sz w:val="24"/>
          <w:szCs w:val="24"/>
          <w:highlight w:val="none"/>
        </w:rPr>
      </w:pPr>
      <w:r>
        <w:rPr>
          <w:highlight w:val="none"/>
        </w:rPr>
        <w:fldChar w:fldCharType="begin"/>
      </w:r>
      <w:r>
        <w:rPr>
          <w:highlight w:val="none"/>
        </w:rPr>
        <w:instrText xml:space="preserve"> HYPERLINK \l "_Toc351203652" </w:instrText>
      </w:r>
      <w:r>
        <w:rPr>
          <w:highlight w:val="none"/>
        </w:rPr>
        <w:fldChar w:fldCharType="separate"/>
      </w:r>
      <w:r>
        <w:rPr>
          <w:rStyle w:val="63"/>
          <w:rFonts w:hint="eastAsia" w:asciiTheme="minorEastAsia" w:hAnsiTheme="minorEastAsia" w:eastAsiaTheme="minorEastAsia"/>
          <w:color w:val="auto"/>
          <w:sz w:val="24"/>
          <w:szCs w:val="24"/>
          <w:highlight w:val="none"/>
        </w:rPr>
        <w:t>附件</w:t>
      </w:r>
      <w:r>
        <w:rPr>
          <w:rStyle w:val="63"/>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sz w:val="24"/>
          <w:szCs w:val="24"/>
          <w:highlight w:val="none"/>
        </w:rPr>
        <w:tab/>
      </w:r>
      <w:r>
        <w:rPr>
          <w:rFonts w:hint="eastAsia" w:asciiTheme="minorEastAsia" w:hAnsiTheme="minorEastAsia" w:eastAsiaTheme="minorEastAsia"/>
          <w:sz w:val="24"/>
          <w:szCs w:val="24"/>
          <w:highlight w:val="none"/>
        </w:rPr>
        <w:t>58</w:t>
      </w:r>
    </w:p>
    <w:p w14:paraId="7A603E2D">
      <w:pPr>
        <w:tabs>
          <w:tab w:val="right" w:leader="middleDot" w:pos="8400"/>
        </w:tabs>
        <w:spacing w:line="360" w:lineRule="auto"/>
        <w:rPr>
          <w:rFonts w:asciiTheme="minorEastAsia" w:hAnsiTheme="minorEastAsia" w:eastAsiaTheme="minorEastAsia"/>
          <w:sz w:val="28"/>
          <w:szCs w:val="28"/>
          <w:highlight w:val="none"/>
        </w:rPr>
      </w:pPr>
      <w:r>
        <w:rPr>
          <w:rFonts w:hint="eastAsia" w:asciiTheme="minorEastAsia" w:hAnsiTheme="minorEastAsia" w:eastAsiaTheme="minorEastAsia"/>
          <w:sz w:val="24"/>
          <w:szCs w:val="24"/>
          <w:highlight w:val="none"/>
        </w:rPr>
        <w:fldChar w:fldCharType="end"/>
      </w:r>
    </w:p>
    <w:p w14:paraId="3C66CC67">
      <w:pPr>
        <w:spacing w:line="360" w:lineRule="auto"/>
        <w:rPr>
          <w:rFonts w:asciiTheme="minorEastAsia" w:hAnsiTheme="minorEastAsia" w:eastAsiaTheme="minorEastAsia"/>
          <w:sz w:val="28"/>
          <w:szCs w:val="28"/>
          <w:highlight w:val="none"/>
        </w:rPr>
      </w:pPr>
    </w:p>
    <w:p w14:paraId="262DBB91">
      <w:pPr>
        <w:widowControl/>
        <w:jc w:val="left"/>
        <w:rPr>
          <w:rFonts w:asciiTheme="minorEastAsia" w:hAnsiTheme="minorEastAsia" w:eastAsiaTheme="minorEastAsia"/>
          <w:highlight w:val="none"/>
        </w:rPr>
      </w:pPr>
      <w:r>
        <w:rPr>
          <w:rFonts w:hint="eastAsia" w:asciiTheme="minorEastAsia" w:hAnsiTheme="minorEastAsia" w:eastAsiaTheme="minorEastAsia"/>
          <w:highlight w:val="none"/>
        </w:rPr>
        <w:br w:type="page"/>
      </w:r>
    </w:p>
    <w:p w14:paraId="5A712C79">
      <w:pPr>
        <w:pStyle w:val="4"/>
        <w:spacing w:line="360" w:lineRule="auto"/>
        <w:jc w:val="center"/>
        <w:rPr>
          <w:rFonts w:asciiTheme="minorEastAsia" w:hAnsiTheme="minorEastAsia" w:eastAsiaTheme="minorEastAsia"/>
          <w:b w:val="0"/>
          <w:sz w:val="44"/>
          <w:szCs w:val="44"/>
          <w:highlight w:val="none"/>
        </w:rPr>
      </w:pPr>
      <w:bookmarkStart w:id="5" w:name="_Toc351203480"/>
      <w:r>
        <w:rPr>
          <w:rFonts w:hint="eastAsia" w:asciiTheme="minorEastAsia" w:hAnsiTheme="minorEastAsia" w:eastAsiaTheme="minorEastAsia"/>
          <w:sz w:val="44"/>
          <w:szCs w:val="44"/>
          <w:highlight w:val="none"/>
        </w:rPr>
        <w:t>第一部分 合同协议书</w:t>
      </w:r>
      <w:bookmarkEnd w:id="0"/>
      <w:bookmarkEnd w:id="1"/>
      <w:bookmarkEnd w:id="5"/>
    </w:p>
    <w:p w14:paraId="4556F241">
      <w:pPr>
        <w:spacing w:line="360" w:lineRule="auto"/>
        <w:rPr>
          <w:rFonts w:asciiTheme="minorEastAsia" w:hAnsiTheme="minorEastAsia" w:eastAsiaTheme="minorEastAsia"/>
          <w:b/>
          <w:sz w:val="24"/>
          <w:szCs w:val="24"/>
          <w:highlight w:val="none"/>
          <w:u w:val="single"/>
        </w:rPr>
      </w:pPr>
      <w:r>
        <w:rPr>
          <w:rFonts w:hint="eastAsia" w:asciiTheme="minorEastAsia" w:hAnsiTheme="minorEastAsia" w:eastAsiaTheme="minorEastAsia"/>
          <w:b/>
          <w:sz w:val="24"/>
          <w:szCs w:val="24"/>
          <w:highlight w:val="none"/>
        </w:rPr>
        <w:t>发包人（全称）：</w:t>
      </w:r>
      <w:r>
        <w:rPr>
          <w:rFonts w:hint="eastAsia" w:asciiTheme="minorEastAsia" w:hAnsiTheme="minorEastAsia" w:eastAsiaTheme="minorEastAsia"/>
          <w:b/>
          <w:sz w:val="24"/>
          <w:szCs w:val="24"/>
          <w:highlight w:val="none"/>
          <w:u w:val="single"/>
        </w:rPr>
        <w:t>广东省代建项目管理局       </w:t>
      </w:r>
    </w:p>
    <w:p w14:paraId="61A836F6">
      <w:pPr>
        <w:spacing w:line="360" w:lineRule="auto"/>
        <w:rPr>
          <w:rFonts w:asciiTheme="minorEastAsia" w:hAnsiTheme="minorEastAsia" w:eastAsiaTheme="minorEastAsia"/>
          <w:b/>
          <w:sz w:val="24"/>
          <w:szCs w:val="24"/>
          <w:highlight w:val="none"/>
          <w:u w:val="single"/>
        </w:rPr>
      </w:pPr>
      <w:r>
        <w:rPr>
          <w:rFonts w:hint="eastAsia" w:asciiTheme="minorEastAsia" w:hAnsiTheme="minorEastAsia" w:eastAsiaTheme="minorEastAsia"/>
          <w:b/>
          <w:sz w:val="24"/>
          <w:szCs w:val="24"/>
          <w:highlight w:val="none"/>
        </w:rPr>
        <w:t>设计人（全称）：</w:t>
      </w:r>
      <w:r>
        <w:rPr>
          <w:rFonts w:hint="eastAsia" w:asciiTheme="minorEastAsia" w:hAnsiTheme="minorEastAsia" w:eastAsiaTheme="minorEastAsia"/>
          <w:b/>
          <w:sz w:val="24"/>
          <w:szCs w:val="24"/>
          <w:highlight w:val="none"/>
          <w:u w:val="single"/>
        </w:rPr>
        <w:t xml:space="preserve">                   </w:t>
      </w:r>
    </w:p>
    <w:p w14:paraId="4B0B1E9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根据《中华人民共和国合同法》、《中华人民共和国建筑法》及有关法律规定，遵循平等、自愿、公平和诚实信用的原则，双方就工程设计及有关事项协商一致，共同达成如下协议：</w:t>
      </w:r>
    </w:p>
    <w:p w14:paraId="708A542B">
      <w:pPr>
        <w:pStyle w:val="5"/>
        <w:spacing w:before="120" w:after="120" w:line="360" w:lineRule="auto"/>
        <w:rPr>
          <w:rFonts w:asciiTheme="minorEastAsia" w:hAnsiTheme="minorEastAsia" w:eastAsiaTheme="minorEastAsia"/>
          <w:bCs w:val="0"/>
          <w:sz w:val="24"/>
          <w:szCs w:val="24"/>
          <w:highlight w:val="none"/>
        </w:rPr>
      </w:pPr>
      <w:bookmarkStart w:id="6" w:name="_Toc351203481"/>
      <w:r>
        <w:rPr>
          <w:rFonts w:hint="eastAsia" w:asciiTheme="minorEastAsia" w:hAnsiTheme="minorEastAsia" w:eastAsiaTheme="minorEastAsia"/>
          <w:b w:val="0"/>
          <w:sz w:val="24"/>
          <w:szCs w:val="24"/>
          <w:highlight w:val="none"/>
        </w:rPr>
        <w:t>一、工程概况</w:t>
      </w:r>
      <w:bookmarkEnd w:id="6"/>
    </w:p>
    <w:p w14:paraId="11DA6B12">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bCs/>
          <w:sz w:val="24"/>
          <w:szCs w:val="24"/>
          <w:highlight w:val="none"/>
        </w:rPr>
        <w:t>1.工程名称</w:t>
      </w:r>
      <w:r>
        <w:rPr>
          <w:rFonts w:hint="eastAsia" w:asciiTheme="minorEastAsia" w:hAnsiTheme="minorEastAsia" w:eastAsiaTheme="minorEastAsia"/>
          <w:sz w:val="24"/>
          <w:szCs w:val="24"/>
          <w:highlight w:val="none"/>
        </w:rPr>
        <w:t>：</w:t>
      </w:r>
      <w:r>
        <w:rPr>
          <w:rFonts w:hint="eastAsia" w:cs="Times New Roman" w:asciiTheme="minorEastAsia" w:hAnsiTheme="minorEastAsia" w:eastAsiaTheme="minorEastAsia"/>
          <w:b w:val="0"/>
          <w:bCs w:val="0"/>
          <w:sz w:val="24"/>
          <w:szCs w:val="24"/>
          <w:highlight w:val="none"/>
          <w:u w:val="single"/>
          <w:lang w:eastAsia="zh-CN"/>
        </w:rPr>
        <w:t>广东省国家紧急医学救援基地</w:t>
      </w:r>
      <w:r>
        <w:rPr>
          <w:rFonts w:hint="eastAsia" w:cs="Times New Roman" w:asciiTheme="minorEastAsia" w:hAnsiTheme="minorEastAsia" w:eastAsiaTheme="minorEastAsia"/>
          <w:b w:val="0"/>
          <w:bCs w:val="0"/>
          <w:sz w:val="24"/>
          <w:szCs w:val="24"/>
          <w:highlight w:val="none"/>
          <w:u w:val="single"/>
          <w:lang w:val="en-US" w:eastAsia="zh-CN"/>
        </w:rPr>
        <w:t>项目</w:t>
      </w:r>
      <w:r>
        <w:rPr>
          <w:rFonts w:hint="eastAsia" w:cs="Times New Roman" w:asciiTheme="minorEastAsia" w:hAnsiTheme="minorEastAsia" w:eastAsiaTheme="minorEastAsia"/>
          <w:b w:val="0"/>
          <w:bCs w:val="0"/>
          <w:sz w:val="24"/>
          <w:szCs w:val="24"/>
          <w:highlight w:val="none"/>
          <w:u w:val="single"/>
          <w:lang w:eastAsia="zh-CN"/>
        </w:rPr>
        <w:t>勘察设计</w:t>
      </w:r>
      <w:r>
        <w:rPr>
          <w:rFonts w:hint="eastAsia" w:asciiTheme="minorEastAsia" w:hAnsiTheme="minorEastAsia" w:eastAsiaTheme="minorEastAsia"/>
          <w:sz w:val="24"/>
          <w:szCs w:val="24"/>
          <w:highlight w:val="none"/>
          <w:u w:val="single"/>
        </w:rPr>
        <w:t xml:space="preserve"> </w:t>
      </w:r>
      <w:r>
        <w:rPr>
          <w:rFonts w:hint="eastAsia" w:asciiTheme="minorEastAsia" w:hAnsiTheme="minorEastAsia" w:eastAsiaTheme="minorEastAsia"/>
          <w:sz w:val="24"/>
          <w:szCs w:val="24"/>
          <w:highlight w:val="none"/>
        </w:rPr>
        <w:t>。</w:t>
      </w:r>
    </w:p>
    <w:p w14:paraId="0C0F0528">
      <w:pPr>
        <w:keepNext w:val="0"/>
        <w:keepLines w:val="0"/>
        <w:widowControl w:val="0"/>
        <w:suppressLineNumbers w:val="0"/>
        <w:spacing w:before="0" w:beforeAutospacing="0" w:after="0" w:afterAutospacing="0"/>
        <w:ind w:left="0" w:right="0" w:firstLine="420" w:firstLineChars="175"/>
        <w:jc w:val="both"/>
        <w:rPr>
          <w:highlight w:val="none"/>
        </w:rPr>
      </w:pPr>
      <w:r>
        <w:rPr>
          <w:rFonts w:hint="eastAsia" w:asciiTheme="minorEastAsia" w:hAnsiTheme="minorEastAsia" w:eastAsiaTheme="minorEastAsia"/>
          <w:bCs/>
          <w:sz w:val="24"/>
          <w:szCs w:val="24"/>
          <w:highlight w:val="none"/>
        </w:rPr>
        <w:t>2.工程地点：</w:t>
      </w:r>
      <w:r>
        <w:rPr>
          <w:rFonts w:hint="eastAsia" w:ascii="宋体" w:hAnsi="宋体" w:eastAsia="宋体" w:cs="宋体"/>
          <w:kern w:val="2"/>
          <w:sz w:val="24"/>
          <w:szCs w:val="24"/>
          <w:highlight w:val="none"/>
          <w:u w:val="single"/>
          <w:lang w:val="en-US" w:eastAsia="zh-CN" w:bidi="ar"/>
        </w:rPr>
        <w:t>广东省广州市广州大道北1838号（南方医科大学南方医院院内）。</w:t>
      </w:r>
    </w:p>
    <w:p w14:paraId="39D7AD4E">
      <w:pPr>
        <w:spacing w:line="360" w:lineRule="auto"/>
        <w:ind w:firstLine="480" w:firstLineChars="200"/>
        <w:rPr>
          <w:rFonts w:hint="default" w:ascii="宋体" w:hAnsi="宋体" w:eastAsia="宋体"/>
          <w:bCs/>
          <w:sz w:val="24"/>
          <w:highlight w:val="none"/>
          <w:u w:val="single"/>
          <w:lang w:val="en-US" w:eastAsia="zh-CN"/>
        </w:rPr>
      </w:pPr>
      <w:r>
        <w:rPr>
          <w:rFonts w:hint="eastAsia" w:asciiTheme="minorEastAsia" w:hAnsiTheme="minorEastAsia" w:eastAsiaTheme="minorEastAsia"/>
          <w:sz w:val="24"/>
          <w:szCs w:val="24"/>
          <w:highlight w:val="none"/>
        </w:rPr>
        <w:t>3.规划占地面积：</w:t>
      </w:r>
      <w:r>
        <w:rPr>
          <w:rFonts w:hint="eastAsia" w:ascii="宋体" w:hAnsi="宋体" w:eastAsia="宋体" w:cs="Times New Roman"/>
          <w:bCs/>
          <w:sz w:val="24"/>
          <w:highlight w:val="none"/>
          <w:u w:val="single"/>
          <w:lang w:val="en-US" w:eastAsia="zh-CN"/>
        </w:rPr>
        <w:t>项目总建筑面积26761平方米，其中地上建筑面积20512平方米，地下建筑面积6249平方米。</w:t>
      </w:r>
      <w:r>
        <w:rPr>
          <w:rFonts w:hint="eastAsia" w:ascii="宋体" w:hAnsi="宋体" w:cs="Times New Roman"/>
          <w:bCs/>
          <w:sz w:val="24"/>
          <w:highlight w:val="none"/>
          <w:u w:val="single"/>
          <w:lang w:val="en-US" w:eastAsia="zh-CN"/>
        </w:rPr>
        <w:t>主要建设批量伤员救治、应急指挥、培训演练、物资仓储等</w:t>
      </w:r>
      <w:r>
        <w:rPr>
          <w:rFonts w:hint="eastAsia" w:ascii="宋体" w:hAnsi="宋体" w:eastAsia="宋体" w:cs="Times New Roman"/>
          <w:bCs/>
          <w:sz w:val="24"/>
          <w:highlight w:val="none"/>
          <w:u w:val="single"/>
          <w:lang w:val="en-US" w:eastAsia="zh-CN"/>
        </w:rPr>
        <w:t>紧急医学救援</w:t>
      </w:r>
      <w:r>
        <w:rPr>
          <w:rFonts w:hint="eastAsia" w:ascii="宋体" w:hAnsi="宋体" w:cs="Times New Roman"/>
          <w:bCs/>
          <w:sz w:val="24"/>
          <w:highlight w:val="none"/>
          <w:u w:val="single"/>
          <w:lang w:val="en-US" w:eastAsia="zh-CN"/>
        </w:rPr>
        <w:t>相关业务用房及</w:t>
      </w:r>
      <w:r>
        <w:rPr>
          <w:rFonts w:hint="eastAsia" w:ascii="宋体" w:hAnsi="宋体" w:eastAsia="宋体" w:cs="Times New Roman"/>
          <w:bCs/>
          <w:sz w:val="24"/>
          <w:highlight w:val="none"/>
          <w:u w:val="single"/>
          <w:lang w:val="en-US" w:eastAsia="zh-CN"/>
        </w:rPr>
        <w:t>配套</w:t>
      </w:r>
      <w:r>
        <w:rPr>
          <w:rFonts w:hint="eastAsia" w:ascii="宋体" w:hAnsi="宋体" w:cs="Times New Roman"/>
          <w:bCs/>
          <w:sz w:val="24"/>
          <w:highlight w:val="none"/>
          <w:u w:val="single"/>
          <w:lang w:val="en-US" w:eastAsia="zh-CN"/>
        </w:rPr>
        <w:t>设施。</w:t>
      </w:r>
      <w:r>
        <w:rPr>
          <w:rFonts w:hint="eastAsia" w:ascii="宋体" w:hAnsi="宋体"/>
          <w:bCs/>
          <w:sz w:val="24"/>
          <w:highlight w:val="none"/>
          <w:u w:val="single"/>
          <w:lang w:eastAsia="zh-CN"/>
        </w:rPr>
        <w:t>本</w:t>
      </w:r>
      <w:r>
        <w:rPr>
          <w:rFonts w:hint="eastAsia" w:ascii="宋体" w:hAnsi="宋体"/>
          <w:bCs/>
          <w:sz w:val="24"/>
          <w:highlight w:val="none"/>
          <w:u w:val="single"/>
        </w:rPr>
        <w:t>项目</w:t>
      </w:r>
      <w:bookmarkStart w:id="7" w:name="OLE_LINK5"/>
      <w:r>
        <w:rPr>
          <w:rFonts w:hint="eastAsia" w:ascii="宋体" w:hAnsi="宋体"/>
          <w:bCs/>
          <w:sz w:val="24"/>
          <w:highlight w:val="none"/>
          <w:u w:val="single"/>
        </w:rPr>
        <w:t>最大单</w:t>
      </w:r>
      <w:bookmarkEnd w:id="7"/>
      <w:r>
        <w:rPr>
          <w:rFonts w:hint="eastAsia" w:ascii="宋体" w:hAnsi="宋体"/>
          <w:bCs/>
          <w:sz w:val="24"/>
          <w:highlight w:val="none"/>
          <w:u w:val="single"/>
        </w:rPr>
        <w:t>体建筑面积为</w:t>
      </w:r>
      <w:r>
        <w:rPr>
          <w:rFonts w:hint="eastAsia" w:ascii="宋体" w:hAnsi="宋体"/>
          <w:bCs/>
          <w:sz w:val="24"/>
          <w:highlight w:val="none"/>
          <w:u w:val="single"/>
          <w:lang w:val="en-US" w:eastAsia="zh-CN"/>
        </w:rPr>
        <w:t>26761</w:t>
      </w:r>
      <w:r>
        <w:rPr>
          <w:rFonts w:hint="eastAsia" w:ascii="宋体" w:hAnsi="宋体"/>
          <w:bCs/>
          <w:sz w:val="24"/>
          <w:highlight w:val="none"/>
          <w:u w:val="single"/>
        </w:rPr>
        <w:t>平方米，地上 15 层，地下 3 层，</w:t>
      </w:r>
      <w:r>
        <w:rPr>
          <w:rFonts w:ascii="宋体" w:hAnsi="宋体"/>
          <w:bCs/>
          <w:sz w:val="24"/>
          <w:highlight w:val="none"/>
          <w:u w:val="single"/>
        </w:rPr>
        <w:t>最高</w:t>
      </w:r>
      <w:r>
        <w:rPr>
          <w:rFonts w:hint="eastAsia" w:ascii="宋体" w:hAnsi="宋体"/>
          <w:bCs/>
          <w:sz w:val="24"/>
          <w:highlight w:val="none"/>
          <w:u w:val="single"/>
        </w:rPr>
        <w:t>建筑高度</w:t>
      </w:r>
      <w:r>
        <w:rPr>
          <w:rFonts w:hint="eastAsia" w:ascii="宋体" w:hAnsi="宋体"/>
          <w:bCs/>
          <w:sz w:val="24"/>
          <w:highlight w:val="none"/>
          <w:u w:val="single"/>
          <w:lang w:val="en-US" w:eastAsia="zh-CN"/>
        </w:rPr>
        <w:t>75.5</w:t>
      </w:r>
      <w:r>
        <w:rPr>
          <w:rFonts w:hint="eastAsia" w:ascii="宋体" w:hAnsi="宋体"/>
          <w:bCs/>
          <w:sz w:val="24"/>
          <w:highlight w:val="none"/>
          <w:u w:val="single"/>
        </w:rPr>
        <w:t>米</w:t>
      </w:r>
      <w:r>
        <w:rPr>
          <w:rFonts w:hint="eastAsia" w:ascii="宋体" w:hAnsi="宋体"/>
          <w:bCs/>
          <w:sz w:val="24"/>
          <w:highlight w:val="none"/>
          <w:u w:val="single"/>
          <w:lang w:val="en-US" w:eastAsia="zh-CN"/>
        </w:rPr>
        <w:t>，地基基础等级为甲级。</w:t>
      </w:r>
    </w:p>
    <w:p w14:paraId="75DDBCB2">
      <w:pPr>
        <w:spacing w:line="360" w:lineRule="auto"/>
        <w:ind w:firstLine="480" w:firstLineChars="200"/>
        <w:rPr>
          <w:highlight w:val="none"/>
        </w:rPr>
      </w:pPr>
      <w:r>
        <w:rPr>
          <w:rFonts w:hint="eastAsia" w:ascii="宋体" w:hAnsi="宋体"/>
          <w:bCs/>
          <w:sz w:val="24"/>
          <w:highlight w:val="none"/>
          <w:u w:val="single"/>
          <w:lang w:val="en-US" w:eastAsia="zh-CN"/>
        </w:rPr>
        <w:t>本次招标不包括信息化建设及设备购置内容。</w:t>
      </w:r>
    </w:p>
    <w:p w14:paraId="16E78EB5">
      <w:pPr>
        <w:spacing w:line="360" w:lineRule="auto"/>
        <w:ind w:firstLine="470" w:firstLineChars="196"/>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4.建筑功能：</w:t>
      </w:r>
      <w:r>
        <w:rPr>
          <w:rFonts w:hint="default"/>
          <w:b w:val="0"/>
          <w:bCs w:val="0"/>
          <w:strike w:val="0"/>
          <w:color w:val="auto"/>
          <w:sz w:val="24"/>
          <w:szCs w:val="24"/>
          <w:highlight w:val="none"/>
          <w:u w:val="single"/>
          <w:vertAlign w:val="baseline"/>
          <w:lang w:val="en-US" w:eastAsia="zh-CN"/>
        </w:rPr>
        <w:t>新</w:t>
      </w:r>
      <w:r>
        <w:rPr>
          <w:rFonts w:hint="eastAsia" w:cs="Times New Roman" w:asciiTheme="minorEastAsia" w:hAnsiTheme="minorEastAsia" w:eastAsiaTheme="minorEastAsia"/>
          <w:b w:val="0"/>
          <w:bCs w:val="0"/>
          <w:sz w:val="24"/>
          <w:szCs w:val="24"/>
          <w:highlight w:val="none"/>
          <w:u w:val="single"/>
          <w:lang w:eastAsia="zh-CN"/>
        </w:rPr>
        <w:t>国家紧急医学救援基地</w:t>
      </w:r>
      <w:r>
        <w:rPr>
          <w:rFonts w:hint="eastAsia"/>
          <w:b w:val="0"/>
          <w:bCs w:val="0"/>
          <w:strike w:val="0"/>
          <w:color w:val="auto"/>
          <w:sz w:val="24"/>
          <w:szCs w:val="24"/>
          <w:highlight w:val="none"/>
          <w:u w:val="single"/>
          <w:vertAlign w:val="baseline"/>
          <w:lang w:val="en-US" w:eastAsia="zh-CN"/>
        </w:rPr>
        <w:t>1栋</w:t>
      </w:r>
      <w:r>
        <w:rPr>
          <w:rFonts w:hint="eastAsia" w:asciiTheme="minorEastAsia" w:hAnsiTheme="minorEastAsia" w:eastAsiaTheme="minorEastAsia"/>
          <w:sz w:val="24"/>
          <w:szCs w:val="24"/>
          <w:highlight w:val="none"/>
        </w:rPr>
        <w:t>。</w:t>
      </w:r>
    </w:p>
    <w:p w14:paraId="6C82785E">
      <w:pPr>
        <w:spacing w:line="360" w:lineRule="auto"/>
        <w:ind w:firstLine="470" w:firstLineChars="196"/>
        <w:rPr>
          <w:rFonts w:asciiTheme="minorEastAsia" w:hAnsiTheme="minorEastAsia" w:eastAsiaTheme="minorEastAsia"/>
          <w:bCs/>
          <w:sz w:val="24"/>
          <w:szCs w:val="24"/>
          <w:highlight w:val="none"/>
          <w:u w:val="single"/>
        </w:rPr>
      </w:pPr>
      <w:r>
        <w:rPr>
          <w:rFonts w:hint="eastAsia" w:asciiTheme="minorEastAsia" w:hAnsiTheme="minorEastAsia" w:eastAsiaTheme="minorEastAsia"/>
          <w:sz w:val="24"/>
          <w:szCs w:val="24"/>
          <w:highlight w:val="none"/>
        </w:rPr>
        <w:t>5.投资估算：</w:t>
      </w:r>
      <w:r>
        <w:rPr>
          <w:rFonts w:hint="eastAsia" w:ascii="宋体" w:hAnsi="宋体" w:eastAsia="宋体" w:cs="宋体"/>
          <w:sz w:val="24"/>
          <w:highlight w:val="none"/>
          <w:u w:val="single"/>
        </w:rPr>
        <w:t>项目估算总投资</w:t>
      </w:r>
      <w:r>
        <w:rPr>
          <w:rFonts w:hint="eastAsia" w:ascii="宋体" w:hAnsi="宋体" w:eastAsia="宋体" w:cs="宋体"/>
          <w:sz w:val="24"/>
          <w:highlight w:val="none"/>
          <w:u w:val="single"/>
          <w:lang w:val="en-US" w:eastAsia="zh-CN"/>
        </w:rPr>
        <w:t>62057万元</w:t>
      </w:r>
      <w:r>
        <w:rPr>
          <w:rFonts w:hint="eastAsia" w:ascii="宋体" w:hAnsi="宋体" w:eastAsia="宋体" w:cs="宋体"/>
          <w:sz w:val="24"/>
          <w:highlight w:val="none"/>
          <w:u w:val="single"/>
        </w:rPr>
        <w:t>，</w:t>
      </w:r>
      <w:r>
        <w:rPr>
          <w:rFonts w:hint="eastAsia" w:ascii="宋体" w:hAnsi="宋体" w:eastAsia="宋体" w:cs="宋体"/>
          <w:sz w:val="24"/>
          <w:highlight w:val="none"/>
          <w:u w:val="single"/>
          <w:lang w:val="en-US" w:eastAsia="zh-CN"/>
        </w:rPr>
        <w:t>其中，建设投资24076.76万元、信息化建设费7540.17万元、医学装备购置费30440.07万元</w:t>
      </w:r>
      <w:r>
        <w:rPr>
          <w:rFonts w:hint="eastAsia" w:ascii="宋体" w:hAnsi="宋体" w:cs="宋体"/>
          <w:sz w:val="24"/>
          <w:highlight w:val="none"/>
          <w:u w:val="single"/>
          <w:lang w:val="en-US" w:eastAsia="zh-CN"/>
        </w:rPr>
        <w:t>（</w:t>
      </w:r>
      <w:r>
        <w:rPr>
          <w:rFonts w:hint="eastAsia" w:ascii="宋体" w:hAnsi="宋体"/>
          <w:bCs/>
          <w:sz w:val="24"/>
          <w:highlight w:val="none"/>
          <w:u w:val="single"/>
          <w:lang w:val="en-US" w:eastAsia="zh-CN"/>
        </w:rPr>
        <w:t>本次招标不包括信息化建设及设备购置内容）</w:t>
      </w:r>
      <w:r>
        <w:rPr>
          <w:rFonts w:hint="eastAsia" w:ascii="宋体" w:hAnsi="宋体" w:eastAsia="宋体" w:cs="宋体"/>
          <w:sz w:val="24"/>
          <w:highlight w:val="none"/>
          <w:u w:val="single"/>
          <w:lang w:val="en-US" w:eastAsia="zh-CN"/>
        </w:rPr>
        <w:t>。</w:t>
      </w:r>
    </w:p>
    <w:p w14:paraId="5339F40E">
      <w:pPr>
        <w:spacing w:before="120" w:after="120" w:line="360" w:lineRule="auto"/>
        <w:ind w:firstLine="470" w:firstLineChars="196"/>
        <w:rPr>
          <w:rFonts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二、工程勘察设计范围、阶段与服务内容</w:t>
      </w:r>
    </w:p>
    <w:p w14:paraId="3E7399B5">
      <w:pPr>
        <w:spacing w:line="360" w:lineRule="auto"/>
        <w:ind w:firstLine="470" w:firstLineChars="196"/>
        <w:rPr>
          <w:rFonts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1.工程勘察设计范围：</w:t>
      </w:r>
      <w:r>
        <w:rPr>
          <w:rFonts w:hint="eastAsia" w:ascii="宋体" w:hAnsi="宋体" w:eastAsia="宋体"/>
          <w:color w:val="auto"/>
          <w:sz w:val="24"/>
          <w:szCs w:val="24"/>
          <w:highlight w:val="none"/>
          <w:u w:val="single"/>
          <w:lang w:val="en-US" w:eastAsia="zh-CN"/>
        </w:rPr>
        <w:t>详</w:t>
      </w:r>
      <w:r>
        <w:rPr>
          <w:rFonts w:hint="eastAsia" w:ascii="宋体" w:hAnsi="宋体" w:eastAsia="宋体"/>
          <w:color w:val="auto"/>
          <w:sz w:val="24"/>
          <w:szCs w:val="24"/>
          <w:highlight w:val="none"/>
          <w:u w:val="single"/>
        </w:rPr>
        <w:t>见招标公告</w:t>
      </w:r>
      <w:r>
        <w:rPr>
          <w:rFonts w:hint="eastAsia" w:asciiTheme="minorEastAsia" w:hAnsiTheme="minorEastAsia" w:eastAsiaTheme="minorEastAsia"/>
          <w:bCs/>
          <w:sz w:val="24"/>
          <w:szCs w:val="24"/>
          <w:highlight w:val="none"/>
        </w:rPr>
        <w:t>。</w:t>
      </w:r>
    </w:p>
    <w:p w14:paraId="3D7366C8">
      <w:pPr>
        <w:spacing w:line="360" w:lineRule="auto"/>
        <w:ind w:firstLine="470" w:firstLineChars="196"/>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2.工程设计阶段：</w:t>
      </w:r>
    </w:p>
    <w:p w14:paraId="3463EB5A">
      <w:pPr>
        <w:spacing w:line="360" w:lineRule="auto"/>
        <w:ind w:firstLine="470" w:firstLineChars="196"/>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br w:type="page"/>
      </w:r>
    </w:p>
    <w:tbl>
      <w:tblPr>
        <w:tblStyle w:val="54"/>
        <w:tblW w:w="9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797"/>
        <w:gridCol w:w="543"/>
        <w:gridCol w:w="567"/>
        <w:gridCol w:w="733"/>
        <w:gridCol w:w="709"/>
        <w:gridCol w:w="700"/>
        <w:gridCol w:w="854"/>
        <w:gridCol w:w="1117"/>
        <w:gridCol w:w="928"/>
        <w:gridCol w:w="540"/>
        <w:gridCol w:w="750"/>
      </w:tblGrid>
      <w:tr w14:paraId="1ECB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 w:hRule="atLeast"/>
          <w:jc w:val="center"/>
        </w:trPr>
        <w:tc>
          <w:tcPr>
            <w:tcW w:w="1588" w:type="dxa"/>
            <w:gridSpan w:val="2"/>
            <w:vAlign w:val="center"/>
          </w:tcPr>
          <w:p w14:paraId="17E10052">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项目名称</w:t>
            </w:r>
          </w:p>
        </w:tc>
        <w:tc>
          <w:tcPr>
            <w:tcW w:w="7441" w:type="dxa"/>
            <w:gridSpan w:val="10"/>
            <w:tcBorders>
              <w:right w:val="single" w:color="auto" w:sz="4" w:space="0"/>
            </w:tcBorders>
            <w:vAlign w:val="center"/>
          </w:tcPr>
          <w:p w14:paraId="7046701C">
            <w:pPr>
              <w:spacing w:line="360" w:lineRule="auto"/>
              <w:ind w:left="-53" w:leftChars="-25" w:right="-53" w:rightChars="-25"/>
              <w:jc w:val="center"/>
              <w:rPr>
                <w:rFonts w:asciiTheme="minorEastAsia" w:hAnsiTheme="minorEastAsia" w:eastAsiaTheme="minorEastAsia"/>
                <w:szCs w:val="21"/>
                <w:highlight w:val="none"/>
              </w:rPr>
            </w:pPr>
          </w:p>
        </w:tc>
      </w:tr>
      <w:tr w14:paraId="5A08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88" w:type="dxa"/>
            <w:gridSpan w:val="2"/>
            <w:vAlign w:val="center"/>
          </w:tcPr>
          <w:p w14:paraId="7C1D4001">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建设规模</w:t>
            </w:r>
          </w:p>
        </w:tc>
        <w:tc>
          <w:tcPr>
            <w:tcW w:w="5223" w:type="dxa"/>
            <w:gridSpan w:val="7"/>
            <w:vAlign w:val="center"/>
          </w:tcPr>
          <w:p w14:paraId="28EEB011">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设计阶段及内容</w:t>
            </w:r>
          </w:p>
        </w:tc>
        <w:tc>
          <w:tcPr>
            <w:tcW w:w="928" w:type="dxa"/>
            <w:vMerge w:val="restart"/>
            <w:textDirection w:val="tbRlV"/>
            <w:vAlign w:val="center"/>
          </w:tcPr>
          <w:p w14:paraId="751054B9">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总投资额（亿元人民币）</w:t>
            </w:r>
          </w:p>
        </w:tc>
        <w:tc>
          <w:tcPr>
            <w:tcW w:w="540" w:type="dxa"/>
            <w:vMerge w:val="restart"/>
            <w:textDirection w:val="tbRlV"/>
            <w:vAlign w:val="center"/>
          </w:tcPr>
          <w:p w14:paraId="4870A174">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费率（％）</w:t>
            </w:r>
          </w:p>
        </w:tc>
        <w:tc>
          <w:tcPr>
            <w:tcW w:w="750" w:type="dxa"/>
            <w:vMerge w:val="restart"/>
            <w:tcBorders>
              <w:right w:val="single" w:color="auto" w:sz="4" w:space="0"/>
            </w:tcBorders>
            <w:textDirection w:val="tbRlV"/>
            <w:vAlign w:val="center"/>
          </w:tcPr>
          <w:p w14:paraId="45E53DA4">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合同价款（万元人民币）</w:t>
            </w:r>
          </w:p>
        </w:tc>
      </w:tr>
      <w:tr w14:paraId="746D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791" w:type="dxa"/>
            <w:vMerge w:val="restart"/>
            <w:vAlign w:val="center"/>
          </w:tcPr>
          <w:p w14:paraId="34023586">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规划高度（m）</w:t>
            </w:r>
          </w:p>
        </w:tc>
        <w:tc>
          <w:tcPr>
            <w:tcW w:w="797" w:type="dxa"/>
            <w:vMerge w:val="restart"/>
            <w:vAlign w:val="center"/>
          </w:tcPr>
          <w:p w14:paraId="0F23C3B0">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建筑</w:t>
            </w:r>
          </w:p>
          <w:p w14:paraId="156F5138">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面积（m</w:t>
            </w:r>
            <w:r>
              <w:rPr>
                <w:rFonts w:hint="eastAsia" w:asciiTheme="minorEastAsia" w:hAnsiTheme="minorEastAsia" w:eastAsiaTheme="minorEastAsia"/>
                <w:szCs w:val="21"/>
                <w:highlight w:val="none"/>
                <w:vertAlign w:val="superscript"/>
              </w:rPr>
              <w:t>2</w:t>
            </w:r>
            <w:r>
              <w:rPr>
                <w:rFonts w:hint="eastAsia" w:asciiTheme="minorEastAsia" w:hAnsiTheme="minorEastAsia" w:eastAsiaTheme="minorEastAsia"/>
                <w:szCs w:val="21"/>
                <w:highlight w:val="none"/>
              </w:rPr>
              <w:t>）</w:t>
            </w:r>
          </w:p>
        </w:tc>
        <w:tc>
          <w:tcPr>
            <w:tcW w:w="5223" w:type="dxa"/>
            <w:gridSpan w:val="7"/>
            <w:vAlign w:val="center"/>
          </w:tcPr>
          <w:p w14:paraId="2C6B37AA">
            <w:pPr>
              <w:spacing w:line="360" w:lineRule="auto"/>
              <w:ind w:left="-53" w:leftChars="-25" w:right="-53" w:rightChars="-25" w:firstLine="680"/>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各阶段提交设计成果文件版次</w:t>
            </w:r>
          </w:p>
        </w:tc>
        <w:tc>
          <w:tcPr>
            <w:tcW w:w="928" w:type="dxa"/>
            <w:vMerge w:val="continue"/>
          </w:tcPr>
          <w:p w14:paraId="1FA63B20">
            <w:pPr>
              <w:spacing w:line="360" w:lineRule="auto"/>
              <w:ind w:left="-53" w:leftChars="-25" w:right="-53" w:rightChars="-25" w:firstLine="680"/>
              <w:rPr>
                <w:rFonts w:asciiTheme="minorEastAsia" w:hAnsiTheme="minorEastAsia" w:eastAsiaTheme="minorEastAsia"/>
                <w:szCs w:val="21"/>
                <w:highlight w:val="none"/>
              </w:rPr>
            </w:pPr>
          </w:p>
        </w:tc>
        <w:tc>
          <w:tcPr>
            <w:tcW w:w="540" w:type="dxa"/>
            <w:vMerge w:val="continue"/>
          </w:tcPr>
          <w:p w14:paraId="46C6DA66">
            <w:pPr>
              <w:spacing w:line="360" w:lineRule="auto"/>
              <w:ind w:left="-53" w:leftChars="-25" w:right="-53" w:rightChars="-25" w:firstLine="680"/>
              <w:rPr>
                <w:rFonts w:asciiTheme="minorEastAsia" w:hAnsiTheme="minorEastAsia" w:eastAsiaTheme="minorEastAsia"/>
                <w:szCs w:val="21"/>
                <w:highlight w:val="none"/>
              </w:rPr>
            </w:pPr>
          </w:p>
        </w:tc>
        <w:tc>
          <w:tcPr>
            <w:tcW w:w="750" w:type="dxa"/>
            <w:vMerge w:val="continue"/>
            <w:tcBorders>
              <w:right w:val="single" w:color="auto" w:sz="4" w:space="0"/>
            </w:tcBorders>
          </w:tcPr>
          <w:p w14:paraId="3F0996FB">
            <w:pPr>
              <w:spacing w:line="360" w:lineRule="auto"/>
              <w:ind w:left="-53" w:leftChars="-25" w:right="-53" w:rightChars="-25" w:firstLine="680"/>
              <w:rPr>
                <w:rFonts w:asciiTheme="minorEastAsia" w:hAnsiTheme="minorEastAsia" w:eastAsiaTheme="minorEastAsia"/>
                <w:szCs w:val="21"/>
                <w:highlight w:val="none"/>
              </w:rPr>
            </w:pPr>
          </w:p>
        </w:tc>
      </w:tr>
      <w:tr w14:paraId="6C71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791" w:type="dxa"/>
            <w:vMerge w:val="continue"/>
            <w:vAlign w:val="center"/>
          </w:tcPr>
          <w:p w14:paraId="04DEDB87">
            <w:pPr>
              <w:spacing w:line="360" w:lineRule="auto"/>
              <w:ind w:left="-53" w:leftChars="-25" w:right="-53" w:rightChars="-25" w:firstLine="680"/>
              <w:rPr>
                <w:rFonts w:asciiTheme="minorEastAsia" w:hAnsiTheme="minorEastAsia" w:eastAsiaTheme="minorEastAsia"/>
                <w:szCs w:val="21"/>
                <w:highlight w:val="none"/>
              </w:rPr>
            </w:pPr>
          </w:p>
        </w:tc>
        <w:tc>
          <w:tcPr>
            <w:tcW w:w="797" w:type="dxa"/>
            <w:vMerge w:val="continue"/>
            <w:vAlign w:val="center"/>
          </w:tcPr>
          <w:p w14:paraId="2950246E">
            <w:pPr>
              <w:spacing w:line="360" w:lineRule="auto"/>
              <w:ind w:left="-53" w:leftChars="-25" w:right="-53" w:rightChars="-25" w:firstLine="680"/>
              <w:rPr>
                <w:rFonts w:asciiTheme="minorEastAsia" w:hAnsiTheme="minorEastAsia" w:eastAsiaTheme="minorEastAsia"/>
                <w:szCs w:val="21"/>
                <w:highlight w:val="none"/>
              </w:rPr>
            </w:pPr>
          </w:p>
        </w:tc>
        <w:tc>
          <w:tcPr>
            <w:tcW w:w="1843" w:type="dxa"/>
            <w:gridSpan w:val="3"/>
            <w:vAlign w:val="center"/>
          </w:tcPr>
          <w:p w14:paraId="6020184A">
            <w:pPr>
              <w:spacing w:line="360" w:lineRule="auto"/>
              <w:ind w:left="-53" w:leftChars="-25" w:right="-53" w:rightChars="-25"/>
              <w:jc w:val="center"/>
              <w:rPr>
                <w:rFonts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w:t>
            </w:r>
            <w:r>
              <w:rPr>
                <w:rFonts w:hint="eastAsia" w:asciiTheme="minorEastAsia" w:hAnsiTheme="minorEastAsia" w:eastAsiaTheme="minorEastAsia"/>
                <w:szCs w:val="21"/>
                <w:highlight w:val="none"/>
              </w:rPr>
              <w:t>方案优化</w:t>
            </w:r>
          </w:p>
          <w:p w14:paraId="09FCA930">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设计</w:t>
            </w:r>
          </w:p>
        </w:tc>
        <w:tc>
          <w:tcPr>
            <w:tcW w:w="709" w:type="dxa"/>
            <w:vAlign w:val="center"/>
          </w:tcPr>
          <w:p w14:paraId="2AC712BF">
            <w:pPr>
              <w:spacing w:line="360" w:lineRule="auto"/>
              <w:ind w:left="-53" w:leftChars="-25" w:right="-53" w:rightChars="-25"/>
              <w:jc w:val="center"/>
              <w:rPr>
                <w:rFonts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w:t>
            </w:r>
            <w:r>
              <w:rPr>
                <w:rFonts w:hint="eastAsia" w:asciiTheme="minorEastAsia" w:hAnsiTheme="minorEastAsia" w:eastAsiaTheme="minorEastAsia"/>
                <w:szCs w:val="21"/>
                <w:highlight w:val="none"/>
              </w:rPr>
              <w:t>初步设计</w:t>
            </w:r>
          </w:p>
        </w:tc>
        <w:tc>
          <w:tcPr>
            <w:tcW w:w="1554" w:type="dxa"/>
            <w:gridSpan w:val="2"/>
            <w:vAlign w:val="center"/>
          </w:tcPr>
          <w:p w14:paraId="56B9A806">
            <w:pPr>
              <w:spacing w:line="360" w:lineRule="auto"/>
              <w:ind w:left="-53" w:leftChars="-25" w:right="-53" w:rightChars="-25"/>
              <w:jc w:val="center"/>
              <w:rPr>
                <w:rFonts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w:t>
            </w:r>
            <w:r>
              <w:rPr>
                <w:rFonts w:hint="eastAsia" w:asciiTheme="minorEastAsia" w:hAnsiTheme="minorEastAsia" w:eastAsiaTheme="minorEastAsia"/>
                <w:szCs w:val="21"/>
                <w:highlight w:val="none"/>
              </w:rPr>
              <w:t>施工图</w:t>
            </w:r>
          </w:p>
          <w:p w14:paraId="04EA3975">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设计</w:t>
            </w:r>
          </w:p>
        </w:tc>
        <w:tc>
          <w:tcPr>
            <w:tcW w:w="1117" w:type="dxa"/>
            <w:vAlign w:val="center"/>
          </w:tcPr>
          <w:p w14:paraId="3E65725A">
            <w:pPr>
              <w:spacing w:line="360" w:lineRule="auto"/>
              <w:ind w:left="-53" w:leftChars="-25" w:right="-53" w:rightChars="-25"/>
              <w:jc w:val="center"/>
              <w:rPr>
                <w:rFonts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w:t>
            </w:r>
            <w:r>
              <w:rPr>
                <w:rFonts w:hint="eastAsia" w:asciiTheme="minorEastAsia" w:hAnsiTheme="minorEastAsia" w:eastAsiaTheme="minorEastAsia"/>
                <w:szCs w:val="21"/>
                <w:highlight w:val="none"/>
              </w:rPr>
              <w:t>竣工图审查</w:t>
            </w:r>
          </w:p>
        </w:tc>
        <w:tc>
          <w:tcPr>
            <w:tcW w:w="928" w:type="dxa"/>
            <w:vMerge w:val="continue"/>
          </w:tcPr>
          <w:p w14:paraId="5D98BB07">
            <w:pPr>
              <w:spacing w:line="360" w:lineRule="auto"/>
              <w:ind w:left="-53" w:leftChars="-25" w:right="-53" w:rightChars="-25" w:firstLine="680"/>
              <w:rPr>
                <w:rFonts w:asciiTheme="minorEastAsia" w:hAnsiTheme="minorEastAsia" w:eastAsiaTheme="minorEastAsia"/>
                <w:szCs w:val="21"/>
                <w:highlight w:val="none"/>
              </w:rPr>
            </w:pPr>
          </w:p>
        </w:tc>
        <w:tc>
          <w:tcPr>
            <w:tcW w:w="540" w:type="dxa"/>
            <w:vMerge w:val="continue"/>
          </w:tcPr>
          <w:p w14:paraId="7D701366">
            <w:pPr>
              <w:spacing w:line="360" w:lineRule="auto"/>
              <w:ind w:left="-53" w:leftChars="-25" w:right="-53" w:rightChars="-25" w:firstLine="680"/>
              <w:rPr>
                <w:rFonts w:asciiTheme="minorEastAsia" w:hAnsiTheme="minorEastAsia" w:eastAsiaTheme="minorEastAsia"/>
                <w:szCs w:val="21"/>
                <w:highlight w:val="none"/>
              </w:rPr>
            </w:pPr>
          </w:p>
        </w:tc>
        <w:tc>
          <w:tcPr>
            <w:tcW w:w="750" w:type="dxa"/>
            <w:vMerge w:val="continue"/>
            <w:tcBorders>
              <w:right w:val="single" w:color="auto" w:sz="4" w:space="0"/>
            </w:tcBorders>
          </w:tcPr>
          <w:p w14:paraId="010327AB">
            <w:pPr>
              <w:spacing w:line="360" w:lineRule="auto"/>
              <w:ind w:left="-53" w:leftChars="-25" w:right="-53" w:rightChars="-25" w:firstLine="680"/>
              <w:rPr>
                <w:rFonts w:asciiTheme="minorEastAsia" w:hAnsiTheme="minorEastAsia" w:eastAsiaTheme="minorEastAsia"/>
                <w:szCs w:val="21"/>
                <w:highlight w:val="none"/>
              </w:rPr>
            </w:pPr>
          </w:p>
        </w:tc>
      </w:tr>
      <w:tr w14:paraId="1771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jc w:val="center"/>
        </w:trPr>
        <w:tc>
          <w:tcPr>
            <w:tcW w:w="791" w:type="dxa"/>
            <w:vMerge w:val="continue"/>
            <w:vAlign w:val="center"/>
          </w:tcPr>
          <w:p w14:paraId="1B61DB09">
            <w:pPr>
              <w:spacing w:line="360" w:lineRule="auto"/>
              <w:ind w:left="-53" w:leftChars="-25" w:right="-53" w:rightChars="-25" w:firstLine="680"/>
              <w:rPr>
                <w:rFonts w:asciiTheme="minorEastAsia" w:hAnsiTheme="minorEastAsia" w:eastAsiaTheme="minorEastAsia"/>
                <w:szCs w:val="21"/>
                <w:highlight w:val="none"/>
              </w:rPr>
            </w:pPr>
          </w:p>
        </w:tc>
        <w:tc>
          <w:tcPr>
            <w:tcW w:w="797" w:type="dxa"/>
            <w:vMerge w:val="continue"/>
            <w:vAlign w:val="center"/>
          </w:tcPr>
          <w:p w14:paraId="4E840582">
            <w:pPr>
              <w:spacing w:line="360" w:lineRule="auto"/>
              <w:ind w:left="-53" w:leftChars="-25" w:right="-53" w:rightChars="-25" w:firstLine="680"/>
              <w:rPr>
                <w:rFonts w:asciiTheme="minorEastAsia" w:hAnsiTheme="minorEastAsia" w:eastAsiaTheme="minorEastAsia"/>
                <w:szCs w:val="21"/>
                <w:highlight w:val="none"/>
              </w:rPr>
            </w:pPr>
          </w:p>
        </w:tc>
        <w:tc>
          <w:tcPr>
            <w:tcW w:w="543" w:type="dxa"/>
            <w:vAlign w:val="center"/>
          </w:tcPr>
          <w:p w14:paraId="7E02A6F0">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版</w:t>
            </w:r>
          </w:p>
          <w:p w14:paraId="737041D2">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次</w:t>
            </w:r>
          </w:p>
          <w:p w14:paraId="2515B0D2">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1</w:t>
            </w:r>
          </w:p>
        </w:tc>
        <w:tc>
          <w:tcPr>
            <w:tcW w:w="567" w:type="dxa"/>
            <w:vAlign w:val="center"/>
          </w:tcPr>
          <w:p w14:paraId="22765E8A">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版次</w:t>
            </w:r>
          </w:p>
          <w:p w14:paraId="1DD2598E">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2</w:t>
            </w:r>
          </w:p>
        </w:tc>
        <w:tc>
          <w:tcPr>
            <w:tcW w:w="733" w:type="dxa"/>
            <w:vAlign w:val="center"/>
          </w:tcPr>
          <w:p w14:paraId="68A2CB66">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版</w:t>
            </w:r>
          </w:p>
          <w:p w14:paraId="72514190">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次</w:t>
            </w:r>
          </w:p>
          <w:p w14:paraId="7B6948B4">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3</w:t>
            </w:r>
          </w:p>
        </w:tc>
        <w:tc>
          <w:tcPr>
            <w:tcW w:w="709" w:type="dxa"/>
            <w:vAlign w:val="center"/>
          </w:tcPr>
          <w:p w14:paraId="124332D3">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版</w:t>
            </w:r>
          </w:p>
          <w:p w14:paraId="4E8D09B8">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次</w:t>
            </w:r>
          </w:p>
          <w:p w14:paraId="755E112C">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4</w:t>
            </w:r>
          </w:p>
        </w:tc>
        <w:tc>
          <w:tcPr>
            <w:tcW w:w="700" w:type="dxa"/>
            <w:vAlign w:val="center"/>
          </w:tcPr>
          <w:p w14:paraId="211FE338">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版</w:t>
            </w:r>
          </w:p>
          <w:p w14:paraId="383A3DD3">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次</w:t>
            </w:r>
          </w:p>
          <w:p w14:paraId="663955BE">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5</w:t>
            </w:r>
          </w:p>
        </w:tc>
        <w:tc>
          <w:tcPr>
            <w:tcW w:w="854" w:type="dxa"/>
            <w:vAlign w:val="center"/>
          </w:tcPr>
          <w:p w14:paraId="7947B9F5">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版</w:t>
            </w:r>
          </w:p>
          <w:p w14:paraId="758EA9A5">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次</w:t>
            </w:r>
          </w:p>
          <w:p w14:paraId="2ACC381F">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6</w:t>
            </w:r>
          </w:p>
        </w:tc>
        <w:tc>
          <w:tcPr>
            <w:tcW w:w="1117" w:type="dxa"/>
            <w:vAlign w:val="center"/>
          </w:tcPr>
          <w:p w14:paraId="56E24D38">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版</w:t>
            </w:r>
          </w:p>
          <w:p w14:paraId="586874F7">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次</w:t>
            </w:r>
          </w:p>
          <w:p w14:paraId="5B50B856">
            <w:pPr>
              <w:spacing w:line="360" w:lineRule="auto"/>
              <w:ind w:left="-53" w:leftChars="-25" w:right="-53" w:rightChars="-25"/>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7</w:t>
            </w:r>
          </w:p>
        </w:tc>
        <w:tc>
          <w:tcPr>
            <w:tcW w:w="928" w:type="dxa"/>
            <w:vMerge w:val="continue"/>
          </w:tcPr>
          <w:p w14:paraId="73C2BB2D">
            <w:pPr>
              <w:spacing w:line="360" w:lineRule="auto"/>
              <w:ind w:left="-53" w:leftChars="-25" w:right="-53" w:rightChars="-25" w:firstLine="680"/>
              <w:rPr>
                <w:rFonts w:asciiTheme="minorEastAsia" w:hAnsiTheme="minorEastAsia" w:eastAsiaTheme="minorEastAsia"/>
                <w:szCs w:val="21"/>
                <w:highlight w:val="none"/>
              </w:rPr>
            </w:pPr>
          </w:p>
        </w:tc>
        <w:tc>
          <w:tcPr>
            <w:tcW w:w="540" w:type="dxa"/>
            <w:vMerge w:val="continue"/>
          </w:tcPr>
          <w:p w14:paraId="79FB283A">
            <w:pPr>
              <w:spacing w:line="360" w:lineRule="auto"/>
              <w:ind w:left="-53" w:leftChars="-25" w:right="-53" w:rightChars="-25" w:firstLine="680"/>
              <w:rPr>
                <w:rFonts w:asciiTheme="minorEastAsia" w:hAnsiTheme="minorEastAsia" w:eastAsiaTheme="minorEastAsia"/>
                <w:szCs w:val="21"/>
                <w:highlight w:val="none"/>
              </w:rPr>
            </w:pPr>
          </w:p>
        </w:tc>
        <w:tc>
          <w:tcPr>
            <w:tcW w:w="750" w:type="dxa"/>
            <w:vMerge w:val="continue"/>
            <w:tcBorders>
              <w:right w:val="single" w:color="auto" w:sz="4" w:space="0"/>
            </w:tcBorders>
          </w:tcPr>
          <w:p w14:paraId="2FDC99DB">
            <w:pPr>
              <w:spacing w:line="360" w:lineRule="auto"/>
              <w:ind w:left="-53" w:leftChars="-25" w:right="-53" w:rightChars="-25" w:firstLine="680"/>
              <w:rPr>
                <w:rFonts w:asciiTheme="minorEastAsia" w:hAnsiTheme="minorEastAsia" w:eastAsiaTheme="minorEastAsia"/>
                <w:szCs w:val="21"/>
                <w:highlight w:val="none"/>
              </w:rPr>
            </w:pPr>
          </w:p>
        </w:tc>
      </w:tr>
      <w:tr w14:paraId="3D3E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791" w:type="dxa"/>
            <w:vAlign w:val="center"/>
          </w:tcPr>
          <w:p w14:paraId="19354AEA">
            <w:pPr>
              <w:spacing w:line="360" w:lineRule="auto"/>
              <w:ind w:left="-53" w:leftChars="-25" w:right="-53" w:rightChars="-25"/>
              <w:jc w:val="center"/>
              <w:rPr>
                <w:rFonts w:asciiTheme="minorEastAsia" w:hAnsiTheme="minorEastAsia" w:eastAsiaTheme="minorEastAsia"/>
                <w:szCs w:val="21"/>
                <w:highlight w:val="none"/>
              </w:rPr>
            </w:pPr>
          </w:p>
        </w:tc>
        <w:tc>
          <w:tcPr>
            <w:tcW w:w="797" w:type="dxa"/>
            <w:vAlign w:val="center"/>
          </w:tcPr>
          <w:p w14:paraId="3155BE11">
            <w:pPr>
              <w:spacing w:line="360" w:lineRule="auto"/>
              <w:ind w:left="-53" w:leftChars="-25" w:right="-53" w:rightChars="-25"/>
              <w:jc w:val="center"/>
              <w:rPr>
                <w:rFonts w:asciiTheme="minorEastAsia" w:hAnsiTheme="minorEastAsia" w:eastAsiaTheme="minorEastAsia"/>
                <w:szCs w:val="21"/>
                <w:highlight w:val="none"/>
              </w:rPr>
            </w:pPr>
          </w:p>
        </w:tc>
        <w:tc>
          <w:tcPr>
            <w:tcW w:w="5223" w:type="dxa"/>
            <w:gridSpan w:val="7"/>
          </w:tcPr>
          <w:p w14:paraId="22CEC7D4">
            <w:pPr>
              <w:pStyle w:val="300"/>
              <w:spacing w:line="360" w:lineRule="auto"/>
              <w:ind w:left="-53" w:leftChars="-25" w:right="-53" w:rightChars="-25"/>
              <w:rPr>
                <w:rFonts w:asciiTheme="minorEastAsia" w:hAnsiTheme="minorEastAsia" w:eastAsiaTheme="minorEastAsia"/>
                <w:kern w:val="2"/>
                <w:sz w:val="21"/>
                <w:szCs w:val="21"/>
                <w:highlight w:val="none"/>
              </w:rPr>
            </w:pPr>
            <w:r>
              <w:rPr>
                <w:rFonts w:hint="eastAsia" w:asciiTheme="minorEastAsia" w:hAnsiTheme="minorEastAsia" w:eastAsiaTheme="minorEastAsia"/>
                <w:kern w:val="2"/>
                <w:sz w:val="21"/>
                <w:szCs w:val="21"/>
                <w:highlight w:val="none"/>
              </w:rPr>
              <w:t>提交设计成果文件版次说明、设计内容见下本合同条款及附件</w:t>
            </w:r>
          </w:p>
        </w:tc>
        <w:tc>
          <w:tcPr>
            <w:tcW w:w="928" w:type="dxa"/>
            <w:vAlign w:val="center"/>
          </w:tcPr>
          <w:p w14:paraId="779220B5">
            <w:pPr>
              <w:snapToGrid w:val="0"/>
              <w:spacing w:line="360" w:lineRule="auto"/>
              <w:ind w:left="-53" w:leftChars="-25" w:right="-53" w:rightChars="-25"/>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以政府批准的概算为准</w:t>
            </w:r>
          </w:p>
        </w:tc>
        <w:tc>
          <w:tcPr>
            <w:tcW w:w="540" w:type="dxa"/>
            <w:vAlign w:val="center"/>
          </w:tcPr>
          <w:p w14:paraId="0E7B09CA">
            <w:pPr>
              <w:spacing w:line="360" w:lineRule="auto"/>
              <w:ind w:left="-53" w:leftChars="-25" w:right="-53" w:rightChars="-25"/>
              <w:jc w:val="center"/>
              <w:rPr>
                <w:rFonts w:asciiTheme="minorEastAsia" w:hAnsiTheme="minorEastAsia" w:eastAsiaTheme="minorEastAsia"/>
                <w:szCs w:val="21"/>
                <w:highlight w:val="none"/>
              </w:rPr>
            </w:pPr>
          </w:p>
        </w:tc>
        <w:tc>
          <w:tcPr>
            <w:tcW w:w="750" w:type="dxa"/>
            <w:vAlign w:val="center"/>
          </w:tcPr>
          <w:p w14:paraId="3E23E5E5">
            <w:pPr>
              <w:snapToGrid w:val="0"/>
              <w:spacing w:line="360" w:lineRule="auto"/>
              <w:ind w:left="-53" w:leftChars="-25" w:right="-53" w:rightChars="-25"/>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 xml:space="preserve"> (含设计费万、勘察费万）</w:t>
            </w:r>
          </w:p>
        </w:tc>
      </w:tr>
    </w:tbl>
    <w:p w14:paraId="713F2A89">
      <w:pPr>
        <w:spacing w:line="360" w:lineRule="auto"/>
        <w:ind w:firstLine="470" w:firstLineChars="196"/>
        <w:rPr>
          <w:rFonts w:asciiTheme="minorEastAsia" w:hAnsiTheme="minorEastAsia" w:eastAsiaTheme="minorEastAsia"/>
          <w:bCs/>
          <w:sz w:val="24"/>
          <w:szCs w:val="24"/>
          <w:highlight w:val="none"/>
          <w:u w:val="single"/>
        </w:rPr>
      </w:pPr>
    </w:p>
    <w:p w14:paraId="3D7A621B">
      <w:pPr>
        <w:spacing w:line="360" w:lineRule="auto"/>
        <w:ind w:firstLine="470" w:firstLineChars="196"/>
        <w:rPr>
          <w:rFonts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3.工程勘察设计服务内容：</w:t>
      </w:r>
    </w:p>
    <w:p w14:paraId="7DFCF74B">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口（1）勘察服务范围：包括但不限于岩土工程勘察（包含不限于</w:t>
      </w:r>
      <w:r>
        <w:rPr>
          <w:rFonts w:hint="eastAsia" w:asciiTheme="minorEastAsia" w:hAnsiTheme="minorEastAsia" w:eastAsiaTheme="minorEastAsia"/>
          <w:sz w:val="24"/>
          <w:szCs w:val="24"/>
          <w:highlight w:val="none"/>
          <w:u w:val="single"/>
          <w:lang w:eastAsia="zh-CN"/>
        </w:rPr>
        <w:t>☑</w:t>
      </w:r>
      <w:r>
        <w:rPr>
          <w:rFonts w:hint="eastAsia" w:asciiTheme="minorEastAsia" w:hAnsiTheme="minorEastAsia" w:eastAsiaTheme="minorEastAsia"/>
          <w:sz w:val="24"/>
          <w:szCs w:val="24"/>
          <w:highlight w:val="none"/>
          <w:u w:val="single"/>
        </w:rPr>
        <w:t>初勘、</w:t>
      </w:r>
      <w:r>
        <w:rPr>
          <w:rFonts w:hint="eastAsia" w:asciiTheme="minorEastAsia" w:hAnsiTheme="minorEastAsia" w:eastAsiaTheme="minorEastAsia"/>
          <w:sz w:val="24"/>
          <w:szCs w:val="24"/>
          <w:highlight w:val="none"/>
          <w:u w:val="single"/>
          <w:lang w:eastAsia="zh-CN"/>
        </w:rPr>
        <w:t>☑</w:t>
      </w:r>
      <w:r>
        <w:rPr>
          <w:rFonts w:hint="eastAsia" w:asciiTheme="minorEastAsia" w:hAnsiTheme="minorEastAsia" w:eastAsiaTheme="minorEastAsia"/>
          <w:sz w:val="24"/>
          <w:szCs w:val="24"/>
          <w:highlight w:val="none"/>
          <w:u w:val="single"/>
        </w:rPr>
        <w:t>详勘、</w:t>
      </w:r>
      <w:r>
        <w:rPr>
          <w:rFonts w:hint="eastAsia" w:asciiTheme="minorEastAsia" w:hAnsiTheme="minorEastAsia" w:eastAsiaTheme="minorEastAsia"/>
          <w:sz w:val="24"/>
          <w:szCs w:val="24"/>
          <w:highlight w:val="none"/>
          <w:u w:val="single"/>
          <w:lang w:eastAsia="zh-CN"/>
        </w:rPr>
        <w:t>☑</w:t>
      </w:r>
      <w:r>
        <w:rPr>
          <w:rFonts w:hint="eastAsia" w:asciiTheme="minorEastAsia" w:hAnsiTheme="minorEastAsia" w:eastAsiaTheme="minorEastAsia"/>
          <w:sz w:val="24"/>
          <w:szCs w:val="24"/>
          <w:highlight w:val="none"/>
          <w:u w:val="single"/>
        </w:rPr>
        <w:t>剪切波速试验、</w:t>
      </w:r>
      <w:r>
        <w:rPr>
          <w:rFonts w:hint="eastAsia" w:asciiTheme="minorEastAsia" w:hAnsiTheme="minorEastAsia" w:eastAsiaTheme="minorEastAsia"/>
          <w:sz w:val="24"/>
          <w:szCs w:val="24"/>
          <w:highlight w:val="none"/>
          <w:u w:val="single"/>
          <w:lang w:eastAsia="zh-CN"/>
        </w:rPr>
        <w:t>☑</w:t>
      </w:r>
      <w:r>
        <w:rPr>
          <w:rFonts w:hint="eastAsia" w:asciiTheme="minorEastAsia" w:hAnsiTheme="minorEastAsia" w:eastAsiaTheme="minorEastAsia"/>
          <w:sz w:val="24"/>
          <w:szCs w:val="24"/>
          <w:highlight w:val="none"/>
          <w:u w:val="single"/>
        </w:rPr>
        <w:t>土抽水试验、</w:t>
      </w:r>
      <w:r>
        <w:rPr>
          <w:rFonts w:hint="eastAsia" w:asciiTheme="minorEastAsia" w:hAnsiTheme="minorEastAsia" w:eastAsiaTheme="minorEastAsia"/>
          <w:sz w:val="24"/>
          <w:szCs w:val="24"/>
          <w:highlight w:val="none"/>
          <w:u w:val="single"/>
          <w:lang w:eastAsia="zh-CN"/>
        </w:rPr>
        <w:t>☑</w:t>
      </w:r>
      <w:r>
        <w:rPr>
          <w:rFonts w:hint="eastAsia" w:asciiTheme="minorEastAsia" w:hAnsiTheme="minorEastAsia" w:eastAsiaTheme="minorEastAsia"/>
          <w:sz w:val="24"/>
          <w:szCs w:val="24"/>
          <w:highlight w:val="none"/>
          <w:u w:val="single"/>
        </w:rPr>
        <w:t>土壤氡浓度检测等）、</w:t>
      </w:r>
      <w:r>
        <w:rPr>
          <w:rFonts w:hint="eastAsia" w:asciiTheme="minorEastAsia" w:hAnsiTheme="minorEastAsia" w:eastAsiaTheme="minorEastAsia"/>
          <w:sz w:val="24"/>
          <w:szCs w:val="24"/>
          <w:highlight w:val="none"/>
          <w:u w:val="single"/>
          <w:lang w:eastAsia="zh-CN"/>
        </w:rPr>
        <w:t>☑</w:t>
      </w:r>
      <w:r>
        <w:rPr>
          <w:rFonts w:hint="eastAsia" w:ascii="宋体" w:hAnsi="宋体"/>
          <w:szCs w:val="21"/>
          <w:highlight w:val="none"/>
          <w:u w:val="single"/>
        </w:rPr>
        <w:t>地形地貌测量</w:t>
      </w:r>
      <w:r>
        <w:rPr>
          <w:rFonts w:hint="eastAsia" w:asciiTheme="minorEastAsia" w:hAnsiTheme="minorEastAsia" w:eastAsiaTheme="minorEastAsia"/>
          <w:sz w:val="24"/>
          <w:szCs w:val="24"/>
          <w:highlight w:val="none"/>
          <w:u w:val="single"/>
        </w:rPr>
        <w:t>、</w:t>
      </w:r>
      <w:r>
        <w:rPr>
          <w:rFonts w:hint="eastAsia" w:asciiTheme="minorEastAsia" w:hAnsiTheme="minorEastAsia" w:eastAsiaTheme="minorEastAsia"/>
          <w:sz w:val="24"/>
          <w:szCs w:val="24"/>
          <w:highlight w:val="none"/>
          <w:u w:val="single"/>
          <w:lang w:eastAsia="zh-CN"/>
        </w:rPr>
        <w:t>☑</w:t>
      </w:r>
      <w:r>
        <w:rPr>
          <w:rFonts w:hint="eastAsia" w:asciiTheme="minorEastAsia" w:hAnsiTheme="minorEastAsia" w:eastAsiaTheme="minorEastAsia"/>
          <w:sz w:val="24"/>
          <w:szCs w:val="24"/>
          <w:highlight w:val="none"/>
          <w:u w:val="single"/>
        </w:rPr>
        <w:t>超前钻(如有）、</w:t>
      </w:r>
      <w:r>
        <w:rPr>
          <w:rFonts w:hint="eastAsia" w:asciiTheme="minorEastAsia" w:hAnsiTheme="minorEastAsia" w:eastAsiaTheme="minorEastAsia"/>
          <w:sz w:val="24"/>
          <w:szCs w:val="24"/>
          <w:highlight w:val="none"/>
          <w:u w:val="single"/>
          <w:lang w:eastAsia="zh-CN"/>
        </w:rPr>
        <w:t>☑</w:t>
      </w:r>
      <w:r>
        <w:rPr>
          <w:rFonts w:hint="eastAsia" w:asciiTheme="minorEastAsia" w:hAnsiTheme="minorEastAsia" w:eastAsiaTheme="minorEastAsia"/>
          <w:sz w:val="24"/>
          <w:szCs w:val="24"/>
          <w:highlight w:val="none"/>
          <w:u w:val="single"/>
        </w:rPr>
        <w:t>地下管线、建（构）筑物和障碍物工程物探、</w:t>
      </w:r>
      <w:r>
        <w:rPr>
          <w:rFonts w:hint="eastAsia" w:asciiTheme="minorEastAsia" w:hAnsiTheme="minorEastAsia" w:eastAsiaTheme="minorEastAsia"/>
          <w:sz w:val="24"/>
          <w:szCs w:val="24"/>
          <w:highlight w:val="none"/>
          <w:u w:val="single"/>
          <w:lang w:eastAsia="zh-CN"/>
        </w:rPr>
        <w:t>☑</w:t>
      </w:r>
      <w:r>
        <w:rPr>
          <w:rFonts w:hint="eastAsia" w:asciiTheme="minorEastAsia" w:hAnsiTheme="minorEastAsia" w:eastAsiaTheme="minorEastAsia"/>
          <w:sz w:val="24"/>
          <w:szCs w:val="24"/>
          <w:highlight w:val="none"/>
          <w:u w:val="single"/>
        </w:rPr>
        <w:t>水文地质勘察等工作，以及对应方案设计（含深化设计）、规划设计、初步设计、施工图设计、施工等各阶段的勘察要求。</w:t>
      </w:r>
    </w:p>
    <w:p w14:paraId="4B93824E">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lang w:eastAsia="zh-CN"/>
        </w:rPr>
        <w:t>☑</w:t>
      </w:r>
      <w:r>
        <w:rPr>
          <w:rFonts w:hint="eastAsia" w:asciiTheme="minorEastAsia" w:hAnsiTheme="minorEastAsia" w:eastAsiaTheme="minorEastAsia"/>
          <w:sz w:val="24"/>
          <w:szCs w:val="24"/>
          <w:highlight w:val="none"/>
          <w:u w:val="single"/>
        </w:rPr>
        <w:t>（2）现状摸查及编制摸查报告：报告包含但不限于项目概况、项目现状、地下管线、周边市政条件、报批报建工作进展、勘察设计工作进展、建设工作界面、勘察设计工作计划、存在的问题及相关建议等内容，前期摸查报告需经招标人审核通过后视为完成。</w:t>
      </w:r>
    </w:p>
    <w:p w14:paraId="4988FD24">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lang w:eastAsia="zh-CN"/>
        </w:rPr>
        <w:t>☑</w:t>
      </w:r>
      <w:r>
        <w:rPr>
          <w:rFonts w:hint="eastAsia" w:asciiTheme="minorEastAsia" w:hAnsiTheme="minorEastAsia" w:eastAsiaTheme="minorEastAsia"/>
          <w:sz w:val="24"/>
          <w:szCs w:val="24"/>
          <w:highlight w:val="none"/>
          <w:u w:val="single"/>
        </w:rPr>
        <w:t>（3）设计方案报审工作(含设计方案审查（房屋建筑类）设计工作）(如有）：在编制设计方案过程中，根据使用单位需求及发包人要求对实际功能布局进行深化优化，在现行政策规定下完成设计方案审查并同步推进控制性详细规划修正。设计方案审查范围包括总平面及竖向规划设计、管线综合设计、建筑布局、交通组织、景观绿化、建筑立面、环境节能保护等（具体以招标人要求为准）。</w:t>
      </w:r>
    </w:p>
    <w:p w14:paraId="40F1CDB8">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lang w:eastAsia="zh-CN"/>
        </w:rPr>
        <w:t>☑</w:t>
      </w:r>
      <w:r>
        <w:rPr>
          <w:rFonts w:hint="eastAsia" w:asciiTheme="minorEastAsia" w:hAnsiTheme="minorEastAsia" w:eastAsiaTheme="minorEastAsia"/>
          <w:sz w:val="24"/>
          <w:szCs w:val="24"/>
          <w:highlight w:val="none"/>
          <w:u w:val="single"/>
        </w:rPr>
        <w:t>（4）设计主要阶段：所有建设内容（含BIM设计）的方案设计、初步设计、施工图设计、竣工图审核。包括:总平面规划、建筑、结构、人防、消防、给排水、电气、暖通、市政管网、暗渠改道、园林道路及绿化景观、室内精装修、楼内标示系统。</w:t>
      </w:r>
    </w:p>
    <w:p w14:paraId="3B5CB648">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lang w:eastAsia="zh-CN"/>
        </w:rPr>
        <w:t>☑</w:t>
      </w:r>
      <w:r>
        <w:rPr>
          <w:rFonts w:hint="eastAsia" w:asciiTheme="minorEastAsia" w:hAnsiTheme="minorEastAsia" w:eastAsiaTheme="minorEastAsia"/>
          <w:sz w:val="24"/>
          <w:szCs w:val="24"/>
          <w:highlight w:val="none"/>
          <w:u w:val="single"/>
        </w:rPr>
        <w:t>（5）建筑节能与新技术的应用及设计：包括节能、环保、绿色建筑、海绵城市、BIM等专项工程设计，项目设计全过程须应用BIM技术。</w:t>
      </w:r>
    </w:p>
    <w:p w14:paraId="1C9559E9">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lang w:eastAsia="zh-CN"/>
        </w:rPr>
        <w:t>☑</w:t>
      </w:r>
      <w:r>
        <w:rPr>
          <w:rFonts w:hint="eastAsia" w:asciiTheme="minorEastAsia" w:hAnsiTheme="minorEastAsia" w:eastAsiaTheme="minorEastAsia"/>
          <w:sz w:val="24"/>
          <w:szCs w:val="24"/>
          <w:highlight w:val="none"/>
          <w:u w:val="single"/>
        </w:rPr>
        <w:t>（6）本项目质量目标：本项目工程质量目标须符合《建设工程质量管理条例》、《建设工程勘察设计管理条例》、《建筑工程设计文件编制深度规定（2016年版）》等国家及地方有关工程设计管理法规和规章，达到行业相关规范技术标准等要求。绿色建筑目标为绿色建筑二星标准设计。相关费用已包含在投标报价中，招标人不再另行支付费用。</w:t>
      </w:r>
    </w:p>
    <w:p w14:paraId="0ACCB645">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lang w:eastAsia="zh-CN"/>
        </w:rPr>
        <w:t>☑</w:t>
      </w:r>
      <w:r>
        <w:rPr>
          <w:rFonts w:hint="eastAsia" w:asciiTheme="minorEastAsia" w:hAnsiTheme="minorEastAsia" w:eastAsiaTheme="minorEastAsia"/>
          <w:sz w:val="24"/>
          <w:szCs w:val="24"/>
          <w:highlight w:val="none"/>
          <w:u w:val="single"/>
        </w:rPr>
        <w:t>（</w:t>
      </w:r>
      <w:r>
        <w:rPr>
          <w:rFonts w:hint="eastAsia" w:asciiTheme="minorEastAsia" w:hAnsiTheme="minorEastAsia" w:eastAsiaTheme="minorEastAsia"/>
          <w:sz w:val="24"/>
          <w:szCs w:val="24"/>
          <w:highlight w:val="none"/>
          <w:u w:val="single"/>
          <w:lang w:val="en-US" w:eastAsia="zh-CN"/>
        </w:rPr>
        <w:t>7</w:t>
      </w:r>
      <w:r>
        <w:rPr>
          <w:rFonts w:hint="eastAsia" w:asciiTheme="minorEastAsia" w:hAnsiTheme="minorEastAsia" w:eastAsiaTheme="minorEastAsia"/>
          <w:sz w:val="24"/>
          <w:szCs w:val="24"/>
          <w:highlight w:val="none"/>
          <w:u w:val="single"/>
        </w:rPr>
        <w:t>）BIM技术运用：整个设计过程运用BIM建筑信息模型，运用BIM检查初步设计、施工图设计中的错、漏、碰、缺，利用BIM技术进行管线综合平衡设计，出具基于BIM技术导出的施工图预算，要求实现项目参与各方在同一平台上项目信息数据共享，在BIM中插入、提取、更新和修改信息，确保各方协同作业，建立运营维护模型，指导实际运行、维护管理工作。BIM模型成果文件需上传到广东省代建项目管理局BIM协同管理平台上，且BIM技术要求必须达到《省属代建项目设计阶段BIM应用管理指引》的要求，BIM完成情况纳入合同履约诚信考核。</w:t>
      </w:r>
    </w:p>
    <w:p w14:paraId="7C919468">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lang w:eastAsia="zh-CN"/>
        </w:rPr>
        <w:t>☑</w:t>
      </w:r>
      <w:r>
        <w:rPr>
          <w:rFonts w:hint="eastAsia" w:asciiTheme="minorEastAsia" w:hAnsiTheme="minorEastAsia" w:eastAsiaTheme="minorEastAsia"/>
          <w:sz w:val="24"/>
          <w:szCs w:val="24"/>
          <w:highlight w:val="none"/>
          <w:u w:val="single"/>
        </w:rPr>
        <w:t>（</w:t>
      </w:r>
      <w:r>
        <w:rPr>
          <w:rFonts w:hint="eastAsia" w:asciiTheme="minorEastAsia" w:hAnsiTheme="minorEastAsia" w:eastAsiaTheme="minorEastAsia"/>
          <w:sz w:val="24"/>
          <w:szCs w:val="24"/>
          <w:highlight w:val="none"/>
          <w:u w:val="single"/>
          <w:lang w:val="en-US" w:eastAsia="zh-CN"/>
        </w:rPr>
        <w:t>8</w:t>
      </w:r>
      <w:r>
        <w:rPr>
          <w:rFonts w:hint="eastAsia" w:asciiTheme="minorEastAsia" w:hAnsiTheme="minorEastAsia" w:eastAsiaTheme="minorEastAsia"/>
          <w:sz w:val="24"/>
          <w:szCs w:val="24"/>
          <w:highlight w:val="none"/>
          <w:u w:val="single"/>
        </w:rPr>
        <w:t>）其他工作：</w:t>
      </w:r>
    </w:p>
    <w:p w14:paraId="360B51E9">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造价文件编制工作：按照限额设计要求，完成本项目招标范围内工程投资方案设计估算、初步设计概算等造价文件的编制及相关配合报审工作，协助发包人取得发展改革部门的批复意见。还包括各阶段方案比选、技术选型比选的投资分析、施工阶段的设计变更造价变化分析、协助竣工图审核等。</w:t>
      </w:r>
    </w:p>
    <w:p w14:paraId="062C470A">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技术配合工作：发包人后续各类招标工作配合、施工配合、现场服务、竣工验收及概算清理、专题研究等；配合设计审查（概念方案审查、设计方案审查、初步设计审查和施工图设计审查）及相关配套设计服务（包括不限于修详通、报建通、竣工通）等项目全过程的设计服务。</w:t>
      </w:r>
    </w:p>
    <w:p w14:paraId="5BF18C2B">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3）报建配合工作：立项（含可研）范围内综合管线规划设计报批、建筑设计方案审查等的所有用地、规划、建筑、技术、管线、专项等各类报建配合、协调工作等。</w:t>
      </w:r>
    </w:p>
    <w:p w14:paraId="663F72F6">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4）设计文件修改、完善工作：中标人应根据政府相关行政主管部门、行业主管部门的审批意见无条件地修改、完善各阶段的设计成果文件，确保其满足相关的审批要求；中标人应根据施工图审查单位的审查、招标人的设计评审、招标人组织的专业人士的意见对设计成果文件进行修改、完善。</w:t>
      </w:r>
    </w:p>
    <w:p w14:paraId="5CA4ABB7">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5)设计配合工作包括临水（临时外水）、临电（临时外电）、施工总平面等设计工作；</w:t>
      </w:r>
    </w:p>
    <w:p w14:paraId="16944D8D">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6)现场服务：现场指导与监督、施工配合（含派设计代表驻现场），及时处理现场设计问题。</w:t>
      </w:r>
    </w:p>
    <w:p w14:paraId="23215E27">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7)用于材料、设备、施工等招标内容的技术文件编制；</w:t>
      </w:r>
    </w:p>
    <w:p w14:paraId="019DA044">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8)协助提供工程实体质量监督抽测及监测等咨询工作的招标要求（包括技术要求及清单、预算）等；</w:t>
      </w:r>
    </w:p>
    <w:p w14:paraId="3A2E32FB">
      <w:pPr>
        <w:spacing w:line="360" w:lineRule="auto"/>
        <w:ind w:firstLine="470" w:firstLineChars="196"/>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9)工程量清单编制服务。根据审核完成的初步设计方案做好工程量清单的编制工作。</w:t>
      </w:r>
    </w:p>
    <w:p w14:paraId="7FE2878C">
      <w:pPr>
        <w:spacing w:line="360" w:lineRule="auto"/>
        <w:ind w:firstLine="470" w:firstLineChars="196"/>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u w:val="single"/>
        </w:rPr>
        <w:t>各阶段设计文件深度要求必须满足《建筑工程设计文件编制深度规定》的要求，各专业还应该满足各专业工程设计文件编制深度规范或规定的要求。</w:t>
      </w:r>
    </w:p>
    <w:p w14:paraId="0090A240">
      <w:pPr>
        <w:pStyle w:val="5"/>
        <w:spacing w:before="120" w:after="120" w:line="360" w:lineRule="auto"/>
        <w:rPr>
          <w:rFonts w:asciiTheme="minorEastAsia" w:hAnsiTheme="minorEastAsia" w:eastAsiaTheme="minorEastAsia"/>
          <w:b w:val="0"/>
          <w:sz w:val="24"/>
          <w:szCs w:val="24"/>
          <w:highlight w:val="none"/>
        </w:rPr>
      </w:pPr>
      <w:bookmarkStart w:id="8" w:name="_Toc351203482"/>
      <w:r>
        <w:rPr>
          <w:rFonts w:hint="eastAsia" w:asciiTheme="minorEastAsia" w:hAnsiTheme="minorEastAsia" w:eastAsiaTheme="minorEastAsia"/>
          <w:b w:val="0"/>
          <w:sz w:val="24"/>
          <w:szCs w:val="24"/>
          <w:highlight w:val="none"/>
        </w:rPr>
        <w:t>三、</w:t>
      </w:r>
      <w:bookmarkEnd w:id="8"/>
      <w:r>
        <w:rPr>
          <w:rFonts w:hint="eastAsia" w:asciiTheme="minorEastAsia" w:hAnsiTheme="minorEastAsia" w:eastAsiaTheme="minorEastAsia"/>
          <w:b w:val="0"/>
          <w:sz w:val="24"/>
          <w:szCs w:val="24"/>
          <w:highlight w:val="none"/>
        </w:rPr>
        <w:t>工程勘察设计周期</w:t>
      </w:r>
    </w:p>
    <w:p w14:paraId="05AC1D1E">
      <w:pPr>
        <w:spacing w:line="360" w:lineRule="auto"/>
        <w:ind w:firstLine="459"/>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计划开始设计日期：</w:t>
      </w:r>
      <w:r>
        <w:rPr>
          <w:rFonts w:hint="eastAsia" w:asciiTheme="minorEastAsia" w:hAnsiTheme="minorEastAsia" w:eastAsiaTheme="minorEastAsia"/>
          <w:sz w:val="24"/>
          <w:szCs w:val="24"/>
          <w:highlight w:val="none"/>
          <w:u w:val="single"/>
        </w:rPr>
        <w:t></w:t>
      </w:r>
      <w:r>
        <w:rPr>
          <w:rFonts w:hint="eastAsia" w:asciiTheme="minorEastAsia" w:hAnsiTheme="minorEastAsia" w:eastAsiaTheme="minorEastAsia"/>
          <w:sz w:val="24"/>
          <w:szCs w:val="24"/>
          <w:highlight w:val="none"/>
        </w:rPr>
        <w:t>年</w:t>
      </w:r>
      <w:r>
        <w:rPr>
          <w:rFonts w:hint="eastAsia" w:asciiTheme="minorEastAsia" w:hAnsiTheme="minorEastAsia" w:eastAsiaTheme="minorEastAsia"/>
          <w:sz w:val="24"/>
          <w:szCs w:val="24"/>
          <w:highlight w:val="none"/>
          <w:u w:val="single"/>
        </w:rPr>
        <w:t></w:t>
      </w:r>
      <w:r>
        <w:rPr>
          <w:rFonts w:hint="eastAsia" w:asciiTheme="minorEastAsia" w:hAnsiTheme="minorEastAsia" w:eastAsiaTheme="minorEastAsia"/>
          <w:sz w:val="24"/>
          <w:szCs w:val="24"/>
          <w:highlight w:val="none"/>
        </w:rPr>
        <w:t>月</w:t>
      </w:r>
      <w:r>
        <w:rPr>
          <w:rFonts w:hint="eastAsia" w:asciiTheme="minorEastAsia" w:hAnsiTheme="minorEastAsia" w:eastAsiaTheme="minorEastAsia"/>
          <w:sz w:val="24"/>
          <w:szCs w:val="24"/>
          <w:highlight w:val="none"/>
          <w:u w:val="single"/>
        </w:rPr>
        <w:t></w:t>
      </w:r>
      <w:r>
        <w:rPr>
          <w:rFonts w:hint="eastAsia" w:asciiTheme="minorEastAsia" w:hAnsiTheme="minorEastAsia" w:eastAsiaTheme="minorEastAsia"/>
          <w:sz w:val="24"/>
          <w:szCs w:val="24"/>
          <w:highlight w:val="none"/>
        </w:rPr>
        <w:t>日。</w:t>
      </w:r>
    </w:p>
    <w:p w14:paraId="7629BC8E">
      <w:pPr>
        <w:spacing w:line="360" w:lineRule="auto"/>
        <w:ind w:firstLine="459"/>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计划完成设计日期：</w:t>
      </w:r>
      <w:r>
        <w:rPr>
          <w:rFonts w:hint="eastAsia" w:asciiTheme="minorEastAsia" w:hAnsiTheme="minorEastAsia" w:eastAsiaTheme="minorEastAsia"/>
          <w:sz w:val="24"/>
          <w:szCs w:val="24"/>
          <w:highlight w:val="none"/>
          <w:u w:val="single"/>
        </w:rPr>
        <w:t></w:t>
      </w:r>
      <w:r>
        <w:rPr>
          <w:rFonts w:hint="eastAsia" w:asciiTheme="minorEastAsia" w:hAnsiTheme="minorEastAsia" w:eastAsiaTheme="minorEastAsia"/>
          <w:sz w:val="24"/>
          <w:szCs w:val="24"/>
          <w:highlight w:val="none"/>
        </w:rPr>
        <w:t>年</w:t>
      </w:r>
      <w:r>
        <w:rPr>
          <w:rFonts w:hint="eastAsia" w:asciiTheme="minorEastAsia" w:hAnsiTheme="minorEastAsia" w:eastAsiaTheme="minorEastAsia"/>
          <w:sz w:val="24"/>
          <w:szCs w:val="24"/>
          <w:highlight w:val="none"/>
          <w:u w:val="single"/>
        </w:rPr>
        <w:t></w:t>
      </w:r>
      <w:r>
        <w:rPr>
          <w:rFonts w:hint="eastAsia" w:asciiTheme="minorEastAsia" w:hAnsiTheme="minorEastAsia" w:eastAsiaTheme="minorEastAsia"/>
          <w:sz w:val="24"/>
          <w:szCs w:val="24"/>
          <w:highlight w:val="none"/>
        </w:rPr>
        <w:t>月</w:t>
      </w:r>
      <w:r>
        <w:rPr>
          <w:rFonts w:hint="eastAsia" w:asciiTheme="minorEastAsia" w:hAnsiTheme="minorEastAsia" w:eastAsiaTheme="minorEastAsia"/>
          <w:sz w:val="24"/>
          <w:szCs w:val="24"/>
          <w:highlight w:val="none"/>
          <w:u w:val="single"/>
        </w:rPr>
        <w:t></w:t>
      </w:r>
      <w:r>
        <w:rPr>
          <w:rFonts w:hint="eastAsia" w:asciiTheme="minorEastAsia" w:hAnsiTheme="minorEastAsia" w:eastAsiaTheme="minorEastAsia"/>
          <w:sz w:val="24"/>
          <w:szCs w:val="24"/>
          <w:highlight w:val="none"/>
        </w:rPr>
        <w:t>日。</w:t>
      </w:r>
    </w:p>
    <w:p w14:paraId="37F99F81">
      <w:pPr>
        <w:spacing w:line="360" w:lineRule="auto"/>
        <w:ind w:firstLine="459"/>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具体工程设计周期：</w:t>
      </w:r>
    </w:p>
    <w:p w14:paraId="7917C2E8">
      <w:pPr>
        <w:spacing w:line="360" w:lineRule="auto"/>
        <w:ind w:firstLine="314" w:firstLineChars="131"/>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口1）</w:t>
      </w:r>
      <w:r>
        <w:rPr>
          <w:rFonts w:hint="eastAsia" w:asciiTheme="minorEastAsia" w:hAnsiTheme="minorEastAsia" w:eastAsiaTheme="minorEastAsia"/>
          <w:sz w:val="24"/>
          <w:szCs w:val="24"/>
          <w:highlight w:val="none"/>
          <w:u w:val="single"/>
        </w:rPr>
        <w:t>设计工期：中标人应在设计合同签订后   工作日内完成方案修改，方案确定后    工作日内完成初步设计，初步设计审查批准后   工作日内完成施工图设计，施工图设计文件经审查发现问题后    工作日内完成补充、修改。如果延误工期，承包人向发包人支付的误期损害赔偿费每天为最终设计合同价格的0.3%；误期损害赔偿费的最高限额为最终设计合同价格的30%。</w:t>
      </w:r>
    </w:p>
    <w:p w14:paraId="3C75EFA5">
      <w:pPr>
        <w:spacing w:line="360" w:lineRule="auto"/>
        <w:ind w:firstLine="459"/>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口2）</w:t>
      </w:r>
      <w:r>
        <w:rPr>
          <w:rFonts w:hint="eastAsia" w:asciiTheme="minorEastAsia" w:hAnsiTheme="minorEastAsia" w:eastAsiaTheme="minorEastAsia"/>
          <w:sz w:val="24"/>
          <w:szCs w:val="24"/>
          <w:highlight w:val="none"/>
          <w:u w:val="single"/>
        </w:rPr>
        <w:t>勘察工期：合同签订后，承包人收到发包人发出的进场通知起计   日内提交勘察成果文件。如果延误工期，承包人向发包人支付的误期损害赔偿费每天为最终勘察合同价格的0.5%；误期损害赔偿费的最高限额为最终勘察合同价格的30%。</w:t>
      </w:r>
      <w:r>
        <w:rPr>
          <w:rFonts w:hint="eastAsia" w:asciiTheme="minorEastAsia" w:hAnsiTheme="minorEastAsia" w:eastAsiaTheme="minorEastAsia"/>
          <w:sz w:val="24"/>
          <w:szCs w:val="24"/>
          <w:highlight w:val="none"/>
        </w:rPr>
        <w:t>。</w:t>
      </w:r>
    </w:p>
    <w:p w14:paraId="0FBE6900">
      <w:pPr>
        <w:pStyle w:val="5"/>
        <w:spacing w:before="120" w:after="120" w:line="360" w:lineRule="auto"/>
        <w:rPr>
          <w:rFonts w:asciiTheme="minorEastAsia" w:hAnsiTheme="minorEastAsia" w:eastAsiaTheme="minorEastAsia"/>
          <w:bCs w:val="0"/>
          <w:sz w:val="24"/>
          <w:szCs w:val="24"/>
          <w:highlight w:val="none"/>
        </w:rPr>
      </w:pPr>
      <w:bookmarkStart w:id="9" w:name="_Toc351203484"/>
      <w:r>
        <w:rPr>
          <w:rFonts w:hint="eastAsia" w:asciiTheme="minorEastAsia" w:hAnsiTheme="minorEastAsia" w:eastAsiaTheme="minorEastAsia"/>
          <w:b w:val="0"/>
          <w:sz w:val="24"/>
          <w:szCs w:val="24"/>
          <w:highlight w:val="none"/>
        </w:rPr>
        <w:t>四、合同价格形式与签约合同价</w:t>
      </w:r>
      <w:bookmarkEnd w:id="9"/>
      <w:r>
        <w:rPr>
          <w:rFonts w:hint="eastAsia" w:asciiTheme="minorEastAsia" w:hAnsiTheme="minorEastAsia" w:eastAsiaTheme="minorEastAsia"/>
          <w:b w:val="0"/>
          <w:sz w:val="24"/>
          <w:szCs w:val="24"/>
          <w:highlight w:val="none"/>
        </w:rPr>
        <w:tab/>
      </w:r>
    </w:p>
    <w:p w14:paraId="675599A4">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1.设计费计取的原则：</w:t>
      </w:r>
      <w:r>
        <w:rPr>
          <w:rFonts w:hint="eastAsia" w:asciiTheme="minorEastAsia" w:hAnsiTheme="minorEastAsia" w:eastAsiaTheme="minorEastAsia"/>
          <w:sz w:val="24"/>
          <w:szCs w:val="24"/>
          <w:highlight w:val="none"/>
          <w:u w:val="single"/>
        </w:rPr>
        <w:t xml:space="preserve">本项目采用限额设计，项目设计费实行市场调节价，设计费总额暂以工程费用限额 </w:t>
      </w:r>
      <w:r>
        <w:rPr>
          <w:rFonts w:hint="eastAsia" w:ascii="宋体" w:hAnsi="宋体"/>
          <w:sz w:val="24"/>
          <w:highlight w:val="none"/>
          <w:u w:val="single"/>
          <w:lang w:val="en-US" w:eastAsia="zh-CN"/>
        </w:rPr>
        <w:t>20452.04</w:t>
      </w:r>
      <w:r>
        <w:rPr>
          <w:rFonts w:hint="eastAsia" w:asciiTheme="minorEastAsia" w:hAnsiTheme="minorEastAsia" w:eastAsiaTheme="minorEastAsia"/>
          <w:sz w:val="24"/>
          <w:szCs w:val="24"/>
          <w:highlight w:val="none"/>
          <w:u w:val="single"/>
        </w:rPr>
        <w:t>万元人民币元为收费计费额计算</w:t>
      </w:r>
      <w:r>
        <w:rPr>
          <w:rFonts w:hint="eastAsia" w:asciiTheme="minorEastAsia" w:hAnsiTheme="minorEastAsia" w:eastAsiaTheme="minorEastAsia"/>
          <w:sz w:val="24"/>
          <w:szCs w:val="24"/>
          <w:highlight w:val="none"/>
        </w:rPr>
        <w:t>；</w:t>
      </w:r>
    </w:p>
    <w:p w14:paraId="76791B4F">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注：初步设计、施工图设计占全部设计工作量比例为90%，方案设计占全部设计工作量比例为10%,合同实施期间设计费按建设规模和设计工作量调整，但费率浮动幅度不变。</w:t>
      </w:r>
    </w:p>
    <w:p w14:paraId="32C1D370">
      <w:pPr>
        <w:spacing w:line="360" w:lineRule="auto"/>
        <w:ind w:firstLine="480" w:firstLineChars="200"/>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工程设计费</w:t>
      </w:r>
      <w:r>
        <w:rPr>
          <w:rFonts w:hint="eastAsia" w:asciiTheme="minorEastAsia" w:hAnsiTheme="minorEastAsia" w:eastAsiaTheme="minorEastAsia"/>
          <w:sz w:val="24"/>
          <w:highlight w:val="none"/>
        </w:rPr>
        <w:t>计费方式为总价包干</w:t>
      </w:r>
      <w:r>
        <w:rPr>
          <w:rFonts w:hint="eastAsia" w:cs="宋体" w:asciiTheme="minorEastAsia" w:hAnsiTheme="minorEastAsia" w:eastAsiaTheme="minorEastAsia"/>
          <w:sz w:val="24"/>
          <w:szCs w:val="24"/>
          <w:highlight w:val="none"/>
        </w:rPr>
        <w:t>，设计费已包含了完成本项目设计工作内容的全部费用，包含并不限于后续项目变更的设计工作量，项目概算内产生的变更调整等均不再另行增加设计费</w:t>
      </w:r>
      <w:r>
        <w:rPr>
          <w:rFonts w:hint="eastAsia" w:asciiTheme="minorEastAsia" w:hAnsiTheme="minorEastAsia" w:eastAsiaTheme="minorEastAsia"/>
          <w:sz w:val="24"/>
          <w:szCs w:val="24"/>
          <w:highlight w:val="none"/>
        </w:rPr>
        <w:t>。</w:t>
      </w:r>
    </w:p>
    <w:p w14:paraId="319DFF19">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2.签约合同价为：</w:t>
      </w:r>
    </w:p>
    <w:p w14:paraId="074429C1">
      <w:pPr>
        <w:spacing w:line="360" w:lineRule="auto"/>
        <w:ind w:firstLine="600" w:firstLineChars="2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人民币（大写）（¥元）。</w:t>
      </w:r>
    </w:p>
    <w:p w14:paraId="020F6075">
      <w:pPr>
        <w:spacing w:line="360" w:lineRule="auto"/>
        <w:ind w:firstLine="6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其中：勘察费（大写）（¥元）；设计费（大写）（¥元）。</w:t>
      </w:r>
    </w:p>
    <w:p w14:paraId="628927AE">
      <w:pPr>
        <w:spacing w:line="360" w:lineRule="auto"/>
        <w:ind w:firstLine="600" w:firstLineChars="2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注：①工程勘察费限综合单价，</w:t>
      </w:r>
      <w:r>
        <w:rPr>
          <w:rFonts w:hint="eastAsia" w:asciiTheme="minorEastAsia" w:hAnsiTheme="minorEastAsia" w:eastAsiaTheme="minorEastAsia"/>
          <w:sz w:val="24"/>
          <w:szCs w:val="24"/>
          <w:highlight w:val="none"/>
          <w:u w:val="single"/>
        </w:rPr>
        <w:t>按实物工作量乘以合同约定的综合单价计算，</w:t>
      </w:r>
      <w:r>
        <w:rPr>
          <w:rFonts w:hint="eastAsia" w:asciiTheme="minorEastAsia" w:hAnsiTheme="minorEastAsia" w:eastAsiaTheme="minorEastAsia"/>
          <w:sz w:val="24"/>
          <w:szCs w:val="24"/>
          <w:highlight w:val="none"/>
        </w:rPr>
        <w:t>合同综合单价为全费用综合单价，</w:t>
      </w:r>
      <w:r>
        <w:rPr>
          <w:rFonts w:hint="eastAsia" w:asciiTheme="minorEastAsia" w:hAnsiTheme="minorEastAsia" w:eastAsiaTheme="minorEastAsia"/>
          <w:b/>
          <w:sz w:val="24"/>
          <w:szCs w:val="24"/>
          <w:highlight w:val="none"/>
        </w:rPr>
        <w:t>本项目岩土工程勘察费中标综合单价为元/米，总价不超过</w:t>
      </w:r>
      <w:r>
        <w:rPr>
          <w:rFonts w:hint="eastAsia" w:asciiTheme="minorEastAsia" w:hAnsiTheme="minorEastAsia" w:eastAsiaTheme="minorEastAsia"/>
          <w:b/>
          <w:sz w:val="24"/>
          <w:szCs w:val="24"/>
          <w:highlight w:val="none"/>
          <w:u w:val="single"/>
        </w:rPr>
        <w:t>  </w:t>
      </w:r>
      <w:r>
        <w:rPr>
          <w:rFonts w:hint="eastAsia" w:asciiTheme="minorEastAsia" w:hAnsiTheme="minorEastAsia" w:eastAsiaTheme="minorEastAsia"/>
          <w:b/>
          <w:sz w:val="24"/>
          <w:szCs w:val="24"/>
          <w:highlight w:val="none"/>
        </w:rPr>
        <w:t>元。超前钻勘察费（</w:t>
      </w:r>
      <w:r>
        <w:rPr>
          <w:rFonts w:hint="eastAsia" w:ascii="宋体" w:hAnsi="宋体" w:eastAsia="宋体"/>
          <w:b/>
          <w:color w:val="auto"/>
          <w:sz w:val="24"/>
          <w:szCs w:val="24"/>
          <w:highlight w:val="none"/>
        </w:rPr>
        <w:t>如有，则按岩土工程勘察费中标综合单价执行</w:t>
      </w:r>
      <w:r>
        <w:rPr>
          <w:rFonts w:hint="eastAsia" w:asciiTheme="minorEastAsia" w:hAnsiTheme="minorEastAsia" w:eastAsiaTheme="minorEastAsia"/>
          <w:b/>
          <w:sz w:val="24"/>
          <w:szCs w:val="24"/>
          <w:highlight w:val="none"/>
        </w:rPr>
        <w:t>），综合单价</w:t>
      </w:r>
      <w:r>
        <w:rPr>
          <w:rFonts w:hint="eastAsia" w:asciiTheme="minorEastAsia" w:hAnsiTheme="minorEastAsia" w:eastAsiaTheme="minorEastAsia"/>
          <w:b/>
          <w:sz w:val="24"/>
          <w:szCs w:val="24"/>
          <w:highlight w:val="none"/>
          <w:u w:val="single"/>
        </w:rPr>
        <w:t> </w:t>
      </w:r>
      <w:r>
        <w:rPr>
          <w:rFonts w:hint="eastAsia" w:asciiTheme="minorEastAsia" w:hAnsiTheme="minorEastAsia" w:eastAsiaTheme="minorEastAsia"/>
          <w:b/>
          <w:sz w:val="24"/>
          <w:szCs w:val="24"/>
          <w:highlight w:val="none"/>
        </w:rPr>
        <w:t>元/米，按实结算，不包含在岩土工程全费用综合单价中</w:t>
      </w:r>
      <w:r>
        <w:rPr>
          <w:rFonts w:hint="eastAsia" w:asciiTheme="minorEastAsia" w:hAnsiTheme="minorEastAsia" w:eastAsiaTheme="minorEastAsia"/>
          <w:sz w:val="24"/>
          <w:szCs w:val="24"/>
          <w:highlight w:val="none"/>
        </w:rPr>
        <w:t>。勘察工作内容及双方权利义务详见附件7：《勘察协议条款》。本项目为配合完成合同范围内工作所需辅助测量等辅助性工作费用，已包含在勘察费中，不单独计费。岩土工程勘察费为全费用综合单价，综合单价包括但不限于剪切波速试验、抽水试验、工作和生活用水用电费、设备人员进退场、人员交通及食宿、安全文明环保等所有费用。</w:t>
      </w:r>
    </w:p>
    <w:p w14:paraId="2AB065AE">
      <w:pPr>
        <w:spacing w:line="360" w:lineRule="auto"/>
        <w:ind w:firstLine="600" w:firstLineChars="2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②设计费计费方式为总价包干，合同价总价包含方案设计费、初步设计费和施工图设计费以及：（1）办理《建设工程规划许可证》和《规划验收合格证》测量放线册和验线册的费用，以及办理《建设工程规划许可证》所需的安全评价等手续（若有）的费用；（2）绿建审查所需的各项检验检测费用；（3）用于项目的各类专家评审费用；（4）各类证照工本费、测量控制点购买费、土壤氡浓度检测费等费用；（5）外出参观考察的调研费；（6）驻场人员服务费。</w:t>
      </w:r>
    </w:p>
    <w:p w14:paraId="63D01A5C">
      <w:pPr>
        <w:pStyle w:val="5"/>
        <w:spacing w:before="120" w:after="120" w:line="360" w:lineRule="auto"/>
        <w:rPr>
          <w:rFonts w:asciiTheme="minorEastAsia" w:hAnsiTheme="minorEastAsia" w:eastAsiaTheme="minorEastAsia"/>
          <w:b w:val="0"/>
          <w:sz w:val="24"/>
          <w:szCs w:val="24"/>
          <w:highlight w:val="none"/>
        </w:rPr>
      </w:pPr>
      <w:bookmarkStart w:id="10" w:name="_Toc351203485"/>
      <w:r>
        <w:rPr>
          <w:rFonts w:hint="eastAsia" w:asciiTheme="minorEastAsia" w:hAnsiTheme="minorEastAsia" w:eastAsiaTheme="minorEastAsia"/>
          <w:b w:val="0"/>
          <w:sz w:val="24"/>
          <w:szCs w:val="24"/>
          <w:highlight w:val="none"/>
        </w:rPr>
        <w:t>五、</w:t>
      </w:r>
      <w:bookmarkEnd w:id="10"/>
      <w:r>
        <w:rPr>
          <w:rFonts w:hint="eastAsia" w:asciiTheme="minorEastAsia" w:hAnsiTheme="minorEastAsia" w:eastAsiaTheme="minorEastAsia"/>
          <w:b w:val="0"/>
          <w:sz w:val="24"/>
          <w:szCs w:val="24"/>
          <w:highlight w:val="none"/>
        </w:rPr>
        <w:t>发包人代表与设计人项目负责人</w:t>
      </w:r>
    </w:p>
    <w:p w14:paraId="675A4DDB">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发包人代表： 。</w:t>
      </w:r>
    </w:p>
    <w:p w14:paraId="0F87F522">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设计人项目负责人：</w:t>
      </w:r>
      <w:r>
        <w:rPr>
          <w:rFonts w:hint="eastAsia" w:asciiTheme="minorEastAsia" w:hAnsiTheme="minorEastAsia" w:eastAsiaTheme="minorEastAsia"/>
          <w:sz w:val="24"/>
          <w:szCs w:val="24"/>
          <w:highlight w:val="none"/>
          <w:u w:val="single"/>
        </w:rPr>
        <w:t>                     </w:t>
      </w:r>
      <w:r>
        <w:rPr>
          <w:rFonts w:hint="eastAsia" w:asciiTheme="minorEastAsia" w:hAnsiTheme="minorEastAsia" w:eastAsiaTheme="minorEastAsia"/>
          <w:sz w:val="24"/>
          <w:szCs w:val="24"/>
          <w:highlight w:val="none"/>
        </w:rPr>
        <w:t>。</w:t>
      </w:r>
    </w:p>
    <w:p w14:paraId="5C0F75E7">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勘察项目负责人：</w:t>
      </w:r>
      <w:r>
        <w:rPr>
          <w:rFonts w:hint="eastAsia" w:asciiTheme="minorEastAsia" w:hAnsiTheme="minorEastAsia" w:eastAsiaTheme="minorEastAsia"/>
          <w:sz w:val="24"/>
          <w:szCs w:val="24"/>
          <w:highlight w:val="none"/>
          <w:u w:val="single"/>
        </w:rPr>
        <w:t>                     </w:t>
      </w:r>
      <w:r>
        <w:rPr>
          <w:rFonts w:hint="eastAsia" w:asciiTheme="minorEastAsia" w:hAnsiTheme="minorEastAsia" w:eastAsiaTheme="minorEastAsia"/>
          <w:sz w:val="24"/>
          <w:szCs w:val="24"/>
          <w:highlight w:val="none"/>
        </w:rPr>
        <w:t>。</w:t>
      </w:r>
    </w:p>
    <w:p w14:paraId="64CABA6E">
      <w:pPr>
        <w:pStyle w:val="5"/>
        <w:spacing w:before="120" w:after="120" w:line="360" w:lineRule="auto"/>
        <w:rPr>
          <w:rFonts w:asciiTheme="minorEastAsia" w:hAnsiTheme="minorEastAsia" w:eastAsiaTheme="minorEastAsia"/>
          <w:bCs w:val="0"/>
          <w:sz w:val="24"/>
          <w:szCs w:val="24"/>
          <w:highlight w:val="none"/>
        </w:rPr>
      </w:pPr>
      <w:bookmarkStart w:id="11" w:name="_Toc351203486"/>
      <w:r>
        <w:rPr>
          <w:rFonts w:hint="eastAsia" w:asciiTheme="minorEastAsia" w:hAnsiTheme="minorEastAsia" w:eastAsiaTheme="minorEastAsia"/>
          <w:b w:val="0"/>
          <w:sz w:val="24"/>
          <w:szCs w:val="24"/>
          <w:highlight w:val="none"/>
        </w:rPr>
        <w:t>六、合同文件构成</w:t>
      </w:r>
      <w:bookmarkEnd w:id="11"/>
    </w:p>
    <w:p w14:paraId="05FDEE67">
      <w:pPr>
        <w:spacing w:line="360" w:lineRule="auto"/>
        <w:ind w:firstLine="480" w:firstLineChars="200"/>
        <w:rPr>
          <w:rFonts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本协议书与下列文件一起构成合同文件：</w:t>
      </w:r>
    </w:p>
    <w:p w14:paraId="36E07A46">
      <w:pPr>
        <w:autoSpaceDE w:val="0"/>
        <w:autoSpaceDN w:val="0"/>
        <w:adjustRightInd w:val="0"/>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（1）专用合同条款及其附件； </w:t>
      </w:r>
    </w:p>
    <w:p w14:paraId="599E01C1">
      <w:pPr>
        <w:autoSpaceDE w:val="0"/>
        <w:autoSpaceDN w:val="0"/>
        <w:adjustRightInd w:val="0"/>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（2）通用合同条款； </w:t>
      </w:r>
    </w:p>
    <w:p w14:paraId="10DFFF1B">
      <w:pPr>
        <w:autoSpaceDE w:val="0"/>
        <w:autoSpaceDN w:val="0"/>
        <w:adjustRightInd w:val="0"/>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（3）中标通知书（如果有）；</w:t>
      </w:r>
    </w:p>
    <w:p w14:paraId="2297E82E">
      <w:pPr>
        <w:autoSpaceDE w:val="0"/>
        <w:autoSpaceDN w:val="0"/>
        <w:adjustRightInd w:val="0"/>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（4）投标函及其附录（如果有）；</w:t>
      </w:r>
    </w:p>
    <w:p w14:paraId="08B3BC33">
      <w:pPr>
        <w:autoSpaceDE w:val="0"/>
        <w:autoSpaceDN w:val="0"/>
        <w:adjustRightInd w:val="0"/>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（5）发包人要求；</w:t>
      </w:r>
    </w:p>
    <w:p w14:paraId="61D24249">
      <w:pPr>
        <w:autoSpaceDE w:val="0"/>
        <w:autoSpaceDN w:val="0"/>
        <w:adjustRightInd w:val="0"/>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（6）技术标准；</w:t>
      </w:r>
    </w:p>
    <w:p w14:paraId="566C8AA8">
      <w:pPr>
        <w:autoSpaceDE w:val="0"/>
        <w:autoSpaceDN w:val="0"/>
        <w:adjustRightInd w:val="0"/>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kern w:val="0"/>
          <w:sz w:val="24"/>
          <w:szCs w:val="24"/>
          <w:highlight w:val="none"/>
        </w:rPr>
        <w:t>（7）发包人提供的上一阶段图纸（如果有）；</w:t>
      </w:r>
    </w:p>
    <w:p w14:paraId="43DD30F0">
      <w:pPr>
        <w:autoSpaceDE w:val="0"/>
        <w:autoSpaceDN w:val="0"/>
        <w:adjustRightInd w:val="0"/>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（8）其他合同文件。</w:t>
      </w:r>
    </w:p>
    <w:p w14:paraId="7E9501D0">
      <w:pPr>
        <w:autoSpaceDE w:val="0"/>
        <w:autoSpaceDN w:val="0"/>
        <w:adjustRightInd w:val="0"/>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在合同履行过程中形成的与合同有关的文件均构成合同文件组成部分。</w:t>
      </w:r>
    </w:p>
    <w:p w14:paraId="2B6574AD">
      <w:pPr>
        <w:autoSpaceDE w:val="0"/>
        <w:autoSpaceDN w:val="0"/>
        <w:adjustRightInd w:val="0"/>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上述各项合同文件包括合同当事人就该项合同文件所作出的补充和修改，属于同一类内容的文件，应以最新签署的为准。</w:t>
      </w:r>
    </w:p>
    <w:p w14:paraId="32D877E2">
      <w:pPr>
        <w:pStyle w:val="5"/>
        <w:spacing w:before="120" w:after="120" w:line="360" w:lineRule="auto"/>
        <w:rPr>
          <w:rFonts w:asciiTheme="minorEastAsia" w:hAnsiTheme="minorEastAsia" w:eastAsiaTheme="minorEastAsia"/>
          <w:b w:val="0"/>
          <w:bCs w:val="0"/>
          <w:sz w:val="24"/>
          <w:szCs w:val="24"/>
          <w:highlight w:val="none"/>
        </w:rPr>
      </w:pPr>
      <w:bookmarkStart w:id="12" w:name="_Toc351203487"/>
      <w:r>
        <w:rPr>
          <w:rFonts w:hint="eastAsia" w:asciiTheme="minorEastAsia" w:hAnsiTheme="minorEastAsia" w:eastAsiaTheme="minorEastAsia"/>
          <w:b w:val="0"/>
          <w:sz w:val="24"/>
          <w:szCs w:val="24"/>
          <w:highlight w:val="none"/>
        </w:rPr>
        <w:t>七、承诺</w:t>
      </w:r>
      <w:bookmarkEnd w:id="12"/>
    </w:p>
    <w:p w14:paraId="5A67302D">
      <w:pPr>
        <w:spacing w:line="360" w:lineRule="auto"/>
        <w:ind w:firstLine="480" w:firstLineChars="200"/>
        <w:rPr>
          <w:rFonts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1.发包人承诺按照法律规定履行项目审批手续，按照合同约定提供设计依据，并按合同约定的期限和方式支付合同价款。</w:t>
      </w:r>
    </w:p>
    <w:p w14:paraId="629F8A9F">
      <w:pPr>
        <w:spacing w:line="360" w:lineRule="auto"/>
        <w:ind w:firstLine="480" w:firstLineChars="200"/>
        <w:rPr>
          <w:rFonts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2.设计人承诺按照法律和技术标准规定及合同约定提供工程设计服务。</w:t>
      </w:r>
    </w:p>
    <w:p w14:paraId="715412B7">
      <w:pPr>
        <w:spacing w:line="360" w:lineRule="auto"/>
        <w:ind w:firstLine="480" w:firstLineChars="200"/>
        <w:rPr>
          <w:rFonts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3. 招标代理费和交易服务费由承包人支付，包含在勘察设计费总报价中，发包人不再另行支付。</w:t>
      </w:r>
    </w:p>
    <w:p w14:paraId="74BD3580">
      <w:pPr>
        <w:spacing w:before="120" w:after="120" w:line="360" w:lineRule="auto"/>
        <w:rPr>
          <w:rFonts w:asciiTheme="minorEastAsia" w:hAnsiTheme="minorEastAsia" w:eastAsiaTheme="minorEastAsia"/>
          <w:bCs/>
          <w:sz w:val="24"/>
          <w:szCs w:val="24"/>
          <w:highlight w:val="none"/>
        </w:rPr>
      </w:pPr>
      <w:bookmarkStart w:id="13" w:name="_Toc351203488"/>
      <w:r>
        <w:rPr>
          <w:rFonts w:hint="eastAsia" w:asciiTheme="minorEastAsia" w:hAnsiTheme="minorEastAsia" w:eastAsiaTheme="minorEastAsia"/>
          <w:sz w:val="24"/>
          <w:szCs w:val="24"/>
          <w:highlight w:val="none"/>
        </w:rPr>
        <w:t xml:space="preserve"> 八、词语含义</w:t>
      </w:r>
      <w:bookmarkEnd w:id="13"/>
    </w:p>
    <w:p w14:paraId="2AE5B956">
      <w:pPr>
        <w:spacing w:line="360" w:lineRule="auto"/>
        <w:ind w:firstLine="480" w:firstLineChars="200"/>
        <w:rPr>
          <w:rFonts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本协议书中词语含义与第二部分通用合同条款中赋予的含义相同。</w:t>
      </w:r>
    </w:p>
    <w:p w14:paraId="4E20B86B">
      <w:pPr>
        <w:pStyle w:val="5"/>
        <w:spacing w:before="120" w:after="120" w:line="360" w:lineRule="auto"/>
        <w:rPr>
          <w:rFonts w:asciiTheme="minorEastAsia" w:hAnsiTheme="minorEastAsia" w:eastAsiaTheme="minorEastAsia"/>
          <w:bCs w:val="0"/>
          <w:sz w:val="24"/>
          <w:szCs w:val="24"/>
          <w:highlight w:val="none"/>
        </w:rPr>
      </w:pPr>
      <w:bookmarkStart w:id="14" w:name="_Toc351203490"/>
      <w:r>
        <w:rPr>
          <w:rFonts w:hint="eastAsia" w:asciiTheme="minorEastAsia" w:hAnsiTheme="minorEastAsia" w:eastAsiaTheme="minorEastAsia"/>
          <w:b w:val="0"/>
          <w:sz w:val="24"/>
          <w:szCs w:val="24"/>
          <w:highlight w:val="none"/>
        </w:rPr>
        <w:t>九、签订地点</w:t>
      </w:r>
      <w:bookmarkEnd w:id="14"/>
    </w:p>
    <w:p w14:paraId="31952E89">
      <w:pPr>
        <w:spacing w:line="360" w:lineRule="auto"/>
        <w:ind w:firstLine="480" w:firstLineChars="200"/>
        <w:rPr>
          <w:rFonts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本合同在签订。</w:t>
      </w:r>
    </w:p>
    <w:p w14:paraId="6B2759DF">
      <w:pPr>
        <w:pStyle w:val="5"/>
        <w:spacing w:before="120" w:after="120" w:line="360" w:lineRule="auto"/>
        <w:rPr>
          <w:rFonts w:asciiTheme="minorEastAsia" w:hAnsiTheme="minorEastAsia" w:eastAsiaTheme="minorEastAsia"/>
          <w:bCs w:val="0"/>
          <w:sz w:val="24"/>
          <w:szCs w:val="24"/>
          <w:highlight w:val="none"/>
        </w:rPr>
      </w:pPr>
      <w:bookmarkStart w:id="15" w:name="_Toc351203491"/>
      <w:r>
        <w:rPr>
          <w:rFonts w:hint="eastAsia" w:asciiTheme="minorEastAsia" w:hAnsiTheme="minorEastAsia" w:eastAsiaTheme="minorEastAsia"/>
          <w:b w:val="0"/>
          <w:sz w:val="24"/>
          <w:szCs w:val="24"/>
          <w:highlight w:val="none"/>
        </w:rPr>
        <w:t>十、补充协议</w:t>
      </w:r>
      <w:bookmarkEnd w:id="15"/>
    </w:p>
    <w:p w14:paraId="19CE93F3">
      <w:pPr>
        <w:spacing w:line="360" w:lineRule="auto"/>
        <w:ind w:firstLine="480" w:firstLineChars="200"/>
        <w:rPr>
          <w:rFonts w:asciiTheme="minorEastAsia" w:hAnsiTheme="minorEastAsia" w:eastAsiaTheme="minorEastAsia"/>
          <w:b/>
          <w:bCs/>
          <w:sz w:val="24"/>
          <w:szCs w:val="24"/>
          <w:highlight w:val="none"/>
        </w:rPr>
      </w:pPr>
      <w:r>
        <w:rPr>
          <w:rFonts w:hint="eastAsia" w:asciiTheme="minorEastAsia" w:hAnsiTheme="minorEastAsia" w:eastAsiaTheme="minorEastAsia"/>
          <w:bCs/>
          <w:sz w:val="24"/>
          <w:szCs w:val="24"/>
          <w:highlight w:val="none"/>
        </w:rPr>
        <w:t>本合同未尽事宜，在不违背《中华人民共和国招标投标法》等法律规定及招投标文件的前提下，合同当事人另行签订补充协议，补充协议是合同的组成部分。</w:t>
      </w:r>
    </w:p>
    <w:p w14:paraId="5D268FB5">
      <w:pPr>
        <w:pStyle w:val="5"/>
        <w:spacing w:before="120" w:after="120" w:line="360" w:lineRule="auto"/>
        <w:rPr>
          <w:rFonts w:asciiTheme="minorEastAsia" w:hAnsiTheme="minorEastAsia" w:eastAsiaTheme="minorEastAsia"/>
          <w:bCs w:val="0"/>
          <w:sz w:val="24"/>
          <w:szCs w:val="24"/>
          <w:highlight w:val="none"/>
        </w:rPr>
      </w:pPr>
      <w:bookmarkStart w:id="16" w:name="_Toc351203492"/>
      <w:r>
        <w:rPr>
          <w:rFonts w:hint="eastAsia" w:asciiTheme="minorEastAsia" w:hAnsiTheme="minorEastAsia" w:eastAsiaTheme="minorEastAsia"/>
          <w:b w:val="0"/>
          <w:sz w:val="24"/>
          <w:szCs w:val="24"/>
          <w:highlight w:val="none"/>
        </w:rPr>
        <w:t>十一、合同生效</w:t>
      </w:r>
      <w:bookmarkEnd w:id="16"/>
    </w:p>
    <w:p w14:paraId="10FC8A2E">
      <w:pPr>
        <w:spacing w:line="360" w:lineRule="auto"/>
        <w:ind w:firstLine="480" w:firstLineChars="200"/>
        <w:rPr>
          <w:rFonts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本合同自</w:t>
      </w:r>
      <w:r>
        <w:rPr>
          <w:rFonts w:hint="eastAsia" w:asciiTheme="minorEastAsia" w:hAnsiTheme="minorEastAsia" w:eastAsiaTheme="minorEastAsia"/>
          <w:bCs/>
          <w:sz w:val="24"/>
          <w:szCs w:val="24"/>
          <w:highlight w:val="none"/>
          <w:u w:val="single"/>
        </w:rPr>
        <w:t xml:space="preserve">  合同双方当事人签字盖章之日起   </w:t>
      </w:r>
      <w:r>
        <w:rPr>
          <w:rFonts w:hint="eastAsia" w:asciiTheme="minorEastAsia" w:hAnsiTheme="minorEastAsia" w:eastAsiaTheme="minorEastAsia"/>
          <w:bCs/>
          <w:sz w:val="24"/>
          <w:szCs w:val="24"/>
          <w:highlight w:val="none"/>
        </w:rPr>
        <w:t>生效。</w:t>
      </w:r>
    </w:p>
    <w:p w14:paraId="5F2DCECF">
      <w:pPr>
        <w:pStyle w:val="5"/>
        <w:spacing w:before="120" w:after="120" w:line="360" w:lineRule="auto"/>
        <w:rPr>
          <w:rFonts w:asciiTheme="minorEastAsia" w:hAnsiTheme="minorEastAsia" w:eastAsiaTheme="minorEastAsia"/>
          <w:bCs w:val="0"/>
          <w:sz w:val="24"/>
          <w:szCs w:val="24"/>
          <w:highlight w:val="none"/>
        </w:rPr>
      </w:pPr>
      <w:bookmarkStart w:id="17" w:name="_Toc351203493"/>
      <w:r>
        <w:rPr>
          <w:rFonts w:hint="eastAsia" w:asciiTheme="minorEastAsia" w:hAnsiTheme="minorEastAsia" w:eastAsiaTheme="minorEastAsia"/>
          <w:b w:val="0"/>
          <w:sz w:val="24"/>
          <w:szCs w:val="24"/>
          <w:highlight w:val="none"/>
        </w:rPr>
        <w:t>十二、合同份数</w:t>
      </w:r>
      <w:bookmarkEnd w:id="17"/>
    </w:p>
    <w:p w14:paraId="35237704">
      <w:pPr>
        <w:spacing w:line="360" w:lineRule="auto"/>
        <w:ind w:firstLine="480" w:firstLineChars="200"/>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本合同正本一式</w:t>
      </w:r>
      <w:r>
        <w:rPr>
          <w:rFonts w:hint="eastAsia" w:asciiTheme="minorEastAsia" w:hAnsiTheme="minorEastAsia" w:eastAsiaTheme="minorEastAsia"/>
          <w:bCs/>
          <w:sz w:val="24"/>
          <w:szCs w:val="24"/>
          <w:highlight w:val="none"/>
          <w:u w:val="single"/>
        </w:rPr>
        <w:t xml:space="preserve">  贰  </w:t>
      </w:r>
      <w:r>
        <w:rPr>
          <w:rFonts w:hint="eastAsia" w:asciiTheme="minorEastAsia" w:hAnsiTheme="minorEastAsia" w:eastAsiaTheme="minorEastAsia"/>
          <w:bCs/>
          <w:sz w:val="24"/>
          <w:szCs w:val="24"/>
          <w:highlight w:val="none"/>
        </w:rPr>
        <w:t>份、副本一式</w:t>
      </w:r>
      <w:r>
        <w:rPr>
          <w:rFonts w:hint="eastAsia" w:asciiTheme="minorEastAsia" w:hAnsiTheme="minorEastAsia" w:eastAsiaTheme="minorEastAsia"/>
          <w:bCs/>
          <w:sz w:val="24"/>
          <w:szCs w:val="24"/>
          <w:highlight w:val="none"/>
          <w:u w:val="single"/>
        </w:rPr>
        <w:t xml:space="preserve"> 拾   </w:t>
      </w:r>
      <w:r>
        <w:rPr>
          <w:rFonts w:hint="eastAsia" w:asciiTheme="minorEastAsia" w:hAnsiTheme="minorEastAsia" w:eastAsiaTheme="minorEastAsia"/>
          <w:bCs/>
          <w:sz w:val="24"/>
          <w:szCs w:val="24"/>
          <w:highlight w:val="none"/>
        </w:rPr>
        <w:t>份，均具有同等法律效力，发包人执正本</w:t>
      </w:r>
      <w:r>
        <w:rPr>
          <w:rFonts w:hint="eastAsia" w:asciiTheme="minorEastAsia" w:hAnsiTheme="minorEastAsia" w:eastAsiaTheme="minorEastAsia"/>
          <w:bCs/>
          <w:sz w:val="24"/>
          <w:szCs w:val="24"/>
          <w:highlight w:val="none"/>
          <w:u w:val="single"/>
        </w:rPr>
        <w:t xml:space="preserve">  壹  </w:t>
      </w:r>
      <w:r>
        <w:rPr>
          <w:rFonts w:hint="eastAsia" w:asciiTheme="minorEastAsia" w:hAnsiTheme="minorEastAsia" w:eastAsiaTheme="minorEastAsia"/>
          <w:bCs/>
          <w:sz w:val="24"/>
          <w:szCs w:val="24"/>
          <w:highlight w:val="none"/>
        </w:rPr>
        <w:t>份、副本</w:t>
      </w:r>
      <w:r>
        <w:rPr>
          <w:rFonts w:hint="eastAsia" w:asciiTheme="minorEastAsia" w:hAnsiTheme="minorEastAsia" w:eastAsiaTheme="minorEastAsia"/>
          <w:bCs/>
          <w:sz w:val="24"/>
          <w:szCs w:val="24"/>
          <w:highlight w:val="none"/>
          <w:u w:val="single"/>
        </w:rPr>
        <w:t xml:space="preserve">  捌  </w:t>
      </w:r>
      <w:r>
        <w:rPr>
          <w:rFonts w:hint="eastAsia" w:asciiTheme="minorEastAsia" w:hAnsiTheme="minorEastAsia" w:eastAsiaTheme="minorEastAsia"/>
          <w:bCs/>
          <w:sz w:val="24"/>
          <w:szCs w:val="24"/>
          <w:highlight w:val="none"/>
        </w:rPr>
        <w:t>份，设计人执正本</w:t>
      </w:r>
      <w:r>
        <w:rPr>
          <w:rFonts w:hint="eastAsia" w:asciiTheme="minorEastAsia" w:hAnsiTheme="minorEastAsia" w:eastAsiaTheme="minorEastAsia"/>
          <w:bCs/>
          <w:sz w:val="24"/>
          <w:szCs w:val="24"/>
          <w:highlight w:val="none"/>
          <w:u w:val="single"/>
        </w:rPr>
        <w:t xml:space="preserve">  壹  </w:t>
      </w:r>
      <w:r>
        <w:rPr>
          <w:rFonts w:hint="eastAsia" w:asciiTheme="minorEastAsia" w:hAnsiTheme="minorEastAsia" w:eastAsiaTheme="minorEastAsia"/>
          <w:bCs/>
          <w:sz w:val="24"/>
          <w:szCs w:val="24"/>
          <w:highlight w:val="none"/>
        </w:rPr>
        <w:t>份、副本</w:t>
      </w:r>
      <w:r>
        <w:rPr>
          <w:rFonts w:hint="eastAsia" w:asciiTheme="minorEastAsia" w:hAnsiTheme="minorEastAsia" w:eastAsiaTheme="minorEastAsia"/>
          <w:bCs/>
          <w:sz w:val="24"/>
          <w:szCs w:val="24"/>
          <w:highlight w:val="none"/>
          <w:u w:val="single"/>
        </w:rPr>
        <w:t xml:space="preserve">  贰   </w:t>
      </w:r>
      <w:r>
        <w:rPr>
          <w:rFonts w:hint="eastAsia" w:asciiTheme="minorEastAsia" w:hAnsiTheme="minorEastAsia" w:eastAsiaTheme="minorEastAsia"/>
          <w:bCs/>
          <w:sz w:val="24"/>
          <w:szCs w:val="24"/>
          <w:highlight w:val="none"/>
        </w:rPr>
        <w:t>份。</w:t>
      </w:r>
    </w:p>
    <w:p w14:paraId="48D173CF">
      <w:pPr>
        <w:pStyle w:val="13"/>
        <w:numPr>
          <w:ilvl w:val="-1"/>
          <w:numId w:val="0"/>
        </w:numPr>
        <w:ind w:firstLine="0"/>
        <w:jc w:val="left"/>
        <w:rPr>
          <w:rFonts w:hint="eastAsia" w:ascii="宋体" w:hAnsi="宋体" w:eastAsia="宋体"/>
          <w:bCs/>
          <w:color w:val="auto"/>
          <w:sz w:val="24"/>
          <w:szCs w:val="24"/>
          <w:highlight w:val="none"/>
          <w:lang w:val="en-US" w:eastAsia="zh-CN"/>
        </w:rPr>
      </w:pPr>
      <w:r>
        <w:rPr>
          <w:rFonts w:hint="eastAsia" w:hAnsi="宋体"/>
          <w:bCs/>
          <w:color w:val="auto"/>
          <w:sz w:val="24"/>
          <w:szCs w:val="24"/>
          <w:highlight w:val="none"/>
          <w:lang w:val="en-US" w:eastAsia="zh-CN"/>
        </w:rPr>
        <w:t>十三、</w:t>
      </w:r>
      <w:r>
        <w:rPr>
          <w:rFonts w:hint="eastAsia" w:ascii="宋体" w:hAnsi="宋体" w:eastAsia="宋体"/>
          <w:bCs/>
          <w:color w:val="auto"/>
          <w:sz w:val="24"/>
          <w:szCs w:val="24"/>
          <w:highlight w:val="none"/>
          <w:lang w:val="en-US" w:eastAsia="zh-CN"/>
        </w:rPr>
        <w:t>其他</w:t>
      </w:r>
    </w:p>
    <w:p w14:paraId="574C365C">
      <w:pPr>
        <w:pStyle w:val="13"/>
        <w:numPr>
          <w:ilvl w:val="0"/>
          <w:numId w:val="0"/>
        </w:numPr>
        <w:spacing w:line="360" w:lineRule="auto"/>
        <w:ind w:firstLine="480" w:firstLineChars="200"/>
        <w:rPr>
          <w:rFonts w:hint="default"/>
          <w:color w:val="auto"/>
          <w:highlight w:val="none"/>
          <w:lang w:val="en-US" w:eastAsia="zh-CN"/>
        </w:rPr>
      </w:pPr>
      <w:r>
        <w:rPr>
          <w:rFonts w:hint="eastAsia" w:ascii="宋体" w:hAnsi="宋体" w:eastAsia="宋体" w:cs="Times New Roman"/>
          <w:bCs/>
          <w:snapToGrid/>
          <w:color w:val="auto"/>
          <w:kern w:val="2"/>
          <w:sz w:val="24"/>
          <w:szCs w:val="24"/>
          <w:highlight w:val="none"/>
          <w:lang w:val="en-US" w:eastAsia="zh-CN"/>
        </w:rPr>
        <w:t>承包人未按合同要求或招标文件约定履行相关义务（包括但不限于未按发包人要求开展工作、未及时提交履约保函、未按投标文件中的承诺投入设计及勘察人员、擅自更换设计负责人、未按发包人要求缴纳违约罚金、未按发包人要求参加例会等），承包人将被按一般违约或严重违约进行处罚，发包人有权从中标合同金额中扣除相应罚金；因承包单位原因引起诉讼、仲裁的，给省代建局造成经济损失的(包括不限于律师代理费、专家咨询费、诉讼及仲裁等相关费用)，承包人应向发包人赔偿因其造成的直接经济损失。发生上述情况的，发包人有权视情况认为承包人存在不诚信行为或不充分履约行为，发包人有权将承包人纳入发包人拒绝投标名单。</w:t>
      </w:r>
    </w:p>
    <w:p w14:paraId="4662BB6C">
      <w:pPr>
        <w:spacing w:line="360" w:lineRule="auto"/>
        <w:ind w:firstLine="0" w:firstLineChars="0"/>
        <w:rPr>
          <w:rFonts w:hint="eastAsia" w:asciiTheme="minorEastAsia" w:hAnsiTheme="minorEastAsia" w:eastAsiaTheme="minorEastAsia"/>
          <w:bCs/>
          <w:sz w:val="24"/>
          <w:szCs w:val="24"/>
          <w:highlight w:val="none"/>
          <w:lang w:eastAsia="zh-CN"/>
        </w:rPr>
      </w:pPr>
    </w:p>
    <w:p w14:paraId="10BA1028">
      <w:pPr>
        <w:spacing w:line="360" w:lineRule="auto"/>
        <w:rPr>
          <w:rFonts w:asciiTheme="minorEastAsia" w:hAnsiTheme="minorEastAsia" w:eastAsiaTheme="minorEastAsia"/>
          <w:sz w:val="24"/>
          <w:szCs w:val="24"/>
          <w:highlight w:val="none"/>
        </w:rPr>
      </w:pPr>
    </w:p>
    <w:p w14:paraId="7E8CA199">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发包人：广东省代建项目管理局  设计人：  （盖章）</w:t>
      </w:r>
    </w:p>
    <w:p w14:paraId="66F8699D">
      <w:pPr>
        <w:spacing w:line="360" w:lineRule="auto"/>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 xml:space="preserve">            （盖章）           </w:t>
      </w:r>
    </w:p>
    <w:p w14:paraId="09FE5ED8">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法定代表人或其委托代理人：  法定代表人或其委托代理人：</w:t>
      </w:r>
    </w:p>
    <w:p w14:paraId="3BD46301">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（签字）                    （签字）</w:t>
      </w:r>
    </w:p>
    <w:p w14:paraId="360A4250">
      <w:pPr>
        <w:spacing w:line="360" w:lineRule="auto"/>
        <w:rPr>
          <w:rFonts w:asciiTheme="minorEastAsia" w:hAnsiTheme="minorEastAsia" w:eastAsiaTheme="minorEastAsia"/>
          <w:sz w:val="24"/>
          <w:szCs w:val="24"/>
          <w:highlight w:val="none"/>
          <w:u w:val="single"/>
        </w:rPr>
      </w:pPr>
    </w:p>
    <w:p w14:paraId="6AFE8CD1">
      <w:pPr>
        <w:tabs>
          <w:tab w:val="left" w:pos="4410"/>
        </w:tabs>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组织机构代码：</w:t>
      </w:r>
      <w:r>
        <w:rPr>
          <w:rFonts w:hint="eastAsia" w:asciiTheme="minorEastAsia" w:hAnsiTheme="minorEastAsia" w:eastAsiaTheme="minorEastAsia"/>
          <w:sz w:val="24"/>
          <w:szCs w:val="24"/>
          <w:highlight w:val="none"/>
          <w:u w:val="single"/>
        </w:rPr>
        <w:t xml:space="preserve">       </w:t>
      </w:r>
      <w:r>
        <w:rPr>
          <w:rFonts w:hint="eastAsia" w:asciiTheme="minorEastAsia" w:hAnsiTheme="minorEastAsia" w:eastAsiaTheme="minorEastAsia"/>
          <w:sz w:val="24"/>
          <w:szCs w:val="24"/>
          <w:highlight w:val="none"/>
        </w:rPr>
        <w:t xml:space="preserve">  组织机构代码：</w:t>
      </w:r>
      <w:r>
        <w:rPr>
          <w:rFonts w:hint="eastAsia" w:asciiTheme="minorEastAsia" w:hAnsiTheme="minorEastAsia" w:eastAsiaTheme="minorEastAsia"/>
          <w:sz w:val="24"/>
          <w:szCs w:val="24"/>
          <w:highlight w:val="none"/>
          <w:u w:val="single"/>
        </w:rPr>
        <w:t xml:space="preserve">          </w:t>
      </w:r>
    </w:p>
    <w:p w14:paraId="317D7CFC">
      <w:pPr>
        <w:tabs>
          <w:tab w:val="left" w:pos="4410"/>
        </w:tabs>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纳税人识别码：  纳税人识别码：</w:t>
      </w:r>
    </w:p>
    <w:p w14:paraId="4754DA92">
      <w:pPr>
        <w:spacing w:line="360" w:lineRule="auto"/>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地  址：</w:t>
      </w:r>
      <w:r>
        <w:rPr>
          <w:rFonts w:hint="eastAsia" w:asciiTheme="minorEastAsia" w:hAnsiTheme="minorEastAsia" w:eastAsiaTheme="minorEastAsia"/>
          <w:sz w:val="24"/>
          <w:szCs w:val="24"/>
          <w:highlight w:val="none"/>
          <w:u w:val="single"/>
        </w:rPr>
        <w:t xml:space="preserve">广州市黄埔大道西   </w:t>
      </w:r>
      <w:r>
        <w:rPr>
          <w:rFonts w:hint="eastAsia" w:asciiTheme="minorEastAsia" w:hAnsiTheme="minorEastAsia" w:eastAsiaTheme="minorEastAsia"/>
          <w:sz w:val="24"/>
          <w:szCs w:val="24"/>
          <w:highlight w:val="none"/>
        </w:rPr>
        <w:t xml:space="preserve">  地  址：</w:t>
      </w:r>
      <w:r>
        <w:rPr>
          <w:rFonts w:hint="eastAsia" w:asciiTheme="minorEastAsia" w:hAnsiTheme="minorEastAsia" w:eastAsiaTheme="minorEastAsia"/>
          <w:sz w:val="24"/>
          <w:szCs w:val="24"/>
          <w:highlight w:val="none"/>
          <w:u w:val="single"/>
        </w:rPr>
        <w:t xml:space="preserve">        </w:t>
      </w:r>
    </w:p>
    <w:p w14:paraId="00D59040">
      <w:pPr>
        <w:spacing w:line="360" w:lineRule="auto"/>
        <w:ind w:firstLine="960" w:firstLineChars="4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u w:val="single"/>
        </w:rPr>
        <w:t xml:space="preserve">108号11楼 </w:t>
      </w:r>
    </w:p>
    <w:p w14:paraId="494F1F24">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邮政编码：</w:t>
      </w:r>
      <w:r>
        <w:rPr>
          <w:rFonts w:hint="eastAsia" w:asciiTheme="minorEastAsia" w:hAnsiTheme="minorEastAsia" w:eastAsiaTheme="minorEastAsia"/>
          <w:sz w:val="24"/>
          <w:szCs w:val="24"/>
          <w:highlight w:val="none"/>
          <w:u w:val="single"/>
        </w:rPr>
        <w:t xml:space="preserve"> 510060         </w:t>
      </w:r>
      <w:r>
        <w:rPr>
          <w:rFonts w:hint="eastAsia" w:asciiTheme="minorEastAsia" w:hAnsiTheme="minorEastAsia" w:eastAsiaTheme="minorEastAsia"/>
          <w:sz w:val="24"/>
          <w:szCs w:val="24"/>
          <w:highlight w:val="none"/>
        </w:rPr>
        <w:t xml:space="preserve">  邮政编码：</w:t>
      </w:r>
      <w:r>
        <w:rPr>
          <w:rFonts w:hint="eastAsia" w:asciiTheme="minorEastAsia" w:hAnsiTheme="minorEastAsia" w:eastAsiaTheme="minorEastAsia"/>
          <w:sz w:val="24"/>
          <w:szCs w:val="24"/>
          <w:highlight w:val="none"/>
          <w:u w:val="single"/>
        </w:rPr>
        <w:t xml:space="preserve">   </w:t>
      </w:r>
    </w:p>
    <w:p w14:paraId="41A0F93B">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法定代表人：</w:t>
      </w:r>
      <w:r>
        <w:rPr>
          <w:rFonts w:hint="eastAsia" w:asciiTheme="minorEastAsia" w:hAnsiTheme="minorEastAsia" w:eastAsiaTheme="minorEastAsia"/>
          <w:sz w:val="24"/>
          <w:szCs w:val="24"/>
          <w:highlight w:val="none"/>
          <w:u w:val="single"/>
        </w:rPr>
        <w:t xml:space="preserve">           </w:t>
      </w:r>
      <w:r>
        <w:rPr>
          <w:rFonts w:hint="eastAsia" w:asciiTheme="minorEastAsia" w:hAnsiTheme="minorEastAsia" w:eastAsiaTheme="minorEastAsia"/>
          <w:sz w:val="24"/>
          <w:szCs w:val="24"/>
          <w:highlight w:val="none"/>
        </w:rPr>
        <w:t xml:space="preserve">  法定代表人：</w:t>
      </w:r>
      <w:r>
        <w:rPr>
          <w:rFonts w:hint="eastAsia" w:asciiTheme="minorEastAsia" w:hAnsiTheme="minorEastAsia" w:eastAsiaTheme="minorEastAsia"/>
          <w:sz w:val="24"/>
          <w:szCs w:val="24"/>
          <w:highlight w:val="none"/>
          <w:u w:val="single"/>
        </w:rPr>
        <w:t xml:space="preserve">             </w:t>
      </w:r>
    </w:p>
    <w:p w14:paraId="244BE568">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委托代理人：</w:t>
      </w:r>
      <w:r>
        <w:rPr>
          <w:rFonts w:hint="eastAsia" w:asciiTheme="minorEastAsia" w:hAnsiTheme="minorEastAsia" w:eastAsiaTheme="minorEastAsia"/>
          <w:sz w:val="24"/>
          <w:szCs w:val="24"/>
          <w:highlight w:val="none"/>
          <w:u w:val="single"/>
        </w:rPr>
        <w:t xml:space="preserve">           </w:t>
      </w:r>
      <w:r>
        <w:rPr>
          <w:rFonts w:hint="eastAsia" w:asciiTheme="minorEastAsia" w:hAnsiTheme="minorEastAsia" w:eastAsiaTheme="minorEastAsia"/>
          <w:sz w:val="24"/>
          <w:szCs w:val="24"/>
          <w:highlight w:val="none"/>
        </w:rPr>
        <w:t xml:space="preserve">  委托代理人：</w:t>
      </w:r>
      <w:r>
        <w:rPr>
          <w:rFonts w:hint="eastAsia" w:asciiTheme="minorEastAsia" w:hAnsiTheme="minorEastAsia" w:eastAsiaTheme="minorEastAsia"/>
          <w:sz w:val="24"/>
          <w:szCs w:val="24"/>
          <w:highlight w:val="none"/>
          <w:u w:val="single"/>
        </w:rPr>
        <w:t xml:space="preserve">             </w:t>
      </w:r>
    </w:p>
    <w:p w14:paraId="550E5919">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电  话：</w:t>
      </w:r>
      <w:r>
        <w:rPr>
          <w:rFonts w:hint="eastAsia" w:asciiTheme="minorEastAsia" w:hAnsiTheme="minorEastAsia" w:eastAsiaTheme="minorEastAsia"/>
          <w:sz w:val="24"/>
          <w:szCs w:val="24"/>
          <w:highlight w:val="none"/>
          <w:u w:val="single"/>
        </w:rPr>
        <w:t>020-836208</w:t>
      </w:r>
      <w:r>
        <w:rPr>
          <w:rFonts w:hint="eastAsia" w:asciiTheme="minorEastAsia" w:hAnsiTheme="minorEastAsia" w:eastAsiaTheme="minorEastAsia"/>
          <w:sz w:val="24"/>
          <w:szCs w:val="24"/>
          <w:highlight w:val="none"/>
          <w:u w:val="single"/>
          <w:lang w:val="en-US" w:eastAsia="zh-CN"/>
        </w:rPr>
        <w:t>67</w:t>
      </w:r>
      <w:r>
        <w:rPr>
          <w:rFonts w:hint="eastAsia" w:asciiTheme="minorEastAsia" w:hAnsiTheme="minorEastAsia" w:eastAsiaTheme="minorEastAsia"/>
          <w:sz w:val="24"/>
          <w:szCs w:val="24"/>
          <w:highlight w:val="none"/>
          <w:u w:val="single"/>
        </w:rPr>
        <w:t xml:space="preserve">    </w:t>
      </w:r>
      <w:r>
        <w:rPr>
          <w:rFonts w:hint="eastAsia" w:asciiTheme="minorEastAsia" w:hAnsiTheme="minorEastAsia" w:eastAsiaTheme="minorEastAsia"/>
          <w:sz w:val="24"/>
          <w:szCs w:val="24"/>
          <w:highlight w:val="none"/>
        </w:rPr>
        <w:t xml:space="preserve">  电  话：</w:t>
      </w:r>
      <w:r>
        <w:rPr>
          <w:rFonts w:hint="eastAsia" w:asciiTheme="minorEastAsia" w:hAnsiTheme="minorEastAsia" w:eastAsiaTheme="minorEastAsia"/>
          <w:sz w:val="24"/>
          <w:szCs w:val="24"/>
          <w:highlight w:val="none"/>
          <w:u w:val="single"/>
        </w:rPr>
        <w:t xml:space="preserve">     </w:t>
      </w:r>
    </w:p>
    <w:p w14:paraId="0390B6C6">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传  真：</w:t>
      </w:r>
      <w:r>
        <w:rPr>
          <w:rFonts w:hint="eastAsia" w:asciiTheme="minorEastAsia" w:hAnsiTheme="minorEastAsia" w:eastAsiaTheme="minorEastAsia"/>
          <w:sz w:val="24"/>
          <w:szCs w:val="24"/>
          <w:highlight w:val="none"/>
          <w:u w:val="single"/>
        </w:rPr>
        <w:t></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u w:val="single"/>
        </w:rPr>
        <w:t xml:space="preserve">   </w:t>
      </w:r>
      <w:r>
        <w:rPr>
          <w:rFonts w:hint="eastAsia" w:asciiTheme="minorEastAsia" w:hAnsiTheme="minorEastAsia" w:eastAsiaTheme="minorEastAsia"/>
          <w:sz w:val="24"/>
          <w:szCs w:val="24"/>
          <w:highlight w:val="none"/>
        </w:rPr>
        <w:t xml:space="preserve">  传  真：</w:t>
      </w:r>
      <w:r>
        <w:rPr>
          <w:rFonts w:hint="eastAsia" w:asciiTheme="minorEastAsia" w:hAnsiTheme="minorEastAsia" w:eastAsiaTheme="minorEastAsia"/>
          <w:sz w:val="24"/>
          <w:szCs w:val="24"/>
          <w:highlight w:val="none"/>
          <w:u w:val="single"/>
        </w:rPr>
        <w:t xml:space="preserve">     </w:t>
      </w:r>
    </w:p>
    <w:p w14:paraId="5E67B735">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电子信箱：  电子信箱：</w:t>
      </w:r>
      <w:r>
        <w:rPr>
          <w:rFonts w:hint="eastAsia" w:asciiTheme="minorEastAsia" w:hAnsiTheme="minorEastAsia" w:eastAsiaTheme="minorEastAsia"/>
          <w:sz w:val="24"/>
          <w:szCs w:val="24"/>
          <w:highlight w:val="none"/>
          <w:u w:val="single"/>
        </w:rPr>
        <w:t></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u w:val="single"/>
        </w:rPr>
        <w:t xml:space="preserve">   </w:t>
      </w:r>
    </w:p>
    <w:p w14:paraId="2CCF5D5C">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开户银行：</w:t>
      </w:r>
      <w:r>
        <w:rPr>
          <w:rFonts w:hint="eastAsia" w:asciiTheme="minorEastAsia" w:hAnsiTheme="minorEastAsia" w:eastAsiaTheme="minorEastAsia"/>
          <w:sz w:val="24"/>
          <w:szCs w:val="24"/>
          <w:highlight w:val="none"/>
          <w:u w:val="single"/>
        </w:rPr>
        <w:t xml:space="preserve">   </w:t>
      </w:r>
      <w:r>
        <w:rPr>
          <w:rFonts w:hint="eastAsia" w:asciiTheme="minorEastAsia" w:hAnsiTheme="minorEastAsia" w:eastAsiaTheme="minorEastAsia"/>
          <w:sz w:val="24"/>
          <w:szCs w:val="24"/>
          <w:highlight w:val="none"/>
        </w:rPr>
        <w:t xml:space="preserve">  开户银行：</w:t>
      </w:r>
      <w:r>
        <w:rPr>
          <w:rFonts w:hint="eastAsia" w:asciiTheme="minorEastAsia" w:hAnsiTheme="minorEastAsia" w:eastAsiaTheme="minorEastAsia"/>
          <w:sz w:val="24"/>
          <w:szCs w:val="24"/>
          <w:highlight w:val="none"/>
          <w:u w:val="single"/>
        </w:rPr>
        <w:t></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u w:val="single"/>
        </w:rPr>
        <w:t xml:space="preserve">   </w:t>
      </w:r>
    </w:p>
    <w:p w14:paraId="609CDBD6">
      <w:pPr>
        <w:spacing w:line="360" w:lineRule="auto"/>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账  号：</w:t>
      </w:r>
      <w:r>
        <w:rPr>
          <w:rFonts w:hint="eastAsia" w:asciiTheme="minorEastAsia" w:hAnsiTheme="minorEastAsia" w:eastAsiaTheme="minorEastAsia"/>
          <w:sz w:val="24"/>
          <w:szCs w:val="24"/>
          <w:highlight w:val="none"/>
          <w:u w:val="single"/>
        </w:rPr>
        <w:t xml:space="preserve">       </w:t>
      </w:r>
      <w:r>
        <w:rPr>
          <w:rFonts w:hint="eastAsia" w:asciiTheme="minorEastAsia" w:hAnsiTheme="minorEastAsia" w:eastAsiaTheme="minorEastAsia"/>
          <w:sz w:val="24"/>
          <w:szCs w:val="24"/>
          <w:highlight w:val="none"/>
        </w:rPr>
        <w:t xml:space="preserve">   账  号：</w:t>
      </w:r>
      <w:r>
        <w:rPr>
          <w:rFonts w:hint="eastAsia" w:asciiTheme="minorEastAsia" w:hAnsiTheme="minorEastAsia" w:eastAsiaTheme="minorEastAsia"/>
          <w:sz w:val="24"/>
          <w:szCs w:val="24"/>
          <w:highlight w:val="none"/>
          <w:u w:val="single"/>
        </w:rPr>
        <w:t xml:space="preserve">     </w:t>
      </w:r>
    </w:p>
    <w:p w14:paraId="30DDBBA8">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时  间：</w:t>
      </w:r>
      <w:r>
        <w:rPr>
          <w:rFonts w:hint="eastAsia" w:asciiTheme="minorEastAsia" w:hAnsiTheme="minorEastAsia" w:eastAsiaTheme="minorEastAsia"/>
          <w:sz w:val="24"/>
          <w:szCs w:val="24"/>
          <w:highlight w:val="none"/>
          <w:lang w:val="en-US" w:eastAsia="zh-CN"/>
        </w:rPr>
        <w:t xml:space="preserve">    </w:t>
      </w:r>
      <w:r>
        <w:rPr>
          <w:rFonts w:hint="eastAsia" w:asciiTheme="minorEastAsia" w:hAnsiTheme="minorEastAsia" w:eastAsiaTheme="minorEastAsia"/>
          <w:sz w:val="24"/>
          <w:szCs w:val="24"/>
          <w:highlight w:val="none"/>
        </w:rPr>
        <w:t>年</w:t>
      </w:r>
      <w:r>
        <w:rPr>
          <w:rFonts w:hint="eastAsia" w:asciiTheme="minorEastAsia" w:hAnsiTheme="minorEastAsia" w:eastAsiaTheme="minorEastAsia"/>
          <w:sz w:val="24"/>
          <w:szCs w:val="24"/>
          <w:highlight w:val="none"/>
          <w:lang w:val="en-US" w:eastAsia="zh-CN"/>
        </w:rPr>
        <w:t xml:space="preserve">    </w:t>
      </w:r>
      <w:r>
        <w:rPr>
          <w:rFonts w:hint="eastAsia" w:asciiTheme="minorEastAsia" w:hAnsiTheme="minorEastAsia" w:eastAsiaTheme="minorEastAsia"/>
          <w:sz w:val="24"/>
          <w:szCs w:val="24"/>
          <w:highlight w:val="none"/>
        </w:rPr>
        <w:t>月</w:t>
      </w:r>
      <w:r>
        <w:rPr>
          <w:rFonts w:hint="eastAsia" w:asciiTheme="minorEastAsia" w:hAnsiTheme="minorEastAsia" w:eastAsiaTheme="minorEastAsia"/>
          <w:sz w:val="24"/>
          <w:szCs w:val="24"/>
          <w:highlight w:val="none"/>
          <w:lang w:val="en-US" w:eastAsia="zh-CN"/>
        </w:rPr>
        <w:t xml:space="preserve">    </w:t>
      </w:r>
      <w:r>
        <w:rPr>
          <w:rFonts w:hint="eastAsia" w:asciiTheme="minorEastAsia" w:hAnsiTheme="minorEastAsia" w:eastAsiaTheme="minorEastAsia"/>
          <w:sz w:val="24"/>
          <w:szCs w:val="24"/>
          <w:highlight w:val="none"/>
        </w:rPr>
        <w:t>日    时  间：</w:t>
      </w:r>
      <w:r>
        <w:rPr>
          <w:rFonts w:hint="eastAsia" w:asciiTheme="minorEastAsia" w:hAnsiTheme="minorEastAsia" w:eastAsiaTheme="minorEastAsia"/>
          <w:sz w:val="24"/>
          <w:szCs w:val="24"/>
          <w:highlight w:val="none"/>
          <w:lang w:val="en-US" w:eastAsia="zh-CN"/>
        </w:rPr>
        <w:t xml:space="preserve">     </w:t>
      </w:r>
      <w:r>
        <w:rPr>
          <w:rFonts w:hint="eastAsia" w:asciiTheme="minorEastAsia" w:hAnsiTheme="minorEastAsia" w:eastAsiaTheme="minorEastAsia"/>
          <w:sz w:val="24"/>
          <w:szCs w:val="24"/>
          <w:highlight w:val="none"/>
        </w:rPr>
        <w:t>年</w:t>
      </w:r>
      <w:r>
        <w:rPr>
          <w:rFonts w:hint="eastAsia" w:asciiTheme="minorEastAsia" w:hAnsiTheme="minorEastAsia" w:eastAsiaTheme="minorEastAsia"/>
          <w:sz w:val="24"/>
          <w:szCs w:val="24"/>
          <w:highlight w:val="none"/>
          <w:lang w:val="en-US" w:eastAsia="zh-CN"/>
        </w:rPr>
        <w:t xml:space="preserve">    </w:t>
      </w:r>
      <w:r>
        <w:rPr>
          <w:rFonts w:hint="eastAsia" w:asciiTheme="minorEastAsia" w:hAnsiTheme="minorEastAsia" w:eastAsiaTheme="minorEastAsia"/>
          <w:sz w:val="24"/>
          <w:szCs w:val="24"/>
          <w:highlight w:val="none"/>
        </w:rPr>
        <w:t>月</w:t>
      </w:r>
      <w:r>
        <w:rPr>
          <w:rFonts w:hint="eastAsia" w:asciiTheme="minorEastAsia" w:hAnsiTheme="minorEastAsia" w:eastAsiaTheme="minorEastAsia"/>
          <w:sz w:val="24"/>
          <w:szCs w:val="24"/>
          <w:highlight w:val="none"/>
          <w:lang w:val="en-US" w:eastAsia="zh-CN"/>
        </w:rPr>
        <w:t xml:space="preserve">      </w:t>
      </w:r>
      <w:r>
        <w:rPr>
          <w:rFonts w:hint="eastAsia" w:asciiTheme="minorEastAsia" w:hAnsiTheme="minorEastAsia" w:eastAsiaTheme="minorEastAsia"/>
          <w:sz w:val="24"/>
          <w:szCs w:val="24"/>
          <w:highlight w:val="none"/>
        </w:rPr>
        <w:t>日</w:t>
      </w:r>
    </w:p>
    <w:p w14:paraId="17374E46">
      <w:pPr>
        <w:spacing w:line="360" w:lineRule="auto"/>
        <w:rPr>
          <w:rFonts w:asciiTheme="minorEastAsia" w:hAnsiTheme="minorEastAsia" w:eastAsiaTheme="minorEastAsia"/>
          <w:highlight w:val="none"/>
        </w:rPr>
      </w:pPr>
    </w:p>
    <w:p w14:paraId="30156244">
      <w:pPr>
        <w:pStyle w:val="4"/>
        <w:spacing w:line="360" w:lineRule="auto"/>
        <w:jc w:val="center"/>
        <w:rPr>
          <w:rFonts w:asciiTheme="minorEastAsia" w:hAnsiTheme="minorEastAsia" w:eastAsiaTheme="minorEastAsia"/>
          <w:sz w:val="44"/>
          <w:szCs w:val="44"/>
          <w:highlight w:val="none"/>
        </w:rPr>
      </w:pPr>
      <w:bookmarkStart w:id="18" w:name="_Toc351203494"/>
      <w:r>
        <w:rPr>
          <w:rFonts w:hint="eastAsia" w:asciiTheme="minorEastAsia" w:hAnsiTheme="minorEastAsia" w:eastAsiaTheme="minorEastAsia"/>
          <w:sz w:val="44"/>
          <w:szCs w:val="44"/>
          <w:highlight w:val="none"/>
        </w:rPr>
        <w:br w:type="page"/>
      </w:r>
      <w:r>
        <w:rPr>
          <w:rFonts w:hint="eastAsia" w:asciiTheme="minorEastAsia" w:hAnsiTheme="minorEastAsia" w:eastAsiaTheme="minorEastAsia"/>
          <w:sz w:val="44"/>
          <w:szCs w:val="44"/>
          <w:highlight w:val="none"/>
        </w:rPr>
        <w:t>第二部分 通用合同条款</w:t>
      </w:r>
      <w:bookmarkEnd w:id="18"/>
      <w:bookmarkStart w:id="19" w:name="_Toc337558727"/>
    </w:p>
    <w:p w14:paraId="3CB25237">
      <w:pPr>
        <w:pStyle w:val="5"/>
        <w:spacing w:before="120" w:after="120" w:line="360" w:lineRule="auto"/>
        <w:rPr>
          <w:rFonts w:asciiTheme="minorEastAsia" w:hAnsiTheme="minorEastAsia" w:eastAsiaTheme="minorEastAsia"/>
          <w:b w:val="0"/>
          <w:sz w:val="24"/>
          <w:szCs w:val="24"/>
          <w:highlight w:val="none"/>
        </w:rPr>
      </w:pPr>
      <w:bookmarkStart w:id="20" w:name="_Toc351203495"/>
      <w:r>
        <w:rPr>
          <w:rFonts w:hint="eastAsia" w:asciiTheme="minorEastAsia" w:hAnsiTheme="minorEastAsia" w:eastAsiaTheme="minorEastAsia"/>
          <w:b w:val="0"/>
          <w:sz w:val="24"/>
          <w:szCs w:val="24"/>
          <w:highlight w:val="none"/>
        </w:rPr>
        <w:t>1.</w:t>
      </w:r>
      <w:bookmarkStart w:id="21" w:name="_Toc303538974"/>
      <w:bookmarkEnd w:id="21"/>
      <w:bookmarkStart w:id="22" w:name="_Toc303538975"/>
      <w:bookmarkEnd w:id="22"/>
      <w:bookmarkStart w:id="23" w:name="_Toc303538973"/>
      <w:bookmarkEnd w:id="23"/>
      <w:bookmarkStart w:id="24" w:name="_Toc303538972"/>
      <w:bookmarkEnd w:id="24"/>
      <w:bookmarkStart w:id="25" w:name="_Toc303538976"/>
      <w:bookmarkEnd w:id="25"/>
      <w:bookmarkStart w:id="26" w:name="_Toc296503027"/>
      <w:bookmarkStart w:id="27" w:name="_Toc296346528"/>
      <w:r>
        <w:rPr>
          <w:rFonts w:hint="eastAsia" w:asciiTheme="minorEastAsia" w:hAnsiTheme="minorEastAsia" w:eastAsiaTheme="minorEastAsia"/>
          <w:b w:val="0"/>
          <w:sz w:val="24"/>
          <w:szCs w:val="24"/>
          <w:highlight w:val="none"/>
        </w:rPr>
        <w:t xml:space="preserve"> 一般约定</w:t>
      </w:r>
      <w:bookmarkEnd w:id="19"/>
      <w:bookmarkEnd w:id="20"/>
      <w:bookmarkEnd w:id="26"/>
      <w:bookmarkEnd w:id="27"/>
    </w:p>
    <w:p w14:paraId="3D212A6F">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28" w:name="_Toc337558728"/>
      <w:bookmarkStart w:id="29" w:name="_Toc296503028"/>
      <w:bookmarkStart w:id="30" w:name="_Toc296346529"/>
      <w:bookmarkStart w:id="31" w:name="_Toc351203496"/>
      <w:r>
        <w:rPr>
          <w:rFonts w:hint="eastAsia" w:asciiTheme="minorEastAsia" w:hAnsiTheme="minorEastAsia" w:eastAsiaTheme="minorEastAsia"/>
          <w:b w:val="0"/>
          <w:sz w:val="24"/>
          <w:szCs w:val="24"/>
          <w:highlight w:val="none"/>
        </w:rPr>
        <w:t>1.1 词语定义</w:t>
      </w:r>
      <w:bookmarkEnd w:id="28"/>
      <w:bookmarkEnd w:id="29"/>
      <w:bookmarkEnd w:id="30"/>
      <w:r>
        <w:rPr>
          <w:rFonts w:hint="eastAsia" w:asciiTheme="minorEastAsia" w:hAnsiTheme="minorEastAsia" w:eastAsiaTheme="minorEastAsia"/>
          <w:b w:val="0"/>
          <w:sz w:val="24"/>
          <w:szCs w:val="24"/>
          <w:highlight w:val="none"/>
        </w:rPr>
        <w:t>与解释</w:t>
      </w:r>
      <w:bookmarkEnd w:id="31"/>
    </w:p>
    <w:p w14:paraId="2EF2F210">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合同协议书、通用合同条款、专用合同条款中的下列词语具有本款所赋予的含义：</w:t>
      </w:r>
    </w:p>
    <w:p w14:paraId="6924CBB3">
      <w:pPr>
        <w:autoSpaceDE w:val="0"/>
        <w:autoSpaceDN w:val="0"/>
        <w:adjustRightInd w:val="0"/>
        <w:spacing w:line="360" w:lineRule="auto"/>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 xml:space="preserve">    1.1.1 合同</w:t>
      </w:r>
    </w:p>
    <w:p w14:paraId="13C50205">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1.1.1.1 合同：是指根据法律规定和合同当事人约定具有约束力的文件，构成合同的文件包括合同协议书、专用合同条款</w:t>
      </w:r>
      <w:r>
        <w:rPr>
          <w:rFonts w:hint="eastAsia" w:asciiTheme="minorEastAsia" w:hAnsiTheme="minorEastAsia" w:eastAsiaTheme="minorEastAsia"/>
          <w:sz w:val="24"/>
          <w:szCs w:val="24"/>
          <w:highlight w:val="none"/>
        </w:rPr>
        <w:t>及其附件</w:t>
      </w:r>
      <w:r>
        <w:rPr>
          <w:rFonts w:hint="eastAsia" w:asciiTheme="minorEastAsia" w:hAnsiTheme="minorEastAsia" w:eastAsiaTheme="minorEastAsia"/>
          <w:kern w:val="0"/>
          <w:sz w:val="24"/>
          <w:szCs w:val="24"/>
          <w:highlight w:val="none"/>
        </w:rPr>
        <w:t>、通用合同条款、中标通知书（如果有）、投标函及其附录（如果有）、发包人要求、技术标准、发包人提供的上一阶段图纸（如果有）以及其他合同文件。</w:t>
      </w:r>
    </w:p>
    <w:p w14:paraId="4C8D918A">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1.1.1.2 合同协议书：是指构成合同的由发包人和设计人共同签署的称为“合同协议书”的书面文件。</w:t>
      </w:r>
    </w:p>
    <w:p w14:paraId="00DC4A76">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1.1.1.3 中标通知书：是指构成合同的由发包人通知设计人中标的书面文件。</w:t>
      </w:r>
    </w:p>
    <w:p w14:paraId="183002CE">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1.1.1.4 投标函：是指构成合同的由设计人填写并签署的用于投标的称为“投标函”的文件。</w:t>
      </w:r>
    </w:p>
    <w:p w14:paraId="441E7EAE">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1.1.1.5 投标函附录：是指构成合同的附在投标函后的称为“投标函附录”的文件。</w:t>
      </w:r>
    </w:p>
    <w:p w14:paraId="00B686AD">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1.1.1.6 发包人要求：是指构成合同文件组成部分的，由发包人就工程项目的目的、范围、功能要求及工程设计文件审查的范围和内容等提出相应要求的书面文件，又称设计任务书。</w:t>
      </w:r>
    </w:p>
    <w:p w14:paraId="5D2F9387">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1.1.1.7 技术标准：是指构成合同的设计应当遵守的或指导设计的国家、行业或地方的技术标准和要求，以及合同约定的技术标准和要求。</w:t>
      </w:r>
    </w:p>
    <w:p w14:paraId="24104BBB">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1.1.1.8 其他合同文件：是指经合同当事人约定的与工程设计有关的具有合同约束力的文件或书面协议。合同当事人可以在专用合同条款中进行约定。</w:t>
      </w:r>
    </w:p>
    <w:p w14:paraId="6172C3CB">
      <w:pPr>
        <w:autoSpaceDE w:val="0"/>
        <w:autoSpaceDN w:val="0"/>
        <w:adjustRightInd w:val="0"/>
        <w:spacing w:line="360" w:lineRule="auto"/>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 xml:space="preserve">    1.1.2 合同当事人及其他相关方</w:t>
      </w:r>
    </w:p>
    <w:p w14:paraId="43A16702">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1.1.2.1 合同当事人：是指发包人和（或）设计人。</w:t>
      </w:r>
    </w:p>
    <w:p w14:paraId="6CC346E4">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1.1.2.2 发包人：是指与设计人签订合同协议书的当事人及取得该当事人资格的合法继承人。</w:t>
      </w:r>
    </w:p>
    <w:p w14:paraId="1843E1AF">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1.1.2.3 设计人：是指与发包人签订合同协议书的，具有相应工程设计资质的当事人及取得该当事人资格的合法继承人。</w:t>
      </w:r>
    </w:p>
    <w:p w14:paraId="6CAAD84F">
      <w:pPr>
        <w:spacing w:line="360" w:lineRule="auto"/>
        <w:ind w:firstLine="468" w:firstLineChars="195"/>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1.1.2.4 分包人：</w:t>
      </w:r>
      <w:bookmarkStart w:id="32" w:name="#go5"/>
      <w:bookmarkEnd w:id="32"/>
      <w:r>
        <w:rPr>
          <w:rFonts w:hint="eastAsia" w:asciiTheme="minorEastAsia" w:hAnsiTheme="minorEastAsia" w:eastAsiaTheme="minorEastAsia"/>
          <w:kern w:val="0"/>
          <w:sz w:val="24"/>
          <w:szCs w:val="24"/>
          <w:highlight w:val="none"/>
        </w:rPr>
        <w:t>是指按照法律规定和合同约定，分包部分工程设计工作，并与设计人签订分包合同的具有相应资质的法人。</w:t>
      </w:r>
    </w:p>
    <w:p w14:paraId="3E897363">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1.1.2.5 发包人代表：是指由发包人指定负责工程设计方面在发包人授权范围内行使发包人权利的人。</w:t>
      </w:r>
    </w:p>
    <w:p w14:paraId="211B30E9">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1.1.2.6 项目负责人：是指由设计人任命负责工程设计，在设计人授权范围内负责合同履行，且按照法律规定具有相应资格的项目主持人。</w:t>
      </w:r>
    </w:p>
    <w:p w14:paraId="7A5466F0">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1.1.2.7 联合体：是指两个以上设计人联合，以一个设计人身份为发包人提供工程设计服务的临时性组织。</w:t>
      </w:r>
    </w:p>
    <w:p w14:paraId="72C588F1">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1.1.3 工程设计服务、资料与文件</w:t>
      </w:r>
    </w:p>
    <w:p w14:paraId="1B30D962">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1.1.3.1 工程设计服务：是指设计人按照合同约定履行的服务，包括工程设计基本服务、工程设计其他服务。</w:t>
      </w:r>
    </w:p>
    <w:p w14:paraId="0AE70148">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1.1.3.2 工程设计基本服务：是指设计人根据发包人的委托，提供编制房屋建筑工程方案设计文件、初步设计文件（含初步设计概算）、施工图设计文件服务，并相应提供设计技术交底、解决施工中的设计技术问题、参加竣工验收等服务。基本服务费用包含在设计费中。</w:t>
      </w:r>
    </w:p>
    <w:p w14:paraId="2CEBE5FD">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1.1.3.3 工程设计其他服务：是指发包人根据工程设计实际需要，要求设计人另行提供且发包人应当单独支付费用的服务，包括总体设计服务、主体设计协调服务、采用标准设计和复用设计服务、非标准设备设计文件编制服务、竣工图编制服务等。</w:t>
      </w:r>
    </w:p>
    <w:p w14:paraId="1C272BD5">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1.1.3.4 暂停设计：是指发生设计人不能按照合同约定履行全部或部分义务情形而暂时中断工程设计服务的行为。</w:t>
      </w:r>
    </w:p>
    <w:p w14:paraId="5F39DB88">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1.1.3.5 工程设计资料：是指</w:t>
      </w:r>
      <w:r>
        <w:rPr>
          <w:rFonts w:hint="eastAsia" w:cs="Courier New" w:asciiTheme="minorEastAsia" w:hAnsiTheme="minorEastAsia" w:eastAsiaTheme="minorEastAsia"/>
          <w:sz w:val="24"/>
          <w:szCs w:val="24"/>
          <w:highlight w:val="none"/>
        </w:rPr>
        <w:t>根据合同约定，发包人向设计人提供的用于完成工程设计范围与内容所需要的资料。</w:t>
      </w:r>
    </w:p>
    <w:p w14:paraId="00C4323F">
      <w:pPr>
        <w:pStyle w:val="33"/>
        <w:spacing w:line="360" w:lineRule="auto"/>
        <w:ind w:left="0" w:leftChars="0" w:firstLine="456" w:firstLineChars="190"/>
        <w:rPr>
          <w:rFonts w:cs="Courier New"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1.1.3.6 工程</w:t>
      </w:r>
      <w:r>
        <w:rPr>
          <w:rFonts w:hint="eastAsia" w:cs="Courier New" w:asciiTheme="minorEastAsia" w:hAnsiTheme="minorEastAsia" w:eastAsiaTheme="minorEastAsia"/>
          <w:sz w:val="24"/>
          <w:szCs w:val="24"/>
          <w:highlight w:val="none"/>
        </w:rPr>
        <w:t>设计文件：指按照合同约定和技术要求，由设计人向发包人提供的阶段性成果、最终工作成果等，且应当采用合同中双方约定的载体。</w:t>
      </w:r>
    </w:p>
    <w:p w14:paraId="01793E17">
      <w:pPr>
        <w:pStyle w:val="33"/>
        <w:spacing w:after="0" w:line="360" w:lineRule="auto"/>
        <w:ind w:left="0" w:leftChars="0"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1.1.4 日期和期限</w:t>
      </w:r>
    </w:p>
    <w:p w14:paraId="1F994B4B">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1.1.4.1 开始设计日期：包括计划开始设计日期和实际开始设计日期。计划开始设计日期是指合同协议书约定的开始设计日期；实际开始设计日期是指发包人发出的开始设计通知中载明的开始设计日期。</w:t>
      </w:r>
    </w:p>
    <w:p w14:paraId="745DD67A">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 xml:space="preserve">1.1.4.2 完成设计日期：包括计划完成设计日期和实际完成设计日期。计划完成设计日期是指合同协议书约定的完成设计及相关服务的日期；实际完成设计日期是指设计人交付全部或阶段性设计成果及提供相关服务日期。 </w:t>
      </w:r>
    </w:p>
    <w:p w14:paraId="1E1674F8">
      <w:pPr>
        <w:spacing w:line="360" w:lineRule="auto"/>
        <w:ind w:firstLine="487" w:firstLineChars="203"/>
        <w:rPr>
          <w:rFonts w:asciiTheme="minorEastAsia" w:hAnsiTheme="minorEastAsia" w:eastAsiaTheme="minorEastAsia"/>
          <w:sz w:val="24"/>
          <w:szCs w:val="24"/>
          <w:highlight w:val="none"/>
        </w:rPr>
      </w:pPr>
      <w:r>
        <w:rPr>
          <w:rFonts w:hint="eastAsia" w:asciiTheme="minorEastAsia" w:hAnsiTheme="minorEastAsia" w:eastAsiaTheme="minorEastAsia"/>
          <w:kern w:val="0"/>
          <w:sz w:val="24"/>
          <w:szCs w:val="24"/>
          <w:highlight w:val="none"/>
        </w:rPr>
        <w:t>1.1.4.3 设计周期又称设计工期：是指在合同协议书约定的设计人完成工程设计及相关服务所需的期限，包括按照合同约定所作的期限变更。</w:t>
      </w:r>
    </w:p>
    <w:p w14:paraId="56D940A0">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1.1.4.4 基准日期：招标发包的工程设计以投标截止日前28天的日期为基准日期，直接发包的工程设计以合同签订日前28天的日期为基准日期。</w:t>
      </w:r>
    </w:p>
    <w:p w14:paraId="23EFBF7A">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1.1.4.5 天：除特别指明外，均指日历天。合同中按天计算时间的，开始当天不计入，从次日开始计算，期限最后一天的截止时间为当天24:00时。</w:t>
      </w:r>
    </w:p>
    <w:p w14:paraId="7AC940CA">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1.1.5 合同价格</w:t>
      </w:r>
    </w:p>
    <w:p w14:paraId="09D2B0D0">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kern w:val="0"/>
          <w:sz w:val="24"/>
          <w:szCs w:val="24"/>
          <w:highlight w:val="none"/>
        </w:rPr>
        <w:t>1.1.5.1 签约合同价：是指</w:t>
      </w:r>
      <w:r>
        <w:rPr>
          <w:rFonts w:hint="eastAsia" w:asciiTheme="minorEastAsia" w:hAnsiTheme="minorEastAsia" w:eastAsiaTheme="minorEastAsia"/>
          <w:sz w:val="24"/>
          <w:szCs w:val="24"/>
          <w:highlight w:val="none"/>
        </w:rPr>
        <w:t>发包人和设计人在合同协议书中确定的总金额。</w:t>
      </w:r>
    </w:p>
    <w:p w14:paraId="22603E24">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1.1.5.2 合同价格又称设计费：是指发包人用于支付设计人按照合同约定完成工程设计范围内全部工作的金额，包括合同履行过程中按合同约定发生的价格变化。</w:t>
      </w:r>
    </w:p>
    <w:p w14:paraId="5DC0B6E5">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1.1.6 其他</w:t>
      </w:r>
    </w:p>
    <w:p w14:paraId="4E95F2A2">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1.1.6.1 书面形式：是指合同书、信件和数据电文（包括电报、电传、传真、电子数据交换和电子邮件）等可以有形地表现所载内容的形式。</w:t>
      </w:r>
    </w:p>
    <w:p w14:paraId="5955662D">
      <w:pPr>
        <w:pStyle w:val="6"/>
        <w:spacing w:before="120" w:after="120" w:line="360" w:lineRule="auto"/>
        <w:rPr>
          <w:rFonts w:asciiTheme="minorEastAsia" w:hAnsiTheme="minorEastAsia" w:eastAsiaTheme="minorEastAsia"/>
          <w:b w:val="0"/>
          <w:sz w:val="24"/>
          <w:szCs w:val="24"/>
          <w:highlight w:val="none"/>
        </w:rPr>
      </w:pPr>
      <w:bookmarkStart w:id="33" w:name="_Toc296503029"/>
      <w:bookmarkStart w:id="34" w:name="_Toc351203497"/>
      <w:bookmarkStart w:id="35" w:name="_Toc296346530"/>
      <w:bookmarkStart w:id="36" w:name="_Toc337558729"/>
      <w:r>
        <w:rPr>
          <w:rFonts w:hint="eastAsia" w:asciiTheme="minorEastAsia" w:hAnsiTheme="minorEastAsia" w:eastAsiaTheme="minorEastAsia"/>
          <w:b w:val="0"/>
          <w:sz w:val="24"/>
          <w:szCs w:val="24"/>
          <w:highlight w:val="none"/>
        </w:rPr>
        <w:t>1.2 语言文字</w:t>
      </w:r>
      <w:bookmarkEnd w:id="33"/>
      <w:bookmarkEnd w:id="34"/>
      <w:bookmarkEnd w:id="35"/>
      <w:bookmarkEnd w:id="36"/>
    </w:p>
    <w:p w14:paraId="2B6FBDFF">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合同以中国的汉语简体文字编写、解释和说明。合同当事人在专用合同条款中约定使用两种以上语言时，汉语为优先解释和说明合同的语言。</w:t>
      </w:r>
    </w:p>
    <w:p w14:paraId="1850DDD2">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37" w:name="_Toc296503030"/>
      <w:bookmarkStart w:id="38" w:name="_Toc296346531"/>
      <w:bookmarkStart w:id="39" w:name="_Toc337558730"/>
      <w:bookmarkStart w:id="40" w:name="_Toc351203498"/>
      <w:r>
        <w:rPr>
          <w:rFonts w:hint="eastAsia" w:asciiTheme="minorEastAsia" w:hAnsiTheme="minorEastAsia" w:eastAsiaTheme="minorEastAsia"/>
          <w:b w:val="0"/>
          <w:sz w:val="24"/>
          <w:szCs w:val="24"/>
          <w:highlight w:val="none"/>
        </w:rPr>
        <w:t>1.3 法律</w:t>
      </w:r>
      <w:bookmarkEnd w:id="37"/>
      <w:bookmarkEnd w:id="38"/>
      <w:bookmarkEnd w:id="39"/>
      <w:bookmarkEnd w:id="40"/>
    </w:p>
    <w:p w14:paraId="133A6B51">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合同所称法律是指中华人民共和国法律、行政法规、部门规章，以及工程所在地的地方性法规、自治条例、单行条例和地方政府规章等。</w:t>
      </w:r>
    </w:p>
    <w:p w14:paraId="4B01789D">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合同当事人可以在专用合同条款中约定合同适用的其他规范性文件。</w:t>
      </w:r>
    </w:p>
    <w:p w14:paraId="2F4629A2">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41" w:name="_Toc351203499"/>
      <w:r>
        <w:rPr>
          <w:rFonts w:hint="eastAsia" w:asciiTheme="minorEastAsia" w:hAnsiTheme="minorEastAsia" w:eastAsiaTheme="minorEastAsia"/>
          <w:b w:val="0"/>
          <w:sz w:val="24"/>
          <w:szCs w:val="24"/>
          <w:highlight w:val="none"/>
        </w:rPr>
        <w:t>1.4 技术标准</w:t>
      </w:r>
      <w:bookmarkEnd w:id="41"/>
    </w:p>
    <w:p w14:paraId="20E07B35">
      <w:pPr>
        <w:autoSpaceDE w:val="0"/>
        <w:autoSpaceDN w:val="0"/>
        <w:adjustRightInd w:val="0"/>
        <w:spacing w:line="360" w:lineRule="auto"/>
        <w:ind w:firstLine="64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1.4.1 适用于工程的现行有效的国家标准、行业标准、工程所在地的地方性标准，以及相应的规范、规程等，合同当事人有特别要求的，应在专用合同条款中约定。</w:t>
      </w:r>
    </w:p>
    <w:p w14:paraId="3C0523E6">
      <w:pPr>
        <w:autoSpaceDE w:val="0"/>
        <w:autoSpaceDN w:val="0"/>
        <w:adjustRightInd w:val="0"/>
        <w:spacing w:line="360" w:lineRule="auto"/>
        <w:ind w:firstLine="64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1.4.2 发包人要求使用国外技术标准的，发包人与设计人在专用合同条款中约定原文版本和中文译本提供方及提供标准的名称、份数、时间及费用承担等事项。</w:t>
      </w:r>
    </w:p>
    <w:p w14:paraId="7BB77680">
      <w:pPr>
        <w:autoSpaceDE w:val="0"/>
        <w:autoSpaceDN w:val="0"/>
        <w:adjustRightInd w:val="0"/>
        <w:spacing w:line="360" w:lineRule="auto"/>
        <w:ind w:firstLine="64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1.4.3 发包人对工程的技术标准、功能要求高于或严于现行国家、行业或地方标准的，应当在专用合同条款中予以明确。除专用合同条款另有约定外，应视为设计人在签订合同前已充分预见前述技术标准和功能要求的复杂程度，签约合同价中已包含由此产生的设计费用。</w:t>
      </w:r>
    </w:p>
    <w:p w14:paraId="30EA2BCB">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42" w:name="_Toc351203500"/>
      <w:r>
        <w:rPr>
          <w:rFonts w:hint="eastAsia" w:asciiTheme="minorEastAsia" w:hAnsiTheme="minorEastAsia" w:eastAsiaTheme="minorEastAsia"/>
          <w:b w:val="0"/>
          <w:sz w:val="24"/>
          <w:szCs w:val="24"/>
          <w:highlight w:val="none"/>
        </w:rPr>
        <w:t>1</w:t>
      </w:r>
      <w:bookmarkStart w:id="43" w:name="_Toc337558731"/>
      <w:bookmarkStart w:id="44" w:name="_Toc296503031"/>
      <w:bookmarkStart w:id="45" w:name="_Toc296346532"/>
      <w:r>
        <w:rPr>
          <w:rFonts w:hint="eastAsia" w:asciiTheme="minorEastAsia" w:hAnsiTheme="minorEastAsia" w:eastAsiaTheme="minorEastAsia"/>
          <w:b w:val="0"/>
          <w:sz w:val="24"/>
          <w:szCs w:val="24"/>
          <w:highlight w:val="none"/>
        </w:rPr>
        <w:t>.5 合同文件的优先顺序</w:t>
      </w:r>
      <w:bookmarkEnd w:id="42"/>
    </w:p>
    <w:bookmarkEnd w:id="43"/>
    <w:bookmarkEnd w:id="44"/>
    <w:bookmarkEnd w:id="45"/>
    <w:p w14:paraId="0EC52B94">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组成合同的各项文件应互相解释，互为说明。除专用合同条款另有约定外，解释合同文件的优先顺序如下：</w:t>
      </w:r>
    </w:p>
    <w:p w14:paraId="4B6107ED">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（1）合同协议书；</w:t>
      </w:r>
    </w:p>
    <w:p w14:paraId="3B24C482">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（2）专用合同条款</w:t>
      </w:r>
      <w:r>
        <w:rPr>
          <w:rFonts w:hint="eastAsia" w:asciiTheme="minorEastAsia" w:hAnsiTheme="minorEastAsia" w:eastAsiaTheme="minorEastAsia"/>
          <w:sz w:val="24"/>
          <w:szCs w:val="24"/>
          <w:highlight w:val="none"/>
        </w:rPr>
        <w:t>及其附件</w:t>
      </w:r>
      <w:r>
        <w:rPr>
          <w:rFonts w:hint="eastAsia" w:asciiTheme="minorEastAsia" w:hAnsiTheme="minorEastAsia" w:eastAsiaTheme="minorEastAsia"/>
          <w:kern w:val="0"/>
          <w:sz w:val="24"/>
          <w:szCs w:val="24"/>
          <w:highlight w:val="none"/>
        </w:rPr>
        <w:t xml:space="preserve">； </w:t>
      </w:r>
    </w:p>
    <w:p w14:paraId="2CB1C23A">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 xml:space="preserve">（3）通用合同条款； </w:t>
      </w:r>
    </w:p>
    <w:p w14:paraId="6564D302">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（4）中标通知书（如果有）；</w:t>
      </w:r>
    </w:p>
    <w:p w14:paraId="3F6AADCF">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（5）投标函及其附录（如果有）；</w:t>
      </w:r>
    </w:p>
    <w:p w14:paraId="16E131E7">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（6）发包人要求；</w:t>
      </w:r>
    </w:p>
    <w:p w14:paraId="49E956B7">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（7）技术标准；</w:t>
      </w:r>
    </w:p>
    <w:p w14:paraId="49C555C8">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（8）发包人提供的上一阶段图纸（如果有）；</w:t>
      </w:r>
    </w:p>
    <w:p w14:paraId="7F56B6D0">
      <w:pPr>
        <w:autoSpaceDE w:val="0"/>
        <w:autoSpaceDN w:val="0"/>
        <w:adjustRightInd w:val="0"/>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kern w:val="0"/>
          <w:sz w:val="24"/>
          <w:szCs w:val="24"/>
          <w:highlight w:val="none"/>
        </w:rPr>
        <w:t>（9）其他合同文件。</w:t>
      </w:r>
    </w:p>
    <w:p w14:paraId="5601275E">
      <w:pPr>
        <w:spacing w:line="360" w:lineRule="auto"/>
        <w:ind w:firstLine="511" w:firstLineChars="213"/>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上述各项合同文件包括合同当事人就该项合同文件所作出的补充和修改，属于同一类内容的文件，应以最新签署的为准。</w:t>
      </w:r>
    </w:p>
    <w:p w14:paraId="2F8EDA8D">
      <w:pPr>
        <w:spacing w:line="360" w:lineRule="auto"/>
        <w:ind w:firstLine="511" w:firstLineChars="213"/>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在合同履行过程中形成的与合同有关的文件均构成合同文件组成部分，并根据其性质确定优先解释顺序。</w:t>
      </w:r>
    </w:p>
    <w:p w14:paraId="7F729FA9">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46" w:name="_Toc351203502"/>
      <w:r>
        <w:rPr>
          <w:rFonts w:hint="eastAsia" w:asciiTheme="minorEastAsia" w:hAnsiTheme="minorEastAsia" w:eastAsiaTheme="minorEastAsia"/>
          <w:b w:val="0"/>
          <w:sz w:val="24"/>
          <w:szCs w:val="24"/>
          <w:highlight w:val="none"/>
        </w:rPr>
        <w:t>1</w:t>
      </w:r>
      <w:bookmarkStart w:id="47" w:name="_Toc337558733"/>
      <w:bookmarkStart w:id="48" w:name="_Toc296503033"/>
      <w:bookmarkStart w:id="49" w:name="_Toc296346534"/>
      <w:r>
        <w:rPr>
          <w:rFonts w:hint="eastAsia" w:asciiTheme="minorEastAsia" w:hAnsiTheme="minorEastAsia" w:eastAsiaTheme="minorEastAsia"/>
          <w:b w:val="0"/>
          <w:sz w:val="24"/>
          <w:szCs w:val="24"/>
          <w:highlight w:val="none"/>
        </w:rPr>
        <w:t>.6 联络</w:t>
      </w:r>
      <w:bookmarkEnd w:id="46"/>
    </w:p>
    <w:bookmarkEnd w:id="47"/>
    <w:bookmarkEnd w:id="48"/>
    <w:bookmarkEnd w:id="49"/>
    <w:p w14:paraId="4C45310B">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1.6.1 与合同有关的通知、批准、证明、证书、指示、指令、要求、请求、同意、确定和决定等，均应采用书面形式，并应在合同约定的期限内送达接收人和送达地点。</w:t>
      </w:r>
    </w:p>
    <w:p w14:paraId="179A664F">
      <w:pPr>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1.6.2 发包人和设计人应在专用合同条款中约定各自的送达接收人、送达地点、电子邮箱。任何一方合同当事人指定的接收人或送达地点或电子邮箱发生变动的，应提前3天以书面形式通知对方，否则视为未发生变动。</w:t>
      </w:r>
    </w:p>
    <w:p w14:paraId="7C5B8E75">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1.6.3 发包人和设计人应当及时签收另一方送达至送达地点和指定接收人的来往信函，如确有充分证据证明一方无正当理由拒不签收的，视为拒绝签收一方认可往来信函的内容。</w:t>
      </w:r>
    </w:p>
    <w:p w14:paraId="7488EE6E">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50" w:name="_Toc351203503"/>
      <w:r>
        <w:rPr>
          <w:rFonts w:hint="eastAsia" w:asciiTheme="minorEastAsia" w:hAnsiTheme="minorEastAsia" w:eastAsiaTheme="minorEastAsia"/>
          <w:b w:val="0"/>
          <w:sz w:val="24"/>
          <w:szCs w:val="24"/>
          <w:highlight w:val="none"/>
        </w:rPr>
        <w:t>1</w:t>
      </w:r>
      <w:bookmarkStart w:id="51" w:name="_Toc337558734"/>
      <w:bookmarkStart w:id="52" w:name="_Toc296503035"/>
      <w:bookmarkStart w:id="53" w:name="_Toc296346536"/>
      <w:r>
        <w:rPr>
          <w:rFonts w:hint="eastAsia" w:asciiTheme="minorEastAsia" w:hAnsiTheme="minorEastAsia" w:eastAsiaTheme="minorEastAsia"/>
          <w:b w:val="0"/>
          <w:sz w:val="24"/>
          <w:szCs w:val="24"/>
          <w:highlight w:val="none"/>
        </w:rPr>
        <w:t>.7 严禁贿赂</w:t>
      </w:r>
      <w:bookmarkEnd w:id="50"/>
    </w:p>
    <w:bookmarkEnd w:id="51"/>
    <w:bookmarkEnd w:id="52"/>
    <w:bookmarkEnd w:id="53"/>
    <w:p w14:paraId="0C23BCF1">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合同当事人不得以贿赂或变相贿赂的方式，谋取非法利益或损害对方权益。因一方合同当事人的贿赂造成对方损失的，应赔偿损失，并承担相应的法律责任。</w:t>
      </w:r>
    </w:p>
    <w:p w14:paraId="1B790784">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w:t>
      </w:r>
      <w:bookmarkStart w:id="54" w:name="_Toc337558738"/>
      <w:r>
        <w:rPr>
          <w:rFonts w:hint="eastAsia" w:asciiTheme="minorEastAsia" w:hAnsiTheme="minorEastAsia" w:eastAsiaTheme="minorEastAsia"/>
          <w:b w:val="0"/>
          <w:sz w:val="24"/>
          <w:szCs w:val="24"/>
          <w:highlight w:val="none"/>
        </w:rPr>
        <w:t>.8 保密</w:t>
      </w:r>
    </w:p>
    <w:bookmarkEnd w:id="54"/>
    <w:p w14:paraId="067829E5">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除法律规定或合同另有约定外，未经发包人同意，设计人不得将发包人提供的图纸、文件以及声明需要保密的资料信息等商业秘密泄露给第三方。</w:t>
      </w:r>
    </w:p>
    <w:p w14:paraId="54356B60">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除法律规定或合同另有约定外，未经设计人同意，发包人不得将设计人提供的技术文件、技术成果、技术秘密及声明需要保密的资料信息等商业秘密泄露给第三方。</w:t>
      </w:r>
    </w:p>
    <w:p w14:paraId="10F32A3C">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保密期限由发包人与设计人在专用合同条款中约定。</w:t>
      </w:r>
    </w:p>
    <w:p w14:paraId="71E90113">
      <w:pPr>
        <w:pStyle w:val="5"/>
        <w:spacing w:before="120" w:after="120" w:line="360" w:lineRule="auto"/>
        <w:rPr>
          <w:rFonts w:asciiTheme="minorEastAsia" w:hAnsiTheme="minorEastAsia" w:eastAsiaTheme="minorEastAsia"/>
          <w:b w:val="0"/>
          <w:sz w:val="24"/>
          <w:szCs w:val="24"/>
          <w:highlight w:val="none"/>
        </w:rPr>
      </w:pPr>
      <w:bookmarkStart w:id="55" w:name="_Toc351203509"/>
      <w:r>
        <w:rPr>
          <w:rFonts w:hint="eastAsia" w:asciiTheme="minorEastAsia" w:hAnsiTheme="minorEastAsia" w:eastAsiaTheme="minorEastAsia"/>
          <w:b w:val="0"/>
          <w:sz w:val="24"/>
          <w:szCs w:val="24"/>
          <w:highlight w:val="none"/>
        </w:rPr>
        <w:t>2</w:t>
      </w:r>
      <w:bookmarkStart w:id="56" w:name="_Toc296503038"/>
      <w:bookmarkStart w:id="57" w:name="_Toc337558739"/>
      <w:bookmarkStart w:id="58" w:name="_Toc296346539"/>
      <w:bookmarkStart w:id="59" w:name="OLE_LINK1"/>
      <w:r>
        <w:rPr>
          <w:rFonts w:hint="eastAsia" w:asciiTheme="minorEastAsia" w:hAnsiTheme="minorEastAsia" w:eastAsiaTheme="minorEastAsia"/>
          <w:b w:val="0"/>
          <w:sz w:val="24"/>
          <w:szCs w:val="24"/>
          <w:highlight w:val="none"/>
        </w:rPr>
        <w:t>. 发包人</w:t>
      </w:r>
      <w:bookmarkEnd w:id="55"/>
    </w:p>
    <w:bookmarkEnd w:id="56"/>
    <w:bookmarkEnd w:id="57"/>
    <w:bookmarkEnd w:id="58"/>
    <w:p w14:paraId="3E3F47EC">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60" w:name="_Toc351203510"/>
      <w:r>
        <w:rPr>
          <w:rFonts w:hint="eastAsia" w:asciiTheme="minorEastAsia" w:hAnsiTheme="minorEastAsia" w:eastAsiaTheme="minorEastAsia"/>
          <w:b w:val="0"/>
          <w:sz w:val="24"/>
          <w:szCs w:val="24"/>
          <w:highlight w:val="none"/>
        </w:rPr>
        <w:t>2</w:t>
      </w:r>
      <w:bookmarkStart w:id="61" w:name="_Toc337558740"/>
      <w:bookmarkStart w:id="62" w:name="_Toc296346540"/>
      <w:bookmarkStart w:id="63" w:name="_Toc296503039"/>
      <w:r>
        <w:rPr>
          <w:rFonts w:hint="eastAsia" w:asciiTheme="minorEastAsia" w:hAnsiTheme="minorEastAsia" w:eastAsiaTheme="minorEastAsia"/>
          <w:b w:val="0"/>
          <w:sz w:val="24"/>
          <w:szCs w:val="24"/>
          <w:highlight w:val="none"/>
        </w:rPr>
        <w:t xml:space="preserve">.1 </w:t>
      </w:r>
      <w:bookmarkEnd w:id="60"/>
      <w:r>
        <w:rPr>
          <w:rFonts w:hint="eastAsia" w:asciiTheme="minorEastAsia" w:hAnsiTheme="minorEastAsia" w:eastAsiaTheme="minorEastAsia"/>
          <w:b w:val="0"/>
          <w:sz w:val="24"/>
          <w:szCs w:val="24"/>
          <w:highlight w:val="none"/>
        </w:rPr>
        <w:t>发包人一般义务</w:t>
      </w:r>
    </w:p>
    <w:p w14:paraId="3A01090A">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2.1.1 发包人应遵守法律，并办理法律规定由其办理的许可、核准或备案，包括但不限于建设用地规划许可证、建设工程规划许可证、建设工程方案设计批准、施工图设计审查等许可、核准或备案。</w:t>
      </w:r>
    </w:p>
    <w:p w14:paraId="45E80515">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cs="Courier New" w:asciiTheme="minorEastAsia" w:hAnsiTheme="minorEastAsia" w:eastAsiaTheme="minorEastAsia"/>
          <w:sz w:val="24"/>
          <w:szCs w:val="24"/>
          <w:highlight w:val="none"/>
        </w:rPr>
        <w:t>发包人负责本项目各阶段设计文件向规划设计管理部门的送审报批工作，并负责将报批结果书面通知设计人。</w:t>
      </w:r>
      <w:r>
        <w:rPr>
          <w:rFonts w:hint="eastAsia" w:asciiTheme="minorEastAsia" w:hAnsiTheme="minorEastAsia" w:eastAsiaTheme="minorEastAsia"/>
          <w:kern w:val="0"/>
          <w:sz w:val="24"/>
          <w:szCs w:val="24"/>
          <w:highlight w:val="none"/>
        </w:rPr>
        <w:t>因发包人原因未能及时办理完毕前述许可、核准或备案手续，导致设计工作量增加和（或）设计周期延长时，由发包人承担由此增加的设计费用和（或）延长的设计周期。</w:t>
      </w:r>
    </w:p>
    <w:p w14:paraId="0437964D">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2.1.2 发包人应当负责工程设计的所有外部关系（包括但不限于当地政府主管部门等）的协调，为设计人履行合同提供必要的外部条件。</w:t>
      </w:r>
    </w:p>
    <w:p w14:paraId="2B422C54">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2.1.3 专用合同条款约定的其他义务。</w:t>
      </w:r>
    </w:p>
    <w:p w14:paraId="455A7140">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64" w:name="_Toc351203511"/>
      <w:r>
        <w:rPr>
          <w:rFonts w:hint="eastAsia" w:asciiTheme="minorEastAsia" w:hAnsiTheme="minorEastAsia" w:eastAsiaTheme="minorEastAsia"/>
          <w:b w:val="0"/>
          <w:sz w:val="24"/>
          <w:szCs w:val="24"/>
          <w:highlight w:val="none"/>
        </w:rPr>
        <w:t>2.2 发包人代表</w:t>
      </w:r>
      <w:bookmarkEnd w:id="64"/>
    </w:p>
    <w:p w14:paraId="7B6E8FFA">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发包人应在专用合同条款中明确其负责工程设计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在专用合同条款约定的期限内提前书面通知设计人。</w:t>
      </w:r>
    </w:p>
    <w:p w14:paraId="53CB9987">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发包人代表不能按照合同约定履行其职责及义务，并导致合同无法继续正常履行的，设计人可以要求发包人撤换发包人代表。</w:t>
      </w:r>
    </w:p>
    <w:p w14:paraId="2FAEE26B">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2.3 发包人决定</w:t>
      </w:r>
    </w:p>
    <w:p w14:paraId="620C63E6">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kern w:val="0"/>
          <w:sz w:val="24"/>
          <w:szCs w:val="24"/>
          <w:highlight w:val="none"/>
        </w:rPr>
        <w:t xml:space="preserve">2.3.1 </w:t>
      </w:r>
      <w:r>
        <w:rPr>
          <w:rFonts w:hint="eastAsia" w:asciiTheme="minorEastAsia" w:hAnsiTheme="minorEastAsia" w:eastAsiaTheme="minorEastAsia"/>
          <w:sz w:val="24"/>
          <w:szCs w:val="24"/>
          <w:highlight w:val="none"/>
        </w:rPr>
        <w:t>发包人在法律允许的范围内有权对设计人的设计工作、设计项目和/或设计文件作出处理决定，设计人应按照发包人的决定执行，涉及设计周期和（或）设计费用等问题按本合同第11条〔工程设计变更与索赔〕的约定处理。</w:t>
      </w:r>
    </w:p>
    <w:p w14:paraId="4E4572B8">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2.3.2 发包人应在专用合同条款约定的期限内对设计人书面提出的事项作出书面决定，如发包人不在确定时间内作出书面决定，设计人的设计周期相应延长。</w:t>
      </w:r>
    </w:p>
    <w:bookmarkEnd w:id="59"/>
    <w:bookmarkEnd w:id="61"/>
    <w:bookmarkEnd w:id="62"/>
    <w:bookmarkEnd w:id="63"/>
    <w:p w14:paraId="7B34A55D">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2</w:t>
      </w:r>
      <w:bookmarkStart w:id="65" w:name="_Toc296346543"/>
      <w:bookmarkStart w:id="66" w:name="_Toc337558745"/>
      <w:bookmarkStart w:id="67" w:name="_Toc296503042"/>
      <w:r>
        <w:rPr>
          <w:rFonts w:hint="eastAsia" w:asciiTheme="minorEastAsia" w:hAnsiTheme="minorEastAsia" w:eastAsiaTheme="minorEastAsia"/>
          <w:b w:val="0"/>
          <w:sz w:val="24"/>
          <w:szCs w:val="24"/>
          <w:highlight w:val="none"/>
        </w:rPr>
        <w:t xml:space="preserve">.4 </w:t>
      </w:r>
      <w:bookmarkEnd w:id="65"/>
      <w:bookmarkEnd w:id="66"/>
      <w:bookmarkEnd w:id="67"/>
      <w:bookmarkStart w:id="68" w:name="_Toc351203515"/>
      <w:r>
        <w:rPr>
          <w:rFonts w:hint="eastAsia" w:asciiTheme="minorEastAsia" w:hAnsiTheme="minorEastAsia" w:eastAsiaTheme="minorEastAsia"/>
          <w:b w:val="0"/>
          <w:sz w:val="24"/>
          <w:szCs w:val="24"/>
          <w:highlight w:val="none"/>
        </w:rPr>
        <w:t>支付合同价款</w:t>
      </w:r>
      <w:bookmarkEnd w:id="68"/>
    </w:p>
    <w:p w14:paraId="2B8035DF">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发包人应按合同约定向设计人及时足额支付合同价款。</w:t>
      </w:r>
    </w:p>
    <w:p w14:paraId="4C84E821">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69" w:name="_Toc351203516"/>
      <w:r>
        <w:rPr>
          <w:rFonts w:hint="eastAsia" w:asciiTheme="minorEastAsia" w:hAnsiTheme="minorEastAsia" w:eastAsiaTheme="minorEastAsia"/>
          <w:b w:val="0"/>
          <w:sz w:val="24"/>
          <w:szCs w:val="24"/>
          <w:highlight w:val="none"/>
        </w:rPr>
        <w:t xml:space="preserve">2.5 </w:t>
      </w:r>
      <w:bookmarkEnd w:id="69"/>
      <w:r>
        <w:rPr>
          <w:rFonts w:hint="eastAsia" w:asciiTheme="minorEastAsia" w:hAnsiTheme="minorEastAsia" w:eastAsiaTheme="minorEastAsia"/>
          <w:b w:val="0"/>
          <w:sz w:val="24"/>
          <w:szCs w:val="24"/>
          <w:highlight w:val="none"/>
        </w:rPr>
        <w:t>设计文件接收</w:t>
      </w:r>
    </w:p>
    <w:p w14:paraId="1C51DF83">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发包人应按合同约定及时接收设计人提交的工程设计文件。</w:t>
      </w:r>
    </w:p>
    <w:p w14:paraId="259A072E">
      <w:pPr>
        <w:pStyle w:val="5"/>
        <w:keepNext w:val="0"/>
        <w:keepLines w:val="0"/>
        <w:spacing w:before="120" w:after="120" w:line="360" w:lineRule="auto"/>
        <w:rPr>
          <w:rFonts w:asciiTheme="minorEastAsia" w:hAnsiTheme="minorEastAsia" w:eastAsiaTheme="minorEastAsia"/>
          <w:b w:val="0"/>
          <w:sz w:val="24"/>
          <w:szCs w:val="24"/>
          <w:highlight w:val="none"/>
        </w:rPr>
      </w:pPr>
      <w:bookmarkStart w:id="70" w:name="_Toc351203518"/>
      <w:r>
        <w:rPr>
          <w:rFonts w:hint="eastAsia" w:asciiTheme="minorEastAsia" w:hAnsiTheme="minorEastAsia" w:eastAsiaTheme="minorEastAsia"/>
          <w:b w:val="0"/>
          <w:sz w:val="24"/>
          <w:szCs w:val="24"/>
          <w:highlight w:val="none"/>
        </w:rPr>
        <w:t>3</w:t>
      </w:r>
      <w:bookmarkStart w:id="71" w:name="_Toc337558746"/>
      <w:bookmarkStart w:id="72" w:name="_Toc296346546"/>
      <w:bookmarkStart w:id="73" w:name="_Toc296503045"/>
      <w:r>
        <w:rPr>
          <w:rFonts w:hint="eastAsia" w:asciiTheme="minorEastAsia" w:hAnsiTheme="minorEastAsia" w:eastAsiaTheme="minorEastAsia"/>
          <w:b w:val="0"/>
          <w:sz w:val="24"/>
          <w:szCs w:val="24"/>
          <w:highlight w:val="none"/>
        </w:rPr>
        <w:t>. 设计人</w:t>
      </w:r>
      <w:bookmarkEnd w:id="70"/>
    </w:p>
    <w:bookmarkEnd w:id="71"/>
    <w:bookmarkEnd w:id="72"/>
    <w:bookmarkEnd w:id="73"/>
    <w:p w14:paraId="1BC1BC4D">
      <w:pPr>
        <w:pStyle w:val="6"/>
        <w:keepNext w:val="0"/>
        <w:keepLines w:val="0"/>
        <w:spacing w:before="120" w:after="120" w:line="360" w:lineRule="auto"/>
        <w:ind w:firstLine="480" w:firstLineChars="200"/>
        <w:rPr>
          <w:rFonts w:asciiTheme="minorEastAsia" w:hAnsiTheme="minorEastAsia" w:eastAsiaTheme="minorEastAsia"/>
          <w:b w:val="0"/>
          <w:sz w:val="24"/>
          <w:szCs w:val="24"/>
          <w:highlight w:val="none"/>
        </w:rPr>
      </w:pPr>
      <w:bookmarkStart w:id="74" w:name="_Toc351203519"/>
      <w:r>
        <w:rPr>
          <w:rFonts w:hint="eastAsia" w:asciiTheme="minorEastAsia" w:hAnsiTheme="minorEastAsia" w:eastAsiaTheme="minorEastAsia"/>
          <w:b w:val="0"/>
          <w:sz w:val="24"/>
          <w:szCs w:val="24"/>
          <w:highlight w:val="none"/>
        </w:rPr>
        <w:t>3</w:t>
      </w:r>
      <w:bookmarkStart w:id="75" w:name="_Toc296346547"/>
      <w:bookmarkStart w:id="76" w:name="_Toc337558747"/>
      <w:bookmarkStart w:id="77" w:name="_Toc296503046"/>
      <w:r>
        <w:rPr>
          <w:rFonts w:hint="eastAsia" w:asciiTheme="minorEastAsia" w:hAnsiTheme="minorEastAsia" w:eastAsiaTheme="minorEastAsia"/>
          <w:b w:val="0"/>
          <w:sz w:val="24"/>
          <w:szCs w:val="24"/>
          <w:highlight w:val="none"/>
        </w:rPr>
        <w:t>.1 设计人一般义务</w:t>
      </w:r>
      <w:bookmarkEnd w:id="74"/>
    </w:p>
    <w:bookmarkEnd w:id="75"/>
    <w:bookmarkEnd w:id="76"/>
    <w:bookmarkEnd w:id="77"/>
    <w:p w14:paraId="6E1A3509">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3.1.1 设计人应遵守法律和有关技术标准的强制性规定，完成合同约定范围内的房屋建筑工程方案设计、初步设计、施工图设计，提供符合技术标准及合同要求的工程设计文件，提供施工配合服务。</w:t>
      </w:r>
    </w:p>
    <w:p w14:paraId="65CECB47">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设计人应当按照专用合同条款约定配合发包人办理有关许可、核准或备案手续的，因设计人原因造成发包人未能及时办理许可、核准或备案手续，导致设计工作量增加和（或）设计周期延长时，由设计人自行承担由此增加的设计费用和（或）设计周期延长的责任。</w:t>
      </w:r>
    </w:p>
    <w:p w14:paraId="5B688917">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3.1.2 设计人应当完成合同约定的工程设计其他服务。</w:t>
      </w:r>
    </w:p>
    <w:p w14:paraId="68F14B0D">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3.1.3 专用合同条款约定的其他义务。</w:t>
      </w:r>
    </w:p>
    <w:p w14:paraId="73C7EC07">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78" w:name="_Toc351203520"/>
      <w:r>
        <w:rPr>
          <w:rFonts w:hint="eastAsia" w:asciiTheme="minorEastAsia" w:hAnsiTheme="minorEastAsia" w:eastAsiaTheme="minorEastAsia"/>
          <w:b w:val="0"/>
          <w:sz w:val="24"/>
          <w:szCs w:val="24"/>
          <w:highlight w:val="none"/>
        </w:rPr>
        <w:t>3</w:t>
      </w:r>
      <w:bookmarkStart w:id="79" w:name="_Toc296346548"/>
      <w:bookmarkStart w:id="80" w:name="_Toc296503047"/>
      <w:bookmarkStart w:id="81" w:name="_Toc337558748"/>
      <w:r>
        <w:rPr>
          <w:rFonts w:hint="eastAsia" w:asciiTheme="minorEastAsia" w:hAnsiTheme="minorEastAsia" w:eastAsiaTheme="minorEastAsia"/>
          <w:b w:val="0"/>
          <w:sz w:val="24"/>
          <w:szCs w:val="24"/>
          <w:highlight w:val="none"/>
        </w:rPr>
        <w:t xml:space="preserve">.2 </w:t>
      </w:r>
      <w:bookmarkEnd w:id="78"/>
      <w:r>
        <w:rPr>
          <w:rFonts w:hint="eastAsia" w:asciiTheme="minorEastAsia" w:hAnsiTheme="minorEastAsia" w:eastAsiaTheme="minorEastAsia"/>
          <w:b w:val="0"/>
          <w:sz w:val="24"/>
          <w:szCs w:val="24"/>
          <w:highlight w:val="none"/>
        </w:rPr>
        <w:t>项目负责人</w:t>
      </w:r>
    </w:p>
    <w:bookmarkEnd w:id="79"/>
    <w:bookmarkEnd w:id="80"/>
    <w:bookmarkEnd w:id="81"/>
    <w:p w14:paraId="7DF8F4CE">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3.2.1 项目负责人应为合同当事人所确认的人选，并在专用合同条款中明确项目负责人的姓名、执业资格及等级、注册执业证书编号、联系方式及授权范围等事项，项目负责人经设计人授权后代表设计人负责履行合同。</w:t>
      </w:r>
    </w:p>
    <w:p w14:paraId="08B4AE01">
      <w:pPr>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3.2.2 设计人需要更换项目负责人的，应在专用合同条款约定的期限内提前书面通知发包人，并征得发包人书面同意。通知中应当载明继任项目负责人的注册执业资格、管理经验等资料，继任项目负责人继续履行第3.2.1项约定的职责。未经发包人书面同意，设计人不得擅自更换项目负责人。设计人擅自更换项目负责人的，应按照专用合同条款的约定承担违约责任。对于设计人项目负责人确因患病、与设计人解除或终止劳动关系、工伤等原因更换项目负责人的，发包人无正当理由不得拒绝更换。</w:t>
      </w:r>
    </w:p>
    <w:p w14:paraId="330A13AF">
      <w:pPr>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3.2.3 发包人有权书面通知设计人更换其认为不称职的项目负责人，通知中应当载明要求更换的理由。对于发包人有理由的更换要求，设计人应在收到书面更换通知后在专用合同条款约定的期限内进行更换，并将新任命的项目负责人的注册执业资格、管理经验等资料书面通知发包人。继任项目负责人继续履行第3.2.1项约定的职责。设计人无正当理由拒绝更换项目负责人的，应按照专用合同条款的约定承担违约责任。</w:t>
      </w:r>
    </w:p>
    <w:p w14:paraId="759A7903">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82" w:name="_Toc351203521"/>
      <w:r>
        <w:rPr>
          <w:rFonts w:hint="eastAsia" w:asciiTheme="minorEastAsia" w:hAnsiTheme="minorEastAsia" w:eastAsiaTheme="minorEastAsia"/>
          <w:b w:val="0"/>
          <w:sz w:val="24"/>
          <w:szCs w:val="24"/>
          <w:highlight w:val="none"/>
        </w:rPr>
        <w:t>3</w:t>
      </w:r>
      <w:bookmarkStart w:id="83" w:name="_Toc296346549"/>
      <w:bookmarkStart w:id="84" w:name="_Toc296503048"/>
      <w:bookmarkStart w:id="85" w:name="_Toc337558749"/>
      <w:r>
        <w:rPr>
          <w:rFonts w:hint="eastAsia" w:asciiTheme="minorEastAsia" w:hAnsiTheme="minorEastAsia" w:eastAsiaTheme="minorEastAsia"/>
          <w:b w:val="0"/>
          <w:sz w:val="24"/>
          <w:szCs w:val="24"/>
          <w:highlight w:val="none"/>
        </w:rPr>
        <w:t xml:space="preserve">.3 </w:t>
      </w:r>
      <w:bookmarkEnd w:id="83"/>
      <w:bookmarkEnd w:id="84"/>
      <w:r>
        <w:rPr>
          <w:rFonts w:hint="eastAsia" w:asciiTheme="minorEastAsia" w:hAnsiTheme="minorEastAsia" w:eastAsiaTheme="minorEastAsia"/>
          <w:b w:val="0"/>
          <w:sz w:val="24"/>
          <w:szCs w:val="24"/>
          <w:highlight w:val="none"/>
        </w:rPr>
        <w:t>设计人人员</w:t>
      </w:r>
      <w:bookmarkEnd w:id="82"/>
    </w:p>
    <w:bookmarkEnd w:id="85"/>
    <w:p w14:paraId="19B7B588">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3.3.1 除专用合同条款对期限另有约定外，设计人应在接到开始设计通知后7天内，向发包人提交设计人项目管理机构及人员安排的报告，其内容应包括建筑、结构、给排水、暖通、电气等专业负责人名单及其岗位、注册执业资格等。</w:t>
      </w:r>
    </w:p>
    <w:p w14:paraId="494A7533">
      <w:pPr>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3.3.2 设计人委派到工程设计中的设计人员应相对稳定。设计过程中如有变动，设计人应及时向发包人提交工程设计人员变动情况的报告。设计人更换专业负责人时，应提前7天书面通知发包人，除专业负责人无法正常履职情形外，还应征得发包人书面同意。通知中应当载明继任人员的注册执业资格、执业经验等资料。</w:t>
      </w:r>
    </w:p>
    <w:p w14:paraId="2270CD86">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3.3.3 发包人对于设计人主要设计人员的资格或能力有异议的，设计人应提供资料证明被质疑人员有能力完成其岗位工作或不存在发包人所质疑的情形。发包人要求撤换不能按照合同约定履行职责及义务的主要设计人员的，设计人认为发包人有理由的，应当撤换。设计人无正当理由拒绝撤换的，应按照专用合同条款的约定承担违约责任。</w:t>
      </w:r>
    </w:p>
    <w:p w14:paraId="5399987F">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86" w:name="_Toc351203523"/>
      <w:r>
        <w:rPr>
          <w:rFonts w:hint="eastAsia" w:asciiTheme="minorEastAsia" w:hAnsiTheme="minorEastAsia" w:eastAsiaTheme="minorEastAsia"/>
          <w:b w:val="0"/>
          <w:sz w:val="24"/>
          <w:szCs w:val="24"/>
          <w:highlight w:val="none"/>
        </w:rPr>
        <w:t>3</w:t>
      </w:r>
      <w:bookmarkStart w:id="87" w:name="_Toc296346552"/>
      <w:bookmarkStart w:id="88" w:name="_Toc337558751"/>
      <w:bookmarkStart w:id="89" w:name="_Toc296503051"/>
      <w:r>
        <w:rPr>
          <w:rFonts w:hint="eastAsia" w:asciiTheme="minorEastAsia" w:hAnsiTheme="minorEastAsia" w:eastAsiaTheme="minorEastAsia"/>
          <w:b w:val="0"/>
          <w:sz w:val="24"/>
          <w:szCs w:val="24"/>
          <w:highlight w:val="none"/>
        </w:rPr>
        <w:t>.4 设计分包</w:t>
      </w:r>
      <w:bookmarkEnd w:id="86"/>
    </w:p>
    <w:bookmarkEnd w:id="87"/>
    <w:bookmarkEnd w:id="88"/>
    <w:bookmarkEnd w:id="89"/>
    <w:p w14:paraId="18A0A098">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3.4.1 设计分包的一般约定</w:t>
      </w:r>
    </w:p>
    <w:p w14:paraId="2D94B803">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设计人不得将其承包的全部工程设计转包给第三人，或将其承包的全部工程设计肢解后以分包的名义转包给第三人。设计人不得将工程主体结构、关键性工作及专用合同条款中禁止分包的工程设计分包给第三人，工程主体结构、关键性工作的范围由合同当事人按照法律规定在专用合同条款中予以明确。设计人不得进行违法分包。</w:t>
      </w:r>
    </w:p>
    <w:p w14:paraId="46F7829E">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3.4.2 设计分包的确定</w:t>
      </w:r>
    </w:p>
    <w:p w14:paraId="587449E5">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设计人应按专用合同条款的约定或经过发包人书面同意后进行分包，确定分包人。按照合同约定或经过发包人书面同意后进行分包的，设计人应确保分包人具有相应的资质和能力。工程设计分包不减轻或免除设计人的责任和义务，设计人和分包人就分包工程设计向发包人承担连带责任。</w:t>
      </w:r>
    </w:p>
    <w:p w14:paraId="3EEF14DC">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3.4.3 设计分包管理</w:t>
      </w:r>
    </w:p>
    <w:p w14:paraId="38D4D8F3">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设计人应按照专用合同条款的约定向发包人提交分包人的主要工程设计人员名单、注册执业资格及执业经历等。</w:t>
      </w:r>
    </w:p>
    <w:p w14:paraId="1F9EBC45">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3.4.4 分包工程设计费</w:t>
      </w:r>
    </w:p>
    <w:p w14:paraId="56C4CCB2">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（1）除本项第（2）目约定的情况或专用合同条款另有约定外，分包工程设计费由设计人与分包人结算，未经设计人同意，发包人不得向分包人支付分包工程设计费；</w:t>
      </w:r>
    </w:p>
    <w:p w14:paraId="56CC924C">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（2）生效的法院判决书或仲裁裁决书要求发包人向分包人支付分包工程设计费的，发包人有权从应付设计人合同价款中扣除该部分费用。</w:t>
      </w:r>
    </w:p>
    <w:p w14:paraId="6076EB84">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90" w:name="_Toc351203526"/>
      <w:r>
        <w:rPr>
          <w:rFonts w:hint="eastAsia" w:asciiTheme="minorEastAsia" w:hAnsiTheme="minorEastAsia" w:eastAsiaTheme="minorEastAsia"/>
          <w:b w:val="0"/>
          <w:sz w:val="24"/>
          <w:szCs w:val="24"/>
          <w:highlight w:val="none"/>
        </w:rPr>
        <w:t>3.5 联合体</w:t>
      </w:r>
      <w:bookmarkEnd w:id="90"/>
    </w:p>
    <w:p w14:paraId="1B236555">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3.5.1 联合体各方应共同与发包人签订合同协议书。联合体各方应为履行合同向发包人承担连带责任。</w:t>
      </w:r>
    </w:p>
    <w:p w14:paraId="107E8F90">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3.5.2 联合体协议，应当约定联合体各成员工作分工，经发包人确认后作为合同附件。在履行合同过程中，未经发包人同意，不得修改联合体协议。</w:t>
      </w:r>
    </w:p>
    <w:p w14:paraId="2FAE5F3B">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3.5.3 联合体牵头人负责与发包人联系，并接受指示，负责组织联合体各成员全面履行合同。</w:t>
      </w:r>
    </w:p>
    <w:p w14:paraId="4A710FCE">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3.5.4 发包人向联合体支付设计费用的方式在专用合同条款中约定。</w:t>
      </w:r>
    </w:p>
    <w:p w14:paraId="0320D8B4">
      <w:pPr>
        <w:pStyle w:val="5"/>
        <w:spacing w:before="120" w:after="120" w:line="360" w:lineRule="auto"/>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4. 工程设计资料</w:t>
      </w:r>
    </w:p>
    <w:p w14:paraId="53197D0C">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4.1 提供工程设计资料</w:t>
      </w:r>
    </w:p>
    <w:p w14:paraId="6AE3B168">
      <w:pPr>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发包人应当在工程设计前或专用合同条款附件2约定的时间向设计人提供工程设计所必需的工程设计资料，并对所提供资料的真实性、准确性和完整性负责。</w:t>
      </w:r>
    </w:p>
    <w:p w14:paraId="10823F58">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按照法律规定确需在工程设计开始后方能提供的设计资料，发包人应及时地在相应工程设计文件提交给发包人前的合理期限内提供，合理期限应以不影响设计人的正常设计为限。</w:t>
      </w:r>
    </w:p>
    <w:p w14:paraId="222C6527">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bCs/>
          <w:sz w:val="24"/>
          <w:szCs w:val="24"/>
          <w:highlight w:val="none"/>
        </w:rPr>
        <w:t>4.2 逾期提供的责任</w:t>
      </w:r>
    </w:p>
    <w:p w14:paraId="7DDED34B">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发包人提交上述文件和资料超过约定期限的，超过约定期限15天以内，设计人按本合同约定的交付工程设计文件时间相应顺延；超过约定期限15天以外时，设计人有权重新确定提交工程设计文件的时间。工程设计资料逾期提供导致增加了设计工作量的，设计人可以要求发包人另行支付相应设计费用，并相应延长设计周期。</w:t>
      </w:r>
    </w:p>
    <w:p w14:paraId="44853B20">
      <w:pPr>
        <w:pStyle w:val="5"/>
        <w:spacing w:before="120" w:after="120" w:line="360" w:lineRule="auto"/>
        <w:rPr>
          <w:rFonts w:asciiTheme="minorEastAsia" w:hAnsiTheme="minorEastAsia" w:eastAsiaTheme="minorEastAsia"/>
          <w:b w:val="0"/>
          <w:sz w:val="24"/>
          <w:szCs w:val="24"/>
          <w:highlight w:val="none"/>
        </w:rPr>
      </w:pPr>
      <w:bookmarkStart w:id="91" w:name="_Toc351203532"/>
      <w:bookmarkStart w:id="92" w:name="_Toc337558758"/>
      <w:r>
        <w:rPr>
          <w:rFonts w:hint="eastAsia" w:asciiTheme="minorEastAsia" w:hAnsiTheme="minorEastAsia" w:eastAsiaTheme="minorEastAsia"/>
          <w:b w:val="0"/>
          <w:sz w:val="24"/>
          <w:szCs w:val="24"/>
          <w:highlight w:val="none"/>
        </w:rPr>
        <w:t>5. 工程设计</w:t>
      </w:r>
      <w:bookmarkEnd w:id="91"/>
      <w:r>
        <w:rPr>
          <w:rFonts w:hint="eastAsia" w:asciiTheme="minorEastAsia" w:hAnsiTheme="minorEastAsia" w:eastAsiaTheme="minorEastAsia"/>
          <w:b w:val="0"/>
          <w:sz w:val="24"/>
          <w:szCs w:val="24"/>
          <w:highlight w:val="none"/>
        </w:rPr>
        <w:t>要求</w:t>
      </w:r>
    </w:p>
    <w:bookmarkEnd w:id="92"/>
    <w:p w14:paraId="5ECDD625">
      <w:pPr>
        <w:pStyle w:val="6"/>
        <w:spacing w:before="120" w:after="120" w:line="360" w:lineRule="auto"/>
        <w:ind w:firstLine="480" w:firstLineChars="200"/>
        <w:rPr>
          <w:rFonts w:asciiTheme="minorEastAsia" w:hAnsiTheme="minorEastAsia" w:eastAsiaTheme="minorEastAsia"/>
          <w:b w:val="0"/>
          <w:bCs w:val="0"/>
          <w:kern w:val="0"/>
          <w:sz w:val="24"/>
          <w:szCs w:val="24"/>
          <w:highlight w:val="none"/>
        </w:rPr>
      </w:pPr>
      <w:bookmarkStart w:id="93" w:name="_Toc351203533"/>
      <w:bookmarkStart w:id="94" w:name="_Toc337558759"/>
      <w:r>
        <w:rPr>
          <w:rFonts w:hint="eastAsia" w:asciiTheme="minorEastAsia" w:hAnsiTheme="minorEastAsia" w:eastAsiaTheme="minorEastAsia"/>
          <w:b w:val="0"/>
          <w:sz w:val="24"/>
          <w:szCs w:val="24"/>
          <w:highlight w:val="none"/>
        </w:rPr>
        <w:t>5.1 工程设计一般要求</w:t>
      </w:r>
    </w:p>
    <w:p w14:paraId="4D69C3E9">
      <w:pPr>
        <w:pStyle w:val="6"/>
        <w:spacing w:before="0" w:after="0" w:line="360" w:lineRule="auto"/>
        <w:ind w:firstLine="480" w:firstLineChars="200"/>
        <w:rPr>
          <w:rFonts w:asciiTheme="minorEastAsia" w:hAnsiTheme="minorEastAsia" w:eastAsiaTheme="minorEastAsia"/>
          <w:b w:val="0"/>
          <w:bCs w:val="0"/>
          <w:kern w:val="0"/>
          <w:sz w:val="24"/>
          <w:szCs w:val="24"/>
          <w:highlight w:val="none"/>
        </w:rPr>
      </w:pPr>
      <w:r>
        <w:rPr>
          <w:rFonts w:hint="eastAsia" w:asciiTheme="minorEastAsia" w:hAnsiTheme="minorEastAsia" w:eastAsiaTheme="minorEastAsia"/>
          <w:b w:val="0"/>
          <w:bCs w:val="0"/>
          <w:kern w:val="0"/>
          <w:sz w:val="24"/>
          <w:szCs w:val="24"/>
          <w:highlight w:val="none"/>
        </w:rPr>
        <w:t>5.1.1 对发包人的要求</w:t>
      </w:r>
    </w:p>
    <w:p w14:paraId="542D4682">
      <w:pPr>
        <w:pStyle w:val="6"/>
        <w:spacing w:before="120" w:after="120" w:line="360" w:lineRule="auto"/>
        <w:ind w:firstLine="480" w:firstLineChars="200"/>
        <w:rPr>
          <w:rFonts w:asciiTheme="minorEastAsia" w:hAnsiTheme="minorEastAsia" w:eastAsiaTheme="minorEastAsia"/>
          <w:b w:val="0"/>
          <w:bCs w:val="0"/>
          <w:kern w:val="0"/>
          <w:sz w:val="24"/>
          <w:szCs w:val="24"/>
          <w:highlight w:val="none"/>
        </w:rPr>
      </w:pPr>
      <w:r>
        <w:rPr>
          <w:rFonts w:hint="eastAsia" w:asciiTheme="minorEastAsia" w:hAnsiTheme="minorEastAsia" w:eastAsiaTheme="minorEastAsia"/>
          <w:b w:val="0"/>
          <w:bCs w:val="0"/>
          <w:kern w:val="0"/>
          <w:sz w:val="24"/>
          <w:szCs w:val="24"/>
          <w:highlight w:val="none"/>
        </w:rPr>
        <w:t>5.1.1.1 发包人应当遵守法律和技术标准，不得以任何理由要求设计人违反法律和工程质量、安全标准进行工程设计，降低工程质量。</w:t>
      </w:r>
    </w:p>
    <w:p w14:paraId="44DB06C2">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5.1.1.2 发包人要求进行主要技术指标控制的，钢材用量、混凝土用量等主要技术指标控制值应当符合有关工程设计标准的要求，且应当在工程设计开始前书面向设计人提出，经发包人与设计人协商一致后以书面形式确定作为本合同附件。</w:t>
      </w:r>
    </w:p>
    <w:p w14:paraId="5E0A384B">
      <w:pPr>
        <w:spacing w:line="360" w:lineRule="auto"/>
        <w:ind w:firstLine="562"/>
        <w:rPr>
          <w:rFonts w:asciiTheme="minorEastAsia" w:hAnsiTheme="minorEastAsia" w:eastAsiaTheme="minorEastAsia"/>
          <w:sz w:val="24"/>
          <w:szCs w:val="24"/>
          <w:highlight w:val="none"/>
        </w:rPr>
      </w:pPr>
      <w:r>
        <w:rPr>
          <w:rFonts w:hint="eastAsia" w:asciiTheme="minorEastAsia" w:hAnsiTheme="minorEastAsia" w:eastAsiaTheme="minorEastAsia"/>
          <w:kern w:val="0"/>
          <w:sz w:val="24"/>
          <w:szCs w:val="24"/>
          <w:highlight w:val="none"/>
        </w:rPr>
        <w:t>5.1.1.3 发包人应当严格遵守主要技术指标控制的前提条件，由于发包人的原因导致工程设计文件超出主要技术指标控制值的，发包人承担相应责任。</w:t>
      </w:r>
    </w:p>
    <w:p w14:paraId="7B3DDA68">
      <w:pPr>
        <w:pStyle w:val="6"/>
        <w:keepNext w:val="0"/>
        <w:keepLines w:val="0"/>
        <w:spacing w:before="0" w:after="0" w:line="360" w:lineRule="auto"/>
        <w:ind w:firstLine="480" w:firstLineChars="200"/>
        <w:rPr>
          <w:rFonts w:asciiTheme="minorEastAsia" w:hAnsiTheme="minorEastAsia" w:eastAsiaTheme="minorEastAsia"/>
          <w:b w:val="0"/>
          <w:bCs w:val="0"/>
          <w:kern w:val="0"/>
          <w:sz w:val="24"/>
          <w:szCs w:val="24"/>
          <w:highlight w:val="none"/>
        </w:rPr>
      </w:pPr>
      <w:r>
        <w:rPr>
          <w:rFonts w:hint="eastAsia" w:asciiTheme="minorEastAsia" w:hAnsiTheme="minorEastAsia" w:eastAsiaTheme="minorEastAsia"/>
          <w:b w:val="0"/>
          <w:bCs w:val="0"/>
          <w:kern w:val="0"/>
          <w:sz w:val="24"/>
          <w:szCs w:val="24"/>
          <w:highlight w:val="none"/>
        </w:rPr>
        <w:t>5.1.2 对设计人的要求</w:t>
      </w:r>
    </w:p>
    <w:p w14:paraId="593212DE">
      <w:pPr>
        <w:pStyle w:val="6"/>
        <w:keepNext w:val="0"/>
        <w:keepLines w:val="0"/>
        <w:spacing w:before="0" w:after="0" w:line="360" w:lineRule="auto"/>
        <w:ind w:firstLine="480" w:firstLineChars="200"/>
        <w:rPr>
          <w:rFonts w:asciiTheme="minorEastAsia" w:hAnsiTheme="minorEastAsia" w:eastAsiaTheme="minorEastAsia"/>
          <w:b w:val="0"/>
          <w:bCs w:val="0"/>
          <w:kern w:val="0"/>
          <w:sz w:val="24"/>
          <w:szCs w:val="24"/>
          <w:highlight w:val="none"/>
        </w:rPr>
      </w:pPr>
      <w:r>
        <w:rPr>
          <w:rFonts w:hint="eastAsia" w:asciiTheme="minorEastAsia" w:hAnsiTheme="minorEastAsia" w:eastAsiaTheme="minorEastAsia"/>
          <w:b w:val="0"/>
          <w:bCs w:val="0"/>
          <w:kern w:val="0"/>
          <w:sz w:val="24"/>
          <w:szCs w:val="24"/>
          <w:highlight w:val="none"/>
        </w:rPr>
        <w:t>5.1.2.1 设计人应当按法律和技术标准的强制性规定及发包人要求进行工程设计。有关工程设计的特殊标准或要求由合同当事人在专用合同条款中约定。</w:t>
      </w:r>
      <w:bookmarkEnd w:id="93"/>
    </w:p>
    <w:p w14:paraId="74EC8E81">
      <w:pPr>
        <w:spacing w:line="360" w:lineRule="auto"/>
        <w:ind w:firstLine="650"/>
        <w:rPr>
          <w:rFonts w:asciiTheme="minorEastAsia" w:hAnsiTheme="minorEastAsia" w:eastAsiaTheme="minorEastAsia"/>
          <w:sz w:val="24"/>
          <w:szCs w:val="24"/>
          <w:highlight w:val="none"/>
        </w:rPr>
      </w:pPr>
      <w:r>
        <w:rPr>
          <w:rFonts w:hint="eastAsia" w:asciiTheme="minorEastAsia" w:hAnsiTheme="minorEastAsia" w:eastAsiaTheme="minorEastAsia"/>
          <w:bCs/>
          <w:kern w:val="0"/>
          <w:sz w:val="24"/>
          <w:szCs w:val="24"/>
          <w:highlight w:val="none"/>
        </w:rPr>
        <w:t>设计人发现发包人提供的工程设计资料有问题的，设计人应当及时通知发包人并经发包人确认。</w:t>
      </w:r>
    </w:p>
    <w:bookmarkEnd w:id="94"/>
    <w:p w14:paraId="7B97C26D">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5.1.2.2 除合同另有约定外，设计人完成设计工作所应遵守的法律以及技术标准，均应视为在基准日期适用的版本。基准日期之后，前述版本发生重大变化，或者有新的法律以及技术标准实施的，设计人应就推荐性标准向发包人提出遵守新标准的建议，对强制性的规定或标准应当遵照执行。因发包人采纳设计人的建议或遵守基准日期后新的强制性的规定或标准，导致增加设计费用和（或）设计周期延长的，由发包人承担。</w:t>
      </w:r>
    </w:p>
    <w:p w14:paraId="226786DB">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5.1.2.3 设计人应当根据建筑工程的使用功能和专业技术协调要求，合理确定基础类型、结构体系、结构布置、使用荷载及综合管线等。</w:t>
      </w:r>
    </w:p>
    <w:p w14:paraId="2E686EF0">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5.1.2.4 设计人应当严格执行其双方书面确认的主要技术指标控制值，由于设计人的原因导致工程设计文件超出在专用合同条款中约定的主要技术指标控制值比例的，设计人应当承担相应的违约责任。</w:t>
      </w:r>
    </w:p>
    <w:p w14:paraId="1564ABA3">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5.1.2.5 设计人在工程设计中选用的材料、设备，应当注明其规格、型号、性能等技术指标及适应性，满足质量、安全、节能、环保等要求。</w:t>
      </w:r>
    </w:p>
    <w:p w14:paraId="2D4B9CDE">
      <w:pPr>
        <w:pStyle w:val="6"/>
        <w:keepNext w:val="0"/>
        <w:keepLines w:val="0"/>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5.2 工程设计保证措施</w:t>
      </w:r>
    </w:p>
    <w:p w14:paraId="4CC3620D">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5.2.1 发包人的保证措施</w:t>
      </w:r>
    </w:p>
    <w:p w14:paraId="0E787BC7">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发包人应按照法律规定及合同约定完成与工程设计有关的各项工作。</w:t>
      </w:r>
    </w:p>
    <w:p w14:paraId="63CA8F0F">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5.2.2 设计人的保证措施</w:t>
      </w:r>
    </w:p>
    <w:p w14:paraId="642CA8CC">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设计人应做好工程设计的质量与技术管理工作，建立健全工程设计质量保证体系，加强工程设计全过程的质量控制，建立完整的设计文件的设计、复核、审核、会签和批准制度，明确各阶段的责任人。</w:t>
      </w:r>
    </w:p>
    <w:p w14:paraId="2F2139D8">
      <w:pPr>
        <w:pStyle w:val="6"/>
        <w:spacing w:before="120" w:after="120" w:line="360" w:lineRule="auto"/>
        <w:ind w:firstLine="480" w:firstLineChars="200"/>
        <w:rPr>
          <w:rFonts w:asciiTheme="minorEastAsia" w:hAnsiTheme="minorEastAsia" w:eastAsiaTheme="minorEastAsia"/>
          <w:b w:val="0"/>
          <w:bCs w:val="0"/>
          <w:kern w:val="0"/>
          <w:sz w:val="24"/>
          <w:szCs w:val="24"/>
          <w:highlight w:val="none"/>
        </w:rPr>
      </w:pPr>
      <w:r>
        <w:rPr>
          <w:rFonts w:hint="eastAsia" w:asciiTheme="minorEastAsia" w:hAnsiTheme="minorEastAsia" w:eastAsiaTheme="minorEastAsia"/>
          <w:b w:val="0"/>
          <w:sz w:val="24"/>
          <w:szCs w:val="24"/>
          <w:highlight w:val="none"/>
        </w:rPr>
        <w:t>5.3 工程设计文件的要求</w:t>
      </w:r>
    </w:p>
    <w:p w14:paraId="65C1C776">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5.3.1 工程设计文件的编制应符合法律、技术标准的强制性规定及合同的要求。</w:t>
      </w:r>
    </w:p>
    <w:p w14:paraId="6C7A07AF">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5.3.2 工程设计依据应完整、准确、可靠，设计方案论证充分，计算成果可靠，并能够实施。</w:t>
      </w:r>
    </w:p>
    <w:p w14:paraId="29CF4F6D">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5.3.3 工程设计文件的深度应满足本合同相应设计阶段的规定要求，并符合国家和行业现行有效的相关规定。</w:t>
      </w:r>
    </w:p>
    <w:p w14:paraId="711A96BC">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5.3.4 工程设计文件必须保证工程质量和施工安全等方面的要求，按照有关法律法规规定在工程设计文件中提出保障施工作业人员安全和预防生产安全事故的措施建议。</w:t>
      </w:r>
    </w:p>
    <w:p w14:paraId="7215DA81">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5.3.5 应根据法律、技术标准要求，保证房屋建筑工程的合理使用寿命年限，并应在工程设计文件中注明相应的合理使用寿命年限。</w:t>
      </w:r>
    </w:p>
    <w:p w14:paraId="1D39052E">
      <w:pPr>
        <w:pStyle w:val="6"/>
        <w:keepNext w:val="0"/>
        <w:keepLines w:val="0"/>
        <w:spacing w:before="120" w:after="120" w:line="360" w:lineRule="auto"/>
        <w:ind w:firstLine="480" w:firstLineChars="200"/>
        <w:rPr>
          <w:rFonts w:asciiTheme="minorEastAsia" w:hAnsiTheme="minorEastAsia" w:eastAsiaTheme="minorEastAsia"/>
          <w:b w:val="0"/>
          <w:bCs w:val="0"/>
          <w:kern w:val="0"/>
          <w:sz w:val="24"/>
          <w:szCs w:val="24"/>
          <w:highlight w:val="none"/>
        </w:rPr>
      </w:pPr>
      <w:bookmarkStart w:id="95" w:name="_Toc351203536"/>
      <w:bookmarkStart w:id="96" w:name="_Toc337558762"/>
      <w:r>
        <w:rPr>
          <w:rFonts w:hint="eastAsia" w:asciiTheme="minorEastAsia" w:hAnsiTheme="minorEastAsia" w:eastAsiaTheme="minorEastAsia"/>
          <w:b w:val="0"/>
          <w:sz w:val="24"/>
          <w:szCs w:val="24"/>
          <w:highlight w:val="none"/>
        </w:rPr>
        <w:t>5.4 不合格工程设计文件的处理</w:t>
      </w:r>
      <w:bookmarkEnd w:id="95"/>
    </w:p>
    <w:bookmarkEnd w:id="96"/>
    <w:p w14:paraId="0B493EF0">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 xml:space="preserve">5.4.1 因设计人原因造成工程设计文件不合格的，发包人有权要求设计人采取补救措施，直至达到合同要求的质量标准，并按第14.2款〔设计人违约责任〕的约定承担责任。 </w:t>
      </w:r>
    </w:p>
    <w:p w14:paraId="21E2D923">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5.4.2 因发包人原因造成工程设计文件不合格的，设计人应当采取补救措施，直至达到合同要求的质量标准，由此增加的设计费用和（或）设计周期的延长由发包人承担。</w:t>
      </w:r>
    </w:p>
    <w:p w14:paraId="78EE5F45">
      <w:pPr>
        <w:pStyle w:val="5"/>
        <w:spacing w:before="120" w:after="120" w:line="360" w:lineRule="auto"/>
        <w:rPr>
          <w:rFonts w:asciiTheme="minorEastAsia" w:hAnsiTheme="minorEastAsia" w:eastAsiaTheme="minorEastAsia"/>
          <w:b w:val="0"/>
          <w:sz w:val="24"/>
          <w:szCs w:val="24"/>
          <w:highlight w:val="none"/>
        </w:rPr>
      </w:pPr>
      <w:bookmarkStart w:id="97" w:name="_Toc351203542"/>
      <w:bookmarkStart w:id="98" w:name="_Toc337558767"/>
      <w:r>
        <w:rPr>
          <w:rFonts w:hint="eastAsia" w:asciiTheme="minorEastAsia" w:hAnsiTheme="minorEastAsia" w:eastAsiaTheme="minorEastAsia"/>
          <w:b w:val="0"/>
          <w:sz w:val="24"/>
          <w:szCs w:val="24"/>
          <w:highlight w:val="none"/>
        </w:rPr>
        <w:t>6. 工程设计进度</w:t>
      </w:r>
      <w:bookmarkEnd w:id="97"/>
      <w:r>
        <w:rPr>
          <w:rFonts w:hint="eastAsia" w:asciiTheme="minorEastAsia" w:hAnsiTheme="minorEastAsia" w:eastAsiaTheme="minorEastAsia"/>
          <w:b w:val="0"/>
          <w:sz w:val="24"/>
          <w:szCs w:val="24"/>
          <w:highlight w:val="none"/>
        </w:rPr>
        <w:t>与周期</w:t>
      </w:r>
    </w:p>
    <w:bookmarkEnd w:id="98"/>
    <w:p w14:paraId="1B86E0B1">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99" w:name="_Toc351203544"/>
      <w:bookmarkStart w:id="100" w:name="_Toc337558769"/>
      <w:bookmarkStart w:id="101" w:name="_Toc296346567"/>
      <w:bookmarkStart w:id="102" w:name="_Toc296503066"/>
      <w:r>
        <w:rPr>
          <w:rFonts w:hint="eastAsia" w:asciiTheme="minorEastAsia" w:hAnsiTheme="minorEastAsia" w:eastAsiaTheme="minorEastAsia"/>
          <w:b w:val="0"/>
          <w:sz w:val="24"/>
          <w:szCs w:val="24"/>
          <w:highlight w:val="none"/>
        </w:rPr>
        <w:t>6.1 工程设计进度计划</w:t>
      </w:r>
      <w:bookmarkEnd w:id="99"/>
    </w:p>
    <w:bookmarkEnd w:id="100"/>
    <w:p w14:paraId="55E4AABF">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6.1.1 工程设计进度计划的编制</w:t>
      </w:r>
    </w:p>
    <w:p w14:paraId="0412FD70">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设计人应按照专用合同条款约定提交工程设计进度计划，工程设计进度计划的编制应当符合法律规定和一般工程设计实践惯例，工程设计进度计划经发包人批准后实施。工程设计进度计划是控制工程设计进度的依据，发包人有权按照工程设计进度计划中列明的关键性控制节点检查工程设计进度情况。</w:t>
      </w:r>
    </w:p>
    <w:p w14:paraId="511820BF">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工程设计进度计划中的设计周期应由发包人与设计人协商确定，明确约定各阶段设计任务的完成时间区间，</w:t>
      </w:r>
      <w:r>
        <w:rPr>
          <w:rFonts w:hint="eastAsia" w:asciiTheme="minorEastAsia" w:hAnsiTheme="minorEastAsia" w:eastAsiaTheme="minorEastAsia"/>
          <w:sz w:val="24"/>
          <w:szCs w:val="24"/>
          <w:highlight w:val="none"/>
        </w:rPr>
        <w:t>包括各阶段设计过程中设计人与发包人的交流时间，但不包括相关政府部门对设计成果的审批时间及发包人的审查时间。</w:t>
      </w:r>
    </w:p>
    <w:p w14:paraId="17D6C1B1">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6.1.2 工程设计进度计划的修订</w:t>
      </w:r>
    </w:p>
    <w:p w14:paraId="6A06700C">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工程设计进度计划不符合合同要求或与工程设计的实际进度不一致的，设计人应向发包人提交修订的工程设计进度计划，并附具有关措施和相关资料。除专用合同条款对期限另有约定外，发包人应在收到修订的工程设计进度计划后5天内完成审核和批准或提出修改意见，否则视为发包人同意设计人提交的修订的工程设计进度计划。</w:t>
      </w:r>
    </w:p>
    <w:p w14:paraId="1B708887">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103" w:name="_Toc351203545"/>
      <w:bookmarkStart w:id="104" w:name="_Toc337558770"/>
      <w:r>
        <w:rPr>
          <w:rFonts w:hint="eastAsia" w:asciiTheme="minorEastAsia" w:hAnsiTheme="minorEastAsia" w:eastAsiaTheme="minorEastAsia"/>
          <w:b w:val="0"/>
          <w:sz w:val="24"/>
          <w:szCs w:val="24"/>
          <w:highlight w:val="none"/>
        </w:rPr>
        <w:t xml:space="preserve">6.2 </w:t>
      </w:r>
      <w:bookmarkEnd w:id="103"/>
      <w:r>
        <w:rPr>
          <w:rFonts w:hint="eastAsia" w:asciiTheme="minorEastAsia" w:hAnsiTheme="minorEastAsia" w:eastAsiaTheme="minorEastAsia"/>
          <w:b w:val="0"/>
          <w:sz w:val="24"/>
          <w:szCs w:val="24"/>
          <w:highlight w:val="none"/>
        </w:rPr>
        <w:t>工程设计开始</w:t>
      </w:r>
    </w:p>
    <w:bookmarkEnd w:id="104"/>
    <w:p w14:paraId="15524E66">
      <w:pPr>
        <w:adjustRightInd w:val="0"/>
        <w:spacing w:line="360" w:lineRule="auto"/>
        <w:ind w:firstLine="501" w:firstLineChars="209"/>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发包人应按照法律规定获得工程设计所需的许可。发包人发出的开始设计通知应符合法律规定，一般应在计划开始设计日期7天前向设计人发出开始工程设计工作通知，工程设计周期自开始设计通知中载明的开始设计的日期起算。</w:t>
      </w:r>
    </w:p>
    <w:p w14:paraId="22AD64BD">
      <w:pPr>
        <w:autoSpaceDE w:val="0"/>
        <w:autoSpaceDN w:val="0"/>
        <w:adjustRightInd w:val="0"/>
        <w:spacing w:line="360" w:lineRule="auto"/>
        <w:ind w:firstLine="504" w:firstLineChars="21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设计人应当在收到发包人提供的工程设计资料及专用合同条款约定的定金或预付款后，开始工程设计工作。</w:t>
      </w:r>
    </w:p>
    <w:p w14:paraId="6C74DA62">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各设计阶段的开始时间均以设计人收到的发包人发出开始设计工作的书面通知书中载明的</w:t>
      </w:r>
      <w:r>
        <w:rPr>
          <w:rFonts w:hint="eastAsia" w:asciiTheme="minorEastAsia" w:hAnsiTheme="minorEastAsia" w:eastAsiaTheme="minorEastAsia"/>
          <w:kern w:val="0"/>
          <w:sz w:val="24"/>
          <w:szCs w:val="24"/>
          <w:highlight w:val="none"/>
        </w:rPr>
        <w:t>开始设计的日期起算。</w:t>
      </w:r>
    </w:p>
    <w:bookmarkEnd w:id="101"/>
    <w:bookmarkEnd w:id="102"/>
    <w:p w14:paraId="0E1D2A3D">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105" w:name="_Toc351203547"/>
      <w:bookmarkStart w:id="106" w:name="_Toc296346574"/>
      <w:bookmarkStart w:id="107" w:name="_Toc337558772"/>
      <w:bookmarkStart w:id="108" w:name="_Toc296503073"/>
      <w:r>
        <w:rPr>
          <w:rFonts w:hint="eastAsia" w:asciiTheme="minorEastAsia" w:hAnsiTheme="minorEastAsia" w:eastAsiaTheme="minorEastAsia"/>
          <w:b w:val="0"/>
          <w:sz w:val="24"/>
          <w:szCs w:val="24"/>
          <w:highlight w:val="none"/>
        </w:rPr>
        <w:t>6.3 工程设计进度延误</w:t>
      </w:r>
      <w:bookmarkEnd w:id="105"/>
    </w:p>
    <w:bookmarkEnd w:id="106"/>
    <w:bookmarkEnd w:id="107"/>
    <w:bookmarkEnd w:id="108"/>
    <w:p w14:paraId="6F9A3DA4">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6.3.1 因发包人原因导致工程设计进度延误</w:t>
      </w:r>
    </w:p>
    <w:p w14:paraId="1214AD11">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 xml:space="preserve">在合同履行过程中，发包人导致工程设计进度延误的情形主要有： </w:t>
      </w:r>
    </w:p>
    <w:p w14:paraId="73564327">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（1）发包人未能按合同约定提供工程设计资料或所提供的工程设计资料不符合合同约定或存在错误或疏漏的；</w:t>
      </w:r>
    </w:p>
    <w:p w14:paraId="1C90C590">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（2）发包人未能按合同约定日期足额支付定金或预付款、进度款的；</w:t>
      </w:r>
    </w:p>
    <w:p w14:paraId="36262A57">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（3）发包人提出影响设计周期的设计变更要求的；</w:t>
      </w:r>
    </w:p>
    <w:p w14:paraId="5D89E3B6">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（4）专用合同条款中约定的其他情形。</w:t>
      </w:r>
    </w:p>
    <w:p w14:paraId="27E74859">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因发包人原因未按计划开始设计日期开始设计的，发包人应按实际开始设计日期顺延完成设计日期。</w:t>
      </w:r>
    </w:p>
    <w:p w14:paraId="25BBEF85">
      <w:pPr>
        <w:spacing w:line="360" w:lineRule="auto"/>
        <w:ind w:firstLine="480" w:firstLineChars="200"/>
        <w:rPr>
          <w:rFonts w:cs="Courier New" w:asciiTheme="minorEastAsia" w:hAnsiTheme="minorEastAsia" w:eastAsiaTheme="minorEastAsia"/>
          <w:sz w:val="24"/>
          <w:szCs w:val="24"/>
          <w:highlight w:val="none"/>
        </w:rPr>
      </w:pPr>
      <w:r>
        <w:rPr>
          <w:rFonts w:hint="eastAsia" w:asciiTheme="minorEastAsia" w:hAnsiTheme="minorEastAsia" w:eastAsiaTheme="minorEastAsia"/>
          <w:kern w:val="0"/>
          <w:sz w:val="24"/>
          <w:szCs w:val="24"/>
          <w:highlight w:val="none"/>
        </w:rPr>
        <w:t>除专用合同条款对期限另有约定外，</w:t>
      </w:r>
      <w:r>
        <w:rPr>
          <w:rFonts w:hint="eastAsia" w:cs="Courier New" w:asciiTheme="minorEastAsia" w:hAnsiTheme="minorEastAsia" w:eastAsiaTheme="minorEastAsia"/>
          <w:sz w:val="24"/>
          <w:szCs w:val="24"/>
          <w:highlight w:val="none"/>
        </w:rPr>
        <w:t>设计人应在发生上述情形后5天内向发包人发出要求延期的书面通知，在发生该情形后10天内提交要求延期的详细说明供发包人审查。</w:t>
      </w:r>
      <w:r>
        <w:rPr>
          <w:rFonts w:hint="eastAsia" w:asciiTheme="minorEastAsia" w:hAnsiTheme="minorEastAsia" w:eastAsiaTheme="minorEastAsia"/>
          <w:kern w:val="0"/>
          <w:sz w:val="24"/>
          <w:szCs w:val="24"/>
          <w:highlight w:val="none"/>
        </w:rPr>
        <w:t>除专用合同条款对期限另有约定外，</w:t>
      </w:r>
      <w:r>
        <w:rPr>
          <w:rFonts w:hint="eastAsia" w:cs="Courier New" w:asciiTheme="minorEastAsia" w:hAnsiTheme="minorEastAsia" w:eastAsiaTheme="minorEastAsia"/>
          <w:sz w:val="24"/>
          <w:szCs w:val="24"/>
          <w:highlight w:val="none"/>
        </w:rPr>
        <w:t>发包人收到设计人要求延期的详细说明后，应在5天内进行审查并就是否延长设计周期及延期天数向设计人进行书面答复。</w:t>
      </w:r>
    </w:p>
    <w:p w14:paraId="0E61A268">
      <w:pPr>
        <w:spacing w:line="360" w:lineRule="auto"/>
        <w:ind w:firstLine="480" w:firstLineChars="200"/>
        <w:jc w:val="left"/>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如果发包人在收到设计人</w:t>
      </w:r>
      <w:r>
        <w:rPr>
          <w:rFonts w:hint="eastAsia" w:asciiTheme="minorEastAsia" w:hAnsiTheme="minorEastAsia" w:eastAsiaTheme="minorEastAsia"/>
          <w:kern w:val="0"/>
          <w:sz w:val="24"/>
          <w:szCs w:val="24"/>
          <w:highlight w:val="none"/>
        </w:rPr>
        <w:t>提交要求</w:t>
      </w:r>
      <w:r>
        <w:rPr>
          <w:rFonts w:hint="eastAsia" w:cs="Courier New" w:asciiTheme="minorEastAsia" w:hAnsiTheme="minorEastAsia" w:eastAsiaTheme="minorEastAsia"/>
          <w:sz w:val="24"/>
          <w:szCs w:val="24"/>
          <w:highlight w:val="none"/>
        </w:rPr>
        <w:t>延期的详细说明后，在约定的期限内未予答复，则视为设计人要求的延期已被发包人批准。如果设计人未能按本款约定的时间内发出要求延期的通知并提交详细资料，则发包人可拒绝作出任何延期的决定。</w:t>
      </w:r>
    </w:p>
    <w:p w14:paraId="2AC4E1DC">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发包人上述工程设计进度延误情形</w:t>
      </w:r>
      <w:r>
        <w:rPr>
          <w:rFonts w:hint="eastAsia" w:asciiTheme="minorEastAsia" w:hAnsiTheme="minorEastAsia" w:eastAsiaTheme="minorEastAsia"/>
          <w:sz w:val="24"/>
          <w:szCs w:val="24"/>
          <w:highlight w:val="none"/>
        </w:rPr>
        <w:t>导致增加了设计工作量的，发包人应当另行支付相应设计费用。</w:t>
      </w:r>
    </w:p>
    <w:p w14:paraId="1352A12C">
      <w:pPr>
        <w:autoSpaceDE w:val="0"/>
        <w:autoSpaceDN w:val="0"/>
        <w:adjustRightInd w:val="0"/>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kern w:val="0"/>
          <w:sz w:val="24"/>
          <w:szCs w:val="24"/>
          <w:highlight w:val="none"/>
        </w:rPr>
        <w:t>6.3.2 因设计人原因导致工程设计进度延误</w:t>
      </w:r>
    </w:p>
    <w:p w14:paraId="6BF63B9A">
      <w:pPr>
        <w:adjustRightInd w:val="0"/>
        <w:spacing w:line="360" w:lineRule="auto"/>
        <w:ind w:firstLine="480" w:firstLineChars="200"/>
        <w:jc w:val="left"/>
        <w:rPr>
          <w:rFonts w:asciiTheme="minorEastAsia" w:hAnsiTheme="minorEastAsia" w:eastAsiaTheme="minorEastAsia"/>
          <w:kern w:val="0"/>
          <w:sz w:val="24"/>
          <w:szCs w:val="24"/>
          <w:highlight w:val="none"/>
        </w:rPr>
      </w:pPr>
      <w:bookmarkStart w:id="109" w:name="_Toc296503076"/>
      <w:bookmarkStart w:id="110" w:name="_Toc296346577"/>
      <w:r>
        <w:rPr>
          <w:rFonts w:hint="eastAsia" w:asciiTheme="minorEastAsia" w:hAnsiTheme="minorEastAsia" w:eastAsiaTheme="minorEastAsia"/>
          <w:kern w:val="0"/>
          <w:sz w:val="24"/>
          <w:szCs w:val="24"/>
          <w:highlight w:val="none"/>
        </w:rPr>
        <w:t>因</w:t>
      </w:r>
      <w:bookmarkEnd w:id="109"/>
      <w:bookmarkEnd w:id="110"/>
      <w:r>
        <w:rPr>
          <w:rFonts w:hint="eastAsia" w:asciiTheme="minorEastAsia" w:hAnsiTheme="minorEastAsia" w:eastAsiaTheme="minorEastAsia"/>
          <w:kern w:val="0"/>
          <w:sz w:val="24"/>
          <w:szCs w:val="24"/>
          <w:highlight w:val="none"/>
        </w:rPr>
        <w:t>设计人原因导致工程设计进度延误的，设计人应当按照第14.2款〔设计人违约责任〕承担责任。设计人支付逾期完成工程设计违约金后，不免除设计人继续完成工程设计的义务。</w:t>
      </w:r>
    </w:p>
    <w:p w14:paraId="25A61026">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111" w:name="_Toc351203550"/>
      <w:bookmarkStart w:id="112" w:name="_Toc337558775"/>
      <w:bookmarkStart w:id="113" w:name="_Toc296346578"/>
      <w:bookmarkStart w:id="114" w:name="_Toc296503077"/>
      <w:r>
        <w:rPr>
          <w:rFonts w:hint="eastAsia" w:asciiTheme="minorEastAsia" w:hAnsiTheme="minorEastAsia" w:eastAsiaTheme="minorEastAsia"/>
          <w:b w:val="0"/>
          <w:sz w:val="24"/>
          <w:szCs w:val="24"/>
          <w:highlight w:val="none"/>
        </w:rPr>
        <w:t>6.4 暂停</w:t>
      </w:r>
      <w:bookmarkEnd w:id="111"/>
      <w:r>
        <w:rPr>
          <w:rFonts w:hint="eastAsia" w:asciiTheme="minorEastAsia" w:hAnsiTheme="minorEastAsia" w:eastAsiaTheme="minorEastAsia"/>
          <w:b w:val="0"/>
          <w:sz w:val="24"/>
          <w:szCs w:val="24"/>
          <w:highlight w:val="none"/>
        </w:rPr>
        <w:t>设计</w:t>
      </w:r>
    </w:p>
    <w:bookmarkEnd w:id="112"/>
    <w:bookmarkEnd w:id="113"/>
    <w:bookmarkEnd w:id="114"/>
    <w:p w14:paraId="63FC6739">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6.4.1 发包人原因引起的暂停设计</w:t>
      </w:r>
    </w:p>
    <w:p w14:paraId="58C2B13B">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因发包人原因引起暂停设计的，发包人应及时下达暂停设计指示。</w:t>
      </w:r>
    </w:p>
    <w:p w14:paraId="22E04A91">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因发包人原因引起的暂停设计，发包人应承担由此增加的设计费用和（或）延长的设计周期。</w:t>
      </w:r>
    </w:p>
    <w:p w14:paraId="21F3E251">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6.4.2 设计人原因引起的暂停设计</w:t>
      </w:r>
    </w:p>
    <w:p w14:paraId="6CC81F28">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因设计人原因引起的暂停设计，设计人应当尽快向发包人发出书面通知并按第14.2款〔设计人违约责任〕承担责任，且设计人在收到发包人复工指示后15天内仍未复工的，视为设计人无法继续履行合同的情形，设计人应按第16条〔合同解除〕的约定承担责任。</w:t>
      </w:r>
    </w:p>
    <w:p w14:paraId="32EE9339">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6.4.3 其他原因引起的暂停设计</w:t>
      </w:r>
    </w:p>
    <w:p w14:paraId="19C88C14">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当出现非设计人原因造成的暂停设计，设计人应当尽快向发包人发出书面通知。</w:t>
      </w:r>
    </w:p>
    <w:p w14:paraId="10584860">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在上述情形下设计人的设计服务暂停，设计人的设计周期应当相应延长，复工应有发包人与设计人共同确认的合理期限。</w:t>
      </w:r>
    </w:p>
    <w:p w14:paraId="25BB4B3C">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当发生本项约定的情况，导致设计人增加设计工作量的，发包人应当另行支付相应设计费用。</w:t>
      </w:r>
    </w:p>
    <w:p w14:paraId="7B65B83F">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6.4.4 暂停设计后的复工</w:t>
      </w:r>
    </w:p>
    <w:p w14:paraId="3653B718">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暂停设计后，发包人和设计人应采取有效措施积极消除暂停设计的影响。当工程具备复工条件时，发包人向设计人发出复工通知，设计人应按照复工通知要求复工。</w:t>
      </w:r>
    </w:p>
    <w:p w14:paraId="01FB5ACC">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除设计人原因导致暂停设计外，设计人暂停设计后复工所增加的设计工作量，发包人应当另行支付相应设计费用。</w:t>
      </w:r>
    </w:p>
    <w:p w14:paraId="25DC522E">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115" w:name="_Toc351203551"/>
      <w:r>
        <w:rPr>
          <w:rFonts w:hint="eastAsia" w:asciiTheme="minorEastAsia" w:hAnsiTheme="minorEastAsia" w:eastAsiaTheme="minorEastAsia"/>
          <w:b w:val="0"/>
          <w:sz w:val="24"/>
          <w:szCs w:val="24"/>
          <w:highlight w:val="none"/>
        </w:rPr>
        <w:t>6.5 提前</w:t>
      </w:r>
      <w:bookmarkEnd w:id="115"/>
      <w:r>
        <w:rPr>
          <w:rFonts w:hint="eastAsia" w:asciiTheme="minorEastAsia" w:hAnsiTheme="minorEastAsia" w:eastAsiaTheme="minorEastAsia"/>
          <w:b w:val="0"/>
          <w:sz w:val="24"/>
          <w:szCs w:val="24"/>
          <w:highlight w:val="none"/>
        </w:rPr>
        <w:t>交付工程设计文件</w:t>
      </w:r>
    </w:p>
    <w:p w14:paraId="5F035202">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6.5.1 发包人要求设计人提前交付工程设计文件的，发包人应向设计人下达提前交付工程设计文件指示，设计人应向发包人提交提前交付工程设计文件建议书，提前交付工程设计文件建议书应包括实施的方案、缩短的时间、增加的合同价格等内容。发包人接受该提前交付工程设计文件建议书的，发包人和设计人协商采取加快工程设计进度的措施，并修订工程设计进度计划，由此增加的设计费用由发包人承担。设计人认为提前交付工程设计文件的指示无法执行的，应向发包人提出书面异议，发包人应在收到异议后7天内予以答复。任何情况下，发包人不得压缩合理设计周期。</w:t>
      </w:r>
    </w:p>
    <w:p w14:paraId="62D1C312">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6.5.2 发包人要求设计人提前交付工程设计文件，或设计人提出提前交付工程设计文件的建议能够给发包人带来效益的，合同当事人可以在专用合同条款中约定提前交付工程设计文件的奖励。</w:t>
      </w:r>
    </w:p>
    <w:p w14:paraId="0DC44A95">
      <w:pPr>
        <w:pStyle w:val="5"/>
        <w:spacing w:before="120" w:after="120" w:line="360" w:lineRule="auto"/>
        <w:rPr>
          <w:rFonts w:asciiTheme="minorEastAsia" w:hAnsiTheme="minorEastAsia" w:eastAsiaTheme="minorEastAsia"/>
          <w:b w:val="0"/>
          <w:sz w:val="24"/>
          <w:szCs w:val="24"/>
          <w:highlight w:val="none"/>
        </w:rPr>
      </w:pPr>
      <w:bookmarkStart w:id="116" w:name="_Toc296346584"/>
      <w:bookmarkStart w:id="117" w:name="_Toc296503083"/>
      <w:r>
        <w:rPr>
          <w:rFonts w:hint="eastAsia" w:asciiTheme="minorEastAsia" w:hAnsiTheme="minorEastAsia" w:eastAsiaTheme="minorEastAsia"/>
          <w:b w:val="0"/>
          <w:sz w:val="24"/>
          <w:szCs w:val="24"/>
          <w:highlight w:val="none"/>
        </w:rPr>
        <w:t>7. 工程设计文件交付</w:t>
      </w:r>
    </w:p>
    <w:p w14:paraId="4194C7E7">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7.1 工程设计文件交付的内容</w:t>
      </w:r>
    </w:p>
    <w:p w14:paraId="49160EDF">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7.1.1 工程设计图纸及设计说明。</w:t>
      </w:r>
    </w:p>
    <w:p w14:paraId="108EE99D">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7.1.2 发包人可以要求设计人提交专用合同条款约定的具体形式的</w:t>
      </w:r>
      <w:r>
        <w:rPr>
          <w:rFonts w:hint="eastAsia" w:cs="Courier New" w:asciiTheme="minorEastAsia" w:hAnsiTheme="minorEastAsia" w:eastAsiaTheme="minorEastAsia"/>
          <w:sz w:val="24"/>
          <w:szCs w:val="24"/>
          <w:highlight w:val="none"/>
        </w:rPr>
        <w:t>电子版设计文件</w:t>
      </w:r>
      <w:r>
        <w:rPr>
          <w:rFonts w:hint="eastAsia" w:asciiTheme="minorEastAsia" w:hAnsiTheme="minorEastAsia" w:eastAsiaTheme="minorEastAsia"/>
          <w:kern w:val="0"/>
          <w:sz w:val="24"/>
          <w:szCs w:val="24"/>
          <w:highlight w:val="none"/>
        </w:rPr>
        <w:t>。</w:t>
      </w:r>
    </w:p>
    <w:p w14:paraId="456C203B">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7.2 工程设计文件的交付方式</w:t>
      </w:r>
    </w:p>
    <w:p w14:paraId="23317222">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设计人交付工程设计文件给发包人，发包人应当出具书面签收单，内容包括图纸名称、图纸内容、图纸形式、份数、提交和签收日期、提交人与接收人的亲笔签名。</w:t>
      </w:r>
    </w:p>
    <w:p w14:paraId="75C584CD">
      <w:pPr>
        <w:pStyle w:val="6"/>
        <w:keepNext w:val="0"/>
        <w:keepLines w:val="0"/>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7.3 工程设计文件交付的时间和份数</w:t>
      </w:r>
    </w:p>
    <w:p w14:paraId="045F245F">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工程设计文件交付的名称、时间和份数在专用合同条款附件3中约定。</w:t>
      </w:r>
    </w:p>
    <w:p w14:paraId="5020C376">
      <w:pPr>
        <w:pStyle w:val="5"/>
        <w:spacing w:before="120" w:after="120" w:line="360" w:lineRule="auto"/>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8. 工程设计文件审查</w:t>
      </w:r>
    </w:p>
    <w:p w14:paraId="18581D28">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8.1 设计人的工程设计文件应报发包人审查同意。审查的范围和内容在发包人要求中约定。审查的具体标准应符合法律规定、技术标准要求和本合同约定。</w:t>
      </w:r>
    </w:p>
    <w:p w14:paraId="6B5E219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除专用合同条款对期限另有约定外，自发包人收到设计人的工程设计文件以及设计人的通知之日起，发包人对设计人的工程设计文件审查期不超过15天。</w:t>
      </w:r>
    </w:p>
    <w:p w14:paraId="143DF985">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发包人不同意工程设计文件的，应以书面形式通知设计人，并说明不符合合同要求的具体内容。设计人应根据发包人的书面说明，对工程设计文件进行修改后重新报送发包人审查，审查期重新起算。</w:t>
      </w:r>
    </w:p>
    <w:p w14:paraId="68484D56">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合同约定的审查期满，发包人没有做出审查结论也没有提出异议的，视为设计人的工程设计文件已获发包人同意。</w:t>
      </w:r>
    </w:p>
    <w:p w14:paraId="2201FF07">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8.2 设计人的工程设计文件不需要政府有关部门审查或批准的，设计人应当严格按照经发包人审查同意的工程设计文件进行修改，如果发包人的修改意见超出或更改了发包人要求，发包人应当根据第11条〔工程设计变更与索赔〕的约定，向设计人另行支付费用。</w:t>
      </w:r>
    </w:p>
    <w:p w14:paraId="6AD627DF">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8.3 工程</w:t>
      </w:r>
      <w:r>
        <w:rPr>
          <w:rStyle w:val="65"/>
          <w:rFonts w:hint="eastAsia" w:asciiTheme="minorEastAsia" w:hAnsiTheme="minorEastAsia" w:eastAsiaTheme="minorEastAsia"/>
          <w:vanish/>
          <w:sz w:val="24"/>
          <w:szCs w:val="24"/>
          <w:highlight w:val="none"/>
        </w:rPr>
        <w:t>（</w:t>
      </w:r>
      <w:r>
        <w:rPr>
          <w:rFonts w:hint="eastAsia" w:asciiTheme="minorEastAsia" w:hAnsiTheme="minorEastAsia" w:eastAsiaTheme="minorEastAsia"/>
          <w:sz w:val="24"/>
          <w:szCs w:val="24"/>
          <w:highlight w:val="none"/>
        </w:rPr>
        <w:t>设计文件需政府有关部门审查或批准的，发包人应在审查同意设计人的工程设计文件后在专用合同条款约定的期限内，向政府有关部门报送工程设计文件，设计人应予以协助。</w:t>
      </w:r>
    </w:p>
    <w:p w14:paraId="1D409336">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对于政府有关部门的审查意见，不需要修改发包人要求的，设计人需按该审查意见修改设计人的工程设计文件；需要修改发包人要求的，发包人应重新提出发包人要求，设计人应根据新提出的发包人要求修改设计人的工程设计文件，发包人应当根据第11条〔工程设计变更与索赔〕的约定，向设计人另行支付费用。</w:t>
      </w:r>
    </w:p>
    <w:p w14:paraId="5EA6F444">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8.4 发包人需要组织审查会议对工程设计文件进行审查的，审查会议的审查形式和时间安排，在专用合同条款中约定。发包人负责组织工程设计文件审查会议，并承担会议费用及发包人的上级单位、政府有关部门参加的审查会议的费用。</w:t>
      </w:r>
    </w:p>
    <w:p w14:paraId="5B5F64D1">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设计人按第7条〔工程设计文件交付〕的约定向发包人提交工程设计文件，有义务参加发包人组织的设计审查会议，向审查者介绍、解答、解释其工程设计文件，并提供有关补充资料。</w:t>
      </w:r>
    </w:p>
    <w:p w14:paraId="3853FD0D">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发包人有义务向设计人提供设计审查会议的批准文件和纪要。设计人有义务按照相关设计审查会议批准的文件和纪要，并依据合同约定及相关技术标准，对工程设计文件进行修改、补充和完善。</w:t>
      </w:r>
    </w:p>
    <w:p w14:paraId="7A76C145">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8.5 因设计人原因，未能按第7条〔工程设计文件交付〕约定的时间向发包人提交工程设计文件，致使工程设计文件审查无法进行或无法按期进行，造成设计周期延长、窝工损失及发包人增加费用的，设计人应</w:t>
      </w:r>
      <w:r>
        <w:rPr>
          <w:rFonts w:hint="eastAsia" w:asciiTheme="minorEastAsia" w:hAnsiTheme="minorEastAsia" w:eastAsiaTheme="minorEastAsia"/>
          <w:kern w:val="0"/>
          <w:sz w:val="24"/>
          <w:szCs w:val="24"/>
          <w:highlight w:val="none"/>
        </w:rPr>
        <w:t>按第14.2款〔设计人违约责任〕的约定承担责任</w:t>
      </w:r>
      <w:r>
        <w:rPr>
          <w:rFonts w:hint="eastAsia" w:asciiTheme="minorEastAsia" w:hAnsiTheme="minorEastAsia" w:eastAsiaTheme="minorEastAsia"/>
          <w:sz w:val="24"/>
          <w:szCs w:val="24"/>
          <w:highlight w:val="none"/>
        </w:rPr>
        <w:t>。</w:t>
      </w:r>
    </w:p>
    <w:p w14:paraId="2BB3C5DB">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因发包人原因，致使工程设计文件审查无法进行或无法按期进行，造成设计周期延长、窝工损失及设计人增加的费用，由发包人承担。</w:t>
      </w:r>
    </w:p>
    <w:p w14:paraId="6BF2C302">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 xml:space="preserve">8.6 </w:t>
      </w:r>
      <w:r>
        <w:rPr>
          <w:rFonts w:hint="eastAsia" w:asciiTheme="minorEastAsia" w:hAnsiTheme="minorEastAsia" w:eastAsiaTheme="minorEastAsia"/>
          <w:kern w:val="0"/>
          <w:sz w:val="24"/>
          <w:szCs w:val="24"/>
          <w:highlight w:val="none"/>
        </w:rPr>
        <w:t xml:space="preserve">因设计人原因造成工程设计文件不合格致使工程设计文件审查无法通过的，发包人有权要求设计人采取补救措施，直至达到合同要求的质量标准，并按第14.2款〔设计人违约责任〕的约定承担责任。 </w:t>
      </w:r>
    </w:p>
    <w:p w14:paraId="61F5066F">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因发包人原因造成工程设计文件不合格致使工程设计文件审查无法通过的，由此增加的设计费用和（或）延长的设计周期由发包人承担。</w:t>
      </w:r>
    </w:p>
    <w:p w14:paraId="653BA77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kern w:val="0"/>
          <w:sz w:val="24"/>
          <w:szCs w:val="24"/>
          <w:highlight w:val="none"/>
        </w:rPr>
        <w:t>8.7 工程设计文件的审查，不减轻或免除设计人依据法律应当承担的责任。</w:t>
      </w:r>
    </w:p>
    <w:p w14:paraId="3B05F33A">
      <w:pPr>
        <w:pStyle w:val="5"/>
        <w:spacing w:before="120" w:after="120" w:line="360" w:lineRule="auto"/>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9. 施工现场配合服务</w:t>
      </w:r>
    </w:p>
    <w:p w14:paraId="6ABEC425">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9.1 除专用合同条款另有约定外，发包人应为设计人派赴现场的工作人员提供工作、生活等方面的便利条件。</w:t>
      </w:r>
    </w:p>
    <w:p w14:paraId="660D30EC">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9.2 设计人应当提供设计技术交底、解决施工中设计技术问题和竣工验收服务。如果发包人在专用合同条款约定的施工现场服务时限外仍要求设计人负责上述工作的，发包人应按所需工作量向设计人另行支付服务费用。</w:t>
      </w:r>
    </w:p>
    <w:p w14:paraId="7EBBAF7A">
      <w:pPr>
        <w:pStyle w:val="5"/>
        <w:keepNext w:val="0"/>
        <w:keepLines w:val="0"/>
        <w:autoSpaceDE w:val="0"/>
        <w:autoSpaceDN w:val="0"/>
        <w:spacing w:before="120" w:after="120" w:line="360" w:lineRule="auto"/>
        <w:rPr>
          <w:rFonts w:asciiTheme="minorEastAsia" w:hAnsiTheme="minorEastAsia" w:eastAsiaTheme="minorEastAsia"/>
          <w:b w:val="0"/>
          <w:sz w:val="24"/>
          <w:szCs w:val="24"/>
          <w:highlight w:val="none"/>
        </w:rPr>
      </w:pPr>
      <w:bookmarkStart w:id="118" w:name="_Toc351203567"/>
      <w:r>
        <w:rPr>
          <w:rFonts w:hint="eastAsia" w:asciiTheme="minorEastAsia" w:hAnsiTheme="minorEastAsia" w:eastAsiaTheme="minorEastAsia"/>
          <w:b w:val="0"/>
          <w:sz w:val="24"/>
          <w:szCs w:val="24"/>
          <w:highlight w:val="none"/>
        </w:rPr>
        <w:t>10. 合同价款与支付</w:t>
      </w:r>
    </w:p>
    <w:p w14:paraId="2D4ACB97">
      <w:pPr>
        <w:pStyle w:val="6"/>
        <w:keepNext w:val="0"/>
        <w:keepLines w:val="0"/>
        <w:autoSpaceDE w:val="0"/>
        <w:autoSpaceDN w:val="0"/>
        <w:spacing w:before="120" w:after="120" w:line="360" w:lineRule="auto"/>
        <w:ind w:firstLine="480" w:firstLineChars="200"/>
        <w:rPr>
          <w:rFonts w:asciiTheme="minorEastAsia" w:hAnsiTheme="minorEastAsia" w:eastAsiaTheme="minorEastAsia"/>
          <w:b w:val="0"/>
          <w:bCs w:val="0"/>
          <w:kern w:val="0"/>
          <w:sz w:val="24"/>
          <w:szCs w:val="24"/>
          <w:highlight w:val="none"/>
        </w:rPr>
      </w:pPr>
      <w:r>
        <w:rPr>
          <w:rFonts w:hint="eastAsia" w:asciiTheme="minorEastAsia" w:hAnsiTheme="minorEastAsia" w:eastAsiaTheme="minorEastAsia"/>
          <w:b w:val="0"/>
          <w:sz w:val="24"/>
          <w:szCs w:val="24"/>
          <w:highlight w:val="none"/>
        </w:rPr>
        <w:t>10.1 合同价款组成</w:t>
      </w:r>
    </w:p>
    <w:p w14:paraId="6F11EB18">
      <w:pPr>
        <w:pStyle w:val="6"/>
        <w:keepNext w:val="0"/>
        <w:keepLines w:val="0"/>
        <w:spacing w:before="120" w:after="120" w:line="360" w:lineRule="auto"/>
        <w:ind w:firstLine="480" w:firstLineChars="200"/>
        <w:rPr>
          <w:rFonts w:asciiTheme="minorEastAsia" w:hAnsiTheme="minorEastAsia" w:eastAsiaTheme="minorEastAsia"/>
          <w:b w:val="0"/>
          <w:bCs w:val="0"/>
          <w:kern w:val="0"/>
          <w:sz w:val="24"/>
          <w:szCs w:val="24"/>
          <w:highlight w:val="none"/>
        </w:rPr>
      </w:pPr>
      <w:r>
        <w:rPr>
          <w:rFonts w:hint="eastAsia" w:asciiTheme="minorEastAsia" w:hAnsiTheme="minorEastAsia" w:eastAsiaTheme="minorEastAsia"/>
          <w:b w:val="0"/>
          <w:bCs w:val="0"/>
          <w:kern w:val="0"/>
          <w:sz w:val="24"/>
          <w:szCs w:val="24"/>
          <w:highlight w:val="none"/>
        </w:rPr>
        <w:t>发包人和设计人应当在专用合同条款中明确约定合同价款各组成部分的具体数额，主要包括：</w:t>
      </w:r>
    </w:p>
    <w:p w14:paraId="6DA3D2BA">
      <w:pPr>
        <w:pStyle w:val="6"/>
        <w:keepNext w:val="0"/>
        <w:keepLines w:val="0"/>
        <w:autoSpaceDE w:val="0"/>
        <w:autoSpaceDN w:val="0"/>
        <w:spacing w:before="120" w:after="120" w:line="360" w:lineRule="auto"/>
        <w:ind w:firstLine="480" w:firstLineChars="200"/>
        <w:rPr>
          <w:rFonts w:asciiTheme="minorEastAsia" w:hAnsiTheme="minorEastAsia" w:eastAsiaTheme="minorEastAsia"/>
          <w:b w:val="0"/>
          <w:bCs w:val="0"/>
          <w:kern w:val="0"/>
          <w:sz w:val="24"/>
          <w:szCs w:val="24"/>
          <w:highlight w:val="none"/>
        </w:rPr>
      </w:pPr>
      <w:r>
        <w:rPr>
          <w:rFonts w:hint="eastAsia" w:asciiTheme="minorEastAsia" w:hAnsiTheme="minorEastAsia" w:eastAsiaTheme="minorEastAsia"/>
          <w:b w:val="0"/>
          <w:bCs w:val="0"/>
          <w:kern w:val="0"/>
          <w:sz w:val="24"/>
          <w:szCs w:val="24"/>
          <w:highlight w:val="none"/>
        </w:rPr>
        <w:t>（1）工程设计基本服务费用；</w:t>
      </w:r>
    </w:p>
    <w:p w14:paraId="113A958A">
      <w:pPr>
        <w:pStyle w:val="6"/>
        <w:keepNext w:val="0"/>
        <w:keepLines w:val="0"/>
        <w:autoSpaceDE w:val="0"/>
        <w:autoSpaceDN w:val="0"/>
        <w:spacing w:before="120" w:after="120" w:line="360" w:lineRule="auto"/>
        <w:ind w:firstLine="480" w:firstLineChars="200"/>
        <w:rPr>
          <w:rFonts w:asciiTheme="minorEastAsia" w:hAnsiTheme="minorEastAsia" w:eastAsiaTheme="minorEastAsia"/>
          <w:b w:val="0"/>
          <w:bCs w:val="0"/>
          <w:kern w:val="0"/>
          <w:sz w:val="24"/>
          <w:szCs w:val="24"/>
          <w:highlight w:val="none"/>
        </w:rPr>
      </w:pPr>
      <w:r>
        <w:rPr>
          <w:rFonts w:hint="eastAsia" w:asciiTheme="minorEastAsia" w:hAnsiTheme="minorEastAsia" w:eastAsiaTheme="minorEastAsia"/>
          <w:b w:val="0"/>
          <w:bCs w:val="0"/>
          <w:kern w:val="0"/>
          <w:sz w:val="24"/>
          <w:szCs w:val="24"/>
          <w:highlight w:val="none"/>
        </w:rPr>
        <w:t>（2）工程设计其他服务费用；</w:t>
      </w:r>
    </w:p>
    <w:p w14:paraId="5C23B6EE">
      <w:pPr>
        <w:autoSpaceDE w:val="0"/>
        <w:autoSpaceDN w:val="0"/>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bCs/>
          <w:kern w:val="0"/>
          <w:sz w:val="24"/>
          <w:szCs w:val="24"/>
          <w:highlight w:val="none"/>
        </w:rPr>
        <w:t>（3）</w:t>
      </w:r>
      <w:r>
        <w:rPr>
          <w:rFonts w:hint="eastAsia" w:cs="Courier New" w:asciiTheme="minorEastAsia" w:hAnsiTheme="minorEastAsia" w:eastAsiaTheme="minorEastAsia"/>
          <w:kern w:val="0"/>
          <w:sz w:val="24"/>
          <w:szCs w:val="24"/>
          <w:highlight w:val="none"/>
        </w:rPr>
        <w:t>在未签订合同前发包人已经同意或接受或已经使用的设计人为发包人所做的各项工作的相应费用等。</w:t>
      </w:r>
    </w:p>
    <w:p w14:paraId="012ADC49">
      <w:pPr>
        <w:pStyle w:val="6"/>
        <w:keepNext w:val="0"/>
        <w:keepLines w:val="0"/>
        <w:autoSpaceDE w:val="0"/>
        <w:autoSpaceDN w:val="0"/>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10.2 合同价格形式</w:t>
      </w:r>
    </w:p>
    <w:p w14:paraId="2505EAB2">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 xml:space="preserve">发包人和设计人应在合同协议书中选择下列一种合同价格形式： </w:t>
      </w:r>
    </w:p>
    <w:p w14:paraId="30FE95B0">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（1）单价合同</w:t>
      </w:r>
    </w:p>
    <w:p w14:paraId="156A5D6E">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单价合同是指合同当事人约定以建筑面积（包括地上建筑面积和地下建筑面积）每平方米单价或实际投资总额的一定比例等进行合同价格计算、调整和确认的建设工程设计合同，</w:t>
      </w:r>
      <w:r>
        <w:rPr>
          <w:rFonts w:hint="eastAsia" w:asciiTheme="minorEastAsia" w:hAnsiTheme="minorEastAsia" w:eastAsiaTheme="minorEastAsia"/>
          <w:sz w:val="24"/>
          <w:szCs w:val="24"/>
          <w:highlight w:val="none"/>
        </w:rPr>
        <w:t>在约定的范围内合同单价不作调整</w:t>
      </w:r>
      <w:r>
        <w:rPr>
          <w:rFonts w:hint="eastAsia" w:asciiTheme="minorEastAsia" w:hAnsiTheme="minorEastAsia" w:eastAsiaTheme="minorEastAsia"/>
          <w:kern w:val="0"/>
          <w:sz w:val="24"/>
          <w:szCs w:val="24"/>
          <w:highlight w:val="none"/>
        </w:rPr>
        <w:t>。合同当事人应在专用合同条款中约定单价包含的风险范围和风险费用的计算方法</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kern w:val="0"/>
          <w:sz w:val="24"/>
          <w:szCs w:val="24"/>
          <w:highlight w:val="none"/>
        </w:rPr>
        <w:t>并约定风险范围以外的合同价格的调整方法。</w:t>
      </w:r>
    </w:p>
    <w:p w14:paraId="3DDA1A77">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（2）总价合同</w:t>
      </w:r>
    </w:p>
    <w:p w14:paraId="5D61EF02">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总价合同是指合同当事人约定以发包人提供的上一阶段工程设计文件及有关条件进行合同价格计算、调整和确认的建设工程设计合同，</w:t>
      </w:r>
      <w:r>
        <w:rPr>
          <w:rFonts w:hint="eastAsia" w:asciiTheme="minorEastAsia" w:hAnsiTheme="minorEastAsia" w:eastAsiaTheme="minorEastAsia"/>
          <w:sz w:val="24"/>
          <w:szCs w:val="24"/>
          <w:highlight w:val="none"/>
        </w:rPr>
        <w:t>在约定的范围内合同总价不作调整</w:t>
      </w:r>
      <w:r>
        <w:rPr>
          <w:rFonts w:hint="eastAsia" w:asciiTheme="minorEastAsia" w:hAnsiTheme="minorEastAsia" w:eastAsiaTheme="minorEastAsia"/>
          <w:kern w:val="0"/>
          <w:sz w:val="24"/>
          <w:szCs w:val="24"/>
          <w:highlight w:val="none"/>
        </w:rPr>
        <w:t>。合同当事人应在专用合同条款中约定总价包含的风险范围和风险费用的计算方法，并约定风险范围以外的合同价格的调整方法。</w:t>
      </w:r>
    </w:p>
    <w:p w14:paraId="7CD4D9CD">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（3）其它价格形式</w:t>
      </w:r>
    </w:p>
    <w:p w14:paraId="0F8CF3A1">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合同当事人可在专用合同条款中约定其他合同价格形式。</w:t>
      </w:r>
    </w:p>
    <w:p w14:paraId="2C372661">
      <w:pPr>
        <w:pStyle w:val="6"/>
        <w:keepNext w:val="0"/>
        <w:keepLines w:val="0"/>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10.3 定金或预付款</w:t>
      </w:r>
    </w:p>
    <w:p w14:paraId="2BC48FE9">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 xml:space="preserve">10.3.1 </w:t>
      </w:r>
      <w:r>
        <w:rPr>
          <w:rFonts w:hint="eastAsia" w:asciiTheme="minorEastAsia" w:hAnsiTheme="minorEastAsia" w:eastAsiaTheme="minorEastAsia"/>
          <w:kern w:val="0"/>
          <w:sz w:val="24"/>
          <w:szCs w:val="24"/>
          <w:highlight w:val="none"/>
        </w:rPr>
        <w:t>定金或预付款的比例</w:t>
      </w:r>
    </w:p>
    <w:p w14:paraId="70C0E917">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定金或预付款的比例不应超过合同总价款的10%。预付款的比例由发包人与设计人协商确定，一般不低于合同总价款的10%。</w:t>
      </w:r>
    </w:p>
    <w:p w14:paraId="22736C66">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10.3.2 定金或预付款的支付</w:t>
      </w:r>
    </w:p>
    <w:p w14:paraId="2FB3C738">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定金或预付款的支付按照专用合同条款约定执行，但最迟应在开始设计通知载明的开始设计日期前专用合同条款约定的期限内支付。</w:t>
      </w:r>
    </w:p>
    <w:p w14:paraId="7C38D599">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发包人逾期支付定金或预付款超过专用合同条款约定的期限的，设计人有权向发包人发出要求支付定金或预付款的催告通知，发包人收到通知后7天内仍未支付的，设计人有权不开始设计工作或暂停设计工作。</w:t>
      </w:r>
    </w:p>
    <w:p w14:paraId="1410C95E">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10.4 进度款支付</w:t>
      </w:r>
    </w:p>
    <w:p w14:paraId="12FBCB32">
      <w:pPr>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10.4.1 发包人应当按照专用合同条款约定的付款条件及时向设计人支付进度款。</w:t>
      </w:r>
    </w:p>
    <w:p w14:paraId="6B6A156B">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10.4.2 进度付款的修正</w:t>
      </w:r>
    </w:p>
    <w:p w14:paraId="6CF841D3">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在对已付进度款进行汇总和复核中发现错误、遗漏或重复的，发包人和设计人均有权提出修正申请。经发包人和设计人同意的修正，应在下期进度付款中支付或扣除。</w:t>
      </w:r>
    </w:p>
    <w:p w14:paraId="72900F55">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10.5 合同价款的结算与支付</w:t>
      </w:r>
    </w:p>
    <w:p w14:paraId="1B89C253">
      <w:pPr>
        <w:spacing w:line="360" w:lineRule="auto"/>
        <w:ind w:firstLine="480" w:firstLineChars="200"/>
        <w:rPr>
          <w:rFonts w:asciiTheme="minorEastAsia" w:hAnsiTheme="minorEastAsia" w:eastAsiaTheme="minorEastAsia"/>
          <w:bCs/>
          <w:kern w:val="0"/>
          <w:sz w:val="24"/>
          <w:szCs w:val="24"/>
          <w:highlight w:val="none"/>
        </w:rPr>
      </w:pPr>
      <w:r>
        <w:rPr>
          <w:rFonts w:hint="eastAsia" w:asciiTheme="minorEastAsia" w:hAnsiTheme="minorEastAsia" w:eastAsiaTheme="minorEastAsia"/>
          <w:bCs/>
          <w:kern w:val="0"/>
          <w:sz w:val="24"/>
          <w:szCs w:val="24"/>
          <w:highlight w:val="none"/>
        </w:rPr>
        <w:t>10.5.1 对于采取固定总价形式的合同，发包人应当按照专用合同条款约定及时支付尾款。</w:t>
      </w:r>
    </w:p>
    <w:p w14:paraId="394CA79C">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10.5.2 对于采取固定单价形式的合同，发包人与设计人应当按照专用合同条款约定的结算方式及时结清工程设计费，并将结清未支付的款项一次性支付给设计人。</w:t>
      </w:r>
    </w:p>
    <w:p w14:paraId="0F067BF4">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10.5.3 对于采取其他价格形式的，也应按专用合同条款的约定及时结算和支付。</w:t>
      </w:r>
    </w:p>
    <w:p w14:paraId="1D1851B2">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10.6 支付账户</w:t>
      </w:r>
    </w:p>
    <w:p w14:paraId="15857AE8">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发包人应将合同价款支付至合同协议书中约定的设计人账户。</w:t>
      </w:r>
    </w:p>
    <w:p w14:paraId="55ADB32B">
      <w:pPr>
        <w:pStyle w:val="5"/>
        <w:spacing w:before="120" w:after="120" w:line="360" w:lineRule="auto"/>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11. 工程设计变更与索赔</w:t>
      </w:r>
    </w:p>
    <w:p w14:paraId="35A437A0">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11.1 发包人变更工程设计的内容、规模、功能、条件等，应当向设计人提供书面要求，设计人在不违反法律规定以及技术标准强制性规定的前提下应当按照发包人要求变更工程设计。</w:t>
      </w:r>
    </w:p>
    <w:p w14:paraId="1AF01756">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 xml:space="preserve">11.2 </w:t>
      </w:r>
      <w:r>
        <w:rPr>
          <w:rFonts w:hint="eastAsia" w:cs="宋体" w:asciiTheme="minorEastAsia" w:hAnsiTheme="minorEastAsia" w:eastAsiaTheme="minorEastAsia"/>
          <w:kern w:val="0"/>
          <w:sz w:val="24"/>
          <w:szCs w:val="24"/>
          <w:highlight w:val="none"/>
        </w:rPr>
        <w:t>发包人变更工程设计的内容、规模、功能、条件或因提交的设计资料存在错误或作较大修改时，发包人应按设计人所耗工作量向设计人增付设计费，</w:t>
      </w:r>
      <w:r>
        <w:rPr>
          <w:rFonts w:hint="eastAsia" w:asciiTheme="minorEastAsia" w:hAnsiTheme="minorEastAsia" w:eastAsiaTheme="minorEastAsia"/>
          <w:kern w:val="0"/>
          <w:sz w:val="24"/>
          <w:szCs w:val="24"/>
          <w:highlight w:val="none"/>
        </w:rPr>
        <w:t>设计人可按本条约定和专用合同条款的约定，与发包人协商对合同价格和/或完工时间做可共同接受的修改。</w:t>
      </w:r>
    </w:p>
    <w:p w14:paraId="27EA54DC">
      <w:pPr>
        <w:spacing w:line="360" w:lineRule="auto"/>
        <w:ind w:firstLine="480" w:firstLineChars="200"/>
        <w:rPr>
          <w:rFonts w:cs="宋体"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 xml:space="preserve">11.3 </w:t>
      </w:r>
      <w:r>
        <w:rPr>
          <w:rFonts w:hint="eastAsia" w:asciiTheme="minorEastAsia" w:hAnsiTheme="minorEastAsia" w:eastAsiaTheme="minorEastAsia"/>
          <w:sz w:val="24"/>
          <w:szCs w:val="24"/>
          <w:highlight w:val="none"/>
        </w:rPr>
        <w:t>如果由于发包人要求更改而造成的项目复杂性的变更或性质的变更使得设计人的设计工作减少，发包人</w:t>
      </w:r>
      <w:r>
        <w:rPr>
          <w:rFonts w:hint="eastAsia" w:asciiTheme="minorEastAsia" w:hAnsiTheme="minorEastAsia" w:eastAsiaTheme="minorEastAsia"/>
          <w:kern w:val="0"/>
          <w:sz w:val="24"/>
          <w:szCs w:val="24"/>
          <w:highlight w:val="none"/>
        </w:rPr>
        <w:t>可按本条约定和专用合同条款的约定，与设计人协商对合同价格和/或完工时间做可共同接受的修改。</w:t>
      </w:r>
    </w:p>
    <w:p w14:paraId="07693F68">
      <w:pPr>
        <w:spacing w:line="360" w:lineRule="auto"/>
        <w:ind w:firstLine="480" w:firstLineChars="200"/>
        <w:rPr>
          <w:rFonts w:cs="宋体"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11.4 基准日期后，与工程设计服务有关的法律、技术标准的强制性规定的颁布及修改，由此增加的设计费用和（或）延长的设计周期由发包人承担。</w:t>
      </w:r>
    </w:p>
    <w:p w14:paraId="1B293588">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11.5 如果发生设计人认为有理由提出增加合同价款或延长设计周期的要求事项，除专用合同条款对期限另有约定外，设计人应于该事项发生后5天内书面通知发包人。除专用合同条款对期限另有约定外，在该事项发生后10天内，设计人应向发包人提供证明设计人要求的书面声明，其中包括设计人关于因该事项引起的合同价款和设计周期的变化的详细计算。除专用合同条款对期限另有约定外，发包人应在接到设计人书面声明后的5天内，予以书面答复。逾期未答复的，视为发包人同意设计人关于增加合同价款或延长设计周期的要求。</w:t>
      </w:r>
    </w:p>
    <w:p w14:paraId="535A8BC8">
      <w:pPr>
        <w:pStyle w:val="5"/>
        <w:spacing w:before="120" w:after="120" w:line="360" w:lineRule="auto"/>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12. 专业责任与保险</w:t>
      </w:r>
    </w:p>
    <w:p w14:paraId="244B1F3D">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12.1 设计人应运用一切合理的专业技术和经验知识，按照公认的职业标准尽其全部职责和谨慎、勤勉地履行其在本合同项下的责任和义务。</w:t>
      </w:r>
    </w:p>
    <w:p w14:paraId="3A436761">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12.2 除专用合同条款另有约定外，设计人应具有发包人认可的、履行本合同所需要的工程设计责任保险并使其于合同责任期内保持有效。</w:t>
      </w:r>
    </w:p>
    <w:p w14:paraId="171B8FF2">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12.3 工程设计责任保险应承担由于设计人的疏忽或过失而引发的工程质量事故所造成的建设工程本身的物质损失以及第三者人身伤亡、财产损失或费用的赔偿责任。</w:t>
      </w:r>
    </w:p>
    <w:p w14:paraId="10CA3F3B">
      <w:pPr>
        <w:pStyle w:val="5"/>
        <w:spacing w:before="120" w:after="120" w:line="360" w:lineRule="auto"/>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13. 知识产权</w:t>
      </w:r>
    </w:p>
    <w:p w14:paraId="51825DF3">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13.1 除专用合同条款另有约定外，发包人提供给设计人的图纸、发包人为实施工程自行编制或委托编制的技术规格书以及反映发包人要求的或其他类似性质的文件的著作权属于发包人，设计人可以为实现合同目的而复制、使用此类文件，但不能用于与合同无关的其他事项。未经发包人书面同意，设计人不得为了合同以外的目的而复制、使用上述文件或将之提供给任何第三方。</w:t>
      </w:r>
    </w:p>
    <w:p w14:paraId="630F9555">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13.2 除专用合同条款另有约定外，设计人为实施工程所编制的文件的著作权属于设计人，发包人可因实施工程的运行、调试、维修、改造等目的而复制、使用此类文件，但不能擅自修改或用于与合同无关的其他事项。未经设计人书面同意，发包人不得为了合同以外的目的而复制、使用上述文件或将之提供给任何第三方。</w:t>
      </w:r>
    </w:p>
    <w:p w14:paraId="6C68EBA4">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13.3 合同当事人保证在履行合同过程中不侵犯对方及第三方的知识产权。设计人在工程设计时，因侵犯他人的专利权或其他知识产权所引起的责任，由设计人承担；因发包人提供的工程设计资料导致侵权的，由发包人承担责任。</w:t>
      </w:r>
    </w:p>
    <w:p w14:paraId="0B2FBD73">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13.4 合同当事人双方均有权在不损害对方利益和保密约定的前提下，在自己宣传用的印刷品或其他出版物上，或申报奖项时等情形下公布有关项目的文字和图片材料。</w:t>
      </w:r>
    </w:p>
    <w:p w14:paraId="5FCD79BC">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13.5 除专用合同条款另有约定外，设计人在合同签订前和签订时已确定采用的专利、专有技术的使用费应包含在签约合同价中。</w:t>
      </w:r>
    </w:p>
    <w:bookmarkEnd w:id="116"/>
    <w:bookmarkEnd w:id="117"/>
    <w:bookmarkEnd w:id="118"/>
    <w:p w14:paraId="2B0ABB7D">
      <w:pPr>
        <w:pStyle w:val="5"/>
        <w:spacing w:before="120" w:after="120" w:line="360" w:lineRule="auto"/>
        <w:rPr>
          <w:rFonts w:asciiTheme="minorEastAsia" w:hAnsiTheme="minorEastAsia" w:eastAsiaTheme="minorEastAsia"/>
          <w:b w:val="0"/>
          <w:sz w:val="24"/>
          <w:szCs w:val="24"/>
          <w:highlight w:val="none"/>
        </w:rPr>
      </w:pPr>
      <w:bookmarkStart w:id="119" w:name="_Toc351203603"/>
      <w:bookmarkStart w:id="120" w:name="_Toc337558820"/>
      <w:r>
        <w:rPr>
          <w:rFonts w:hint="eastAsia" w:asciiTheme="minorEastAsia" w:hAnsiTheme="minorEastAsia" w:eastAsiaTheme="minorEastAsia"/>
          <w:b w:val="0"/>
          <w:sz w:val="24"/>
          <w:szCs w:val="24"/>
          <w:highlight w:val="none"/>
        </w:rPr>
        <w:t>14. 违约</w:t>
      </w:r>
      <w:bookmarkEnd w:id="119"/>
      <w:r>
        <w:rPr>
          <w:rFonts w:hint="eastAsia" w:asciiTheme="minorEastAsia" w:hAnsiTheme="minorEastAsia" w:eastAsiaTheme="minorEastAsia"/>
          <w:b w:val="0"/>
          <w:sz w:val="24"/>
          <w:szCs w:val="24"/>
          <w:highlight w:val="none"/>
        </w:rPr>
        <w:t>责任</w:t>
      </w:r>
    </w:p>
    <w:bookmarkEnd w:id="120"/>
    <w:p w14:paraId="79A60324">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121" w:name="_Toc296503129"/>
      <w:bookmarkStart w:id="122" w:name="_Toc296346630"/>
      <w:bookmarkStart w:id="123" w:name="_Toc351203604"/>
      <w:bookmarkStart w:id="124" w:name="_Toc337558821"/>
      <w:r>
        <w:rPr>
          <w:rFonts w:hint="eastAsia" w:asciiTheme="minorEastAsia" w:hAnsiTheme="minorEastAsia" w:eastAsiaTheme="minorEastAsia"/>
          <w:b w:val="0"/>
          <w:sz w:val="24"/>
          <w:szCs w:val="24"/>
          <w:highlight w:val="none"/>
        </w:rPr>
        <w:t>14.1 发</w:t>
      </w:r>
      <w:bookmarkEnd w:id="121"/>
      <w:bookmarkEnd w:id="122"/>
      <w:r>
        <w:rPr>
          <w:rFonts w:hint="eastAsia" w:asciiTheme="minorEastAsia" w:hAnsiTheme="minorEastAsia" w:eastAsiaTheme="minorEastAsia"/>
          <w:b w:val="0"/>
          <w:sz w:val="24"/>
          <w:szCs w:val="24"/>
          <w:highlight w:val="none"/>
        </w:rPr>
        <w:t>包人违约</w:t>
      </w:r>
      <w:bookmarkEnd w:id="123"/>
      <w:r>
        <w:rPr>
          <w:rFonts w:hint="eastAsia" w:asciiTheme="minorEastAsia" w:hAnsiTheme="minorEastAsia" w:eastAsiaTheme="minorEastAsia"/>
          <w:b w:val="0"/>
          <w:sz w:val="24"/>
          <w:szCs w:val="24"/>
          <w:highlight w:val="none"/>
        </w:rPr>
        <w:t>责任</w:t>
      </w:r>
    </w:p>
    <w:bookmarkEnd w:id="124"/>
    <w:p w14:paraId="18CCFD5C">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14.1.1 合同生效后，发包人因非设计人原因要求终止或解除合同，设计人未开始设计工作的，不退还发包人已付的定金或发包人按照专用合同条款的约定向设计人支付违约金；已开始设计工作的，发包人应按照设计人已完成的实际工作量计算设计费，完成工作量不足一半时，按该阶段设计费的一半支付设计费；超过一半时，按该阶段设计费的全部支付设计费。</w:t>
      </w:r>
    </w:p>
    <w:p w14:paraId="300ACC0B">
      <w:pPr>
        <w:spacing w:line="360" w:lineRule="auto"/>
        <w:ind w:firstLine="480" w:firstLineChars="200"/>
        <w:rPr>
          <w:rFonts w:asciiTheme="minorEastAsia" w:hAnsiTheme="minorEastAsia" w:eastAsiaTheme="minorEastAsia"/>
          <w:kern w:val="0"/>
          <w:sz w:val="24"/>
          <w:szCs w:val="24"/>
          <w:highlight w:val="none"/>
        </w:rPr>
      </w:pPr>
      <w:r>
        <w:rPr>
          <w:rFonts w:hint="eastAsia" w:cs="宋体" w:asciiTheme="minorEastAsia" w:hAnsiTheme="minorEastAsia" w:eastAsiaTheme="minorEastAsia"/>
          <w:kern w:val="0"/>
          <w:sz w:val="24"/>
          <w:szCs w:val="24"/>
          <w:highlight w:val="none"/>
        </w:rPr>
        <w:t xml:space="preserve">14.1.2 </w:t>
      </w:r>
      <w:r>
        <w:rPr>
          <w:rFonts w:hint="eastAsia" w:asciiTheme="minorEastAsia" w:hAnsiTheme="minorEastAsia" w:eastAsiaTheme="minorEastAsia"/>
          <w:kern w:val="0"/>
          <w:sz w:val="24"/>
          <w:szCs w:val="24"/>
          <w:highlight w:val="none"/>
        </w:rPr>
        <w:t>发包人未按专用合同条款约定的金额和期限向设计人支付设计费的，应按专用合同条款约定向设计人支付违约金。逾期超过15天时，设计人有权书面通知发包人中止设计工作。自中止设计工作之日起15天内发包人支付相应费用的，设计人应及时根据发包人要求恢复设计工作；自中止设计工作之日起超过15天后发包人支付相应费用的，设计人有权确定重新恢复设计工作的时间，且设计周期相应延长。</w:t>
      </w:r>
    </w:p>
    <w:p w14:paraId="463FE996">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14.1.3 发包人的上级或设计审批部门对设计文件不进行审批或本合同工程停建、缓建，发包人应在事件发生之日起15天内按本合同第16条</w:t>
      </w:r>
      <w:r>
        <w:rPr>
          <w:rFonts w:hint="eastAsia" w:asciiTheme="minorEastAsia" w:hAnsiTheme="minorEastAsia" w:eastAsiaTheme="minorEastAsia"/>
          <w:sz w:val="24"/>
          <w:szCs w:val="24"/>
          <w:highlight w:val="none"/>
        </w:rPr>
        <w:t>〔合同解除〕</w:t>
      </w:r>
      <w:r>
        <w:rPr>
          <w:rFonts w:hint="eastAsia" w:asciiTheme="minorEastAsia" w:hAnsiTheme="minorEastAsia" w:eastAsiaTheme="minorEastAsia"/>
          <w:kern w:val="0"/>
          <w:sz w:val="24"/>
          <w:szCs w:val="24"/>
          <w:highlight w:val="none"/>
        </w:rPr>
        <w:t>的约定向设计人结算并支付设计费。</w:t>
      </w:r>
    </w:p>
    <w:p w14:paraId="77062D32">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14.1.4 发包人擅自将设计人的设计文件用于本工程以外的工程或交第三方使用时，应承担相应法律责任，并应赔偿设计人因此遭受的损失。</w:t>
      </w:r>
    </w:p>
    <w:p w14:paraId="2FC6439F">
      <w:pPr>
        <w:pStyle w:val="6"/>
        <w:keepNext w:val="0"/>
        <w:keepLines w:val="0"/>
        <w:spacing w:before="120" w:after="120" w:line="360" w:lineRule="auto"/>
        <w:ind w:firstLine="480" w:firstLineChars="200"/>
        <w:rPr>
          <w:rFonts w:asciiTheme="minorEastAsia" w:hAnsiTheme="minorEastAsia" w:eastAsiaTheme="minorEastAsia"/>
          <w:b w:val="0"/>
          <w:sz w:val="24"/>
          <w:szCs w:val="24"/>
          <w:highlight w:val="none"/>
        </w:rPr>
      </w:pPr>
      <w:bookmarkStart w:id="125" w:name="_Toc351203605"/>
      <w:bookmarkStart w:id="126" w:name="_Toc296503131"/>
      <w:bookmarkStart w:id="127" w:name="_Toc337558822"/>
      <w:bookmarkStart w:id="128" w:name="_Toc296346632"/>
      <w:r>
        <w:rPr>
          <w:rFonts w:hint="eastAsia" w:asciiTheme="minorEastAsia" w:hAnsiTheme="minorEastAsia" w:eastAsiaTheme="minorEastAsia"/>
          <w:b w:val="0"/>
          <w:sz w:val="24"/>
          <w:szCs w:val="24"/>
          <w:highlight w:val="none"/>
        </w:rPr>
        <w:t>14.2 设计人违约</w:t>
      </w:r>
      <w:bookmarkEnd w:id="125"/>
      <w:r>
        <w:rPr>
          <w:rFonts w:hint="eastAsia" w:asciiTheme="minorEastAsia" w:hAnsiTheme="minorEastAsia" w:eastAsiaTheme="minorEastAsia"/>
          <w:b w:val="0"/>
          <w:sz w:val="24"/>
          <w:szCs w:val="24"/>
          <w:highlight w:val="none"/>
        </w:rPr>
        <w:t>责任</w:t>
      </w:r>
    </w:p>
    <w:bookmarkEnd w:id="126"/>
    <w:bookmarkEnd w:id="127"/>
    <w:bookmarkEnd w:id="128"/>
    <w:p w14:paraId="2FE27B53">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14.2.1 合同生效后，设计人因自身原因要求终止或解除合同，设计人应按发包人已支付的定金金额双倍返还给发包人或设计人按照专用合同条款约定向发包人支付违约金。</w:t>
      </w:r>
    </w:p>
    <w:p w14:paraId="689ABA04">
      <w:pPr>
        <w:spacing w:line="360" w:lineRule="auto"/>
        <w:ind w:firstLine="480" w:firstLineChars="200"/>
        <w:rPr>
          <w:rFonts w:cs="宋体"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14.2.2 由于设计人原因，未按专用合同条款附件3约定的时间交付工程设计文件的，应按专用合同条款的约定向发包人支付违约金，前述违约金经双方确认后可在发包人应付设计费中扣减。</w:t>
      </w:r>
    </w:p>
    <w:p w14:paraId="621B9B9F">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14.2.3 设计人对工程设计文件出现的遗漏或错误负责修改或补充。由于设计人原因产生的设计问题造成工程质量事故或其他事故时，设计人除负责采取补救措施外，应当通过所投建设工程设计责任保险向发包人承担赔偿责任或者根据直接经济损失程度按专用合同条款约定向发包人支付赔偿金。</w:t>
      </w:r>
    </w:p>
    <w:p w14:paraId="66CE7ABE">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14.2.4 由于设计人原因，工程设计文件超出发包人与设计人书面约定的主要技术指标控制值比例的，设计人应当按照专用合同条款的约定承担违约责任。</w:t>
      </w:r>
    </w:p>
    <w:p w14:paraId="34587146">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14.2.5 设计人未经发包人同意擅自对工程设计进行分包的，发包人有权要求设计人解除未经发包人同意的设计分包合同，设计人应当按照专用合同条款的约定承担违约责任。</w:t>
      </w:r>
    </w:p>
    <w:p w14:paraId="4E727181">
      <w:pPr>
        <w:pStyle w:val="5"/>
        <w:keepNext w:val="0"/>
        <w:keepLines w:val="0"/>
        <w:spacing w:before="120" w:after="120" w:line="360" w:lineRule="auto"/>
        <w:rPr>
          <w:rFonts w:asciiTheme="minorEastAsia" w:hAnsiTheme="minorEastAsia" w:eastAsiaTheme="minorEastAsia"/>
          <w:b w:val="0"/>
          <w:sz w:val="24"/>
          <w:szCs w:val="24"/>
          <w:highlight w:val="none"/>
        </w:rPr>
      </w:pPr>
      <w:bookmarkStart w:id="129" w:name="_Toc296503116"/>
      <w:bookmarkStart w:id="130" w:name="_Toc351203607"/>
      <w:bookmarkStart w:id="131" w:name="_Toc296346617"/>
      <w:bookmarkStart w:id="132" w:name="_Toc337558823"/>
      <w:r>
        <w:rPr>
          <w:rFonts w:hint="eastAsia" w:asciiTheme="minorEastAsia" w:hAnsiTheme="minorEastAsia" w:eastAsiaTheme="minorEastAsia"/>
          <w:b w:val="0"/>
          <w:sz w:val="24"/>
          <w:szCs w:val="24"/>
          <w:highlight w:val="none"/>
        </w:rPr>
        <w:t>15. 不可抗力</w:t>
      </w:r>
      <w:bookmarkEnd w:id="129"/>
      <w:bookmarkEnd w:id="130"/>
      <w:bookmarkEnd w:id="131"/>
      <w:bookmarkEnd w:id="132"/>
    </w:p>
    <w:p w14:paraId="0D2CC769">
      <w:pPr>
        <w:pStyle w:val="6"/>
        <w:keepNext w:val="0"/>
        <w:keepLines w:val="0"/>
        <w:spacing w:before="120" w:after="120" w:line="360" w:lineRule="auto"/>
        <w:ind w:firstLine="480" w:firstLineChars="200"/>
        <w:rPr>
          <w:rFonts w:asciiTheme="minorEastAsia" w:hAnsiTheme="minorEastAsia" w:eastAsiaTheme="minorEastAsia"/>
          <w:b w:val="0"/>
          <w:bCs w:val="0"/>
          <w:kern w:val="0"/>
          <w:sz w:val="24"/>
          <w:szCs w:val="24"/>
          <w:highlight w:val="none"/>
        </w:rPr>
      </w:pPr>
      <w:bookmarkStart w:id="133" w:name="_Toc351203608"/>
      <w:bookmarkStart w:id="134" w:name="_Toc296503117"/>
      <w:bookmarkStart w:id="135" w:name="_Toc296346618"/>
      <w:bookmarkStart w:id="136" w:name="_Toc337558824"/>
      <w:r>
        <w:rPr>
          <w:rFonts w:hint="eastAsia" w:asciiTheme="minorEastAsia" w:hAnsiTheme="minorEastAsia" w:eastAsiaTheme="minorEastAsia"/>
          <w:b w:val="0"/>
          <w:sz w:val="24"/>
          <w:szCs w:val="24"/>
          <w:highlight w:val="none"/>
        </w:rPr>
        <w:t>15.1 不可抗力的确认</w:t>
      </w:r>
      <w:bookmarkEnd w:id="133"/>
    </w:p>
    <w:bookmarkEnd w:id="134"/>
    <w:bookmarkEnd w:id="135"/>
    <w:bookmarkEnd w:id="136"/>
    <w:p w14:paraId="78143477">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4DAD5BCB">
      <w:pPr>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不可抗力发生后，发包人和设计人应收集证明不可抗力发生及不可抗力造成损失的证据，并及时认真统计所造成的损失。合同当事人对是否属于不可抗力或其损失发生争议时，按第17条〔争议解决〕的约定处理。</w:t>
      </w:r>
    </w:p>
    <w:p w14:paraId="0D1B25B3">
      <w:pPr>
        <w:pStyle w:val="6"/>
        <w:spacing w:before="120" w:after="120" w:line="360" w:lineRule="auto"/>
        <w:ind w:firstLine="480" w:firstLineChars="200"/>
        <w:rPr>
          <w:rFonts w:asciiTheme="minorEastAsia" w:hAnsiTheme="minorEastAsia" w:eastAsiaTheme="minorEastAsia"/>
          <w:b w:val="0"/>
          <w:bCs w:val="0"/>
          <w:kern w:val="0"/>
          <w:sz w:val="24"/>
          <w:szCs w:val="24"/>
          <w:highlight w:val="none"/>
        </w:rPr>
      </w:pPr>
      <w:bookmarkStart w:id="137" w:name="_Toc351203609"/>
      <w:bookmarkStart w:id="138" w:name="_Toc337558825"/>
      <w:bookmarkStart w:id="139" w:name="_Toc296346619"/>
      <w:bookmarkStart w:id="140" w:name="_Toc296503118"/>
      <w:r>
        <w:rPr>
          <w:rFonts w:hint="eastAsia" w:asciiTheme="minorEastAsia" w:hAnsiTheme="minorEastAsia" w:eastAsiaTheme="minorEastAsia"/>
          <w:b w:val="0"/>
          <w:sz w:val="24"/>
          <w:szCs w:val="24"/>
          <w:highlight w:val="none"/>
        </w:rPr>
        <w:t>15.2 不可抗力的通知</w:t>
      </w:r>
      <w:bookmarkEnd w:id="137"/>
    </w:p>
    <w:bookmarkEnd w:id="138"/>
    <w:bookmarkEnd w:id="139"/>
    <w:bookmarkEnd w:id="140"/>
    <w:p w14:paraId="5E5C061C">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合同一方当事人遇到不可抗力事件，使其履行合同义务受到阻碍时，应立即通知合同另一方当事人，书面说明不可抗力和受阻碍的详细情况，并在合理期限内提供必要的证明。</w:t>
      </w:r>
    </w:p>
    <w:p w14:paraId="663BC08B">
      <w:pPr>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不可抗力持续发生的，合同一方当事人应及时向合同另一方当事人提交中间报告，说明不可抗力和履行合同受阻的情况，并于不可抗力事件结束后28天内提交最终报告及有关资料。</w:t>
      </w:r>
    </w:p>
    <w:p w14:paraId="4F3A0E32">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141" w:name="_Toc351203610"/>
      <w:bookmarkStart w:id="142" w:name="_Toc296503119"/>
      <w:bookmarkStart w:id="143" w:name="_Toc337558826"/>
      <w:bookmarkStart w:id="144" w:name="_Toc296346620"/>
      <w:r>
        <w:rPr>
          <w:rFonts w:hint="eastAsia" w:asciiTheme="minorEastAsia" w:hAnsiTheme="minorEastAsia" w:eastAsiaTheme="minorEastAsia"/>
          <w:b w:val="0"/>
          <w:sz w:val="24"/>
          <w:szCs w:val="24"/>
          <w:highlight w:val="none"/>
        </w:rPr>
        <w:t>15.3 不可抗力后果的承担</w:t>
      </w:r>
      <w:bookmarkEnd w:id="141"/>
    </w:p>
    <w:bookmarkEnd w:id="142"/>
    <w:bookmarkEnd w:id="143"/>
    <w:bookmarkEnd w:id="144"/>
    <w:p w14:paraId="2CAD547B">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不可抗力引起的后果及造成的损失由合同当事人按照法律规定及合同约定各自承担。不可抗力发生前已完成的工程设计应当按照合同约定进行支付。</w:t>
      </w:r>
    </w:p>
    <w:p w14:paraId="33728095">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不可抗力发生后，合同当事人均应采取措施尽量避免和减少损失的扩大，任何一方当事人没有采取有效措施导致损失扩大的，应对扩大的损失承担责任。</w:t>
      </w:r>
    </w:p>
    <w:p w14:paraId="17E394B3">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因合同一方迟延履行合同义务，在迟延履行期间遭遇不可抗力的，不免除其违约责任。</w:t>
      </w:r>
    </w:p>
    <w:p w14:paraId="15A50814">
      <w:pPr>
        <w:pStyle w:val="5"/>
        <w:spacing w:before="120" w:after="120" w:line="360" w:lineRule="auto"/>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16. 合同解除</w:t>
      </w:r>
    </w:p>
    <w:p w14:paraId="1671FF20">
      <w:pPr>
        <w:spacing w:line="360" w:lineRule="auto"/>
        <w:ind w:firstLine="480" w:firstLineChars="200"/>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16.1 发包人与设计人协商一致，可以解除合同。</w:t>
      </w:r>
    </w:p>
    <w:p w14:paraId="7DD20BE2">
      <w:pPr>
        <w:spacing w:line="360" w:lineRule="auto"/>
        <w:ind w:firstLine="480" w:firstLineChars="200"/>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16.2 有下列情形之一的，合同当事人一方或双方可以解除合同：</w:t>
      </w:r>
    </w:p>
    <w:p w14:paraId="2F0C55EF">
      <w:pPr>
        <w:spacing w:line="360" w:lineRule="auto"/>
        <w:ind w:firstLine="480" w:firstLineChars="200"/>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（1）设计人工程设计文件存在重大质量问题，经发包人催告后,在合理期限内修改后仍不能满足国家现行深度要求或不能达到合同约定的设计质量要求的，发包人可以解除合同；</w:t>
      </w:r>
    </w:p>
    <w:p w14:paraId="01AE9E9F">
      <w:pPr>
        <w:spacing w:line="360" w:lineRule="auto"/>
        <w:ind w:firstLine="480" w:firstLineChars="200"/>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（2）发包人未按合同约定支付设计费用，经设计人催告后，在30天内仍未支付的，设计人可以解除合同；</w:t>
      </w:r>
    </w:p>
    <w:p w14:paraId="75D3B4A2">
      <w:pPr>
        <w:spacing w:line="360" w:lineRule="auto"/>
        <w:ind w:firstLine="480" w:firstLineChars="200"/>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（3）暂停设计期限已连续超过180天，专用合同条款另有约定的除外；</w:t>
      </w:r>
    </w:p>
    <w:p w14:paraId="7C2FEA5A">
      <w:pPr>
        <w:spacing w:line="360" w:lineRule="auto"/>
        <w:ind w:firstLine="480" w:firstLineChars="200"/>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（4）因不可抗力致使合同无法履行；</w:t>
      </w:r>
    </w:p>
    <w:p w14:paraId="41738DC1">
      <w:pPr>
        <w:spacing w:line="360" w:lineRule="auto"/>
        <w:ind w:firstLine="480" w:firstLineChars="200"/>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（5）因一方违约致使合同无法实际履行或实际履行已无必要；</w:t>
      </w:r>
    </w:p>
    <w:p w14:paraId="3CCCB117">
      <w:pPr>
        <w:spacing w:line="360" w:lineRule="auto"/>
        <w:ind w:firstLine="480" w:firstLineChars="200"/>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（6）因本工程项目条件发生重大变化，使合同无法继续履行。</w:t>
      </w:r>
    </w:p>
    <w:p w14:paraId="2C4DCA33">
      <w:pPr>
        <w:spacing w:line="360" w:lineRule="auto"/>
        <w:ind w:firstLine="480" w:firstLineChars="200"/>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16.3 任何一方因故需解除合同时，应提前30天书面通知对方，对合同中的遗留问题应取得一致意见并形成书面协议。</w:t>
      </w:r>
    </w:p>
    <w:p w14:paraId="4057C2C0">
      <w:pPr>
        <w:spacing w:line="360" w:lineRule="auto"/>
        <w:ind w:firstLine="480" w:firstLineChars="200"/>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16.4 合同解除后，发包人除应按第14.1.1项的约定及专用合同条款约定期限内向设计人支付已完工作的设计费外，应当向设计人支付由于非设计人原因合同解除导致设计人增加的设计费用，违约一方应当承担相应的违约责任。</w:t>
      </w:r>
    </w:p>
    <w:p w14:paraId="0907B25C">
      <w:pPr>
        <w:pStyle w:val="5"/>
        <w:keepNext w:val="0"/>
        <w:keepLines w:val="0"/>
        <w:spacing w:before="120" w:after="120" w:line="360" w:lineRule="auto"/>
        <w:rPr>
          <w:rFonts w:asciiTheme="minorEastAsia" w:hAnsiTheme="minorEastAsia" w:eastAsiaTheme="minorEastAsia"/>
          <w:b w:val="0"/>
          <w:sz w:val="24"/>
          <w:szCs w:val="24"/>
          <w:highlight w:val="none"/>
        </w:rPr>
      </w:pPr>
      <w:bookmarkStart w:id="145" w:name="_Toc351203626"/>
      <w:bookmarkStart w:id="146" w:name="_Toc296503146"/>
      <w:bookmarkStart w:id="147" w:name="_Toc337558840"/>
      <w:bookmarkStart w:id="148" w:name="_Toc296346647"/>
      <w:r>
        <w:rPr>
          <w:rFonts w:hint="eastAsia" w:asciiTheme="minorEastAsia" w:hAnsiTheme="minorEastAsia" w:eastAsiaTheme="minorEastAsia"/>
          <w:b w:val="0"/>
          <w:sz w:val="24"/>
          <w:szCs w:val="24"/>
          <w:highlight w:val="none"/>
        </w:rPr>
        <w:t>17. 争议解决</w:t>
      </w:r>
      <w:bookmarkEnd w:id="145"/>
    </w:p>
    <w:bookmarkEnd w:id="146"/>
    <w:bookmarkEnd w:id="147"/>
    <w:bookmarkEnd w:id="148"/>
    <w:p w14:paraId="4A777EC8">
      <w:pPr>
        <w:pStyle w:val="6"/>
        <w:keepNext w:val="0"/>
        <w:keepLines w:val="0"/>
        <w:spacing w:before="120" w:after="120" w:line="360" w:lineRule="auto"/>
        <w:ind w:firstLine="480" w:firstLineChars="200"/>
        <w:rPr>
          <w:rFonts w:asciiTheme="minorEastAsia" w:hAnsiTheme="minorEastAsia" w:eastAsiaTheme="minorEastAsia"/>
          <w:b w:val="0"/>
          <w:sz w:val="24"/>
          <w:szCs w:val="24"/>
          <w:highlight w:val="none"/>
        </w:rPr>
      </w:pPr>
      <w:bookmarkStart w:id="149" w:name="_Toc351203627"/>
      <w:bookmarkStart w:id="150" w:name="_Toc337558841"/>
      <w:bookmarkStart w:id="151" w:name="_Toc296346648"/>
      <w:bookmarkStart w:id="152" w:name="_Toc296503147"/>
      <w:r>
        <w:rPr>
          <w:rFonts w:hint="eastAsia" w:asciiTheme="minorEastAsia" w:hAnsiTheme="minorEastAsia" w:eastAsiaTheme="minorEastAsia"/>
          <w:b w:val="0"/>
          <w:sz w:val="24"/>
          <w:szCs w:val="24"/>
          <w:highlight w:val="none"/>
        </w:rPr>
        <w:t>17.1 和解</w:t>
      </w:r>
      <w:bookmarkEnd w:id="149"/>
    </w:p>
    <w:bookmarkEnd w:id="150"/>
    <w:bookmarkEnd w:id="151"/>
    <w:bookmarkEnd w:id="152"/>
    <w:p w14:paraId="2C73C34F">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合同当事人可以就争议自行和解，自行和解达成协议的经双方签字并盖章后作为合同补充文件，双方均应遵照执行。</w:t>
      </w:r>
    </w:p>
    <w:p w14:paraId="257743D6">
      <w:pPr>
        <w:spacing w:line="360" w:lineRule="auto"/>
        <w:ind w:firstLine="480" w:firstLineChars="200"/>
        <w:rPr>
          <w:rFonts w:asciiTheme="minorEastAsia" w:hAnsiTheme="minorEastAsia" w:eastAsiaTheme="minorEastAsia"/>
          <w:kern w:val="0"/>
          <w:sz w:val="24"/>
          <w:szCs w:val="24"/>
          <w:highlight w:val="none"/>
        </w:rPr>
      </w:pPr>
      <w:bookmarkStart w:id="153" w:name="_Toc351203628"/>
      <w:bookmarkStart w:id="154" w:name="_Toc337558842"/>
      <w:bookmarkStart w:id="155" w:name="_Toc296346649"/>
      <w:bookmarkStart w:id="156" w:name="_Toc296503148"/>
      <w:r>
        <w:rPr>
          <w:rFonts w:hint="eastAsia" w:asciiTheme="minorEastAsia" w:hAnsiTheme="minorEastAsia" w:eastAsiaTheme="minorEastAsia"/>
          <w:bCs/>
          <w:sz w:val="24"/>
          <w:szCs w:val="24"/>
          <w:highlight w:val="none"/>
        </w:rPr>
        <w:t>17.2 调解</w:t>
      </w:r>
      <w:bookmarkEnd w:id="153"/>
    </w:p>
    <w:bookmarkEnd w:id="154"/>
    <w:bookmarkEnd w:id="155"/>
    <w:bookmarkEnd w:id="156"/>
    <w:p w14:paraId="5C69A1AF">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合同当事人可以就争议请求相关行政主管部门、行业协会或其他第三方进行调解，调解达成协议的，经双方签字并盖章后作为合同补充文件，双方均应遵照执行。</w:t>
      </w:r>
    </w:p>
    <w:p w14:paraId="71FB0492">
      <w:pPr>
        <w:spacing w:line="360" w:lineRule="auto"/>
        <w:ind w:firstLine="480" w:firstLineChars="200"/>
        <w:rPr>
          <w:rFonts w:asciiTheme="minorEastAsia" w:hAnsiTheme="minorEastAsia" w:eastAsiaTheme="minorEastAsia"/>
          <w:kern w:val="0"/>
          <w:sz w:val="24"/>
          <w:szCs w:val="24"/>
          <w:highlight w:val="none"/>
        </w:rPr>
      </w:pPr>
      <w:bookmarkStart w:id="157" w:name="_Toc351203629"/>
      <w:bookmarkStart w:id="158" w:name="_Toc337558843"/>
      <w:bookmarkStart w:id="159" w:name="_Toc296346650"/>
      <w:bookmarkStart w:id="160" w:name="_Toc296503149"/>
      <w:r>
        <w:rPr>
          <w:rFonts w:hint="eastAsia" w:asciiTheme="minorEastAsia" w:hAnsiTheme="minorEastAsia" w:eastAsiaTheme="minorEastAsia"/>
          <w:bCs/>
          <w:sz w:val="24"/>
          <w:szCs w:val="24"/>
          <w:highlight w:val="none"/>
        </w:rPr>
        <w:t>17.3 争议评审</w:t>
      </w:r>
      <w:bookmarkEnd w:id="157"/>
    </w:p>
    <w:bookmarkEnd w:id="158"/>
    <w:bookmarkEnd w:id="159"/>
    <w:bookmarkEnd w:id="160"/>
    <w:p w14:paraId="2AD1C72F">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 xml:space="preserve">合同当事人在专用合同条款中约定采取争议评审方式解决争议以及评审规则，并按下列约定执行： </w:t>
      </w:r>
    </w:p>
    <w:p w14:paraId="03048260">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17.3.1 争议评审小组的确定</w:t>
      </w:r>
    </w:p>
    <w:p w14:paraId="516CDA1C">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合同当事人可以共同选择一名或三名争议评审员，组成争议评审小组。除专用合同条款另有约定外，合同当事人应当自合同签订后28天内，或者争议发生后14天内，选定争议评审员。</w:t>
      </w:r>
    </w:p>
    <w:p w14:paraId="13631B66">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50D778B">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除专用合同条款另有约定外，评审所发生的费用由发包人和设计人各承担一半。</w:t>
      </w:r>
    </w:p>
    <w:p w14:paraId="7B8276A8">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17.3.2 争议评审小组的决定</w:t>
      </w:r>
    </w:p>
    <w:p w14:paraId="7E2DFEB8">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合同当事人可在任何时间将与合同有关的任何争议共同提请争议评审小组进行评审。争议评审小组应秉持客观、公正原则，充分听取合同当事人的意见，依据相关法律、技术标准及行业惯例等，自收到争议评审申请报告后14天内作出书面决定，并说明理由。合同当事人可以在专用合同条款中对本事项另行约定。</w:t>
      </w:r>
    </w:p>
    <w:p w14:paraId="56D6F536">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17.3.3 争议评审小组决定的效力</w:t>
      </w:r>
    </w:p>
    <w:p w14:paraId="6C4896EC">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争议评审小组作出的书面决定经合同当事人签字确认后，对双方具有约束力，双方应遵照执行。</w:t>
      </w:r>
    </w:p>
    <w:p w14:paraId="169E0C3F">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任何一方当事人不接受争议评审小组决定或不履行争议评审小组决定的，双方可选择采用其他争议解决方式。</w:t>
      </w:r>
    </w:p>
    <w:p w14:paraId="509A7BB4">
      <w:pPr>
        <w:spacing w:line="360" w:lineRule="auto"/>
        <w:ind w:firstLine="480" w:firstLineChars="200"/>
        <w:rPr>
          <w:rFonts w:asciiTheme="minorEastAsia" w:hAnsiTheme="minorEastAsia" w:eastAsiaTheme="minorEastAsia"/>
          <w:kern w:val="0"/>
          <w:sz w:val="24"/>
          <w:szCs w:val="24"/>
          <w:highlight w:val="none"/>
        </w:rPr>
      </w:pPr>
      <w:bookmarkStart w:id="161" w:name="_Toc351203630"/>
      <w:bookmarkStart w:id="162" w:name="_Toc296346651"/>
      <w:bookmarkStart w:id="163" w:name="_Toc296503150"/>
      <w:bookmarkStart w:id="164" w:name="_Toc337558844"/>
      <w:r>
        <w:rPr>
          <w:rFonts w:hint="eastAsia" w:asciiTheme="minorEastAsia" w:hAnsiTheme="minorEastAsia" w:eastAsiaTheme="minorEastAsia"/>
          <w:bCs/>
          <w:sz w:val="24"/>
          <w:szCs w:val="24"/>
          <w:highlight w:val="none"/>
        </w:rPr>
        <w:t>17.4 仲裁或诉讼</w:t>
      </w:r>
      <w:bookmarkEnd w:id="161"/>
    </w:p>
    <w:bookmarkEnd w:id="162"/>
    <w:bookmarkEnd w:id="163"/>
    <w:bookmarkEnd w:id="164"/>
    <w:p w14:paraId="3CBD7BF0">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因合同及合同有关事项产生的争议，合同当事人可以在专用合同条款中约定以下一种方式解决争议：</w:t>
      </w:r>
    </w:p>
    <w:p w14:paraId="536D75CE">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（1）向约定的仲裁委员会申请仲裁；</w:t>
      </w:r>
    </w:p>
    <w:p w14:paraId="73872864">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（2）向有管辖权的人民法院起诉。</w:t>
      </w:r>
    </w:p>
    <w:p w14:paraId="4F8F0B6E">
      <w:pPr>
        <w:pStyle w:val="6"/>
        <w:spacing w:before="120" w:after="120" w:line="360" w:lineRule="auto"/>
        <w:ind w:firstLine="480" w:firstLineChars="200"/>
        <w:rPr>
          <w:rFonts w:asciiTheme="minorEastAsia" w:hAnsiTheme="minorEastAsia" w:eastAsiaTheme="minorEastAsia"/>
          <w:b w:val="0"/>
          <w:sz w:val="24"/>
          <w:szCs w:val="24"/>
          <w:highlight w:val="none"/>
        </w:rPr>
      </w:pPr>
      <w:bookmarkStart w:id="165" w:name="_Toc351203631"/>
      <w:bookmarkStart w:id="166" w:name="_Toc296346653"/>
      <w:bookmarkStart w:id="167" w:name="_Toc296503152"/>
      <w:bookmarkStart w:id="168" w:name="_Toc337558845"/>
      <w:r>
        <w:rPr>
          <w:rFonts w:hint="eastAsia" w:asciiTheme="minorEastAsia" w:hAnsiTheme="minorEastAsia" w:eastAsiaTheme="minorEastAsia"/>
          <w:b w:val="0"/>
          <w:sz w:val="24"/>
          <w:szCs w:val="24"/>
          <w:highlight w:val="none"/>
        </w:rPr>
        <w:t>17.5争议解决条款效力</w:t>
      </w:r>
      <w:bookmarkEnd w:id="165"/>
    </w:p>
    <w:bookmarkEnd w:id="166"/>
    <w:bookmarkEnd w:id="167"/>
    <w:bookmarkEnd w:id="168"/>
    <w:p w14:paraId="4134FB72">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 xml:space="preserve">合同有关争议解决的条款独立存在，合同的变更、解除、终止、无效或者被撤销均不影响其效力。 </w:t>
      </w:r>
    </w:p>
    <w:p w14:paraId="4BD12ACE">
      <w:pPr>
        <w:pStyle w:val="4"/>
        <w:spacing w:line="360" w:lineRule="auto"/>
        <w:jc w:val="center"/>
        <w:rPr>
          <w:rFonts w:asciiTheme="minorEastAsia" w:hAnsiTheme="minorEastAsia" w:eastAsiaTheme="minorEastAsia"/>
          <w:sz w:val="44"/>
          <w:szCs w:val="44"/>
          <w:highlight w:val="none"/>
        </w:rPr>
      </w:pPr>
      <w:bookmarkStart w:id="169" w:name="_Toc351203632"/>
      <w:r>
        <w:rPr>
          <w:rFonts w:hint="eastAsia" w:asciiTheme="minorEastAsia" w:hAnsiTheme="minorEastAsia" w:eastAsiaTheme="minorEastAsia"/>
          <w:sz w:val="44"/>
          <w:szCs w:val="44"/>
          <w:highlight w:val="none"/>
        </w:rPr>
        <w:br w:type="page"/>
      </w:r>
      <w:r>
        <w:rPr>
          <w:rFonts w:hint="eastAsia" w:asciiTheme="minorEastAsia" w:hAnsiTheme="minorEastAsia" w:eastAsiaTheme="minorEastAsia"/>
          <w:sz w:val="44"/>
          <w:szCs w:val="44"/>
          <w:highlight w:val="none"/>
        </w:rPr>
        <w:t>第三部分 专用合同条款</w:t>
      </w:r>
    </w:p>
    <w:p w14:paraId="403E000B">
      <w:pPr>
        <w:pStyle w:val="5"/>
        <w:spacing w:before="120" w:after="120" w:line="360" w:lineRule="auto"/>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 一般约定</w:t>
      </w:r>
    </w:p>
    <w:p w14:paraId="6C94DDCF">
      <w:pPr>
        <w:tabs>
          <w:tab w:val="center" w:pos="4710"/>
        </w:tabs>
        <w:spacing w:before="120"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1.1 词语定义与解释</w:t>
      </w:r>
    </w:p>
    <w:p w14:paraId="296DEE2C">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1.1.1 合同</w:t>
      </w:r>
    </w:p>
    <w:p w14:paraId="586C61B0">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kern w:val="0"/>
          <w:sz w:val="24"/>
          <w:szCs w:val="24"/>
          <w:highlight w:val="none"/>
        </w:rPr>
        <w:t>1.1.1.8 其他合同文件包括：</w:t>
      </w:r>
      <w:r>
        <w:rPr>
          <w:rFonts w:hint="eastAsia" w:asciiTheme="minorEastAsia" w:hAnsiTheme="minorEastAsia" w:eastAsiaTheme="minorEastAsia"/>
          <w:sz w:val="24"/>
          <w:szCs w:val="24"/>
          <w:highlight w:val="none"/>
          <w:u w:val="single"/>
        </w:rPr>
        <w:t xml:space="preserve">  发包人提供的该项目设计任务书、规划部门出具有规划审批意见及修建性详规   </w:t>
      </w:r>
      <w:r>
        <w:rPr>
          <w:rFonts w:hint="eastAsia" w:asciiTheme="minorEastAsia" w:hAnsiTheme="minorEastAsia" w:eastAsiaTheme="minorEastAsia"/>
          <w:sz w:val="24"/>
          <w:szCs w:val="24"/>
          <w:highlight w:val="none"/>
        </w:rPr>
        <w:t>。</w:t>
      </w:r>
    </w:p>
    <w:p w14:paraId="7ECDE1A9">
      <w:pPr>
        <w:spacing w:before="120"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1.3 法律 </w:t>
      </w:r>
    </w:p>
    <w:p w14:paraId="01614103">
      <w:pPr>
        <w:autoSpaceDE w:val="0"/>
        <w:autoSpaceDN w:val="0"/>
        <w:adjustRightInd w:val="0"/>
        <w:spacing w:line="360" w:lineRule="auto"/>
        <w:ind w:firstLine="595" w:firstLineChars="248"/>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适用于合同的其他规范性文件：</w:t>
      </w:r>
      <w:r>
        <w:rPr>
          <w:rFonts w:hint="eastAsia" w:asciiTheme="minorEastAsia" w:hAnsiTheme="minorEastAsia" w:eastAsiaTheme="minorEastAsia"/>
          <w:sz w:val="24"/>
          <w:szCs w:val="24"/>
          <w:highlight w:val="none"/>
          <w:u w:val="single"/>
        </w:rPr>
        <w:t>《中华人民共和国招标投标法》、《中华人民共和国合同法》、《中华人民共和国建筑法》。国家、广东省及</w:t>
      </w:r>
      <w:r>
        <w:rPr>
          <w:rFonts w:hint="eastAsia" w:asciiTheme="minorEastAsia" w:hAnsiTheme="minorEastAsia" w:eastAsiaTheme="minorEastAsia"/>
          <w:sz w:val="24"/>
          <w:szCs w:val="24"/>
          <w:highlight w:val="none"/>
          <w:u w:val="single"/>
          <w:lang w:val="en-US" w:eastAsia="zh-CN"/>
        </w:rPr>
        <w:t>广州</w:t>
      </w:r>
      <w:r>
        <w:rPr>
          <w:rFonts w:hint="eastAsia" w:asciiTheme="minorEastAsia" w:hAnsiTheme="minorEastAsia" w:eastAsiaTheme="minorEastAsia"/>
          <w:sz w:val="24"/>
          <w:szCs w:val="24"/>
          <w:highlight w:val="none"/>
          <w:u w:val="single"/>
        </w:rPr>
        <w:t xml:space="preserve">市有关建设工程勘察设计管理法规和规章，包括但不限于《建设工程勘察设计管理条例》、《建设工程质量管理条例》、《建设工程设计文件编制深度的规定(2016年版)》等  </w:t>
      </w:r>
      <w:r>
        <w:rPr>
          <w:rFonts w:hint="eastAsia" w:asciiTheme="minorEastAsia" w:hAnsiTheme="minorEastAsia" w:eastAsiaTheme="minorEastAsia"/>
          <w:sz w:val="24"/>
          <w:szCs w:val="24"/>
          <w:highlight w:val="none"/>
        </w:rPr>
        <w:t>。</w:t>
      </w:r>
    </w:p>
    <w:p w14:paraId="495B6C7C">
      <w:pPr>
        <w:spacing w:before="120"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1.4 技术标准</w:t>
      </w:r>
    </w:p>
    <w:p w14:paraId="5CAA26A9">
      <w:pPr>
        <w:spacing w:line="360" w:lineRule="auto"/>
        <w:ind w:firstLine="595" w:firstLineChars="248"/>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1.4.1 适用于工程的技术标准包括：</w:t>
      </w:r>
    </w:p>
    <w:p w14:paraId="305B3B90">
      <w:pPr>
        <w:spacing w:line="360" w:lineRule="auto"/>
        <w:ind w:firstLine="595" w:firstLineChars="248"/>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1）工程勘察技术要求：</w:t>
      </w:r>
      <w:r>
        <w:rPr>
          <w:rFonts w:hint="eastAsia" w:asciiTheme="minorEastAsia" w:hAnsiTheme="minorEastAsia" w:eastAsiaTheme="minorEastAsia"/>
          <w:sz w:val="24"/>
          <w:szCs w:val="24"/>
          <w:highlight w:val="none"/>
          <w:u w:val="single"/>
        </w:rPr>
        <w:t xml:space="preserve">按照《岩土工程勘察规范》（GB50021——2019）（2019版）、《高层建筑岩土工程勘察规程》JGJ72-2017中相关条文执行，查明拟建建筑物场地内各土岩层的分布范围及其工程特性，查明地下水埋藏条件及其对混凝土结构的腐蚀性，为工程设计、施工提供地质依据和合理建议  </w:t>
      </w:r>
      <w:r>
        <w:rPr>
          <w:rFonts w:hint="eastAsia" w:asciiTheme="minorEastAsia" w:hAnsiTheme="minorEastAsia" w:eastAsiaTheme="minorEastAsia"/>
          <w:sz w:val="24"/>
          <w:szCs w:val="24"/>
          <w:highlight w:val="none"/>
        </w:rPr>
        <w:t>。</w:t>
      </w:r>
    </w:p>
    <w:p w14:paraId="6AA1AFEB">
      <w:pPr>
        <w:spacing w:line="360" w:lineRule="auto"/>
        <w:ind w:firstLine="595" w:firstLineChars="248"/>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2）工程设计标准：需满足</w:t>
      </w:r>
      <w:r>
        <w:rPr>
          <w:rFonts w:hint="eastAsia" w:asciiTheme="minorEastAsia" w:hAnsiTheme="minorEastAsia" w:eastAsiaTheme="minorEastAsia"/>
          <w:sz w:val="24"/>
          <w:szCs w:val="24"/>
          <w:highlight w:val="none"/>
          <w:u w:val="single"/>
        </w:rPr>
        <w:t xml:space="preserve">《建设工程设计文件编制深度的规定(2016年版)》、《市政公用工程设计文件编制深度的规定(2013年版)》和相应设计阶段及其它国家现行规范要求  </w:t>
      </w:r>
      <w:r>
        <w:rPr>
          <w:rFonts w:hint="eastAsia" w:asciiTheme="minorEastAsia" w:hAnsiTheme="minorEastAsia" w:eastAsiaTheme="minorEastAsia"/>
          <w:sz w:val="24"/>
          <w:szCs w:val="24"/>
          <w:highlight w:val="none"/>
        </w:rPr>
        <w:t>。</w:t>
      </w:r>
    </w:p>
    <w:p w14:paraId="1B0D9F70">
      <w:pPr>
        <w:spacing w:line="360" w:lineRule="auto"/>
        <w:ind w:left="596" w:leftChars="284"/>
        <w:rPr>
          <w:rFonts w:asciiTheme="minorEastAsia" w:hAnsiTheme="minorEastAsia" w:eastAsiaTheme="minorEastAsia"/>
          <w:sz w:val="24"/>
          <w:szCs w:val="24"/>
          <w:highlight w:val="none"/>
        </w:rPr>
      </w:pPr>
    </w:p>
    <w:p w14:paraId="77C151B1">
      <w:pPr>
        <w:spacing w:line="360" w:lineRule="auto"/>
        <w:ind w:firstLine="566" w:firstLineChars="236"/>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1.4.2 国外技术标准原文版本和中文译本的提供方：</w:t>
      </w:r>
      <w:r>
        <w:rPr>
          <w:rFonts w:hint="eastAsia" w:asciiTheme="minorEastAsia" w:hAnsiTheme="minorEastAsia" w:eastAsiaTheme="minorEastAsia"/>
          <w:kern w:val="0"/>
          <w:sz w:val="24"/>
          <w:szCs w:val="24"/>
          <w:highlight w:val="none"/>
          <w:u w:val="single"/>
        </w:rPr>
        <w:t xml:space="preserve">  由</w:t>
      </w:r>
      <w:r>
        <w:rPr>
          <w:rFonts w:hint="eastAsia" w:asciiTheme="minorEastAsia" w:hAnsiTheme="minorEastAsia" w:eastAsiaTheme="minorEastAsia"/>
          <w:sz w:val="24"/>
          <w:szCs w:val="24"/>
          <w:highlight w:val="none"/>
          <w:u w:val="single"/>
        </w:rPr>
        <w:t xml:space="preserve">设计人提供  </w:t>
      </w:r>
      <w:r>
        <w:rPr>
          <w:rFonts w:hint="eastAsia" w:asciiTheme="minorEastAsia" w:hAnsiTheme="minorEastAsia" w:eastAsiaTheme="minorEastAsia"/>
          <w:sz w:val="24"/>
          <w:szCs w:val="24"/>
          <w:highlight w:val="none"/>
        </w:rPr>
        <w:t>；</w:t>
      </w:r>
    </w:p>
    <w:p w14:paraId="10675BBE">
      <w:pPr>
        <w:spacing w:line="360" w:lineRule="auto"/>
        <w:ind w:firstLine="480" w:firstLineChars="200"/>
        <w:rPr>
          <w:rFonts w:asciiTheme="minorEastAsia" w:hAnsiTheme="minorEastAsia" w:eastAsiaTheme="minorEastAsia"/>
          <w:kern w:val="0"/>
          <w:sz w:val="24"/>
          <w:szCs w:val="24"/>
          <w:highlight w:val="none"/>
          <w:u w:val="single"/>
        </w:rPr>
      </w:pPr>
      <w:r>
        <w:rPr>
          <w:rFonts w:hint="eastAsia" w:asciiTheme="minorEastAsia" w:hAnsiTheme="minorEastAsia" w:eastAsiaTheme="minorEastAsia"/>
          <w:kern w:val="0"/>
          <w:sz w:val="24"/>
          <w:szCs w:val="24"/>
          <w:highlight w:val="none"/>
        </w:rPr>
        <w:t>提供国外技术标准的名称：;</w:t>
      </w:r>
    </w:p>
    <w:p w14:paraId="07BC327E">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提供国外技术标准的份数：；</w:t>
      </w:r>
    </w:p>
    <w:p w14:paraId="6AEDC39E">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提供国外技术标准的时间：；</w:t>
      </w:r>
    </w:p>
    <w:p w14:paraId="77F281F1">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kern w:val="0"/>
          <w:sz w:val="24"/>
          <w:szCs w:val="24"/>
          <w:highlight w:val="none"/>
        </w:rPr>
        <w:t>提供国外技术标准的费用承担：</w:t>
      </w:r>
      <w:r>
        <w:rPr>
          <w:rFonts w:hint="eastAsia" w:asciiTheme="minorEastAsia" w:hAnsiTheme="minorEastAsia" w:eastAsiaTheme="minorEastAsia"/>
          <w:kern w:val="0"/>
          <w:sz w:val="24"/>
          <w:szCs w:val="24"/>
          <w:highlight w:val="none"/>
          <w:u w:val="single"/>
        </w:rPr>
        <w:t xml:space="preserve">  由</w:t>
      </w:r>
      <w:r>
        <w:rPr>
          <w:rFonts w:hint="eastAsia" w:asciiTheme="minorEastAsia" w:hAnsiTheme="minorEastAsia" w:eastAsiaTheme="minorEastAsia"/>
          <w:sz w:val="24"/>
          <w:szCs w:val="24"/>
          <w:highlight w:val="none"/>
          <w:u w:val="single"/>
        </w:rPr>
        <w:t xml:space="preserve">设计人承担  </w:t>
      </w:r>
      <w:r>
        <w:rPr>
          <w:rFonts w:hint="eastAsia" w:asciiTheme="minorEastAsia" w:hAnsiTheme="minorEastAsia" w:eastAsiaTheme="minorEastAsia"/>
          <w:kern w:val="0"/>
          <w:sz w:val="24"/>
          <w:szCs w:val="24"/>
          <w:highlight w:val="none"/>
        </w:rPr>
        <w:t>。</w:t>
      </w:r>
    </w:p>
    <w:p w14:paraId="63CFF38E">
      <w:pPr>
        <w:spacing w:line="360" w:lineRule="auto"/>
        <w:ind w:firstLine="566" w:firstLineChars="236"/>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1.4.3 发包人对工程的技术标准和功能要求的特殊要求：</w:t>
      </w:r>
      <w:r>
        <w:rPr>
          <w:rFonts w:hint="eastAsia" w:asciiTheme="minorEastAsia" w:hAnsiTheme="minorEastAsia" w:eastAsiaTheme="minorEastAsia"/>
          <w:sz w:val="24"/>
          <w:szCs w:val="24"/>
          <w:highlight w:val="none"/>
          <w:u w:val="single"/>
        </w:rPr>
        <w:t xml:space="preserve">本项目需进行 □绿化设计设计（  星），需满足工程报建及海绵城市的相关要求    </w:t>
      </w:r>
      <w:r>
        <w:rPr>
          <w:rFonts w:hint="eastAsia" w:asciiTheme="minorEastAsia" w:hAnsiTheme="minorEastAsia" w:eastAsiaTheme="minorEastAsia"/>
          <w:sz w:val="24"/>
          <w:szCs w:val="24"/>
          <w:highlight w:val="none"/>
        </w:rPr>
        <w:t>。</w:t>
      </w:r>
    </w:p>
    <w:p w14:paraId="1007D9CE">
      <w:pPr>
        <w:spacing w:before="120"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1.5 合同文件的优先顺序</w:t>
      </w:r>
    </w:p>
    <w:p w14:paraId="3348F879">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合同文件组成及优先顺序为：</w:t>
      </w:r>
    </w:p>
    <w:p w14:paraId="794EDEDA">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1、广东省、项目所在地政府及有关主管部门关于      工程的有关文件；</w:t>
      </w:r>
    </w:p>
    <w:p w14:paraId="151FBBD0">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2、合同实施期间双方签订的合同补充协议或修正文件；</w:t>
      </w:r>
    </w:p>
    <w:p w14:paraId="0295ACA2">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3、合同实施期间，发包人组织的专家研讨论证会的会议纪要或相关汇总文件；</w:t>
      </w:r>
    </w:p>
    <w:p w14:paraId="3E4757FD">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4、合同书（含附件）</w:t>
      </w:r>
    </w:p>
    <w:p w14:paraId="1A56F628">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5、设计方案中标通知书；</w:t>
      </w:r>
    </w:p>
    <w:p w14:paraId="4CD4F346">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6、设计招标文件及其附件；</w:t>
      </w:r>
    </w:p>
    <w:p w14:paraId="2C2E849B">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7、设计方案投标文件及其附件；</w:t>
      </w:r>
    </w:p>
    <w:p w14:paraId="163B6550">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8、发包人针对本项目工程建设而制订的各项管理制度；</w:t>
      </w:r>
    </w:p>
    <w:p w14:paraId="3FD8819D">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u w:val="single"/>
        </w:rPr>
        <w:t>9、组成合同的其他文件</w:t>
      </w:r>
      <w:r>
        <w:rPr>
          <w:rFonts w:hint="eastAsia" w:asciiTheme="minorEastAsia" w:hAnsiTheme="minorEastAsia" w:eastAsiaTheme="minorEastAsia"/>
          <w:sz w:val="24"/>
          <w:szCs w:val="24"/>
          <w:highlight w:val="none"/>
        </w:rPr>
        <w:t>。</w:t>
      </w:r>
    </w:p>
    <w:p w14:paraId="0446E8DF">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在合同履行过程中形成的与合同有关的文件均构成合同文件组成部份。</w:t>
      </w:r>
    </w:p>
    <w:p w14:paraId="5161513D">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上述各项合同文件包括合同当事人就该项合同文件所作出的补充和修改，属于同一类内容的文件，应以最新签署的为准。</w:t>
      </w:r>
    </w:p>
    <w:p w14:paraId="7A9B9672">
      <w:pPr>
        <w:spacing w:before="120"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1.6 联络</w:t>
      </w:r>
    </w:p>
    <w:p w14:paraId="07DB1822">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1.6.1 发包人和设计人应当在</w:t>
      </w:r>
      <w:r>
        <w:rPr>
          <w:rFonts w:hint="eastAsia" w:asciiTheme="minorEastAsia" w:hAnsiTheme="minorEastAsia" w:eastAsiaTheme="minorEastAsia"/>
          <w:sz w:val="24"/>
          <w:szCs w:val="24"/>
          <w:highlight w:val="none"/>
          <w:u w:val="single"/>
        </w:rPr>
        <w:t> 5   个日历天</w:t>
      </w:r>
      <w:r>
        <w:rPr>
          <w:rFonts w:hint="eastAsia" w:asciiTheme="minorEastAsia" w:hAnsiTheme="minorEastAsia" w:eastAsiaTheme="minorEastAsia"/>
          <w:kern w:val="0"/>
          <w:sz w:val="24"/>
          <w:szCs w:val="24"/>
          <w:highlight w:val="none"/>
        </w:rPr>
        <w:t>内将与合同有关的通知、批准、证明、证书、指示、指令、要求、请求、同意、确定和决定等书面函件送达对方当事人。</w:t>
      </w:r>
    </w:p>
    <w:p w14:paraId="0420504C">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1.6.2 发包人与设计人联系信息</w:t>
      </w:r>
    </w:p>
    <w:p w14:paraId="4C2FAE8C">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发包人接收文件的地点：</w:t>
      </w:r>
      <w:r>
        <w:rPr>
          <w:rFonts w:hint="eastAsia" w:asciiTheme="minorEastAsia" w:hAnsiTheme="minorEastAsia" w:eastAsiaTheme="minorEastAsia"/>
          <w:sz w:val="24"/>
          <w:szCs w:val="24"/>
          <w:highlight w:val="none"/>
          <w:u w:val="single"/>
        </w:rPr>
        <w:t xml:space="preserve">              </w:t>
      </w:r>
      <w:r>
        <w:rPr>
          <w:rFonts w:hint="eastAsia" w:asciiTheme="minorEastAsia" w:hAnsiTheme="minorEastAsia" w:eastAsiaTheme="minorEastAsia"/>
          <w:kern w:val="0"/>
          <w:sz w:val="24"/>
          <w:szCs w:val="24"/>
          <w:highlight w:val="none"/>
        </w:rPr>
        <w:t>；</w:t>
      </w:r>
    </w:p>
    <w:p w14:paraId="1AD61AE0">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kern w:val="0"/>
          <w:sz w:val="24"/>
          <w:szCs w:val="24"/>
          <w:highlight w:val="none"/>
        </w:rPr>
        <w:t>发包人指定的接收人为：</w:t>
      </w:r>
      <w:r>
        <w:rPr>
          <w:rFonts w:hint="eastAsia" w:asciiTheme="minorEastAsia" w:hAnsiTheme="minorEastAsia" w:eastAsiaTheme="minorEastAsia"/>
          <w:sz w:val="24"/>
          <w:szCs w:val="24"/>
          <w:highlight w:val="none"/>
          <w:u w:val="single"/>
        </w:rPr>
        <w:t xml:space="preserve">                  </w:t>
      </w:r>
      <w:r>
        <w:rPr>
          <w:rFonts w:hint="eastAsia" w:asciiTheme="minorEastAsia" w:hAnsiTheme="minorEastAsia" w:eastAsiaTheme="minorEastAsia"/>
          <w:sz w:val="24"/>
          <w:szCs w:val="24"/>
          <w:highlight w:val="none"/>
        </w:rPr>
        <w:t>；</w:t>
      </w:r>
    </w:p>
    <w:p w14:paraId="0BD73100">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发包人指定的联系电话及传真号码：</w:t>
      </w:r>
      <w:r>
        <w:rPr>
          <w:rFonts w:hint="eastAsia" w:asciiTheme="minorEastAsia" w:hAnsiTheme="minorEastAsia" w:eastAsiaTheme="minorEastAsia"/>
          <w:sz w:val="24"/>
          <w:szCs w:val="24"/>
          <w:highlight w:val="none"/>
          <w:u w:val="single"/>
        </w:rPr>
        <w:t xml:space="preserve">              </w:t>
      </w:r>
      <w:r>
        <w:rPr>
          <w:rFonts w:hint="eastAsia" w:asciiTheme="minorEastAsia" w:hAnsiTheme="minorEastAsia" w:eastAsiaTheme="minorEastAsia"/>
          <w:sz w:val="24"/>
          <w:szCs w:val="24"/>
          <w:highlight w:val="none"/>
        </w:rPr>
        <w:t>；</w:t>
      </w:r>
    </w:p>
    <w:p w14:paraId="419D372A">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发包人指定的电子邮箱：。</w:t>
      </w:r>
    </w:p>
    <w:p w14:paraId="7220E040">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设计人接收文件的地点：</w:t>
      </w:r>
      <w:r>
        <w:rPr>
          <w:rFonts w:hint="eastAsia" w:asciiTheme="minorEastAsia" w:hAnsiTheme="minorEastAsia" w:eastAsiaTheme="minorEastAsia"/>
          <w:sz w:val="24"/>
          <w:szCs w:val="24"/>
          <w:highlight w:val="none"/>
          <w:u w:val="single"/>
        </w:rPr>
        <w:t xml:space="preserve">                </w:t>
      </w:r>
      <w:r>
        <w:rPr>
          <w:rFonts w:hint="eastAsia" w:asciiTheme="minorEastAsia" w:hAnsiTheme="minorEastAsia" w:eastAsiaTheme="minorEastAsia"/>
          <w:kern w:val="0"/>
          <w:sz w:val="24"/>
          <w:szCs w:val="24"/>
          <w:highlight w:val="none"/>
        </w:rPr>
        <w:t>；</w:t>
      </w:r>
    </w:p>
    <w:p w14:paraId="13A61332">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kern w:val="0"/>
          <w:sz w:val="24"/>
          <w:szCs w:val="24"/>
          <w:highlight w:val="none"/>
        </w:rPr>
        <w:t>设计人指定的接收人为：</w:t>
      </w:r>
      <w:r>
        <w:rPr>
          <w:rFonts w:hint="eastAsia" w:asciiTheme="minorEastAsia" w:hAnsiTheme="minorEastAsia" w:eastAsiaTheme="minorEastAsia"/>
          <w:sz w:val="24"/>
          <w:szCs w:val="24"/>
          <w:highlight w:val="none"/>
          <w:u w:val="single"/>
        </w:rPr>
        <w:t xml:space="preserve">                </w:t>
      </w:r>
      <w:r>
        <w:rPr>
          <w:rFonts w:hint="eastAsia" w:asciiTheme="minorEastAsia" w:hAnsiTheme="minorEastAsia" w:eastAsiaTheme="minorEastAsia"/>
          <w:sz w:val="24"/>
          <w:szCs w:val="24"/>
          <w:highlight w:val="none"/>
        </w:rPr>
        <w:t>；</w:t>
      </w:r>
    </w:p>
    <w:p w14:paraId="2950C4C6">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设计人指定的联系电话及传真号码：</w:t>
      </w:r>
      <w:r>
        <w:rPr>
          <w:rFonts w:hint="eastAsia" w:asciiTheme="minorEastAsia" w:hAnsiTheme="minorEastAsia" w:eastAsiaTheme="minorEastAsia"/>
          <w:sz w:val="24"/>
          <w:szCs w:val="24"/>
          <w:highlight w:val="none"/>
          <w:u w:val="single"/>
        </w:rPr>
        <w:t xml:space="preserve">              </w:t>
      </w:r>
      <w:r>
        <w:rPr>
          <w:rFonts w:hint="eastAsia" w:asciiTheme="minorEastAsia" w:hAnsiTheme="minorEastAsia" w:eastAsiaTheme="minorEastAsia"/>
          <w:sz w:val="24"/>
          <w:szCs w:val="24"/>
          <w:highlight w:val="none"/>
        </w:rPr>
        <w:t>；</w:t>
      </w:r>
    </w:p>
    <w:p w14:paraId="56858FC7">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设计人</w:t>
      </w:r>
      <w:r>
        <w:rPr>
          <w:rFonts w:hint="eastAsia" w:asciiTheme="minorEastAsia" w:hAnsiTheme="minorEastAsia" w:eastAsiaTheme="minorEastAsia"/>
          <w:kern w:val="0"/>
          <w:sz w:val="24"/>
          <w:szCs w:val="24"/>
          <w:highlight w:val="none"/>
        </w:rPr>
        <w:t>指定的电子邮箱：。</w:t>
      </w:r>
    </w:p>
    <w:p w14:paraId="09F67E0A">
      <w:pPr>
        <w:spacing w:before="120"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1.7 严禁贿赂</w:t>
      </w:r>
    </w:p>
    <w:p w14:paraId="595EC11A">
      <w:pPr>
        <w:pStyle w:val="6"/>
        <w:spacing w:before="120" w:after="120" w:line="360" w:lineRule="auto"/>
        <w:ind w:firstLine="482"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详见件4：省代建工作人员十不准</w:t>
      </w:r>
    </w:p>
    <w:p w14:paraId="40159BE7">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1.8 保密</w:t>
      </w:r>
    </w:p>
    <w:p w14:paraId="60629091">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保密期限：</w:t>
      </w:r>
      <w:r>
        <w:rPr>
          <w:rFonts w:hint="eastAsia" w:asciiTheme="minorEastAsia" w:hAnsiTheme="minorEastAsia" w:eastAsiaTheme="minorEastAsia"/>
          <w:kern w:val="0"/>
          <w:sz w:val="24"/>
          <w:szCs w:val="24"/>
          <w:highlight w:val="none"/>
          <w:u w:val="single"/>
        </w:rPr>
        <w:t xml:space="preserve">长期，设计人的保密义务在本协议期满、解除或终止后仍然有效。   </w:t>
      </w:r>
      <w:r>
        <w:rPr>
          <w:rFonts w:hint="eastAsia" w:asciiTheme="minorEastAsia" w:hAnsiTheme="minorEastAsia" w:eastAsiaTheme="minorEastAsia"/>
          <w:kern w:val="0"/>
          <w:sz w:val="24"/>
          <w:szCs w:val="24"/>
          <w:highlight w:val="none"/>
        </w:rPr>
        <w:t>。</w:t>
      </w:r>
    </w:p>
    <w:p w14:paraId="1030E549">
      <w:pPr>
        <w:pStyle w:val="5"/>
        <w:spacing w:before="120" w:after="120" w:line="360" w:lineRule="auto"/>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2. 发包人</w:t>
      </w:r>
    </w:p>
    <w:p w14:paraId="45DCA086">
      <w:pPr>
        <w:spacing w:before="120"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2.1 发包人一般义务</w:t>
      </w:r>
    </w:p>
    <w:p w14:paraId="78759FA5">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2.1.3 发包人其他义务：</w:t>
      </w:r>
    </w:p>
    <w:p w14:paraId="4CFA8D56">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1）发包人按本合同规定的内容，在规定的时间内向设计人提交资料及文件，并对其完整性、正确性及时限负责，发包人不得要求设计人违反国家有关标准进行设计。</w:t>
      </w:r>
    </w:p>
    <w:p w14:paraId="2D415448">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2）发包人对设计人提出的付款申请复核无误后进行支付，并按合同指定银行将合同价款分别汇至设计人的账户。</w:t>
      </w:r>
    </w:p>
    <w:p w14:paraId="461364D5">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3）发包人负责组织按基本建设程序规定的外部评审及确认活动，并根据时间表的规定将必要的审批件交付设计人。</w:t>
      </w:r>
    </w:p>
    <w:p w14:paraId="5574D8FC">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4）发包人负责组织设计人、监理单位、施工单位进行施工前的工程设计技术交底（应由监理单位负责组织的活动除外）。发包人应为设计人派驻施工现场的代表及其它赴现场处理有关设计问题的各方工作人员提供必要的现场办公场地。</w:t>
      </w:r>
    </w:p>
    <w:p w14:paraId="2DEC92AB">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5）发包人驻场代表在发包人授权范围内向设计人发出的任何书面形式的函件，与发包人发出的函件具有同等效力。发包人驻场代表的指令、通知应由其本人签字后，以书面形式交给设计负责人或设计人驻场代表，设计负责人或设计人驻场代表应立即在回执上签署姓名和收到时间，指令、通知同时生效。</w:t>
      </w:r>
    </w:p>
    <w:p w14:paraId="57CA4EE0">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6）发包人驻场代表是发包人的履约代表，设计人发出的任何书面形式的文件经发包人驻场代表签收后即视为已送达发包人。</w:t>
      </w:r>
    </w:p>
    <w:p w14:paraId="642AAEED">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7）发包人参与设计人要求进行的设计协调会议，协助解决设计中出现的商务与技术问题。</w:t>
      </w:r>
    </w:p>
    <w:p w14:paraId="5D9347FD">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8）因发包人原因而造成项目建设内容、建设规模、建设标准发生变化，以致造成设计人设计返工时，发包人承担相应的义务。若发包人负责提供材料的，应根据设计人提出的工程用料计划，按时提供各种材料及其产品合格证明，派人与设计人员一起验收。</w:t>
      </w:r>
    </w:p>
    <w:p w14:paraId="70E80546">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u w:val="single"/>
        </w:rPr>
        <w:t xml:space="preserve">9）发包人及设计咨询（监理）单位在收到设计人有关设计问题及确认问题的函件后，应在5个工作日内给予书面答复 </w:t>
      </w:r>
      <w:r>
        <w:rPr>
          <w:rFonts w:hint="eastAsia" w:asciiTheme="minorEastAsia" w:hAnsiTheme="minorEastAsia" w:eastAsiaTheme="minorEastAsia"/>
          <w:sz w:val="24"/>
          <w:szCs w:val="24"/>
          <w:highlight w:val="none"/>
        </w:rPr>
        <w:t>。</w:t>
      </w:r>
    </w:p>
    <w:p w14:paraId="490697BB">
      <w:pPr>
        <w:spacing w:before="120"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2.2 发包人代表</w:t>
      </w:r>
    </w:p>
    <w:p w14:paraId="2D95984D">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按专用条款中“一般约定”中第1.6条规定。</w:t>
      </w:r>
    </w:p>
    <w:p w14:paraId="355FAADC">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发包人对项目负责人的授权范围如下：</w:t>
      </w:r>
      <w:r>
        <w:rPr>
          <w:rFonts w:hint="eastAsia" w:asciiTheme="minorEastAsia" w:hAnsiTheme="minorEastAsia" w:eastAsiaTheme="minorEastAsia"/>
          <w:sz w:val="24"/>
          <w:szCs w:val="24"/>
          <w:highlight w:val="none"/>
          <w:u w:val="single"/>
        </w:rPr>
        <w:t xml:space="preserve">代表发包人行使发包人的权利、责任和义务，在合同范围内沟通与协调发包人与各参建单位的关系，负责对参建单位各类往来文件的签署与确认。    </w:t>
      </w:r>
    </w:p>
    <w:p w14:paraId="2F24D34F">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发包人更换发包人代表的，应当提前</w:t>
      </w:r>
      <w:r>
        <w:rPr>
          <w:rFonts w:hint="eastAsia" w:asciiTheme="minorEastAsia" w:hAnsiTheme="minorEastAsia" w:eastAsiaTheme="minorEastAsia"/>
          <w:sz w:val="24"/>
          <w:szCs w:val="24"/>
          <w:highlight w:val="none"/>
          <w:u w:val="single"/>
        </w:rPr>
        <w:t xml:space="preserve">   5   </w:t>
      </w:r>
      <w:r>
        <w:rPr>
          <w:rFonts w:hint="eastAsia" w:asciiTheme="minorEastAsia" w:hAnsiTheme="minorEastAsia" w:eastAsiaTheme="minorEastAsia"/>
          <w:sz w:val="24"/>
          <w:szCs w:val="24"/>
          <w:highlight w:val="none"/>
        </w:rPr>
        <w:t>个日历天书面通知设计人。</w:t>
      </w:r>
    </w:p>
    <w:p w14:paraId="79078286">
      <w:pPr>
        <w:spacing w:before="120"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2.3 发包人决定</w:t>
      </w:r>
    </w:p>
    <w:p w14:paraId="489F7428">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2.3.2 发包人应在</w:t>
      </w:r>
      <w:r>
        <w:rPr>
          <w:rFonts w:hint="eastAsia" w:asciiTheme="minorEastAsia" w:hAnsiTheme="minorEastAsia" w:eastAsiaTheme="minorEastAsia"/>
          <w:sz w:val="24"/>
          <w:szCs w:val="24"/>
          <w:highlight w:val="none"/>
          <w:u w:val="single"/>
        </w:rPr>
        <w:t>5个日历天</w:t>
      </w:r>
      <w:r>
        <w:rPr>
          <w:rFonts w:hint="eastAsia" w:asciiTheme="minorEastAsia" w:hAnsiTheme="minorEastAsia" w:eastAsiaTheme="minorEastAsia"/>
          <w:sz w:val="24"/>
          <w:szCs w:val="24"/>
          <w:highlight w:val="none"/>
        </w:rPr>
        <w:t>内对设计人书面提出的事项作出书面决定。</w:t>
      </w:r>
    </w:p>
    <w:p w14:paraId="296B77B1">
      <w:pPr>
        <w:spacing w:before="120"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2.4 合同支付价款</w:t>
      </w:r>
    </w:p>
    <w:p w14:paraId="00E02CC1">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按专用条款中“合同价款与支付”中第10.4条规定。</w:t>
      </w:r>
    </w:p>
    <w:p w14:paraId="580B061C">
      <w:pPr>
        <w:pStyle w:val="5"/>
        <w:keepLines w:val="0"/>
        <w:spacing w:before="120" w:after="120" w:line="360" w:lineRule="auto"/>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3. 设计人</w:t>
      </w:r>
    </w:p>
    <w:p w14:paraId="1B688BA3">
      <w:pPr>
        <w:pStyle w:val="6"/>
        <w:keepLines w:val="0"/>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3.1 设计人一般义务</w:t>
      </w:r>
    </w:p>
    <w:p w14:paraId="6CAB102C">
      <w:pPr>
        <w:keepNext/>
        <w:spacing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3.1.1 设计人</w:t>
      </w:r>
      <w:r>
        <w:rPr>
          <w:rFonts w:hint="eastAsia" w:asciiTheme="minorEastAsia" w:hAnsiTheme="minorEastAsia" w:eastAsiaTheme="minorEastAsia"/>
          <w:sz w:val="24"/>
          <w:szCs w:val="24"/>
          <w:highlight w:val="none"/>
          <w:u w:val="single"/>
        </w:rPr>
        <w:t xml:space="preserve">   需    </w:t>
      </w:r>
      <w:r>
        <w:rPr>
          <w:rFonts w:hint="eastAsia" w:asciiTheme="minorEastAsia" w:hAnsiTheme="minorEastAsia" w:eastAsiaTheme="minorEastAsia"/>
          <w:sz w:val="24"/>
          <w:szCs w:val="24"/>
          <w:highlight w:val="none"/>
        </w:rPr>
        <w:t>（需/不需）</w:t>
      </w:r>
      <w:r>
        <w:rPr>
          <w:rFonts w:hint="eastAsia" w:asciiTheme="minorEastAsia" w:hAnsiTheme="minorEastAsia" w:eastAsiaTheme="minorEastAsia"/>
          <w:kern w:val="0"/>
          <w:sz w:val="24"/>
          <w:szCs w:val="24"/>
          <w:highlight w:val="none"/>
        </w:rPr>
        <w:t>配合发包人办理有关许可、批准或备案手续。</w:t>
      </w:r>
    </w:p>
    <w:p w14:paraId="0F6782F0">
      <w:pPr>
        <w:spacing w:after="120"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3.1.3 设计人其他义务：</w:t>
      </w:r>
    </w:p>
    <w:p w14:paraId="5F94A200">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设计人交付的成果必须符合本项目所在国家和地区颁发的法律法规、规范、规定、规程、标准、规划和要求，并符合立项文件及招标文件的规定，必须达到《建筑工程设计文件编制深度规定》（2016年版）的要求，设计人须按合同规定的内容、进度及份数向发包人交付质量合格的设计资料并对其负责。</w:t>
      </w:r>
    </w:p>
    <w:p w14:paraId="641FF9F2">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2）设计人交付的成果必须签署齐全，图文清楚，图面清晰，完整齐全。</w:t>
      </w:r>
    </w:p>
    <w:p w14:paraId="61DECBAE">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3）设计人提交给发包人的设计成果文件，必须经过有注册资格人员的验证和签名，加盖设计人出图专用章和注册章，必要时须在成果文件上标注专业负责人的身份号码，设计人必须对改造后的结构安全负全责。</w:t>
      </w:r>
    </w:p>
    <w:p w14:paraId="6997480D">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4）设计人应在各阶段施工开始前，按约定的设计分工，参与组织工程设计图纸技术交底活动，答复有关技术问题。</w:t>
      </w:r>
    </w:p>
    <w:p w14:paraId="77EEF199">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5）设计人应向发包人提供本项目涉及到的详细的设计规范、规定及标准，所需的国家或地方标准图，由发包人进行备案。</w:t>
      </w:r>
    </w:p>
    <w:p w14:paraId="37E56664">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6）设计人应配合发包人组织各阶段相关专业（课题）的专家研讨论证，配合发包人开展施工招标和设备、材料采购预询价、技术谈判及招标等工作。</w:t>
      </w:r>
    </w:p>
    <w:p w14:paraId="01219BA4">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7）设计人应积极配合设计咨询（监理）单位开展工作，提供必要的技术和经济资料。</w:t>
      </w:r>
    </w:p>
    <w:p w14:paraId="2A50C056">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8）设计人交付设计文件后，按规定参加有关的设计审查，并根据审查结论负责作必要调整补充。</w:t>
      </w:r>
    </w:p>
    <w:p w14:paraId="653F142E">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9）按发包人的要求完成各项目的工程报批手续所需的设计文件数据。</w:t>
      </w:r>
    </w:p>
    <w:p w14:paraId="363350BA">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10）设计人对于发包人提出的书面意见，应在3个工作日内给予书面答复。</w:t>
      </w:r>
    </w:p>
    <w:p w14:paraId="09740CD7">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11）在设计各阶段，设计人应根据发包人或政府主管部门的意见，5天内修改、完善设计，负责完成由于设计失误未获政府主管部门批准而出现的反复修改的工作。</w:t>
      </w:r>
    </w:p>
    <w:p w14:paraId="6529DEBF">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12）设计人应积极主动进行与项目有关的内、外协调工作，积极配合与规划、市政、交通等部门和单位的协调，保证设计文件通过主管部门的审查。</w:t>
      </w:r>
    </w:p>
    <w:p w14:paraId="3607BB0B">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13）设计人应接受发包人根据合同和进度计划进行的各种设计跟踪、工作检查和协调要求。</w:t>
      </w:r>
    </w:p>
    <w:p w14:paraId="65F48B8D">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14）设计人根据设计开展情况编制月工作汇报和下月进度计划，提供有关设计信息，协助发包人掌握设计工作的整体进展情况。发包人有权要求修改、调整进度计划并要求设计人执行。</w:t>
      </w:r>
    </w:p>
    <w:p w14:paraId="18564872">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15）设计人应按照发包人、设计勘察评标委员会、设计咨询（监理）单位、施工图审查机构及政府审查部门的评审意见修改工作或成果，进行设计深化、优化，不另行收费。</w:t>
      </w:r>
    </w:p>
    <w:p w14:paraId="6CA5ABC0">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16）施工阶段，设计人应对项目组人员进行适当调整、驻场专业设计人员，及时为施工现场提供服务。</w:t>
      </w:r>
    </w:p>
    <w:p w14:paraId="1821D09B">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17）设计人参加现场设计和服务管理的人员要求详见第九章《人员管理》。</w:t>
      </w:r>
    </w:p>
    <w:p w14:paraId="4774519A">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18）设计人应根据工程进展情况或发包人的要求，派出各专业人员向发包人及施工单位进行设计交底、处理有关设计问题、解决工程中涉及到的与设计有关问题和参加各类验收。设计人提供的现场服务，至工程竣工验收合格止。</w:t>
      </w:r>
    </w:p>
    <w:p w14:paraId="7F830CB3">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19）如果设计人由于自身原因未能在发包人规定的时间内完成，设计人支付误期赔偿费给发包人用于另行聘请设计人员。误期赔偿费按本合同违约责任相关约定处理。这些误期赔偿费不应解除设计人完成合同规定的其他责任、义务和职责。</w:t>
      </w:r>
    </w:p>
    <w:p w14:paraId="3CE71B3E">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20）设计项目组必须在发包人指定的办公地点集中办公，服从发包人统一管理。设计项目组办公场所房租、办公设备、交通设备以及设计人员住宿、餐饮等后勤服务均由设计人自行解决。</w:t>
      </w:r>
    </w:p>
    <w:p w14:paraId="3108FB47">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21） 考虑到该项目的重要性、特殊性、复杂性，发包人将设计人的人员落实、驻场人员的到位作为设计管理工作考核的重点。如设计人的人员投入、驻场工作的安排、落实，未能达到要求，设计人应当承担相应的违约责任。</w:t>
      </w:r>
    </w:p>
    <w:p w14:paraId="5DD38FB9">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22）发包人可以随时指示设计人暂停合同项目的全部或某一部分，在暂停期间，设计人应保护、保管并保证该项目不致产生任何损失和损害。如果设计人因暂停和复工而遭受延误和招致增加费用，设计人应向发包人发出通知。如果暂停是为弥补设计人的缺陷，则设计人无权得到延长期或费用。</w:t>
      </w:r>
    </w:p>
    <w:p w14:paraId="74F6C176">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23）设计项目的缺陷通知期限自工程竣工起计24个月。</w:t>
      </w:r>
    </w:p>
    <w:p w14:paraId="6D98CC04">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24）设计人所用工具、设备及车辆的安全问题，以及这些运输工具停泊在发包人处所、施工现场或沿着这些地方行驶时的安全事宜，概由设计人负责。其间若对上述发包人处所造成任何损失或损坏，设计人须向发包人作出赔偿。</w:t>
      </w:r>
    </w:p>
    <w:p w14:paraId="4A32AFDB">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25）发包人及其雇员或代理人对设计人或其雇员的受伤或死亡，以及任何财物蒙受损失或损坏无须负上任何法律责任，除非该伤亡事件是由发包人责任所致。</w:t>
      </w:r>
    </w:p>
    <w:p w14:paraId="5CAEB1EE">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26）由于设计人或其任何雇员责任，以致第三者蒙受损失、受伤及死亡，概由设计人负赔偿责任（因发包人或其任何雇员责任而引致的受伤或死亡除外）。</w:t>
      </w:r>
    </w:p>
    <w:p w14:paraId="15117FAC">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27）若因设计人或其任何雇员的责任，以致发包人或发包人的任何雇员受伤及死亡，以及财物蒙受损失或损坏，设计人必须对发包人作出赔偿。</w:t>
      </w:r>
    </w:p>
    <w:p w14:paraId="1F5837F4">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28）若发包人提出要求，设计人必须针对本合同规定索偿、诉求及责任，向一家发包人认可（即发包人不会无理拒绝认可）的保险公司投保。在合同期内，必须保持保单有效。设计人必须将保单连同已付保金的收据，在合同期内交由发包人代表保管。</w:t>
      </w:r>
    </w:p>
    <w:p w14:paraId="3E0D7ACA">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29）保险：为保障本合同的顺利履行，设计人应购买工程的建设工程勘察责任保险、建设工程设计责任保险，并按照法律法规的规定为其工作业人员购买工伤保险、人身意外伤害险和其他保险，确保咨询人员及工作人员在工作时间区域内如遭受意外伤害由商业保险进行理赔，不涉及至发包人；发包人不承担与此相关的任何费用及责任。合同签订后60日内，设计人须把购买的保险单报发包人备案，否则，发包人有权延期支付服务费。</w:t>
      </w:r>
    </w:p>
    <w:p w14:paraId="55028ADE">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工程设计责任保险应承担由于设计人设计工作的疏忽或过失而引发的工程质量事故所造成的建设工程本身的物质损失以及第三者人身伤亡、财产损失或费用的赔偿责任。</w:t>
      </w:r>
    </w:p>
    <w:p w14:paraId="74D7FBD9">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工程勘察责任保险应承担由于设计人勘察工作的疏忽或过失而引发的工程质量事故所造成的建设工程本身的物质损失以及第三者人身伤亡、财产损失或费用的赔偿责任。</w:t>
      </w:r>
    </w:p>
    <w:p w14:paraId="76914E5A">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30）当设计人被判破产，发包人可以随时循简易程序，书面通知设计人终止合同，设计人无权获得任何补偿。</w:t>
      </w:r>
    </w:p>
    <w:p w14:paraId="56C1AD0E">
      <w:pPr>
        <w:pStyle w:val="131"/>
        <w:ind w:firstLine="482"/>
        <w:rPr>
          <w:rFonts w:hint="eastAsia" w:ascii="宋体" w:hAnsi="宋体" w:eastAsia="宋体" w:cs="Times New Roman"/>
          <w:b w:val="0"/>
          <w:snapToGrid/>
          <w:color w:val="auto"/>
          <w:spacing w:val="0"/>
          <w:kern w:val="2"/>
          <w:highlight w:val="none"/>
          <w:u w:val="single"/>
        </w:rPr>
      </w:pPr>
      <w:r>
        <w:rPr>
          <w:rFonts w:hint="eastAsia" w:asciiTheme="minorEastAsia" w:hAnsiTheme="minorEastAsia" w:eastAsiaTheme="minorEastAsia"/>
          <w:color w:val="000000"/>
          <w:sz w:val="24"/>
          <w:szCs w:val="24"/>
          <w:highlight w:val="none"/>
          <w:u w:val="single"/>
        </w:rPr>
        <w:t>31）</w:t>
      </w:r>
      <w:r>
        <w:rPr>
          <w:rFonts w:hint="eastAsia" w:ascii="宋体" w:hAnsi="宋体" w:eastAsia="宋体" w:cs="Times New Roman"/>
          <w:b w:val="0"/>
          <w:snapToGrid/>
          <w:color w:val="auto"/>
          <w:spacing w:val="0"/>
          <w:kern w:val="2"/>
          <w:highlight w:val="none"/>
          <w:u w:val="single"/>
          <w:lang w:val="en-US" w:eastAsia="zh-CN"/>
        </w:rPr>
        <w:t>设计</w:t>
      </w:r>
      <w:r>
        <w:rPr>
          <w:rFonts w:hint="eastAsia" w:ascii="宋体" w:hAnsi="宋体" w:eastAsia="宋体" w:cs="Times New Roman"/>
          <w:b w:val="0"/>
          <w:snapToGrid/>
          <w:color w:val="auto"/>
          <w:spacing w:val="0"/>
          <w:kern w:val="2"/>
          <w:highlight w:val="none"/>
          <w:u w:val="single"/>
        </w:rPr>
        <w:t>人应在发出中标通知书 20 日内，向委托人提交由在中国注册的银行（或担保公司或保险机构）开出的担保金额为合同价款的 10％（即人民币      元）的《履约保函》原件。</w:t>
      </w:r>
    </w:p>
    <w:p w14:paraId="33880280">
      <w:pPr>
        <w:pStyle w:val="131"/>
        <w:ind w:firstLine="482"/>
        <w:rPr>
          <w:rFonts w:hint="eastAsia" w:ascii="宋体" w:hAnsi="宋体" w:eastAsia="宋体" w:cs="Times New Roman"/>
          <w:b w:val="0"/>
          <w:snapToGrid/>
          <w:color w:val="auto"/>
          <w:spacing w:val="0"/>
          <w:kern w:val="2"/>
          <w:highlight w:val="none"/>
          <w:u w:val="single"/>
        </w:rPr>
      </w:pPr>
      <w:r>
        <w:rPr>
          <w:rFonts w:hint="eastAsia" w:ascii="宋体" w:hAnsi="宋体" w:eastAsia="宋体" w:cs="Times New Roman"/>
          <w:b w:val="0"/>
          <w:snapToGrid/>
          <w:color w:val="auto"/>
          <w:spacing w:val="0"/>
          <w:kern w:val="2"/>
          <w:highlight w:val="none"/>
          <w:u w:val="single"/>
          <w:lang w:val="en-US" w:eastAsia="zh-CN"/>
        </w:rPr>
        <w:t>设计</w:t>
      </w:r>
      <w:r>
        <w:rPr>
          <w:rFonts w:hint="eastAsia" w:ascii="宋体" w:hAnsi="宋体" w:eastAsia="宋体" w:cs="Times New Roman"/>
          <w:b w:val="0"/>
          <w:snapToGrid/>
          <w:color w:val="auto"/>
          <w:spacing w:val="0"/>
          <w:kern w:val="2"/>
          <w:highlight w:val="none"/>
          <w:u w:val="single"/>
        </w:rPr>
        <w:t>人在收到中标通知书后 20天之内并在签订合同协议书之前，应向发包人提交履约担保。履约担保可以采用银行保函或担保公司或保险公司担保等形式，提交履约保函的具体要求应满足发包人要求，符合《省属代建项目履约保函管理办法》（粤代建办〔2024〕28号，以发包人最新文件为准），具体可由合同当事人在专用合同条款中约定。担保的正本由发包人保存，执行本条各项要求所需的费用由承包人承担。</w:t>
      </w:r>
    </w:p>
    <w:p w14:paraId="78797A07">
      <w:pPr>
        <w:pStyle w:val="131"/>
        <w:ind w:firstLine="482"/>
        <w:rPr>
          <w:rFonts w:hint="eastAsia" w:ascii="宋体" w:hAnsi="宋体" w:eastAsia="宋体" w:cs="Times New Roman"/>
          <w:snapToGrid/>
          <w:color w:val="auto"/>
          <w:spacing w:val="0"/>
          <w:kern w:val="2"/>
          <w:highlight w:val="none"/>
          <w:u w:val="single"/>
        </w:rPr>
      </w:pPr>
      <w:r>
        <w:rPr>
          <w:rFonts w:hint="eastAsia" w:ascii="宋体" w:hAnsi="宋体" w:eastAsia="宋体" w:cs="Times New Roman"/>
          <w:snapToGrid/>
          <w:color w:val="auto"/>
          <w:spacing w:val="0"/>
          <w:kern w:val="2"/>
          <w:highlight w:val="none"/>
          <w:u w:val="single"/>
          <w:lang w:val="en-US" w:eastAsia="zh-CN"/>
        </w:rPr>
        <w:t>设计人</w:t>
      </w:r>
      <w:r>
        <w:rPr>
          <w:rFonts w:hint="eastAsia" w:ascii="宋体" w:hAnsi="宋体" w:eastAsia="宋体" w:cs="Times New Roman"/>
          <w:snapToGrid/>
          <w:color w:val="auto"/>
          <w:spacing w:val="0"/>
          <w:kern w:val="2"/>
          <w:highlight w:val="none"/>
          <w:u w:val="single"/>
        </w:rPr>
        <w:t>需对其保函的有效、真实进行承诺。担保期限从提供履约担保之日起至工程竣工（联合）验收合格且缺陷责任期满之日止。履约保函到期但本项目未工程结算的，无论何种原因，投标人承诺无条件续保，如履约担保到期不提供续保则承担一般违约责任。</w:t>
      </w:r>
    </w:p>
    <w:p w14:paraId="547FDB05">
      <w:pPr>
        <w:pStyle w:val="131"/>
        <w:ind w:firstLine="482"/>
        <w:rPr>
          <w:rFonts w:hint="eastAsia" w:ascii="宋体" w:hAnsi="宋体" w:eastAsia="宋体" w:cs="Times New Roman"/>
          <w:snapToGrid/>
          <w:color w:val="auto"/>
          <w:spacing w:val="0"/>
          <w:kern w:val="2"/>
          <w:highlight w:val="none"/>
          <w:u w:val="single"/>
        </w:rPr>
      </w:pPr>
      <w:r>
        <w:rPr>
          <w:rFonts w:hint="eastAsia" w:ascii="宋体" w:hAnsi="宋体"/>
          <w:color w:val="auto"/>
          <w:spacing w:val="0"/>
          <w:highlight w:val="none"/>
          <w:lang w:val="en-US" w:eastAsia="zh-CN"/>
        </w:rPr>
        <w:t>设计</w:t>
      </w:r>
      <w:r>
        <w:rPr>
          <w:rFonts w:hint="eastAsia" w:ascii="宋体" w:hAnsi="宋体"/>
          <w:color w:val="auto"/>
          <w:spacing w:val="0"/>
          <w:highlight w:val="none"/>
        </w:rPr>
        <w:t>人不履行或不完全履行合同义务的行为导致委托人依据履约保函向担保机构索赔履约保函金额的一部分或者全部的，</w:t>
      </w:r>
      <w:r>
        <w:rPr>
          <w:rFonts w:hint="eastAsia" w:ascii="宋体" w:hAnsi="宋体"/>
          <w:color w:val="auto"/>
          <w:spacing w:val="0"/>
          <w:highlight w:val="none"/>
          <w:lang w:val="en-US" w:eastAsia="zh-CN"/>
        </w:rPr>
        <w:t>设计</w:t>
      </w:r>
      <w:r>
        <w:rPr>
          <w:rFonts w:hint="eastAsia" w:ascii="宋体" w:hAnsi="宋体"/>
          <w:color w:val="auto"/>
          <w:spacing w:val="0"/>
          <w:highlight w:val="none"/>
        </w:rPr>
        <w:t>人必须在委托人规定的时间内补充提交履约保函，使得本合同履行期间有效的履约保函金额等于</w:t>
      </w:r>
      <w:r>
        <w:rPr>
          <w:rFonts w:hint="eastAsia" w:ascii="宋体" w:hAnsi="宋体"/>
          <w:color w:val="auto"/>
          <w:spacing w:val="0"/>
          <w:highlight w:val="none"/>
          <w:lang w:val="en-US" w:eastAsia="zh-CN"/>
        </w:rPr>
        <w:t>设计</w:t>
      </w:r>
      <w:r>
        <w:rPr>
          <w:rFonts w:hint="eastAsia" w:ascii="宋体" w:hAnsi="宋体"/>
          <w:color w:val="auto"/>
          <w:spacing w:val="0"/>
          <w:highlight w:val="none"/>
        </w:rPr>
        <w:t>人第一次提交的履约保函金额。</w:t>
      </w:r>
    </w:p>
    <w:p w14:paraId="173A10CF">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32）设计人应委托经发包人认可的具有造价咨询（管理）专业资质单位编制本项目的估算书、初步设计概算、设计变更预算等；</w:t>
      </w:r>
    </w:p>
    <w:p w14:paraId="36B2E923">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33）设计人应提供初步设计与可行性研究报告、施工图与初步设计在建设规模、标准、内容等方面的符合性对比分析报告（含投资差异分析），确保施工图设计符合初步设计要求、初步设计符合可行性研究报告的要求。</w:t>
      </w:r>
    </w:p>
    <w:p w14:paraId="633DA0D6">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34）对发包人进行的审计或审计调查工作设计人应配合，并应根据意见和建议作出相应的调整。</w:t>
      </w:r>
    </w:p>
    <w:p w14:paraId="1BBB4A7C">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35）设计人同意遵守并执行发包人制订并颁布代建项目的相关管理办法。</w:t>
      </w:r>
    </w:p>
    <w:p w14:paraId="3815E580">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36）设计人须参与由发包人组织，使用单位、设计人、施工、监理单位组成固定资产交接小组，先进行项目实物移交，后进行档案资料移交。</w:t>
      </w:r>
    </w:p>
    <w:p w14:paraId="7AEBB65B">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37）设计人应按照发包人要求，对发包人的人员以及其他联合体成员（如有）进行BIM模型操作的培训。</w:t>
      </w:r>
    </w:p>
    <w:p w14:paraId="075DA832">
      <w:pPr>
        <w:spacing w:line="360" w:lineRule="auto"/>
        <w:ind w:firstLine="480" w:firstLineChars="200"/>
        <w:jc w:val="left"/>
        <w:rPr>
          <w:rFonts w:hint="eastAsia"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38）提供BIM技术的应用服务，包含且不限于核查初步设计和施工图设计、检查管线平衡设计、检查错漏碰缺、检查工程量清单编制、检查设计变更、检查竣工图编制，建立发包人与设计、监理、施工方协同工作模型，将此模型导入发包人委托的第三方平台“BIM协同管理平台”，建立运营维护模型，指导实际运行、维护管理工作。</w:t>
      </w:r>
    </w:p>
    <w:p w14:paraId="49A35B4E">
      <w:pPr>
        <w:spacing w:line="360" w:lineRule="auto"/>
        <w:ind w:firstLine="480" w:firstLineChars="200"/>
        <w:jc w:val="left"/>
        <w:rPr>
          <w:rFonts w:hint="eastAsia" w:cs="Times New Roman" w:asciiTheme="minorEastAsia" w:hAnsiTheme="minorEastAsia" w:eastAsiaTheme="minorEastAsia"/>
          <w:kern w:val="2"/>
          <w:sz w:val="24"/>
          <w:szCs w:val="24"/>
          <w:highlight w:val="none"/>
          <w:u w:val="single"/>
        </w:rPr>
      </w:pPr>
      <w:r>
        <w:rPr>
          <w:rFonts w:hint="eastAsia" w:asciiTheme="minorEastAsia" w:hAnsiTheme="minorEastAsia" w:eastAsiaTheme="minorEastAsia"/>
          <w:sz w:val="24"/>
          <w:szCs w:val="24"/>
          <w:highlight w:val="none"/>
          <w:u w:val="single"/>
        </w:rPr>
        <w:t>39）设计单位应在施工图纸会审前完成设计交底，进行设计交底时应提供签字盖章的书面设计交底记录（设计交底书），如交底过程中有调整交底内容须在3个工作日内完成签盖章并提供给各被交底单位，未完成的承担1次一般违约责任。</w:t>
      </w:r>
    </w:p>
    <w:p w14:paraId="71DC4F4C">
      <w:pPr>
        <w:spacing w:line="360" w:lineRule="auto"/>
        <w:ind w:firstLine="480" w:firstLineChars="200"/>
        <w:jc w:val="left"/>
        <w:rPr>
          <w:rFonts w:hint="default" w:ascii="宋体" w:hAnsi="宋体" w:eastAsia="宋体"/>
          <w:color w:val="auto"/>
          <w:sz w:val="24"/>
          <w:szCs w:val="24"/>
          <w:highlight w:val="none"/>
          <w:u w:val="single"/>
          <w:lang w:val="en-US" w:eastAsia="zh-CN"/>
        </w:rPr>
      </w:pPr>
      <w:r>
        <w:rPr>
          <w:rFonts w:hint="eastAsia" w:ascii="宋体" w:hAnsi="宋体" w:eastAsia="宋体"/>
          <w:color w:val="auto"/>
          <w:sz w:val="24"/>
          <w:szCs w:val="24"/>
          <w:highlight w:val="none"/>
          <w:u w:val="single"/>
          <w:lang w:val="en-US" w:eastAsia="zh-CN"/>
        </w:rPr>
        <w:t>40）对参建单位提出的图纸会审记录的答疑问题，设计单位须在5个工作日内完成答疑准备。图纸会审会议后，设计单位应在5个工作日内完成图纸会审记录签字盖章工作。未按时限完成的应承担违约责任。</w:t>
      </w:r>
    </w:p>
    <w:p w14:paraId="5F456F49">
      <w:pPr>
        <w:pStyle w:val="13"/>
        <w:spacing w:line="360" w:lineRule="auto"/>
        <w:rPr>
          <w:rFonts w:hint="eastAsia" w:asciiTheme="minorEastAsia" w:hAnsiTheme="minorEastAsia" w:eastAsiaTheme="minorEastAsia"/>
          <w:kern w:val="2"/>
          <w:sz w:val="24"/>
          <w:szCs w:val="24"/>
          <w:highlight w:val="none"/>
          <w:u w:val="single"/>
        </w:rPr>
      </w:pPr>
    </w:p>
    <w:p w14:paraId="630419B0">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3.2 项目负责人</w:t>
      </w:r>
    </w:p>
    <w:p w14:paraId="076198FE">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kern w:val="0"/>
          <w:sz w:val="24"/>
          <w:szCs w:val="24"/>
          <w:highlight w:val="none"/>
        </w:rPr>
        <w:t xml:space="preserve">3.2.1 </w:t>
      </w:r>
      <w:r>
        <w:rPr>
          <w:rFonts w:hint="eastAsia" w:asciiTheme="minorEastAsia" w:hAnsiTheme="minorEastAsia" w:eastAsiaTheme="minorEastAsia"/>
          <w:sz w:val="24"/>
          <w:szCs w:val="24"/>
          <w:highlight w:val="none"/>
        </w:rPr>
        <w:t>项目负责人</w:t>
      </w:r>
    </w:p>
    <w:p w14:paraId="6DBF97FC">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姓    名：</w:t>
      </w:r>
      <w:r>
        <w:rPr>
          <w:rFonts w:hint="eastAsia" w:asciiTheme="minorEastAsia" w:hAnsiTheme="minorEastAsia" w:eastAsiaTheme="minorEastAsia"/>
          <w:sz w:val="24"/>
          <w:szCs w:val="24"/>
          <w:highlight w:val="none"/>
          <w:u w:val="single"/>
        </w:rPr>
        <w:t xml:space="preserve">                </w:t>
      </w:r>
      <w:r>
        <w:rPr>
          <w:rFonts w:hint="eastAsia" w:asciiTheme="minorEastAsia" w:hAnsiTheme="minorEastAsia" w:eastAsiaTheme="minorEastAsia"/>
          <w:sz w:val="24"/>
          <w:szCs w:val="24"/>
          <w:highlight w:val="none"/>
        </w:rPr>
        <w:t>；</w:t>
      </w:r>
    </w:p>
    <w:p w14:paraId="101C31CE">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执业资格及等级：</w:t>
      </w:r>
      <w:r>
        <w:rPr>
          <w:rFonts w:hint="eastAsia" w:asciiTheme="minorEastAsia" w:hAnsiTheme="minorEastAsia" w:eastAsiaTheme="minorEastAsia"/>
          <w:sz w:val="24"/>
          <w:szCs w:val="24"/>
          <w:highlight w:val="none"/>
          <w:u w:val="single"/>
        </w:rPr>
        <w:t xml:space="preserve">              </w:t>
      </w:r>
      <w:r>
        <w:rPr>
          <w:rFonts w:hint="eastAsia" w:asciiTheme="minorEastAsia" w:hAnsiTheme="minorEastAsia" w:eastAsiaTheme="minorEastAsia"/>
          <w:sz w:val="24"/>
          <w:szCs w:val="24"/>
          <w:highlight w:val="none"/>
        </w:rPr>
        <w:t>；</w:t>
      </w:r>
    </w:p>
    <w:p w14:paraId="404FAD5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注册证书号：</w:t>
      </w:r>
      <w:r>
        <w:rPr>
          <w:rFonts w:hint="eastAsia" w:asciiTheme="minorEastAsia" w:hAnsiTheme="minorEastAsia" w:eastAsiaTheme="minorEastAsia"/>
          <w:sz w:val="24"/>
          <w:szCs w:val="24"/>
          <w:highlight w:val="none"/>
          <w:u w:val="single"/>
        </w:rPr>
        <w:t xml:space="preserve">               </w:t>
      </w:r>
      <w:r>
        <w:rPr>
          <w:rFonts w:hint="eastAsia" w:asciiTheme="minorEastAsia" w:hAnsiTheme="minorEastAsia" w:eastAsiaTheme="minorEastAsia"/>
          <w:sz w:val="24"/>
          <w:szCs w:val="24"/>
          <w:highlight w:val="none"/>
        </w:rPr>
        <w:t>；</w:t>
      </w:r>
    </w:p>
    <w:p w14:paraId="2DCD1F19">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联系电话：</w:t>
      </w:r>
      <w:r>
        <w:rPr>
          <w:rFonts w:hint="eastAsia" w:asciiTheme="minorEastAsia" w:hAnsiTheme="minorEastAsia" w:eastAsiaTheme="minorEastAsia"/>
          <w:sz w:val="24"/>
          <w:szCs w:val="24"/>
          <w:highlight w:val="none"/>
          <w:u w:val="single"/>
        </w:rPr>
        <w:t xml:space="preserve">                 </w:t>
      </w:r>
      <w:r>
        <w:rPr>
          <w:rFonts w:hint="eastAsia" w:asciiTheme="minorEastAsia" w:hAnsiTheme="minorEastAsia" w:eastAsiaTheme="minorEastAsia"/>
          <w:sz w:val="24"/>
          <w:szCs w:val="24"/>
          <w:highlight w:val="none"/>
        </w:rPr>
        <w:t>；</w:t>
      </w:r>
    </w:p>
    <w:p w14:paraId="76ADF35E">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电子信箱：</w:t>
      </w:r>
      <w:r>
        <w:rPr>
          <w:rFonts w:hint="eastAsia" w:asciiTheme="minorEastAsia" w:hAnsiTheme="minorEastAsia" w:eastAsiaTheme="minorEastAsia"/>
          <w:sz w:val="24"/>
          <w:szCs w:val="24"/>
          <w:highlight w:val="none"/>
          <w:u w:val="single"/>
        </w:rPr>
        <w:t xml:space="preserve">                 </w:t>
      </w:r>
      <w:r>
        <w:rPr>
          <w:rFonts w:hint="eastAsia" w:asciiTheme="minorEastAsia" w:hAnsiTheme="minorEastAsia" w:eastAsiaTheme="minorEastAsia"/>
          <w:sz w:val="24"/>
          <w:szCs w:val="24"/>
          <w:highlight w:val="none"/>
        </w:rPr>
        <w:t>；</w:t>
      </w:r>
    </w:p>
    <w:p w14:paraId="7FD363D4">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通信地址：</w:t>
      </w:r>
      <w:r>
        <w:rPr>
          <w:rFonts w:hint="eastAsia" w:asciiTheme="minorEastAsia" w:hAnsiTheme="minorEastAsia" w:eastAsiaTheme="minorEastAsia"/>
          <w:sz w:val="24"/>
          <w:szCs w:val="24"/>
          <w:highlight w:val="none"/>
          <w:u w:val="single"/>
        </w:rPr>
        <w:t xml:space="preserve">                 </w:t>
      </w:r>
      <w:r>
        <w:rPr>
          <w:rFonts w:hint="eastAsia" w:asciiTheme="minorEastAsia" w:hAnsiTheme="minorEastAsia" w:eastAsiaTheme="minorEastAsia"/>
          <w:sz w:val="24"/>
          <w:szCs w:val="24"/>
          <w:highlight w:val="none"/>
        </w:rPr>
        <w:t>；</w:t>
      </w:r>
    </w:p>
    <w:p w14:paraId="7B2647CF">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3.2.2 设计人更换项目负责人的，应提前</w:t>
      </w:r>
      <w:r>
        <w:rPr>
          <w:rFonts w:hint="eastAsia" w:asciiTheme="minorEastAsia" w:hAnsiTheme="minorEastAsia" w:eastAsiaTheme="minorEastAsia"/>
          <w:sz w:val="24"/>
          <w:szCs w:val="24"/>
          <w:highlight w:val="none"/>
          <w:u w:val="single"/>
        </w:rPr>
        <w:t xml:space="preserve"> 15  个日历天</w:t>
      </w:r>
      <w:r>
        <w:rPr>
          <w:rFonts w:hint="eastAsia" w:asciiTheme="minorEastAsia" w:hAnsiTheme="minorEastAsia" w:eastAsiaTheme="minorEastAsia"/>
          <w:sz w:val="24"/>
          <w:szCs w:val="24"/>
          <w:highlight w:val="none"/>
        </w:rPr>
        <w:t>书面通知发包人。</w:t>
      </w:r>
    </w:p>
    <w:p w14:paraId="08DC6A1D">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设计人擅自更换项目负责人的违约责任：</w:t>
      </w:r>
      <w:r>
        <w:rPr>
          <w:rFonts w:hint="eastAsia" w:asciiTheme="minorEastAsia" w:hAnsiTheme="minorEastAsia" w:eastAsiaTheme="minorEastAsia"/>
          <w:sz w:val="24"/>
          <w:szCs w:val="24"/>
          <w:highlight w:val="none"/>
          <w:u w:val="single"/>
        </w:rPr>
        <w:t>详见第14.1.4，4）② A）条及相关条款</w:t>
      </w:r>
      <w:r>
        <w:rPr>
          <w:rFonts w:hint="eastAsia" w:asciiTheme="minorEastAsia" w:hAnsiTheme="minorEastAsia" w:eastAsiaTheme="minorEastAsia"/>
          <w:sz w:val="24"/>
          <w:szCs w:val="24"/>
          <w:highlight w:val="none"/>
        </w:rPr>
        <w:t>。</w:t>
      </w:r>
    </w:p>
    <w:p w14:paraId="6CBF956D">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    3.2.3 设计人应在收到书面更换通知后</w:t>
      </w:r>
      <w:r>
        <w:rPr>
          <w:rFonts w:hint="eastAsia" w:asciiTheme="minorEastAsia" w:hAnsiTheme="minorEastAsia" w:eastAsiaTheme="minorEastAsia"/>
          <w:sz w:val="24"/>
          <w:szCs w:val="24"/>
          <w:highlight w:val="none"/>
          <w:u w:val="single"/>
        </w:rPr>
        <w:t xml:space="preserve">   5   个日历</w:t>
      </w:r>
      <w:r>
        <w:rPr>
          <w:rFonts w:hint="eastAsia" w:asciiTheme="minorEastAsia" w:hAnsiTheme="minorEastAsia" w:eastAsiaTheme="minorEastAsia"/>
          <w:sz w:val="24"/>
          <w:szCs w:val="24"/>
          <w:highlight w:val="none"/>
        </w:rPr>
        <w:t>天内更换项目负责人。</w:t>
      </w:r>
    </w:p>
    <w:p w14:paraId="38070AD5">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设计人无正当理由拒绝更换项目负责人的违约责任：</w:t>
      </w:r>
      <w:r>
        <w:rPr>
          <w:rFonts w:hint="eastAsia" w:asciiTheme="minorEastAsia" w:hAnsiTheme="minorEastAsia" w:eastAsiaTheme="minorEastAsia"/>
          <w:sz w:val="24"/>
          <w:szCs w:val="24"/>
          <w:highlight w:val="none"/>
          <w:u w:val="single"/>
        </w:rPr>
        <w:t xml:space="preserve">详见第14.1.4，4）② B）条及相关条款 </w:t>
      </w:r>
      <w:r>
        <w:rPr>
          <w:rFonts w:hint="eastAsia" w:asciiTheme="minorEastAsia" w:hAnsiTheme="minorEastAsia" w:eastAsiaTheme="minorEastAsia"/>
          <w:sz w:val="24"/>
          <w:szCs w:val="24"/>
          <w:highlight w:val="none"/>
        </w:rPr>
        <w:t>。</w:t>
      </w:r>
    </w:p>
    <w:p w14:paraId="654A1D27">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3.3 设计人人员</w:t>
      </w:r>
    </w:p>
    <w:p w14:paraId="2E077D38">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详见附件4：专业设计及驻场服务人员表</w:t>
      </w:r>
    </w:p>
    <w:p w14:paraId="321B0E05">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3.3.1 设计人提交项目管理机构及人员安排报告的期限</w:t>
      </w:r>
      <w:r>
        <w:rPr>
          <w:rFonts w:hint="eastAsia" w:asciiTheme="minorEastAsia" w:hAnsiTheme="minorEastAsia" w:eastAsiaTheme="minorEastAsia"/>
          <w:sz w:val="24"/>
          <w:szCs w:val="24"/>
          <w:highlight w:val="none"/>
          <w:u w:val="single"/>
        </w:rPr>
        <w:t xml:space="preserve">5个日历天 </w:t>
      </w:r>
      <w:r>
        <w:rPr>
          <w:rFonts w:hint="eastAsia" w:asciiTheme="minorEastAsia" w:hAnsiTheme="minorEastAsia" w:eastAsiaTheme="minorEastAsia"/>
          <w:sz w:val="24"/>
          <w:szCs w:val="24"/>
          <w:highlight w:val="none"/>
        </w:rPr>
        <w:t>。</w:t>
      </w:r>
    </w:p>
    <w:p w14:paraId="03061009">
      <w:pPr>
        <w:spacing w:line="360" w:lineRule="auto"/>
        <w:ind w:left="300" w:leftChars="143" w:firstLine="240" w:firstLineChars="1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3.3.4 对设计人人员的其它要求：</w:t>
      </w:r>
    </w:p>
    <w:p w14:paraId="2EB50E06">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专业设计人员和驻场服务人员必须根据本项目设计工作的进展情况，按照发包人的指令在发包人规定的时间和指定的场所集中设计和提供驻场服务，凡人员不到位或不完全到位的，设计单位应按本合同的约定承担违约责任。</w:t>
      </w:r>
    </w:p>
    <w:p w14:paraId="12CAB3EE">
      <w:pPr>
        <w:spacing w:line="360" w:lineRule="auto"/>
        <w:ind w:firstLine="42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highlight w:val="none"/>
          <w:lang w:eastAsia="zh-CN"/>
        </w:rPr>
        <w:t>☑</w:t>
      </w:r>
      <w:r>
        <w:rPr>
          <w:rFonts w:hint="eastAsia" w:asciiTheme="minorEastAsia" w:hAnsiTheme="minorEastAsia" w:eastAsiaTheme="minorEastAsia"/>
          <w:sz w:val="24"/>
          <w:szCs w:val="24"/>
          <w:highlight w:val="none"/>
          <w:u w:val="single"/>
        </w:rPr>
        <w:t>2）在本合同履行期间，设计人在明确分工各负其责的基础上，设计人承诺为本合同约定项目指定的项目负责人为投标的项目负责人。设计人保证驻场设计代表能够全权代表设计人，并向发包人出具相应的授权文件。合同履行期间不得更换项目负责人，如更换项目负责人必须经发包人批准。</w:t>
      </w:r>
    </w:p>
    <w:p w14:paraId="69C1AC0E">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3）设计人承诺为本合同约定项目指定的各专业设计负责人为中级或以上</w:t>
      </w:r>
      <w:r>
        <w:rPr>
          <w:rFonts w:hint="eastAsia" w:asciiTheme="minorEastAsia" w:hAnsiTheme="minorEastAsia" w:eastAsiaTheme="minorEastAsia"/>
          <w:sz w:val="24"/>
          <w:szCs w:val="24"/>
          <w:highlight w:val="none"/>
          <w:u w:val="single"/>
          <w:lang w:val="en-US" w:eastAsia="zh-CN"/>
        </w:rPr>
        <w:t>技术</w:t>
      </w:r>
      <w:r>
        <w:rPr>
          <w:rFonts w:hint="eastAsia" w:asciiTheme="minorEastAsia" w:hAnsiTheme="minorEastAsia" w:eastAsiaTheme="minorEastAsia"/>
          <w:sz w:val="24"/>
          <w:szCs w:val="24"/>
          <w:highlight w:val="none"/>
          <w:u w:val="single"/>
        </w:rPr>
        <w:t>职称。</w:t>
      </w:r>
    </w:p>
    <w:p w14:paraId="38F1AA38">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4）项目设计负责人、各专业设计负责人、驻场设计代表的经验、能力和健康状况应能胜任所承担任务的设计、组织、计划、协调工作。</w:t>
      </w:r>
    </w:p>
    <w:p w14:paraId="7F8A4461">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5） 设计人必须保证参与本合同约定项目设计人员的稳定性，在本合同履行期内，设计人在合同附件中承诺投入的人员原则上不得更换，确须更换的应事先征得发包人同意后方可撤回，并按本合同得有关约定承担违约责任。</w:t>
      </w:r>
    </w:p>
    <w:p w14:paraId="1145D7B1">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6）发包人认为项目设计负责人、各专业之间负责人、驻场设计代表不称职时，可向设计人发出书面更换人员通知，设计人应当在收到发包人的书面通知后5天内更换，更换人员的资历不得低于本合同相应条款对各类设计人员资历规定的要求，且更换人员须先经过发包人确认。若设计人对发包人要求更换人员有异议时，可申请复议一次，若经复议后发包人仍然要求更换，则设计人应无条件进行更换，否则视设计人该人员从发包人发出更换通知的时间开始擅自离岗。</w:t>
      </w:r>
    </w:p>
    <w:p w14:paraId="58656255">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7）设计人必须加强设计人员职业操守的教育，本合同约定项目设计人员需共同遵守设计人员职业道德守则，并严格遵守以下规定：</w:t>
      </w:r>
    </w:p>
    <w:p w14:paraId="135A2B57">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（1）严防重产值、轻质量倾向，确保公众人身及财产安全；</w:t>
      </w:r>
    </w:p>
    <w:p w14:paraId="366D7F81">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 禁止向发包人及施工单位推销材料、设备，或以倾向性、排他性设计变相推销；</w:t>
      </w:r>
    </w:p>
    <w:p w14:paraId="0DEA3B1E">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（3）禁止与材料、设备供应商串通，设计中选用价高质次的材料、设备；</w:t>
      </w:r>
    </w:p>
    <w:p w14:paraId="1EE4E587">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（4）禁止与材料、设备供应商串通，在材料、设备的监造或调试过程中对不合格材料、设备产品进行包庇或以次充好，提高产品验收级别；</w:t>
      </w:r>
    </w:p>
    <w:p w14:paraId="1B5F9146">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（5）禁止与施工单位串通，对不合格材料、设备、产品、工程进行包庇及验收；</w:t>
      </w:r>
    </w:p>
    <w:p w14:paraId="49D096B6">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（6）禁止与施工单位串通，对材料用量、工程量进行虚假签认；</w:t>
      </w:r>
    </w:p>
    <w:p w14:paraId="36096D7E">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（7）禁止与施工单位串通，不合理提高施工难度及增加材料用量，以增大施工费用，获取不正当收益。</w:t>
      </w:r>
    </w:p>
    <w:p w14:paraId="1EC04462">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8）凡违背以上规定者，一经查实，发包人有权向有关部门反映情况，追究设计人及有关责任人相关责任，要求赔偿相关损失。</w:t>
      </w:r>
    </w:p>
    <w:p w14:paraId="0172E087">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9) 项目设计负责人的姓名、职务、职责应在设计人设计人员架构表内明确。</w:t>
      </w:r>
    </w:p>
    <w:p w14:paraId="74E6E055">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10) 设计人依据合同发出的通知，以书面形式由项目设计负责人和设计负责人签字后送交发包人驻场代表，发包人驻场代表在回执上签署姓名和收到时间，通知同时生效。</w:t>
      </w:r>
    </w:p>
    <w:p w14:paraId="044CB293">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11) 项目设计负责人和驻场设计代表按发包人认可的设计详细进度计划和发包人依据合同付出的指令要求组织设计，并应保证设计信息的准确、安全。</w:t>
      </w:r>
    </w:p>
    <w:p w14:paraId="3808C83E">
      <w:pPr>
        <w:spacing w:line="360" w:lineRule="auto"/>
        <w:ind w:left="300" w:leftChars="143" w:firstLine="240" w:firstLineChars="1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12) 每一项目设计负责人和驻场代表均是设计人的履约代表，发包人发出的任何书面形式的文件经任一项目设计负责人和驻场设计代表签收，即视为已送达设计人。</w:t>
      </w:r>
    </w:p>
    <w:p w14:paraId="53B56C4E">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3.4 设计分包</w:t>
      </w:r>
    </w:p>
    <w:p w14:paraId="28E1E604">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3.4.1 设计分包的一般约定</w:t>
      </w:r>
    </w:p>
    <w:p w14:paraId="1D081750">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禁止设计分包的工程包括：</w:t>
      </w:r>
      <w:r>
        <w:rPr>
          <w:rFonts w:hint="eastAsia" w:asciiTheme="minorEastAsia" w:hAnsiTheme="minorEastAsia" w:eastAsiaTheme="minorEastAsia"/>
          <w:sz w:val="24"/>
          <w:szCs w:val="24"/>
          <w:highlight w:val="none"/>
          <w:u w:val="single"/>
        </w:rPr>
        <w:t xml:space="preserve">主体结构、关键性工作  </w:t>
      </w:r>
      <w:r>
        <w:rPr>
          <w:rFonts w:hint="eastAsia" w:asciiTheme="minorEastAsia" w:hAnsiTheme="minorEastAsia" w:eastAsiaTheme="minorEastAsia"/>
          <w:sz w:val="24"/>
          <w:szCs w:val="24"/>
          <w:highlight w:val="none"/>
        </w:rPr>
        <w:t>。</w:t>
      </w:r>
    </w:p>
    <w:p w14:paraId="0E604A9B">
      <w:pPr>
        <w:spacing w:line="360" w:lineRule="auto"/>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主体结构、关键性工作的范围：</w:t>
      </w:r>
      <w:r>
        <w:rPr>
          <w:rFonts w:hint="eastAsia" w:asciiTheme="minorEastAsia" w:hAnsiTheme="minorEastAsia" w:eastAsiaTheme="minorEastAsia"/>
          <w:sz w:val="24"/>
          <w:szCs w:val="24"/>
          <w:highlight w:val="none"/>
          <w:u w:val="single"/>
        </w:rPr>
        <w:t xml:space="preserve">包含并不限于建筑、结构等符合设计人专业设计资质要求或设计能力的工作   </w:t>
      </w:r>
      <w:r>
        <w:rPr>
          <w:rFonts w:hint="eastAsia" w:asciiTheme="minorEastAsia" w:hAnsiTheme="minorEastAsia" w:eastAsiaTheme="minorEastAsia"/>
          <w:sz w:val="24"/>
          <w:szCs w:val="24"/>
          <w:highlight w:val="none"/>
        </w:rPr>
        <w:t>。</w:t>
      </w:r>
    </w:p>
    <w:p w14:paraId="1A1D18F9">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    3.4.2设计分包的确定</w:t>
      </w:r>
    </w:p>
    <w:p w14:paraId="4A54D825">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允许分包的专业工程包括：</w:t>
      </w:r>
      <w:r>
        <w:rPr>
          <w:rFonts w:hint="eastAsia" w:asciiTheme="minorEastAsia" w:hAnsiTheme="minorEastAsia" w:eastAsiaTheme="minorEastAsia"/>
          <w:sz w:val="24"/>
          <w:szCs w:val="24"/>
          <w:highlight w:val="none"/>
          <w:u w:val="single"/>
        </w:rPr>
        <w:t xml:space="preserve">设计人所承接的专项设计内容，由于设计人本身的资质及所属设计人员的限制，经发包人认可，由设计人直接将该项设计内容分包给专业设计单位     </w:t>
      </w:r>
      <w:r>
        <w:rPr>
          <w:rFonts w:hint="eastAsia" w:asciiTheme="minorEastAsia" w:hAnsiTheme="minorEastAsia" w:eastAsiaTheme="minorEastAsia"/>
          <w:sz w:val="24"/>
          <w:szCs w:val="24"/>
          <w:highlight w:val="none"/>
        </w:rPr>
        <w:t>。</w:t>
      </w:r>
    </w:p>
    <w:p w14:paraId="5976717A">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其他关于分包的约定：</w:t>
      </w:r>
    </w:p>
    <w:p w14:paraId="10909BF8">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1）由设计人与专项设计分包单位签订设计分包合同，并报发包人备案 。</w:t>
      </w:r>
    </w:p>
    <w:p w14:paraId="5E609ED5">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专项施工图设计阶段，实行专项设计分包方自身管理、设计人总协调管理、发包人管理的三级管理模式。在此管理阶段专项分包方为主设计方，承担主要的设计责任，设计人为协作设计方，承担次要的设计责任，设计人就该部分对总体设计方案设计思想及技术路线贯彻与总体设计的协调负责出具施工图的审核意见，并报发包人备案，设计人承担相应连带管理责任。在此设计阶段的违约及绩效考核方面相应地按此设计责任进行比例划分。</w:t>
      </w:r>
    </w:p>
    <w:p w14:paraId="5E2920B5">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3）在施工图设计阶段、施工招标及施工阶段，专项设计分包单位要接受发包人对其进行管理和协调。</w:t>
      </w:r>
    </w:p>
    <w:p w14:paraId="16D22A81">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4）本项目中，设计人应保证按规划及建筑功能要求、配套设施要求完成合同约定的专业专项设计。限于专业资质、业务范围问题不能设计人进行的专项设计，由设计人在本设计合同签订前报发包人同意后进行分包，专项分包设计费由设计人按设计合作协议承担。</w:t>
      </w:r>
    </w:p>
    <w:p w14:paraId="486A316C">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5）专项分包施工图设计文件中，需设计人校核确认的部分由设计人及专项分包人员进行会签并盖经授权的图纸审核专用章或公章。</w:t>
      </w:r>
    </w:p>
    <w:p w14:paraId="5D45D198">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6）设计人应在本合同生效后十日内将所有专业分包单位的基本情况、资质、分包内容、费用等列表报发包人审查及备案。</w:t>
      </w:r>
    </w:p>
    <w:p w14:paraId="0A44BFFB">
      <w:pPr>
        <w:spacing w:line="360" w:lineRule="auto"/>
        <w:ind w:firstLine="424" w:firstLineChars="177"/>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3.4.3 设计人向发包人提交有关分包人资料包括：</w:t>
      </w:r>
      <w:r>
        <w:rPr>
          <w:rFonts w:hint="eastAsia" w:asciiTheme="minorEastAsia" w:hAnsiTheme="minorEastAsia" w:eastAsiaTheme="minorEastAsia"/>
          <w:sz w:val="24"/>
          <w:szCs w:val="24"/>
          <w:highlight w:val="none"/>
          <w:u w:val="single"/>
        </w:rPr>
        <w:t xml:space="preserve">分包人的企业资质以及相关人员安排等  </w:t>
      </w:r>
      <w:r>
        <w:rPr>
          <w:rFonts w:hint="eastAsia" w:asciiTheme="minorEastAsia" w:hAnsiTheme="minorEastAsia" w:eastAsiaTheme="minorEastAsia"/>
          <w:sz w:val="24"/>
          <w:szCs w:val="24"/>
          <w:highlight w:val="none"/>
        </w:rPr>
        <w:t>。</w:t>
      </w:r>
    </w:p>
    <w:p w14:paraId="60B7A9C7">
      <w:pPr>
        <w:spacing w:line="360" w:lineRule="auto"/>
        <w:ind w:firstLine="424" w:firstLineChars="177"/>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3.4.4 分包工程设计费支付方式：</w:t>
      </w:r>
      <w:r>
        <w:rPr>
          <w:rFonts w:hint="eastAsia" w:asciiTheme="minorEastAsia" w:hAnsiTheme="minorEastAsia" w:eastAsiaTheme="minorEastAsia"/>
          <w:sz w:val="24"/>
          <w:szCs w:val="24"/>
          <w:highlight w:val="none"/>
          <w:u w:val="single"/>
        </w:rPr>
        <w:t>分包工程费用包含在合同价中，由设计人支付给分包人，如设计人未按期支付，发包人有权停止下期设计费支付并有权对设计人进行处罚，并可从未支付的设计费中扣除费用支付给分包人</w:t>
      </w:r>
      <w:r>
        <w:rPr>
          <w:rFonts w:hint="eastAsia" w:asciiTheme="minorEastAsia" w:hAnsiTheme="minorEastAsia" w:eastAsiaTheme="minorEastAsia"/>
          <w:sz w:val="24"/>
          <w:szCs w:val="24"/>
          <w:highlight w:val="none"/>
        </w:rPr>
        <w:t>。</w:t>
      </w:r>
    </w:p>
    <w:p w14:paraId="1C394325">
      <w:pPr>
        <w:pStyle w:val="6"/>
        <w:keepNext w:val="0"/>
        <w:keepLines w:val="0"/>
        <w:spacing w:before="120" w:after="120" w:line="360" w:lineRule="auto"/>
        <w:ind w:firstLine="424" w:firstLineChars="177"/>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3.5 联合体</w:t>
      </w:r>
    </w:p>
    <w:p w14:paraId="3AE13E15">
      <w:pPr>
        <w:spacing w:line="360" w:lineRule="auto"/>
        <w:ind w:firstLine="424" w:firstLineChars="177"/>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3.5.4 发包人向联合体支付设计费用的方式：</w:t>
      </w:r>
      <w:r>
        <w:rPr>
          <w:rFonts w:hint="eastAsia" w:asciiTheme="minorEastAsia" w:hAnsiTheme="minorEastAsia" w:eastAsiaTheme="minorEastAsia"/>
          <w:sz w:val="24"/>
          <w:szCs w:val="24"/>
          <w:highlight w:val="none"/>
          <w:u w:val="single"/>
        </w:rPr>
        <w:t xml:space="preserve">  按通用条款    </w:t>
      </w:r>
      <w:r>
        <w:rPr>
          <w:rFonts w:hint="eastAsia" w:asciiTheme="minorEastAsia" w:hAnsiTheme="minorEastAsia" w:eastAsiaTheme="minorEastAsia"/>
          <w:sz w:val="24"/>
          <w:szCs w:val="24"/>
          <w:highlight w:val="none"/>
        </w:rPr>
        <w:t>。</w:t>
      </w:r>
    </w:p>
    <w:p w14:paraId="625FF5DD">
      <w:pPr>
        <w:pStyle w:val="5"/>
        <w:spacing w:before="120" w:after="120" w:line="360" w:lineRule="auto"/>
        <w:ind w:firstLine="424" w:firstLineChars="177"/>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5. 工程设计要求</w:t>
      </w:r>
    </w:p>
    <w:p w14:paraId="43B5213F">
      <w:pPr>
        <w:pStyle w:val="6"/>
        <w:spacing w:before="120" w:after="120" w:line="360" w:lineRule="auto"/>
        <w:ind w:firstLine="424" w:firstLineChars="177"/>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5.1 工程设计一般要求</w:t>
      </w:r>
    </w:p>
    <w:p w14:paraId="18B953C7">
      <w:pPr>
        <w:spacing w:line="360" w:lineRule="auto"/>
        <w:ind w:firstLine="424" w:firstLineChars="177"/>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5.1.2.1 工程设计的特殊标准或要求：。</w:t>
      </w:r>
    </w:p>
    <w:p w14:paraId="1F447A3B">
      <w:pPr>
        <w:spacing w:line="360" w:lineRule="auto"/>
        <w:ind w:firstLine="424" w:firstLineChars="177"/>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5.1.2.2 工程设计适用的技术标准：。</w:t>
      </w:r>
    </w:p>
    <w:p w14:paraId="7562A7E6">
      <w:pPr>
        <w:spacing w:line="360" w:lineRule="auto"/>
        <w:ind w:firstLine="424" w:firstLineChars="177"/>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5.1.2.4 工程设计文件的</w:t>
      </w:r>
      <w:r>
        <w:rPr>
          <w:rFonts w:hint="eastAsia" w:asciiTheme="minorEastAsia" w:hAnsiTheme="minorEastAsia" w:eastAsiaTheme="minorEastAsia"/>
          <w:kern w:val="0"/>
          <w:sz w:val="24"/>
          <w:szCs w:val="24"/>
          <w:highlight w:val="none"/>
        </w:rPr>
        <w:t>主要技术指标控制值</w:t>
      </w:r>
      <w:r>
        <w:rPr>
          <w:rFonts w:hint="eastAsia" w:asciiTheme="minorEastAsia" w:hAnsiTheme="minorEastAsia" w:eastAsiaTheme="minorEastAsia"/>
          <w:sz w:val="24"/>
          <w:szCs w:val="24"/>
          <w:highlight w:val="none"/>
        </w:rPr>
        <w:t>及比例：</w:t>
      </w:r>
      <w:r>
        <w:rPr>
          <w:rFonts w:hint="eastAsia" w:asciiTheme="minorEastAsia" w:hAnsiTheme="minorEastAsia" w:eastAsiaTheme="minorEastAsia"/>
          <w:sz w:val="24"/>
          <w:szCs w:val="24"/>
          <w:highlight w:val="none"/>
          <w:u w:val="single"/>
        </w:rPr>
        <w:t xml:space="preserve">在保证设计质量的前提下，全过程实行限额设计,在包含完整批复初步设计概算全部建设内容的前提下，必须按照政府主管部门确定的投资额度和要求严格控制，进行投资分解和分析，实行投资控制，严格控制方案设计阶段、初步设计阶段和施工图设计阶段及施工阶段等，确保工程概、预算不突破投资目标。 </w:t>
      </w:r>
    </w:p>
    <w:p w14:paraId="657B6081">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 xml:space="preserve">1）方案设计阶段：设计人依据设计方案成果编制造价估算文件，完成估算编制后，方案阶段成果应与可行性研究成果进行对比和分析，对超出限额的部分进行说明和分析，提出修改指引和意见并报送发包人。 </w:t>
      </w:r>
    </w:p>
    <w:p w14:paraId="5AF0194E">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初步设计阶段：初步设计过程中，设计人应对主要总规划、建筑方案、结构形式、工艺流程、主要设备指标等提出技术和经济方面的比选方案。用以制定专业设计原则进行方案设计及材料设备选型，以单位工程作为评价，做好专业内的平衡和调整，提出节约投资的措施。初步设计文件确定后，设计人对概算文件进行对比和分析，对超出限额的部分进行说明和分析，提出修改指引和意见供发包人参考。</w:t>
      </w:r>
    </w:p>
    <w:p w14:paraId="4E58A0A6">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施工图阶段：施工图预算完成编制后，由造价咨询单位负责预算与初步设计概算进行对比和分析，设计人应对超出或需要调整的设计内容，在不影响工程功能水平、工程质量、工程运营维护成本、全寿命周期费用等情况下，进行设计优化，确保预算不超出设计限额和工程总投资额。</w:t>
      </w:r>
    </w:p>
    <w:p w14:paraId="71F806B0">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u w:val="single"/>
        </w:rPr>
        <w:t xml:space="preserve">4）施工阶段：加强设计变更管理，应严格控制变更的发生，对非发生不可的变更，应尽量提前。设计人应先对工程重大设计变更方案进行造价估算，开展价值工程研究，向发包人报送新旧设计方案行造价估算、施工工艺、功能等方面对比分析，供发包人参考使用。发包人同意后，设计人才可以出正式设计变更文件。并由造价咨询单位对设计变更造价进行动态管理 </w:t>
      </w:r>
      <w:r>
        <w:rPr>
          <w:rFonts w:hint="eastAsia" w:asciiTheme="minorEastAsia" w:hAnsiTheme="minorEastAsia" w:eastAsiaTheme="minorEastAsia"/>
          <w:sz w:val="24"/>
          <w:szCs w:val="24"/>
          <w:highlight w:val="none"/>
        </w:rPr>
        <w:t xml:space="preserve">。 </w:t>
      </w:r>
    </w:p>
    <w:p w14:paraId="0CC6E909">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5.1.2.8其它要求：BIM应用技术要求</w:t>
      </w:r>
    </w:p>
    <w:p w14:paraId="58855967">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（1）按省属代建项目设计阶段BIM应用管理</w:t>
      </w:r>
      <w:r>
        <w:rPr>
          <w:rFonts w:hint="eastAsia" w:asciiTheme="minorEastAsia" w:hAnsiTheme="minorEastAsia" w:eastAsiaTheme="minorEastAsia"/>
          <w:sz w:val="24"/>
          <w:szCs w:val="24"/>
          <w:highlight w:val="none"/>
          <w:u w:val="single"/>
          <w:lang w:eastAsia="zh-CN"/>
        </w:rPr>
        <w:t>等</w:t>
      </w:r>
      <w:r>
        <w:rPr>
          <w:rFonts w:hint="eastAsia" w:asciiTheme="minorEastAsia" w:hAnsiTheme="minorEastAsia" w:eastAsiaTheme="minorEastAsia"/>
          <w:sz w:val="24"/>
          <w:szCs w:val="24"/>
          <w:highlight w:val="none"/>
          <w:u w:val="single"/>
        </w:rPr>
        <w:t>要求，通过各专业施工图汇总来模拟建造实体，提前检查初步设计、施工图设计中存在的错、漏、碰、缺，减少返工、误工，实现工程多专业协同工作；</w:t>
      </w:r>
    </w:p>
    <w:p w14:paraId="2B2DE346">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（2）编制工程量清单，为工程招投标提供合理的参考依据；</w:t>
      </w:r>
    </w:p>
    <w:p w14:paraId="47F0E6A8">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（3）施工阶段，通过模型与实际施工情况的对比，迅速了解项目进度及成本的偏差情况，评估变更可行性，实现对工程的精确管控；</w:t>
      </w:r>
    </w:p>
    <w:p w14:paraId="55B53728">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（4）用于运营维护管理工作。</w:t>
      </w:r>
    </w:p>
    <w:p w14:paraId="20D2D016">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5.3 工程设计文件的要求</w:t>
      </w:r>
    </w:p>
    <w:p w14:paraId="74AA4A2E">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5.3.3 工程设计文件深度规定：</w:t>
      </w:r>
      <w:r>
        <w:rPr>
          <w:rFonts w:hint="eastAsia" w:asciiTheme="minorEastAsia" w:hAnsiTheme="minorEastAsia" w:eastAsiaTheme="minorEastAsia"/>
          <w:sz w:val="24"/>
          <w:szCs w:val="24"/>
          <w:highlight w:val="none"/>
          <w:u w:val="single"/>
        </w:rPr>
        <w:t>需满足《建设工程设计文件编制深度的规定(2016年版)》、《市政公用工程设计文件编制深度的规定(2013年版)》，若设计期间国家执地新的标准，则按国家现行的相关规定执行</w:t>
      </w:r>
      <w:r>
        <w:rPr>
          <w:rFonts w:hint="eastAsia" w:asciiTheme="minorEastAsia" w:hAnsiTheme="minorEastAsia" w:eastAsiaTheme="minorEastAsia"/>
          <w:sz w:val="24"/>
          <w:szCs w:val="24"/>
          <w:highlight w:val="none"/>
        </w:rPr>
        <w:t xml:space="preserve">。 </w:t>
      </w:r>
    </w:p>
    <w:p w14:paraId="3866AEBB">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5.3.5 建筑物及其功能设施的合理使用寿命年限：</w:t>
      </w:r>
      <w:r>
        <w:rPr>
          <w:rFonts w:hint="eastAsia" w:asciiTheme="minorEastAsia" w:hAnsiTheme="minorEastAsia" w:eastAsiaTheme="minorEastAsia"/>
          <w:sz w:val="24"/>
          <w:szCs w:val="24"/>
          <w:highlight w:val="none"/>
          <w:u w:val="single"/>
        </w:rPr>
        <w:t xml:space="preserve">按国家现和行相关规定执行   </w:t>
      </w:r>
      <w:r>
        <w:rPr>
          <w:rFonts w:hint="eastAsia" w:asciiTheme="minorEastAsia" w:hAnsiTheme="minorEastAsia" w:eastAsiaTheme="minorEastAsia"/>
          <w:sz w:val="24"/>
          <w:szCs w:val="24"/>
          <w:highlight w:val="none"/>
        </w:rPr>
        <w:t>。</w:t>
      </w:r>
    </w:p>
    <w:p w14:paraId="407FFF66">
      <w:pPr>
        <w:pStyle w:val="5"/>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6. 工程设计进度与周期</w:t>
      </w:r>
    </w:p>
    <w:p w14:paraId="0192B8B0">
      <w:pPr>
        <w:pStyle w:val="6"/>
        <w:spacing w:before="120" w:after="120" w:line="360" w:lineRule="auto"/>
        <w:ind w:firstLine="480" w:firstLineChars="200"/>
        <w:rPr>
          <w:rFonts w:hint="eastAsia"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6.1 工程设计进度计划</w:t>
      </w:r>
    </w:p>
    <w:p w14:paraId="26889DCB">
      <w:pPr>
        <w:ind w:firstLine="420" w:firstLineChars="175"/>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6.1.1 工程设计进度计划的编制</w:t>
      </w:r>
    </w:p>
    <w:p w14:paraId="65A9F414">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合</w:t>
      </w:r>
      <w:r>
        <w:rPr>
          <w:rFonts w:hint="eastAsia" w:asciiTheme="minorEastAsia" w:hAnsiTheme="minorEastAsia" w:eastAsiaTheme="minorEastAsia"/>
          <w:kern w:val="0"/>
          <w:sz w:val="24"/>
          <w:szCs w:val="24"/>
          <w:highlight w:val="none"/>
        </w:rPr>
        <w:t>同当事人约定的工程设计进度计划提交的时间：</w:t>
      </w:r>
      <w:r>
        <w:rPr>
          <w:rFonts w:hint="eastAsia" w:asciiTheme="minorEastAsia" w:hAnsiTheme="minorEastAsia" w:eastAsiaTheme="minorEastAsia"/>
          <w:kern w:val="0"/>
          <w:sz w:val="24"/>
          <w:szCs w:val="24"/>
          <w:highlight w:val="none"/>
          <w:u w:val="single"/>
        </w:rPr>
        <w:t>设计人应在合同签订后7天内向发包人提交一份详细的进度计划。当进度计划与实际进度不符时，设计人还应提交一份修订的进度计划</w:t>
      </w:r>
      <w:r>
        <w:rPr>
          <w:rFonts w:hint="eastAsia" w:asciiTheme="minorEastAsia" w:hAnsiTheme="minorEastAsia" w:eastAsiaTheme="minorEastAsia"/>
          <w:kern w:val="0"/>
          <w:sz w:val="24"/>
          <w:szCs w:val="24"/>
          <w:highlight w:val="none"/>
        </w:rPr>
        <w:t>。</w:t>
      </w:r>
    </w:p>
    <w:p w14:paraId="7691DD02">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合</w:t>
      </w:r>
      <w:r>
        <w:rPr>
          <w:rFonts w:hint="eastAsia" w:asciiTheme="minorEastAsia" w:hAnsiTheme="minorEastAsia" w:eastAsiaTheme="minorEastAsia"/>
          <w:kern w:val="0"/>
          <w:sz w:val="24"/>
          <w:szCs w:val="24"/>
          <w:highlight w:val="none"/>
        </w:rPr>
        <w:t>同当事人约定的工程设计进度计划应包括的内容：</w:t>
      </w:r>
    </w:p>
    <w:p w14:paraId="1EBDCBA3">
      <w:pPr>
        <w:autoSpaceDE w:val="0"/>
        <w:autoSpaceDN w:val="0"/>
        <w:adjustRightInd w:val="0"/>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1）工作顺序和各个阶段的预期时间安排、出图计划；</w:t>
      </w:r>
    </w:p>
    <w:p w14:paraId="02A1E9F0">
      <w:pPr>
        <w:autoSpaceDE w:val="0"/>
        <w:autoSpaceDN w:val="0"/>
        <w:adjustRightInd w:val="0"/>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2）需要设计咨询（监理）单位、发包人、施工图审查机构、政府审查部门进行审查、批准的期限；</w:t>
      </w:r>
    </w:p>
    <w:p w14:paraId="3FEE7190">
      <w:pPr>
        <w:autoSpaceDE w:val="0"/>
        <w:autoSpaceDN w:val="0"/>
        <w:adjustRightInd w:val="0"/>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3）合同和技术规范中规定的各项检验和试验的顺序和时间安排</w:t>
      </w:r>
      <w:r>
        <w:rPr>
          <w:rFonts w:hint="eastAsia" w:asciiTheme="minorEastAsia" w:hAnsiTheme="minorEastAsia" w:eastAsiaTheme="minorEastAsia"/>
          <w:sz w:val="24"/>
          <w:szCs w:val="24"/>
          <w:highlight w:val="none"/>
        </w:rPr>
        <w:t>。</w:t>
      </w:r>
    </w:p>
    <w:p w14:paraId="4C47A2B5">
      <w:pPr>
        <w:autoSpaceDE w:val="0"/>
        <w:autoSpaceDN w:val="0"/>
        <w:adjustRightInd w:val="0"/>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 xml:space="preserve">6.1.2 </w:t>
      </w:r>
      <w:r>
        <w:rPr>
          <w:rFonts w:hint="eastAsia" w:asciiTheme="minorEastAsia" w:hAnsiTheme="minorEastAsia" w:eastAsiaTheme="minorEastAsia"/>
          <w:kern w:val="0"/>
          <w:sz w:val="24"/>
          <w:szCs w:val="24"/>
          <w:highlight w:val="none"/>
        </w:rPr>
        <w:t>工程设计进度计划的修订</w:t>
      </w:r>
    </w:p>
    <w:p w14:paraId="63A6E2BA">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发包人在收到工程设计进度计划后确认或提出修改意见的期限：</w:t>
      </w:r>
      <w:r>
        <w:rPr>
          <w:rFonts w:hint="eastAsia" w:asciiTheme="minorEastAsia" w:hAnsiTheme="minorEastAsia" w:eastAsiaTheme="minorEastAsia"/>
          <w:kern w:val="0"/>
          <w:sz w:val="24"/>
          <w:szCs w:val="24"/>
          <w:highlight w:val="none"/>
          <w:u w:val="single"/>
        </w:rPr>
        <w:t>5个日历天</w:t>
      </w:r>
      <w:r>
        <w:rPr>
          <w:rFonts w:hint="eastAsia" w:asciiTheme="minorEastAsia" w:hAnsiTheme="minorEastAsia" w:eastAsiaTheme="minorEastAsia"/>
          <w:sz w:val="24"/>
          <w:szCs w:val="24"/>
          <w:highlight w:val="none"/>
        </w:rPr>
        <w:t>。</w:t>
      </w:r>
    </w:p>
    <w:p w14:paraId="0918804E">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6.3 工程设计进度延误</w:t>
      </w:r>
    </w:p>
    <w:p w14:paraId="1E700A0A">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6.3.1 </w:t>
      </w:r>
      <w:r>
        <w:rPr>
          <w:rFonts w:hint="eastAsia" w:asciiTheme="minorEastAsia" w:hAnsiTheme="minorEastAsia" w:eastAsiaTheme="minorEastAsia"/>
          <w:kern w:val="0"/>
          <w:sz w:val="24"/>
          <w:szCs w:val="24"/>
          <w:highlight w:val="none"/>
        </w:rPr>
        <w:t>因发包人原因导致工程设计进度延误</w:t>
      </w:r>
    </w:p>
    <w:p w14:paraId="4DA46D12">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（4）因发包人原因导致工程设计进度延误的其他情形：</w:t>
      </w:r>
      <w:r>
        <w:rPr>
          <w:rFonts w:hint="eastAsia" w:asciiTheme="minorEastAsia" w:hAnsiTheme="minorEastAsia" w:eastAsiaTheme="minorEastAsia"/>
          <w:sz w:val="24"/>
          <w:szCs w:val="24"/>
          <w:highlight w:val="none"/>
          <w:u w:val="single"/>
        </w:rPr>
        <w:t xml:space="preserve"> / </w:t>
      </w:r>
      <w:r>
        <w:rPr>
          <w:rFonts w:hint="eastAsia" w:asciiTheme="minorEastAsia" w:hAnsiTheme="minorEastAsia" w:eastAsiaTheme="minorEastAsia"/>
          <w:sz w:val="24"/>
          <w:szCs w:val="24"/>
          <w:highlight w:val="none"/>
        </w:rPr>
        <w:t>。</w:t>
      </w:r>
    </w:p>
    <w:p w14:paraId="66BB3FEE">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设计人应在发生</w:t>
      </w:r>
      <w:r>
        <w:rPr>
          <w:rFonts w:hint="eastAsia" w:asciiTheme="minorEastAsia" w:hAnsiTheme="minorEastAsia" w:eastAsiaTheme="minorEastAsia"/>
          <w:kern w:val="0"/>
          <w:sz w:val="24"/>
          <w:szCs w:val="24"/>
          <w:highlight w:val="none"/>
        </w:rPr>
        <w:t>进度延误的情形</w:t>
      </w:r>
      <w:r>
        <w:rPr>
          <w:rFonts w:hint="eastAsia" w:asciiTheme="minorEastAsia" w:hAnsiTheme="minorEastAsia" w:eastAsiaTheme="minorEastAsia"/>
          <w:sz w:val="24"/>
          <w:szCs w:val="24"/>
          <w:highlight w:val="none"/>
        </w:rPr>
        <w:t>后</w:t>
      </w:r>
      <w:r>
        <w:rPr>
          <w:rFonts w:hint="eastAsia" w:asciiTheme="minorEastAsia" w:hAnsiTheme="minorEastAsia" w:eastAsiaTheme="minorEastAsia"/>
          <w:sz w:val="24"/>
          <w:szCs w:val="24"/>
          <w:highlight w:val="none"/>
          <w:u w:val="single"/>
        </w:rPr>
        <w:t xml:space="preserve"> 2  </w:t>
      </w:r>
      <w:r>
        <w:rPr>
          <w:rFonts w:hint="eastAsia" w:asciiTheme="minorEastAsia" w:hAnsiTheme="minorEastAsia" w:eastAsiaTheme="minorEastAsia"/>
          <w:sz w:val="24"/>
          <w:szCs w:val="24"/>
          <w:highlight w:val="none"/>
        </w:rPr>
        <w:t>个日历天内向发包人发出要求延期的书面通知，在发生该情形后</w:t>
      </w:r>
      <w:r>
        <w:rPr>
          <w:rFonts w:hint="eastAsia" w:asciiTheme="minorEastAsia" w:hAnsiTheme="minorEastAsia" w:eastAsiaTheme="minorEastAsia"/>
          <w:sz w:val="24"/>
          <w:szCs w:val="24"/>
          <w:highlight w:val="none"/>
          <w:u w:val="single"/>
        </w:rPr>
        <w:t xml:space="preserve">  2  </w:t>
      </w:r>
      <w:r>
        <w:rPr>
          <w:rFonts w:hint="eastAsia" w:asciiTheme="minorEastAsia" w:hAnsiTheme="minorEastAsia" w:eastAsiaTheme="minorEastAsia"/>
          <w:sz w:val="24"/>
          <w:szCs w:val="24"/>
          <w:highlight w:val="none"/>
        </w:rPr>
        <w:t>个日历天内提交要求延期的详细说明。</w:t>
      </w:r>
    </w:p>
    <w:p w14:paraId="0A8EC3A7">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发包人收到设计人要求延期的详细说明后，应在</w:t>
      </w:r>
      <w:r>
        <w:rPr>
          <w:rFonts w:hint="eastAsia" w:asciiTheme="minorEastAsia" w:hAnsiTheme="minorEastAsia" w:eastAsiaTheme="minorEastAsia"/>
          <w:sz w:val="24"/>
          <w:szCs w:val="24"/>
          <w:highlight w:val="none"/>
          <w:u w:val="single"/>
        </w:rPr>
        <w:t xml:space="preserve">  5  </w:t>
      </w:r>
      <w:r>
        <w:rPr>
          <w:rFonts w:hint="eastAsia" w:asciiTheme="minorEastAsia" w:hAnsiTheme="minorEastAsia" w:eastAsiaTheme="minorEastAsia"/>
          <w:sz w:val="24"/>
          <w:szCs w:val="24"/>
          <w:highlight w:val="none"/>
        </w:rPr>
        <w:t>个日历天内进行审查并书面答复。</w:t>
      </w:r>
    </w:p>
    <w:p w14:paraId="0DA5273B">
      <w:pPr>
        <w:pStyle w:val="6"/>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6.5 提前交付工程设计文件</w:t>
      </w:r>
    </w:p>
    <w:p w14:paraId="33D3B47C">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6.5.2 提前交付工程设计文件的奖励：</w:t>
      </w:r>
      <w:r>
        <w:rPr>
          <w:rFonts w:hint="eastAsia" w:asciiTheme="minorEastAsia" w:hAnsiTheme="minorEastAsia" w:eastAsiaTheme="minorEastAsia"/>
          <w:sz w:val="24"/>
          <w:szCs w:val="24"/>
          <w:highlight w:val="none"/>
          <w:u w:val="single"/>
        </w:rPr>
        <w:t xml:space="preserve">   /  </w:t>
      </w:r>
      <w:r>
        <w:rPr>
          <w:rFonts w:hint="eastAsia" w:asciiTheme="minorEastAsia" w:hAnsiTheme="minorEastAsia" w:eastAsiaTheme="minorEastAsia"/>
          <w:sz w:val="24"/>
          <w:szCs w:val="24"/>
          <w:highlight w:val="none"/>
        </w:rPr>
        <w:t>。</w:t>
      </w:r>
    </w:p>
    <w:p w14:paraId="5D35E83A">
      <w:pPr>
        <w:spacing w:before="120" w:after="120" w:line="360" w:lineRule="auto"/>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7. 工程设计文件交付</w:t>
      </w:r>
    </w:p>
    <w:p w14:paraId="31CE7114">
      <w:pPr>
        <w:spacing w:before="120" w:after="120"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7.1 工程设计文件交付的内容</w:t>
      </w:r>
    </w:p>
    <w:p w14:paraId="03B05BC5">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7.1.2 发包人要求设计人提交电子版设计文件的具体形式为：</w:t>
      </w:r>
      <w:r>
        <w:rPr>
          <w:rFonts w:hint="eastAsia" w:asciiTheme="minorEastAsia" w:hAnsiTheme="minorEastAsia" w:eastAsiaTheme="minorEastAsia"/>
          <w:sz w:val="24"/>
          <w:szCs w:val="24"/>
          <w:highlight w:val="none"/>
          <w:u w:val="single"/>
        </w:rPr>
        <w:t>详见附件：《各阶段、各版次设计成果文件组成及要求》</w:t>
      </w:r>
      <w:r>
        <w:rPr>
          <w:rFonts w:hint="eastAsia" w:asciiTheme="minorEastAsia" w:hAnsiTheme="minorEastAsia" w:eastAsiaTheme="minorEastAsia"/>
          <w:sz w:val="24"/>
          <w:szCs w:val="24"/>
          <w:highlight w:val="none"/>
        </w:rPr>
        <w:t xml:space="preserve">。 </w:t>
      </w:r>
    </w:p>
    <w:p w14:paraId="4271AB7C">
      <w:pPr>
        <w:pStyle w:val="5"/>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8. 工程设计文件审查</w:t>
      </w:r>
    </w:p>
    <w:p w14:paraId="42B831D1">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8.1 发包人对设计人的设计文件审查期限不超过</w:t>
      </w:r>
      <w:r>
        <w:rPr>
          <w:rFonts w:hint="eastAsia" w:asciiTheme="minorEastAsia" w:hAnsiTheme="minorEastAsia" w:eastAsiaTheme="minorEastAsia"/>
          <w:sz w:val="24"/>
          <w:szCs w:val="24"/>
          <w:highlight w:val="none"/>
          <w:u w:val="single"/>
        </w:rPr>
        <w:t xml:space="preserve">  20  个日历天（因设计人原因导致审查不能通过审查的，设计人的设计周期不调整，且根据合同条款追究设计人的设计责任）</w:t>
      </w:r>
      <w:r>
        <w:rPr>
          <w:rFonts w:hint="eastAsia" w:asciiTheme="minorEastAsia" w:hAnsiTheme="minorEastAsia" w:eastAsiaTheme="minorEastAsia"/>
          <w:sz w:val="24"/>
          <w:szCs w:val="24"/>
          <w:highlight w:val="none"/>
        </w:rPr>
        <w:t>。</w:t>
      </w:r>
    </w:p>
    <w:p w14:paraId="7EB062DE">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8.4 工程设计审查形式及时间安排：</w:t>
      </w:r>
      <w:r>
        <w:rPr>
          <w:rFonts w:hint="eastAsia" w:asciiTheme="minorEastAsia" w:hAnsiTheme="minorEastAsia" w:eastAsiaTheme="minorEastAsia"/>
          <w:sz w:val="24"/>
          <w:szCs w:val="24"/>
          <w:highlight w:val="none"/>
          <w:u w:val="single"/>
        </w:rPr>
        <w:t xml:space="preserve">  根据设计的不同阶段，由发包人提供资料委托查关专业的专家或专业的审图机构对设计人提交的设计文件进行审查，具体时间安排由发包人确定后通知设计人，设计人不得有异议  </w:t>
      </w:r>
      <w:r>
        <w:rPr>
          <w:rFonts w:hint="eastAsia" w:asciiTheme="minorEastAsia" w:hAnsiTheme="minorEastAsia" w:eastAsiaTheme="minorEastAsia"/>
          <w:sz w:val="24"/>
          <w:szCs w:val="24"/>
          <w:highlight w:val="none"/>
        </w:rPr>
        <w:t>。</w:t>
      </w:r>
    </w:p>
    <w:p w14:paraId="7BD5582E">
      <w:pPr>
        <w:spacing w:before="120" w:after="120"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9. 施工现场配合服务</w:t>
      </w:r>
    </w:p>
    <w:p w14:paraId="53906DB8">
      <w:pPr>
        <w:spacing w:line="360" w:lineRule="auto"/>
        <w:ind w:left="210" w:leftChars="100"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9.1 发包人为设计人派赴现场的工作人员提供便利条件的内包括：。</w:t>
      </w:r>
    </w:p>
    <w:p w14:paraId="1A4FD686">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9.2 设计人应当在交付施工图设计文件并经审查合格后</w:t>
      </w:r>
      <w:r>
        <w:rPr>
          <w:rFonts w:hint="eastAsia" w:asciiTheme="minorEastAsia" w:hAnsiTheme="minorEastAsia" w:eastAsiaTheme="minorEastAsia"/>
          <w:sz w:val="24"/>
          <w:szCs w:val="24"/>
          <w:highlight w:val="none"/>
          <w:u w:val="single"/>
        </w:rPr>
        <w:t xml:space="preserve">  直至该项目竣工验收   </w:t>
      </w:r>
      <w:r>
        <w:rPr>
          <w:rFonts w:hint="eastAsia" w:asciiTheme="minorEastAsia" w:hAnsiTheme="minorEastAsia" w:eastAsiaTheme="minorEastAsia"/>
          <w:sz w:val="24"/>
          <w:szCs w:val="24"/>
          <w:highlight w:val="none"/>
        </w:rPr>
        <w:t>时间内提供施工现场配合服务。</w:t>
      </w:r>
    </w:p>
    <w:p w14:paraId="3D3E4D46">
      <w:pPr>
        <w:pStyle w:val="5"/>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10. 合同价款与支付</w:t>
      </w:r>
    </w:p>
    <w:p w14:paraId="03827CC9">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10.1设计取费标准</w:t>
      </w:r>
    </w:p>
    <w:p w14:paraId="57067C8C">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工程设计费计费方式为总价包干。合同设计费已包含本合同约定项目的全部设计费用，设计文件修改费用，招标配合费用，驻场服务费用，设计调研费，各类报建、报审、报验收的费用，竣工图审查费用，设计变更费用以及设计人委托有工程造价咨询资质单位编制估算、初步设计概算的费用等。发包人不再支付合同中指明费用内的任何其他费用。如发包人要求设计人提供本合同外的服务，费用另行协商。</w:t>
      </w:r>
    </w:p>
    <w:p w14:paraId="36FA9AC5">
      <w:pPr>
        <w:spacing w:line="360" w:lineRule="auto"/>
        <w:ind w:firstLine="480" w:firstLineChars="200"/>
        <w:jc w:val="left"/>
        <w:rPr>
          <w:rFonts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10.4</w:t>
      </w:r>
      <w:r>
        <w:rPr>
          <w:rFonts w:hint="eastAsia" w:asciiTheme="minorEastAsia" w:hAnsiTheme="minorEastAsia" w:eastAsiaTheme="minorEastAsia"/>
          <w:b/>
          <w:sz w:val="24"/>
          <w:szCs w:val="24"/>
          <w:highlight w:val="none"/>
        </w:rPr>
        <w:t>进度款支付</w:t>
      </w:r>
    </w:p>
    <w:p w14:paraId="13202F18">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10.4.1方案设计</w:t>
      </w:r>
      <w:r>
        <w:rPr>
          <w:rFonts w:hint="eastAsia" w:cs="宋体" w:asciiTheme="minorEastAsia" w:hAnsiTheme="minorEastAsia" w:eastAsiaTheme="minorEastAsia"/>
          <w:kern w:val="1"/>
          <w:sz w:val="24"/>
          <w:szCs w:val="24"/>
          <w:highlight w:val="none"/>
        </w:rPr>
        <w:t>投标经济补偿费</w:t>
      </w:r>
      <w:r>
        <w:rPr>
          <w:rFonts w:hint="eastAsia" w:asciiTheme="minorEastAsia" w:hAnsiTheme="minorEastAsia" w:eastAsiaTheme="minorEastAsia"/>
          <w:sz w:val="24"/>
          <w:szCs w:val="24"/>
          <w:highlight w:val="none"/>
        </w:rPr>
        <w:t>合计人民币</w:t>
      </w:r>
      <w:r>
        <w:rPr>
          <w:rFonts w:hint="eastAsia" w:asciiTheme="minorEastAsia" w:hAnsiTheme="minorEastAsia" w:eastAsiaTheme="minorEastAsia"/>
          <w:sz w:val="24"/>
          <w:szCs w:val="24"/>
          <w:highlight w:val="none"/>
          <w:lang w:val="en-US" w:eastAsia="zh-CN"/>
        </w:rPr>
        <w:t xml:space="preserve">     </w:t>
      </w:r>
      <w:r>
        <w:rPr>
          <w:rFonts w:hint="eastAsia" w:asciiTheme="minorEastAsia" w:hAnsiTheme="minorEastAsia" w:eastAsiaTheme="minorEastAsia"/>
          <w:sz w:val="24"/>
          <w:szCs w:val="24"/>
          <w:highlight w:val="none"/>
        </w:rPr>
        <w:t>万元，其中：</w:t>
      </w:r>
    </w:p>
    <w:p w14:paraId="7537A881">
      <w:pPr>
        <w:spacing w:line="360" w:lineRule="auto"/>
        <w:ind w:firstLine="480" w:firstLineChars="200"/>
        <w:rPr>
          <w:rFonts w:cs="宋体" w:asciiTheme="minorEastAsia" w:hAnsiTheme="minorEastAsia" w:eastAsiaTheme="minorEastAsia"/>
          <w:kern w:val="1"/>
          <w:sz w:val="24"/>
          <w:szCs w:val="24"/>
          <w:highlight w:val="none"/>
        </w:rPr>
      </w:pPr>
      <w:r>
        <w:rPr>
          <w:rFonts w:hint="eastAsia" w:cs="宋体" w:asciiTheme="minorEastAsia" w:hAnsiTheme="minorEastAsia" w:eastAsiaTheme="minorEastAsia"/>
          <w:kern w:val="1"/>
          <w:sz w:val="24"/>
          <w:szCs w:val="24"/>
          <w:highlight w:val="none"/>
        </w:rPr>
        <w:t>□本项目不设投标补偿。</w:t>
      </w:r>
    </w:p>
    <w:p w14:paraId="1A848F67">
      <w:pPr>
        <w:spacing w:line="360" w:lineRule="auto"/>
        <w:ind w:firstLine="480" w:firstLineChars="200"/>
        <w:rPr>
          <w:rFonts w:cs="宋体" w:asciiTheme="minorEastAsia" w:hAnsiTheme="minorEastAsia" w:eastAsiaTheme="minorEastAsia"/>
          <w:kern w:val="1"/>
          <w:sz w:val="24"/>
          <w:szCs w:val="24"/>
          <w:highlight w:val="none"/>
        </w:rPr>
      </w:pPr>
      <w:r>
        <w:rPr>
          <w:rFonts w:hint="eastAsia" w:cs="宋体" w:asciiTheme="minorEastAsia" w:hAnsiTheme="minorEastAsia" w:eastAsiaTheme="minorEastAsia"/>
          <w:kern w:val="1"/>
          <w:sz w:val="24"/>
          <w:szCs w:val="24"/>
          <w:highlight w:val="none"/>
        </w:rPr>
        <w:t>√适用于中标人支付经济补偿：</w:t>
      </w:r>
    </w:p>
    <w:p w14:paraId="02D4FA84">
      <w:pPr>
        <w:spacing w:line="360" w:lineRule="auto"/>
        <w:ind w:firstLine="480" w:firstLineChars="200"/>
        <w:rPr>
          <w:rFonts w:cs="宋体" w:asciiTheme="minorEastAsia" w:hAnsiTheme="minorEastAsia" w:eastAsiaTheme="minorEastAsia"/>
          <w:kern w:val="1"/>
          <w:sz w:val="24"/>
          <w:szCs w:val="24"/>
          <w:highlight w:val="none"/>
        </w:rPr>
      </w:pPr>
      <w:r>
        <w:rPr>
          <w:rFonts w:hint="eastAsia" w:cs="宋体" w:asciiTheme="minorEastAsia" w:hAnsiTheme="minorEastAsia" w:eastAsiaTheme="minorEastAsia"/>
          <w:kern w:val="1"/>
          <w:sz w:val="24"/>
          <w:szCs w:val="24"/>
          <w:highlight w:val="none"/>
        </w:rPr>
        <w:t>(1) 全部的投标经济补偿费包含在本项目设计费中，承包人在签订合同后，由承包人向发包人申请，</w:t>
      </w:r>
      <w:r>
        <w:rPr>
          <w:rFonts w:hint="eastAsia" w:cs="宋体" w:asciiTheme="minorEastAsia" w:hAnsiTheme="minorEastAsia" w:eastAsiaTheme="minorEastAsia"/>
          <w:kern w:val="1"/>
          <w:sz w:val="24"/>
          <w:szCs w:val="24"/>
          <w:highlight w:val="none"/>
          <w:u w:val="single"/>
        </w:rPr>
        <w:t>承包人</w:t>
      </w:r>
      <w:r>
        <w:rPr>
          <w:rFonts w:hint="eastAsia" w:asciiTheme="minorEastAsia" w:hAnsiTheme="minorEastAsia" w:eastAsiaTheme="minorEastAsia"/>
          <w:sz w:val="24"/>
          <w:highlight w:val="none"/>
          <w:u w:val="single"/>
        </w:rPr>
        <w:t>在收到招标人的第一笔付款后</w:t>
      </w:r>
      <w:r>
        <w:rPr>
          <w:rFonts w:hint="eastAsia" w:cs="宋体" w:asciiTheme="minorEastAsia" w:hAnsiTheme="minorEastAsia" w:eastAsiaTheme="minorEastAsia"/>
          <w:kern w:val="1"/>
          <w:sz w:val="24"/>
          <w:szCs w:val="24"/>
          <w:highlight w:val="none"/>
        </w:rPr>
        <w:t>，对2-5名未中标人的设计方案给予补偿。其余未中标人费用自理，发包人不再给予未中标人投标补偿。如果投标人不足 5 名或者前5名中有被废标的，所剩余的投标经济补偿费支付给中标人。</w:t>
      </w:r>
    </w:p>
    <w:p w14:paraId="36D9884B">
      <w:pPr>
        <w:spacing w:line="360" w:lineRule="auto"/>
        <w:ind w:firstLine="480" w:firstLineChars="200"/>
        <w:rPr>
          <w:rFonts w:cs="宋体" w:asciiTheme="minorEastAsia" w:hAnsiTheme="minorEastAsia" w:eastAsiaTheme="minorEastAsia"/>
          <w:kern w:val="1"/>
          <w:sz w:val="24"/>
          <w:szCs w:val="24"/>
          <w:highlight w:val="none"/>
        </w:rPr>
      </w:pPr>
      <w:r>
        <w:rPr>
          <w:rFonts w:hint="eastAsia" w:cs="宋体" w:asciiTheme="minorEastAsia" w:hAnsiTheme="minorEastAsia" w:eastAsiaTheme="minorEastAsia"/>
          <w:kern w:val="1"/>
          <w:sz w:val="24"/>
          <w:szCs w:val="24"/>
          <w:highlight w:val="none"/>
        </w:rPr>
        <w:t>(2)方案设计投标经济补偿费总额元，其补偿方式如下：</w:t>
      </w:r>
    </w:p>
    <w:tbl>
      <w:tblPr>
        <w:tblStyle w:val="54"/>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2813"/>
        <w:gridCol w:w="1581"/>
        <w:gridCol w:w="3037"/>
      </w:tblGrid>
      <w:tr w14:paraId="57CE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Pr>
          <w:p w14:paraId="29A9D73B">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排列名次</w:t>
            </w:r>
          </w:p>
        </w:tc>
        <w:tc>
          <w:tcPr>
            <w:tcW w:w="2813" w:type="dxa"/>
          </w:tcPr>
          <w:p w14:paraId="0F343C86">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投标人名称</w:t>
            </w:r>
          </w:p>
        </w:tc>
        <w:tc>
          <w:tcPr>
            <w:tcW w:w="1581" w:type="dxa"/>
          </w:tcPr>
          <w:p w14:paraId="5BC96F98">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补偿金额（元）</w:t>
            </w:r>
          </w:p>
        </w:tc>
        <w:tc>
          <w:tcPr>
            <w:tcW w:w="3037" w:type="dxa"/>
          </w:tcPr>
          <w:p w14:paraId="2AD0B727">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备注</w:t>
            </w:r>
          </w:p>
        </w:tc>
      </w:tr>
      <w:tr w14:paraId="626C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63" w:type="dxa"/>
            <w:vAlign w:val="center"/>
          </w:tcPr>
          <w:p w14:paraId="3E6F4748">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1                                                                                                                                                                                                                                                                                                                                                                                                                                                                                                                                                                                                                                                                                                                                                                                                                                                                                                                                                                                                                                                                                                                                                                                                                                                                                                                                                                                                                       </w:t>
            </w:r>
          </w:p>
        </w:tc>
        <w:tc>
          <w:tcPr>
            <w:tcW w:w="2813" w:type="dxa"/>
            <w:vAlign w:val="center"/>
          </w:tcPr>
          <w:p w14:paraId="6AF6DE4A">
            <w:pPr>
              <w:spacing w:line="360" w:lineRule="auto"/>
              <w:jc w:val="center"/>
              <w:rPr>
                <w:rFonts w:asciiTheme="minorEastAsia" w:hAnsiTheme="minorEastAsia" w:eastAsiaTheme="minorEastAsia"/>
                <w:sz w:val="24"/>
                <w:szCs w:val="24"/>
                <w:highlight w:val="none"/>
              </w:rPr>
            </w:pPr>
          </w:p>
        </w:tc>
        <w:tc>
          <w:tcPr>
            <w:tcW w:w="1581" w:type="dxa"/>
            <w:vAlign w:val="center"/>
          </w:tcPr>
          <w:p w14:paraId="68FC4C0B">
            <w:pPr>
              <w:spacing w:line="360" w:lineRule="auto"/>
              <w:jc w:val="center"/>
              <w:rPr>
                <w:rFonts w:asciiTheme="minorEastAsia" w:hAnsiTheme="minorEastAsia" w:eastAsiaTheme="minorEastAsia"/>
                <w:sz w:val="24"/>
                <w:szCs w:val="24"/>
                <w:highlight w:val="none"/>
              </w:rPr>
            </w:pPr>
          </w:p>
        </w:tc>
        <w:tc>
          <w:tcPr>
            <w:tcW w:w="3037" w:type="dxa"/>
            <w:vAlign w:val="center"/>
          </w:tcPr>
          <w:p w14:paraId="1A6CDEF3">
            <w:pPr>
              <w:spacing w:line="360" w:lineRule="auto"/>
              <w:jc w:val="center"/>
              <w:rPr>
                <w:rFonts w:asciiTheme="minorEastAsia" w:hAnsiTheme="minorEastAsia" w:eastAsiaTheme="minorEastAsia"/>
                <w:sz w:val="24"/>
                <w:szCs w:val="24"/>
                <w:highlight w:val="none"/>
              </w:rPr>
            </w:pPr>
          </w:p>
        </w:tc>
      </w:tr>
      <w:tr w14:paraId="347E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63" w:type="dxa"/>
            <w:vAlign w:val="center"/>
          </w:tcPr>
          <w:p w14:paraId="535159AC">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w:t>
            </w:r>
          </w:p>
        </w:tc>
        <w:tc>
          <w:tcPr>
            <w:tcW w:w="2813" w:type="dxa"/>
            <w:vAlign w:val="center"/>
          </w:tcPr>
          <w:p w14:paraId="45F5B745">
            <w:pPr>
              <w:spacing w:line="360" w:lineRule="auto"/>
              <w:jc w:val="center"/>
              <w:rPr>
                <w:rFonts w:asciiTheme="minorEastAsia" w:hAnsiTheme="minorEastAsia" w:eastAsiaTheme="minorEastAsia"/>
                <w:sz w:val="24"/>
                <w:szCs w:val="24"/>
                <w:highlight w:val="none"/>
              </w:rPr>
            </w:pPr>
          </w:p>
        </w:tc>
        <w:tc>
          <w:tcPr>
            <w:tcW w:w="1581" w:type="dxa"/>
            <w:vAlign w:val="center"/>
          </w:tcPr>
          <w:p w14:paraId="7BA27641">
            <w:pPr>
              <w:spacing w:line="360" w:lineRule="auto"/>
              <w:jc w:val="center"/>
              <w:rPr>
                <w:rFonts w:asciiTheme="minorEastAsia" w:hAnsiTheme="minorEastAsia" w:eastAsiaTheme="minorEastAsia"/>
                <w:sz w:val="24"/>
                <w:szCs w:val="24"/>
                <w:highlight w:val="none"/>
              </w:rPr>
            </w:pPr>
          </w:p>
        </w:tc>
        <w:tc>
          <w:tcPr>
            <w:tcW w:w="3037" w:type="dxa"/>
            <w:vAlign w:val="center"/>
          </w:tcPr>
          <w:p w14:paraId="67453AA8">
            <w:pPr>
              <w:spacing w:line="360" w:lineRule="auto"/>
              <w:jc w:val="center"/>
              <w:rPr>
                <w:rFonts w:asciiTheme="minorEastAsia" w:hAnsiTheme="minorEastAsia" w:eastAsiaTheme="minorEastAsia"/>
                <w:sz w:val="24"/>
                <w:szCs w:val="24"/>
                <w:highlight w:val="none"/>
              </w:rPr>
            </w:pPr>
          </w:p>
        </w:tc>
      </w:tr>
      <w:tr w14:paraId="3F2E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63" w:type="dxa"/>
            <w:vAlign w:val="center"/>
          </w:tcPr>
          <w:p w14:paraId="6367A7AE">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w:t>
            </w:r>
          </w:p>
        </w:tc>
        <w:tc>
          <w:tcPr>
            <w:tcW w:w="2813" w:type="dxa"/>
            <w:vAlign w:val="center"/>
          </w:tcPr>
          <w:p w14:paraId="5A0D4D95">
            <w:pPr>
              <w:spacing w:line="360" w:lineRule="auto"/>
              <w:jc w:val="center"/>
              <w:rPr>
                <w:rFonts w:asciiTheme="minorEastAsia" w:hAnsiTheme="minorEastAsia" w:eastAsiaTheme="minorEastAsia"/>
                <w:sz w:val="24"/>
                <w:szCs w:val="24"/>
                <w:highlight w:val="none"/>
              </w:rPr>
            </w:pPr>
          </w:p>
        </w:tc>
        <w:tc>
          <w:tcPr>
            <w:tcW w:w="1581" w:type="dxa"/>
            <w:vAlign w:val="center"/>
          </w:tcPr>
          <w:p w14:paraId="404B4879">
            <w:pPr>
              <w:spacing w:line="360" w:lineRule="auto"/>
              <w:jc w:val="center"/>
              <w:rPr>
                <w:rFonts w:asciiTheme="minorEastAsia" w:hAnsiTheme="minorEastAsia" w:eastAsiaTheme="minorEastAsia"/>
                <w:sz w:val="24"/>
                <w:szCs w:val="24"/>
                <w:highlight w:val="none"/>
              </w:rPr>
            </w:pPr>
          </w:p>
        </w:tc>
        <w:tc>
          <w:tcPr>
            <w:tcW w:w="3037" w:type="dxa"/>
            <w:vAlign w:val="center"/>
          </w:tcPr>
          <w:p w14:paraId="404FE2D3">
            <w:pPr>
              <w:spacing w:line="360" w:lineRule="auto"/>
              <w:jc w:val="center"/>
              <w:rPr>
                <w:rFonts w:asciiTheme="minorEastAsia" w:hAnsiTheme="minorEastAsia" w:eastAsiaTheme="minorEastAsia"/>
                <w:sz w:val="24"/>
                <w:szCs w:val="24"/>
                <w:highlight w:val="none"/>
              </w:rPr>
            </w:pPr>
          </w:p>
        </w:tc>
      </w:tr>
      <w:tr w14:paraId="48B9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63" w:type="dxa"/>
            <w:vAlign w:val="center"/>
          </w:tcPr>
          <w:p w14:paraId="0FB26085">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w:t>
            </w:r>
          </w:p>
        </w:tc>
        <w:tc>
          <w:tcPr>
            <w:tcW w:w="2813" w:type="dxa"/>
            <w:vAlign w:val="center"/>
          </w:tcPr>
          <w:p w14:paraId="2D2A9728">
            <w:pPr>
              <w:spacing w:line="360" w:lineRule="auto"/>
              <w:jc w:val="center"/>
              <w:rPr>
                <w:rFonts w:asciiTheme="minorEastAsia" w:hAnsiTheme="minorEastAsia" w:eastAsiaTheme="minorEastAsia"/>
                <w:sz w:val="24"/>
                <w:szCs w:val="24"/>
                <w:highlight w:val="none"/>
              </w:rPr>
            </w:pPr>
          </w:p>
        </w:tc>
        <w:tc>
          <w:tcPr>
            <w:tcW w:w="1581" w:type="dxa"/>
            <w:vAlign w:val="center"/>
          </w:tcPr>
          <w:p w14:paraId="383D43CE">
            <w:pPr>
              <w:spacing w:line="360" w:lineRule="auto"/>
              <w:jc w:val="center"/>
              <w:rPr>
                <w:rFonts w:asciiTheme="minorEastAsia" w:hAnsiTheme="minorEastAsia" w:eastAsiaTheme="minorEastAsia"/>
                <w:sz w:val="24"/>
                <w:szCs w:val="24"/>
                <w:highlight w:val="none"/>
              </w:rPr>
            </w:pPr>
          </w:p>
        </w:tc>
        <w:tc>
          <w:tcPr>
            <w:tcW w:w="3037" w:type="dxa"/>
            <w:vAlign w:val="center"/>
          </w:tcPr>
          <w:p w14:paraId="73E85E7A">
            <w:pPr>
              <w:spacing w:line="360" w:lineRule="auto"/>
              <w:jc w:val="center"/>
              <w:rPr>
                <w:rFonts w:asciiTheme="minorEastAsia" w:hAnsiTheme="minorEastAsia" w:eastAsiaTheme="minorEastAsia"/>
                <w:sz w:val="24"/>
                <w:szCs w:val="24"/>
                <w:highlight w:val="none"/>
              </w:rPr>
            </w:pPr>
          </w:p>
        </w:tc>
      </w:tr>
      <w:tr w14:paraId="1648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63" w:type="dxa"/>
            <w:vAlign w:val="center"/>
          </w:tcPr>
          <w:p w14:paraId="58D62ADE">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w:t>
            </w:r>
          </w:p>
        </w:tc>
        <w:tc>
          <w:tcPr>
            <w:tcW w:w="2813" w:type="dxa"/>
            <w:vAlign w:val="center"/>
          </w:tcPr>
          <w:p w14:paraId="7FE7DE70">
            <w:pPr>
              <w:spacing w:line="360" w:lineRule="auto"/>
              <w:jc w:val="center"/>
              <w:rPr>
                <w:rFonts w:asciiTheme="minorEastAsia" w:hAnsiTheme="minorEastAsia" w:eastAsiaTheme="minorEastAsia"/>
                <w:sz w:val="24"/>
                <w:szCs w:val="24"/>
                <w:highlight w:val="none"/>
              </w:rPr>
            </w:pPr>
          </w:p>
        </w:tc>
        <w:tc>
          <w:tcPr>
            <w:tcW w:w="1581" w:type="dxa"/>
            <w:vAlign w:val="center"/>
          </w:tcPr>
          <w:p w14:paraId="23E8AEA8">
            <w:pPr>
              <w:spacing w:line="360" w:lineRule="auto"/>
              <w:jc w:val="center"/>
              <w:rPr>
                <w:rFonts w:asciiTheme="minorEastAsia" w:hAnsiTheme="minorEastAsia" w:eastAsiaTheme="minorEastAsia"/>
                <w:sz w:val="24"/>
                <w:szCs w:val="24"/>
                <w:highlight w:val="none"/>
              </w:rPr>
            </w:pPr>
          </w:p>
        </w:tc>
        <w:tc>
          <w:tcPr>
            <w:tcW w:w="3037" w:type="dxa"/>
            <w:vAlign w:val="center"/>
          </w:tcPr>
          <w:p w14:paraId="493F314B">
            <w:pPr>
              <w:spacing w:line="360" w:lineRule="auto"/>
              <w:jc w:val="center"/>
              <w:rPr>
                <w:rFonts w:asciiTheme="minorEastAsia" w:hAnsiTheme="minorEastAsia" w:eastAsiaTheme="minorEastAsia"/>
                <w:sz w:val="24"/>
                <w:szCs w:val="24"/>
                <w:highlight w:val="none"/>
              </w:rPr>
            </w:pPr>
          </w:p>
        </w:tc>
      </w:tr>
      <w:tr w14:paraId="24B8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63" w:type="dxa"/>
            <w:vAlign w:val="center"/>
          </w:tcPr>
          <w:p w14:paraId="343E158A">
            <w:pPr>
              <w:spacing w:line="360" w:lineRule="auto"/>
              <w:jc w:val="center"/>
              <w:rPr>
                <w:rFonts w:asciiTheme="minorEastAsia" w:hAnsiTheme="minorEastAsia" w:eastAsiaTheme="minorEastAsia"/>
                <w:sz w:val="24"/>
                <w:szCs w:val="24"/>
                <w:highlight w:val="none"/>
              </w:rPr>
            </w:pPr>
          </w:p>
        </w:tc>
        <w:tc>
          <w:tcPr>
            <w:tcW w:w="2813" w:type="dxa"/>
            <w:vAlign w:val="center"/>
          </w:tcPr>
          <w:p w14:paraId="1ABD9FC5">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合  计</w:t>
            </w:r>
          </w:p>
        </w:tc>
        <w:tc>
          <w:tcPr>
            <w:tcW w:w="1581" w:type="dxa"/>
            <w:vAlign w:val="center"/>
          </w:tcPr>
          <w:p w14:paraId="7D00FCCB">
            <w:pPr>
              <w:spacing w:line="360" w:lineRule="auto"/>
              <w:jc w:val="center"/>
              <w:rPr>
                <w:rFonts w:asciiTheme="minorEastAsia" w:hAnsiTheme="minorEastAsia" w:eastAsiaTheme="minorEastAsia"/>
                <w:sz w:val="24"/>
                <w:szCs w:val="24"/>
                <w:highlight w:val="none"/>
              </w:rPr>
            </w:pPr>
          </w:p>
        </w:tc>
        <w:tc>
          <w:tcPr>
            <w:tcW w:w="3037" w:type="dxa"/>
            <w:vAlign w:val="center"/>
          </w:tcPr>
          <w:p w14:paraId="57F27215">
            <w:pPr>
              <w:spacing w:line="360" w:lineRule="auto"/>
              <w:jc w:val="center"/>
              <w:rPr>
                <w:rFonts w:asciiTheme="minorEastAsia" w:hAnsiTheme="minorEastAsia" w:eastAsiaTheme="minorEastAsia"/>
                <w:sz w:val="24"/>
                <w:szCs w:val="24"/>
                <w:highlight w:val="none"/>
              </w:rPr>
            </w:pPr>
          </w:p>
        </w:tc>
      </w:tr>
    </w:tbl>
    <w:p w14:paraId="7148E19D">
      <w:pPr>
        <w:spacing w:line="360" w:lineRule="auto"/>
        <w:ind w:left="480" w:hanging="480" w:hangingChars="200"/>
        <w:rPr>
          <w:rFonts w:cs="宋体" w:asciiTheme="minorEastAsia" w:hAnsiTheme="minorEastAsia" w:eastAsiaTheme="minorEastAsia"/>
          <w:kern w:val="1"/>
          <w:sz w:val="24"/>
          <w:szCs w:val="24"/>
          <w:highlight w:val="none"/>
        </w:rPr>
      </w:pPr>
    </w:p>
    <w:p w14:paraId="4B164822">
      <w:pPr>
        <w:spacing w:line="360" w:lineRule="auto"/>
        <w:ind w:left="479" w:leftChars="202" w:hanging="55" w:hangingChars="23"/>
        <w:rPr>
          <w:rFonts w:hint="eastAsia"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10.4.2设计费（含投标经济补偿费部分）支付进度详见下表：</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4582"/>
        <w:gridCol w:w="2176"/>
        <w:gridCol w:w="894"/>
      </w:tblGrid>
      <w:tr w14:paraId="60C8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15383AA7">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支付节点</w:t>
            </w:r>
          </w:p>
        </w:tc>
        <w:tc>
          <w:tcPr>
            <w:tcW w:w="5220" w:type="dxa"/>
            <w:noWrap w:val="0"/>
            <w:vAlign w:val="center"/>
          </w:tcPr>
          <w:p w14:paraId="22F79AE7">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支付条件</w:t>
            </w:r>
          </w:p>
        </w:tc>
        <w:tc>
          <w:tcPr>
            <w:tcW w:w="2340" w:type="dxa"/>
            <w:noWrap w:val="0"/>
            <w:vAlign w:val="center"/>
          </w:tcPr>
          <w:p w14:paraId="55BD4A53">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支付金额</w:t>
            </w:r>
          </w:p>
        </w:tc>
        <w:tc>
          <w:tcPr>
            <w:tcW w:w="898" w:type="dxa"/>
            <w:noWrap w:val="0"/>
            <w:vAlign w:val="center"/>
          </w:tcPr>
          <w:p w14:paraId="4854BEC3">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考评标准</w:t>
            </w:r>
          </w:p>
        </w:tc>
      </w:tr>
      <w:tr w14:paraId="507D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09822E81">
            <w:pPr>
              <w:adjustRightInd w:val="0"/>
              <w:snapToGrid w:val="0"/>
              <w:ind w:firstLine="549"/>
              <w:jc w:val="center"/>
              <w:rPr>
                <w:rFonts w:ascii="仿宋_GB2312" w:hAnsi="宋体" w:eastAsia="仿宋_GB2312"/>
                <w:color w:val="auto"/>
                <w:sz w:val="21"/>
                <w:szCs w:val="21"/>
                <w:highlight w:val="none"/>
              </w:rPr>
            </w:pPr>
            <w:r>
              <w:rPr>
                <w:rFonts w:ascii="仿宋_GB2312" w:hAnsi="宋体" w:eastAsia="仿宋_GB2312"/>
                <w:color w:val="auto"/>
                <w:sz w:val="21"/>
                <w:szCs w:val="21"/>
                <w:highlight w:val="none"/>
              </w:rPr>
              <w:t>1</w:t>
            </w:r>
          </w:p>
        </w:tc>
        <w:tc>
          <w:tcPr>
            <w:tcW w:w="5220" w:type="dxa"/>
            <w:noWrap w:val="0"/>
            <w:vAlign w:val="center"/>
          </w:tcPr>
          <w:p w14:paraId="43744A5F">
            <w:pPr>
              <w:adjustRightInd w:val="0"/>
              <w:snapToGrid w:val="0"/>
              <w:ind w:firstLine="549"/>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签订合同并提交履约保函</w:t>
            </w:r>
          </w:p>
        </w:tc>
        <w:tc>
          <w:tcPr>
            <w:tcW w:w="2340" w:type="dxa"/>
            <w:noWrap w:val="0"/>
            <w:vAlign w:val="center"/>
          </w:tcPr>
          <w:p w14:paraId="2DF887A7">
            <w:pPr>
              <w:adjustRightInd w:val="0"/>
              <w:snapToGrid w:val="0"/>
              <w:ind w:firstLine="549"/>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基数×</w:t>
            </w:r>
            <w:r>
              <w:rPr>
                <w:rFonts w:ascii="仿宋_GB2312" w:hAnsi="宋体" w:eastAsia="仿宋_GB2312"/>
                <w:color w:val="auto"/>
                <w:sz w:val="21"/>
                <w:szCs w:val="21"/>
                <w:highlight w:val="none"/>
              </w:rPr>
              <w:t>10%</w:t>
            </w:r>
          </w:p>
        </w:tc>
        <w:tc>
          <w:tcPr>
            <w:tcW w:w="898" w:type="dxa"/>
            <w:noWrap w:val="0"/>
            <w:vAlign w:val="center"/>
          </w:tcPr>
          <w:p w14:paraId="66F7C854">
            <w:pPr>
              <w:adjustRightInd w:val="0"/>
              <w:snapToGrid w:val="0"/>
              <w:ind w:firstLine="549"/>
              <w:jc w:val="center"/>
              <w:rPr>
                <w:rFonts w:ascii="仿宋_GB2312" w:hAnsi="宋体" w:eastAsia="仿宋_GB2312"/>
                <w:color w:val="auto"/>
                <w:sz w:val="21"/>
                <w:szCs w:val="21"/>
                <w:highlight w:val="none"/>
              </w:rPr>
            </w:pPr>
            <w:r>
              <w:rPr>
                <w:rFonts w:ascii="仿宋_GB2312" w:hAnsi="宋体" w:eastAsia="仿宋_GB2312"/>
                <w:color w:val="auto"/>
                <w:sz w:val="21"/>
                <w:szCs w:val="21"/>
                <w:highlight w:val="none"/>
              </w:rPr>
              <w:t>/</w:t>
            </w:r>
          </w:p>
        </w:tc>
      </w:tr>
      <w:tr w14:paraId="72D8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44F330F8">
            <w:pPr>
              <w:adjustRightInd w:val="0"/>
              <w:snapToGrid w:val="0"/>
              <w:ind w:firstLine="549"/>
              <w:jc w:val="center"/>
              <w:rPr>
                <w:rFonts w:ascii="仿宋_GB2312" w:hAnsi="宋体" w:eastAsia="仿宋_GB2312"/>
                <w:color w:val="auto"/>
                <w:sz w:val="21"/>
                <w:szCs w:val="21"/>
                <w:highlight w:val="none"/>
              </w:rPr>
            </w:pPr>
            <w:r>
              <w:rPr>
                <w:rFonts w:ascii="仿宋_GB2312" w:hAnsi="宋体" w:eastAsia="仿宋_GB2312"/>
                <w:color w:val="auto"/>
                <w:sz w:val="21"/>
                <w:szCs w:val="21"/>
                <w:highlight w:val="none"/>
              </w:rPr>
              <w:t>2</w:t>
            </w:r>
          </w:p>
        </w:tc>
        <w:tc>
          <w:tcPr>
            <w:tcW w:w="5220" w:type="dxa"/>
            <w:noWrap w:val="0"/>
            <w:vAlign w:val="center"/>
          </w:tcPr>
          <w:p w14:paraId="4F4C8291">
            <w:pPr>
              <w:adjustRightInd w:val="0"/>
              <w:snapToGrid w:val="0"/>
              <w:ind w:firstLine="549"/>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取得规划部门对工程方案或修规的批复</w:t>
            </w:r>
          </w:p>
        </w:tc>
        <w:tc>
          <w:tcPr>
            <w:tcW w:w="2340" w:type="dxa"/>
            <w:noWrap w:val="0"/>
            <w:vAlign w:val="center"/>
          </w:tcPr>
          <w:p w14:paraId="4B07649C">
            <w:pPr>
              <w:adjustRightInd w:val="0"/>
              <w:snapToGrid w:val="0"/>
              <w:ind w:firstLine="549"/>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基数×</w:t>
            </w:r>
            <w:r>
              <w:rPr>
                <w:rFonts w:ascii="仿宋_GB2312" w:hAnsi="宋体" w:eastAsia="仿宋_GB2312"/>
                <w:color w:val="auto"/>
                <w:sz w:val="21"/>
                <w:szCs w:val="21"/>
                <w:highlight w:val="none"/>
              </w:rPr>
              <w:t>15%×A</w:t>
            </w:r>
          </w:p>
        </w:tc>
        <w:tc>
          <w:tcPr>
            <w:tcW w:w="898" w:type="dxa"/>
            <w:noWrap w:val="0"/>
            <w:vAlign w:val="center"/>
          </w:tcPr>
          <w:p w14:paraId="05F02DCC">
            <w:pPr>
              <w:adjustRightInd w:val="0"/>
              <w:snapToGrid w:val="0"/>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按附件一</w:t>
            </w:r>
          </w:p>
        </w:tc>
      </w:tr>
      <w:tr w14:paraId="23F6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60169EEC">
            <w:pPr>
              <w:adjustRightInd w:val="0"/>
              <w:snapToGrid w:val="0"/>
              <w:ind w:firstLine="549"/>
              <w:jc w:val="center"/>
              <w:rPr>
                <w:rFonts w:ascii="仿宋_GB2312" w:hAnsi="宋体" w:eastAsia="仿宋_GB2312"/>
                <w:color w:val="auto"/>
                <w:sz w:val="21"/>
                <w:szCs w:val="21"/>
                <w:highlight w:val="none"/>
              </w:rPr>
            </w:pPr>
            <w:r>
              <w:rPr>
                <w:rFonts w:ascii="仿宋_GB2312" w:hAnsi="宋体" w:eastAsia="仿宋_GB2312"/>
                <w:color w:val="auto"/>
                <w:sz w:val="21"/>
                <w:szCs w:val="21"/>
                <w:highlight w:val="none"/>
              </w:rPr>
              <w:t>3</w:t>
            </w:r>
          </w:p>
        </w:tc>
        <w:tc>
          <w:tcPr>
            <w:tcW w:w="5220" w:type="dxa"/>
            <w:noWrap w:val="0"/>
            <w:vAlign w:val="center"/>
          </w:tcPr>
          <w:p w14:paraId="6A71E108">
            <w:pPr>
              <w:adjustRightInd w:val="0"/>
              <w:snapToGrid w:val="0"/>
              <w:ind w:firstLine="549"/>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取得发改部门对初步设计概算的批复</w:t>
            </w:r>
          </w:p>
        </w:tc>
        <w:tc>
          <w:tcPr>
            <w:tcW w:w="2340" w:type="dxa"/>
            <w:noWrap w:val="0"/>
            <w:vAlign w:val="center"/>
          </w:tcPr>
          <w:p w14:paraId="38C8F374">
            <w:pPr>
              <w:adjustRightInd w:val="0"/>
              <w:snapToGrid w:val="0"/>
              <w:ind w:firstLine="549"/>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基数×</w:t>
            </w:r>
            <w:r>
              <w:rPr>
                <w:rFonts w:ascii="仿宋_GB2312" w:hAnsi="宋体" w:eastAsia="仿宋_GB2312"/>
                <w:color w:val="auto"/>
                <w:sz w:val="21"/>
                <w:szCs w:val="21"/>
                <w:highlight w:val="none"/>
              </w:rPr>
              <w:t>20%×A</w:t>
            </w:r>
          </w:p>
        </w:tc>
        <w:tc>
          <w:tcPr>
            <w:tcW w:w="898" w:type="dxa"/>
            <w:noWrap w:val="0"/>
            <w:vAlign w:val="center"/>
          </w:tcPr>
          <w:p w14:paraId="11BD7D5B">
            <w:pPr>
              <w:adjustRightInd w:val="0"/>
              <w:snapToGrid w:val="0"/>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按附件二</w:t>
            </w:r>
          </w:p>
        </w:tc>
      </w:tr>
      <w:tr w14:paraId="1F35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2F79D4C8">
            <w:pPr>
              <w:adjustRightInd w:val="0"/>
              <w:snapToGrid w:val="0"/>
              <w:ind w:firstLine="549"/>
              <w:jc w:val="center"/>
              <w:rPr>
                <w:rFonts w:ascii="仿宋_GB2312" w:hAnsi="宋体" w:eastAsia="仿宋_GB2312"/>
                <w:color w:val="auto"/>
                <w:sz w:val="21"/>
                <w:szCs w:val="21"/>
                <w:highlight w:val="none"/>
              </w:rPr>
            </w:pPr>
            <w:r>
              <w:rPr>
                <w:rFonts w:ascii="仿宋_GB2312" w:hAnsi="宋体" w:eastAsia="仿宋_GB2312"/>
                <w:color w:val="auto"/>
                <w:sz w:val="21"/>
                <w:szCs w:val="21"/>
                <w:highlight w:val="none"/>
              </w:rPr>
              <w:t>4</w:t>
            </w:r>
          </w:p>
        </w:tc>
        <w:tc>
          <w:tcPr>
            <w:tcW w:w="5220" w:type="dxa"/>
            <w:noWrap w:val="0"/>
            <w:vAlign w:val="center"/>
          </w:tcPr>
          <w:p w14:paraId="6C03CD2F">
            <w:pPr>
              <w:adjustRightInd w:val="0"/>
              <w:snapToGrid w:val="0"/>
              <w:ind w:firstLine="549"/>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取得施工图审查合格报告，且完成施工图预算审定（</w:t>
            </w:r>
            <w:r>
              <w:rPr>
                <w:rFonts w:ascii="仿宋_GB2312" w:hAnsi="宋体" w:eastAsia="仿宋_GB2312"/>
                <w:color w:val="auto"/>
                <w:sz w:val="21"/>
                <w:szCs w:val="21"/>
                <w:highlight w:val="none"/>
              </w:rPr>
              <w:t>EPC模式），或完成工程量清单编制并确定招标控制价（传统模式）</w:t>
            </w:r>
          </w:p>
        </w:tc>
        <w:tc>
          <w:tcPr>
            <w:tcW w:w="2340" w:type="dxa"/>
            <w:noWrap w:val="0"/>
            <w:vAlign w:val="center"/>
          </w:tcPr>
          <w:p w14:paraId="538022F3">
            <w:pPr>
              <w:adjustRightInd w:val="0"/>
              <w:snapToGrid w:val="0"/>
              <w:ind w:firstLine="549"/>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基数×</w:t>
            </w:r>
            <w:r>
              <w:rPr>
                <w:rFonts w:ascii="仿宋_GB2312" w:hAnsi="宋体" w:eastAsia="仿宋_GB2312"/>
                <w:color w:val="auto"/>
                <w:sz w:val="21"/>
                <w:szCs w:val="21"/>
                <w:highlight w:val="none"/>
              </w:rPr>
              <w:t>20%×A+F</w:t>
            </w:r>
          </w:p>
        </w:tc>
        <w:tc>
          <w:tcPr>
            <w:tcW w:w="898" w:type="dxa"/>
            <w:noWrap w:val="0"/>
            <w:vAlign w:val="center"/>
          </w:tcPr>
          <w:p w14:paraId="69AE2E23">
            <w:pPr>
              <w:adjustRightInd w:val="0"/>
              <w:snapToGrid w:val="0"/>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按附件三</w:t>
            </w:r>
          </w:p>
        </w:tc>
      </w:tr>
      <w:tr w14:paraId="5AEA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657F7F18">
            <w:pPr>
              <w:adjustRightInd w:val="0"/>
              <w:snapToGrid w:val="0"/>
              <w:ind w:firstLine="549"/>
              <w:jc w:val="center"/>
              <w:rPr>
                <w:rFonts w:ascii="仿宋_GB2312" w:hAnsi="宋体" w:eastAsia="仿宋_GB2312"/>
                <w:color w:val="auto"/>
                <w:sz w:val="21"/>
                <w:szCs w:val="21"/>
                <w:highlight w:val="none"/>
              </w:rPr>
            </w:pPr>
            <w:r>
              <w:rPr>
                <w:rFonts w:ascii="仿宋_GB2312" w:hAnsi="宋体" w:eastAsia="仿宋_GB2312"/>
                <w:color w:val="auto"/>
                <w:sz w:val="21"/>
                <w:szCs w:val="21"/>
                <w:highlight w:val="none"/>
              </w:rPr>
              <w:t>5</w:t>
            </w:r>
          </w:p>
        </w:tc>
        <w:tc>
          <w:tcPr>
            <w:tcW w:w="5220" w:type="dxa"/>
            <w:noWrap w:val="0"/>
            <w:vAlign w:val="center"/>
          </w:tcPr>
          <w:p w14:paraId="7103CFCE">
            <w:pPr>
              <w:adjustRightInd w:val="0"/>
              <w:snapToGrid w:val="0"/>
              <w:ind w:firstLine="549"/>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向城建档案管理部门移交全套工程资料并取得相关证明，并完成所有设计变更审批手续</w:t>
            </w:r>
          </w:p>
        </w:tc>
        <w:tc>
          <w:tcPr>
            <w:tcW w:w="2340" w:type="dxa"/>
            <w:noWrap w:val="0"/>
            <w:vAlign w:val="center"/>
          </w:tcPr>
          <w:p w14:paraId="4E9DE833">
            <w:pPr>
              <w:adjustRightInd w:val="0"/>
              <w:snapToGrid w:val="0"/>
              <w:ind w:firstLine="549"/>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基数×</w:t>
            </w:r>
            <w:r>
              <w:rPr>
                <w:rFonts w:ascii="仿宋_GB2312" w:hAnsi="宋体" w:eastAsia="仿宋_GB2312"/>
                <w:color w:val="auto"/>
                <w:sz w:val="21"/>
                <w:szCs w:val="21"/>
                <w:highlight w:val="none"/>
              </w:rPr>
              <w:t>20%×B</w:t>
            </w:r>
          </w:p>
        </w:tc>
        <w:tc>
          <w:tcPr>
            <w:tcW w:w="898" w:type="dxa"/>
            <w:noWrap w:val="0"/>
            <w:vAlign w:val="center"/>
          </w:tcPr>
          <w:p w14:paraId="405E0014">
            <w:pPr>
              <w:adjustRightInd w:val="0"/>
              <w:snapToGrid w:val="0"/>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按附件四</w:t>
            </w:r>
          </w:p>
        </w:tc>
      </w:tr>
      <w:tr w14:paraId="5983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2CAA247B">
            <w:pPr>
              <w:adjustRightInd w:val="0"/>
              <w:snapToGrid w:val="0"/>
              <w:ind w:firstLine="549"/>
              <w:jc w:val="center"/>
              <w:rPr>
                <w:rFonts w:ascii="仿宋_GB2312" w:hAnsi="宋体" w:eastAsia="仿宋_GB2312"/>
                <w:color w:val="auto"/>
                <w:sz w:val="21"/>
                <w:szCs w:val="21"/>
                <w:highlight w:val="none"/>
              </w:rPr>
            </w:pPr>
            <w:r>
              <w:rPr>
                <w:rFonts w:ascii="仿宋_GB2312" w:hAnsi="宋体" w:eastAsia="仿宋_GB2312"/>
                <w:color w:val="auto"/>
                <w:sz w:val="21"/>
                <w:szCs w:val="21"/>
                <w:highlight w:val="none"/>
              </w:rPr>
              <w:t>6</w:t>
            </w:r>
          </w:p>
        </w:tc>
        <w:tc>
          <w:tcPr>
            <w:tcW w:w="5220" w:type="dxa"/>
            <w:noWrap w:val="0"/>
            <w:vAlign w:val="center"/>
          </w:tcPr>
          <w:p w14:paraId="62609E60">
            <w:pPr>
              <w:adjustRightInd w:val="0"/>
              <w:snapToGrid w:val="0"/>
              <w:ind w:firstLine="549"/>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合同结算经省政府财政部门审定</w:t>
            </w:r>
          </w:p>
        </w:tc>
        <w:tc>
          <w:tcPr>
            <w:tcW w:w="2340" w:type="dxa"/>
            <w:noWrap w:val="0"/>
            <w:vAlign w:val="center"/>
          </w:tcPr>
          <w:p w14:paraId="721CF6CB">
            <w:pPr>
              <w:adjustRightInd w:val="0"/>
              <w:snapToGrid w:val="0"/>
              <w:ind w:firstLine="549"/>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基数×</w:t>
            </w:r>
            <w:r>
              <w:rPr>
                <w:rFonts w:ascii="仿宋_GB2312" w:hAnsi="宋体" w:eastAsia="仿宋_GB2312"/>
                <w:color w:val="auto"/>
                <w:sz w:val="21"/>
                <w:szCs w:val="21"/>
                <w:highlight w:val="none"/>
              </w:rPr>
              <w:t>10%或按省政府财政部门审定应付金额</w:t>
            </w:r>
          </w:p>
        </w:tc>
        <w:tc>
          <w:tcPr>
            <w:tcW w:w="898" w:type="dxa"/>
            <w:noWrap w:val="0"/>
            <w:vAlign w:val="center"/>
          </w:tcPr>
          <w:p w14:paraId="49DFDC2F">
            <w:pPr>
              <w:adjustRightInd w:val="0"/>
              <w:snapToGrid w:val="0"/>
              <w:ind w:firstLine="549"/>
              <w:jc w:val="center"/>
              <w:rPr>
                <w:rFonts w:ascii="仿宋_GB2312" w:hAnsi="宋体" w:eastAsia="仿宋_GB2312"/>
                <w:color w:val="auto"/>
                <w:sz w:val="21"/>
                <w:szCs w:val="21"/>
                <w:highlight w:val="none"/>
              </w:rPr>
            </w:pPr>
            <w:r>
              <w:rPr>
                <w:rFonts w:ascii="仿宋_GB2312" w:hAnsi="宋体" w:eastAsia="仿宋_GB2312"/>
                <w:color w:val="auto"/>
                <w:sz w:val="21"/>
                <w:szCs w:val="21"/>
                <w:highlight w:val="none"/>
              </w:rPr>
              <w:t>/</w:t>
            </w:r>
          </w:p>
        </w:tc>
      </w:tr>
      <w:tr w14:paraId="0F1C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23E446BA">
            <w:pPr>
              <w:adjustRightInd w:val="0"/>
              <w:snapToGrid w:val="0"/>
              <w:ind w:firstLine="549"/>
              <w:jc w:val="center"/>
              <w:rPr>
                <w:rFonts w:ascii="仿宋_GB2312" w:hAnsi="宋体" w:eastAsia="仿宋_GB2312"/>
                <w:color w:val="auto"/>
                <w:sz w:val="21"/>
                <w:szCs w:val="21"/>
                <w:highlight w:val="none"/>
              </w:rPr>
            </w:pPr>
            <w:r>
              <w:rPr>
                <w:rFonts w:ascii="仿宋_GB2312" w:hAnsi="宋体" w:eastAsia="仿宋_GB2312"/>
                <w:color w:val="auto"/>
                <w:sz w:val="21"/>
                <w:szCs w:val="21"/>
                <w:highlight w:val="none"/>
              </w:rPr>
              <w:t>7</w:t>
            </w:r>
          </w:p>
        </w:tc>
        <w:tc>
          <w:tcPr>
            <w:tcW w:w="5220" w:type="dxa"/>
            <w:noWrap w:val="0"/>
            <w:vAlign w:val="center"/>
          </w:tcPr>
          <w:p w14:paraId="20F81A72">
            <w:pPr>
              <w:adjustRightInd w:val="0"/>
              <w:snapToGrid w:val="0"/>
              <w:ind w:firstLine="549"/>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缺陷责任期届满</w:t>
            </w:r>
          </w:p>
        </w:tc>
        <w:tc>
          <w:tcPr>
            <w:tcW w:w="2340" w:type="dxa"/>
            <w:noWrap w:val="0"/>
            <w:vAlign w:val="center"/>
          </w:tcPr>
          <w:p w14:paraId="5EFAEABC">
            <w:pPr>
              <w:adjustRightInd w:val="0"/>
              <w:snapToGrid w:val="0"/>
              <w:ind w:firstLine="549"/>
              <w:jc w:val="center"/>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基数×</w:t>
            </w:r>
            <w:r>
              <w:rPr>
                <w:rFonts w:ascii="仿宋_GB2312" w:hAnsi="宋体" w:eastAsia="仿宋_GB2312"/>
                <w:color w:val="auto"/>
                <w:sz w:val="21"/>
                <w:szCs w:val="21"/>
                <w:highlight w:val="none"/>
              </w:rPr>
              <w:t>5%×C</w:t>
            </w:r>
          </w:p>
        </w:tc>
        <w:tc>
          <w:tcPr>
            <w:tcW w:w="898" w:type="dxa"/>
            <w:noWrap w:val="0"/>
            <w:vAlign w:val="center"/>
          </w:tcPr>
          <w:p w14:paraId="6FE9654F">
            <w:pPr>
              <w:adjustRightInd w:val="0"/>
              <w:snapToGrid w:val="0"/>
              <w:rPr>
                <w:rFonts w:ascii="仿宋_GB2312" w:hAnsi="宋体" w:eastAsia="仿宋_GB2312"/>
                <w:color w:val="auto"/>
                <w:sz w:val="21"/>
                <w:szCs w:val="21"/>
                <w:highlight w:val="none"/>
              </w:rPr>
            </w:pPr>
            <w:r>
              <w:rPr>
                <w:rFonts w:hint="eastAsia" w:ascii="仿宋_GB2312" w:hAnsi="宋体" w:eastAsia="仿宋_GB2312"/>
                <w:color w:val="auto"/>
                <w:sz w:val="21"/>
                <w:szCs w:val="21"/>
                <w:highlight w:val="none"/>
              </w:rPr>
              <w:t>按附件五</w:t>
            </w:r>
          </w:p>
        </w:tc>
      </w:tr>
    </w:tbl>
    <w:p w14:paraId="28607C35">
      <w:pPr>
        <w:spacing w:line="360" w:lineRule="auto"/>
        <w:rPr>
          <w:color w:val="auto"/>
          <w:highlight w:val="none"/>
        </w:rPr>
      </w:pPr>
    </w:p>
    <w:p w14:paraId="78C08F73">
      <w:pPr>
        <w:pStyle w:val="359"/>
        <w:rPr>
          <w:b w:val="0"/>
          <w:color w:val="auto"/>
          <w:highlight w:val="none"/>
          <w:lang w:eastAsia="zh-Hans"/>
        </w:rPr>
      </w:pPr>
      <w:r>
        <w:rPr>
          <w:rFonts w:hint="eastAsia"/>
          <w:b w:val="0"/>
          <w:color w:val="auto"/>
          <w:highlight w:val="none"/>
          <w:lang w:eastAsia="zh-Hans"/>
        </w:rPr>
        <w:t>注:</w:t>
      </w:r>
    </w:p>
    <w:p w14:paraId="0A223B11">
      <w:pPr>
        <w:pStyle w:val="359"/>
        <w:rPr>
          <w:b w:val="0"/>
          <w:color w:val="auto"/>
          <w:highlight w:val="none"/>
          <w:lang w:eastAsia="zh-Hans"/>
        </w:rPr>
      </w:pPr>
      <w:r>
        <w:rPr>
          <w:rFonts w:hint="eastAsia"/>
          <w:b w:val="0"/>
          <w:color w:val="auto"/>
          <w:highlight w:val="none"/>
          <w:lang w:eastAsia="zh-Hans"/>
        </w:rPr>
        <w:t>①基数为合同设计费总额（不含BIM设计费、竣工图编制费、投标经济补偿费部分）。</w:t>
      </w:r>
    </w:p>
    <w:p w14:paraId="5CA3873C">
      <w:pPr>
        <w:pStyle w:val="359"/>
        <w:rPr>
          <w:b w:val="0"/>
          <w:color w:val="auto"/>
          <w:highlight w:val="none"/>
          <w:lang w:eastAsia="zh-Hans"/>
        </w:rPr>
      </w:pPr>
      <w:r>
        <w:rPr>
          <w:rFonts w:hint="eastAsia"/>
          <w:b w:val="0"/>
          <w:color w:val="auto"/>
          <w:highlight w:val="none"/>
          <w:lang w:eastAsia="zh-Hans"/>
        </w:rPr>
        <w:t>②A为设计阶段合同履约评价得分对应的暂付设计费支付比例。</w:t>
      </w:r>
    </w:p>
    <w:p w14:paraId="46410ED7">
      <w:pPr>
        <w:pStyle w:val="359"/>
        <w:rPr>
          <w:b w:val="0"/>
          <w:color w:val="auto"/>
          <w:highlight w:val="none"/>
          <w:lang w:eastAsia="zh-Hans"/>
        </w:rPr>
      </w:pPr>
      <w:r>
        <w:rPr>
          <w:rFonts w:hint="eastAsia"/>
          <w:b w:val="0"/>
          <w:color w:val="auto"/>
          <w:highlight w:val="none"/>
          <w:lang w:eastAsia="zh-Hans"/>
        </w:rPr>
        <w:t>③F为设计阶段合同履约评价综合得分对应的暂付设计费余额应返还金额。暂付设计费余额为设计阶段全额设计费与该阶段暂付设计费的差额。</w:t>
      </w:r>
    </w:p>
    <w:p w14:paraId="559E1190">
      <w:pPr>
        <w:pStyle w:val="359"/>
        <w:rPr>
          <w:b w:val="0"/>
          <w:color w:val="auto"/>
          <w:highlight w:val="none"/>
          <w:lang w:eastAsia="zh-Hans"/>
        </w:rPr>
      </w:pPr>
      <w:r>
        <w:rPr>
          <w:rFonts w:hint="eastAsia"/>
          <w:b w:val="0"/>
          <w:color w:val="auto"/>
          <w:highlight w:val="none"/>
          <w:lang w:eastAsia="zh-Hans"/>
        </w:rPr>
        <w:t>④B为施工阶段合同履约评价综合得分对应的设计费支付比例。</w:t>
      </w:r>
    </w:p>
    <w:p w14:paraId="1FF2FC8F">
      <w:pPr>
        <w:pStyle w:val="359"/>
        <w:rPr>
          <w:b w:val="0"/>
          <w:color w:val="auto"/>
          <w:highlight w:val="none"/>
          <w:lang w:eastAsia="zh-Hans"/>
        </w:rPr>
      </w:pPr>
      <w:r>
        <w:rPr>
          <w:rFonts w:hint="eastAsia"/>
          <w:b w:val="0"/>
          <w:color w:val="auto"/>
          <w:highlight w:val="none"/>
          <w:lang w:eastAsia="zh-Hans"/>
        </w:rPr>
        <w:t>⑤C为缺陷责任期阶段合同履约评价综合得分对应的设计费支付比例。</w:t>
      </w:r>
    </w:p>
    <w:p w14:paraId="4AE4AE9A">
      <w:pPr>
        <w:pStyle w:val="359"/>
        <w:rPr>
          <w:rFonts w:ascii="宋体" w:hAnsi="Courier New" w:eastAsia="楷体_GB2312"/>
          <w:b w:val="0"/>
          <w:sz w:val="20"/>
          <w:szCs w:val="20"/>
          <w:highlight w:val="none"/>
        </w:rPr>
      </w:pPr>
      <w:r>
        <w:rPr>
          <w:rFonts w:hint="eastAsia"/>
          <w:b w:val="0"/>
          <w:color w:val="auto"/>
          <w:highlight w:val="none"/>
          <w:lang w:eastAsia="zh-Hans"/>
        </w:rPr>
        <w:t>具体详见</w:t>
      </w:r>
      <w:r>
        <w:rPr>
          <w:b w:val="0"/>
          <w:color w:val="auto"/>
          <w:highlight w:val="none"/>
          <w:lang w:eastAsia="zh-Hans"/>
        </w:rPr>
        <w:t>《</w:t>
      </w:r>
      <w:r>
        <w:rPr>
          <w:rFonts w:hint="eastAsia" w:ascii="宋体" w:hAnsi="宋体" w:eastAsia="宋体"/>
          <w:b w:val="0"/>
          <w:color w:val="auto"/>
          <w:highlight w:val="none"/>
        </w:rPr>
        <w:t>省代建局直接管理项目设计单位履约评价实施细则</w:t>
      </w:r>
      <w:r>
        <w:rPr>
          <w:b w:val="0"/>
          <w:color w:val="auto"/>
          <w:highlight w:val="none"/>
          <w:lang w:eastAsia="zh-Hans"/>
        </w:rPr>
        <w:t>》</w:t>
      </w:r>
      <w:r>
        <w:rPr>
          <w:rFonts w:hint="eastAsia"/>
          <w:b w:val="0"/>
          <w:color w:val="auto"/>
          <w:highlight w:val="none"/>
          <w:lang w:eastAsia="zh-Hans"/>
        </w:rPr>
        <w:t>。</w:t>
      </w:r>
    </w:p>
    <w:p w14:paraId="0403BB41">
      <w:pPr>
        <w:pStyle w:val="13"/>
        <w:spacing w:line="360" w:lineRule="auto"/>
        <w:ind w:firstLine="480" w:firstLineChars="200"/>
        <w:jc w:val="left"/>
        <w:rPr>
          <w:rFonts w:hint="eastAsia" w:ascii="宋体" w:hAnsi="宋体" w:eastAsia="宋体"/>
          <w:bCs/>
          <w:color w:val="auto"/>
          <w:sz w:val="24"/>
          <w:szCs w:val="24"/>
          <w:highlight w:val="none"/>
        </w:rPr>
      </w:pPr>
      <w:bookmarkStart w:id="170" w:name="OLE_LINK2"/>
      <w:r>
        <w:rPr>
          <w:rFonts w:hint="eastAsia" w:ascii="宋体" w:hAnsi="宋体" w:eastAsia="宋体"/>
          <w:color w:val="auto"/>
          <w:kern w:val="2"/>
          <w:sz w:val="24"/>
          <w:szCs w:val="24"/>
          <w:highlight w:val="none"/>
        </w:rPr>
        <w:t>10.4.3  BIM成果提交时间和支付条款</w:t>
      </w:r>
      <w:r>
        <w:rPr>
          <w:rFonts w:hint="eastAsia" w:ascii="宋体" w:hAnsi="宋体" w:eastAsia="宋体"/>
          <w:bCs/>
          <w:color w:val="auto"/>
          <w:sz w:val="24"/>
          <w:szCs w:val="24"/>
          <w:highlight w:val="none"/>
        </w:rPr>
        <w:t xml:space="preserve"> </w:t>
      </w:r>
      <w:bookmarkEnd w:id="170"/>
    </w:p>
    <w:tbl>
      <w:tblPr>
        <w:tblStyle w:val="54"/>
        <w:tblW w:w="9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2390"/>
        <w:gridCol w:w="3035"/>
        <w:gridCol w:w="1645"/>
        <w:gridCol w:w="642"/>
      </w:tblGrid>
      <w:tr w14:paraId="611D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blHeader/>
          <w:jc w:val="center"/>
        </w:trPr>
        <w:tc>
          <w:tcPr>
            <w:tcW w:w="1760" w:type="dxa"/>
            <w:noWrap w:val="0"/>
            <w:vAlign w:val="center"/>
          </w:tcPr>
          <w:p w14:paraId="690C13AB">
            <w:pPr>
              <w:widowControl/>
              <w:topLinePunct/>
              <w:adjustRightInd w:val="0"/>
              <w:snapToGrid w:val="0"/>
              <w:spacing w:after="156" w:afterLines="50"/>
              <w:jc w:val="center"/>
              <w:rPr>
                <w:rFonts w:ascii="仿宋_GB2312" w:hAnsi="仿宋" w:eastAsia="仿宋_GB2312" w:cs="仿宋"/>
                <w:color w:val="auto"/>
                <w:kern w:val="0"/>
                <w:sz w:val="21"/>
                <w:szCs w:val="21"/>
                <w:highlight w:val="none"/>
              </w:rPr>
            </w:pPr>
            <w:r>
              <w:rPr>
                <w:rFonts w:hint="eastAsia" w:ascii="仿宋_GB2312" w:hAnsi="仿宋" w:eastAsia="仿宋_GB2312" w:cs="仿宋"/>
                <w:color w:val="auto"/>
                <w:kern w:val="0"/>
                <w:sz w:val="21"/>
                <w:szCs w:val="21"/>
                <w:highlight w:val="none"/>
              </w:rPr>
              <w:t>设计阶段</w:t>
            </w:r>
          </w:p>
        </w:tc>
        <w:tc>
          <w:tcPr>
            <w:tcW w:w="2390" w:type="dxa"/>
            <w:noWrap w:val="0"/>
            <w:vAlign w:val="center"/>
          </w:tcPr>
          <w:p w14:paraId="3D8DDEEC">
            <w:pPr>
              <w:widowControl/>
              <w:topLinePunct/>
              <w:adjustRightInd w:val="0"/>
              <w:snapToGrid w:val="0"/>
              <w:spacing w:after="156" w:afterLines="50"/>
              <w:jc w:val="center"/>
              <w:rPr>
                <w:rFonts w:ascii="仿宋_GB2312" w:hAnsi="仿宋" w:eastAsia="仿宋_GB2312" w:cs="仿宋"/>
                <w:color w:val="auto"/>
                <w:kern w:val="0"/>
                <w:sz w:val="21"/>
                <w:szCs w:val="21"/>
                <w:highlight w:val="none"/>
              </w:rPr>
            </w:pPr>
            <w:r>
              <w:rPr>
                <w:rFonts w:hint="eastAsia" w:ascii="仿宋_GB2312" w:hAnsi="仿宋" w:eastAsia="仿宋_GB2312" w:cs="仿宋"/>
                <w:color w:val="auto"/>
                <w:kern w:val="0"/>
                <w:sz w:val="21"/>
                <w:szCs w:val="21"/>
                <w:highlight w:val="none"/>
              </w:rPr>
              <w:t>设计</w:t>
            </w:r>
            <w:r>
              <w:rPr>
                <w:rFonts w:ascii="仿宋_GB2312" w:hAnsi="仿宋" w:eastAsia="仿宋_GB2312" w:cs="仿宋"/>
                <w:color w:val="auto"/>
                <w:kern w:val="0"/>
                <w:sz w:val="21"/>
                <w:szCs w:val="21"/>
                <w:highlight w:val="none"/>
              </w:rPr>
              <w:t>BIM关键节点</w:t>
            </w:r>
          </w:p>
        </w:tc>
        <w:tc>
          <w:tcPr>
            <w:tcW w:w="3035" w:type="dxa"/>
            <w:noWrap w:val="0"/>
            <w:vAlign w:val="center"/>
          </w:tcPr>
          <w:p w14:paraId="2C1018F1">
            <w:pPr>
              <w:widowControl/>
              <w:topLinePunct/>
              <w:adjustRightInd w:val="0"/>
              <w:snapToGrid w:val="0"/>
              <w:spacing w:after="156" w:afterLines="50"/>
              <w:jc w:val="center"/>
              <w:rPr>
                <w:rFonts w:ascii="仿宋_GB2312" w:hAnsi="仿宋" w:eastAsia="仿宋_GB2312" w:cs="仿宋"/>
                <w:color w:val="auto"/>
                <w:kern w:val="0"/>
                <w:sz w:val="21"/>
                <w:szCs w:val="21"/>
                <w:highlight w:val="none"/>
              </w:rPr>
            </w:pPr>
            <w:r>
              <w:rPr>
                <w:rFonts w:hint="eastAsia" w:ascii="仿宋_GB2312" w:hAnsi="仿宋" w:eastAsia="仿宋_GB2312" w:cs="仿宋"/>
                <w:color w:val="auto"/>
                <w:kern w:val="0"/>
                <w:sz w:val="21"/>
                <w:szCs w:val="21"/>
                <w:highlight w:val="none"/>
              </w:rPr>
              <w:t>具体</w:t>
            </w:r>
            <w:r>
              <w:rPr>
                <w:rFonts w:ascii="仿宋_GB2312" w:hAnsi="仿宋" w:eastAsia="仿宋_GB2312" w:cs="仿宋"/>
                <w:color w:val="auto"/>
                <w:kern w:val="0"/>
                <w:sz w:val="21"/>
                <w:szCs w:val="21"/>
                <w:highlight w:val="none"/>
              </w:rPr>
              <w:t>BIM成果内容</w:t>
            </w:r>
          </w:p>
        </w:tc>
        <w:tc>
          <w:tcPr>
            <w:tcW w:w="1645" w:type="dxa"/>
            <w:noWrap w:val="0"/>
            <w:vAlign w:val="center"/>
          </w:tcPr>
          <w:p w14:paraId="276160D3">
            <w:pPr>
              <w:widowControl/>
              <w:topLinePunct/>
              <w:adjustRightInd w:val="0"/>
              <w:snapToGrid w:val="0"/>
              <w:spacing w:after="156" w:afterLines="50"/>
              <w:jc w:val="center"/>
              <w:rPr>
                <w:rFonts w:ascii="仿宋_GB2312" w:hAnsi="仿宋" w:eastAsia="仿宋_GB2312" w:cs="仿宋"/>
                <w:color w:val="auto"/>
                <w:kern w:val="0"/>
                <w:sz w:val="21"/>
                <w:szCs w:val="21"/>
                <w:highlight w:val="none"/>
              </w:rPr>
            </w:pPr>
            <w:r>
              <w:rPr>
                <w:rFonts w:ascii="仿宋_GB2312" w:hAnsi="仿宋" w:eastAsia="仿宋_GB2312" w:cs="仿宋"/>
                <w:color w:val="auto"/>
                <w:kern w:val="0"/>
                <w:sz w:val="21"/>
                <w:szCs w:val="21"/>
                <w:highlight w:val="none"/>
              </w:rPr>
              <w:t>BIM成果</w:t>
            </w:r>
          </w:p>
          <w:p w14:paraId="0C55E27C">
            <w:pPr>
              <w:widowControl/>
              <w:topLinePunct/>
              <w:adjustRightInd w:val="0"/>
              <w:snapToGrid w:val="0"/>
              <w:spacing w:after="156" w:afterLines="50"/>
              <w:jc w:val="center"/>
              <w:rPr>
                <w:rFonts w:ascii="仿宋_GB2312" w:hAnsi="仿宋" w:eastAsia="仿宋_GB2312" w:cs="仿宋"/>
                <w:color w:val="auto"/>
                <w:kern w:val="0"/>
                <w:sz w:val="21"/>
                <w:szCs w:val="21"/>
                <w:highlight w:val="none"/>
              </w:rPr>
            </w:pPr>
            <w:r>
              <w:rPr>
                <w:rFonts w:hint="eastAsia" w:ascii="仿宋_GB2312" w:hAnsi="仿宋" w:eastAsia="仿宋_GB2312" w:cs="仿宋"/>
                <w:color w:val="auto"/>
                <w:kern w:val="0"/>
                <w:sz w:val="21"/>
                <w:szCs w:val="21"/>
                <w:highlight w:val="none"/>
              </w:rPr>
              <w:t>时间要求</w:t>
            </w:r>
          </w:p>
        </w:tc>
        <w:tc>
          <w:tcPr>
            <w:tcW w:w="642" w:type="dxa"/>
            <w:noWrap w:val="0"/>
            <w:vAlign w:val="top"/>
          </w:tcPr>
          <w:p w14:paraId="5AB2E613">
            <w:pPr>
              <w:widowControl/>
              <w:wordWrap w:val="0"/>
              <w:topLinePunct/>
              <w:adjustRightInd w:val="0"/>
              <w:snapToGrid w:val="0"/>
              <w:spacing w:after="156" w:afterLines="50"/>
              <w:jc w:val="center"/>
              <w:rPr>
                <w:rFonts w:ascii="仿宋_GB2312" w:hAnsi="仿宋" w:eastAsia="仿宋_GB2312" w:cs="仿宋"/>
                <w:color w:val="auto"/>
                <w:kern w:val="0"/>
                <w:sz w:val="21"/>
                <w:szCs w:val="21"/>
                <w:highlight w:val="none"/>
              </w:rPr>
            </w:pPr>
            <w:r>
              <w:rPr>
                <w:rFonts w:hint="eastAsia" w:ascii="仿宋_GB2312" w:hAnsi="仿宋" w:eastAsia="仿宋_GB2312" w:cs="仿宋"/>
                <w:color w:val="auto"/>
                <w:kern w:val="0"/>
                <w:sz w:val="21"/>
                <w:szCs w:val="21"/>
                <w:highlight w:val="none"/>
              </w:rPr>
              <w:t>比例</w:t>
            </w:r>
          </w:p>
        </w:tc>
      </w:tr>
      <w:tr w14:paraId="7732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760" w:type="dxa"/>
            <w:noWrap w:val="0"/>
            <w:vAlign w:val="center"/>
          </w:tcPr>
          <w:p w14:paraId="0B61E70E">
            <w:pPr>
              <w:widowControl/>
              <w:topLinePunct/>
              <w:adjustRightInd w:val="0"/>
              <w:snapToGrid w:val="0"/>
              <w:spacing w:after="156" w:afterLines="50"/>
              <w:jc w:val="center"/>
              <w:rPr>
                <w:rFonts w:ascii="仿宋_GB2312" w:hAnsi="仿宋" w:eastAsia="仿宋_GB2312" w:cs="仿宋"/>
                <w:color w:val="auto"/>
                <w:kern w:val="0"/>
                <w:sz w:val="21"/>
                <w:szCs w:val="21"/>
                <w:highlight w:val="none"/>
              </w:rPr>
            </w:pPr>
            <w:r>
              <w:rPr>
                <w:rFonts w:hint="eastAsia" w:ascii="仿宋_GB2312" w:hAnsi="仿宋" w:eastAsia="仿宋_GB2312" w:cs="仿宋"/>
                <w:color w:val="auto"/>
                <w:kern w:val="0"/>
                <w:sz w:val="21"/>
                <w:szCs w:val="21"/>
                <w:highlight w:val="none"/>
              </w:rPr>
              <w:t>设计阶段</w:t>
            </w:r>
          </w:p>
          <w:p w14:paraId="6C572094">
            <w:pPr>
              <w:widowControl/>
              <w:wordWrap w:val="0"/>
              <w:topLinePunct/>
              <w:adjustRightInd w:val="0"/>
              <w:snapToGrid w:val="0"/>
              <w:spacing w:after="156" w:afterLines="50"/>
              <w:jc w:val="center"/>
              <w:rPr>
                <w:rFonts w:ascii="仿宋_GB2312" w:hAnsi="仿宋" w:eastAsia="仿宋_GB2312" w:cs="仿宋"/>
                <w:color w:val="auto"/>
                <w:kern w:val="0"/>
                <w:sz w:val="21"/>
                <w:szCs w:val="21"/>
                <w:highlight w:val="none"/>
              </w:rPr>
            </w:pPr>
            <w:r>
              <w:rPr>
                <w:rFonts w:ascii="仿宋_GB2312" w:hAnsi="仿宋" w:eastAsia="仿宋_GB2312" w:cs="仿宋"/>
                <w:color w:val="auto"/>
                <w:kern w:val="0"/>
                <w:sz w:val="21"/>
                <w:szCs w:val="21"/>
                <w:highlight w:val="none"/>
              </w:rPr>
              <w:t>BIM策划</w:t>
            </w:r>
          </w:p>
        </w:tc>
        <w:tc>
          <w:tcPr>
            <w:tcW w:w="2390" w:type="dxa"/>
            <w:noWrap w:val="0"/>
            <w:vAlign w:val="center"/>
          </w:tcPr>
          <w:p w14:paraId="188A25C4">
            <w:pPr>
              <w:widowControl/>
              <w:wordWrap w:val="0"/>
              <w:topLinePunct/>
              <w:adjustRightInd w:val="0"/>
              <w:snapToGrid w:val="0"/>
              <w:spacing w:after="156" w:afterLines="50"/>
              <w:jc w:val="left"/>
              <w:rPr>
                <w:rFonts w:ascii="仿宋_GB2312" w:hAnsi="仿宋" w:eastAsia="仿宋_GB2312" w:cs="仿宋"/>
                <w:color w:val="auto"/>
                <w:kern w:val="0"/>
                <w:sz w:val="21"/>
                <w:szCs w:val="21"/>
                <w:highlight w:val="none"/>
              </w:rPr>
            </w:pPr>
            <w:r>
              <w:rPr>
                <w:rFonts w:hint="eastAsia" w:ascii="仿宋_GB2312" w:hAnsi="仿宋" w:eastAsia="仿宋_GB2312" w:cs="Arial"/>
                <w:color w:val="auto"/>
                <w:kern w:val="0"/>
                <w:sz w:val="21"/>
                <w:szCs w:val="21"/>
                <w:highlight w:val="none"/>
              </w:rPr>
              <w:t>提交本项目设计阶段</w:t>
            </w:r>
            <w:r>
              <w:rPr>
                <w:rFonts w:ascii="仿宋_GB2312" w:hAnsi="仿宋" w:eastAsia="仿宋_GB2312" w:cs="Arial"/>
                <w:color w:val="auto"/>
                <w:kern w:val="0"/>
                <w:sz w:val="21"/>
                <w:szCs w:val="21"/>
                <w:highlight w:val="none"/>
              </w:rPr>
              <w:t>BIM实施方案，经甲方相关部门或甲方委托的第三方BIM顾问确认后。</w:t>
            </w:r>
          </w:p>
        </w:tc>
        <w:tc>
          <w:tcPr>
            <w:tcW w:w="3035" w:type="dxa"/>
            <w:noWrap w:val="0"/>
            <w:vAlign w:val="center"/>
          </w:tcPr>
          <w:p w14:paraId="7706C825">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《设计阶段</w:t>
            </w:r>
            <w:r>
              <w:rPr>
                <w:rFonts w:ascii="仿宋_GB2312" w:hAnsi="仿宋" w:eastAsia="仿宋_GB2312" w:cs="Arial"/>
                <w:color w:val="auto"/>
                <w:kern w:val="0"/>
                <w:sz w:val="21"/>
                <w:szCs w:val="21"/>
                <w:highlight w:val="none"/>
              </w:rPr>
              <w:t>BIM实施方案》</w:t>
            </w:r>
          </w:p>
        </w:tc>
        <w:tc>
          <w:tcPr>
            <w:tcW w:w="1645" w:type="dxa"/>
            <w:noWrap w:val="0"/>
            <w:vAlign w:val="center"/>
          </w:tcPr>
          <w:p w14:paraId="33535E0D">
            <w:pPr>
              <w:widowControl/>
              <w:wordWrap w:val="0"/>
              <w:topLinePunct/>
              <w:adjustRightInd w:val="0"/>
              <w:snapToGrid w:val="0"/>
              <w:spacing w:after="156" w:afterLines="50"/>
              <w:jc w:val="left"/>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合同签订后</w:t>
            </w:r>
            <w:r>
              <w:rPr>
                <w:rFonts w:ascii="仿宋_GB2312" w:hAnsi="仿宋" w:eastAsia="仿宋_GB2312" w:cs="Arial"/>
                <w:color w:val="auto"/>
                <w:kern w:val="0"/>
                <w:sz w:val="21"/>
                <w:szCs w:val="21"/>
                <w:highlight w:val="none"/>
              </w:rPr>
              <w:t>2周内</w:t>
            </w:r>
          </w:p>
        </w:tc>
        <w:tc>
          <w:tcPr>
            <w:tcW w:w="642" w:type="dxa"/>
            <w:noWrap w:val="0"/>
            <w:vAlign w:val="center"/>
          </w:tcPr>
          <w:p w14:paraId="5D5D4EF7">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ascii="仿宋_GB2312" w:hAnsi="仿宋" w:eastAsia="仿宋_GB2312" w:cs="Arial"/>
                <w:color w:val="auto"/>
                <w:kern w:val="0"/>
                <w:sz w:val="21"/>
                <w:szCs w:val="21"/>
                <w:highlight w:val="none"/>
              </w:rPr>
              <w:t>10%</w:t>
            </w:r>
          </w:p>
        </w:tc>
      </w:tr>
      <w:tr w14:paraId="4943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1760" w:type="dxa"/>
            <w:noWrap w:val="0"/>
            <w:vAlign w:val="center"/>
          </w:tcPr>
          <w:p w14:paraId="2BB439C3">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方案设计</w:t>
            </w:r>
          </w:p>
        </w:tc>
        <w:tc>
          <w:tcPr>
            <w:tcW w:w="2390" w:type="dxa"/>
            <w:noWrap w:val="0"/>
            <w:vAlign w:val="center"/>
          </w:tcPr>
          <w:p w14:paraId="5FE942DF">
            <w:pPr>
              <w:widowControl/>
              <w:wordWrap w:val="0"/>
              <w:topLinePunct/>
              <w:adjustRightInd w:val="0"/>
              <w:snapToGrid w:val="0"/>
              <w:spacing w:after="156" w:afterLines="50"/>
              <w:jc w:val="left"/>
              <w:rPr>
                <w:rFonts w:ascii="仿宋_GB2312" w:hAnsi="仿宋" w:eastAsia="仿宋_GB2312" w:cs="Arial"/>
                <w:color w:val="auto"/>
                <w:kern w:val="0"/>
                <w:sz w:val="21"/>
                <w:szCs w:val="21"/>
                <w:highlight w:val="none"/>
              </w:rPr>
            </w:pPr>
            <w:r>
              <w:rPr>
                <w:rFonts w:hint="eastAsia" w:ascii="仿宋_GB2312" w:hAnsi="仿宋" w:eastAsia="仿宋_GB2312" w:cs="Arial"/>
                <w:color w:val="auto"/>
                <w:sz w:val="21"/>
                <w:szCs w:val="21"/>
                <w:highlight w:val="none"/>
              </w:rPr>
              <w:t>提交本项目方案设计阶段</w:t>
            </w:r>
            <w:r>
              <w:rPr>
                <w:rFonts w:ascii="仿宋_GB2312" w:hAnsi="仿宋" w:eastAsia="仿宋_GB2312" w:cs="Arial"/>
                <w:color w:val="auto"/>
                <w:sz w:val="21"/>
                <w:szCs w:val="21"/>
                <w:highlight w:val="none"/>
              </w:rPr>
              <w:t>BIM模型及应用成果，完成数据与BIM平台对接，满足协同管理的工作要求，</w:t>
            </w:r>
            <w:r>
              <w:rPr>
                <w:rFonts w:hint="eastAsia" w:ascii="仿宋_GB2312" w:hAnsi="仿宋" w:eastAsia="仿宋_GB2312" w:cs="Arial"/>
                <w:color w:val="auto"/>
                <w:kern w:val="0"/>
                <w:sz w:val="21"/>
                <w:szCs w:val="21"/>
                <w:highlight w:val="none"/>
              </w:rPr>
              <w:t>经甲方相关部门或甲方委托的第三方</w:t>
            </w:r>
            <w:r>
              <w:rPr>
                <w:rFonts w:ascii="仿宋_GB2312" w:hAnsi="仿宋" w:eastAsia="仿宋_GB2312" w:cs="Arial"/>
                <w:color w:val="auto"/>
                <w:kern w:val="0"/>
                <w:sz w:val="21"/>
                <w:szCs w:val="21"/>
                <w:highlight w:val="none"/>
              </w:rPr>
              <w:t>BIM顾问确认后</w:t>
            </w:r>
            <w:r>
              <w:rPr>
                <w:rFonts w:hint="eastAsia" w:ascii="仿宋_GB2312" w:hAnsi="仿宋" w:eastAsia="仿宋_GB2312" w:cs="Arial"/>
                <w:color w:val="auto"/>
                <w:sz w:val="21"/>
                <w:szCs w:val="21"/>
                <w:highlight w:val="none"/>
              </w:rPr>
              <w:t>。</w:t>
            </w:r>
          </w:p>
        </w:tc>
        <w:tc>
          <w:tcPr>
            <w:tcW w:w="3035" w:type="dxa"/>
            <w:noWrap w:val="0"/>
            <w:vAlign w:val="center"/>
          </w:tcPr>
          <w:p w14:paraId="1CD87EA1">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方案设计阶段</w:t>
            </w:r>
            <w:r>
              <w:rPr>
                <w:rFonts w:ascii="仿宋_GB2312" w:hAnsi="仿宋" w:eastAsia="仿宋_GB2312" w:cs="Arial"/>
                <w:color w:val="auto"/>
                <w:kern w:val="0"/>
                <w:sz w:val="21"/>
                <w:szCs w:val="21"/>
                <w:highlight w:val="none"/>
              </w:rPr>
              <w:t>BIM模型</w:t>
            </w:r>
          </w:p>
          <w:p w14:paraId="759EDEE2">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ascii="仿宋_GB2312" w:hAnsi="仿宋" w:eastAsia="仿宋_GB2312" w:cs="Arial"/>
                <w:color w:val="auto"/>
                <w:kern w:val="0"/>
                <w:sz w:val="21"/>
                <w:szCs w:val="21"/>
                <w:highlight w:val="none"/>
              </w:rPr>
              <w:t>BIM应用报告及对应成果材料等</w:t>
            </w:r>
          </w:p>
        </w:tc>
        <w:tc>
          <w:tcPr>
            <w:tcW w:w="1645" w:type="dxa"/>
            <w:noWrap w:val="0"/>
            <w:vAlign w:val="center"/>
          </w:tcPr>
          <w:p w14:paraId="50A5CA82">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与方案设计同步</w:t>
            </w:r>
          </w:p>
        </w:tc>
        <w:tc>
          <w:tcPr>
            <w:tcW w:w="642" w:type="dxa"/>
            <w:noWrap w:val="0"/>
            <w:vAlign w:val="center"/>
          </w:tcPr>
          <w:p w14:paraId="538D915E">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ascii="仿宋_GB2312" w:hAnsi="仿宋" w:eastAsia="仿宋_GB2312" w:cs="Arial"/>
                <w:color w:val="auto"/>
                <w:kern w:val="0"/>
                <w:sz w:val="21"/>
                <w:szCs w:val="21"/>
                <w:highlight w:val="none"/>
              </w:rPr>
              <w:t>10%</w:t>
            </w:r>
          </w:p>
        </w:tc>
      </w:tr>
      <w:tr w14:paraId="62AC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760" w:type="dxa"/>
            <w:noWrap w:val="0"/>
            <w:vAlign w:val="center"/>
          </w:tcPr>
          <w:p w14:paraId="52531594">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初步设计</w:t>
            </w:r>
          </w:p>
        </w:tc>
        <w:tc>
          <w:tcPr>
            <w:tcW w:w="2390" w:type="dxa"/>
            <w:noWrap w:val="0"/>
            <w:vAlign w:val="center"/>
          </w:tcPr>
          <w:p w14:paraId="7EC46D07">
            <w:pPr>
              <w:widowControl/>
              <w:wordWrap w:val="0"/>
              <w:topLinePunct/>
              <w:adjustRightInd w:val="0"/>
              <w:snapToGrid w:val="0"/>
              <w:spacing w:after="156" w:afterLines="50"/>
              <w:jc w:val="left"/>
              <w:rPr>
                <w:rFonts w:ascii="仿宋_GB2312" w:hAnsi="仿宋" w:eastAsia="仿宋_GB2312" w:cs="Arial"/>
                <w:color w:val="auto"/>
                <w:kern w:val="0"/>
                <w:sz w:val="21"/>
                <w:szCs w:val="21"/>
                <w:highlight w:val="none"/>
              </w:rPr>
            </w:pPr>
            <w:r>
              <w:rPr>
                <w:rFonts w:hint="eastAsia" w:ascii="仿宋_GB2312" w:hAnsi="仿宋" w:eastAsia="仿宋_GB2312" w:cs="Arial"/>
                <w:color w:val="auto"/>
                <w:sz w:val="21"/>
                <w:szCs w:val="21"/>
                <w:highlight w:val="none"/>
              </w:rPr>
              <w:t>提交本项目初步设计阶段</w:t>
            </w:r>
            <w:r>
              <w:rPr>
                <w:rFonts w:ascii="仿宋_GB2312" w:hAnsi="仿宋" w:eastAsia="仿宋_GB2312" w:cs="Arial"/>
                <w:color w:val="auto"/>
                <w:sz w:val="21"/>
                <w:szCs w:val="21"/>
                <w:highlight w:val="none"/>
              </w:rPr>
              <w:t>BIM模型及应用成果，完成数据与BIM平台对接，满足协同管理的工作要求，</w:t>
            </w:r>
            <w:r>
              <w:rPr>
                <w:rFonts w:hint="eastAsia" w:ascii="仿宋_GB2312" w:hAnsi="仿宋" w:eastAsia="仿宋_GB2312" w:cs="Arial"/>
                <w:color w:val="auto"/>
                <w:kern w:val="0"/>
                <w:sz w:val="21"/>
                <w:szCs w:val="21"/>
                <w:highlight w:val="none"/>
              </w:rPr>
              <w:t>经甲方相关部门或甲方委托的第三方</w:t>
            </w:r>
            <w:r>
              <w:rPr>
                <w:rFonts w:ascii="仿宋_GB2312" w:hAnsi="仿宋" w:eastAsia="仿宋_GB2312" w:cs="Arial"/>
                <w:color w:val="auto"/>
                <w:kern w:val="0"/>
                <w:sz w:val="21"/>
                <w:szCs w:val="21"/>
                <w:highlight w:val="none"/>
              </w:rPr>
              <w:t>BIM顾问确认后</w:t>
            </w:r>
            <w:r>
              <w:rPr>
                <w:rFonts w:hint="eastAsia" w:ascii="仿宋_GB2312" w:hAnsi="仿宋" w:eastAsia="仿宋_GB2312" w:cs="Arial"/>
                <w:color w:val="auto"/>
                <w:sz w:val="21"/>
                <w:szCs w:val="21"/>
                <w:highlight w:val="none"/>
              </w:rPr>
              <w:t>。</w:t>
            </w:r>
          </w:p>
        </w:tc>
        <w:tc>
          <w:tcPr>
            <w:tcW w:w="3035" w:type="dxa"/>
            <w:noWrap w:val="0"/>
            <w:vAlign w:val="center"/>
          </w:tcPr>
          <w:p w14:paraId="5BE63310">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初步设计阶段</w:t>
            </w:r>
            <w:r>
              <w:rPr>
                <w:rFonts w:ascii="仿宋_GB2312" w:hAnsi="仿宋" w:eastAsia="仿宋_GB2312" w:cs="Arial"/>
                <w:color w:val="auto"/>
                <w:kern w:val="0"/>
                <w:sz w:val="21"/>
                <w:szCs w:val="21"/>
                <w:highlight w:val="none"/>
              </w:rPr>
              <w:t>BIM模型</w:t>
            </w:r>
          </w:p>
          <w:p w14:paraId="7D7EE73B">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模型工程量与清单量对比分析，设计概算工程量取</w:t>
            </w:r>
            <w:r>
              <w:rPr>
                <w:rFonts w:ascii="仿宋_GB2312" w:hAnsi="仿宋" w:eastAsia="仿宋_GB2312" w:cs="Arial"/>
                <w:color w:val="auto"/>
                <w:kern w:val="0"/>
                <w:sz w:val="21"/>
                <w:szCs w:val="21"/>
                <w:highlight w:val="none"/>
              </w:rPr>
              <w:t>min{模型量，清单量}</w:t>
            </w:r>
          </w:p>
          <w:p w14:paraId="26EA823E">
            <w:pPr>
              <w:widowControl/>
              <w:wordWrap w:val="0"/>
              <w:topLinePunct/>
              <w:adjustRightInd w:val="0"/>
              <w:snapToGrid w:val="0"/>
              <w:spacing w:after="156" w:afterLines="50"/>
              <w:jc w:val="center"/>
              <w:rPr>
                <w:rFonts w:ascii="仿宋_GB2312" w:hAnsi="仿宋" w:eastAsia="仿宋_GB2312" w:cs="Arial"/>
                <w:color w:val="auto"/>
                <w:sz w:val="21"/>
                <w:szCs w:val="21"/>
                <w:highlight w:val="none"/>
              </w:rPr>
            </w:pPr>
            <w:r>
              <w:rPr>
                <w:rFonts w:ascii="仿宋_GB2312" w:hAnsi="仿宋" w:eastAsia="仿宋_GB2312" w:cs="Arial"/>
                <w:color w:val="auto"/>
                <w:kern w:val="0"/>
                <w:sz w:val="21"/>
                <w:szCs w:val="21"/>
                <w:highlight w:val="none"/>
              </w:rPr>
              <w:t>BIM应用报告及对应成果材料等</w:t>
            </w:r>
          </w:p>
        </w:tc>
        <w:tc>
          <w:tcPr>
            <w:tcW w:w="1645" w:type="dxa"/>
            <w:noWrap w:val="0"/>
            <w:vAlign w:val="center"/>
          </w:tcPr>
          <w:p w14:paraId="32BD787B">
            <w:pPr>
              <w:widowControl/>
              <w:wordWrap w:val="0"/>
              <w:topLinePunct/>
              <w:adjustRightInd w:val="0"/>
              <w:snapToGrid w:val="0"/>
              <w:spacing w:after="156" w:afterLines="50"/>
              <w:jc w:val="left"/>
              <w:rPr>
                <w:rFonts w:ascii="仿宋_GB2312" w:hAnsi="仿宋" w:eastAsia="仿宋_GB2312" w:cs="Arial"/>
                <w:color w:val="auto"/>
                <w:sz w:val="21"/>
                <w:szCs w:val="21"/>
                <w:highlight w:val="none"/>
              </w:rPr>
            </w:pPr>
            <w:r>
              <w:rPr>
                <w:rFonts w:hint="eastAsia" w:ascii="仿宋_GB2312" w:hAnsi="仿宋" w:eastAsia="仿宋_GB2312" w:cs="Arial"/>
                <w:color w:val="auto"/>
                <w:kern w:val="0"/>
                <w:sz w:val="21"/>
                <w:szCs w:val="21"/>
                <w:highlight w:val="none"/>
              </w:rPr>
              <w:t>与初步设计同步</w:t>
            </w:r>
          </w:p>
        </w:tc>
        <w:tc>
          <w:tcPr>
            <w:tcW w:w="642" w:type="dxa"/>
            <w:noWrap w:val="0"/>
            <w:vAlign w:val="center"/>
          </w:tcPr>
          <w:p w14:paraId="114AC60A">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ascii="仿宋_GB2312" w:hAnsi="仿宋" w:eastAsia="仿宋_GB2312" w:cs="Arial"/>
                <w:color w:val="auto"/>
                <w:kern w:val="0"/>
                <w:sz w:val="21"/>
                <w:szCs w:val="21"/>
                <w:highlight w:val="none"/>
              </w:rPr>
              <w:t>10%</w:t>
            </w:r>
          </w:p>
        </w:tc>
      </w:tr>
      <w:tr w14:paraId="0F2C6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1" w:hRule="atLeast"/>
          <w:jc w:val="center"/>
        </w:trPr>
        <w:tc>
          <w:tcPr>
            <w:tcW w:w="1760" w:type="dxa"/>
            <w:noWrap w:val="0"/>
            <w:vAlign w:val="center"/>
          </w:tcPr>
          <w:p w14:paraId="7CBE2E29">
            <w:pPr>
              <w:widowControl/>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施工图设计</w:t>
            </w:r>
          </w:p>
        </w:tc>
        <w:tc>
          <w:tcPr>
            <w:tcW w:w="2390" w:type="dxa"/>
            <w:noWrap w:val="0"/>
            <w:vAlign w:val="center"/>
          </w:tcPr>
          <w:p w14:paraId="243A0F56">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提交本项目建筑、结构专业施工图设计阶段</w:t>
            </w:r>
            <w:r>
              <w:rPr>
                <w:rFonts w:ascii="仿宋_GB2312" w:hAnsi="仿宋" w:eastAsia="仿宋_GB2312" w:cs="Arial"/>
                <w:color w:val="auto"/>
                <w:kern w:val="0"/>
                <w:sz w:val="21"/>
                <w:szCs w:val="21"/>
                <w:highlight w:val="none"/>
              </w:rPr>
              <w:t>BIM</w:t>
            </w:r>
            <w:r>
              <w:rPr>
                <w:rFonts w:hint="eastAsia" w:ascii="仿宋_GB2312" w:hAnsi="仿宋" w:eastAsia="仿宋_GB2312" w:cs="Arial"/>
                <w:color w:val="auto"/>
                <w:kern w:val="0"/>
                <w:sz w:val="21"/>
                <w:szCs w:val="21"/>
                <w:highlight w:val="none"/>
              </w:rPr>
              <w:t>模型及应用成果，完成数据与</w:t>
            </w:r>
            <w:r>
              <w:rPr>
                <w:rFonts w:ascii="仿宋_GB2312" w:hAnsi="仿宋" w:eastAsia="仿宋_GB2312" w:cs="Arial"/>
                <w:color w:val="auto"/>
                <w:kern w:val="0"/>
                <w:sz w:val="21"/>
                <w:szCs w:val="21"/>
                <w:highlight w:val="none"/>
              </w:rPr>
              <w:t>BIM平台对接，满足协同管理的工作要求，经甲方相关部门或甲方委托的第三方BIM顾问确认后。</w:t>
            </w:r>
          </w:p>
        </w:tc>
        <w:tc>
          <w:tcPr>
            <w:tcW w:w="3035" w:type="dxa"/>
            <w:noWrap w:val="0"/>
            <w:vAlign w:val="center"/>
          </w:tcPr>
          <w:p w14:paraId="52C740E0">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建筑、结构模型</w:t>
            </w:r>
          </w:p>
          <w:p w14:paraId="6AAF2B18">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模型工程量与清单量对比分析，施工图预算工程量取</w:t>
            </w:r>
            <w:r>
              <w:rPr>
                <w:rFonts w:ascii="仿宋_GB2312" w:hAnsi="仿宋" w:eastAsia="仿宋_GB2312" w:cs="Arial"/>
                <w:color w:val="auto"/>
                <w:kern w:val="0"/>
                <w:sz w:val="21"/>
                <w:szCs w:val="21"/>
                <w:highlight w:val="none"/>
              </w:rPr>
              <w:t>min{模型量，清单量}</w:t>
            </w:r>
          </w:p>
          <w:p w14:paraId="6130C1EF">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ascii="仿宋_GB2312" w:hAnsi="仿宋" w:eastAsia="仿宋_GB2312" w:cs="Arial"/>
                <w:color w:val="auto"/>
                <w:kern w:val="0"/>
                <w:sz w:val="21"/>
                <w:szCs w:val="21"/>
                <w:highlight w:val="none"/>
              </w:rPr>
              <w:t>BIM应用报告及对应成果材料等</w:t>
            </w:r>
          </w:p>
        </w:tc>
        <w:tc>
          <w:tcPr>
            <w:tcW w:w="1645" w:type="dxa"/>
            <w:noWrap w:val="0"/>
            <w:vAlign w:val="center"/>
          </w:tcPr>
          <w:p w14:paraId="65CD33A1">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与建筑、结构施工图设计同步</w:t>
            </w:r>
          </w:p>
        </w:tc>
        <w:tc>
          <w:tcPr>
            <w:tcW w:w="642" w:type="dxa"/>
            <w:noWrap w:val="0"/>
            <w:vAlign w:val="center"/>
          </w:tcPr>
          <w:p w14:paraId="52B7C143">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ascii="仿宋_GB2312" w:hAnsi="仿宋" w:eastAsia="仿宋_GB2312" w:cs="Arial"/>
                <w:color w:val="auto"/>
                <w:kern w:val="0"/>
                <w:sz w:val="21"/>
                <w:szCs w:val="21"/>
                <w:highlight w:val="none"/>
              </w:rPr>
              <w:t>30%</w:t>
            </w:r>
          </w:p>
        </w:tc>
      </w:tr>
      <w:tr w14:paraId="28E8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60" w:type="dxa"/>
            <w:noWrap w:val="0"/>
            <w:vAlign w:val="center"/>
          </w:tcPr>
          <w:p w14:paraId="469AFCC5">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施工图设计</w:t>
            </w:r>
          </w:p>
        </w:tc>
        <w:tc>
          <w:tcPr>
            <w:tcW w:w="2390" w:type="dxa"/>
            <w:noWrap w:val="0"/>
            <w:vAlign w:val="center"/>
          </w:tcPr>
          <w:p w14:paraId="6A7EA189">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提交本项目机电、装饰等其他专业施工图设计阶段</w:t>
            </w:r>
            <w:r>
              <w:rPr>
                <w:rFonts w:ascii="仿宋_GB2312" w:hAnsi="仿宋" w:eastAsia="仿宋_GB2312" w:cs="Arial"/>
                <w:color w:val="auto"/>
                <w:kern w:val="0"/>
                <w:sz w:val="21"/>
                <w:szCs w:val="21"/>
                <w:highlight w:val="none"/>
              </w:rPr>
              <w:t>BIM模型及应用成果，完成数据与BIM平台对接，满足协同管理的工作要求，经甲方相关部门或甲方委托的第三方BIM顾问确认后。</w:t>
            </w:r>
          </w:p>
        </w:tc>
        <w:tc>
          <w:tcPr>
            <w:tcW w:w="3035" w:type="dxa"/>
            <w:noWrap w:val="0"/>
            <w:vAlign w:val="center"/>
          </w:tcPr>
          <w:p w14:paraId="2961D265">
            <w:pPr>
              <w:widowControl/>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机电、装饰等模型</w:t>
            </w:r>
          </w:p>
          <w:p w14:paraId="298DF94A">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模型工程量与清单量对比分析，施工图预算工程量取</w:t>
            </w:r>
            <w:r>
              <w:rPr>
                <w:rFonts w:ascii="仿宋_GB2312" w:hAnsi="仿宋" w:eastAsia="仿宋_GB2312" w:cs="Arial"/>
                <w:color w:val="auto"/>
                <w:kern w:val="0"/>
                <w:sz w:val="21"/>
                <w:szCs w:val="21"/>
                <w:highlight w:val="none"/>
              </w:rPr>
              <w:t>min{模型量，清单量}</w:t>
            </w:r>
          </w:p>
          <w:p w14:paraId="0BF8BD53">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ascii="仿宋_GB2312" w:hAnsi="仿宋" w:eastAsia="仿宋_GB2312" w:cs="Arial"/>
                <w:color w:val="auto"/>
                <w:kern w:val="0"/>
                <w:sz w:val="21"/>
                <w:szCs w:val="21"/>
                <w:highlight w:val="none"/>
              </w:rPr>
              <w:t>BIM应用报告及对应成果材料等</w:t>
            </w:r>
          </w:p>
        </w:tc>
        <w:tc>
          <w:tcPr>
            <w:tcW w:w="1645" w:type="dxa"/>
            <w:noWrap w:val="0"/>
            <w:vAlign w:val="center"/>
          </w:tcPr>
          <w:p w14:paraId="6A4A798F">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hint="eastAsia" w:ascii="仿宋_GB2312" w:hAnsi="仿宋" w:eastAsia="仿宋_GB2312" w:cs="Arial"/>
                <w:color w:val="auto"/>
                <w:kern w:val="0"/>
                <w:sz w:val="21"/>
                <w:szCs w:val="21"/>
                <w:highlight w:val="none"/>
              </w:rPr>
              <w:t>与机电、装饰等其他专业施工图设计同步</w:t>
            </w:r>
          </w:p>
        </w:tc>
        <w:tc>
          <w:tcPr>
            <w:tcW w:w="642" w:type="dxa"/>
            <w:noWrap w:val="0"/>
            <w:vAlign w:val="center"/>
          </w:tcPr>
          <w:p w14:paraId="7D75015D">
            <w:pPr>
              <w:widowControl/>
              <w:wordWrap w:val="0"/>
              <w:topLinePunct/>
              <w:adjustRightInd w:val="0"/>
              <w:snapToGrid w:val="0"/>
              <w:spacing w:after="156" w:afterLines="50"/>
              <w:jc w:val="center"/>
              <w:rPr>
                <w:rFonts w:ascii="仿宋_GB2312" w:hAnsi="仿宋" w:eastAsia="仿宋_GB2312" w:cs="Arial"/>
                <w:color w:val="auto"/>
                <w:kern w:val="0"/>
                <w:sz w:val="21"/>
                <w:szCs w:val="21"/>
                <w:highlight w:val="none"/>
              </w:rPr>
            </w:pPr>
            <w:r>
              <w:rPr>
                <w:rFonts w:ascii="仿宋_GB2312" w:hAnsi="仿宋" w:eastAsia="仿宋_GB2312" w:cs="Arial"/>
                <w:color w:val="auto"/>
                <w:kern w:val="0"/>
                <w:sz w:val="21"/>
                <w:szCs w:val="21"/>
                <w:highlight w:val="none"/>
              </w:rPr>
              <w:t>40%</w:t>
            </w:r>
          </w:p>
        </w:tc>
      </w:tr>
    </w:tbl>
    <w:p w14:paraId="2F511E2E">
      <w:pPr>
        <w:rPr>
          <w:color w:val="auto"/>
          <w:highlight w:val="none"/>
        </w:rPr>
      </w:pPr>
    </w:p>
    <w:p w14:paraId="062D00DE">
      <w:pPr>
        <w:pStyle w:val="359"/>
        <w:ind w:firstLine="0" w:firstLineChars="0"/>
        <w:rPr>
          <w:rFonts w:ascii="宋体" w:hAnsi="宋体" w:eastAsia="宋体"/>
          <w:b w:val="0"/>
          <w:bCs/>
          <w:color w:val="auto"/>
          <w:highlight w:val="none"/>
        </w:rPr>
      </w:pPr>
      <w:r>
        <w:rPr>
          <w:rFonts w:hint="eastAsia" w:ascii="宋体" w:hAnsi="宋体" w:eastAsia="宋体"/>
          <w:b w:val="0"/>
          <w:color w:val="auto"/>
          <w:highlight w:val="none"/>
        </w:rPr>
        <w:t>备注：</w:t>
      </w:r>
      <w:r>
        <w:rPr>
          <w:rFonts w:ascii="宋体" w:hAnsi="宋体" w:cs="宋体"/>
          <w:b w:val="0"/>
          <w:color w:val="auto"/>
          <w:spacing w:val="4"/>
          <w:szCs w:val="21"/>
          <w:highlight w:val="none"/>
        </w:rPr>
        <w:t>BIM</w:t>
      </w:r>
      <w:r>
        <w:rPr>
          <w:rFonts w:hint="eastAsia" w:ascii="宋体" w:hAnsi="宋体" w:cs="宋体"/>
          <w:b w:val="0"/>
          <w:color w:val="auto"/>
          <w:spacing w:val="4"/>
          <w:szCs w:val="21"/>
          <w:highlight w:val="none"/>
        </w:rPr>
        <w:t>技术费用</w:t>
      </w:r>
      <w:r>
        <w:rPr>
          <w:rFonts w:hint="eastAsia" w:ascii="宋体" w:hAnsi="宋体" w:eastAsia="宋体"/>
          <w:b w:val="0"/>
          <w:color w:val="auto"/>
          <w:highlight w:val="none"/>
        </w:rPr>
        <w:t>计费方式为总价包干。</w:t>
      </w:r>
    </w:p>
    <w:p w14:paraId="2CA480EB">
      <w:pPr>
        <w:pStyle w:val="359"/>
        <w:ind w:firstLine="0" w:firstLineChars="0"/>
        <w:rPr>
          <w:rFonts w:ascii="宋体" w:hAnsi="宋体" w:eastAsia="宋体"/>
          <w:b w:val="0"/>
          <w:bCs/>
          <w:color w:val="auto"/>
          <w:highlight w:val="none"/>
        </w:rPr>
      </w:pPr>
      <w:r>
        <w:rPr>
          <w:rFonts w:hint="eastAsia" w:ascii="宋体" w:hAnsi="宋体" w:eastAsia="宋体"/>
          <w:b w:val="0"/>
          <w:bCs/>
          <w:color w:val="auto"/>
          <w:highlight w:val="none"/>
        </w:rPr>
        <w:t>竣工图编制费付款，编制完成并经发包人审核通过后支付。</w:t>
      </w:r>
    </w:p>
    <w:p w14:paraId="3E6770E2">
      <w:pPr>
        <w:pStyle w:val="359"/>
        <w:rPr>
          <w:rFonts w:hint="eastAsia" w:ascii="宋体" w:hAnsi="宋体" w:eastAsia="宋体"/>
          <w:b w:val="0"/>
          <w:bCs/>
          <w:color w:val="auto"/>
          <w:highlight w:val="none"/>
        </w:rPr>
      </w:pPr>
    </w:p>
    <w:p w14:paraId="0541CAC3">
      <w:pPr>
        <w:pStyle w:val="359"/>
        <w:rPr>
          <w:rFonts w:ascii="宋体" w:hAnsi="宋体" w:eastAsia="宋体"/>
          <w:b w:val="0"/>
          <w:bCs/>
          <w:color w:val="auto"/>
          <w:highlight w:val="none"/>
        </w:rPr>
      </w:pPr>
      <w:r>
        <w:rPr>
          <w:rFonts w:hint="eastAsia" w:ascii="宋体" w:hAnsi="宋体" w:eastAsia="宋体"/>
          <w:b w:val="0"/>
          <w:bCs/>
          <w:color w:val="auto"/>
          <w:highlight w:val="none"/>
        </w:rPr>
        <w:t>说明：</w:t>
      </w:r>
    </w:p>
    <w:p w14:paraId="7FB1FBB2">
      <w:pPr>
        <w:spacing w:line="360" w:lineRule="auto"/>
        <w:ind w:firstLine="420"/>
        <w:rPr>
          <w:rFonts w:ascii="宋体" w:hAnsi="宋体" w:eastAsia="宋体"/>
          <w:color w:val="auto"/>
          <w:sz w:val="24"/>
          <w:szCs w:val="24"/>
          <w:highlight w:val="none"/>
        </w:rPr>
      </w:pPr>
      <w:r>
        <w:rPr>
          <w:rFonts w:hint="eastAsia" w:ascii="宋体" w:hAnsi="宋体" w:eastAsia="宋体"/>
          <w:color w:val="auto"/>
          <w:sz w:val="24"/>
          <w:szCs w:val="24"/>
          <w:highlight w:val="none"/>
        </w:rPr>
        <w:t>1</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发包人支付的设计费中包含了设计人履行合同所需的所有支出，设计人每次办理款项申请时须开据发票（税金由设计人自理），并按发包人的要求提供进度款申请资料。</w:t>
      </w:r>
    </w:p>
    <w:p w14:paraId="420DF901">
      <w:pPr>
        <w:spacing w:line="360" w:lineRule="auto"/>
        <w:ind w:firstLine="420"/>
        <w:rPr>
          <w:rFonts w:ascii="宋体" w:hAnsi="宋体" w:eastAsia="宋体"/>
          <w:color w:val="auto"/>
          <w:sz w:val="24"/>
          <w:szCs w:val="24"/>
          <w:highlight w:val="none"/>
        </w:rPr>
      </w:pPr>
      <w:r>
        <w:rPr>
          <w:rFonts w:hint="eastAsia" w:ascii="宋体" w:hAnsi="宋体"/>
          <w:color w:val="auto"/>
          <w:sz w:val="24"/>
          <w:szCs w:val="24"/>
          <w:highlight w:val="none"/>
          <w:lang w:val="en-US" w:eastAsia="zh-CN"/>
        </w:rPr>
        <w:t>2.</w:t>
      </w:r>
      <w:r>
        <w:rPr>
          <w:rFonts w:hint="eastAsia" w:ascii="宋体" w:hAnsi="宋体" w:eastAsia="宋体"/>
          <w:color w:val="auto"/>
          <w:sz w:val="24"/>
          <w:szCs w:val="24"/>
          <w:highlight w:val="none"/>
        </w:rPr>
        <w:t>设计费结算以广东省财政厅审定为准。</w:t>
      </w:r>
    </w:p>
    <w:p w14:paraId="70D6F30D">
      <w:pPr>
        <w:spacing w:line="360" w:lineRule="auto"/>
        <w:ind w:firstLine="420"/>
        <w:rPr>
          <w:rFonts w:ascii="宋体" w:hAnsi="宋体" w:eastAsia="宋体"/>
          <w:color w:val="auto"/>
          <w:sz w:val="24"/>
          <w:szCs w:val="24"/>
          <w:highlight w:val="none"/>
        </w:rPr>
      </w:pPr>
      <w:r>
        <w:rPr>
          <w:rFonts w:hint="eastAsia" w:ascii="宋体" w:hAnsi="宋体" w:eastAsia="宋体"/>
          <w:color w:val="auto"/>
          <w:sz w:val="24"/>
          <w:szCs w:val="24"/>
          <w:highlight w:val="none"/>
        </w:rPr>
        <w:t>3</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发包人付给设计人的款项为设计人与本项目有关的唯一报酬，设计人在与本项目有关的活动中，或在履行合同义务时，不应为私利而接受佣金、回扣或类似费用，一经发现该部分款项从发包人支付给设计人的费用中扣减。</w:t>
      </w:r>
    </w:p>
    <w:p w14:paraId="30A31096">
      <w:pPr>
        <w:spacing w:line="360" w:lineRule="auto"/>
        <w:ind w:firstLine="420"/>
        <w:rPr>
          <w:rFonts w:ascii="宋体" w:hAnsi="宋体" w:eastAsia="宋体"/>
          <w:color w:val="auto"/>
          <w:sz w:val="24"/>
          <w:szCs w:val="24"/>
          <w:highlight w:val="none"/>
        </w:rPr>
      </w:pPr>
      <w:r>
        <w:rPr>
          <w:rFonts w:hint="eastAsia" w:ascii="宋体" w:hAnsi="宋体"/>
          <w:color w:val="auto"/>
          <w:sz w:val="24"/>
          <w:szCs w:val="24"/>
          <w:highlight w:val="none"/>
          <w:lang w:val="en-US" w:eastAsia="zh-CN"/>
        </w:rPr>
        <w:t>4.</w:t>
      </w:r>
      <w:r>
        <w:rPr>
          <w:rFonts w:hint="eastAsia" w:ascii="宋体" w:hAnsi="宋体" w:eastAsia="宋体"/>
          <w:color w:val="auto"/>
          <w:sz w:val="24"/>
          <w:szCs w:val="24"/>
          <w:highlight w:val="none"/>
        </w:rPr>
        <w:t>上述所有的支付时间不包含政府部门审批时间，设计人已清楚明白本项目工程款的拨付程序，并理解因政府部门审核请款手续对时间等方面的影响与发包人无关，故非发包人原因造成的工程款支付拖延，不得向发包人要求计付拖延工程款期间的利息及因此导致的其他损失。设计人应委派专人负责跟进报酬支付呈批过程的相关事务。</w:t>
      </w:r>
    </w:p>
    <w:p w14:paraId="50671B24">
      <w:pPr>
        <w:spacing w:line="360" w:lineRule="auto"/>
        <w:ind w:firstLine="424" w:firstLineChars="177"/>
        <w:jc w:val="left"/>
        <w:rPr>
          <w:rFonts w:ascii="宋体" w:hAnsi="宋体" w:eastAsia="宋体"/>
          <w:color w:val="auto"/>
          <w:sz w:val="24"/>
          <w:szCs w:val="24"/>
          <w:highlight w:val="none"/>
        </w:rPr>
      </w:pPr>
      <w:r>
        <w:rPr>
          <w:rFonts w:hint="eastAsia" w:ascii="宋体" w:hAnsi="宋体" w:eastAsia="宋体"/>
          <w:color w:val="auto"/>
          <w:sz w:val="24"/>
          <w:szCs w:val="24"/>
          <w:highlight w:val="none"/>
        </w:rPr>
        <w:t>5</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本项目如发生因为规划或其他政策因素导致的部分内容不实施或延期实施，已实施部分按完成工作量计算；在服务期内需要延期的，不增加延期设计费及勘察费。</w:t>
      </w:r>
    </w:p>
    <w:p w14:paraId="575C2BB8">
      <w:pPr>
        <w:spacing w:line="360" w:lineRule="auto"/>
        <w:ind w:firstLine="480" w:firstLineChars="200"/>
        <w:jc w:val="left"/>
        <w:rPr>
          <w:rFonts w:hint="eastAsia" w:ascii="宋体" w:hAnsi="宋体" w:eastAsia="宋体"/>
          <w:color w:val="auto"/>
          <w:sz w:val="24"/>
          <w:highlight w:val="none"/>
        </w:rPr>
      </w:pPr>
      <w:r>
        <w:rPr>
          <w:rFonts w:hint="eastAsia" w:ascii="宋体" w:hAnsi="宋体"/>
          <w:color w:val="auto"/>
          <w:sz w:val="24"/>
          <w:szCs w:val="24"/>
          <w:highlight w:val="none"/>
          <w:lang w:val="en-US" w:eastAsia="zh-CN"/>
        </w:rPr>
        <w:t>6.</w:t>
      </w:r>
      <w:r>
        <w:rPr>
          <w:rFonts w:hint="eastAsia" w:ascii="宋体" w:hAnsi="宋体" w:eastAsia="宋体"/>
          <w:color w:val="auto"/>
          <w:sz w:val="24"/>
          <w:highlight w:val="none"/>
        </w:rPr>
        <w:t>若设计过程中发包人要求设计人员一同前往外地考察，承包人应予以配合，考察费用按本合同所列设计费的5%列支，如有结余则归承包人所有。</w:t>
      </w:r>
    </w:p>
    <w:p w14:paraId="222EF7EF">
      <w:pPr>
        <w:spacing w:line="360" w:lineRule="auto"/>
        <w:ind w:firstLine="424" w:firstLineChars="177"/>
        <w:jc w:val="left"/>
        <w:rPr>
          <w:rFonts w:asciiTheme="minorEastAsia" w:hAnsiTheme="minorEastAsia" w:eastAsiaTheme="minorEastAsia"/>
          <w:b/>
          <w:sz w:val="24"/>
          <w:szCs w:val="24"/>
          <w:highlight w:val="none"/>
        </w:rPr>
      </w:pPr>
      <w:r>
        <w:rPr>
          <w:rFonts w:hint="eastAsia" w:asciiTheme="minorEastAsia" w:hAnsiTheme="minorEastAsia" w:eastAsiaTheme="minorEastAsia"/>
          <w:kern w:val="0"/>
          <w:sz w:val="24"/>
          <w:szCs w:val="24"/>
          <w:highlight w:val="none"/>
        </w:rPr>
        <w:t>10.5</w:t>
      </w:r>
      <w:r>
        <w:rPr>
          <w:rFonts w:hint="eastAsia" w:asciiTheme="minorEastAsia" w:hAnsiTheme="minorEastAsia" w:eastAsiaTheme="minorEastAsia"/>
          <w:b/>
          <w:sz w:val="24"/>
          <w:szCs w:val="24"/>
          <w:highlight w:val="none"/>
        </w:rPr>
        <w:t>合同价款的结算与支付</w:t>
      </w:r>
    </w:p>
    <w:p w14:paraId="0E5E378F">
      <w:pPr>
        <w:spacing w:line="360" w:lineRule="auto"/>
        <w:ind w:firstLine="424" w:firstLineChars="177"/>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10.5.1</w:t>
      </w:r>
      <w:r>
        <w:rPr>
          <w:rFonts w:hint="eastAsia" w:asciiTheme="minorEastAsia" w:hAnsiTheme="minorEastAsia" w:eastAsiaTheme="minorEastAsia"/>
          <w:sz w:val="24"/>
          <w:szCs w:val="24"/>
          <w:highlight w:val="none"/>
          <w:u w:val="single"/>
        </w:rPr>
        <w:t>工程设计费计费方式为总价包干，设计费已包含了完成本项目设计工作内容的全部费用，包含并不限于后续项目变更的设计工作量，项目概算内产生的变更调整等均不再另行增加设计费。设计费最终结算价须经省政府财政部门审核。</w:t>
      </w:r>
    </w:p>
    <w:p w14:paraId="142E56CA">
      <w:pPr>
        <w:spacing w:before="120" w:after="120" w:line="360" w:lineRule="auto"/>
        <w:ind w:firstLine="426" w:firstLineChars="177"/>
        <w:jc w:val="left"/>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11. 工程设计变更与索赔</w:t>
      </w:r>
    </w:p>
    <w:p w14:paraId="379E280C">
      <w:pPr>
        <w:spacing w:line="360" w:lineRule="auto"/>
        <w:ind w:firstLine="424" w:firstLineChars="177"/>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11.5 设计人应于认为有理由提出增加合同价款或延长设计周期的要求事项发生后</w:t>
      </w:r>
      <w:r>
        <w:rPr>
          <w:rFonts w:hint="eastAsia" w:asciiTheme="minorEastAsia" w:hAnsiTheme="minorEastAsia" w:eastAsiaTheme="minorEastAsia"/>
          <w:kern w:val="0"/>
          <w:sz w:val="24"/>
          <w:szCs w:val="24"/>
          <w:highlight w:val="none"/>
          <w:u w:val="single"/>
        </w:rPr>
        <w:t xml:space="preserve">  5  </w:t>
      </w:r>
      <w:r>
        <w:rPr>
          <w:rFonts w:hint="eastAsia" w:asciiTheme="minorEastAsia" w:hAnsiTheme="minorEastAsia" w:eastAsiaTheme="minorEastAsia"/>
          <w:kern w:val="0"/>
          <w:sz w:val="24"/>
          <w:szCs w:val="24"/>
          <w:highlight w:val="none"/>
        </w:rPr>
        <w:t>个日历天内书面通知发包人。</w:t>
      </w:r>
    </w:p>
    <w:p w14:paraId="046999A9">
      <w:pPr>
        <w:spacing w:line="360" w:lineRule="auto"/>
        <w:ind w:firstLine="424" w:firstLineChars="177"/>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设计人应在该事项发生后</w:t>
      </w:r>
      <w:r>
        <w:rPr>
          <w:rFonts w:hint="eastAsia" w:asciiTheme="minorEastAsia" w:hAnsiTheme="minorEastAsia" w:eastAsiaTheme="minorEastAsia"/>
          <w:kern w:val="0"/>
          <w:sz w:val="24"/>
          <w:szCs w:val="24"/>
          <w:highlight w:val="none"/>
          <w:u w:val="single"/>
        </w:rPr>
        <w:t xml:space="preserve">  5  </w:t>
      </w:r>
      <w:r>
        <w:rPr>
          <w:rFonts w:hint="eastAsia" w:asciiTheme="minorEastAsia" w:hAnsiTheme="minorEastAsia" w:eastAsiaTheme="minorEastAsia"/>
          <w:kern w:val="0"/>
          <w:sz w:val="24"/>
          <w:szCs w:val="24"/>
          <w:highlight w:val="none"/>
        </w:rPr>
        <w:t>个日历天内向发包人提供证明设计人要求的书面声明。</w:t>
      </w:r>
    </w:p>
    <w:p w14:paraId="0C3DAA96">
      <w:pPr>
        <w:spacing w:line="360" w:lineRule="auto"/>
        <w:ind w:firstLine="424" w:firstLineChars="177"/>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发包人应在接到设计人书面声明后的</w:t>
      </w:r>
      <w:r>
        <w:rPr>
          <w:rFonts w:hint="eastAsia" w:asciiTheme="minorEastAsia" w:hAnsiTheme="minorEastAsia" w:eastAsiaTheme="minorEastAsia"/>
          <w:kern w:val="0"/>
          <w:sz w:val="24"/>
          <w:szCs w:val="24"/>
          <w:highlight w:val="none"/>
          <w:u w:val="single"/>
        </w:rPr>
        <w:t xml:space="preserve">  5  </w:t>
      </w:r>
      <w:r>
        <w:rPr>
          <w:rFonts w:hint="eastAsia" w:asciiTheme="minorEastAsia" w:hAnsiTheme="minorEastAsia" w:eastAsiaTheme="minorEastAsia"/>
          <w:kern w:val="0"/>
          <w:sz w:val="24"/>
          <w:szCs w:val="24"/>
          <w:highlight w:val="none"/>
        </w:rPr>
        <w:t>个日历天内，予以书面答复。</w:t>
      </w:r>
    </w:p>
    <w:p w14:paraId="0A65D3B6">
      <w:pPr>
        <w:spacing w:line="360" w:lineRule="auto"/>
        <w:ind w:firstLine="424" w:firstLineChars="177"/>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11.6</w:t>
      </w:r>
      <w:r>
        <w:rPr>
          <w:rFonts w:hint="eastAsia" w:asciiTheme="minorEastAsia" w:hAnsiTheme="minorEastAsia" w:eastAsiaTheme="minorEastAsia"/>
          <w:sz w:val="24"/>
          <w:szCs w:val="24"/>
          <w:highlight w:val="none"/>
          <w:u w:val="single"/>
        </w:rPr>
        <w:t>发包人</w:t>
      </w:r>
      <w:r>
        <w:rPr>
          <w:rFonts w:hint="eastAsia" w:asciiTheme="minorEastAsia" w:hAnsiTheme="minorEastAsia" w:eastAsiaTheme="minorEastAsia"/>
          <w:kern w:val="0"/>
          <w:sz w:val="24"/>
          <w:szCs w:val="24"/>
          <w:highlight w:val="none"/>
        </w:rPr>
        <w:t>索赔</w:t>
      </w:r>
    </w:p>
    <w:p w14:paraId="28984BB5">
      <w:pPr>
        <w:spacing w:line="360" w:lineRule="auto"/>
        <w:ind w:firstLine="424" w:firstLineChars="177"/>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11.6.1设计未能按合同约定履行自己的各项义务或发生错误，发包人按如下约定向设计人索赔：</w:t>
      </w:r>
    </w:p>
    <w:p w14:paraId="403218FA">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1）发包人将自己的索赔意向书面通知设计人，并要求设计人在限期内纠正自己的违约行为，否则，发包人将考虑启用履约保函。</w:t>
      </w:r>
    </w:p>
    <w:p w14:paraId="690D64F3">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2）限期届满，设计人没有采取纠正行为或者纠正行为不能使发包人满意的，发包人将索赔意向书面通知约定的保函出函银行。</w:t>
      </w:r>
    </w:p>
    <w:p w14:paraId="556AAED9">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3）发包人向银行发出书面索赔意向七天内，设计人依然没有用实际行动纠正自己的违约行为或者纠正行为不能使发包人满意或者纠正行为无法弥补发包人的损失，则发包人直接向银行发出正式书面索赔通知。</w:t>
      </w:r>
    </w:p>
    <w:p w14:paraId="25318752">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4）如果通过向银行索赔的方式依然不能完全弥补发包人的损失，则发包人有权在应支付给设计人的勘察、设计费中直接扣取。</w:t>
      </w:r>
    </w:p>
    <w:p w14:paraId="552E0607">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5）如果通过向银行索赔以及直接扣取勘察、设计费等方式依然不能完全弥补发包人损失的，设计人必须在发包人规定的时间内以现金形式支付剩余索赔额。</w:t>
      </w:r>
    </w:p>
    <w:p w14:paraId="7C403B07">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11.6.2在任何索赔期间，不论索赔是否有据，均不能免除设计人按合同约定应履行的合同义务。设计人不得以此为借口，拒不履行或拖延合同的履行，否则发包人有权终止合同并要求设计人赔偿由此而给发包人造成的全部损失。</w:t>
      </w:r>
    </w:p>
    <w:p w14:paraId="2C4749FE">
      <w:pPr>
        <w:spacing w:before="120" w:after="120"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12. 专业责任与保险</w:t>
      </w:r>
    </w:p>
    <w:p w14:paraId="27F6CDEE">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12.2 设计人</w:t>
      </w:r>
      <w:r>
        <w:rPr>
          <w:rFonts w:hint="eastAsia" w:asciiTheme="minorEastAsia" w:hAnsiTheme="minorEastAsia" w:eastAsiaTheme="minorEastAsia"/>
          <w:sz w:val="24"/>
          <w:szCs w:val="24"/>
          <w:highlight w:val="none"/>
          <w:u w:val="single"/>
        </w:rPr>
        <w:t xml:space="preserve"> 需   </w:t>
      </w:r>
      <w:r>
        <w:rPr>
          <w:rFonts w:hint="eastAsia" w:asciiTheme="minorEastAsia" w:hAnsiTheme="minorEastAsia" w:eastAsiaTheme="minorEastAsia"/>
          <w:sz w:val="24"/>
          <w:szCs w:val="24"/>
          <w:highlight w:val="none"/>
        </w:rPr>
        <w:t>（需/不需）有发包人认可的工程设计责任保险。</w:t>
      </w:r>
    </w:p>
    <w:p w14:paraId="0B657012">
      <w:pPr>
        <w:pStyle w:val="5"/>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13. 知识产权</w:t>
      </w:r>
    </w:p>
    <w:p w14:paraId="5C7FB0E2">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13.1 关于发包人提供给设计人的图纸、发包人为实施工程自行编制或委托编制的技术规格以及反映发包人关于合同要求或其他类似性质的文件的著作权的归属：</w:t>
      </w:r>
      <w:r>
        <w:rPr>
          <w:rFonts w:hint="eastAsia" w:asciiTheme="minorEastAsia" w:hAnsiTheme="minorEastAsia" w:eastAsiaTheme="minorEastAsia"/>
          <w:sz w:val="24"/>
          <w:szCs w:val="24"/>
          <w:highlight w:val="none"/>
          <w:u w:val="single"/>
        </w:rPr>
        <w:t xml:space="preserve">归发包人所有    </w:t>
      </w:r>
      <w:r>
        <w:rPr>
          <w:rFonts w:hint="eastAsia" w:asciiTheme="minorEastAsia" w:hAnsiTheme="minorEastAsia" w:eastAsiaTheme="minorEastAsia"/>
          <w:sz w:val="24"/>
          <w:szCs w:val="24"/>
          <w:highlight w:val="none"/>
        </w:rPr>
        <w:t>。</w:t>
      </w:r>
    </w:p>
    <w:p w14:paraId="78D97A77">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关于发包人提供的上述文件的使用限制的要求：</w:t>
      </w:r>
      <w:r>
        <w:rPr>
          <w:rFonts w:hint="eastAsia" w:asciiTheme="minorEastAsia" w:hAnsiTheme="minorEastAsia" w:eastAsiaTheme="minorEastAsia"/>
          <w:sz w:val="24"/>
          <w:szCs w:val="24"/>
          <w:highlight w:val="none"/>
          <w:u w:val="single"/>
        </w:rPr>
        <w:t xml:space="preserve"> 设计人仅可以在实施项目时使用，合同履行完成后，设计人不再拥有使用上述文件的权利   </w:t>
      </w:r>
      <w:r>
        <w:rPr>
          <w:rFonts w:hint="eastAsia" w:asciiTheme="minorEastAsia" w:hAnsiTheme="minorEastAsia" w:eastAsiaTheme="minorEastAsia"/>
          <w:sz w:val="24"/>
          <w:szCs w:val="24"/>
          <w:highlight w:val="none"/>
        </w:rPr>
        <w:t>。</w:t>
      </w:r>
    </w:p>
    <w:p w14:paraId="02EC2BDA">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13.2 关于设计人为实施工程所编制文件的著作权的归属：</w:t>
      </w:r>
      <w:r>
        <w:rPr>
          <w:rFonts w:hint="eastAsia" w:asciiTheme="minorEastAsia" w:hAnsiTheme="minorEastAsia" w:eastAsiaTheme="minorEastAsia"/>
          <w:sz w:val="24"/>
          <w:szCs w:val="24"/>
          <w:highlight w:val="none"/>
          <w:u w:val="single"/>
        </w:rPr>
        <w:t>知识产权归发包人和设计人共有，其中设计署名权归设计人所有；设计人可在展览或书刊中进行展示、介绍及讨论其设计模型、外观图片、装饰效果图，但不得享有知识产权中的其他权利。设计人承诺自本合同签订之日起，为本项目所做的全部工作的成果，包括方案设计、初步设计、施工图设计及其他设计文件、资料等不再用于其他任何项目的设计，否则发包人有权向设计人追究相关责任。发包人在出版作品的书刊或展览时，如有需要表明设计者，引用上述署名格式。发包人全部设计文件、资料等的完全使用权，并在本合同执行完毕后继续拥有合法使用以上设计文件、资料等的权利</w:t>
      </w:r>
      <w:r>
        <w:rPr>
          <w:rFonts w:hint="eastAsia" w:asciiTheme="minorEastAsia" w:hAnsiTheme="minorEastAsia" w:eastAsiaTheme="minorEastAsia"/>
          <w:sz w:val="24"/>
          <w:szCs w:val="24"/>
          <w:highlight w:val="none"/>
        </w:rPr>
        <w:t>。</w:t>
      </w:r>
    </w:p>
    <w:p w14:paraId="05A6AA94">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关于设计人提供的上述文件的使用限制的要求：</w:t>
      </w:r>
      <w:r>
        <w:rPr>
          <w:rFonts w:hint="eastAsia" w:asciiTheme="minorEastAsia" w:hAnsiTheme="minorEastAsia" w:eastAsiaTheme="minorEastAsia"/>
          <w:sz w:val="24"/>
          <w:szCs w:val="24"/>
          <w:highlight w:val="none"/>
          <w:u w:val="single"/>
        </w:rPr>
        <w:t xml:space="preserve">无  </w:t>
      </w:r>
      <w:r>
        <w:rPr>
          <w:rFonts w:hint="eastAsia" w:asciiTheme="minorEastAsia" w:hAnsiTheme="minorEastAsia" w:eastAsiaTheme="minorEastAsia"/>
          <w:sz w:val="24"/>
          <w:szCs w:val="24"/>
          <w:highlight w:val="none"/>
        </w:rPr>
        <w:t>。</w:t>
      </w:r>
    </w:p>
    <w:p w14:paraId="61F1C60B">
      <w:pPr>
        <w:spacing w:line="360" w:lineRule="auto"/>
        <w:ind w:firstLine="480" w:firstLineChars="200"/>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13.5 设计人在设计过程中所采用的专利、专有技术的使用费的承担方式：</w:t>
      </w:r>
      <w:r>
        <w:rPr>
          <w:rFonts w:hint="eastAsia" w:asciiTheme="minorEastAsia" w:hAnsiTheme="minorEastAsia" w:eastAsiaTheme="minorEastAsia"/>
          <w:sz w:val="24"/>
          <w:szCs w:val="24"/>
          <w:highlight w:val="none"/>
          <w:u w:val="single"/>
        </w:rPr>
        <w:t xml:space="preserve">由设计人自行承担   </w:t>
      </w:r>
      <w:r>
        <w:rPr>
          <w:rFonts w:hint="eastAsia" w:asciiTheme="minorEastAsia" w:hAnsiTheme="minorEastAsia" w:eastAsiaTheme="minorEastAsia"/>
          <w:kern w:val="0"/>
          <w:sz w:val="24"/>
          <w:szCs w:val="24"/>
          <w:highlight w:val="none"/>
        </w:rPr>
        <w:t>。</w:t>
      </w:r>
    </w:p>
    <w:p w14:paraId="5A95C423">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13.6 </w:t>
      </w:r>
      <w:r>
        <w:rPr>
          <w:rFonts w:hint="eastAsia" w:asciiTheme="minorEastAsia" w:hAnsiTheme="minorEastAsia" w:eastAsiaTheme="minorEastAsia"/>
          <w:sz w:val="24"/>
          <w:szCs w:val="24"/>
          <w:highlight w:val="none"/>
          <w:u w:val="single"/>
        </w:rPr>
        <w:t>设计人应保护发包人的知识产权，不得向第三人泄漏、转让发包人提交的产品图纸等技术经济资料。如发生以上情况并给发包人造成经济损失，设计人应负法律责任，发包人有权向设计人索赔。</w:t>
      </w:r>
    </w:p>
    <w:p w14:paraId="2B79C0B0">
      <w:pPr>
        <w:pStyle w:val="5"/>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14. 违约责任</w:t>
      </w:r>
    </w:p>
    <w:p w14:paraId="5CB17A30">
      <w:pPr>
        <w:spacing w:before="120"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14.1 发包人违约责任</w:t>
      </w:r>
    </w:p>
    <w:p w14:paraId="6408F1FF">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14.1.1 发包人支付设计人的违约金：</w:t>
      </w:r>
    </w:p>
    <w:p w14:paraId="2961BD10">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1）发包人不按合同约定向政府部门办理进度款支付申请的，除应支付本合同约定的进度款外，还应按同期银行贷款利率给设计人利息（设计人未提供齐全进度款支付申请材料的情况除外）。</w:t>
      </w:r>
    </w:p>
    <w:p w14:paraId="36E7AE28">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u w:val="single"/>
        </w:rPr>
        <w:t xml:space="preserve">2）发包人无正当理由不向政府部门办理设计人竣工结算款支付申请的，除应支付设计人竣工结算款外，还应按同期银行贷款利率给设计人计付拖欠款项期间的利息   </w:t>
      </w:r>
      <w:r>
        <w:rPr>
          <w:rFonts w:hint="eastAsia" w:asciiTheme="minorEastAsia" w:hAnsiTheme="minorEastAsia" w:eastAsiaTheme="minorEastAsia"/>
          <w:sz w:val="24"/>
          <w:szCs w:val="24"/>
          <w:highlight w:val="none"/>
        </w:rPr>
        <w:t>。</w:t>
      </w:r>
    </w:p>
    <w:p w14:paraId="28F331F7">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14.2 设计人违约责任</w:t>
      </w:r>
    </w:p>
    <w:p w14:paraId="5F1CDCB9">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14.1.1</w:t>
      </w:r>
      <w:r>
        <w:rPr>
          <w:rFonts w:hint="eastAsia" w:asciiTheme="minorEastAsia" w:hAnsiTheme="minorEastAsia" w:eastAsiaTheme="minorEastAsia"/>
          <w:sz w:val="24"/>
          <w:szCs w:val="24"/>
          <w:highlight w:val="none"/>
          <w:u w:val="single"/>
        </w:rPr>
        <w:t>设计人违反本合同的约定，应当按约定向发包人承担相应的违约责任。设计人承担违约责任的形式包括：</w:t>
      </w:r>
    </w:p>
    <w:p w14:paraId="588F80A3">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1）限期改正。设计人未履行或未按时履行或未按质履行义务时，必须在发包人限定的时间内履行义务。</w:t>
      </w:r>
    </w:p>
    <w:p w14:paraId="0C976940">
      <w:pPr>
        <w:spacing w:line="360" w:lineRule="auto"/>
        <w:ind w:firstLine="480" w:firstLineChars="200"/>
        <w:rPr>
          <w:rFonts w:ascii="宋体" w:hAnsi="宋体" w:eastAsia="宋体"/>
          <w:color w:val="auto"/>
          <w:sz w:val="24"/>
          <w:szCs w:val="24"/>
          <w:highlight w:val="none"/>
          <w:u w:val="single"/>
        </w:rPr>
      </w:pPr>
      <w:r>
        <w:rPr>
          <w:rFonts w:hint="eastAsia" w:ascii="宋体" w:hAnsi="宋体" w:eastAsia="宋体"/>
          <w:color w:val="auto"/>
          <w:sz w:val="24"/>
          <w:szCs w:val="24"/>
          <w:highlight w:val="none"/>
          <w:u w:val="single"/>
        </w:rPr>
        <w:t>2）一般违约责任。设计人被发包人要求按本合同约定承担一般违约责任时，必须向发包人交纳违约金人民币</w:t>
      </w:r>
      <w:r>
        <w:rPr>
          <w:rFonts w:hint="eastAsia" w:ascii="宋体" w:hAnsi="宋体" w:eastAsia="宋体"/>
          <w:color w:val="auto"/>
          <w:sz w:val="24"/>
          <w:szCs w:val="24"/>
          <w:highlight w:val="none"/>
          <w:u w:val="single"/>
          <w:lang w:eastAsia="zh-CN"/>
        </w:rPr>
        <w:t>2</w:t>
      </w:r>
      <w:r>
        <w:rPr>
          <w:rFonts w:hint="eastAsia" w:ascii="宋体" w:hAnsi="宋体" w:eastAsia="宋体"/>
          <w:color w:val="auto"/>
          <w:sz w:val="24"/>
          <w:szCs w:val="24"/>
          <w:highlight w:val="none"/>
          <w:u w:val="single"/>
        </w:rPr>
        <w:t>万元/次。</w:t>
      </w:r>
    </w:p>
    <w:p w14:paraId="47FC49F8">
      <w:pPr>
        <w:spacing w:line="360" w:lineRule="auto"/>
        <w:ind w:firstLine="480" w:firstLineChars="200"/>
        <w:rPr>
          <w:rFonts w:ascii="宋体" w:hAnsi="宋体" w:eastAsia="宋体"/>
          <w:color w:val="auto"/>
          <w:sz w:val="24"/>
          <w:szCs w:val="24"/>
          <w:highlight w:val="none"/>
          <w:u w:val="single"/>
        </w:rPr>
      </w:pPr>
      <w:r>
        <w:rPr>
          <w:rFonts w:hint="eastAsia" w:ascii="宋体" w:hAnsi="宋体" w:eastAsia="宋体"/>
          <w:color w:val="auto"/>
          <w:sz w:val="24"/>
          <w:szCs w:val="24"/>
          <w:highlight w:val="none"/>
          <w:u w:val="single"/>
        </w:rPr>
        <w:t>3）严重违约责任。设计人被发包人要求按本合同约定承担严重违约责任时，必须向发包人交纳违约金人民币</w:t>
      </w:r>
      <w:r>
        <w:rPr>
          <w:rFonts w:hint="eastAsia" w:ascii="宋体" w:hAnsi="宋体" w:eastAsia="宋体"/>
          <w:color w:val="auto"/>
          <w:sz w:val="24"/>
          <w:szCs w:val="24"/>
          <w:highlight w:val="none"/>
          <w:u w:val="single"/>
          <w:lang w:eastAsia="zh-CN"/>
        </w:rPr>
        <w:t>6</w:t>
      </w:r>
      <w:r>
        <w:rPr>
          <w:rFonts w:hint="eastAsia" w:ascii="宋体" w:hAnsi="宋体" w:eastAsia="宋体"/>
          <w:color w:val="auto"/>
          <w:sz w:val="24"/>
          <w:szCs w:val="24"/>
          <w:highlight w:val="none"/>
          <w:u w:val="single"/>
        </w:rPr>
        <w:t>万元/次。</w:t>
      </w:r>
    </w:p>
    <w:p w14:paraId="457E9E74">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4）部分解除合同。发包人向设计人发出部分解除合同的通知后，本合同部分解除即生效，设计人必须在三天内停止被解除部分合同的工作，五天内配合发包人完成现场工作和有关资料的交接，所交接资料必须完整。设计人无特殊原因未在规定期限内完成交接和离场，或交接资料不完整的，发包人有权视情况全部解除合同；因设计人拒交或延误交接现场工作和有关资料而引致发包人工期延误及其他方面的损失，发包人有权拒绝支付本合同价款并要求设计人赔偿实际损失。</w:t>
      </w:r>
    </w:p>
    <w:p w14:paraId="7B15562A">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5）解除合同。发包人向设计人发出解除合同的通知后，本合同即解除，设计人必须在三天内停止全部工作，五天内配合发包人完成现场工作和有关资料的交接，并于完成交接工作当天内离场。设计人应保证所移交的资料齐全完整，设计人无特殊原因未在规定期限内完成交接和离场或所移交的资料不完整的，引致发包人工期延误和其他方面的损失，发包人有权拒绝支付本合同价款并要求设计人赔偿损失。</w:t>
      </w:r>
    </w:p>
    <w:p w14:paraId="4ABB90E2">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6）赔偿损失。因设计人违约或工作失误给发包人造成损失的，由设计人向发包人赔偿与违约有直接或间接因果关系的所有损失，赔偿金为实际损失的100％。但不超过发包人支付给设计人费用的2倍。</w:t>
      </w:r>
    </w:p>
    <w:p w14:paraId="42B7F99A">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14.1.2</w:t>
      </w:r>
      <w:r>
        <w:rPr>
          <w:rFonts w:hint="eastAsia" w:asciiTheme="minorEastAsia" w:hAnsiTheme="minorEastAsia" w:eastAsiaTheme="minorEastAsia"/>
          <w:sz w:val="24"/>
          <w:szCs w:val="24"/>
          <w:highlight w:val="none"/>
          <w:u w:val="single"/>
        </w:rPr>
        <w:t>累计出现三次限期纠正责任，发包人有权追加设计人一次一般违约责任；累计出现三次一般违约责任，发包人有权追加设计人一次严重违约责任；累计三次严重违约责任，发包人有权单方面部分或全部解除合同。</w:t>
      </w:r>
    </w:p>
    <w:p w14:paraId="547CDD50">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14.1.3</w:t>
      </w:r>
      <w:r>
        <w:rPr>
          <w:rFonts w:hint="eastAsia" w:asciiTheme="minorEastAsia" w:hAnsiTheme="minorEastAsia" w:eastAsiaTheme="minorEastAsia"/>
          <w:sz w:val="24"/>
          <w:szCs w:val="24"/>
          <w:highlight w:val="none"/>
          <w:u w:val="single"/>
        </w:rPr>
        <w:t>本合同解除后，设计人已经完成的设计成果在发包人支付于工作量对应的设计费后，全部归发包人享有，发包人有权于其他设计人签订设计协议，其他设计人可以取代设计人在本合同中的地位，承接设计人的一切权利义务，有权在设计人已经完成设计成果的基础上继续设计，设计人不得有异议，其他设计人不必支付设计人任何报酬。</w:t>
      </w:r>
    </w:p>
    <w:p w14:paraId="2F5B70D5">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14.1.4</w:t>
      </w:r>
      <w:r>
        <w:rPr>
          <w:rFonts w:hint="eastAsia" w:asciiTheme="minorEastAsia" w:hAnsiTheme="minorEastAsia" w:eastAsiaTheme="minorEastAsia"/>
          <w:sz w:val="24"/>
          <w:szCs w:val="24"/>
          <w:highlight w:val="none"/>
          <w:u w:val="single"/>
        </w:rPr>
        <w:t>当发包人认为设计人无正当理由而不履行或没有充分履行其相关义务时，发包人有权书面通知设计人，指明设计人无履行的内容并要求设计人按如下约定承担违约责任：</w:t>
      </w:r>
    </w:p>
    <w:p w14:paraId="5D57F251">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1）设计管理方面的违约责任：</w:t>
      </w:r>
    </w:p>
    <w:p w14:paraId="22ADFF80">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①设计人无故要求终止或解除合同，按严重违约处理，赔偿相当于约定的设计费总额两倍的损失给发包人，并承担由此造成的拖延工期的损失。</w:t>
      </w:r>
    </w:p>
    <w:p w14:paraId="418CCBD1">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②设计人转包和私自分包设计任务，按严重违约处理。情节严重的，发包人有权单方面解除合同，赔偿相当于约定的设计费总额两倍的损失给发包人，并承担由此造成的拖延工期的损失。同时，发包人将扣除转包（分包）部分的全额设计费用，设计人应承担由此造成的工期、技术及其他一切损失。</w:t>
      </w:r>
    </w:p>
    <w:p w14:paraId="2C2086EE">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③设计人承诺主动支持发包人及设计咨询（监理）单位的工作，对发包人及设计咨询（监理）单位的指令和书面通知，若无正当理由又未提前报告、得到认可，而公开或变相拒不执行，第一次按一般违约处理；第二次以后，每违反一次按一次严重违约处理。同时，设计人还要承担由此造成的一切经济损失。</w:t>
      </w:r>
    </w:p>
    <w:p w14:paraId="30AE5334">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④设计人没有按照合同的约定做好设计协调工作，发包人有权根据实际情况决定其承担违约责任的形式并要求其承担比原来计划多开支的费用，设计人不得提出任何异议。</w:t>
      </w:r>
    </w:p>
    <w:p w14:paraId="35394F94">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2）设计成果方面的违约责任：</w:t>
      </w:r>
    </w:p>
    <w:p w14:paraId="65B9B02A">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①设计人由于自身原因造成逾期交付设计文件的处理：</w:t>
      </w:r>
    </w:p>
    <w:p w14:paraId="25F85DDB">
      <w:pPr>
        <w:spacing w:line="360" w:lineRule="auto"/>
        <w:ind w:firstLine="480" w:firstLineChars="200"/>
        <w:rPr>
          <w:rFonts w:ascii="宋体" w:hAnsi="宋体" w:eastAsia="宋体"/>
          <w:color w:val="auto"/>
          <w:sz w:val="24"/>
          <w:szCs w:val="24"/>
          <w:highlight w:val="none"/>
          <w:u w:val="single"/>
        </w:rPr>
      </w:pPr>
      <w:r>
        <w:rPr>
          <w:rFonts w:hint="eastAsia" w:ascii="宋体" w:hAnsi="宋体" w:eastAsia="宋体"/>
          <w:color w:val="auto"/>
          <w:sz w:val="24"/>
          <w:szCs w:val="24"/>
          <w:highlight w:val="none"/>
          <w:u w:val="single"/>
        </w:rPr>
        <w:t>A）一次性逾期2天以内的，给予书面通报批评并限期改正；一次性逾期3天以内（或累计达5天以内）的，记一次一般违约，并向发包人交纳违约金人民币1万元/次；一次性逾期5天以内（或累计达10天以内）的，记一次严重违约，并向发包人交纳违约金人民币</w:t>
      </w:r>
      <w:r>
        <w:rPr>
          <w:rFonts w:hint="eastAsia" w:ascii="宋体" w:hAnsi="宋体" w:eastAsia="宋体"/>
          <w:color w:val="auto"/>
          <w:sz w:val="24"/>
          <w:szCs w:val="24"/>
          <w:highlight w:val="none"/>
          <w:u w:val="single"/>
          <w:lang w:val="en-US" w:eastAsia="zh-CN"/>
        </w:rPr>
        <w:t>6</w:t>
      </w:r>
      <w:r>
        <w:rPr>
          <w:rFonts w:hint="eastAsia" w:ascii="宋体" w:hAnsi="宋体" w:eastAsia="宋体"/>
          <w:color w:val="auto"/>
          <w:sz w:val="24"/>
          <w:szCs w:val="24"/>
          <w:highlight w:val="none"/>
          <w:u w:val="single"/>
        </w:rPr>
        <w:t>万元/次；一次性逾期10天以内（或累计达15天以内）的，发包人有权部分解除合同；一次性逾期超过10（或累计超过15天）的，发包人有权全部解除合同，设计人赔偿相当于约定的设计费总额两倍的损失给发包人，并赔偿由此造成发包人的一切损失。</w:t>
      </w:r>
    </w:p>
    <w:p w14:paraId="0BB27E52">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B）设计人未能按合同约定及工作计划完成“五图一书”、建筑方案设计、初步设计、施工图设计，每逾期一天，需向发包人交纳违约金人民币1万元/天。设计人必须根据实际情况调整工作计划，并报发包人审批，如在后续工作中，设计人能按调整的计划完成，已赔偿金额可作为奖金返还给设计人。逾期超过30天发包人有权全部解除合同，设计人赔偿相当于约定的设计费总额两倍的损失给发包人，并赔偿由此造成发包人的一切损失。</w:t>
      </w:r>
    </w:p>
    <w:p w14:paraId="16AD3B20">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②因建设规划方案重大功能性调整造成逾期交付设计文件处理：</w:t>
      </w:r>
    </w:p>
    <w:p w14:paraId="08DC259D">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一次性逾期不超过20天（或累计达30天以内）的，发包人或设计咨询（监理）单位予以书面确认，但发包人不予支付赶工费，工期不得顺延；一次性逾期超过20天（或累计超过40天）的，设计人应优先采用追回工期的办法，赶工费用双方另行协商。</w:t>
      </w:r>
    </w:p>
    <w:p w14:paraId="440E0322">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③设计人的设计质量不符合合同约定或设计文件出现遗漏或错误，按如下约定处理：</w:t>
      </w:r>
    </w:p>
    <w:p w14:paraId="4FAAAA08">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A)在设计过程中发现设计人的设计质量不符合合同约定或设计文件出现遗漏或错误的，给予限期改正，并按附件5《设计错误分类》中</w:t>
      </w:r>
      <w:r>
        <w:rPr>
          <w:rFonts w:hint="eastAsia" w:cs="宋体" w:asciiTheme="minorEastAsia" w:hAnsiTheme="minorEastAsia" w:eastAsiaTheme="minorEastAsia"/>
          <w:spacing w:val="1"/>
          <w:sz w:val="24"/>
          <w:szCs w:val="24"/>
          <w:highlight w:val="none"/>
          <w:u w:val="single"/>
        </w:rPr>
        <w:t>Ⅰ类</w:t>
      </w:r>
      <w:r>
        <w:rPr>
          <w:rFonts w:hint="eastAsia" w:cs="宋体" w:asciiTheme="minorEastAsia" w:hAnsiTheme="minorEastAsia" w:eastAsiaTheme="minorEastAsia"/>
          <w:sz w:val="24"/>
          <w:szCs w:val="24"/>
          <w:highlight w:val="none"/>
          <w:u w:val="single"/>
        </w:rPr>
        <w:t>错误对应2次</w:t>
      </w:r>
      <w:r>
        <w:rPr>
          <w:rFonts w:hint="eastAsia" w:asciiTheme="minorEastAsia" w:hAnsiTheme="minorEastAsia" w:eastAsiaTheme="minorEastAsia"/>
          <w:sz w:val="24"/>
          <w:szCs w:val="24"/>
          <w:highlight w:val="none"/>
          <w:u w:val="single"/>
        </w:rPr>
        <w:t>严重违约责任，</w:t>
      </w:r>
      <w:r>
        <w:rPr>
          <w:rFonts w:hint="eastAsia" w:cs="宋体" w:asciiTheme="minorEastAsia" w:hAnsiTheme="minorEastAsia" w:eastAsiaTheme="minorEastAsia"/>
          <w:spacing w:val="1"/>
          <w:sz w:val="24"/>
          <w:szCs w:val="24"/>
          <w:highlight w:val="none"/>
          <w:u w:val="single"/>
        </w:rPr>
        <w:t>Ⅱ</w:t>
      </w:r>
      <w:r>
        <w:rPr>
          <w:rFonts w:hint="eastAsia" w:cs="宋体" w:asciiTheme="minorEastAsia" w:hAnsiTheme="minorEastAsia" w:eastAsiaTheme="minorEastAsia"/>
          <w:sz w:val="24"/>
          <w:szCs w:val="24"/>
          <w:highlight w:val="none"/>
          <w:u w:val="single"/>
        </w:rPr>
        <w:t>类错对应1次</w:t>
      </w:r>
      <w:r>
        <w:rPr>
          <w:rFonts w:hint="eastAsia" w:asciiTheme="minorEastAsia" w:hAnsiTheme="minorEastAsia" w:eastAsiaTheme="minorEastAsia"/>
          <w:sz w:val="24"/>
          <w:szCs w:val="24"/>
          <w:highlight w:val="none"/>
          <w:u w:val="single"/>
        </w:rPr>
        <w:t>严重违约责任，</w:t>
      </w:r>
      <w:r>
        <w:rPr>
          <w:rFonts w:hint="eastAsia" w:cs="宋体" w:asciiTheme="minorEastAsia" w:hAnsiTheme="minorEastAsia" w:eastAsiaTheme="minorEastAsia"/>
          <w:spacing w:val="1"/>
          <w:sz w:val="24"/>
          <w:szCs w:val="24"/>
          <w:highlight w:val="none"/>
          <w:u w:val="single"/>
        </w:rPr>
        <w:t>Ⅲ类</w:t>
      </w:r>
      <w:r>
        <w:rPr>
          <w:rFonts w:hint="eastAsia" w:cs="宋体" w:asciiTheme="minorEastAsia" w:hAnsiTheme="minorEastAsia" w:eastAsiaTheme="minorEastAsia"/>
          <w:sz w:val="24"/>
          <w:szCs w:val="24"/>
          <w:highlight w:val="none"/>
          <w:u w:val="single"/>
        </w:rPr>
        <w:t>错误对应2次一般</w:t>
      </w:r>
      <w:r>
        <w:rPr>
          <w:rFonts w:hint="eastAsia" w:asciiTheme="minorEastAsia" w:hAnsiTheme="minorEastAsia" w:eastAsiaTheme="minorEastAsia"/>
          <w:sz w:val="24"/>
          <w:szCs w:val="24"/>
          <w:highlight w:val="none"/>
          <w:u w:val="single"/>
        </w:rPr>
        <w:t>违约责任，</w:t>
      </w:r>
      <w:r>
        <w:rPr>
          <w:rFonts w:hint="eastAsia" w:cs="宋体" w:asciiTheme="minorEastAsia" w:hAnsiTheme="minorEastAsia" w:eastAsiaTheme="minorEastAsia"/>
          <w:spacing w:val="1"/>
          <w:sz w:val="24"/>
          <w:szCs w:val="24"/>
          <w:highlight w:val="none"/>
          <w:u w:val="single"/>
        </w:rPr>
        <w:t>Ⅳ类</w:t>
      </w:r>
      <w:r>
        <w:rPr>
          <w:rFonts w:hint="eastAsia" w:cs="宋体" w:asciiTheme="minorEastAsia" w:hAnsiTheme="minorEastAsia" w:eastAsiaTheme="minorEastAsia"/>
          <w:sz w:val="24"/>
          <w:szCs w:val="24"/>
          <w:highlight w:val="none"/>
          <w:u w:val="single"/>
        </w:rPr>
        <w:t>错误对应1次一般</w:t>
      </w:r>
      <w:r>
        <w:rPr>
          <w:rFonts w:hint="eastAsia" w:asciiTheme="minorEastAsia" w:hAnsiTheme="minorEastAsia" w:eastAsiaTheme="minorEastAsia"/>
          <w:sz w:val="24"/>
          <w:szCs w:val="24"/>
          <w:highlight w:val="none"/>
          <w:u w:val="single"/>
        </w:rPr>
        <w:t>违约责任。由此造成设计文件逾期交付的，按本章5.2.1条的约定处理。</w:t>
      </w:r>
    </w:p>
    <w:p w14:paraId="18CDFDC6">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B）在对设计文件进行评审或审查时发现设计人的设计质量不符合合同约定或设计文件出现遗漏或错误的，并按附件5《设计错误分类》中</w:t>
      </w:r>
      <w:r>
        <w:rPr>
          <w:rFonts w:hint="eastAsia" w:cs="宋体" w:asciiTheme="minorEastAsia" w:hAnsiTheme="minorEastAsia" w:eastAsiaTheme="minorEastAsia"/>
          <w:spacing w:val="1"/>
          <w:sz w:val="24"/>
          <w:szCs w:val="24"/>
          <w:highlight w:val="none"/>
          <w:u w:val="single"/>
        </w:rPr>
        <w:t>Ⅰ类</w:t>
      </w:r>
      <w:r>
        <w:rPr>
          <w:rFonts w:hint="eastAsia" w:cs="宋体" w:asciiTheme="minorEastAsia" w:hAnsiTheme="minorEastAsia" w:eastAsiaTheme="minorEastAsia"/>
          <w:sz w:val="24"/>
          <w:szCs w:val="24"/>
          <w:highlight w:val="none"/>
          <w:u w:val="single"/>
        </w:rPr>
        <w:t>错误对应2次</w:t>
      </w:r>
      <w:r>
        <w:rPr>
          <w:rFonts w:hint="eastAsia" w:asciiTheme="minorEastAsia" w:hAnsiTheme="minorEastAsia" w:eastAsiaTheme="minorEastAsia"/>
          <w:sz w:val="24"/>
          <w:szCs w:val="24"/>
          <w:highlight w:val="none"/>
          <w:u w:val="single"/>
        </w:rPr>
        <w:t>严重违约责任，</w:t>
      </w:r>
      <w:r>
        <w:rPr>
          <w:rFonts w:hint="eastAsia" w:cs="宋体" w:asciiTheme="minorEastAsia" w:hAnsiTheme="minorEastAsia" w:eastAsiaTheme="minorEastAsia"/>
          <w:spacing w:val="1"/>
          <w:sz w:val="24"/>
          <w:szCs w:val="24"/>
          <w:highlight w:val="none"/>
          <w:u w:val="single"/>
        </w:rPr>
        <w:t>Ⅱ</w:t>
      </w:r>
      <w:r>
        <w:rPr>
          <w:rFonts w:hint="eastAsia" w:cs="宋体" w:asciiTheme="minorEastAsia" w:hAnsiTheme="minorEastAsia" w:eastAsiaTheme="minorEastAsia"/>
          <w:sz w:val="24"/>
          <w:szCs w:val="24"/>
          <w:highlight w:val="none"/>
          <w:u w:val="single"/>
        </w:rPr>
        <w:t>类错对应1次</w:t>
      </w:r>
      <w:r>
        <w:rPr>
          <w:rFonts w:hint="eastAsia" w:asciiTheme="minorEastAsia" w:hAnsiTheme="minorEastAsia" w:eastAsiaTheme="minorEastAsia"/>
          <w:sz w:val="24"/>
          <w:szCs w:val="24"/>
          <w:highlight w:val="none"/>
          <w:u w:val="single"/>
        </w:rPr>
        <w:t>严重违约责任，</w:t>
      </w:r>
      <w:r>
        <w:rPr>
          <w:rFonts w:hint="eastAsia" w:cs="宋体" w:asciiTheme="minorEastAsia" w:hAnsiTheme="minorEastAsia" w:eastAsiaTheme="minorEastAsia"/>
          <w:spacing w:val="1"/>
          <w:sz w:val="24"/>
          <w:szCs w:val="24"/>
          <w:highlight w:val="none"/>
          <w:u w:val="single"/>
        </w:rPr>
        <w:t>Ⅲ类</w:t>
      </w:r>
      <w:r>
        <w:rPr>
          <w:rFonts w:hint="eastAsia" w:cs="宋体" w:asciiTheme="minorEastAsia" w:hAnsiTheme="minorEastAsia" w:eastAsiaTheme="minorEastAsia"/>
          <w:sz w:val="24"/>
          <w:szCs w:val="24"/>
          <w:highlight w:val="none"/>
          <w:u w:val="single"/>
        </w:rPr>
        <w:t>错误对应2次一般</w:t>
      </w:r>
      <w:r>
        <w:rPr>
          <w:rFonts w:hint="eastAsia" w:asciiTheme="minorEastAsia" w:hAnsiTheme="minorEastAsia" w:eastAsiaTheme="minorEastAsia"/>
          <w:sz w:val="24"/>
          <w:szCs w:val="24"/>
          <w:highlight w:val="none"/>
          <w:u w:val="single"/>
        </w:rPr>
        <w:t>违约责任，</w:t>
      </w:r>
      <w:r>
        <w:rPr>
          <w:rFonts w:hint="eastAsia" w:cs="宋体" w:asciiTheme="minorEastAsia" w:hAnsiTheme="minorEastAsia" w:eastAsiaTheme="minorEastAsia"/>
          <w:spacing w:val="1"/>
          <w:sz w:val="24"/>
          <w:szCs w:val="24"/>
          <w:highlight w:val="none"/>
          <w:u w:val="single"/>
        </w:rPr>
        <w:t>Ⅳ类</w:t>
      </w:r>
      <w:r>
        <w:rPr>
          <w:rFonts w:hint="eastAsia" w:cs="宋体" w:asciiTheme="minorEastAsia" w:hAnsiTheme="minorEastAsia" w:eastAsiaTheme="minorEastAsia"/>
          <w:sz w:val="24"/>
          <w:szCs w:val="24"/>
          <w:highlight w:val="none"/>
          <w:u w:val="single"/>
        </w:rPr>
        <w:t>错误对应1次一般</w:t>
      </w:r>
      <w:r>
        <w:rPr>
          <w:rFonts w:hint="eastAsia" w:asciiTheme="minorEastAsia" w:hAnsiTheme="minorEastAsia" w:eastAsiaTheme="minorEastAsia"/>
          <w:sz w:val="24"/>
          <w:szCs w:val="24"/>
          <w:highlight w:val="none"/>
          <w:u w:val="single"/>
        </w:rPr>
        <w:t>违约责任；因此造成设计文件逾期交付的，按本章5.2.1条的约定处理。</w:t>
      </w:r>
    </w:p>
    <w:p w14:paraId="671A7F58">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C）在后续设计或施工时发现设计人的设计质量不符合合同约定或设计文件出现遗漏或错误的，发包人有权根据实际情况决定其承担违约责任的形式并要求设计人赔偿损失，并按附件5《设计错误分类》中</w:t>
      </w:r>
      <w:r>
        <w:rPr>
          <w:rFonts w:hint="eastAsia" w:cs="宋体" w:asciiTheme="minorEastAsia" w:hAnsiTheme="minorEastAsia" w:eastAsiaTheme="minorEastAsia"/>
          <w:spacing w:val="1"/>
          <w:sz w:val="24"/>
          <w:szCs w:val="24"/>
          <w:highlight w:val="none"/>
          <w:u w:val="single"/>
        </w:rPr>
        <w:t>Ⅰ类</w:t>
      </w:r>
      <w:r>
        <w:rPr>
          <w:rFonts w:hint="eastAsia" w:cs="宋体" w:asciiTheme="minorEastAsia" w:hAnsiTheme="minorEastAsia" w:eastAsiaTheme="minorEastAsia"/>
          <w:sz w:val="24"/>
          <w:szCs w:val="24"/>
          <w:highlight w:val="none"/>
          <w:u w:val="single"/>
        </w:rPr>
        <w:t>错误对应2次</w:t>
      </w:r>
      <w:r>
        <w:rPr>
          <w:rFonts w:hint="eastAsia" w:asciiTheme="minorEastAsia" w:hAnsiTheme="minorEastAsia" w:eastAsiaTheme="minorEastAsia"/>
          <w:sz w:val="24"/>
          <w:szCs w:val="24"/>
          <w:highlight w:val="none"/>
          <w:u w:val="single"/>
        </w:rPr>
        <w:t>严重违约责任，</w:t>
      </w:r>
      <w:r>
        <w:rPr>
          <w:rFonts w:hint="eastAsia" w:cs="宋体" w:asciiTheme="minorEastAsia" w:hAnsiTheme="minorEastAsia" w:eastAsiaTheme="minorEastAsia"/>
          <w:spacing w:val="1"/>
          <w:sz w:val="24"/>
          <w:szCs w:val="24"/>
          <w:highlight w:val="none"/>
          <w:u w:val="single"/>
        </w:rPr>
        <w:t>Ⅱ</w:t>
      </w:r>
      <w:r>
        <w:rPr>
          <w:rFonts w:hint="eastAsia" w:cs="宋体" w:asciiTheme="minorEastAsia" w:hAnsiTheme="minorEastAsia" w:eastAsiaTheme="minorEastAsia"/>
          <w:sz w:val="24"/>
          <w:szCs w:val="24"/>
          <w:highlight w:val="none"/>
          <w:u w:val="single"/>
        </w:rPr>
        <w:t>类错对应1次</w:t>
      </w:r>
      <w:r>
        <w:rPr>
          <w:rFonts w:hint="eastAsia" w:asciiTheme="minorEastAsia" w:hAnsiTheme="minorEastAsia" w:eastAsiaTheme="minorEastAsia"/>
          <w:sz w:val="24"/>
          <w:szCs w:val="24"/>
          <w:highlight w:val="none"/>
          <w:u w:val="single"/>
        </w:rPr>
        <w:t>严重违约责任，</w:t>
      </w:r>
      <w:r>
        <w:rPr>
          <w:rFonts w:hint="eastAsia" w:cs="宋体" w:asciiTheme="minorEastAsia" w:hAnsiTheme="minorEastAsia" w:eastAsiaTheme="minorEastAsia"/>
          <w:spacing w:val="1"/>
          <w:sz w:val="24"/>
          <w:szCs w:val="24"/>
          <w:highlight w:val="none"/>
          <w:u w:val="single"/>
        </w:rPr>
        <w:t>Ⅲ类</w:t>
      </w:r>
      <w:r>
        <w:rPr>
          <w:rFonts w:hint="eastAsia" w:cs="宋体" w:asciiTheme="minorEastAsia" w:hAnsiTheme="minorEastAsia" w:eastAsiaTheme="minorEastAsia"/>
          <w:sz w:val="24"/>
          <w:szCs w:val="24"/>
          <w:highlight w:val="none"/>
          <w:u w:val="single"/>
        </w:rPr>
        <w:t>错误对应2次一般</w:t>
      </w:r>
      <w:r>
        <w:rPr>
          <w:rFonts w:hint="eastAsia" w:asciiTheme="minorEastAsia" w:hAnsiTheme="minorEastAsia" w:eastAsiaTheme="minorEastAsia"/>
          <w:sz w:val="24"/>
          <w:szCs w:val="24"/>
          <w:highlight w:val="none"/>
          <w:u w:val="single"/>
        </w:rPr>
        <w:t>违约责任，</w:t>
      </w:r>
      <w:r>
        <w:rPr>
          <w:rFonts w:hint="eastAsia" w:cs="宋体" w:asciiTheme="minorEastAsia" w:hAnsiTheme="minorEastAsia" w:eastAsiaTheme="minorEastAsia"/>
          <w:spacing w:val="1"/>
          <w:sz w:val="24"/>
          <w:szCs w:val="24"/>
          <w:highlight w:val="none"/>
          <w:u w:val="single"/>
        </w:rPr>
        <w:t>Ⅳ类</w:t>
      </w:r>
      <w:r>
        <w:rPr>
          <w:rFonts w:hint="eastAsia" w:cs="宋体" w:asciiTheme="minorEastAsia" w:hAnsiTheme="minorEastAsia" w:eastAsiaTheme="minorEastAsia"/>
          <w:sz w:val="24"/>
          <w:szCs w:val="24"/>
          <w:highlight w:val="none"/>
          <w:u w:val="single"/>
        </w:rPr>
        <w:t>错误对应1次一般</w:t>
      </w:r>
      <w:r>
        <w:rPr>
          <w:rFonts w:hint="eastAsia" w:asciiTheme="minorEastAsia" w:hAnsiTheme="minorEastAsia" w:eastAsiaTheme="minorEastAsia"/>
          <w:sz w:val="24"/>
          <w:szCs w:val="24"/>
          <w:highlight w:val="none"/>
          <w:u w:val="single"/>
        </w:rPr>
        <w:t>违约责任。</w:t>
      </w:r>
    </w:p>
    <w:p w14:paraId="688F201B">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D）因设计人的设计质量不符合合同约定或设计文件出现遗漏或错误造成一般质量事故或工期延误3天以上5天以内的，按一般违约处理，设计人应负责修改或补充设计文件并免收直接受影响工程部分的设计费。</w:t>
      </w:r>
    </w:p>
    <w:p w14:paraId="7DE9F35F">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E）由于设计人设计错误造成工程严重质量事故或工期延误超过5天的，按严重违约处理，设计人除负责采取补救措施外，应免收直接受影响工程部分的设计费，给发包人造成损失的，应全额向发包人支付赔偿金。</w:t>
      </w:r>
    </w:p>
    <w:p w14:paraId="5D9215D7">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3）投资控制方面的违约责任：</w:t>
      </w:r>
    </w:p>
    <w:p w14:paraId="1313BCE0">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①设计人未取得发包人同意超投资限额设计的，超过30万元须限期改正，超过50万元须承担一般违约责任，超过100万元须承担严重违约责任，超过200万元按部分解除合同处理，超过400万元按解除合同处理。此外，扣减等同超限额部分金额设计费，同时设计人还要承担由此造成的一切经济责任和法律责任。</w:t>
      </w:r>
    </w:p>
    <w:p w14:paraId="39666EA3">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4）人员投入方面的违约责任：</w:t>
      </w:r>
    </w:p>
    <w:p w14:paraId="14826576">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①设计人在合同附件中承诺投入的人员没有按发包人的指令按时到位的，必须在发包人规定的时间限期到位，如不在发包人规定的时间到位，发包人有权根据实际情况决定设计人承担违约责任的形式，设计人不得提出任何异议。</w:t>
      </w:r>
    </w:p>
    <w:p w14:paraId="2D8E01D0">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②在本合同履行期内设计人要求更换人员的，按以下约定处理：</w:t>
      </w:r>
    </w:p>
    <w:p w14:paraId="1C566672">
      <w:pPr>
        <w:spacing w:line="360" w:lineRule="auto"/>
        <w:ind w:firstLine="480" w:firstLineChars="200"/>
        <w:rPr>
          <w:rFonts w:ascii="宋体" w:hAnsi="宋体" w:eastAsia="宋体"/>
          <w:color w:val="auto"/>
          <w:sz w:val="24"/>
          <w:szCs w:val="24"/>
          <w:highlight w:val="none"/>
          <w:u w:val="single"/>
        </w:rPr>
      </w:pPr>
      <w:r>
        <w:rPr>
          <w:rFonts w:hint="eastAsia" w:ascii="宋体" w:hAnsi="宋体" w:eastAsia="宋体"/>
          <w:color w:val="auto"/>
          <w:sz w:val="24"/>
          <w:szCs w:val="24"/>
          <w:highlight w:val="none"/>
          <w:u w:val="single"/>
        </w:rPr>
        <w:t>A）未经发包人同意的，更换一般设计人员须向发包人支付违约金人民币</w:t>
      </w:r>
      <w:r>
        <w:rPr>
          <w:rFonts w:hint="eastAsia" w:ascii="宋体" w:hAnsi="宋体" w:eastAsia="宋体"/>
          <w:color w:val="auto"/>
          <w:sz w:val="24"/>
          <w:szCs w:val="24"/>
          <w:highlight w:val="none"/>
          <w:u w:val="single"/>
          <w:lang w:val="en-US" w:eastAsia="zh-CN"/>
        </w:rPr>
        <w:t>20</w:t>
      </w:r>
      <w:r>
        <w:rPr>
          <w:rFonts w:hint="eastAsia" w:ascii="宋体" w:hAnsi="宋体" w:eastAsia="宋体"/>
          <w:color w:val="auto"/>
          <w:sz w:val="24"/>
          <w:szCs w:val="24"/>
          <w:highlight w:val="none"/>
          <w:u w:val="single"/>
        </w:rPr>
        <w:t>万元/人次；更换专业设计负责人须向发包人支付违约金人民币</w:t>
      </w:r>
      <w:r>
        <w:rPr>
          <w:rFonts w:hint="eastAsia" w:ascii="宋体" w:hAnsi="宋体" w:eastAsia="宋体"/>
          <w:color w:val="auto"/>
          <w:sz w:val="24"/>
          <w:szCs w:val="24"/>
          <w:highlight w:val="none"/>
          <w:u w:val="single"/>
          <w:lang w:val="en-US" w:eastAsia="zh-CN"/>
        </w:rPr>
        <w:t>30</w:t>
      </w:r>
      <w:r>
        <w:rPr>
          <w:rFonts w:hint="eastAsia" w:ascii="宋体" w:hAnsi="宋体" w:eastAsia="宋体"/>
          <w:color w:val="auto"/>
          <w:sz w:val="24"/>
          <w:szCs w:val="24"/>
          <w:highlight w:val="none"/>
          <w:u w:val="single"/>
        </w:rPr>
        <w:t>万元/人次；擅自更换驻场设计代表须向发包人支付违约金人民币40万元/人次；更换项目总负责人（或设计负责人）须向发包人支付违约金人民币</w:t>
      </w:r>
      <w:r>
        <w:rPr>
          <w:rFonts w:hint="eastAsia" w:ascii="宋体" w:hAnsi="宋体" w:eastAsia="宋体"/>
          <w:color w:val="auto"/>
          <w:sz w:val="24"/>
          <w:szCs w:val="24"/>
          <w:highlight w:val="none"/>
          <w:u w:val="single"/>
          <w:lang w:val="en-US" w:eastAsia="zh-CN"/>
        </w:rPr>
        <w:t>50</w:t>
      </w:r>
      <w:r>
        <w:rPr>
          <w:rFonts w:hint="eastAsia" w:ascii="宋体" w:hAnsi="宋体" w:eastAsia="宋体"/>
          <w:color w:val="auto"/>
          <w:sz w:val="24"/>
          <w:szCs w:val="24"/>
          <w:highlight w:val="none"/>
          <w:u w:val="single"/>
        </w:rPr>
        <w:t>万元/人次。</w:t>
      </w:r>
    </w:p>
    <w:p w14:paraId="4BC5EDEF">
      <w:pPr>
        <w:spacing w:line="360" w:lineRule="auto"/>
        <w:ind w:firstLine="480" w:firstLineChars="200"/>
        <w:rPr>
          <w:rFonts w:ascii="宋体" w:hAnsi="宋体" w:eastAsia="宋体"/>
          <w:color w:val="auto"/>
          <w:sz w:val="24"/>
          <w:szCs w:val="24"/>
          <w:highlight w:val="none"/>
          <w:u w:val="single"/>
        </w:rPr>
      </w:pPr>
      <w:r>
        <w:rPr>
          <w:rFonts w:hint="eastAsia" w:ascii="宋体" w:hAnsi="宋体" w:eastAsia="宋体"/>
          <w:color w:val="auto"/>
          <w:sz w:val="24"/>
          <w:szCs w:val="24"/>
          <w:highlight w:val="none"/>
          <w:u w:val="single"/>
        </w:rPr>
        <w:t>B）发包人有权书面通知设计人更换其认为不称职的一般设计人员、专业设计负责人、驻场设计代表和项目总负责人（或设计负责人），虽发包人提出更换上述人员，但不免除设计人的违约责任，发包人有权要求设计人分别按10万元/人次（一般设计人）、20万元/人次（专业设计负责人）、30万元/人次（驻场设计代表）和40万元/人次项目总负责人（或设计负责人）承担违约赔偿。设计人收到发包人通知后5天内更换上述人员，如不及时更换，发包人有权要求设计人按上述对应人员双倍的处罚金额承担违约赔偿。</w:t>
      </w:r>
    </w:p>
    <w:p w14:paraId="63ADABB4">
      <w:pPr>
        <w:spacing w:line="360" w:lineRule="auto"/>
        <w:ind w:firstLine="480" w:firstLineChars="200"/>
        <w:rPr>
          <w:rFonts w:ascii="宋体" w:hAnsi="宋体" w:eastAsia="宋体"/>
          <w:color w:val="auto"/>
          <w:sz w:val="24"/>
          <w:szCs w:val="24"/>
          <w:highlight w:val="none"/>
          <w:u w:val="single"/>
        </w:rPr>
      </w:pPr>
      <w:r>
        <w:rPr>
          <w:rFonts w:hint="eastAsia" w:ascii="宋体" w:hAnsi="宋体" w:eastAsia="宋体"/>
          <w:color w:val="auto"/>
          <w:sz w:val="24"/>
          <w:szCs w:val="24"/>
          <w:highlight w:val="none"/>
          <w:u w:val="single"/>
        </w:rPr>
        <w:t>C）设计人可以向发包人书面提出更换一般设计人员、专业设计负责人、驻场设计代表和项目总负责人（或设计负责人），虽经发包人同意，但不免除设计人的违约责任，除死亡、因重病或重伤（持有县、区以上医院证明），两个月以上不能履行职责的等不可抗力的情况外，发包人有权要求设计人分别按5万元/人次（一般设计人）、10万元/人次（专业设计负责人）、20万元/人次（驻场设计代表）和30万元/人次项目总负责人（或设计负责人）承担违约赔偿。</w:t>
      </w:r>
    </w:p>
    <w:p w14:paraId="719BBA93">
      <w:pPr>
        <w:spacing w:line="360" w:lineRule="auto"/>
        <w:ind w:firstLine="480" w:firstLineChars="200"/>
        <w:rPr>
          <w:rFonts w:ascii="宋体" w:hAnsi="宋体" w:eastAsia="宋体"/>
          <w:color w:val="auto"/>
          <w:sz w:val="24"/>
          <w:szCs w:val="24"/>
          <w:highlight w:val="none"/>
          <w:u w:val="single"/>
        </w:rPr>
      </w:pPr>
      <w:r>
        <w:rPr>
          <w:rFonts w:hint="eastAsia" w:ascii="宋体" w:hAnsi="宋体" w:eastAsia="宋体"/>
          <w:color w:val="auto"/>
          <w:sz w:val="24"/>
          <w:szCs w:val="24"/>
          <w:highlight w:val="none"/>
          <w:u w:val="single"/>
        </w:rPr>
        <w:t>D）因不可抗力事件（如重病、重伤、失踪、死亡等）造成设计人员岗位空缺的，设计人必须在出现空缺之日起五日内予以补充，但无须向发包人支付违约金。逾期未予以补充的，按照本章</w:t>
      </w:r>
      <w:r>
        <w:rPr>
          <w:rFonts w:ascii="宋体" w:hAnsi="宋体" w:eastAsia="宋体"/>
          <w:color w:val="auto"/>
          <w:sz w:val="24"/>
          <w:szCs w:val="24"/>
          <w:highlight w:val="none"/>
          <w:u w:val="single"/>
        </w:rPr>
        <w:t>14.1.4，4）</w:t>
      </w:r>
      <w:r>
        <w:rPr>
          <w:rFonts w:hint="eastAsia" w:ascii="宋体" w:hAnsi="宋体" w:eastAsia="宋体"/>
          <w:color w:val="auto"/>
          <w:sz w:val="24"/>
          <w:szCs w:val="24"/>
          <w:highlight w:val="none"/>
          <w:u w:val="single"/>
        </w:rPr>
        <w:t>②</w:t>
      </w:r>
      <w:r>
        <w:rPr>
          <w:rFonts w:ascii="宋体" w:hAnsi="宋体" w:eastAsia="宋体"/>
          <w:color w:val="auto"/>
          <w:sz w:val="24"/>
          <w:szCs w:val="24"/>
          <w:highlight w:val="none"/>
          <w:u w:val="single"/>
        </w:rPr>
        <w:t xml:space="preserve"> A）</w:t>
      </w:r>
      <w:r>
        <w:rPr>
          <w:rFonts w:hint="eastAsia" w:ascii="宋体" w:hAnsi="宋体" w:eastAsia="宋体"/>
          <w:color w:val="auto"/>
          <w:sz w:val="24"/>
          <w:szCs w:val="24"/>
          <w:highlight w:val="none"/>
          <w:u w:val="single"/>
        </w:rPr>
        <w:t>条处理。</w:t>
      </w:r>
    </w:p>
    <w:p w14:paraId="35191CD6">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5）其他方面的违约责任：</w:t>
      </w:r>
    </w:p>
    <w:p w14:paraId="475BD2A6">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设计人违反本合同其他条款的约定或者履约时与其承诺不符，发包人有权根据实际情况决定其承担违约责任的形式，设计人不得提出任何异议。</w:t>
      </w:r>
    </w:p>
    <w:p w14:paraId="78CC4A3B">
      <w:pPr>
        <w:spacing w:line="360" w:lineRule="auto"/>
        <w:ind w:firstLine="480" w:firstLineChars="200"/>
        <w:rPr>
          <w:rFonts w:cs="宋体" w:asciiTheme="minorEastAsia" w:hAnsiTheme="minorEastAsia" w:eastAsiaTheme="minorEastAsia"/>
          <w:snapToGrid w:val="0"/>
          <w:sz w:val="24"/>
          <w:szCs w:val="24"/>
          <w:highlight w:val="none"/>
          <w:u w:val="single"/>
        </w:rPr>
      </w:pPr>
      <w:r>
        <w:rPr>
          <w:rFonts w:hint="eastAsia" w:asciiTheme="minorEastAsia" w:hAnsiTheme="minorEastAsia" w:eastAsiaTheme="minorEastAsia"/>
          <w:sz w:val="24"/>
          <w:szCs w:val="24"/>
          <w:highlight w:val="none"/>
          <w:u w:val="single"/>
        </w:rPr>
        <w:t>①</w:t>
      </w:r>
      <w:r>
        <w:rPr>
          <w:rFonts w:hint="eastAsia" w:cs="宋体" w:asciiTheme="minorEastAsia" w:hAnsiTheme="minorEastAsia" w:eastAsiaTheme="minorEastAsia"/>
          <w:snapToGrid w:val="0"/>
          <w:sz w:val="24"/>
          <w:szCs w:val="24"/>
          <w:highlight w:val="none"/>
          <w:u w:val="single"/>
        </w:rPr>
        <w:t>设计人应支持、服从发包人的管理工作，对发包人的指令和书面通知，若无正当理由又未提前报告、得到认可，而公开或变相拒不执行的，第一次承担一般违约责任1次；第三次以后，每发生一次承担严重违约1次，</w:t>
      </w:r>
      <w:r>
        <w:rPr>
          <w:rFonts w:hint="eastAsia" w:cs="宋体" w:asciiTheme="minorEastAsia" w:hAnsiTheme="minorEastAsia" w:eastAsiaTheme="minorEastAsia"/>
          <w:bCs/>
          <w:snapToGrid w:val="0"/>
          <w:sz w:val="24"/>
          <w:szCs w:val="24"/>
          <w:highlight w:val="none"/>
          <w:u w:val="single"/>
        </w:rPr>
        <w:t>情节特别严重的，发包人有权部分解除合同或解除合同</w:t>
      </w:r>
      <w:r>
        <w:rPr>
          <w:rFonts w:hint="eastAsia" w:cs="宋体" w:asciiTheme="minorEastAsia" w:hAnsiTheme="minorEastAsia" w:eastAsiaTheme="minorEastAsia"/>
          <w:snapToGrid w:val="0"/>
          <w:sz w:val="24"/>
          <w:szCs w:val="24"/>
          <w:highlight w:val="none"/>
          <w:u w:val="single"/>
        </w:rPr>
        <w:t>。</w:t>
      </w:r>
    </w:p>
    <w:p w14:paraId="116BD58B">
      <w:pPr>
        <w:spacing w:line="360" w:lineRule="auto"/>
        <w:ind w:firstLine="480" w:firstLineChars="200"/>
        <w:rPr>
          <w:rFonts w:cs="宋体" w:asciiTheme="minorEastAsia" w:hAnsiTheme="minorEastAsia" w:eastAsiaTheme="minorEastAsia"/>
          <w:snapToGrid w:val="0"/>
          <w:sz w:val="24"/>
          <w:szCs w:val="24"/>
          <w:highlight w:val="none"/>
          <w:u w:val="single"/>
        </w:rPr>
      </w:pPr>
      <w:r>
        <w:rPr>
          <w:rFonts w:hint="eastAsia" w:cs="宋体" w:asciiTheme="minorEastAsia" w:hAnsiTheme="minorEastAsia" w:eastAsiaTheme="minorEastAsia"/>
          <w:snapToGrid w:val="0"/>
          <w:sz w:val="24"/>
          <w:szCs w:val="24"/>
          <w:highlight w:val="none"/>
          <w:u w:val="single"/>
        </w:rPr>
        <w:t>②对于发包人通知设计人（包括设计人分包单位）参加的会议（包括但不限于进场会、现场问题处理会议、工程验收会议、结算问题处理会议、质保期工作的相关会议等），被通知人员（包括但不限于设计人法定代表人、经报发包人批准同意的设计人法定代表人授权人、项目负责人等）未经发包人书面同意自行缺席的，每缺席一人次设计人承担1次一般违约责任。</w:t>
      </w:r>
    </w:p>
    <w:p w14:paraId="6E241220">
      <w:pPr>
        <w:spacing w:line="360" w:lineRule="auto"/>
        <w:ind w:firstLine="480" w:firstLineChars="200"/>
        <w:rPr>
          <w:rFonts w:cs="宋体" w:asciiTheme="minorEastAsia" w:hAnsiTheme="minorEastAsia" w:eastAsiaTheme="minorEastAsia"/>
          <w:snapToGrid w:val="0"/>
          <w:sz w:val="24"/>
          <w:szCs w:val="24"/>
          <w:highlight w:val="none"/>
          <w:u w:val="single"/>
        </w:rPr>
      </w:pPr>
      <w:r>
        <w:rPr>
          <w:rFonts w:hint="eastAsia" w:cs="宋体" w:asciiTheme="minorEastAsia" w:hAnsiTheme="minorEastAsia" w:eastAsiaTheme="minorEastAsia"/>
          <w:snapToGrid w:val="0"/>
          <w:sz w:val="24"/>
          <w:szCs w:val="24"/>
          <w:highlight w:val="none"/>
          <w:u w:val="single"/>
        </w:rPr>
        <w:t>③设计人未能按合同约定及时提供招标配合服务，或其招标配合服务未能达到合同约定的要求，导致发包人的招标工作不能按时顺利进行的，每确认1次，设计人承担一般违约责任1次。</w:t>
      </w:r>
    </w:p>
    <w:p w14:paraId="50393B68">
      <w:pPr>
        <w:spacing w:line="360" w:lineRule="auto"/>
        <w:ind w:firstLine="480" w:firstLineChars="200"/>
        <w:rPr>
          <w:rFonts w:hint="eastAsia" w:cs="宋体" w:asciiTheme="minorEastAsia" w:hAnsiTheme="minorEastAsia" w:eastAsiaTheme="minorEastAsia"/>
          <w:kern w:val="1"/>
          <w:sz w:val="24"/>
          <w:szCs w:val="24"/>
          <w:highlight w:val="none"/>
          <w:u w:val="single"/>
        </w:rPr>
      </w:pPr>
      <w:r>
        <w:rPr>
          <w:rFonts w:hint="eastAsia" w:cs="宋体" w:asciiTheme="minorEastAsia" w:hAnsiTheme="minorEastAsia" w:eastAsiaTheme="minorEastAsia"/>
          <w:snapToGrid w:val="0"/>
          <w:sz w:val="24"/>
          <w:szCs w:val="24"/>
          <w:highlight w:val="none"/>
          <w:u w:val="single"/>
        </w:rPr>
        <w:t>④设计人未能按合同约定投入人员或投入人员（含勘察人员）没有按时到位的人员为一般设计人员的，每出现1人次，设计人承担一般违约责任1次；如该没有投入或者没有按时到位的人员为设计专业负责人的，每出现1人次，设计人承担严重违约责任1次。设计人要求更换人员的，需征得发包人同意。设计人在发包人规定的宽限期内仍未将人员投入到位的，发包人有权另请他人接替其工作并书面通知设计人，另请他人的费用从应支付给设计人的勘察、设计费中扣减。</w:t>
      </w:r>
      <w:r>
        <w:rPr>
          <w:rFonts w:hint="eastAsia" w:cs="宋体" w:asciiTheme="minorEastAsia" w:hAnsiTheme="minorEastAsia" w:eastAsiaTheme="minorEastAsia"/>
          <w:kern w:val="1"/>
          <w:sz w:val="24"/>
          <w:szCs w:val="24"/>
          <w:highlight w:val="none"/>
          <w:u w:val="single"/>
        </w:rPr>
        <w:t>因不可抗力事件（如重病、重伤、失踪、死亡等）造成设计人员岗位空缺的，设计人必须在出现空缺之日起五日内予以补充，但无须向发包人支付违约金。逾期未予以补充的，按照</w:t>
      </w:r>
      <w:r>
        <w:rPr>
          <w:rFonts w:hint="eastAsia" w:cs="宋体" w:asciiTheme="minorEastAsia" w:hAnsiTheme="minorEastAsia" w:eastAsiaTheme="minorEastAsia"/>
          <w:snapToGrid w:val="0"/>
          <w:sz w:val="24"/>
          <w:szCs w:val="24"/>
          <w:highlight w:val="none"/>
          <w:u w:val="single"/>
        </w:rPr>
        <w:t>没有按时到位</w:t>
      </w:r>
      <w:r>
        <w:rPr>
          <w:rFonts w:hint="eastAsia" w:cs="宋体" w:asciiTheme="minorEastAsia" w:hAnsiTheme="minorEastAsia" w:eastAsiaTheme="minorEastAsia"/>
          <w:kern w:val="1"/>
          <w:sz w:val="24"/>
          <w:szCs w:val="24"/>
          <w:highlight w:val="none"/>
          <w:u w:val="single"/>
        </w:rPr>
        <w:t>处理。</w:t>
      </w:r>
    </w:p>
    <w:p w14:paraId="7777444A">
      <w:pPr>
        <w:spacing w:line="360" w:lineRule="auto"/>
        <w:ind w:firstLine="480" w:firstLineChars="200"/>
        <w:rPr>
          <w:rFonts w:hint="eastAsia" w:ascii="宋体" w:hAnsi="宋体" w:eastAsia="宋体" w:cs="宋体"/>
          <w:color w:val="auto"/>
          <w:kern w:val="1"/>
          <w:sz w:val="24"/>
          <w:szCs w:val="24"/>
          <w:highlight w:val="none"/>
          <w:u w:val="single"/>
        </w:rPr>
      </w:pPr>
      <w:r>
        <w:rPr>
          <w:rFonts w:hint="eastAsia" w:ascii="宋体" w:hAnsi="宋体" w:eastAsia="宋体" w:cs="宋体"/>
          <w:color w:val="auto"/>
          <w:kern w:val="1"/>
          <w:sz w:val="24"/>
          <w:szCs w:val="24"/>
          <w:highlight w:val="none"/>
          <w:u w:val="single"/>
          <w:lang w:val="en-US" w:eastAsia="zh-CN"/>
        </w:rPr>
        <w:fldChar w:fldCharType="begin"/>
      </w:r>
      <w:r>
        <w:rPr>
          <w:rFonts w:hint="eastAsia" w:ascii="宋体" w:hAnsi="宋体" w:eastAsia="宋体" w:cs="宋体"/>
          <w:color w:val="auto"/>
          <w:kern w:val="1"/>
          <w:sz w:val="24"/>
          <w:szCs w:val="24"/>
          <w:highlight w:val="none"/>
          <w:u w:val="single"/>
          <w:lang w:val="en-US" w:eastAsia="zh-CN"/>
        </w:rPr>
        <w:instrText xml:space="preserve"> = 5 \* GB3 \* MERGEFORMAT </w:instrText>
      </w:r>
      <w:r>
        <w:rPr>
          <w:rFonts w:hint="eastAsia" w:ascii="宋体" w:hAnsi="宋体" w:eastAsia="宋体" w:cs="宋体"/>
          <w:color w:val="auto"/>
          <w:kern w:val="1"/>
          <w:sz w:val="24"/>
          <w:szCs w:val="24"/>
          <w:highlight w:val="none"/>
          <w:u w:val="single"/>
          <w:lang w:val="en-US" w:eastAsia="zh-CN"/>
        </w:rPr>
        <w:fldChar w:fldCharType="separate"/>
      </w:r>
      <w:r>
        <w:rPr>
          <w:color w:val="auto"/>
          <w:highlight w:val="none"/>
        </w:rPr>
        <w:t>⑤</w:t>
      </w:r>
      <w:r>
        <w:rPr>
          <w:rFonts w:hint="eastAsia" w:ascii="宋体" w:hAnsi="宋体" w:eastAsia="宋体" w:cs="宋体"/>
          <w:color w:val="auto"/>
          <w:kern w:val="1"/>
          <w:sz w:val="24"/>
          <w:szCs w:val="24"/>
          <w:highlight w:val="none"/>
          <w:u w:val="single"/>
          <w:lang w:val="en-US" w:eastAsia="zh-CN"/>
        </w:rPr>
        <w:fldChar w:fldCharType="end"/>
      </w:r>
      <w:r>
        <w:rPr>
          <w:rFonts w:hint="eastAsia" w:ascii="宋体" w:hAnsi="宋体" w:eastAsia="宋体" w:cs="宋体"/>
          <w:color w:val="auto"/>
          <w:kern w:val="1"/>
          <w:sz w:val="24"/>
          <w:szCs w:val="24"/>
          <w:highlight w:val="none"/>
          <w:u w:val="single"/>
        </w:rPr>
        <w:t>承包人不配合审计工作的违约责任</w:t>
      </w:r>
    </w:p>
    <w:p w14:paraId="408BFC16">
      <w:pPr>
        <w:spacing w:line="360" w:lineRule="auto"/>
        <w:ind w:firstLine="480" w:firstLineChars="200"/>
        <w:rPr>
          <w:rFonts w:hint="eastAsia" w:ascii="宋体" w:hAnsi="宋体" w:eastAsia="宋体" w:cs="宋体"/>
          <w:color w:val="auto"/>
          <w:kern w:val="1"/>
          <w:sz w:val="24"/>
          <w:szCs w:val="24"/>
          <w:highlight w:val="none"/>
          <w:u w:val="single"/>
        </w:rPr>
      </w:pPr>
      <w:r>
        <w:rPr>
          <w:rFonts w:hint="eastAsia" w:ascii="宋体" w:hAnsi="宋体" w:eastAsia="宋体" w:cs="宋体"/>
          <w:color w:val="auto"/>
          <w:kern w:val="1"/>
          <w:sz w:val="24"/>
          <w:szCs w:val="24"/>
          <w:highlight w:val="none"/>
          <w:u w:val="single"/>
        </w:rPr>
        <w:t>发包人有权对项目的全过程进行审计或审计调查，承包人应积极配合发包人的审计工作，提供必要的办公场所、条件及有关资料，确保按时提供真实审计资料，并对发现问题进行整改被审计单位拒绝、拖延提供，或者提供的资料不真实、不规范不完整，或者拒绝、阻碍检查的，按违约责任处理。</w:t>
      </w:r>
    </w:p>
    <w:p w14:paraId="61EC1B5C">
      <w:pPr>
        <w:spacing w:line="360" w:lineRule="auto"/>
        <w:ind w:firstLine="480" w:firstLineChars="200"/>
        <w:rPr>
          <w:rFonts w:hint="eastAsia" w:ascii="宋体" w:hAnsi="宋体" w:eastAsia="宋体" w:cs="宋体"/>
          <w:color w:val="auto"/>
          <w:kern w:val="1"/>
          <w:sz w:val="24"/>
          <w:szCs w:val="24"/>
          <w:highlight w:val="none"/>
          <w:u w:val="single"/>
        </w:rPr>
      </w:pPr>
      <w:r>
        <w:rPr>
          <w:rFonts w:hint="eastAsia" w:ascii="宋体" w:hAnsi="宋体" w:eastAsia="宋体" w:cs="宋体"/>
          <w:color w:val="auto"/>
          <w:kern w:val="1"/>
          <w:sz w:val="24"/>
          <w:szCs w:val="24"/>
          <w:highlight w:val="none"/>
          <w:u w:val="single"/>
          <w:lang w:eastAsia="zh-CN"/>
        </w:rPr>
        <w:t>1</w:t>
      </w:r>
      <w:r>
        <w:rPr>
          <w:rFonts w:hint="eastAsia" w:ascii="宋体" w:hAnsi="宋体" w:eastAsia="宋体" w:cs="宋体"/>
          <w:color w:val="auto"/>
          <w:kern w:val="1"/>
          <w:sz w:val="24"/>
          <w:szCs w:val="24"/>
          <w:highlight w:val="none"/>
          <w:u w:val="single"/>
          <w:lang w:val="en-US" w:eastAsia="zh-CN"/>
        </w:rPr>
        <w:t>&gt;</w:t>
      </w:r>
      <w:r>
        <w:rPr>
          <w:rFonts w:hint="eastAsia" w:ascii="宋体" w:hAnsi="宋体" w:eastAsia="宋体" w:cs="宋体"/>
          <w:color w:val="auto"/>
          <w:kern w:val="1"/>
          <w:sz w:val="24"/>
          <w:szCs w:val="24"/>
          <w:highlight w:val="none"/>
          <w:u w:val="single"/>
        </w:rPr>
        <w:t>一般审计违约责任。承包人违反本合同不配合发包人进行审计或审计调查的工作，发包人发出通知，口头指令限期时间内，承包人不履行审计配合责任，承担一般违约责任，向发包人交纳违约金 5000 元/次。</w:t>
      </w:r>
    </w:p>
    <w:p w14:paraId="469D13C2">
      <w:pPr>
        <w:pStyle w:val="30"/>
        <w:rPr>
          <w:highlight w:val="none"/>
        </w:rPr>
      </w:pPr>
      <w:r>
        <w:rPr>
          <w:rFonts w:hint="eastAsia" w:ascii="宋体" w:hAnsi="宋体" w:eastAsia="宋体" w:cs="宋体"/>
          <w:color w:val="auto"/>
          <w:kern w:val="1"/>
          <w:sz w:val="24"/>
          <w:szCs w:val="24"/>
          <w:highlight w:val="none"/>
          <w:u w:val="single"/>
          <w:lang w:val="en-US" w:eastAsia="zh-CN"/>
        </w:rPr>
        <w:t>2&gt;</w:t>
      </w:r>
      <w:r>
        <w:rPr>
          <w:rFonts w:hint="eastAsia" w:ascii="宋体" w:hAnsi="宋体" w:eastAsia="宋体" w:cs="宋体"/>
          <w:color w:val="auto"/>
          <w:kern w:val="1"/>
          <w:sz w:val="24"/>
          <w:szCs w:val="24"/>
          <w:highlight w:val="none"/>
          <w:u w:val="single"/>
        </w:rPr>
        <w:t>严重审计违约责任。承包人违反本合同的约定拒绝接受发包人进行审计或审计调查的义务，超出发包人发出通知，口头指令等限期要求时间 7 天后承包人仍拒绝、拖延提供，或者提供的资料不真实、不完整，或者拒绝、阻碍检查的，或者给与通报批评、书面警告、责令限期改正后,仍拒不改正的，承担严重违约责任，向发包人交纳违约金 1万元/次。</w:t>
      </w:r>
    </w:p>
    <w:p w14:paraId="72C571FF">
      <w:pPr>
        <w:spacing w:line="360" w:lineRule="auto"/>
        <w:ind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6）违约金从履约担保中扣除。履约担保不足的，相应扣减项目设计费。项目设计费不足的，发包人可继续向设计人提出索赔要求。</w:t>
      </w:r>
    </w:p>
    <w:p w14:paraId="54DB35C0">
      <w:pPr>
        <w:pStyle w:val="5"/>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 xml:space="preserve">15. 不可抗力 </w:t>
      </w:r>
    </w:p>
    <w:p w14:paraId="6BABA753">
      <w:pPr>
        <w:spacing w:before="120"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15.1 不可抗力的确认</w:t>
      </w:r>
    </w:p>
    <w:p w14:paraId="351DA40F">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除通用合同条款约定的不可抗力事件之外，视为不可抗力的其他情形：</w:t>
      </w:r>
      <w:r>
        <w:rPr>
          <w:rFonts w:hint="eastAsia" w:asciiTheme="minorEastAsia" w:hAnsiTheme="minorEastAsia" w:eastAsiaTheme="minorEastAsia"/>
          <w:kern w:val="0"/>
          <w:sz w:val="24"/>
          <w:szCs w:val="24"/>
          <w:highlight w:val="none"/>
          <w:u w:val="single"/>
        </w:rPr>
        <w:t xml:space="preserve">  重病、重伤、失踪、死亡等       </w:t>
      </w:r>
      <w:r>
        <w:rPr>
          <w:rFonts w:hint="eastAsia" w:asciiTheme="minorEastAsia" w:hAnsiTheme="minorEastAsia" w:eastAsiaTheme="minorEastAsia"/>
          <w:kern w:val="0"/>
          <w:sz w:val="24"/>
          <w:szCs w:val="24"/>
          <w:highlight w:val="none"/>
        </w:rPr>
        <w:t>。</w:t>
      </w:r>
    </w:p>
    <w:p w14:paraId="365F12D9">
      <w:pPr>
        <w:spacing w:before="120"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15.3不可抗力后果的承担</w:t>
      </w:r>
    </w:p>
    <w:p w14:paraId="0BB3F58F">
      <w:pPr>
        <w:spacing w:line="360" w:lineRule="auto"/>
        <w:ind w:firstLine="480" w:firstLineChars="200"/>
        <w:jc w:val="left"/>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因不可抗力事件导致的费用损失，由甲、乙双方各自承担自己的损失；对不可抗力事件导致的工期延误，除非一次影响工期延误大于30天，否则竣工日期不变，分段工期或者节点工期可以延误，但设计人应当在下一个节点或分段竣工日前赶回。</w:t>
      </w:r>
    </w:p>
    <w:p w14:paraId="3254EDEF">
      <w:pPr>
        <w:spacing w:before="120" w:after="120"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sz w:val="24"/>
          <w:szCs w:val="24"/>
          <w:highlight w:val="none"/>
        </w:rPr>
        <w:t xml:space="preserve">16. 合同解除 </w:t>
      </w:r>
    </w:p>
    <w:p w14:paraId="7F39354F">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 xml:space="preserve">16.2 </w:t>
      </w:r>
      <w:r>
        <w:rPr>
          <w:rFonts w:hint="eastAsia" w:cs="Courier New" w:asciiTheme="minorEastAsia" w:hAnsiTheme="minorEastAsia" w:eastAsiaTheme="minorEastAsia"/>
          <w:sz w:val="24"/>
          <w:szCs w:val="24"/>
          <w:highlight w:val="none"/>
        </w:rPr>
        <w:t>有下列情形之一的，可以解除合同：</w:t>
      </w:r>
    </w:p>
    <w:p w14:paraId="70157B51">
      <w:pPr>
        <w:spacing w:line="360" w:lineRule="auto"/>
        <w:ind w:firstLine="480" w:firstLineChars="200"/>
        <w:jc w:val="left"/>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（3）暂停设计期限已连续超过</w:t>
      </w:r>
      <w:r>
        <w:rPr>
          <w:rFonts w:hint="eastAsia" w:asciiTheme="minorEastAsia" w:hAnsiTheme="minorEastAsia" w:eastAsiaTheme="minorEastAsia"/>
          <w:kern w:val="0"/>
          <w:sz w:val="24"/>
          <w:szCs w:val="24"/>
          <w:highlight w:val="none"/>
          <w:u w:val="single"/>
        </w:rPr>
        <w:t xml:space="preserve">  180  </w:t>
      </w:r>
      <w:r>
        <w:rPr>
          <w:rFonts w:hint="eastAsia" w:asciiTheme="minorEastAsia" w:hAnsiTheme="minorEastAsia" w:eastAsiaTheme="minorEastAsia"/>
          <w:kern w:val="0"/>
          <w:sz w:val="24"/>
          <w:szCs w:val="24"/>
          <w:highlight w:val="none"/>
        </w:rPr>
        <w:t>个日历天。</w:t>
      </w:r>
    </w:p>
    <w:p w14:paraId="0C4893CB">
      <w:pPr>
        <w:spacing w:line="360" w:lineRule="auto"/>
        <w:ind w:firstLine="480" w:firstLineChars="200"/>
        <w:jc w:val="left"/>
        <w:rPr>
          <w:rFonts w:asciiTheme="minorEastAsia" w:hAnsiTheme="minorEastAsia" w:eastAsiaTheme="minorEastAsia"/>
          <w:kern w:val="0"/>
          <w:sz w:val="24"/>
          <w:szCs w:val="24"/>
          <w:highlight w:val="none"/>
          <w:u w:val="single"/>
        </w:rPr>
      </w:pPr>
      <w:r>
        <w:rPr>
          <w:rFonts w:hint="eastAsia" w:asciiTheme="minorEastAsia" w:hAnsiTheme="minorEastAsia" w:eastAsiaTheme="minorEastAsia"/>
          <w:kern w:val="0"/>
          <w:sz w:val="24"/>
          <w:szCs w:val="24"/>
          <w:highlight w:val="none"/>
        </w:rPr>
        <w:t xml:space="preserve">16.4 </w:t>
      </w:r>
      <w:r>
        <w:rPr>
          <w:rFonts w:hint="eastAsia" w:cs="Courier New" w:asciiTheme="minorEastAsia" w:hAnsiTheme="minorEastAsia" w:eastAsiaTheme="minorEastAsia"/>
          <w:sz w:val="24"/>
          <w:szCs w:val="24"/>
          <w:highlight w:val="none"/>
        </w:rPr>
        <w:t>发包人向设计人支付已完工作设计费的期限为</w:t>
      </w:r>
      <w:r>
        <w:rPr>
          <w:rFonts w:hint="eastAsia" w:cs="Courier New" w:asciiTheme="minorEastAsia" w:hAnsiTheme="minorEastAsia" w:eastAsiaTheme="minorEastAsia"/>
          <w:sz w:val="24"/>
          <w:szCs w:val="24"/>
          <w:highlight w:val="none"/>
          <w:u w:val="single"/>
        </w:rPr>
        <w:t xml:space="preserve">  180  </w:t>
      </w:r>
      <w:r>
        <w:rPr>
          <w:rFonts w:hint="eastAsia" w:asciiTheme="minorEastAsia" w:hAnsiTheme="minorEastAsia" w:eastAsiaTheme="minorEastAsia"/>
          <w:kern w:val="0"/>
          <w:sz w:val="24"/>
          <w:szCs w:val="24"/>
          <w:highlight w:val="none"/>
        </w:rPr>
        <w:t>个日历天</w:t>
      </w:r>
      <w:r>
        <w:rPr>
          <w:rFonts w:hint="eastAsia" w:cs="Courier New" w:asciiTheme="minorEastAsia" w:hAnsiTheme="minorEastAsia" w:eastAsiaTheme="minorEastAsia"/>
          <w:sz w:val="24"/>
          <w:szCs w:val="24"/>
          <w:highlight w:val="none"/>
        </w:rPr>
        <w:t>内。</w:t>
      </w:r>
    </w:p>
    <w:p w14:paraId="436E5D6E">
      <w:pPr>
        <w:pStyle w:val="5"/>
        <w:spacing w:before="120" w:after="120" w:line="360" w:lineRule="auto"/>
        <w:ind w:firstLine="480" w:firstLineChars="200"/>
        <w:rPr>
          <w:rFonts w:asciiTheme="minorEastAsia" w:hAnsiTheme="minorEastAsia" w:eastAsiaTheme="minorEastAsia"/>
          <w:b w:val="0"/>
          <w:sz w:val="24"/>
          <w:szCs w:val="24"/>
          <w:highlight w:val="none"/>
        </w:rPr>
      </w:pPr>
      <w:r>
        <w:rPr>
          <w:rFonts w:hint="eastAsia" w:asciiTheme="minorEastAsia" w:hAnsiTheme="minorEastAsia" w:eastAsiaTheme="minorEastAsia"/>
          <w:b w:val="0"/>
          <w:sz w:val="24"/>
          <w:szCs w:val="24"/>
          <w:highlight w:val="none"/>
        </w:rPr>
        <w:t>17. 争议解决</w:t>
      </w:r>
    </w:p>
    <w:p w14:paraId="6F02D17A">
      <w:pPr>
        <w:spacing w:before="120"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17.4 仲裁或诉讼</w:t>
      </w:r>
    </w:p>
    <w:p w14:paraId="5F107F74">
      <w:pPr>
        <w:spacing w:after="120"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因合同及合同有关事项发生的争议，按下列第</w:t>
      </w:r>
      <w:r>
        <w:rPr>
          <w:rFonts w:hint="eastAsia" w:asciiTheme="minorEastAsia" w:hAnsiTheme="minorEastAsia" w:eastAsiaTheme="minorEastAsia"/>
          <w:sz w:val="24"/>
          <w:szCs w:val="24"/>
          <w:highlight w:val="none"/>
          <w:u w:val="single"/>
        </w:rPr>
        <w:t xml:space="preserve">   （1）  </w:t>
      </w:r>
      <w:r>
        <w:rPr>
          <w:rFonts w:hint="eastAsia" w:asciiTheme="minorEastAsia" w:hAnsiTheme="minorEastAsia" w:eastAsiaTheme="minorEastAsia"/>
          <w:sz w:val="24"/>
          <w:szCs w:val="24"/>
          <w:highlight w:val="none"/>
        </w:rPr>
        <w:t>种方式解决：</w:t>
      </w:r>
    </w:p>
    <w:p w14:paraId="7E74F81B">
      <w:pPr>
        <w:spacing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（1）向</w:t>
      </w:r>
      <w:r>
        <w:rPr>
          <w:rFonts w:hint="eastAsia" w:asciiTheme="minorEastAsia" w:hAnsiTheme="minorEastAsia" w:eastAsiaTheme="minorEastAsia"/>
          <w:sz w:val="24"/>
          <w:szCs w:val="24"/>
          <w:highlight w:val="none"/>
          <w:u w:val="single"/>
        </w:rPr>
        <w:t xml:space="preserve">    广州市   </w:t>
      </w:r>
      <w:r>
        <w:rPr>
          <w:rFonts w:hint="eastAsia" w:asciiTheme="minorEastAsia" w:hAnsiTheme="minorEastAsia" w:eastAsiaTheme="minorEastAsia"/>
          <w:sz w:val="24"/>
          <w:szCs w:val="24"/>
          <w:highlight w:val="none"/>
        </w:rPr>
        <w:t>人民法院起诉；</w:t>
      </w:r>
    </w:p>
    <w:p w14:paraId="7A27FA0A">
      <w:pPr>
        <w:pStyle w:val="5"/>
        <w:spacing w:before="120" w:after="120"/>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b w:val="0"/>
          <w:sz w:val="24"/>
          <w:szCs w:val="24"/>
          <w:highlight w:val="none"/>
        </w:rPr>
        <w:t>18. 其他（如果没有，填“无”）</w:t>
      </w:r>
      <w:r>
        <w:rPr>
          <w:rFonts w:hint="eastAsia" w:asciiTheme="minorEastAsia" w:hAnsiTheme="minorEastAsia" w:eastAsiaTheme="minorEastAsia"/>
          <w:sz w:val="24"/>
          <w:szCs w:val="24"/>
          <w:highlight w:val="none"/>
        </w:rPr>
        <w:t>。</w:t>
      </w:r>
    </w:p>
    <w:p w14:paraId="7ACD2086">
      <w:pPr>
        <w:spacing w:line="360" w:lineRule="auto"/>
        <w:jc w:val="left"/>
        <w:rPr>
          <w:rFonts w:asciiTheme="minorEastAsia" w:hAnsiTheme="minorEastAsia" w:eastAsiaTheme="minorEastAsia"/>
          <w:sz w:val="24"/>
          <w:szCs w:val="24"/>
          <w:highlight w:val="none"/>
        </w:rPr>
      </w:pPr>
    </w:p>
    <w:bookmarkEnd w:id="169"/>
    <w:p w14:paraId="215B33EB">
      <w:pPr>
        <w:spacing w:line="360" w:lineRule="auto"/>
        <w:jc w:val="left"/>
        <w:rPr>
          <w:rFonts w:asciiTheme="minorEastAsia" w:hAnsiTheme="minorEastAsia" w:eastAsiaTheme="minorEastAsia"/>
          <w:b/>
          <w:sz w:val="24"/>
          <w:szCs w:val="24"/>
          <w:highlight w:val="none"/>
        </w:rPr>
      </w:pPr>
      <w:bookmarkStart w:id="171" w:name="_Toc351203652"/>
      <w:r>
        <w:rPr>
          <w:rFonts w:hint="eastAsia" w:asciiTheme="minorEastAsia" w:hAnsiTheme="minorEastAsia" w:eastAsiaTheme="minorEastAsia"/>
          <w:b/>
          <w:sz w:val="24"/>
          <w:szCs w:val="24"/>
          <w:highlight w:val="none"/>
        </w:rPr>
        <w:t>附件</w:t>
      </w:r>
      <w:bookmarkEnd w:id="171"/>
    </w:p>
    <w:p w14:paraId="028FA701">
      <w:pPr>
        <w:spacing w:line="360" w:lineRule="auto"/>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附件1：工程设计范围、阶段与服务内容</w:t>
      </w:r>
    </w:p>
    <w:p w14:paraId="18063678">
      <w:pPr>
        <w:spacing w:line="360" w:lineRule="auto"/>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附件2：发包人向设计人提交的有关资料及文件一览表</w:t>
      </w:r>
    </w:p>
    <w:p w14:paraId="5F50B034">
      <w:pPr>
        <w:spacing w:line="360" w:lineRule="auto"/>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附件3：设计人向发包人交付的工程设计文件目录</w:t>
      </w:r>
    </w:p>
    <w:p w14:paraId="5C92426F">
      <w:pPr>
        <w:spacing w:line="360" w:lineRule="auto"/>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附件4：专业设计及驻场服务人员表</w:t>
      </w:r>
    </w:p>
    <w:p w14:paraId="5873408E">
      <w:pPr>
        <w:spacing w:line="360" w:lineRule="auto"/>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附件5: 设计错误分类</w:t>
      </w:r>
    </w:p>
    <w:p w14:paraId="0F4CF0BD">
      <w:pPr>
        <w:spacing w:line="360" w:lineRule="auto"/>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附件6: 勘察协议条款</w:t>
      </w:r>
    </w:p>
    <w:p w14:paraId="2DE16B2D">
      <w:pPr>
        <w:spacing w:line="360" w:lineRule="auto"/>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附件7: 廉政合同</w:t>
      </w:r>
    </w:p>
    <w:p w14:paraId="3BB388DF">
      <w:pPr>
        <w:spacing w:line="360" w:lineRule="auto"/>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附件8: 银行保函格式</w:t>
      </w:r>
    </w:p>
    <w:p w14:paraId="6ED4FB2D">
      <w:pPr>
        <w:spacing w:line="360" w:lineRule="auto"/>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附件9：担保公司保函格式</w:t>
      </w:r>
    </w:p>
    <w:p w14:paraId="709A764E">
      <w:pPr>
        <w:spacing w:line="360" w:lineRule="auto"/>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附件10: </w:t>
      </w:r>
      <w:r>
        <w:rPr>
          <w:rFonts w:hint="eastAsia" w:ascii="宋体" w:hAnsi="宋体" w:eastAsia="Calibri" w:cs="宋体"/>
          <w:color w:val="auto"/>
          <w:sz w:val="24"/>
          <w:highlight w:val="none"/>
          <w:u w:val="single"/>
        </w:rPr>
        <w:t>《广东省代建项目管理局BIM实施导则2023修订版》</w:t>
      </w:r>
    </w:p>
    <w:p w14:paraId="30708511">
      <w:pPr>
        <w:spacing w:line="360" w:lineRule="auto"/>
        <w:jc w:val="left"/>
        <w:rPr>
          <w:rFonts w:hint="eastAsia"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附件11:</w:t>
      </w:r>
      <w:r>
        <w:rPr>
          <w:rFonts w:hint="eastAsia" w:ascii="宋体" w:hAnsi="宋体" w:eastAsia="Calibri" w:cs="宋体"/>
          <w:color w:val="auto"/>
          <w:sz w:val="24"/>
          <w:highlight w:val="none"/>
          <w:u w:val="single"/>
        </w:rPr>
        <w:t>《广东省代建项目管理局BIM实施管理标准2023修订版》</w:t>
      </w:r>
    </w:p>
    <w:p w14:paraId="6FD3A18E">
      <w:pPr>
        <w:spacing w:line="360" w:lineRule="auto"/>
        <w:rPr>
          <w:rFonts w:hint="eastAsia"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附件12：《省代建局直接管理项目设计单位履约评价实施细则》</w:t>
      </w:r>
    </w:p>
    <w:p w14:paraId="163FD543">
      <w:pPr>
        <w:spacing w:line="360" w:lineRule="auto"/>
        <w:rPr>
          <w:rFonts w:hint="eastAsia"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附件13：《省代建局直接管理项目岩土工程勘察单位履约评价实施细则》</w:t>
      </w:r>
    </w:p>
    <w:p w14:paraId="5FC46C2A">
      <w:pPr>
        <w:spacing w:line="360" w:lineRule="auto"/>
        <w:jc w:val="left"/>
        <w:rPr>
          <w:rFonts w:asciiTheme="minorEastAsia" w:hAnsiTheme="minorEastAsia" w:eastAsiaTheme="minorEastAsia"/>
          <w:sz w:val="24"/>
          <w:szCs w:val="24"/>
          <w:highlight w:val="none"/>
        </w:rPr>
      </w:pPr>
    </w:p>
    <w:p w14:paraId="28939B9F">
      <w:pPr>
        <w:spacing w:line="360" w:lineRule="auto"/>
        <w:jc w:val="left"/>
        <w:rPr>
          <w:rFonts w:asciiTheme="minorEastAsia" w:hAnsiTheme="minorEastAsia" w:eastAsiaTheme="minorEastAsia"/>
          <w:sz w:val="24"/>
          <w:szCs w:val="24"/>
          <w:highlight w:val="none"/>
        </w:rPr>
      </w:pPr>
    </w:p>
    <w:p w14:paraId="235EF03A">
      <w:pPr>
        <w:spacing w:line="360" w:lineRule="auto"/>
        <w:jc w:val="left"/>
        <w:rPr>
          <w:rFonts w:asciiTheme="minorEastAsia" w:hAnsiTheme="minorEastAsia" w:eastAsiaTheme="minorEastAsia"/>
          <w:sz w:val="24"/>
          <w:szCs w:val="24"/>
          <w:highlight w:val="none"/>
        </w:rPr>
      </w:pPr>
    </w:p>
    <w:p w14:paraId="2023236A">
      <w:pPr>
        <w:spacing w:line="360" w:lineRule="auto"/>
        <w:jc w:val="left"/>
        <w:rPr>
          <w:rFonts w:asciiTheme="minorEastAsia" w:hAnsiTheme="minorEastAsia" w:eastAsiaTheme="minorEastAsia"/>
          <w:b/>
          <w:sz w:val="24"/>
          <w:szCs w:val="24"/>
          <w:highlight w:val="none"/>
        </w:rPr>
      </w:pPr>
      <w:r>
        <w:rPr>
          <w:rFonts w:hint="eastAsia" w:asciiTheme="minorEastAsia" w:hAnsiTheme="minorEastAsia" w:eastAsiaTheme="minorEastAsia"/>
          <w:sz w:val="24"/>
          <w:szCs w:val="24"/>
          <w:highlight w:val="none"/>
        </w:rPr>
        <w:br w:type="page"/>
      </w:r>
      <w:bookmarkStart w:id="172" w:name="_Toc278309716"/>
      <w:bookmarkStart w:id="173" w:name="_Toc278231956"/>
      <w:r>
        <w:rPr>
          <w:rFonts w:hint="eastAsia" w:asciiTheme="minorEastAsia" w:hAnsiTheme="minorEastAsia" w:eastAsiaTheme="minorEastAsia"/>
          <w:b/>
          <w:sz w:val="24"/>
          <w:szCs w:val="24"/>
          <w:highlight w:val="none"/>
        </w:rPr>
        <w:t>附件1：工程设计范围、阶段与服务内容</w:t>
      </w:r>
    </w:p>
    <w:p w14:paraId="0A6A8F3E">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工程设计范围、阶段与服务内容</w:t>
      </w:r>
      <w:bookmarkEnd w:id="172"/>
      <w:bookmarkEnd w:id="173"/>
    </w:p>
    <w:p w14:paraId="69513B41">
      <w:pPr>
        <w:spacing w:line="360" w:lineRule="auto"/>
        <w:ind w:firstLine="451" w:firstLineChars="187"/>
        <w:rPr>
          <w:rFonts w:asciiTheme="minorEastAsia" w:hAnsiTheme="minorEastAsia" w:eastAsiaTheme="minorEastAsia"/>
          <w:b/>
          <w:sz w:val="24"/>
          <w:szCs w:val="24"/>
          <w:highlight w:val="none"/>
        </w:rPr>
      </w:pPr>
    </w:p>
    <w:p w14:paraId="40B50B9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发包人与设计人可根据项目的具体情况，选择确定本附件内容。</w:t>
      </w:r>
    </w:p>
    <w:p w14:paraId="4A4AFEFC">
      <w:pPr>
        <w:spacing w:line="360" w:lineRule="auto"/>
        <w:ind w:firstLine="482" w:firstLineChars="200"/>
        <w:rPr>
          <w:rFonts w:asciiTheme="minorEastAsia" w:hAnsiTheme="minorEastAsia" w:eastAsiaTheme="minorEastAsia"/>
          <w:sz w:val="24"/>
          <w:szCs w:val="24"/>
          <w:highlight w:val="none"/>
        </w:rPr>
      </w:pPr>
      <w:r>
        <w:rPr>
          <w:rFonts w:hint="eastAsia" w:asciiTheme="minorEastAsia" w:hAnsiTheme="minorEastAsia" w:eastAsiaTheme="minorEastAsia"/>
          <w:b/>
          <w:sz w:val="24"/>
          <w:szCs w:val="24"/>
          <w:highlight w:val="none"/>
        </w:rPr>
        <w:t>一、本工程设计范围</w:t>
      </w:r>
    </w:p>
    <w:p w14:paraId="2A73A5BF">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（1）方案修改及完善：根据现行《建筑工程设计文件编制深度规定》</w:t>
      </w:r>
      <w:r>
        <w:rPr>
          <w:rFonts w:hint="eastAsia" w:asciiTheme="minorEastAsia" w:hAnsiTheme="minorEastAsia" w:eastAsiaTheme="minorEastAsia"/>
          <w:snapToGrid w:val="0"/>
          <w:kern w:val="0"/>
          <w:sz w:val="24"/>
          <w:szCs w:val="24"/>
          <w:highlight w:val="none"/>
          <w:u w:val="single"/>
        </w:rPr>
        <w:t>、《市政公用工程设计文件编制深度规定》</w:t>
      </w:r>
      <w:r>
        <w:rPr>
          <w:rFonts w:hint="eastAsia" w:asciiTheme="minorEastAsia" w:hAnsiTheme="minorEastAsia" w:eastAsiaTheme="minorEastAsia"/>
          <w:snapToGrid w:val="0"/>
          <w:kern w:val="0"/>
          <w:sz w:val="24"/>
          <w:szCs w:val="24"/>
          <w:highlight w:val="none"/>
        </w:rPr>
        <w:t>中关于方案设计应达到的设计深度要求，同时根据专家评审意见及有关职能部门提出的修改意见，对发包人选定的设计方案进行修改和完善。</w:t>
      </w:r>
    </w:p>
    <w:p w14:paraId="26A89BA2">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（2）规划方案审查：</w:t>
      </w:r>
      <w:r>
        <w:rPr>
          <w:rFonts w:hint="eastAsia" w:asciiTheme="minorEastAsia" w:hAnsiTheme="minorEastAsia" w:eastAsiaTheme="minorEastAsia"/>
          <w:snapToGrid w:val="0"/>
          <w:kern w:val="0"/>
          <w:sz w:val="24"/>
          <w:szCs w:val="24"/>
          <w:highlight w:val="none"/>
          <w:u w:val="single"/>
        </w:rPr>
        <w:t xml:space="preserve">         红线 </w:t>
      </w:r>
      <w:r>
        <w:rPr>
          <w:rFonts w:hint="eastAsia" w:asciiTheme="minorEastAsia" w:hAnsiTheme="minorEastAsia" w:eastAsiaTheme="minorEastAsia"/>
          <w:snapToGrid w:val="0"/>
          <w:kern w:val="0"/>
          <w:sz w:val="24"/>
          <w:szCs w:val="24"/>
          <w:highlight w:val="none"/>
        </w:rPr>
        <w:t>范围内</w:t>
      </w:r>
      <w:r>
        <w:rPr>
          <w:rFonts w:hint="eastAsia" w:asciiTheme="minorEastAsia" w:hAnsiTheme="minorEastAsia" w:eastAsiaTheme="minorEastAsia"/>
          <w:b/>
          <w:snapToGrid w:val="0"/>
          <w:kern w:val="0"/>
          <w:sz w:val="24"/>
          <w:szCs w:val="24"/>
          <w:highlight w:val="none"/>
          <w:u w:val="single"/>
        </w:rPr>
        <w:t>（具体以发包人书面要求为准）</w:t>
      </w:r>
      <w:r>
        <w:rPr>
          <w:rFonts w:hint="eastAsia" w:asciiTheme="minorEastAsia" w:hAnsiTheme="minorEastAsia" w:eastAsiaTheme="minorEastAsia"/>
          <w:snapToGrid w:val="0"/>
          <w:kern w:val="0"/>
          <w:sz w:val="24"/>
          <w:szCs w:val="24"/>
          <w:highlight w:val="none"/>
        </w:rPr>
        <w:t>总平面及竖向规划设计、管线综合设计、建筑布局、交通组织、景观绿化、建筑立面、环境节能保护等。</w:t>
      </w:r>
    </w:p>
    <w:p w14:paraId="796AEA2A">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（3）室外市政、园林工程设计：</w:t>
      </w:r>
      <w:r>
        <w:rPr>
          <w:rFonts w:hint="eastAsia" w:asciiTheme="minorEastAsia" w:hAnsiTheme="minorEastAsia" w:eastAsiaTheme="minorEastAsia"/>
          <w:bCs/>
          <w:snapToGrid w:val="0"/>
          <w:kern w:val="0"/>
          <w:sz w:val="24"/>
          <w:szCs w:val="24"/>
          <w:highlight w:val="none"/>
        </w:rPr>
        <w:t>本项目</w:t>
      </w:r>
      <w:r>
        <w:rPr>
          <w:rFonts w:hint="eastAsia" w:asciiTheme="minorEastAsia" w:hAnsiTheme="minorEastAsia" w:eastAsiaTheme="minorEastAsia"/>
          <w:snapToGrid w:val="0"/>
          <w:kern w:val="0"/>
          <w:sz w:val="24"/>
          <w:szCs w:val="24"/>
          <w:highlight w:val="none"/>
        </w:rPr>
        <w:t>范围内的道路、园林景观绿化、停车场、供电系统、照明系统、广播音响系统、安全防范监视系统、大屏幕显示系统、标识系统、室外给排水系统、自动喷淋系统、消防系统等的设计，以及室外各种管线综合平衡设计。</w:t>
      </w:r>
    </w:p>
    <w:p w14:paraId="41BF0E8F">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（4）建筑设计：本项目范围内的建筑设计、室内装修设计（含标识系统）。</w:t>
      </w:r>
    </w:p>
    <w:p w14:paraId="67C483B5">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（5）结构设计：本项目范围内建筑体的结构设计、基坑支护设计、幕墙等装修工程的结构设计等。大、中型项目要做装配式建筑的方案比选。</w:t>
      </w:r>
    </w:p>
    <w:p w14:paraId="47E12BFA">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6）电气设计：建筑内部高低压变配电系统、动力、照明配电、消防应急照明和疏散指示系统采用智能消防应急照明疏散指示逃生系统、防雷及接地等，室外配套工程配电和照明工程（含泛光照明），红线内电力等管线平衡等。</w:t>
      </w:r>
    </w:p>
    <w:p w14:paraId="4DF125D6">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（7）建筑智能化系统设计：</w:t>
      </w:r>
    </w:p>
    <w:p w14:paraId="139C15DB">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 xml:space="preserve">  1）通信网络系统：包括计算机网络系统、电话（语音）网络系统、综合布线系统、有线电视及卫星电视接收系统、公共广播及消防广播系统、信息发布（含大屏幕电子公告）、引导系统、手机信号覆盖系统、室内手机信号屏蔽系统、无线上网系统等；</w:t>
      </w:r>
    </w:p>
    <w:p w14:paraId="03FEF38E">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 xml:space="preserve">  2）电子会议系统； </w:t>
      </w:r>
    </w:p>
    <w:p w14:paraId="307B0783">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 xml:space="preserve">  3）新闻发布系统；</w:t>
      </w:r>
    </w:p>
    <w:p w14:paraId="6FBB4793">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 xml:space="preserve">  4）建筑设备监控系统；</w:t>
      </w:r>
    </w:p>
    <w:p w14:paraId="63064EBC">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 xml:space="preserve"> 5）安全防范系统：包括入侵报警系统、视频监控系统、出入口控制系统、电子巡更系统、停车场管理系统、智能卡系统、安全防范系统集成（设计范围内的所有建筑、公众区域、停车场、出入口通道等区域的安保设计）等；</w:t>
      </w:r>
    </w:p>
    <w:p w14:paraId="169EBC9C">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 xml:space="preserve">  6）智能化系统集成；</w:t>
      </w:r>
    </w:p>
    <w:p w14:paraId="7773D6DF">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 xml:space="preserve">  7）弱电防雷系统；</w:t>
      </w:r>
    </w:p>
    <w:p w14:paraId="15DDA586">
      <w:pPr>
        <w:adjustRightInd w:val="0"/>
        <w:snapToGrid w:val="0"/>
        <w:spacing w:line="360" w:lineRule="auto"/>
        <w:ind w:firstLine="480" w:firstLineChars="200"/>
        <w:rPr>
          <w:rFonts w:asciiTheme="minorEastAsia" w:hAnsiTheme="minorEastAsia" w:eastAsiaTheme="minorEastAsia"/>
          <w:bCs/>
          <w:snapToGrid w:val="0"/>
          <w:kern w:val="0"/>
          <w:sz w:val="24"/>
          <w:szCs w:val="24"/>
          <w:highlight w:val="none"/>
          <w:bdr w:val="single" w:color="auto" w:sz="4" w:space="0"/>
        </w:rPr>
      </w:pPr>
      <w:r>
        <w:rPr>
          <w:rFonts w:hint="eastAsia" w:asciiTheme="minorEastAsia" w:hAnsiTheme="minorEastAsia" w:eastAsiaTheme="minorEastAsia"/>
          <w:snapToGrid w:val="0"/>
          <w:kern w:val="0"/>
          <w:sz w:val="24"/>
          <w:szCs w:val="24"/>
          <w:highlight w:val="none"/>
        </w:rPr>
        <w:t xml:space="preserve">  8）机房工程；</w:t>
      </w:r>
    </w:p>
    <w:p w14:paraId="2C59E3EA">
      <w:pPr>
        <w:adjustRightInd w:val="0"/>
        <w:snapToGrid w:val="0"/>
        <w:spacing w:line="360" w:lineRule="auto"/>
        <w:ind w:firstLine="480" w:firstLineChars="200"/>
        <w:rPr>
          <w:rFonts w:asciiTheme="minorEastAsia" w:hAnsiTheme="minorEastAsia" w:eastAsiaTheme="minorEastAsia"/>
          <w:bCs/>
          <w:snapToGrid w:val="0"/>
          <w:kern w:val="0"/>
          <w:sz w:val="24"/>
          <w:szCs w:val="24"/>
          <w:highlight w:val="none"/>
          <w:bdr w:val="single" w:color="auto" w:sz="4" w:space="0"/>
        </w:rPr>
      </w:pPr>
      <w:r>
        <w:rPr>
          <w:rFonts w:hint="eastAsia" w:asciiTheme="minorEastAsia" w:hAnsiTheme="minorEastAsia" w:eastAsiaTheme="minorEastAsia"/>
          <w:snapToGrid w:val="0"/>
          <w:kern w:val="0"/>
          <w:sz w:val="24"/>
          <w:szCs w:val="24"/>
          <w:highlight w:val="none"/>
        </w:rPr>
        <w:t xml:space="preserve">  9）监控中心。</w:t>
      </w:r>
    </w:p>
    <w:p w14:paraId="45DC8DE8">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u w:val="single"/>
        </w:rPr>
      </w:pPr>
      <w:r>
        <w:rPr>
          <w:rFonts w:hint="eastAsia" w:asciiTheme="minorEastAsia" w:hAnsiTheme="minorEastAsia" w:eastAsiaTheme="minorEastAsia"/>
          <w:snapToGrid w:val="0"/>
          <w:kern w:val="0"/>
          <w:sz w:val="24"/>
          <w:szCs w:val="24"/>
          <w:highlight w:val="none"/>
        </w:rPr>
        <w:t>（8）给排水设计</w:t>
      </w:r>
      <w:r>
        <w:rPr>
          <w:rFonts w:hint="eastAsia" w:asciiTheme="minorEastAsia" w:hAnsiTheme="minorEastAsia" w:eastAsiaTheme="minorEastAsia"/>
          <w:snapToGrid w:val="0"/>
          <w:kern w:val="0"/>
          <w:sz w:val="24"/>
          <w:szCs w:val="24"/>
          <w:highlight w:val="none"/>
          <w:u w:val="single"/>
        </w:rPr>
        <w:t>（含外水接入、接出部分，需设计接至主管部门指定接口）</w:t>
      </w:r>
      <w:r>
        <w:rPr>
          <w:rFonts w:hint="eastAsia" w:asciiTheme="minorEastAsia" w:hAnsiTheme="minorEastAsia" w:eastAsiaTheme="minorEastAsia"/>
          <w:snapToGrid w:val="0"/>
          <w:kern w:val="0"/>
          <w:sz w:val="24"/>
          <w:szCs w:val="24"/>
          <w:highlight w:val="none"/>
        </w:rPr>
        <w:t>：建筑给水、排水系统设计（包含直饮水供水系统）、</w:t>
      </w:r>
      <w:r>
        <w:rPr>
          <w:rFonts w:hint="eastAsia" w:asciiTheme="minorEastAsia" w:hAnsiTheme="minorEastAsia" w:eastAsiaTheme="minorEastAsia"/>
          <w:snapToGrid w:val="0"/>
          <w:kern w:val="0"/>
          <w:sz w:val="24"/>
          <w:szCs w:val="24"/>
          <w:highlight w:val="none"/>
          <w:u w:val="single"/>
        </w:rPr>
        <w:t>集中热水供应系统、用地内外与市政管线接驳等设计</w:t>
      </w:r>
      <w:r>
        <w:rPr>
          <w:rFonts w:hint="eastAsia" w:asciiTheme="minorEastAsia" w:hAnsiTheme="minorEastAsia" w:eastAsiaTheme="minorEastAsia"/>
          <w:snapToGrid w:val="0"/>
          <w:kern w:val="0"/>
          <w:sz w:val="24"/>
          <w:szCs w:val="24"/>
          <w:highlight w:val="none"/>
        </w:rPr>
        <w:t>。</w:t>
      </w:r>
    </w:p>
    <w:p w14:paraId="1C4ECFC1">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（9）空调通风设计：包括不限于建筑物内部通风系统、建筑物内部空气调节系统、中央洗尘系统、集中供冷供热系统等的设计。</w:t>
      </w:r>
    </w:p>
    <w:p w14:paraId="2D802463">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（10）消防设计：消火栓系统、自动喷淋系统、气体灭火系统、防排烟系统、火灾自动报警及联动控制系统。</w:t>
      </w:r>
    </w:p>
    <w:p w14:paraId="1BE66343">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（11）人防工程设计。</w:t>
      </w:r>
    </w:p>
    <w:p w14:paraId="7DED2A87">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（12）电梯工程设计与相关配合。</w:t>
      </w:r>
    </w:p>
    <w:p w14:paraId="2C1D1A04">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（13）市政道路专业设计。</w:t>
      </w:r>
    </w:p>
    <w:p w14:paraId="5811C222">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（14）市政管线专业设计。</w:t>
      </w:r>
    </w:p>
    <w:p w14:paraId="0A2F3D12">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（15）按照项目的灯光、声学等特殊工艺设计要求进行建筑、结构及其配套设备专业的设计与相关配合。</w:t>
      </w:r>
    </w:p>
    <w:p w14:paraId="236C7C7C">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（16）管线综合平衡设计：各种专业设备、系统的管线在建筑物内、外的路由平衡设计。建筑物内、外的管线综合平衡设计以专篇形式提交。</w:t>
      </w:r>
    </w:p>
    <w:p w14:paraId="5D70CE06">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（17）设备选型意见：就拟采用的专用机电设备、专用电子设备（如大屏幕显示系统、广播音响系统等）的选型于施工图设计开始前向发包人提出书面意见并提供相关设备的技术参数规格书，但不设计专用设备。</w:t>
      </w:r>
    </w:p>
    <w:p w14:paraId="6454931F">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（18）建筑节能、绿色建筑设计和申报、验收，以及新技术应用的研究和设计。</w:t>
      </w:r>
    </w:p>
    <w:p w14:paraId="6C69423A">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（19）编制方案设计投资估算。</w:t>
      </w:r>
    </w:p>
    <w:p w14:paraId="0E1E78EF">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（20）编制初步设计概算。</w:t>
      </w:r>
    </w:p>
    <w:p w14:paraId="577F8CC3">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（21）编制设计变更预算。</w:t>
      </w:r>
    </w:p>
    <w:p w14:paraId="6C9DCB1D">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（22）编制施工图预算。</w:t>
      </w:r>
    </w:p>
    <w:p w14:paraId="5E118E69">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（23）在规划红线范围内，设计人应保证按规划及建筑功能要求、配套设施要求完成本合同工程造价中包含的全部项目的专业专项勘察、设计。</w:t>
      </w:r>
    </w:p>
    <w:p w14:paraId="697C6767">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（24）对于专项分包勘察、设计文件，须由设计人及专项分包单位人员校核并会签盖章确认。</w:t>
      </w:r>
    </w:p>
    <w:p w14:paraId="0E5359E7">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（25）提供主要设备材料表及技术要求书，配合发包人的招标工作。</w:t>
      </w:r>
    </w:p>
    <w:p w14:paraId="714D26A8">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地震评估、环境评估、防雷评估、风洞试验、振动台试验、点试验、消防性能化分析及有关专项试验、研究与论证不在设计人设计范畴内，但设计人应配合发包人工作。</w:t>
      </w:r>
    </w:p>
    <w:p w14:paraId="0CE552FE">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u w:val="single"/>
        </w:rPr>
      </w:pPr>
      <w:r>
        <w:rPr>
          <w:rFonts w:hint="eastAsia" w:asciiTheme="minorEastAsia" w:hAnsiTheme="minorEastAsia" w:eastAsiaTheme="minorEastAsia"/>
          <w:snapToGrid w:val="0"/>
          <w:kern w:val="0"/>
          <w:sz w:val="24"/>
          <w:szCs w:val="24"/>
          <w:highlight w:val="none"/>
        </w:rPr>
        <w:t>（26）幕墙工程</w:t>
      </w:r>
      <w:r>
        <w:rPr>
          <w:rFonts w:hint="eastAsia" w:asciiTheme="minorEastAsia" w:hAnsiTheme="minorEastAsia" w:eastAsiaTheme="minorEastAsia"/>
          <w:snapToGrid w:val="0"/>
          <w:kern w:val="0"/>
          <w:sz w:val="24"/>
          <w:szCs w:val="24"/>
          <w:highlight w:val="none"/>
          <w:u w:val="single"/>
        </w:rPr>
        <w:t>（如有）。</w:t>
      </w:r>
    </w:p>
    <w:p w14:paraId="13ABE884">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（27）</w:t>
      </w:r>
      <w:r>
        <w:rPr>
          <w:rFonts w:hint="eastAsia" w:asciiTheme="minorEastAsia" w:hAnsiTheme="minorEastAsia" w:eastAsiaTheme="minorEastAsia"/>
          <w:sz w:val="24"/>
          <w:szCs w:val="24"/>
          <w:highlight w:val="none"/>
        </w:rPr>
        <w:t>环保工程设计。</w:t>
      </w:r>
    </w:p>
    <w:p w14:paraId="0B344D84">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（28）防雷设计。</w:t>
      </w:r>
    </w:p>
    <w:p w14:paraId="156DB536">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（29）</w:t>
      </w:r>
      <w:r>
        <w:rPr>
          <w:rFonts w:hint="eastAsia" w:asciiTheme="minorEastAsia" w:hAnsiTheme="minorEastAsia" w:eastAsiaTheme="minorEastAsia"/>
          <w:sz w:val="24"/>
          <w:szCs w:val="24"/>
          <w:highlight w:val="none"/>
        </w:rPr>
        <w:t>标识导引系统设计</w:t>
      </w:r>
      <w:r>
        <w:rPr>
          <w:rFonts w:hint="eastAsia" w:asciiTheme="minorEastAsia" w:hAnsiTheme="minorEastAsia" w:eastAsiaTheme="minorEastAsia"/>
          <w:snapToGrid w:val="0"/>
          <w:kern w:val="0"/>
          <w:sz w:val="24"/>
          <w:szCs w:val="24"/>
          <w:highlight w:val="none"/>
        </w:rPr>
        <w:t>。</w:t>
      </w:r>
    </w:p>
    <w:p w14:paraId="57F9DAF9">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（30）擦窗机设计。</w:t>
      </w:r>
    </w:p>
    <w:p w14:paraId="3CD9F2DF">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（31）临水、临电、施工围墙、施工便道、施工总平面等工程设计。</w:t>
      </w:r>
    </w:p>
    <w:p w14:paraId="17AD6896">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（32）建设单位的驻地办公场所设计（临时板房、景观绿化、旗杆等）。</w:t>
      </w:r>
    </w:p>
    <w:p w14:paraId="77288E0D">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（33）本项目实施过程中所涉及的现有设施拆除、管线迁改等内容的设计。</w:t>
      </w:r>
    </w:p>
    <w:p w14:paraId="20F63EE6">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（34）机械停车设计。</w:t>
      </w:r>
    </w:p>
    <w:p w14:paraId="0AE7C68B">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（35）厨房设计。</w:t>
      </w:r>
    </w:p>
    <w:p w14:paraId="67E87CC0">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（36）项目前期摸查报告编制（</w:t>
      </w:r>
      <w:r>
        <w:rPr>
          <w:rFonts w:hint="eastAsia" w:asciiTheme="minorEastAsia" w:hAnsiTheme="minorEastAsia" w:eastAsiaTheme="minorEastAsia"/>
          <w:sz w:val="24"/>
          <w:szCs w:val="24"/>
          <w:highlight w:val="none"/>
        </w:rPr>
        <w:t>项目建设范围内及周边管线、地上建（构）筑物、交通、市政配套、地形地貌等前期摸查</w:t>
      </w:r>
      <w:r>
        <w:rPr>
          <w:rFonts w:hint="eastAsia" w:asciiTheme="minorEastAsia" w:hAnsiTheme="minorEastAsia" w:eastAsiaTheme="minorEastAsia"/>
          <w:snapToGrid w:val="0"/>
          <w:kern w:val="0"/>
          <w:sz w:val="24"/>
          <w:szCs w:val="24"/>
          <w:highlight w:val="none"/>
        </w:rPr>
        <w:t>），项目各阶段设计重点、难点分析报告。</w:t>
      </w:r>
    </w:p>
    <w:p w14:paraId="2277ADCD">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（37）其他：</w:t>
      </w:r>
    </w:p>
    <w:p w14:paraId="165C30C3">
      <w:pPr>
        <w:adjustRightInd w:val="0"/>
        <w:snapToGrid w:val="0"/>
        <w:spacing w:line="360" w:lineRule="auto"/>
        <w:ind w:firstLine="480" w:firstLineChars="200"/>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1）需进行装配式建筑设计，装配率需满足</w:t>
      </w:r>
      <w:r>
        <w:rPr>
          <w:rFonts w:hint="eastAsia" w:cs="Courier New" w:asciiTheme="minorEastAsia" w:hAnsiTheme="minorEastAsia" w:eastAsiaTheme="minorEastAsia"/>
          <w:sz w:val="24"/>
          <w:szCs w:val="24"/>
          <w:highlight w:val="none"/>
        </w:rPr>
        <w:t>广州市住房和城乡建设局相关规定的要求；</w:t>
      </w:r>
    </w:p>
    <w:p w14:paraId="18C142EE">
      <w:pPr>
        <w:adjustRightInd w:val="0"/>
        <w:snapToGrid w:val="0"/>
        <w:spacing w:line="360" w:lineRule="auto"/>
        <w:ind w:firstLine="480" w:firstLineChars="200"/>
        <w:rPr>
          <w:rFonts w:asciiTheme="minorEastAsia" w:hAnsiTheme="minorEastAsia" w:eastAsiaTheme="minorEastAsia"/>
          <w:i/>
          <w:snapToGrid w:val="0"/>
          <w:kern w:val="0"/>
          <w:sz w:val="24"/>
          <w:szCs w:val="24"/>
          <w:highlight w:val="none"/>
        </w:rPr>
      </w:pPr>
      <w:r>
        <w:rPr>
          <w:rFonts w:hint="eastAsia" w:asciiTheme="minorEastAsia" w:hAnsiTheme="minorEastAsia" w:eastAsiaTheme="minorEastAsia"/>
          <w:snapToGrid w:val="0"/>
          <w:kern w:val="0"/>
          <w:sz w:val="24"/>
          <w:szCs w:val="24"/>
          <w:highlight w:val="none"/>
        </w:rPr>
        <w:t>2）需进行全过程BIM设计，并在BIM模型的基础上导出全部图纸，并需无偿向发包人提供相应格式的电子文件（BIM费用包含于设计费中，不另行支付）；</w:t>
      </w:r>
    </w:p>
    <w:p w14:paraId="5EE5BCE6">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napToGrid w:val="0"/>
          <w:kern w:val="0"/>
          <w:sz w:val="24"/>
          <w:szCs w:val="24"/>
          <w:highlight w:val="none"/>
        </w:rPr>
        <w:t>3）负责网上填报各阶段报建相关资料，并负责纸质报送材料的整理组卷盖章工作。</w:t>
      </w:r>
    </w:p>
    <w:p w14:paraId="78D67FF9">
      <w:pPr>
        <w:spacing w:line="360" w:lineRule="auto"/>
        <w:ind w:firstLine="482" w:firstLineChars="200"/>
        <w:rPr>
          <w:rFonts w:asciiTheme="minorEastAsia" w:hAnsiTheme="minorEastAsia" w:eastAsiaTheme="minorEastAsia"/>
          <w:sz w:val="24"/>
          <w:szCs w:val="24"/>
          <w:highlight w:val="none"/>
        </w:rPr>
      </w:pPr>
      <w:r>
        <w:rPr>
          <w:rFonts w:hint="eastAsia" w:asciiTheme="minorEastAsia" w:hAnsiTheme="minorEastAsia" w:eastAsiaTheme="minorEastAsia"/>
          <w:b/>
          <w:sz w:val="24"/>
          <w:szCs w:val="24"/>
          <w:highlight w:val="none"/>
        </w:rPr>
        <w:t>二、本工程设计阶段划分</w:t>
      </w:r>
    </w:p>
    <w:p w14:paraId="3450A65C">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□方案设计阶段、□初步设计、施工图设计及施工配合四个阶段。</w:t>
      </w:r>
    </w:p>
    <w:p w14:paraId="5C1F4190">
      <w:pPr>
        <w:spacing w:line="360" w:lineRule="auto"/>
        <w:ind w:firstLine="482" w:firstLineChars="200"/>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三、各阶段服务内容</w:t>
      </w:r>
    </w:p>
    <w:p w14:paraId="04B1659E">
      <w:pPr>
        <w:spacing w:line="360" w:lineRule="auto"/>
        <w:ind w:firstLine="482" w:firstLineChars="200"/>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1.方案设计阶段</w:t>
      </w:r>
    </w:p>
    <w:p w14:paraId="60E1E969">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（1）与发包人及发包人聘用的顾问充分沟通，深入研究项目基础资料，协助发包人提出本项目的发展规划和市场潜力； </w:t>
      </w:r>
    </w:p>
    <w:p w14:paraId="1EFA299D">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（2）完成总体规划和方案设计，提供满足深度的方案设计图纸，并制作符合政府部门要求的规划意见书与设计方案报批文件，协助发包人进行报批工作； </w:t>
      </w:r>
    </w:p>
    <w:p w14:paraId="0E6F4C7F">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（3）根据政府部门的审批意见在本合同约定的范围内对设计方案进行修改和必要的调整，以通过政府部门审查批准； </w:t>
      </w:r>
    </w:p>
    <w:p w14:paraId="2098431A">
      <w:pPr>
        <w:spacing w:line="360" w:lineRule="auto"/>
        <w:ind w:firstLine="482" w:firstLineChars="200"/>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w:t>
      </w:r>
      <w:r>
        <w:rPr>
          <w:rFonts w:asciiTheme="minorEastAsia" w:hAnsiTheme="minorEastAsia" w:eastAsiaTheme="minorEastAsia"/>
          <w:b/>
          <w:sz w:val="24"/>
          <w:szCs w:val="24"/>
          <w:highlight w:val="none"/>
        </w:rPr>
        <w:t>4）设计人依据设计方案成果编制造价估算文件，完成估算编制后，方案阶段成果应与可行性研究成果进行对比和分析，对超出限额的部分进行说明和分析，提出修改指引和意见并报送</w:t>
      </w:r>
      <w:r>
        <w:rPr>
          <w:rFonts w:hint="eastAsia" w:asciiTheme="minorEastAsia" w:hAnsiTheme="minorEastAsia" w:eastAsiaTheme="minorEastAsia"/>
          <w:b/>
          <w:sz w:val="24"/>
          <w:szCs w:val="24"/>
          <w:highlight w:val="none"/>
        </w:rPr>
        <w:t>发包人</w:t>
      </w:r>
    </w:p>
    <w:p w14:paraId="3AEC1DF9">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5）协调景观、交通、精装修等各专业顾问公司的工作，对其设计方案和技术经济指标进行审核，提供咨询意见。在保证与该项目总体方案设计相一致的情况下，接受经发包人确认的顾问公司的合理化建议并对方案进行调整； </w:t>
      </w:r>
    </w:p>
    <w:p w14:paraId="161A8622">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（6）配合发包人进行人防、消防、交通、绿化及市政管网等方面的咨询工作；</w:t>
      </w:r>
    </w:p>
    <w:p w14:paraId="5FF7BC4F">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（7）负责完成人防、消防等规划方案，协助发包人完成报批工作。</w:t>
      </w:r>
    </w:p>
    <w:p w14:paraId="16C957A2">
      <w:pPr>
        <w:spacing w:line="360" w:lineRule="auto"/>
        <w:ind w:firstLine="482" w:firstLineChars="200"/>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2.初步设计阶段</w:t>
      </w:r>
    </w:p>
    <w:p w14:paraId="0F7ACD81">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（1）负责完成并制作建筑、结构、给排水、暖通空调、电气、动力、室外管线综合等专业的初步设计文件，设计内容和深度应满足政府相关规定； </w:t>
      </w:r>
    </w:p>
    <w:p w14:paraId="17055727">
      <w:pPr>
        <w:spacing w:line="360" w:lineRule="auto"/>
        <w:ind w:firstLine="480" w:firstLineChars="200"/>
        <w:rPr>
          <w:rFonts w:asciiTheme="minorEastAsia" w:hAnsiTheme="minorEastAsia" w:eastAsiaTheme="minorEastAsia"/>
          <w:b/>
          <w:sz w:val="24"/>
          <w:szCs w:val="24"/>
          <w:highlight w:val="none"/>
        </w:rPr>
      </w:pPr>
      <w:r>
        <w:rPr>
          <w:rFonts w:hint="eastAsia" w:asciiTheme="minorEastAsia" w:hAnsiTheme="minorEastAsia" w:eastAsiaTheme="minorEastAsia"/>
          <w:sz w:val="24"/>
          <w:szCs w:val="24"/>
          <w:highlight w:val="none"/>
        </w:rPr>
        <w:t>（2）</w:t>
      </w:r>
      <w:r>
        <w:rPr>
          <w:rFonts w:hint="eastAsia" w:asciiTheme="minorEastAsia" w:hAnsiTheme="minorEastAsia" w:eastAsiaTheme="minorEastAsia"/>
          <w:b/>
          <w:sz w:val="24"/>
          <w:szCs w:val="24"/>
          <w:highlight w:val="none"/>
        </w:rPr>
        <w:t>初步设计过程中，设计人应对主要总规划、建筑方案、结构形式、工艺流程、主要设备指标等提出技术和经济方面的比选方案。用以制定专业设计原则进行方案设计及材料设备选型，以单位工程作为评价，做好专业内的平衡和调整，提出节约投资的措施。初步设计文件确定后，设计人对概算文件进行对比和分析，对超出限额的部分进行说明和分析，提出修改指引和意见供发包人参考。</w:t>
      </w:r>
    </w:p>
    <w:p w14:paraId="357075E3">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（3）制作报政府相关部门进行初步设计审查的设计图纸，配合发包人进行交通、园林、人防、消防、供电、市政、气象等各部门的报审工作，提供相关的工程用量参数，并负责有关解释和修改。</w:t>
      </w:r>
    </w:p>
    <w:p w14:paraId="75A3CBB5">
      <w:pPr>
        <w:spacing w:line="360" w:lineRule="auto"/>
        <w:ind w:firstLine="482" w:firstLineChars="200"/>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3.施工图设计阶段</w:t>
      </w:r>
    </w:p>
    <w:p w14:paraId="76B7F045">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（1）负责完成并制作总图、建筑、结构、机电、室外管线综合等全部专业的施工图设计文件； </w:t>
      </w:r>
    </w:p>
    <w:p w14:paraId="41B62066">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（2）对发包人的审核修改意见进行修改、完善，保证其设计意图的最终实现；</w:t>
      </w:r>
    </w:p>
    <w:p w14:paraId="605D41DA">
      <w:pPr>
        <w:spacing w:line="360" w:lineRule="auto"/>
        <w:ind w:firstLine="482" w:firstLineChars="200"/>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3）施工图预算完成编制后，由造价咨询单位负责预算与初步设计概算进行对比和分析，设计人应对超出或需要调整的设计内容，在不影响工程功能水平、工程质量、工程运营维护成本、全寿命周期费用等情况下，进行设计优化，确保预算不超出设计限额和工程总投资额。</w:t>
      </w:r>
    </w:p>
    <w:p w14:paraId="1A51EE85">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（4）根据项目开发进度要求及时提供各阶段报审图纸，协助发包人进行报审工作，根据审查结果在本合同约定的范围内进行修改调整，直至审查通过，并最终向发包人提交正式的施工图设计文件； </w:t>
      </w:r>
    </w:p>
    <w:p w14:paraId="3358F94C">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（5）协助发包人进行工程招标答疑。</w:t>
      </w:r>
    </w:p>
    <w:p w14:paraId="6A31710A">
      <w:pPr>
        <w:spacing w:line="360" w:lineRule="auto"/>
        <w:ind w:firstLine="482" w:firstLineChars="200"/>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4.施工配合阶段</w:t>
      </w:r>
    </w:p>
    <w:p w14:paraId="38A4835E">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（1）负责工程设计交底，解答施工过程中施工承包人有关施工图的问题，项目负责人及各专业设计负责人，及时对施工中与设计有关的问题做出回应，保证设计满足施工要求； </w:t>
      </w:r>
    </w:p>
    <w:p w14:paraId="560C9637">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（2）根据发包人要求，及时参加与设计有关的专题会，现场解决技术问题； </w:t>
      </w:r>
    </w:p>
    <w:p w14:paraId="583586D3">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（3）协助发包人处理工程洽商和设计变更，负责有关设计修改，及时办理相关手续； </w:t>
      </w:r>
    </w:p>
    <w:p w14:paraId="70D230DE">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（4）参与与设计人相关的必要的验收以及项目竣工验收工作，并及时办理相关手续； </w:t>
      </w:r>
    </w:p>
    <w:p w14:paraId="2928CA01">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（5）提供产品选型、设备加工订货、建筑材料选择以及分包商考察等技术咨询工作； </w:t>
      </w:r>
    </w:p>
    <w:p w14:paraId="588E4BE2">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（6）应发包人要求协助审核各分包商的设计文件是否满足接口条件并签署意见，以保证其与总体设计协调一致，并满足工程要求。</w:t>
      </w:r>
    </w:p>
    <w:p w14:paraId="3176C69A">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（7）现场服务：</w:t>
      </w:r>
      <w:r>
        <w:rPr>
          <w:rFonts w:hint="eastAsia" w:asciiTheme="minorEastAsia" w:hAnsiTheme="minorEastAsia" w:eastAsiaTheme="minorEastAsia"/>
          <w:sz w:val="24"/>
          <w:szCs w:val="24"/>
          <w:highlight w:val="none"/>
          <w:u w:val="single"/>
        </w:rPr>
        <w:t>指派设计人员常驻</w:t>
      </w:r>
      <w:r>
        <w:rPr>
          <w:rFonts w:hint="eastAsia" w:asciiTheme="minorEastAsia" w:hAnsiTheme="minorEastAsia" w:eastAsiaTheme="minorEastAsia"/>
          <w:bCs/>
          <w:sz w:val="24"/>
          <w:szCs w:val="24"/>
          <w:highlight w:val="none"/>
          <w:u w:val="single"/>
        </w:rPr>
        <w:t>项目</w:t>
      </w:r>
      <w:r>
        <w:rPr>
          <w:rFonts w:hint="eastAsia" w:asciiTheme="minorEastAsia" w:hAnsiTheme="minorEastAsia" w:eastAsiaTheme="minorEastAsia"/>
          <w:sz w:val="24"/>
          <w:szCs w:val="24"/>
          <w:highlight w:val="none"/>
        </w:rPr>
        <w:t>，按设计方分工责任分配组织进行，配合发包人进行现场巡查，直至工程竣工验收合格为止。当建设过程中对设计文件有疑问，设计方在接到通知后，应及时派出专业工程师解决。属于一般设计问题，若无特殊情况，应在一天内解决。属于重大设计问题，可在5天内书面提出解决意见。对设计图纸与现场不符之处，应及时提出解决办法。</w:t>
      </w:r>
    </w:p>
    <w:p w14:paraId="6A63656D">
      <w:pPr>
        <w:spacing w:line="360" w:lineRule="auto"/>
        <w:ind w:firstLine="480" w:firstLineChars="200"/>
        <w:rPr>
          <w:rFonts w:asciiTheme="minorEastAsia" w:hAnsiTheme="minorEastAsia" w:eastAsiaTheme="minorEastAsia"/>
          <w:b/>
          <w:sz w:val="24"/>
          <w:szCs w:val="24"/>
          <w:highlight w:val="none"/>
        </w:rPr>
      </w:pPr>
      <w:r>
        <w:rPr>
          <w:rFonts w:hint="eastAsia" w:asciiTheme="minorEastAsia" w:hAnsiTheme="minorEastAsia" w:eastAsiaTheme="minorEastAsia"/>
          <w:sz w:val="24"/>
          <w:szCs w:val="24"/>
          <w:highlight w:val="none"/>
        </w:rPr>
        <w:t>（</w:t>
      </w:r>
      <w:r>
        <w:rPr>
          <w:rFonts w:asciiTheme="minorEastAsia" w:hAnsiTheme="minorEastAsia" w:eastAsiaTheme="minorEastAsia"/>
          <w:sz w:val="24"/>
          <w:szCs w:val="24"/>
          <w:highlight w:val="none"/>
        </w:rPr>
        <w:t>8）</w:t>
      </w:r>
      <w:r>
        <w:rPr>
          <w:rFonts w:hint="eastAsia" w:asciiTheme="minorEastAsia" w:hAnsiTheme="minorEastAsia" w:eastAsiaTheme="minorEastAsia"/>
          <w:b/>
          <w:sz w:val="24"/>
          <w:szCs w:val="24"/>
          <w:highlight w:val="none"/>
        </w:rPr>
        <w:t>加强设计变更管理，应严格控制变更的发生，对非发生不可的变更，应尽量提前。设计人应先对工程重大设计变更方案进行造价估算，开展价值工程研究，向发包人报送新旧设计方案行造价估算、施工工艺、功能等方面对比分析，供发包人参考使用。发包人同意后，设计人才可以出正式设计变更文件。并由造价咨询单位对设计变更造价进行动态管理。</w:t>
      </w:r>
    </w:p>
    <w:p w14:paraId="030B3D64">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8）配合发包人进行施工招标和设备、材料采购招标工作，要考虑工程实施的需要，在计划、工期上要根据工程总体策划考虑工程招投标、设备采购、施工组织所需要的时间，提前交付设计文件。其招标文件技术部分由设计人负责编写。</w:t>
      </w:r>
    </w:p>
    <w:p w14:paraId="24225ECB">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（9）提供设备、材料订货清单，同时原则上须向发包人推荐三家以上供应商及提供相关资料，所提供的供应商和相关资料不能带有倾向性和排他性。</w:t>
      </w:r>
    </w:p>
    <w:p w14:paraId="2AE933CC">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（10）对设备、材料订货有关性能、参数、规格确认，以及协助参与对已订设备、材料的验收工作。</w:t>
      </w:r>
    </w:p>
    <w:p w14:paraId="73A6A8B5">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（11）协助制订设备系统的调试计划和参与设备试车调试。</w:t>
      </w:r>
    </w:p>
    <w:p w14:paraId="0721F2AB">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（12）参与工程的报建与各类验收，参与编写工程总结。</w:t>
      </w:r>
    </w:p>
    <w:p w14:paraId="1ED9A121">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（13）项目负责人应该参加发包人或监理单位召开的协调会、调度会。</w:t>
      </w:r>
    </w:p>
    <w:p w14:paraId="7C1E56C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（14） 根据工程进展情况和需要，对一些特殊工程，设计方向发包人提供施工组织设计的书面建议，配合编写工程施工技术标准（施工作业指导书），对设计各部分所应满足的规范、标准进行总说明，对各条文进行摘录汇编。若对超规范（标准）之处，应初拟技术标准，以供专家论证后执行。</w:t>
      </w:r>
    </w:p>
    <w:p w14:paraId="38616286">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（15）施工单位编制竣工图完成后，设计方应组织各专业人员审核竣工图纸的完整性和准确性，各级审核人员应签名确认。</w:t>
      </w:r>
    </w:p>
    <w:p w14:paraId="149E27ED">
      <w:pPr>
        <w:spacing w:beforeLines="50" w:afterLines="50" w:line="360" w:lineRule="auto"/>
        <w:jc w:val="left"/>
        <w:rPr>
          <w:rFonts w:asciiTheme="minorEastAsia" w:hAnsiTheme="minorEastAsia" w:eastAsiaTheme="minorEastAsia"/>
          <w:sz w:val="24"/>
          <w:szCs w:val="24"/>
          <w:highlight w:val="none"/>
        </w:rPr>
      </w:pPr>
    </w:p>
    <w:p w14:paraId="654CF367">
      <w:pPr>
        <w:spacing w:line="360" w:lineRule="auto"/>
        <w:jc w:val="left"/>
        <w:rPr>
          <w:rFonts w:asciiTheme="minorEastAsia" w:hAnsiTheme="minorEastAsia" w:eastAsiaTheme="minorEastAsia"/>
          <w:b/>
          <w:sz w:val="24"/>
          <w:szCs w:val="24"/>
          <w:highlight w:val="none"/>
        </w:rPr>
      </w:pPr>
      <w:bookmarkStart w:id="174" w:name="_Toc278309718"/>
      <w:bookmarkStart w:id="175" w:name="_Toc278231958"/>
      <w:r>
        <w:rPr>
          <w:rFonts w:hint="eastAsia" w:asciiTheme="minorEastAsia" w:hAnsiTheme="minorEastAsia" w:eastAsiaTheme="minorEastAsia"/>
          <w:b/>
          <w:sz w:val="24"/>
          <w:szCs w:val="24"/>
          <w:highlight w:val="none"/>
        </w:rPr>
        <w:br w:type="page"/>
      </w:r>
      <w:r>
        <w:rPr>
          <w:rFonts w:hint="eastAsia" w:asciiTheme="minorEastAsia" w:hAnsiTheme="minorEastAsia" w:eastAsiaTheme="minorEastAsia"/>
          <w:b/>
          <w:sz w:val="24"/>
          <w:szCs w:val="24"/>
          <w:highlight w:val="none"/>
        </w:rPr>
        <w:t>附件2：发包人向设计人提交有关资料及文件一览表</w:t>
      </w:r>
    </w:p>
    <w:p w14:paraId="563E4016">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发包人向设计人提交有关资料及文件</w:t>
      </w:r>
      <w:bookmarkEnd w:id="174"/>
      <w:bookmarkEnd w:id="175"/>
      <w:r>
        <w:rPr>
          <w:rFonts w:hint="eastAsia" w:asciiTheme="minorEastAsia" w:hAnsiTheme="minorEastAsia" w:eastAsiaTheme="minorEastAsia"/>
          <w:sz w:val="24"/>
          <w:szCs w:val="24"/>
          <w:highlight w:val="none"/>
        </w:rPr>
        <w:t>一览表</w:t>
      </w:r>
    </w:p>
    <w:p w14:paraId="39E56CEC">
      <w:pPr>
        <w:spacing w:afterLines="50" w:line="360" w:lineRule="auto"/>
        <w:rPr>
          <w:rFonts w:cs="Courier New" w:asciiTheme="minorEastAsia" w:hAnsiTheme="minorEastAsia" w:eastAsiaTheme="minorEastAsia"/>
          <w:sz w:val="24"/>
          <w:szCs w:val="24"/>
          <w:highlight w:val="none"/>
        </w:rPr>
      </w:pP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785"/>
        <w:gridCol w:w="720"/>
        <w:gridCol w:w="2885"/>
        <w:gridCol w:w="1087"/>
      </w:tblGrid>
      <w:tr w14:paraId="0412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638" w:type="dxa"/>
            <w:vAlign w:val="center"/>
          </w:tcPr>
          <w:p w14:paraId="7FF33AFD">
            <w:pPr>
              <w:spacing w:line="360" w:lineRule="auto"/>
              <w:jc w:val="center"/>
              <w:rPr>
                <w:rFonts w:asciiTheme="minorEastAsia" w:hAnsiTheme="minorEastAsia" w:eastAsiaTheme="minorEastAsia"/>
                <w:b/>
                <w:bCs/>
                <w:sz w:val="24"/>
                <w:szCs w:val="24"/>
                <w:highlight w:val="none"/>
              </w:rPr>
            </w:pPr>
            <w:r>
              <w:rPr>
                <w:rFonts w:hint="eastAsia" w:asciiTheme="minorEastAsia" w:hAnsiTheme="minorEastAsia" w:eastAsiaTheme="minorEastAsia"/>
                <w:b/>
                <w:bCs/>
                <w:sz w:val="24"/>
                <w:szCs w:val="24"/>
                <w:highlight w:val="none"/>
              </w:rPr>
              <w:t>序号</w:t>
            </w:r>
          </w:p>
        </w:tc>
        <w:tc>
          <w:tcPr>
            <w:tcW w:w="3785" w:type="dxa"/>
            <w:vAlign w:val="center"/>
          </w:tcPr>
          <w:p w14:paraId="3E0245C0">
            <w:pPr>
              <w:spacing w:line="360" w:lineRule="auto"/>
              <w:jc w:val="center"/>
              <w:rPr>
                <w:rFonts w:asciiTheme="minorEastAsia" w:hAnsiTheme="minorEastAsia" w:eastAsiaTheme="minorEastAsia"/>
                <w:b/>
                <w:bCs/>
                <w:sz w:val="24"/>
                <w:szCs w:val="24"/>
                <w:highlight w:val="none"/>
              </w:rPr>
            </w:pPr>
            <w:r>
              <w:rPr>
                <w:rFonts w:hint="eastAsia" w:asciiTheme="minorEastAsia" w:hAnsiTheme="minorEastAsia" w:eastAsiaTheme="minorEastAsia"/>
                <w:b/>
                <w:bCs/>
                <w:sz w:val="24"/>
                <w:szCs w:val="24"/>
                <w:highlight w:val="none"/>
              </w:rPr>
              <w:t>资料及文件名称</w:t>
            </w:r>
          </w:p>
        </w:tc>
        <w:tc>
          <w:tcPr>
            <w:tcW w:w="720" w:type="dxa"/>
            <w:vAlign w:val="center"/>
          </w:tcPr>
          <w:p w14:paraId="7417AA2E">
            <w:pPr>
              <w:spacing w:line="360" w:lineRule="auto"/>
              <w:jc w:val="center"/>
              <w:rPr>
                <w:rFonts w:asciiTheme="minorEastAsia" w:hAnsiTheme="minorEastAsia" w:eastAsiaTheme="minorEastAsia"/>
                <w:b/>
                <w:bCs/>
                <w:sz w:val="24"/>
                <w:szCs w:val="24"/>
                <w:highlight w:val="none"/>
              </w:rPr>
            </w:pPr>
            <w:r>
              <w:rPr>
                <w:rFonts w:hint="eastAsia" w:asciiTheme="minorEastAsia" w:hAnsiTheme="minorEastAsia" w:eastAsiaTheme="minorEastAsia"/>
                <w:b/>
                <w:bCs/>
                <w:sz w:val="24"/>
                <w:szCs w:val="24"/>
                <w:highlight w:val="none"/>
              </w:rPr>
              <w:t>份数</w:t>
            </w:r>
          </w:p>
        </w:tc>
        <w:tc>
          <w:tcPr>
            <w:tcW w:w="2885" w:type="dxa"/>
            <w:vAlign w:val="center"/>
          </w:tcPr>
          <w:p w14:paraId="137E49EC">
            <w:pPr>
              <w:spacing w:line="360" w:lineRule="auto"/>
              <w:jc w:val="center"/>
              <w:rPr>
                <w:rFonts w:asciiTheme="minorEastAsia" w:hAnsiTheme="minorEastAsia" w:eastAsiaTheme="minorEastAsia"/>
                <w:b/>
                <w:bCs/>
                <w:sz w:val="24"/>
                <w:szCs w:val="24"/>
                <w:highlight w:val="none"/>
              </w:rPr>
            </w:pPr>
            <w:r>
              <w:rPr>
                <w:rFonts w:hint="eastAsia" w:asciiTheme="minorEastAsia" w:hAnsiTheme="minorEastAsia" w:eastAsiaTheme="minorEastAsia"/>
                <w:b/>
                <w:bCs/>
                <w:sz w:val="24"/>
                <w:szCs w:val="24"/>
                <w:highlight w:val="none"/>
              </w:rPr>
              <w:t>提交日期</w:t>
            </w:r>
          </w:p>
        </w:tc>
        <w:tc>
          <w:tcPr>
            <w:tcW w:w="1087" w:type="dxa"/>
            <w:vAlign w:val="center"/>
          </w:tcPr>
          <w:p w14:paraId="30312FF5">
            <w:pPr>
              <w:spacing w:line="360" w:lineRule="auto"/>
              <w:jc w:val="center"/>
              <w:rPr>
                <w:rFonts w:asciiTheme="minorEastAsia" w:hAnsiTheme="minorEastAsia" w:eastAsiaTheme="minorEastAsia"/>
                <w:b/>
                <w:bCs/>
                <w:sz w:val="24"/>
                <w:szCs w:val="24"/>
                <w:highlight w:val="none"/>
              </w:rPr>
            </w:pPr>
            <w:r>
              <w:rPr>
                <w:rFonts w:hint="eastAsia" w:asciiTheme="minorEastAsia" w:hAnsiTheme="minorEastAsia" w:eastAsiaTheme="minorEastAsia"/>
                <w:b/>
                <w:bCs/>
                <w:sz w:val="24"/>
                <w:szCs w:val="24"/>
                <w:highlight w:val="none"/>
              </w:rPr>
              <w:t>有关事宜</w:t>
            </w:r>
          </w:p>
        </w:tc>
      </w:tr>
      <w:tr w14:paraId="4B27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14:paraId="197F17D3">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p>
        </w:tc>
        <w:tc>
          <w:tcPr>
            <w:tcW w:w="3785" w:type="dxa"/>
            <w:vAlign w:val="center"/>
          </w:tcPr>
          <w:p w14:paraId="75B17449">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项目立项报告和审批文件</w:t>
            </w:r>
          </w:p>
        </w:tc>
        <w:tc>
          <w:tcPr>
            <w:tcW w:w="720" w:type="dxa"/>
            <w:vAlign w:val="center"/>
          </w:tcPr>
          <w:p w14:paraId="5918AE66">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各1</w:t>
            </w:r>
          </w:p>
        </w:tc>
        <w:tc>
          <w:tcPr>
            <w:tcW w:w="2885" w:type="dxa"/>
            <w:vAlign w:val="center"/>
          </w:tcPr>
          <w:p w14:paraId="1CEF758A">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方案开始3天前</w:t>
            </w:r>
          </w:p>
        </w:tc>
        <w:tc>
          <w:tcPr>
            <w:tcW w:w="1087" w:type="dxa"/>
            <w:vMerge w:val="restart"/>
            <w:vAlign w:val="center"/>
          </w:tcPr>
          <w:p w14:paraId="4B1D3A64">
            <w:pPr>
              <w:spacing w:line="360" w:lineRule="auto"/>
              <w:jc w:val="center"/>
              <w:rPr>
                <w:rFonts w:asciiTheme="minorEastAsia" w:hAnsiTheme="minorEastAsia" w:eastAsiaTheme="minorEastAsia"/>
                <w:sz w:val="24"/>
                <w:szCs w:val="24"/>
                <w:highlight w:val="none"/>
              </w:rPr>
            </w:pPr>
          </w:p>
        </w:tc>
      </w:tr>
      <w:tr w14:paraId="64A9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14:paraId="37F22158">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w:t>
            </w:r>
          </w:p>
        </w:tc>
        <w:tc>
          <w:tcPr>
            <w:tcW w:w="3785" w:type="dxa"/>
            <w:vAlign w:val="center"/>
          </w:tcPr>
          <w:p w14:paraId="48889453">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发包人要求即设计任务书（含对建筑、结构、给水排水、暖通空调、建筑电气、总图等专业的具体要求）</w:t>
            </w:r>
          </w:p>
        </w:tc>
        <w:tc>
          <w:tcPr>
            <w:tcW w:w="720" w:type="dxa"/>
            <w:vAlign w:val="center"/>
          </w:tcPr>
          <w:p w14:paraId="1A3E3DB1">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p>
        </w:tc>
        <w:tc>
          <w:tcPr>
            <w:tcW w:w="2885" w:type="dxa"/>
            <w:vAlign w:val="center"/>
          </w:tcPr>
          <w:p w14:paraId="23CE80C0">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方案开始3天前</w:t>
            </w:r>
          </w:p>
        </w:tc>
        <w:tc>
          <w:tcPr>
            <w:tcW w:w="1087" w:type="dxa"/>
            <w:vMerge w:val="continue"/>
            <w:vAlign w:val="center"/>
          </w:tcPr>
          <w:p w14:paraId="30E4005E">
            <w:pPr>
              <w:spacing w:line="360" w:lineRule="auto"/>
              <w:jc w:val="center"/>
              <w:rPr>
                <w:rFonts w:asciiTheme="minorEastAsia" w:hAnsiTheme="minorEastAsia" w:eastAsiaTheme="minorEastAsia"/>
                <w:sz w:val="24"/>
                <w:szCs w:val="24"/>
                <w:highlight w:val="none"/>
              </w:rPr>
            </w:pPr>
          </w:p>
        </w:tc>
      </w:tr>
      <w:tr w14:paraId="167F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21A7F83A">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w:t>
            </w:r>
          </w:p>
        </w:tc>
        <w:tc>
          <w:tcPr>
            <w:tcW w:w="3785" w:type="dxa"/>
            <w:vAlign w:val="center"/>
          </w:tcPr>
          <w:p w14:paraId="1EEDF826">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建筑红线图，建筑钉桩图</w:t>
            </w:r>
          </w:p>
        </w:tc>
        <w:tc>
          <w:tcPr>
            <w:tcW w:w="720" w:type="dxa"/>
            <w:vAlign w:val="center"/>
          </w:tcPr>
          <w:p w14:paraId="0473B12F">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各1</w:t>
            </w:r>
          </w:p>
        </w:tc>
        <w:tc>
          <w:tcPr>
            <w:tcW w:w="2885" w:type="dxa"/>
            <w:vAlign w:val="center"/>
          </w:tcPr>
          <w:p w14:paraId="4DB61DDA">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方案开始3天前</w:t>
            </w:r>
          </w:p>
        </w:tc>
        <w:tc>
          <w:tcPr>
            <w:tcW w:w="1087" w:type="dxa"/>
            <w:vMerge w:val="continue"/>
            <w:vAlign w:val="center"/>
          </w:tcPr>
          <w:p w14:paraId="6984E3E4">
            <w:pPr>
              <w:spacing w:line="360" w:lineRule="auto"/>
              <w:jc w:val="center"/>
              <w:rPr>
                <w:rFonts w:asciiTheme="minorEastAsia" w:hAnsiTheme="minorEastAsia" w:eastAsiaTheme="minorEastAsia"/>
                <w:sz w:val="24"/>
                <w:szCs w:val="24"/>
                <w:highlight w:val="none"/>
              </w:rPr>
            </w:pPr>
          </w:p>
        </w:tc>
      </w:tr>
      <w:tr w14:paraId="47CC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07C77FF2">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w:t>
            </w:r>
          </w:p>
        </w:tc>
        <w:tc>
          <w:tcPr>
            <w:tcW w:w="3785" w:type="dxa"/>
            <w:vAlign w:val="center"/>
          </w:tcPr>
          <w:p w14:paraId="58E8789E">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当地规划部门的规划意见书</w:t>
            </w:r>
          </w:p>
        </w:tc>
        <w:tc>
          <w:tcPr>
            <w:tcW w:w="720" w:type="dxa"/>
            <w:vAlign w:val="center"/>
          </w:tcPr>
          <w:p w14:paraId="7DA2388C">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p>
        </w:tc>
        <w:tc>
          <w:tcPr>
            <w:tcW w:w="2885" w:type="dxa"/>
            <w:vAlign w:val="center"/>
          </w:tcPr>
          <w:p w14:paraId="54543EBA">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方案开始3天前</w:t>
            </w:r>
          </w:p>
        </w:tc>
        <w:tc>
          <w:tcPr>
            <w:tcW w:w="1087" w:type="dxa"/>
            <w:vMerge w:val="continue"/>
            <w:vAlign w:val="center"/>
          </w:tcPr>
          <w:p w14:paraId="0BF83D75">
            <w:pPr>
              <w:spacing w:line="360" w:lineRule="auto"/>
              <w:jc w:val="center"/>
              <w:rPr>
                <w:rFonts w:asciiTheme="minorEastAsia" w:hAnsiTheme="minorEastAsia" w:eastAsiaTheme="minorEastAsia"/>
                <w:sz w:val="24"/>
                <w:szCs w:val="24"/>
                <w:highlight w:val="none"/>
              </w:rPr>
            </w:pPr>
          </w:p>
        </w:tc>
      </w:tr>
      <w:tr w14:paraId="623A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14:paraId="61C1A498">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w:t>
            </w:r>
          </w:p>
        </w:tc>
        <w:tc>
          <w:tcPr>
            <w:tcW w:w="3785" w:type="dxa"/>
            <w:vAlign w:val="center"/>
          </w:tcPr>
          <w:p w14:paraId="7A430680">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工程勘察报告</w:t>
            </w:r>
          </w:p>
        </w:tc>
        <w:tc>
          <w:tcPr>
            <w:tcW w:w="720" w:type="dxa"/>
            <w:vAlign w:val="center"/>
          </w:tcPr>
          <w:p w14:paraId="1A23A04A">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w:t>
            </w:r>
          </w:p>
        </w:tc>
        <w:tc>
          <w:tcPr>
            <w:tcW w:w="2885" w:type="dxa"/>
            <w:vAlign w:val="center"/>
          </w:tcPr>
          <w:p w14:paraId="6C6ACF52">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方案设计开始前3天提供初步勘察报告；初步设计开始3天前提供详细勘察报告</w:t>
            </w:r>
          </w:p>
        </w:tc>
        <w:tc>
          <w:tcPr>
            <w:tcW w:w="1087" w:type="dxa"/>
            <w:vMerge w:val="continue"/>
            <w:vAlign w:val="center"/>
          </w:tcPr>
          <w:p w14:paraId="5240DE24">
            <w:pPr>
              <w:spacing w:line="360" w:lineRule="auto"/>
              <w:jc w:val="center"/>
              <w:rPr>
                <w:rFonts w:asciiTheme="minorEastAsia" w:hAnsiTheme="minorEastAsia" w:eastAsiaTheme="minorEastAsia"/>
                <w:sz w:val="24"/>
                <w:szCs w:val="24"/>
                <w:highlight w:val="none"/>
              </w:rPr>
            </w:pPr>
          </w:p>
        </w:tc>
      </w:tr>
      <w:tr w14:paraId="305D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719760B4">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6</w:t>
            </w:r>
          </w:p>
        </w:tc>
        <w:tc>
          <w:tcPr>
            <w:tcW w:w="3785" w:type="dxa"/>
            <w:vAlign w:val="center"/>
          </w:tcPr>
          <w:p w14:paraId="064F00B5">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各阶段主管部门的审批意见</w:t>
            </w:r>
          </w:p>
        </w:tc>
        <w:tc>
          <w:tcPr>
            <w:tcW w:w="720" w:type="dxa"/>
            <w:vAlign w:val="center"/>
          </w:tcPr>
          <w:p w14:paraId="181342B0">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p>
        </w:tc>
        <w:tc>
          <w:tcPr>
            <w:tcW w:w="2885" w:type="dxa"/>
            <w:vAlign w:val="center"/>
          </w:tcPr>
          <w:p w14:paraId="2594121C">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下一个阶段设计开始3天前提供上一个阶段审批意见</w:t>
            </w:r>
          </w:p>
        </w:tc>
        <w:tc>
          <w:tcPr>
            <w:tcW w:w="1087" w:type="dxa"/>
            <w:vMerge w:val="continue"/>
            <w:vAlign w:val="center"/>
          </w:tcPr>
          <w:p w14:paraId="617600D0">
            <w:pPr>
              <w:spacing w:line="360" w:lineRule="auto"/>
              <w:jc w:val="center"/>
              <w:rPr>
                <w:rFonts w:asciiTheme="minorEastAsia" w:hAnsiTheme="minorEastAsia" w:eastAsiaTheme="minorEastAsia"/>
                <w:sz w:val="24"/>
                <w:szCs w:val="24"/>
                <w:highlight w:val="none"/>
              </w:rPr>
            </w:pPr>
          </w:p>
        </w:tc>
      </w:tr>
      <w:tr w14:paraId="4C57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4701BC0A">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7</w:t>
            </w:r>
          </w:p>
        </w:tc>
        <w:tc>
          <w:tcPr>
            <w:tcW w:w="3785" w:type="dxa"/>
            <w:vAlign w:val="center"/>
          </w:tcPr>
          <w:p w14:paraId="4C17AB5B">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方案设计确认单（含初设开工令）</w:t>
            </w:r>
          </w:p>
        </w:tc>
        <w:tc>
          <w:tcPr>
            <w:tcW w:w="720" w:type="dxa"/>
            <w:vAlign w:val="center"/>
          </w:tcPr>
          <w:p w14:paraId="067ACD5D">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p>
        </w:tc>
        <w:tc>
          <w:tcPr>
            <w:tcW w:w="2885" w:type="dxa"/>
            <w:vAlign w:val="center"/>
          </w:tcPr>
          <w:p w14:paraId="1D68CAA4">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初步设计开始3天前</w:t>
            </w:r>
          </w:p>
        </w:tc>
        <w:tc>
          <w:tcPr>
            <w:tcW w:w="1087" w:type="dxa"/>
            <w:vMerge w:val="continue"/>
            <w:vAlign w:val="center"/>
          </w:tcPr>
          <w:p w14:paraId="6D6D3834">
            <w:pPr>
              <w:spacing w:line="360" w:lineRule="auto"/>
              <w:jc w:val="center"/>
              <w:rPr>
                <w:rFonts w:asciiTheme="minorEastAsia" w:hAnsiTheme="minorEastAsia" w:eastAsiaTheme="minorEastAsia"/>
                <w:sz w:val="24"/>
                <w:szCs w:val="24"/>
                <w:highlight w:val="none"/>
              </w:rPr>
            </w:pPr>
          </w:p>
        </w:tc>
      </w:tr>
      <w:tr w14:paraId="5DA2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14:paraId="21523C80">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8</w:t>
            </w:r>
          </w:p>
        </w:tc>
        <w:tc>
          <w:tcPr>
            <w:tcW w:w="3785" w:type="dxa"/>
            <w:vAlign w:val="center"/>
          </w:tcPr>
          <w:p w14:paraId="05E160AB">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工程所在地地形图（1/500）电子版及区域位置图</w:t>
            </w:r>
          </w:p>
        </w:tc>
        <w:tc>
          <w:tcPr>
            <w:tcW w:w="720" w:type="dxa"/>
            <w:vAlign w:val="center"/>
          </w:tcPr>
          <w:p w14:paraId="13C29CB0">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p>
        </w:tc>
        <w:tc>
          <w:tcPr>
            <w:tcW w:w="2885" w:type="dxa"/>
            <w:vAlign w:val="center"/>
          </w:tcPr>
          <w:p w14:paraId="738254ED">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初步设计开始3天前</w:t>
            </w:r>
          </w:p>
        </w:tc>
        <w:tc>
          <w:tcPr>
            <w:tcW w:w="1087" w:type="dxa"/>
            <w:vMerge w:val="continue"/>
            <w:vAlign w:val="center"/>
          </w:tcPr>
          <w:p w14:paraId="36990B54">
            <w:pPr>
              <w:spacing w:line="360" w:lineRule="auto"/>
              <w:jc w:val="center"/>
              <w:rPr>
                <w:rFonts w:asciiTheme="minorEastAsia" w:hAnsiTheme="minorEastAsia" w:eastAsiaTheme="minorEastAsia"/>
                <w:sz w:val="24"/>
                <w:szCs w:val="24"/>
                <w:highlight w:val="none"/>
              </w:rPr>
            </w:pPr>
          </w:p>
        </w:tc>
      </w:tr>
      <w:tr w14:paraId="3F94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14:paraId="676E4C9B">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9</w:t>
            </w:r>
          </w:p>
        </w:tc>
        <w:tc>
          <w:tcPr>
            <w:tcW w:w="3785" w:type="dxa"/>
            <w:vAlign w:val="center"/>
          </w:tcPr>
          <w:p w14:paraId="10C68F87">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初步设计确认单（含施工图开工令）</w:t>
            </w:r>
          </w:p>
        </w:tc>
        <w:tc>
          <w:tcPr>
            <w:tcW w:w="720" w:type="dxa"/>
            <w:vAlign w:val="center"/>
          </w:tcPr>
          <w:p w14:paraId="70128E94">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p>
        </w:tc>
        <w:tc>
          <w:tcPr>
            <w:tcW w:w="2885" w:type="dxa"/>
            <w:vAlign w:val="center"/>
          </w:tcPr>
          <w:p w14:paraId="347BBB6D">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施工图设计开始3天前</w:t>
            </w:r>
          </w:p>
        </w:tc>
        <w:tc>
          <w:tcPr>
            <w:tcW w:w="1087" w:type="dxa"/>
            <w:vMerge w:val="continue"/>
            <w:vAlign w:val="center"/>
          </w:tcPr>
          <w:p w14:paraId="405B3B29">
            <w:pPr>
              <w:spacing w:line="360" w:lineRule="auto"/>
              <w:jc w:val="center"/>
              <w:rPr>
                <w:rFonts w:asciiTheme="minorEastAsia" w:hAnsiTheme="minorEastAsia" w:eastAsiaTheme="minorEastAsia"/>
                <w:sz w:val="24"/>
                <w:szCs w:val="24"/>
                <w:highlight w:val="none"/>
              </w:rPr>
            </w:pPr>
          </w:p>
        </w:tc>
      </w:tr>
      <w:tr w14:paraId="03DE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14:paraId="2090CE96">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10</w:t>
            </w:r>
          </w:p>
        </w:tc>
        <w:tc>
          <w:tcPr>
            <w:tcW w:w="3785" w:type="dxa"/>
            <w:vAlign w:val="center"/>
          </w:tcPr>
          <w:p w14:paraId="52C91D7C">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施工图审查合格意见书</w:t>
            </w:r>
          </w:p>
        </w:tc>
        <w:tc>
          <w:tcPr>
            <w:tcW w:w="720" w:type="dxa"/>
            <w:vAlign w:val="center"/>
          </w:tcPr>
          <w:p w14:paraId="0F9B4547">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p>
        </w:tc>
        <w:tc>
          <w:tcPr>
            <w:tcW w:w="2885" w:type="dxa"/>
            <w:vAlign w:val="center"/>
          </w:tcPr>
          <w:p w14:paraId="3112E249">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施工图审查通过后5天内</w:t>
            </w:r>
          </w:p>
        </w:tc>
        <w:tc>
          <w:tcPr>
            <w:tcW w:w="1087" w:type="dxa"/>
            <w:vMerge w:val="continue"/>
            <w:vAlign w:val="center"/>
          </w:tcPr>
          <w:p w14:paraId="786237F6">
            <w:pPr>
              <w:spacing w:line="360" w:lineRule="auto"/>
              <w:jc w:val="center"/>
              <w:rPr>
                <w:rFonts w:asciiTheme="minorEastAsia" w:hAnsiTheme="minorEastAsia" w:eastAsiaTheme="minorEastAsia"/>
                <w:sz w:val="24"/>
                <w:szCs w:val="24"/>
                <w:highlight w:val="none"/>
              </w:rPr>
            </w:pPr>
          </w:p>
        </w:tc>
      </w:tr>
      <w:tr w14:paraId="0CD3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21A4E6A1">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11</w:t>
            </w:r>
          </w:p>
        </w:tc>
        <w:tc>
          <w:tcPr>
            <w:tcW w:w="3785" w:type="dxa"/>
            <w:vAlign w:val="center"/>
          </w:tcPr>
          <w:p w14:paraId="348E2F5D">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市政条件（包括给排水、暖通、电力、道路、热力、通讯等）</w:t>
            </w:r>
          </w:p>
        </w:tc>
        <w:tc>
          <w:tcPr>
            <w:tcW w:w="720" w:type="dxa"/>
            <w:vAlign w:val="center"/>
          </w:tcPr>
          <w:p w14:paraId="50D85BC9">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p>
        </w:tc>
        <w:tc>
          <w:tcPr>
            <w:tcW w:w="2885" w:type="dxa"/>
            <w:vAlign w:val="center"/>
          </w:tcPr>
          <w:p w14:paraId="3CA11CF1">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方案设计开始3天前</w:t>
            </w:r>
          </w:p>
        </w:tc>
        <w:tc>
          <w:tcPr>
            <w:tcW w:w="1087" w:type="dxa"/>
            <w:vMerge w:val="continue"/>
            <w:vAlign w:val="center"/>
          </w:tcPr>
          <w:p w14:paraId="15147DE7">
            <w:pPr>
              <w:spacing w:line="360" w:lineRule="auto"/>
              <w:jc w:val="center"/>
              <w:rPr>
                <w:rFonts w:asciiTheme="minorEastAsia" w:hAnsiTheme="minorEastAsia" w:eastAsiaTheme="minorEastAsia"/>
                <w:sz w:val="24"/>
                <w:szCs w:val="24"/>
                <w:highlight w:val="none"/>
              </w:rPr>
            </w:pPr>
          </w:p>
        </w:tc>
      </w:tr>
      <w:tr w14:paraId="6BDE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14:paraId="53D95050">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12</w:t>
            </w:r>
          </w:p>
        </w:tc>
        <w:tc>
          <w:tcPr>
            <w:tcW w:w="3785" w:type="dxa"/>
            <w:vAlign w:val="center"/>
          </w:tcPr>
          <w:p w14:paraId="502897E1">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其它设计资料</w:t>
            </w:r>
          </w:p>
        </w:tc>
        <w:tc>
          <w:tcPr>
            <w:tcW w:w="720" w:type="dxa"/>
            <w:vAlign w:val="center"/>
          </w:tcPr>
          <w:p w14:paraId="5FBF2353">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p>
        </w:tc>
        <w:tc>
          <w:tcPr>
            <w:tcW w:w="2885" w:type="dxa"/>
            <w:vAlign w:val="center"/>
          </w:tcPr>
          <w:p w14:paraId="6A3C65D6">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各设计阶段设计开始3天前</w:t>
            </w:r>
          </w:p>
        </w:tc>
        <w:tc>
          <w:tcPr>
            <w:tcW w:w="1087" w:type="dxa"/>
            <w:vMerge w:val="continue"/>
            <w:vAlign w:val="center"/>
          </w:tcPr>
          <w:p w14:paraId="09BD7434">
            <w:pPr>
              <w:spacing w:line="360" w:lineRule="auto"/>
              <w:jc w:val="center"/>
              <w:rPr>
                <w:rFonts w:asciiTheme="minorEastAsia" w:hAnsiTheme="minorEastAsia" w:eastAsiaTheme="minorEastAsia"/>
                <w:sz w:val="24"/>
                <w:szCs w:val="24"/>
                <w:highlight w:val="none"/>
              </w:rPr>
            </w:pPr>
          </w:p>
        </w:tc>
      </w:tr>
      <w:tr w14:paraId="1FFF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14:paraId="5F1417CA">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13</w:t>
            </w:r>
          </w:p>
        </w:tc>
        <w:tc>
          <w:tcPr>
            <w:tcW w:w="3785" w:type="dxa"/>
            <w:vAlign w:val="center"/>
          </w:tcPr>
          <w:p w14:paraId="514C45A1">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竣工验收报告</w:t>
            </w:r>
          </w:p>
        </w:tc>
        <w:tc>
          <w:tcPr>
            <w:tcW w:w="720" w:type="dxa"/>
            <w:vAlign w:val="center"/>
          </w:tcPr>
          <w:p w14:paraId="0A3EA242">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p>
        </w:tc>
        <w:tc>
          <w:tcPr>
            <w:tcW w:w="2885" w:type="dxa"/>
            <w:vAlign w:val="center"/>
          </w:tcPr>
          <w:p w14:paraId="371B4809">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工程竣工验收通过后5天内</w:t>
            </w:r>
          </w:p>
        </w:tc>
        <w:tc>
          <w:tcPr>
            <w:tcW w:w="1087" w:type="dxa"/>
            <w:vMerge w:val="continue"/>
            <w:vAlign w:val="center"/>
          </w:tcPr>
          <w:p w14:paraId="2F187B41">
            <w:pPr>
              <w:spacing w:line="360" w:lineRule="auto"/>
              <w:jc w:val="center"/>
              <w:rPr>
                <w:rFonts w:asciiTheme="minorEastAsia" w:hAnsiTheme="minorEastAsia" w:eastAsiaTheme="minorEastAsia"/>
                <w:sz w:val="24"/>
                <w:szCs w:val="24"/>
                <w:highlight w:val="none"/>
              </w:rPr>
            </w:pPr>
          </w:p>
        </w:tc>
      </w:tr>
    </w:tbl>
    <w:p w14:paraId="6519B89B">
      <w:pPr>
        <w:spacing w:afterLines="50" w:line="360" w:lineRule="auto"/>
        <w:rPr>
          <w:rFonts w:asciiTheme="minorEastAsia" w:hAnsiTheme="minorEastAsia" w:eastAsiaTheme="minorEastAsia"/>
          <w:bCs/>
          <w:kern w:val="0"/>
          <w:sz w:val="24"/>
          <w:szCs w:val="24"/>
          <w:highlight w:val="none"/>
        </w:rPr>
      </w:pPr>
      <w:bookmarkStart w:id="176" w:name="_Toc278231959"/>
      <w:bookmarkStart w:id="177" w:name="_Toc278309719"/>
      <w:r>
        <w:rPr>
          <w:rFonts w:hint="eastAsia" w:cs="Courier New" w:asciiTheme="minorEastAsia" w:hAnsiTheme="minorEastAsia" w:eastAsiaTheme="minorEastAsia"/>
          <w:kern w:val="0"/>
          <w:sz w:val="24"/>
          <w:szCs w:val="24"/>
          <w:highlight w:val="none"/>
        </w:rPr>
        <w:t>（上表内容仅供参考，发包人和设计人应当根据项目具体情况详细列举）</w:t>
      </w:r>
    </w:p>
    <w:p w14:paraId="78B7B70E">
      <w:pPr>
        <w:widowControl/>
        <w:jc w:val="left"/>
        <w:rPr>
          <w:rFonts w:asciiTheme="minorEastAsia" w:hAnsiTheme="minorEastAsia" w:eastAsiaTheme="minorEastAsia"/>
          <w:b/>
          <w:sz w:val="24"/>
          <w:szCs w:val="24"/>
          <w:highlight w:val="none"/>
        </w:rPr>
      </w:pPr>
      <w:r>
        <w:rPr>
          <w:rFonts w:asciiTheme="minorEastAsia" w:hAnsiTheme="minorEastAsia" w:eastAsiaTheme="minorEastAsia"/>
          <w:b/>
          <w:sz w:val="24"/>
          <w:szCs w:val="24"/>
          <w:highlight w:val="none"/>
        </w:rPr>
        <w:br w:type="page"/>
      </w:r>
    </w:p>
    <w:p w14:paraId="52CF5C20">
      <w:pPr>
        <w:spacing w:line="360" w:lineRule="auto"/>
        <w:jc w:val="left"/>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附件3 ：各阶段、各版次设计成果文件组成及要求</w:t>
      </w:r>
    </w:p>
    <w:p w14:paraId="58603B90">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各阶段、各版次设计成果文件组成及要求</w:t>
      </w:r>
      <w:bookmarkEnd w:id="176"/>
      <w:bookmarkEnd w:id="177"/>
    </w:p>
    <w:p w14:paraId="548B72C2">
      <w:pPr>
        <w:spacing w:line="360" w:lineRule="auto"/>
        <w:ind w:firstLine="480" w:firstLineChars="200"/>
        <w:rPr>
          <w:rFonts w:asciiTheme="minorEastAsia" w:hAnsiTheme="minorEastAsia" w:eastAsiaTheme="minorEastAsia"/>
          <w:sz w:val="24"/>
          <w:szCs w:val="24"/>
          <w:highlight w:val="none"/>
        </w:rPr>
      </w:pPr>
    </w:p>
    <w:p w14:paraId="3B4E04C6">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一、版次1设计成果文件</w:t>
      </w:r>
    </w:p>
    <w:p w14:paraId="74ADBE07">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版次1文件：方案的修改和完善（包括估算书），为根据中华人民共和国建设部颁布的《建筑工程设计文件编制深度规定》（2016年版）中关于方案设计应达到的设计深度要求，同时根据专家评审意见及政府职能部门提出的修改意见，对在设计招标阶段最终选定的设计方案进行修改和完善，最终完成的经发包人确认的方案设计成果文件。为发包人组织政府有关部门、各专业相关专家、设计人共同参与的论证后，经政府和发包方最终确定的方案设计文件，由设计说明书、设计图纸及其电子文件、透视图（效果图）及其电子文件、模型等五部分组成。文件（不限于此）按照下列次序编排：</w:t>
      </w:r>
    </w:p>
    <w:p w14:paraId="79A650B2">
      <w:pPr>
        <w:numPr>
          <w:ilvl w:val="0"/>
          <w:numId w:val="5"/>
        </w:numPr>
        <w:tabs>
          <w:tab w:val="left" w:pos="420"/>
          <w:tab w:val="clear" w:pos="644"/>
        </w:tabs>
        <w:spacing w:line="360" w:lineRule="auto"/>
        <w:ind w:left="17" w:leftChars="8" w:firstLine="456" w:firstLineChars="19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封面（写明方案的名称、方案编制单位、编制时间）。</w:t>
      </w:r>
    </w:p>
    <w:p w14:paraId="4D0ECDF8">
      <w:pPr>
        <w:numPr>
          <w:ilvl w:val="0"/>
          <w:numId w:val="5"/>
        </w:numPr>
        <w:tabs>
          <w:tab w:val="left" w:pos="420"/>
          <w:tab w:val="clear" w:pos="644"/>
        </w:tabs>
        <w:spacing w:line="360" w:lineRule="auto"/>
        <w:ind w:left="17" w:leftChars="8" w:firstLine="456" w:firstLineChars="19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扉页（写明方案编制单位法定代表人、技术总负责人、项目总负责人（或设计负责人）的姓名，并经上述人员签署或授权盖章）。</w:t>
      </w:r>
    </w:p>
    <w:p w14:paraId="5A0DDD54">
      <w:pPr>
        <w:numPr>
          <w:ilvl w:val="0"/>
          <w:numId w:val="5"/>
        </w:numPr>
        <w:tabs>
          <w:tab w:val="left" w:pos="420"/>
          <w:tab w:val="clear" w:pos="644"/>
        </w:tabs>
        <w:spacing w:line="360" w:lineRule="auto"/>
        <w:ind w:left="17" w:leftChars="8" w:firstLine="456" w:firstLineChars="19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方案设计文件目录。</w:t>
      </w:r>
    </w:p>
    <w:p w14:paraId="5700B546">
      <w:pPr>
        <w:numPr>
          <w:ilvl w:val="0"/>
          <w:numId w:val="5"/>
        </w:numPr>
        <w:tabs>
          <w:tab w:val="left" w:pos="420"/>
          <w:tab w:val="clear" w:pos="644"/>
        </w:tabs>
        <w:spacing w:line="360" w:lineRule="auto"/>
        <w:ind w:left="17" w:leftChars="8" w:firstLine="456" w:firstLineChars="19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方案设计说明书，内容包括工程规模和设计标准、建筑总平面设计说明、单体建筑方案设计构思说明、结构选型方案说明、消防安全系统说明、主要内外建筑与装饰材料说明和主要技术经济指标说明等。</w:t>
      </w:r>
    </w:p>
    <w:p w14:paraId="053E66AC">
      <w:pPr>
        <w:numPr>
          <w:ilvl w:val="0"/>
          <w:numId w:val="5"/>
        </w:numPr>
        <w:tabs>
          <w:tab w:val="left" w:pos="420"/>
          <w:tab w:val="clear" w:pos="644"/>
        </w:tabs>
        <w:spacing w:line="360" w:lineRule="auto"/>
        <w:ind w:left="17" w:leftChars="8" w:firstLine="456" w:firstLineChars="19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方案设计图纸，图纸内容为总平面规划图、</w:t>
      </w:r>
      <w:r>
        <w:rPr>
          <w:rFonts w:hint="eastAsia" w:asciiTheme="minorEastAsia" w:hAnsiTheme="minorEastAsia" w:eastAsiaTheme="minorEastAsia"/>
          <w:bCs/>
          <w:sz w:val="24"/>
          <w:szCs w:val="24"/>
          <w:highlight w:val="none"/>
        </w:rPr>
        <w:t>项目</w:t>
      </w:r>
      <w:r>
        <w:rPr>
          <w:rFonts w:hint="eastAsia" w:asciiTheme="minorEastAsia" w:hAnsiTheme="minorEastAsia" w:eastAsiaTheme="minorEastAsia"/>
          <w:sz w:val="24"/>
          <w:szCs w:val="24"/>
          <w:highlight w:val="none"/>
        </w:rPr>
        <w:t>总平面设计图、交通分析图、绿化及环境设计图；建筑各层平面图、建筑各主要立面图与剖面图，；室内外装修设计方案图；下述展板中的图纸缩印本；其他在方案论证过程中提出的需补充说明的图纸。</w:t>
      </w:r>
    </w:p>
    <w:p w14:paraId="07423EDB">
      <w:pPr>
        <w:numPr>
          <w:ilvl w:val="0"/>
          <w:numId w:val="5"/>
        </w:numPr>
        <w:tabs>
          <w:tab w:val="left" w:pos="420"/>
          <w:tab w:val="clear" w:pos="644"/>
        </w:tabs>
        <w:spacing w:line="360" w:lineRule="auto"/>
        <w:ind w:left="17" w:leftChars="8" w:firstLine="456" w:firstLineChars="19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方案投资估算（含非标设备、材料、构配件的报价）。</w:t>
      </w:r>
    </w:p>
    <w:p w14:paraId="5603C30C">
      <w:pPr>
        <w:spacing w:line="360" w:lineRule="auto"/>
        <w:ind w:left="17" w:leftChars="8" w:firstLine="456" w:firstLineChars="19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上述1～6部分装订成册（下称方案文本），方案文本规格为A2。</w:t>
      </w:r>
    </w:p>
    <w:p w14:paraId="1510C284">
      <w:pPr>
        <w:numPr>
          <w:ilvl w:val="0"/>
          <w:numId w:val="5"/>
        </w:numPr>
        <w:tabs>
          <w:tab w:val="left" w:pos="420"/>
          <w:tab w:val="clear" w:pos="644"/>
        </w:tabs>
        <w:spacing w:line="360" w:lineRule="auto"/>
        <w:ind w:left="17" w:leftChars="8" w:firstLine="456" w:firstLineChars="19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展示图规格为A1(594mm×841mm)，展示图均应贴裱在1000mm×700mm的轻质板上。</w:t>
      </w:r>
      <w:r>
        <w:rPr>
          <w:rFonts w:hint="eastAsia" w:asciiTheme="minorEastAsia" w:hAnsiTheme="minorEastAsia" w:eastAsiaTheme="minorEastAsia"/>
          <w:sz w:val="24"/>
          <w:szCs w:val="24"/>
          <w:highlight w:val="none"/>
          <w:u w:val="single"/>
        </w:rPr>
        <w:t>图纸内容为</w:t>
      </w:r>
      <w:r>
        <w:rPr>
          <w:rFonts w:hint="eastAsia" w:asciiTheme="minorEastAsia" w:hAnsiTheme="minorEastAsia" w:eastAsiaTheme="minorEastAsia"/>
          <w:bCs/>
          <w:sz w:val="24"/>
          <w:szCs w:val="24"/>
          <w:highlight w:val="none"/>
          <w:u w:val="single"/>
        </w:rPr>
        <w:t>项目</w:t>
      </w:r>
      <w:r>
        <w:rPr>
          <w:rFonts w:hint="eastAsia" w:asciiTheme="minorEastAsia" w:hAnsiTheme="minorEastAsia" w:eastAsiaTheme="minorEastAsia"/>
          <w:sz w:val="24"/>
          <w:szCs w:val="24"/>
          <w:highlight w:val="none"/>
          <w:u w:val="single"/>
        </w:rPr>
        <w:t>鸟瞰透视图</w:t>
      </w:r>
      <w:r>
        <w:rPr>
          <w:rFonts w:hint="eastAsia" w:asciiTheme="minorEastAsia" w:hAnsiTheme="minorEastAsia" w:eastAsiaTheme="minorEastAsia"/>
          <w:sz w:val="24"/>
          <w:szCs w:val="24"/>
          <w:highlight w:val="none"/>
        </w:rPr>
        <w:t>、建筑透视图、夜景透视图、总平面规划图、总平面设计图、主要平面图（4张）、立面图（4张）和剖面图（4张），设计概念分析图（2张）等，以能清晰表达设计意图为原则。</w:t>
      </w:r>
    </w:p>
    <w:p w14:paraId="51AEF223">
      <w:pPr>
        <w:numPr>
          <w:ilvl w:val="0"/>
          <w:numId w:val="5"/>
        </w:numPr>
        <w:tabs>
          <w:tab w:val="left" w:pos="420"/>
          <w:tab w:val="clear" w:pos="644"/>
        </w:tabs>
        <w:spacing w:line="360" w:lineRule="auto"/>
        <w:ind w:left="17" w:leftChars="8" w:firstLine="456" w:firstLineChars="19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u w:val="single"/>
        </w:rPr>
        <w:t>包括建筑总平面设计和单体建筑方案设计的实体模型，比例1：500为宜。</w:t>
      </w:r>
    </w:p>
    <w:p w14:paraId="68770288">
      <w:pPr>
        <w:numPr>
          <w:ilvl w:val="0"/>
          <w:numId w:val="5"/>
        </w:numPr>
        <w:tabs>
          <w:tab w:val="left" w:pos="420"/>
          <w:tab w:val="clear" w:pos="644"/>
        </w:tabs>
        <w:spacing w:line="360" w:lineRule="auto"/>
        <w:ind w:left="17" w:leftChars="8" w:firstLine="456" w:firstLineChars="190"/>
        <w:rPr>
          <w:rFonts w:asciiTheme="minorEastAsia" w:hAnsiTheme="minorEastAsia" w:eastAsiaTheme="minorEastAsia"/>
          <w:sz w:val="24"/>
          <w:szCs w:val="24"/>
          <w:highlight w:val="none"/>
          <w:u w:val="single"/>
        </w:rPr>
      </w:pPr>
      <w:r>
        <w:rPr>
          <w:rFonts w:hint="eastAsia" w:cs="宋体" w:asciiTheme="minorEastAsia" w:hAnsiTheme="minorEastAsia" w:eastAsiaTheme="minorEastAsia"/>
          <w:snapToGrid w:val="0"/>
          <w:kern w:val="0"/>
          <w:sz w:val="24"/>
          <w:szCs w:val="24"/>
          <w:highlight w:val="none"/>
        </w:rPr>
        <w:t>设计人应向发包人提交方案设计报建所需要的设计成果文件图纸及文本文件、电子文档光盘；文件均须加盖</w:t>
      </w:r>
      <w:r>
        <w:rPr>
          <w:rFonts w:hint="eastAsia" w:cs="宋体" w:asciiTheme="minorEastAsia" w:hAnsiTheme="minorEastAsia" w:eastAsiaTheme="minorEastAsia"/>
          <w:b/>
          <w:snapToGrid w:val="0"/>
          <w:kern w:val="0"/>
          <w:sz w:val="24"/>
          <w:szCs w:val="24"/>
          <w:highlight w:val="none"/>
        </w:rPr>
        <w:t>设计单位出图章、注册建筑师章</w:t>
      </w:r>
      <w:r>
        <w:rPr>
          <w:rFonts w:hint="eastAsia" w:cs="宋体" w:asciiTheme="minorEastAsia" w:hAnsiTheme="minorEastAsia" w:eastAsiaTheme="minorEastAsia"/>
          <w:snapToGrid w:val="0"/>
          <w:kern w:val="0"/>
          <w:sz w:val="24"/>
          <w:szCs w:val="24"/>
          <w:highlight w:val="none"/>
        </w:rPr>
        <w:t>。</w:t>
      </w:r>
    </w:p>
    <w:p w14:paraId="696A3923">
      <w:pPr>
        <w:spacing w:line="360" w:lineRule="auto"/>
        <w:ind w:left="17" w:leftChars="8" w:firstLine="456" w:firstLineChars="19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版次1设计成果文件的份数要求：</w:t>
      </w:r>
    </w:p>
    <w:p w14:paraId="1CCF460D">
      <w:pPr>
        <w:numPr>
          <w:ilvl w:val="0"/>
          <w:numId w:val="6"/>
        </w:numPr>
        <w:spacing w:line="360" w:lineRule="auto"/>
        <w:ind w:left="17" w:leftChars="8" w:firstLine="456" w:firstLineChars="19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方案论证过程中，设计人按每次专家的论证意见调整优化设计方案，按上述方案文本要求制作方案文本12份/次，电子文档光盘（含方案文本的全部内容）4份/次。</w:t>
      </w:r>
    </w:p>
    <w:p w14:paraId="1884A01B">
      <w:pPr>
        <w:numPr>
          <w:ilvl w:val="0"/>
          <w:numId w:val="6"/>
        </w:numPr>
        <w:spacing w:line="360" w:lineRule="auto"/>
        <w:ind w:left="17" w:leftChars="8" w:firstLine="456" w:firstLineChars="19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方案最终确认后，设计人最终制作方案文本12份，及过程文件（如有）电子文档光盘（含方案文本的全部内容）4份，第7项的展示图各4份，模型1个。</w:t>
      </w:r>
    </w:p>
    <w:p w14:paraId="32B21A22">
      <w:pPr>
        <w:numPr>
          <w:ilvl w:val="0"/>
          <w:numId w:val="6"/>
        </w:numPr>
        <w:spacing w:line="360" w:lineRule="auto"/>
        <w:ind w:left="17" w:leftChars="8" w:firstLine="456" w:firstLineChars="19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上述设计成果份数若不足使用，可根据发包人需求增加，最终份数以25份为限（相关费用包含在总费用中，不做增加）。</w:t>
      </w:r>
    </w:p>
    <w:p w14:paraId="70AEF0AD">
      <w:pPr>
        <w:numPr>
          <w:ilvl w:val="255"/>
          <w:numId w:val="0"/>
        </w:numPr>
        <w:spacing w:line="360" w:lineRule="auto"/>
        <w:ind w:firstLine="480" w:firstLineChars="200"/>
        <w:rPr>
          <w:rFonts w:asciiTheme="minorEastAsia" w:hAnsiTheme="minorEastAsia" w:eastAsiaTheme="minorEastAsia"/>
          <w:sz w:val="24"/>
          <w:szCs w:val="24"/>
          <w:highlight w:val="none"/>
        </w:rPr>
      </w:pPr>
    </w:p>
    <w:p w14:paraId="4C946C46">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二、版次2设计成果文件</w:t>
      </w:r>
    </w:p>
    <w:p w14:paraId="77B8752E">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版次2文件：为向项目所在地规划局进行规划报建的“五图一书”，以及专项设计/咨询专项分包人提交的前期咨询文件等设计成果文件。为向项目所在地规划局进行规划报建的文件，按照项目所在地规划局的规划报建要求和报审图纸深度要求进行编制，提供如下文件（不限于此）（文件需按项目所在地规划局的要求加盖相应的图章，如规划报建章、设计单位规划出图章等）：</w:t>
      </w:r>
    </w:p>
    <w:p w14:paraId="0D3E5962">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1、总平面规划图（包括基地区位图和各项技术经济指标等）。</w:t>
      </w:r>
    </w:p>
    <w:p w14:paraId="75527697">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2、绿地系统规划图。</w:t>
      </w:r>
    </w:p>
    <w:p w14:paraId="37DBB2DA">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3、道路交通系统规划图。</w:t>
      </w:r>
    </w:p>
    <w:p w14:paraId="4B51875F">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4、竖向规划图。</w:t>
      </w:r>
    </w:p>
    <w:p w14:paraId="4B5BFC94">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5、《规划方案说明书》（含估算书）。</w:t>
      </w:r>
    </w:p>
    <w:p w14:paraId="41C87397">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6、管线综合规划图。</w:t>
      </w:r>
    </w:p>
    <w:p w14:paraId="0BC9E06F">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7、电子磁盘报批文件。</w:t>
      </w:r>
    </w:p>
    <w:p w14:paraId="51763C81">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版次2设计成果文件的份数要求：</w:t>
      </w:r>
    </w:p>
    <w:p w14:paraId="2637EB13">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按“五图一书”的报建要求，提交第1～5项成果各8份/次（每次指报审过程中的换图或重报，下同），第7项成果4份/次，报审批出后制作本版次最终设计成果的电子文档光盘4份。</w:t>
      </w:r>
    </w:p>
    <w:p w14:paraId="74FF8818">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按“管线综合规划报建”（如有）的要求，提交第6项成果各8份/次，第7项成果4份/次, 报审批出后制作本版次最终设计成果的电子文档光盘4份。</w:t>
      </w:r>
    </w:p>
    <w:p w14:paraId="06F672FE">
      <w:pPr>
        <w:spacing w:line="360" w:lineRule="auto"/>
        <w:ind w:firstLine="480" w:firstLineChars="200"/>
        <w:rPr>
          <w:rFonts w:asciiTheme="minorEastAsia" w:hAnsiTheme="minorEastAsia" w:eastAsiaTheme="minorEastAsia"/>
          <w:sz w:val="24"/>
          <w:szCs w:val="24"/>
          <w:highlight w:val="none"/>
        </w:rPr>
      </w:pPr>
    </w:p>
    <w:p w14:paraId="411F9B26">
      <w:pPr>
        <w:spacing w:line="360" w:lineRule="auto"/>
        <w:ind w:firstLine="480" w:firstLineChars="200"/>
        <w:rPr>
          <w:rFonts w:asciiTheme="minorEastAsia" w:hAnsiTheme="minorEastAsia" w:eastAsiaTheme="minorEastAsia"/>
          <w:i/>
          <w:sz w:val="24"/>
          <w:szCs w:val="24"/>
          <w:highlight w:val="none"/>
        </w:rPr>
      </w:pPr>
      <w:r>
        <w:rPr>
          <w:rFonts w:hint="eastAsia" w:asciiTheme="minorEastAsia" w:hAnsiTheme="minorEastAsia" w:eastAsiaTheme="minorEastAsia"/>
          <w:sz w:val="24"/>
          <w:szCs w:val="24"/>
          <w:highlight w:val="none"/>
        </w:rPr>
        <w:t>三、版次3设计成果文件</w:t>
      </w:r>
    </w:p>
    <w:p w14:paraId="071F14E8">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版次3文件：为向项目所在地规划局和相关政府主管部门进行单体方案报建（专业报建）的设计成果文件（包括估算书）。为向项目所在地规划局和相关政府主管部门进行单体方案报建（专业报建）所需要的文件，按照项目所在地规划局和相关政府主管部门的报建要求和报审图纸深度要求进行编制，提供如下文件（不限于此）（文件需按项目所在地规划局或相关政府主管部门的要求加盖相应的图章，如设计单位出图章、报建特许人章、注册建筑师章等）：</w:t>
      </w:r>
    </w:p>
    <w:p w14:paraId="4756EAFA">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1、现况地形图上绘制的总平面图。</w:t>
      </w:r>
    </w:p>
    <w:p w14:paraId="15C7E422">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2、总平面（包括各项技术经济指标）。</w:t>
      </w:r>
    </w:p>
    <w:p w14:paraId="26E1832A">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3、建筑平、立、剖面图。</w:t>
      </w:r>
    </w:p>
    <w:p w14:paraId="2CBDAD18">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4、设计说明。</w:t>
      </w:r>
    </w:p>
    <w:p w14:paraId="1354C9F9">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5、电子磁盘报批文件。</w:t>
      </w:r>
    </w:p>
    <w:p w14:paraId="42EE5067">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6、工程估算书。</w:t>
      </w:r>
    </w:p>
    <w:p w14:paraId="0651F8C5">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版次3设计成果文件的份数要求：</w:t>
      </w:r>
    </w:p>
    <w:p w14:paraId="61977196">
      <w:pPr>
        <w:numPr>
          <w:ilvl w:val="0"/>
          <w:numId w:val="7"/>
        </w:num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按“建筑方案报建”的要求，提交第1～4项成果各份8/次，第5项成果4份/次，报建批出后制作最终设计成果的电子文档光盘4份。</w:t>
      </w:r>
    </w:p>
    <w:p w14:paraId="79BD6544">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专业报建（交通、市政、人防、消防、环保、卫生、绿化、防雷等）所需设计成果文件各专业部门4份/次。各专业部门报建批出后制作最终设计成果的电子文档光盘每专业报建部门成果各4份。</w:t>
      </w:r>
    </w:p>
    <w:p w14:paraId="5E836CDB">
      <w:pPr>
        <w:spacing w:line="360" w:lineRule="auto"/>
        <w:ind w:firstLine="480" w:firstLineChars="200"/>
        <w:rPr>
          <w:rFonts w:asciiTheme="minorEastAsia" w:hAnsiTheme="minorEastAsia" w:eastAsiaTheme="minorEastAsia"/>
          <w:sz w:val="24"/>
          <w:szCs w:val="24"/>
          <w:highlight w:val="none"/>
        </w:rPr>
      </w:pPr>
    </w:p>
    <w:p w14:paraId="5E0E2B67">
      <w:pPr>
        <w:spacing w:line="360" w:lineRule="auto"/>
        <w:ind w:firstLine="480" w:firstLineChars="200"/>
        <w:rPr>
          <w:rFonts w:asciiTheme="minorEastAsia" w:hAnsiTheme="minorEastAsia" w:eastAsiaTheme="minorEastAsia"/>
          <w:i/>
          <w:sz w:val="24"/>
          <w:szCs w:val="24"/>
          <w:highlight w:val="none"/>
        </w:rPr>
      </w:pPr>
      <w:r>
        <w:rPr>
          <w:rFonts w:hint="eastAsia" w:asciiTheme="minorEastAsia" w:hAnsiTheme="minorEastAsia" w:eastAsiaTheme="minorEastAsia"/>
          <w:sz w:val="24"/>
          <w:szCs w:val="24"/>
          <w:highlight w:val="none"/>
        </w:rPr>
        <w:t>四、版次4设计成果文件</w:t>
      </w:r>
    </w:p>
    <w:p w14:paraId="41ED176F">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版次4文件：为初步设计成果文件（包括文本说明、图纸、工程造价控制所需的工程量分解文件及概算书），根据中华人民共和国建设部颁布的《建筑工程设计文件编制深度规定》（2016年版）中关于初步设计应达到的设计深度要求进行编制，且此文件符合初步设计审查的各项要求。初步设计文件按建设部批准的《建筑工程设计文件编制深度规定》和广东省住房和城乡建设厅行政主管部门对初步设计文件审查的要求进行编制，提供如下文件（不限于此）（文件需按广东省住房和城乡建设厅的要求装订和加盖相应的图章和签名，如设计单位出图章、注册建筑师章、注册结构工程师章等），为满足项目初步设计概算审批的政府部门要求，发包人有权要求设计人增加设计深度，设计人必须无条件配合。另包括发包方需要的招投标技术文件：</w:t>
      </w:r>
    </w:p>
    <w:p w14:paraId="74AA2BD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1、设计说明书（由设计总说明、各专业的说明书组成）。</w:t>
      </w:r>
    </w:p>
    <w:p w14:paraId="0301408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2、设计图纸（由各专业设计图纸组成，且包含本项目室内外各工程初步设计、特殊专业初步设计图。</w:t>
      </w:r>
    </w:p>
    <w:p w14:paraId="3EA7A758">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3、设计概算、工程量清单。</w:t>
      </w:r>
    </w:p>
    <w:p w14:paraId="1155EB84">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4、结构计算书。</w:t>
      </w:r>
    </w:p>
    <w:p w14:paraId="19D4F537">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5、效果图（包括各主要部位室内外效果图）。</w:t>
      </w:r>
    </w:p>
    <w:p w14:paraId="693E4E81">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版次4设计成果文件的份数要求：</w:t>
      </w:r>
    </w:p>
    <w:p w14:paraId="5F4901AD">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1、第1～3项成果按广东省住房和城乡建设厅的要求装订成册（下称初步设计文本）12份/次。</w:t>
      </w:r>
    </w:p>
    <w:p w14:paraId="4628E1AB">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2、第4项独立成册12份/次。</w:t>
      </w:r>
    </w:p>
    <w:p w14:paraId="4B78CD4A">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3、效果图各一式3份/次。</w:t>
      </w:r>
    </w:p>
    <w:p w14:paraId="13FFAB6D">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4、初步设计报审批出后制作本版次最终设计成果的电子文档光盘4份。</w:t>
      </w:r>
    </w:p>
    <w:p w14:paraId="65398470">
      <w:pPr>
        <w:spacing w:line="360" w:lineRule="auto"/>
        <w:ind w:firstLine="480" w:firstLineChars="200"/>
        <w:rPr>
          <w:rFonts w:asciiTheme="minorEastAsia" w:hAnsiTheme="minorEastAsia" w:eastAsiaTheme="minorEastAsia"/>
          <w:sz w:val="24"/>
          <w:szCs w:val="24"/>
          <w:highlight w:val="none"/>
        </w:rPr>
      </w:pPr>
    </w:p>
    <w:p w14:paraId="75D53238">
      <w:pPr>
        <w:spacing w:line="360" w:lineRule="auto"/>
        <w:ind w:firstLine="480" w:firstLineChars="200"/>
        <w:rPr>
          <w:rFonts w:asciiTheme="minorEastAsia" w:hAnsiTheme="minorEastAsia" w:eastAsiaTheme="minorEastAsia"/>
          <w:i/>
          <w:sz w:val="24"/>
          <w:szCs w:val="24"/>
          <w:highlight w:val="none"/>
        </w:rPr>
      </w:pPr>
      <w:r>
        <w:rPr>
          <w:rFonts w:hint="eastAsia" w:asciiTheme="minorEastAsia" w:hAnsiTheme="minorEastAsia" w:eastAsiaTheme="minorEastAsia"/>
          <w:sz w:val="24"/>
          <w:szCs w:val="24"/>
          <w:highlight w:val="none"/>
        </w:rPr>
        <w:t>五、版次5设计成果文件</w:t>
      </w:r>
    </w:p>
    <w:p w14:paraId="2F660D3B">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bCs/>
          <w:sz w:val="24"/>
          <w:szCs w:val="24"/>
          <w:highlight w:val="none"/>
        </w:rPr>
        <w:t>版次5文件：为初步设计修改文件（包括文本说明、图纸、工程造价控制所需的工程量分解文件及概算书）</w:t>
      </w:r>
      <w:r>
        <w:rPr>
          <w:rFonts w:hint="eastAsia" w:asciiTheme="minorEastAsia" w:hAnsiTheme="minorEastAsia" w:eastAsiaTheme="minorEastAsia"/>
          <w:sz w:val="24"/>
          <w:szCs w:val="24"/>
          <w:highlight w:val="none"/>
        </w:rPr>
        <w:t>，以及发包人需要的招标技术文件</w:t>
      </w:r>
      <w:r>
        <w:rPr>
          <w:rFonts w:hint="eastAsia" w:asciiTheme="minorEastAsia" w:hAnsiTheme="minorEastAsia" w:eastAsiaTheme="minorEastAsia"/>
          <w:bCs/>
          <w:sz w:val="24"/>
          <w:szCs w:val="24"/>
          <w:highlight w:val="none"/>
        </w:rPr>
        <w:t>。</w:t>
      </w:r>
      <w:r>
        <w:rPr>
          <w:rFonts w:hint="eastAsia" w:asciiTheme="minorEastAsia" w:hAnsiTheme="minorEastAsia" w:eastAsiaTheme="minorEastAsia"/>
          <w:sz w:val="24"/>
          <w:szCs w:val="24"/>
          <w:highlight w:val="none"/>
        </w:rPr>
        <w:t>该版次在版次4设计成果文件的基础上进行修改深化，以及对初步设计审批意见的修改、修正概算文件等（不限于此）。修正概算深度参照预算的格式执行。</w:t>
      </w:r>
    </w:p>
    <w:p w14:paraId="0E5311A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版次5设计成果文件的份数要求：</w:t>
      </w:r>
    </w:p>
    <w:p w14:paraId="2744270A">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1、修正后的初步设计文本（发包人需要的招标技术文件）12份（内容及要求同版次4）。</w:t>
      </w:r>
    </w:p>
    <w:p w14:paraId="2F72A9B5">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初步设计概算经局内定稿并征求使用单位意见后，需向省发展改革委报送纸质概算2份、电子光盘1套（光盘中含初步设计，初步设计概算，询价文件、合同扫描件等相关依据文件电子版）。报送省发展改革委审批后，前期工作部需留存初步设计及概算文本4套、概算审核报告文本2份、电子光盘各1套，其中2套初步设计及概算、1份概算审核报告及光盘移交局档案室存档，1套初步设计及概算文本移交计划财务部，1套初步设计及概算、概算审核报告文本由前期工作部统筹使用。</w:t>
      </w:r>
    </w:p>
    <w:p w14:paraId="2E3E2934">
      <w:pPr>
        <w:spacing w:line="360" w:lineRule="auto"/>
        <w:ind w:firstLine="480" w:firstLineChars="200"/>
        <w:rPr>
          <w:rFonts w:asciiTheme="minorEastAsia" w:hAnsiTheme="minorEastAsia" w:eastAsiaTheme="minorEastAsia"/>
          <w:sz w:val="24"/>
          <w:szCs w:val="24"/>
          <w:highlight w:val="none"/>
        </w:rPr>
      </w:pPr>
    </w:p>
    <w:p w14:paraId="22220783">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六、版次6设计成果文件</w:t>
      </w:r>
    </w:p>
    <w:p w14:paraId="2E2424F8">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bCs/>
          <w:sz w:val="24"/>
          <w:szCs w:val="24"/>
          <w:highlight w:val="none"/>
        </w:rPr>
        <w:t>版次6文件：</w:t>
      </w:r>
      <w:r>
        <w:rPr>
          <w:rFonts w:hint="eastAsia" w:asciiTheme="minorEastAsia" w:hAnsiTheme="minorEastAsia" w:eastAsiaTheme="minorEastAsia"/>
          <w:sz w:val="24"/>
          <w:szCs w:val="24"/>
          <w:highlight w:val="none"/>
        </w:rPr>
        <w:t>为施工图设计文件（包括图纸、计算书、工程造价控制所需的工程量分解文件和工程量清单），根据中华人民共和国建设部颁布的《建筑工程设计文件编制深度规定》（2016年版）中关于施工图设计应达到的设计深度要求进行编制，且此文件符合</w:t>
      </w:r>
      <w:r>
        <w:rPr>
          <w:rFonts w:hint="eastAsia" w:asciiTheme="minorEastAsia" w:hAnsiTheme="minorEastAsia" w:eastAsiaTheme="minorEastAsia"/>
          <w:bCs/>
          <w:sz w:val="24"/>
          <w:szCs w:val="24"/>
          <w:highlight w:val="none"/>
        </w:rPr>
        <w:t>向</w:t>
      </w:r>
      <w:r>
        <w:rPr>
          <w:rFonts w:hint="eastAsia" w:asciiTheme="minorEastAsia" w:hAnsiTheme="minorEastAsia" w:eastAsiaTheme="minorEastAsia"/>
          <w:sz w:val="24"/>
          <w:szCs w:val="24"/>
          <w:highlight w:val="none"/>
        </w:rPr>
        <w:t>项目所在地规划局</w:t>
      </w:r>
      <w:r>
        <w:rPr>
          <w:rFonts w:hint="eastAsia" w:asciiTheme="minorEastAsia" w:hAnsiTheme="minorEastAsia" w:eastAsiaTheme="minorEastAsia"/>
          <w:bCs/>
          <w:sz w:val="24"/>
          <w:szCs w:val="24"/>
          <w:highlight w:val="none"/>
        </w:rPr>
        <w:t>和相关政府主管部门提交的施工图报建（专业报建）所需的设计成果文件及</w:t>
      </w:r>
      <w:r>
        <w:rPr>
          <w:rFonts w:hint="eastAsia" w:asciiTheme="minorEastAsia" w:hAnsiTheme="minorEastAsia" w:eastAsiaTheme="minorEastAsia"/>
          <w:sz w:val="24"/>
          <w:szCs w:val="24"/>
          <w:highlight w:val="none"/>
        </w:rPr>
        <w:t>施工图设计审查的各项要求。为向项目所在地规划局及相关政府主管部门进行单体施工图报建（专业报建）所需要的文件，按照项目所在地规划局和相关政府主管部门的报建要求和报审图纸深度要求进行编制，提供如下文件（不限于此）（文件需按项目所在地规划局和相关政府主管部门的要求加盖相应的图章，如设计单位出图章、报建特许人章、注册建筑师章等）：</w:t>
      </w:r>
    </w:p>
    <w:p w14:paraId="76BEDA7B">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1、总平面（包括各项技术经济指标）。</w:t>
      </w:r>
    </w:p>
    <w:p w14:paraId="094E134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2、建筑构造说明。</w:t>
      </w:r>
    </w:p>
    <w:p w14:paraId="2F8288D6">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3、建筑平、立、剖面图，</w:t>
      </w:r>
      <w:r>
        <w:rPr>
          <w:rFonts w:hint="eastAsia" w:asciiTheme="minorEastAsia" w:hAnsiTheme="minorEastAsia" w:eastAsiaTheme="minorEastAsia"/>
          <w:sz w:val="24"/>
          <w:szCs w:val="24"/>
          <w:highlight w:val="none"/>
          <w:u w:val="single"/>
        </w:rPr>
        <w:t>施工用地围蔽设计图</w:t>
      </w:r>
      <w:r>
        <w:rPr>
          <w:rFonts w:hint="eastAsia" w:asciiTheme="minorEastAsia" w:hAnsiTheme="minorEastAsia" w:eastAsiaTheme="minorEastAsia"/>
          <w:sz w:val="24"/>
          <w:szCs w:val="24"/>
          <w:highlight w:val="none"/>
        </w:rPr>
        <w:t>。</w:t>
      </w:r>
    </w:p>
    <w:p w14:paraId="1508FCD6">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4、各专业报批设计文件。</w:t>
      </w:r>
    </w:p>
    <w:p w14:paraId="5849CA77">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5、电子磁盘报批文件。</w:t>
      </w:r>
    </w:p>
    <w:p w14:paraId="4128AF01">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6、基坑支护施工图（包含主管部门技术审查所需的说明书、计算书及其它必要文件）</w:t>
      </w:r>
    </w:p>
    <w:p w14:paraId="4F4D7E3F">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版次5设计成果文件的份数要求：</w:t>
      </w:r>
    </w:p>
    <w:p w14:paraId="49B6D8FF">
      <w:pPr>
        <w:numPr>
          <w:ilvl w:val="0"/>
          <w:numId w:val="8"/>
        </w:num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按“建筑施工图报建”的要求，提交第1～4项成果各份8/次，第4项成果4份/次, 规划局报建批出后制作最终设计成果的电子文档光盘4份。</w:t>
      </w:r>
    </w:p>
    <w:p w14:paraId="099A994A">
      <w:pPr>
        <w:numPr>
          <w:ilvl w:val="0"/>
          <w:numId w:val="8"/>
        </w:num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专业报建（交通、市政、人防、消防、环保、卫生、绿化、防雷等）所需设计成果文件各专业部门4份/次。各专业部门报建批出后制作最终设计成果的电子文档光盘每专业报建部门成果各4份。</w:t>
      </w:r>
    </w:p>
    <w:p w14:paraId="3AC45CF7">
      <w:pPr>
        <w:numPr>
          <w:ilvl w:val="0"/>
          <w:numId w:val="8"/>
        </w:num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按施工图深度标准设计的基坑支护施工图及相关技术文件用于论证及审查12份/次。</w:t>
      </w:r>
    </w:p>
    <w:p w14:paraId="5BC01377">
      <w:pPr>
        <w:spacing w:line="360" w:lineRule="auto"/>
        <w:ind w:firstLine="480" w:firstLineChars="200"/>
        <w:rPr>
          <w:rFonts w:asciiTheme="minorEastAsia" w:hAnsiTheme="minorEastAsia" w:eastAsiaTheme="minorEastAsia"/>
          <w:sz w:val="24"/>
          <w:szCs w:val="24"/>
          <w:highlight w:val="none"/>
        </w:rPr>
      </w:pPr>
    </w:p>
    <w:p w14:paraId="641051C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七、版次7设计成果文件</w:t>
      </w:r>
    </w:p>
    <w:p w14:paraId="0E7F8112">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版次7文件：经政府主管部门审批备案和发包方确认，用于现场施工的施工图为施工图修改设计文件，按建设部批准的《建筑工程设计文件编制深度规定》和项目所在地建委对施工图审查的要求进行编制，提供如下文件（不限于此）（文件需按市建委的要求加盖相应的图章和签名，如设计单位出图章、注册建筑师章、注册结构工程师章等）：</w:t>
      </w:r>
    </w:p>
    <w:p w14:paraId="1F0BF4F8">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1、总平面。</w:t>
      </w:r>
    </w:p>
    <w:p w14:paraId="7B9129B3">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2、建筑、节能、结构、给排水、电气、空调等各专业设计图纸（含室内外各项工程设计、各专项专业设计施工图、施工深化图和室内外装修设计）及设计说明（设计内容按本合同相关条款的约定）。</w:t>
      </w:r>
    </w:p>
    <w:p w14:paraId="3E9A7893">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3、结构、空调等各专业计算书及相关的设计计算、试验等设计文件资料。</w:t>
      </w:r>
    </w:p>
    <w:p w14:paraId="25A2D192">
      <w:pPr>
        <w:spacing w:line="360" w:lineRule="auto"/>
        <w:ind w:firstLine="480" w:firstLineChars="200"/>
        <w:rPr>
          <w:rFonts w:asciiTheme="minorEastAsia" w:hAnsiTheme="minorEastAsia" w:eastAsiaTheme="minorEastAsia"/>
          <w:sz w:val="24"/>
          <w:szCs w:val="24"/>
          <w:highlight w:val="none"/>
        </w:rPr>
      </w:pPr>
    </w:p>
    <w:p w14:paraId="178078DA">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版次7设计成果文件的份数要求：</w:t>
      </w:r>
    </w:p>
    <w:p w14:paraId="304479CD">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1、在报送施工图审查时提供第1～3项成果10份/次，及过程文件（如有）电子文档光盘4份。</w:t>
      </w:r>
    </w:p>
    <w:p w14:paraId="7F7C0AD6">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在施工图审查及备案通过后，提供用于现场施工的施工图，前期工作部原则上留存加盖施工图审查章的第1～2项成果14份/次，第3项成果4份/次，电子文档光盘4份（每次是指不同专业或同一专业不同阶段提交的不同部位的施工图）。其中对所提交的图纸提出以下的要求</w:t>
      </w:r>
    </w:p>
    <w:p w14:paraId="1E598193">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1套图纸、光盘加盖省代建局设计专用章后移交局档案室存档，1套图纸加盖使用单位公章后报送住建部门进行消防设计审查，其余施工图根据项目建设管理模式开展移交工作。若使用单位根据自身工作需要提出图纸留存需求，总份数根据使用单位需求另行增加，总体不超18套。归档的必须按市城市建设档案馆有关《建设工程文件的整理及档案移交规定》的折叠方法及归档要求装订移交；</w:t>
      </w:r>
    </w:p>
    <w:p w14:paraId="411D3FE3">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对于传统模式的直管项目，在取得施工图审查合格书后，先将2套图纸、2套光盘移交计划财务部编制工程量清单与招标控制价；施工总承包单位产生后，由项目建设管理部结合自身工作进度提出移交时间需求，前期工作部根据需求将剩余10套图纸、1套光盘一次性移交项目建设管理部。若需加晒图纸，由所需部室自行与设计单位协商解决</w:t>
      </w:r>
    </w:p>
    <w:p w14:paraId="5EAA2FA4">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对于EPC模式的直管项目，在取得施工图审查合格书后，由前期工作部将施工图纸同步移交计划财务部与项目建设管理部，其中2套图纸、2套光盘移交计划财务部，10套图纸、1套光盘移交项目建设管理部。若需加晒图纸，由所需部室自行与设计单位协商解决。</w:t>
      </w:r>
    </w:p>
    <w:p w14:paraId="5A28E2D7">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施工图设计全部完成后制作本版次设计成果（包括计算书和各项测试文件书面资料）及最终模型（如有）的电子文档光盘4份。</w:t>
      </w:r>
    </w:p>
    <w:p w14:paraId="0CE31E69">
      <w:pPr>
        <w:spacing w:line="360" w:lineRule="auto"/>
        <w:ind w:firstLine="480" w:firstLineChars="200"/>
        <w:rPr>
          <w:rFonts w:asciiTheme="minorEastAsia" w:hAnsiTheme="minorEastAsia" w:eastAsiaTheme="minorEastAsia"/>
          <w:sz w:val="24"/>
          <w:szCs w:val="24"/>
          <w:highlight w:val="none"/>
        </w:rPr>
      </w:pPr>
    </w:p>
    <w:p w14:paraId="5049DDF9">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八、版次8设计成果文件</w:t>
      </w:r>
    </w:p>
    <w:p w14:paraId="09AC3FF1">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bCs/>
          <w:sz w:val="24"/>
          <w:szCs w:val="24"/>
          <w:highlight w:val="none"/>
        </w:rPr>
        <w:t>版次8文件：设计人将编制竣工图所需的电子版图纸（包括报政府竣工备案的电子文件、设计变更电子文件等）提供给发包方及本项目的施工单位，并对施工单位编制的竣工图纸进行签字盖章确认。其中项目所有专项验收所需的设计文件（包括图纸、设计说明等）由设计人编制，具体数量按相关验收部门要求。</w:t>
      </w:r>
    </w:p>
    <w:p w14:paraId="162DB369">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注：报建报批所需设计文件由发包人根据工程进度和相关主管部门要求通知设计人提交，设计人需确保相关资料在2天内备齐。</w:t>
      </w:r>
    </w:p>
    <w:p w14:paraId="1AD5B0CF">
      <w:pPr>
        <w:spacing w:line="360" w:lineRule="auto"/>
        <w:ind w:firstLine="480" w:firstLineChars="200"/>
        <w:rPr>
          <w:rFonts w:asciiTheme="minorEastAsia" w:hAnsiTheme="minorEastAsia" w:eastAsiaTheme="minorEastAsia"/>
          <w:sz w:val="24"/>
          <w:szCs w:val="24"/>
          <w:highlight w:val="none"/>
        </w:rPr>
      </w:pPr>
    </w:p>
    <w:p w14:paraId="1599B9C2">
      <w:pPr>
        <w:spacing w:beforeLines="50" w:afterLines="50" w:line="360" w:lineRule="auto"/>
        <w:ind w:firstLine="480" w:firstLineChars="200"/>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九、上述设计成果份数若不足使用，可根据发包人需求增加，最终份数以20份为限（相关费用包含在总费用中，不做增加）</w:t>
      </w:r>
    </w:p>
    <w:p w14:paraId="3FEA1B4F">
      <w:pPr>
        <w:spacing w:beforeLines="50" w:afterLines="50" w:line="360" w:lineRule="auto"/>
        <w:jc w:val="left"/>
        <w:rPr>
          <w:rFonts w:asciiTheme="minorEastAsia" w:hAnsiTheme="minorEastAsia" w:eastAsiaTheme="minorEastAsia"/>
          <w:sz w:val="24"/>
          <w:szCs w:val="24"/>
          <w:highlight w:val="none"/>
        </w:rPr>
      </w:pPr>
    </w:p>
    <w:p w14:paraId="26AFA69F">
      <w:pPr>
        <w:spacing w:beforeLines="50" w:afterLines="50" w:line="360" w:lineRule="auto"/>
        <w:jc w:val="left"/>
        <w:rPr>
          <w:rFonts w:asciiTheme="minorEastAsia" w:hAnsiTheme="minorEastAsia" w:eastAsiaTheme="minorEastAsia"/>
          <w:sz w:val="24"/>
          <w:szCs w:val="24"/>
          <w:highlight w:val="none"/>
        </w:rPr>
      </w:pPr>
    </w:p>
    <w:p w14:paraId="7BDADF93">
      <w:pPr>
        <w:spacing w:line="360" w:lineRule="auto"/>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br w:type="page"/>
      </w:r>
      <w:r>
        <w:rPr>
          <w:rFonts w:hint="eastAsia" w:asciiTheme="minorEastAsia" w:hAnsiTheme="minorEastAsia" w:eastAsiaTheme="minorEastAsia"/>
          <w:b/>
          <w:sz w:val="24"/>
          <w:szCs w:val="24"/>
          <w:highlight w:val="none"/>
        </w:rPr>
        <w:t xml:space="preserve">附件4 ：专业设计及驻场服务人员表              </w:t>
      </w:r>
    </w:p>
    <w:p w14:paraId="3B11BE37">
      <w:pPr>
        <w:spacing w:line="360" w:lineRule="auto"/>
        <w:jc w:val="center"/>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专业设计及驻场服务人员表</w:t>
      </w:r>
    </w:p>
    <w:p w14:paraId="52C845BF">
      <w:pPr>
        <w:spacing w:line="360" w:lineRule="auto"/>
        <w:rPr>
          <w:rFonts w:asciiTheme="minorEastAsia" w:hAnsiTheme="minorEastAsia" w:eastAsiaTheme="minorEastAsia"/>
          <w:sz w:val="24"/>
          <w:szCs w:val="24"/>
          <w:highlight w:val="none"/>
        </w:rPr>
      </w:pPr>
    </w:p>
    <w:p w14:paraId="6B8C585B">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 设计人承诺投入的人员为专业设计人员或驻场服务人员。</w:t>
      </w:r>
    </w:p>
    <w:p w14:paraId="08AE39D1">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1）方案深化设计阶段需要委派主要驻场技术人员不少于名工程师。</w:t>
      </w:r>
    </w:p>
    <w:p w14:paraId="2C050127">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2）初步设计、施工图纸设计阶段需要委派各专业主要驻场技术人员不少于名工程师。</w:t>
      </w:r>
    </w:p>
    <w:p w14:paraId="1BBCF727">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3）施工阶段需要委派各专业主要驻场技术人员不少于名。</w:t>
      </w:r>
    </w:p>
    <w:p w14:paraId="2F60A25B">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其中：</w:t>
      </w:r>
    </w:p>
    <w:p w14:paraId="7834D4A6">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建筑\结构工程专业工程师1名；</w:t>
      </w:r>
    </w:p>
    <w:p w14:paraId="495F53FE">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机电工程专业工程师1名。</w:t>
      </w:r>
    </w:p>
    <w:p w14:paraId="432FB7EF">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各阶段拟委派本项目的主要驻场技术人员应在设计合同签订后7天内书面提供，同阶段派驻人员可以填写1～4人轮班替换，未经发包人同意，设计人不得随意变更驻场人员及数量。报送表格形式参照下表：</w:t>
      </w:r>
    </w:p>
    <w:tbl>
      <w:tblPr>
        <w:tblStyle w:val="54"/>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50"/>
        <w:gridCol w:w="658"/>
        <w:gridCol w:w="735"/>
        <w:gridCol w:w="1868"/>
        <w:gridCol w:w="1597"/>
        <w:gridCol w:w="761"/>
        <w:gridCol w:w="1181"/>
        <w:gridCol w:w="788"/>
      </w:tblGrid>
      <w:tr w14:paraId="6E37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AFC4450">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序号</w:t>
            </w:r>
          </w:p>
        </w:tc>
        <w:tc>
          <w:tcPr>
            <w:tcW w:w="850" w:type="dxa"/>
            <w:tcBorders>
              <w:top w:val="single" w:color="auto" w:sz="4" w:space="0"/>
              <w:left w:val="single" w:color="auto" w:sz="4" w:space="0"/>
              <w:bottom w:val="single" w:color="auto" w:sz="4" w:space="0"/>
              <w:right w:val="single" w:color="auto" w:sz="4" w:space="0"/>
            </w:tcBorders>
            <w:vAlign w:val="center"/>
          </w:tcPr>
          <w:p w14:paraId="405405A1">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姓名</w:t>
            </w:r>
          </w:p>
        </w:tc>
        <w:tc>
          <w:tcPr>
            <w:tcW w:w="658" w:type="dxa"/>
            <w:tcBorders>
              <w:top w:val="single" w:color="auto" w:sz="4" w:space="0"/>
              <w:left w:val="single" w:color="auto" w:sz="4" w:space="0"/>
              <w:bottom w:val="single" w:color="auto" w:sz="4" w:space="0"/>
              <w:right w:val="single" w:color="auto" w:sz="4" w:space="0"/>
            </w:tcBorders>
            <w:vAlign w:val="center"/>
          </w:tcPr>
          <w:p w14:paraId="18E398F0">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性别</w:t>
            </w:r>
          </w:p>
        </w:tc>
        <w:tc>
          <w:tcPr>
            <w:tcW w:w="735" w:type="dxa"/>
            <w:tcBorders>
              <w:top w:val="single" w:color="auto" w:sz="4" w:space="0"/>
              <w:left w:val="single" w:color="auto" w:sz="4" w:space="0"/>
              <w:bottom w:val="single" w:color="auto" w:sz="4" w:space="0"/>
              <w:right w:val="single" w:color="auto" w:sz="4" w:space="0"/>
            </w:tcBorders>
            <w:vAlign w:val="center"/>
          </w:tcPr>
          <w:p w14:paraId="654CED8D">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年龄</w:t>
            </w:r>
          </w:p>
        </w:tc>
        <w:tc>
          <w:tcPr>
            <w:tcW w:w="1868" w:type="dxa"/>
            <w:tcBorders>
              <w:top w:val="single" w:color="auto" w:sz="4" w:space="0"/>
              <w:left w:val="single" w:color="auto" w:sz="4" w:space="0"/>
              <w:bottom w:val="single" w:color="auto" w:sz="4" w:space="0"/>
              <w:right w:val="single" w:color="auto" w:sz="4" w:space="0"/>
            </w:tcBorders>
            <w:vAlign w:val="center"/>
          </w:tcPr>
          <w:p w14:paraId="21825BA2">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在本项目担任职务</w:t>
            </w:r>
          </w:p>
        </w:tc>
        <w:tc>
          <w:tcPr>
            <w:tcW w:w="1597" w:type="dxa"/>
            <w:tcBorders>
              <w:top w:val="single" w:color="auto" w:sz="4" w:space="0"/>
              <w:left w:val="single" w:color="auto" w:sz="4" w:space="0"/>
              <w:bottom w:val="single" w:color="auto" w:sz="4" w:space="0"/>
              <w:right w:val="single" w:color="auto" w:sz="4" w:space="0"/>
            </w:tcBorders>
            <w:vAlign w:val="center"/>
          </w:tcPr>
          <w:p w14:paraId="400E6D65">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技术职称</w:t>
            </w:r>
          </w:p>
        </w:tc>
        <w:tc>
          <w:tcPr>
            <w:tcW w:w="761" w:type="dxa"/>
            <w:tcBorders>
              <w:top w:val="single" w:color="auto" w:sz="4" w:space="0"/>
              <w:left w:val="single" w:color="auto" w:sz="4" w:space="0"/>
              <w:bottom w:val="single" w:color="auto" w:sz="4" w:space="0"/>
              <w:right w:val="single" w:color="auto" w:sz="4" w:space="0"/>
            </w:tcBorders>
            <w:vAlign w:val="center"/>
          </w:tcPr>
          <w:p w14:paraId="50F95369">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专业</w:t>
            </w:r>
          </w:p>
        </w:tc>
        <w:tc>
          <w:tcPr>
            <w:tcW w:w="1181" w:type="dxa"/>
            <w:tcBorders>
              <w:top w:val="single" w:color="auto" w:sz="4" w:space="0"/>
              <w:left w:val="single" w:color="auto" w:sz="4" w:space="0"/>
              <w:bottom w:val="single" w:color="auto" w:sz="4" w:space="0"/>
              <w:right w:val="single" w:color="auto" w:sz="4" w:space="0"/>
            </w:tcBorders>
            <w:vAlign w:val="center"/>
          </w:tcPr>
          <w:p w14:paraId="734AB0C5">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驻场阶段</w:t>
            </w:r>
          </w:p>
        </w:tc>
        <w:tc>
          <w:tcPr>
            <w:tcW w:w="788" w:type="dxa"/>
            <w:tcBorders>
              <w:top w:val="single" w:color="auto" w:sz="4" w:space="0"/>
              <w:left w:val="single" w:color="auto" w:sz="4" w:space="0"/>
              <w:bottom w:val="single" w:color="auto" w:sz="4" w:space="0"/>
              <w:right w:val="single" w:color="auto" w:sz="4" w:space="0"/>
            </w:tcBorders>
            <w:vAlign w:val="center"/>
          </w:tcPr>
          <w:p w14:paraId="5F9D5421">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备注</w:t>
            </w:r>
          </w:p>
        </w:tc>
      </w:tr>
      <w:tr w14:paraId="17CD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Pr>
          <w:p w14:paraId="500DAC34">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p>
        </w:tc>
        <w:tc>
          <w:tcPr>
            <w:tcW w:w="850" w:type="dxa"/>
            <w:tcBorders>
              <w:top w:val="single" w:color="auto" w:sz="4" w:space="0"/>
              <w:left w:val="single" w:color="auto" w:sz="4" w:space="0"/>
              <w:bottom w:val="single" w:color="auto" w:sz="4" w:space="0"/>
              <w:right w:val="single" w:color="auto" w:sz="4" w:space="0"/>
            </w:tcBorders>
          </w:tcPr>
          <w:p w14:paraId="0596230E">
            <w:pPr>
              <w:spacing w:line="360" w:lineRule="auto"/>
              <w:ind w:left="-105" w:leftChars="-50" w:right="-105" w:rightChars="-50"/>
              <w:rPr>
                <w:rFonts w:asciiTheme="minorEastAsia" w:hAnsiTheme="minorEastAsia" w:eastAsiaTheme="minorEastAsia"/>
                <w:sz w:val="24"/>
                <w:szCs w:val="24"/>
                <w:highlight w:val="none"/>
              </w:rPr>
            </w:pPr>
          </w:p>
        </w:tc>
        <w:tc>
          <w:tcPr>
            <w:tcW w:w="658" w:type="dxa"/>
            <w:tcBorders>
              <w:top w:val="single" w:color="auto" w:sz="4" w:space="0"/>
              <w:left w:val="single" w:color="auto" w:sz="4" w:space="0"/>
              <w:bottom w:val="single" w:color="auto" w:sz="4" w:space="0"/>
              <w:right w:val="single" w:color="auto" w:sz="4" w:space="0"/>
            </w:tcBorders>
          </w:tcPr>
          <w:p w14:paraId="75651568">
            <w:pPr>
              <w:spacing w:line="360" w:lineRule="auto"/>
              <w:ind w:left="-105" w:leftChars="-50" w:right="-105" w:rightChars="-50"/>
              <w:rPr>
                <w:rFonts w:asciiTheme="minorEastAsia" w:hAnsiTheme="minorEastAsia" w:eastAsiaTheme="minorEastAsia"/>
                <w:sz w:val="24"/>
                <w:szCs w:val="24"/>
                <w:highlight w:val="none"/>
              </w:rPr>
            </w:pPr>
          </w:p>
        </w:tc>
        <w:tc>
          <w:tcPr>
            <w:tcW w:w="735" w:type="dxa"/>
            <w:tcBorders>
              <w:top w:val="single" w:color="auto" w:sz="4" w:space="0"/>
              <w:left w:val="single" w:color="auto" w:sz="4" w:space="0"/>
              <w:bottom w:val="single" w:color="auto" w:sz="4" w:space="0"/>
              <w:right w:val="single" w:color="auto" w:sz="4" w:space="0"/>
            </w:tcBorders>
          </w:tcPr>
          <w:p w14:paraId="429CF82C">
            <w:pPr>
              <w:spacing w:line="360" w:lineRule="auto"/>
              <w:ind w:left="-105" w:leftChars="-50" w:right="-105" w:rightChars="-50"/>
              <w:rPr>
                <w:rFonts w:asciiTheme="minorEastAsia" w:hAnsiTheme="minorEastAsia" w:eastAsiaTheme="minorEastAsia"/>
                <w:sz w:val="24"/>
                <w:szCs w:val="24"/>
                <w:highlight w:val="none"/>
              </w:rPr>
            </w:pPr>
          </w:p>
        </w:tc>
        <w:tc>
          <w:tcPr>
            <w:tcW w:w="1868" w:type="dxa"/>
            <w:tcBorders>
              <w:top w:val="single" w:color="auto" w:sz="4" w:space="0"/>
              <w:left w:val="single" w:color="auto" w:sz="4" w:space="0"/>
              <w:bottom w:val="single" w:color="auto" w:sz="4" w:space="0"/>
              <w:right w:val="single" w:color="auto" w:sz="4" w:space="0"/>
            </w:tcBorders>
          </w:tcPr>
          <w:p w14:paraId="0EFA3E6C">
            <w:pPr>
              <w:spacing w:line="360" w:lineRule="auto"/>
              <w:ind w:left="-105" w:leftChars="-50" w:right="-105" w:rightChars="-50"/>
              <w:rPr>
                <w:rFonts w:asciiTheme="minorEastAsia" w:hAnsiTheme="minorEastAsia" w:eastAsiaTheme="minorEastAsia"/>
                <w:sz w:val="24"/>
                <w:szCs w:val="24"/>
                <w:highlight w:val="none"/>
              </w:rPr>
            </w:pPr>
          </w:p>
        </w:tc>
        <w:tc>
          <w:tcPr>
            <w:tcW w:w="1597" w:type="dxa"/>
            <w:tcBorders>
              <w:top w:val="single" w:color="auto" w:sz="4" w:space="0"/>
              <w:left w:val="single" w:color="auto" w:sz="4" w:space="0"/>
              <w:bottom w:val="single" w:color="auto" w:sz="4" w:space="0"/>
              <w:right w:val="single" w:color="auto" w:sz="4" w:space="0"/>
            </w:tcBorders>
          </w:tcPr>
          <w:p w14:paraId="681145E0">
            <w:pPr>
              <w:spacing w:line="360" w:lineRule="auto"/>
              <w:ind w:left="-105" w:leftChars="-50" w:right="-105" w:rightChars="-50"/>
              <w:rPr>
                <w:rFonts w:asciiTheme="minorEastAsia" w:hAnsiTheme="minorEastAsia" w:eastAsiaTheme="minorEastAsia"/>
                <w:sz w:val="24"/>
                <w:szCs w:val="24"/>
                <w:highlight w:val="none"/>
              </w:rPr>
            </w:pPr>
          </w:p>
        </w:tc>
        <w:tc>
          <w:tcPr>
            <w:tcW w:w="761" w:type="dxa"/>
            <w:tcBorders>
              <w:top w:val="single" w:color="auto" w:sz="4" w:space="0"/>
              <w:left w:val="single" w:color="auto" w:sz="4" w:space="0"/>
              <w:bottom w:val="single" w:color="auto" w:sz="4" w:space="0"/>
              <w:right w:val="single" w:color="auto" w:sz="4" w:space="0"/>
            </w:tcBorders>
          </w:tcPr>
          <w:p w14:paraId="27447E6F">
            <w:pPr>
              <w:spacing w:line="360" w:lineRule="auto"/>
              <w:ind w:left="-105" w:leftChars="-50" w:right="-105" w:rightChars="-50"/>
              <w:rPr>
                <w:rFonts w:asciiTheme="minorEastAsia" w:hAnsiTheme="minorEastAsia" w:eastAsiaTheme="minorEastAsia"/>
                <w:sz w:val="24"/>
                <w:szCs w:val="24"/>
                <w:highlight w:val="none"/>
              </w:rPr>
            </w:pPr>
          </w:p>
        </w:tc>
        <w:tc>
          <w:tcPr>
            <w:tcW w:w="1181" w:type="dxa"/>
            <w:tcBorders>
              <w:top w:val="single" w:color="auto" w:sz="4" w:space="0"/>
              <w:left w:val="single" w:color="auto" w:sz="4" w:space="0"/>
              <w:bottom w:val="single" w:color="auto" w:sz="4" w:space="0"/>
              <w:right w:val="single" w:color="auto" w:sz="4" w:space="0"/>
            </w:tcBorders>
          </w:tcPr>
          <w:p w14:paraId="01EAD320">
            <w:pPr>
              <w:spacing w:line="360" w:lineRule="auto"/>
              <w:ind w:left="-105" w:leftChars="-50" w:right="-105" w:rightChars="-50"/>
              <w:rPr>
                <w:rFonts w:asciiTheme="minorEastAsia" w:hAnsiTheme="minorEastAsia" w:eastAsiaTheme="minorEastAsia"/>
                <w:sz w:val="24"/>
                <w:szCs w:val="24"/>
                <w:highlight w:val="none"/>
              </w:rPr>
            </w:pPr>
          </w:p>
        </w:tc>
        <w:tc>
          <w:tcPr>
            <w:tcW w:w="788" w:type="dxa"/>
            <w:tcBorders>
              <w:top w:val="single" w:color="auto" w:sz="4" w:space="0"/>
              <w:left w:val="single" w:color="auto" w:sz="4" w:space="0"/>
              <w:bottom w:val="single" w:color="auto" w:sz="4" w:space="0"/>
              <w:right w:val="single" w:color="auto" w:sz="4" w:space="0"/>
            </w:tcBorders>
          </w:tcPr>
          <w:p w14:paraId="06B6EC0D">
            <w:pPr>
              <w:spacing w:line="360" w:lineRule="auto"/>
              <w:ind w:left="-105" w:leftChars="-50" w:right="-105" w:rightChars="-50"/>
              <w:rPr>
                <w:rFonts w:asciiTheme="minorEastAsia" w:hAnsiTheme="minorEastAsia" w:eastAsiaTheme="minorEastAsia"/>
                <w:sz w:val="24"/>
                <w:szCs w:val="24"/>
                <w:highlight w:val="none"/>
              </w:rPr>
            </w:pPr>
          </w:p>
        </w:tc>
      </w:tr>
      <w:tr w14:paraId="5941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00" w:type="dxa"/>
            <w:tcBorders>
              <w:top w:val="single" w:color="auto" w:sz="4" w:space="0"/>
              <w:left w:val="single" w:color="auto" w:sz="4" w:space="0"/>
              <w:bottom w:val="single" w:color="auto" w:sz="4" w:space="0"/>
              <w:right w:val="single" w:color="auto" w:sz="4" w:space="0"/>
            </w:tcBorders>
          </w:tcPr>
          <w:p w14:paraId="66FF01E7">
            <w:pPr>
              <w:spacing w:line="360" w:lineRule="auto"/>
              <w:ind w:left="-105" w:leftChars="-50" w:right="-105" w:rightChars="-50"/>
              <w:rPr>
                <w:rFonts w:asciiTheme="minorEastAsia" w:hAnsiTheme="minorEastAsia" w:eastAsiaTheme="minorEastAsia"/>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tcPr>
          <w:p w14:paraId="737B5517">
            <w:pPr>
              <w:spacing w:line="360" w:lineRule="auto"/>
              <w:ind w:left="-105" w:leftChars="-50" w:right="-105" w:rightChars="-50"/>
              <w:rPr>
                <w:rFonts w:asciiTheme="minorEastAsia" w:hAnsiTheme="minorEastAsia" w:eastAsiaTheme="minorEastAsia"/>
                <w:sz w:val="24"/>
                <w:szCs w:val="24"/>
                <w:highlight w:val="none"/>
              </w:rPr>
            </w:pPr>
          </w:p>
        </w:tc>
        <w:tc>
          <w:tcPr>
            <w:tcW w:w="658" w:type="dxa"/>
            <w:tcBorders>
              <w:top w:val="single" w:color="auto" w:sz="4" w:space="0"/>
              <w:left w:val="single" w:color="auto" w:sz="4" w:space="0"/>
              <w:bottom w:val="single" w:color="auto" w:sz="4" w:space="0"/>
              <w:right w:val="single" w:color="auto" w:sz="4" w:space="0"/>
            </w:tcBorders>
          </w:tcPr>
          <w:p w14:paraId="72CAA11E">
            <w:pPr>
              <w:spacing w:line="360" w:lineRule="auto"/>
              <w:ind w:left="-105" w:leftChars="-50" w:right="-105" w:rightChars="-50"/>
              <w:rPr>
                <w:rFonts w:asciiTheme="minorEastAsia" w:hAnsiTheme="minorEastAsia" w:eastAsiaTheme="minorEastAsia"/>
                <w:sz w:val="24"/>
                <w:szCs w:val="24"/>
                <w:highlight w:val="none"/>
              </w:rPr>
            </w:pPr>
          </w:p>
        </w:tc>
        <w:tc>
          <w:tcPr>
            <w:tcW w:w="735" w:type="dxa"/>
            <w:tcBorders>
              <w:top w:val="single" w:color="auto" w:sz="4" w:space="0"/>
              <w:left w:val="single" w:color="auto" w:sz="4" w:space="0"/>
              <w:bottom w:val="single" w:color="auto" w:sz="4" w:space="0"/>
              <w:right w:val="single" w:color="auto" w:sz="4" w:space="0"/>
            </w:tcBorders>
          </w:tcPr>
          <w:p w14:paraId="25D85B35">
            <w:pPr>
              <w:spacing w:line="360" w:lineRule="auto"/>
              <w:ind w:left="-105" w:leftChars="-50" w:right="-105" w:rightChars="-50"/>
              <w:rPr>
                <w:rFonts w:asciiTheme="minorEastAsia" w:hAnsiTheme="minorEastAsia" w:eastAsiaTheme="minorEastAsia"/>
                <w:sz w:val="24"/>
                <w:szCs w:val="24"/>
                <w:highlight w:val="none"/>
              </w:rPr>
            </w:pPr>
          </w:p>
        </w:tc>
        <w:tc>
          <w:tcPr>
            <w:tcW w:w="1868" w:type="dxa"/>
            <w:tcBorders>
              <w:top w:val="single" w:color="auto" w:sz="4" w:space="0"/>
              <w:left w:val="single" w:color="auto" w:sz="4" w:space="0"/>
              <w:bottom w:val="single" w:color="auto" w:sz="4" w:space="0"/>
              <w:right w:val="single" w:color="auto" w:sz="4" w:space="0"/>
            </w:tcBorders>
          </w:tcPr>
          <w:p w14:paraId="51DE8D4B">
            <w:pPr>
              <w:spacing w:line="360" w:lineRule="auto"/>
              <w:ind w:left="-105" w:leftChars="-50" w:right="-105" w:rightChars="-50"/>
              <w:rPr>
                <w:rFonts w:asciiTheme="minorEastAsia" w:hAnsiTheme="minorEastAsia" w:eastAsiaTheme="minorEastAsia"/>
                <w:sz w:val="24"/>
                <w:szCs w:val="24"/>
                <w:highlight w:val="none"/>
              </w:rPr>
            </w:pPr>
          </w:p>
        </w:tc>
        <w:tc>
          <w:tcPr>
            <w:tcW w:w="1597" w:type="dxa"/>
            <w:tcBorders>
              <w:top w:val="single" w:color="auto" w:sz="4" w:space="0"/>
              <w:left w:val="single" w:color="auto" w:sz="4" w:space="0"/>
              <w:bottom w:val="single" w:color="auto" w:sz="4" w:space="0"/>
              <w:right w:val="single" w:color="auto" w:sz="4" w:space="0"/>
            </w:tcBorders>
          </w:tcPr>
          <w:p w14:paraId="4B8D24D9">
            <w:pPr>
              <w:spacing w:line="360" w:lineRule="auto"/>
              <w:ind w:left="-105" w:leftChars="-50" w:right="-105" w:rightChars="-50"/>
              <w:rPr>
                <w:rFonts w:asciiTheme="minorEastAsia" w:hAnsiTheme="minorEastAsia" w:eastAsiaTheme="minorEastAsia"/>
                <w:sz w:val="24"/>
                <w:szCs w:val="24"/>
                <w:highlight w:val="none"/>
              </w:rPr>
            </w:pPr>
          </w:p>
        </w:tc>
        <w:tc>
          <w:tcPr>
            <w:tcW w:w="761" w:type="dxa"/>
            <w:tcBorders>
              <w:top w:val="single" w:color="auto" w:sz="4" w:space="0"/>
              <w:left w:val="single" w:color="auto" w:sz="4" w:space="0"/>
              <w:bottom w:val="single" w:color="auto" w:sz="4" w:space="0"/>
              <w:right w:val="single" w:color="auto" w:sz="4" w:space="0"/>
            </w:tcBorders>
          </w:tcPr>
          <w:p w14:paraId="61DFF4ED">
            <w:pPr>
              <w:spacing w:line="360" w:lineRule="auto"/>
              <w:ind w:left="-105" w:leftChars="-50" w:right="-105" w:rightChars="-50"/>
              <w:rPr>
                <w:rFonts w:asciiTheme="minorEastAsia" w:hAnsiTheme="minorEastAsia" w:eastAsiaTheme="minorEastAsia"/>
                <w:sz w:val="24"/>
                <w:szCs w:val="24"/>
                <w:highlight w:val="none"/>
              </w:rPr>
            </w:pPr>
          </w:p>
        </w:tc>
        <w:tc>
          <w:tcPr>
            <w:tcW w:w="1181" w:type="dxa"/>
            <w:tcBorders>
              <w:top w:val="single" w:color="auto" w:sz="4" w:space="0"/>
              <w:left w:val="single" w:color="auto" w:sz="4" w:space="0"/>
              <w:bottom w:val="single" w:color="auto" w:sz="4" w:space="0"/>
              <w:right w:val="single" w:color="auto" w:sz="4" w:space="0"/>
            </w:tcBorders>
          </w:tcPr>
          <w:p w14:paraId="097D58F5">
            <w:pPr>
              <w:spacing w:line="360" w:lineRule="auto"/>
              <w:ind w:left="-105" w:leftChars="-50" w:right="-105" w:rightChars="-50"/>
              <w:rPr>
                <w:rFonts w:asciiTheme="minorEastAsia" w:hAnsiTheme="minorEastAsia" w:eastAsiaTheme="minorEastAsia"/>
                <w:sz w:val="24"/>
                <w:szCs w:val="24"/>
                <w:highlight w:val="none"/>
              </w:rPr>
            </w:pPr>
          </w:p>
        </w:tc>
        <w:tc>
          <w:tcPr>
            <w:tcW w:w="788" w:type="dxa"/>
            <w:tcBorders>
              <w:top w:val="single" w:color="auto" w:sz="4" w:space="0"/>
              <w:left w:val="single" w:color="auto" w:sz="4" w:space="0"/>
              <w:bottom w:val="single" w:color="auto" w:sz="4" w:space="0"/>
              <w:right w:val="single" w:color="auto" w:sz="4" w:space="0"/>
            </w:tcBorders>
          </w:tcPr>
          <w:p w14:paraId="79739367">
            <w:pPr>
              <w:spacing w:line="360" w:lineRule="auto"/>
              <w:ind w:left="-105" w:leftChars="-50" w:right="-105" w:rightChars="-50"/>
              <w:rPr>
                <w:rFonts w:asciiTheme="minorEastAsia" w:hAnsiTheme="minorEastAsia" w:eastAsiaTheme="minorEastAsia"/>
                <w:sz w:val="24"/>
                <w:szCs w:val="24"/>
                <w:highlight w:val="none"/>
              </w:rPr>
            </w:pPr>
          </w:p>
        </w:tc>
      </w:tr>
      <w:tr w14:paraId="22CB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0" w:type="dxa"/>
            <w:tcBorders>
              <w:top w:val="single" w:color="auto" w:sz="4" w:space="0"/>
              <w:left w:val="single" w:color="auto" w:sz="4" w:space="0"/>
              <w:bottom w:val="single" w:color="auto" w:sz="4" w:space="0"/>
              <w:right w:val="single" w:color="auto" w:sz="4" w:space="0"/>
            </w:tcBorders>
          </w:tcPr>
          <w:p w14:paraId="23C68C63">
            <w:pPr>
              <w:spacing w:line="360" w:lineRule="auto"/>
              <w:ind w:left="-105" w:leftChars="-50" w:right="-105" w:rightChars="-50"/>
              <w:rPr>
                <w:rFonts w:asciiTheme="minorEastAsia" w:hAnsiTheme="minorEastAsia" w:eastAsiaTheme="minorEastAsia"/>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tcPr>
          <w:p w14:paraId="04107E28">
            <w:pPr>
              <w:spacing w:line="360" w:lineRule="auto"/>
              <w:ind w:left="-105" w:leftChars="-50" w:right="-105" w:rightChars="-50"/>
              <w:rPr>
                <w:rFonts w:asciiTheme="minorEastAsia" w:hAnsiTheme="minorEastAsia" w:eastAsiaTheme="minorEastAsia"/>
                <w:sz w:val="24"/>
                <w:szCs w:val="24"/>
                <w:highlight w:val="none"/>
              </w:rPr>
            </w:pPr>
          </w:p>
        </w:tc>
        <w:tc>
          <w:tcPr>
            <w:tcW w:w="658" w:type="dxa"/>
            <w:tcBorders>
              <w:top w:val="single" w:color="auto" w:sz="4" w:space="0"/>
              <w:left w:val="single" w:color="auto" w:sz="4" w:space="0"/>
              <w:bottom w:val="single" w:color="auto" w:sz="4" w:space="0"/>
              <w:right w:val="single" w:color="auto" w:sz="4" w:space="0"/>
            </w:tcBorders>
          </w:tcPr>
          <w:p w14:paraId="532ADCE0">
            <w:pPr>
              <w:spacing w:line="360" w:lineRule="auto"/>
              <w:ind w:left="-105" w:leftChars="-50" w:right="-105" w:rightChars="-50"/>
              <w:rPr>
                <w:rFonts w:asciiTheme="minorEastAsia" w:hAnsiTheme="minorEastAsia" w:eastAsiaTheme="minorEastAsia"/>
                <w:sz w:val="24"/>
                <w:szCs w:val="24"/>
                <w:highlight w:val="none"/>
              </w:rPr>
            </w:pPr>
          </w:p>
        </w:tc>
        <w:tc>
          <w:tcPr>
            <w:tcW w:w="735" w:type="dxa"/>
            <w:tcBorders>
              <w:top w:val="single" w:color="auto" w:sz="4" w:space="0"/>
              <w:left w:val="single" w:color="auto" w:sz="4" w:space="0"/>
              <w:bottom w:val="single" w:color="auto" w:sz="4" w:space="0"/>
              <w:right w:val="single" w:color="auto" w:sz="4" w:space="0"/>
            </w:tcBorders>
          </w:tcPr>
          <w:p w14:paraId="43A98D4D">
            <w:pPr>
              <w:spacing w:line="360" w:lineRule="auto"/>
              <w:ind w:left="-105" w:leftChars="-50" w:right="-105" w:rightChars="-50"/>
              <w:rPr>
                <w:rFonts w:asciiTheme="minorEastAsia" w:hAnsiTheme="minorEastAsia" w:eastAsiaTheme="minorEastAsia"/>
                <w:sz w:val="24"/>
                <w:szCs w:val="24"/>
                <w:highlight w:val="none"/>
              </w:rPr>
            </w:pPr>
          </w:p>
        </w:tc>
        <w:tc>
          <w:tcPr>
            <w:tcW w:w="1868" w:type="dxa"/>
            <w:tcBorders>
              <w:top w:val="single" w:color="auto" w:sz="4" w:space="0"/>
              <w:left w:val="single" w:color="auto" w:sz="4" w:space="0"/>
              <w:bottom w:val="single" w:color="auto" w:sz="4" w:space="0"/>
              <w:right w:val="single" w:color="auto" w:sz="4" w:space="0"/>
            </w:tcBorders>
          </w:tcPr>
          <w:p w14:paraId="200726CA">
            <w:pPr>
              <w:spacing w:line="360" w:lineRule="auto"/>
              <w:ind w:left="-105" w:leftChars="-50" w:right="-105" w:rightChars="-50"/>
              <w:rPr>
                <w:rFonts w:asciiTheme="minorEastAsia" w:hAnsiTheme="minorEastAsia" w:eastAsiaTheme="minorEastAsia"/>
                <w:sz w:val="24"/>
                <w:szCs w:val="24"/>
                <w:highlight w:val="none"/>
              </w:rPr>
            </w:pPr>
          </w:p>
        </w:tc>
        <w:tc>
          <w:tcPr>
            <w:tcW w:w="1597" w:type="dxa"/>
            <w:tcBorders>
              <w:top w:val="single" w:color="auto" w:sz="4" w:space="0"/>
              <w:left w:val="single" w:color="auto" w:sz="4" w:space="0"/>
              <w:bottom w:val="single" w:color="auto" w:sz="4" w:space="0"/>
              <w:right w:val="single" w:color="auto" w:sz="4" w:space="0"/>
            </w:tcBorders>
          </w:tcPr>
          <w:p w14:paraId="4C2EA38D">
            <w:pPr>
              <w:spacing w:line="360" w:lineRule="auto"/>
              <w:ind w:left="-105" w:leftChars="-50" w:right="-105" w:rightChars="-50"/>
              <w:rPr>
                <w:rFonts w:asciiTheme="minorEastAsia" w:hAnsiTheme="minorEastAsia" w:eastAsiaTheme="minorEastAsia"/>
                <w:sz w:val="24"/>
                <w:szCs w:val="24"/>
                <w:highlight w:val="none"/>
              </w:rPr>
            </w:pPr>
          </w:p>
        </w:tc>
        <w:tc>
          <w:tcPr>
            <w:tcW w:w="761" w:type="dxa"/>
            <w:tcBorders>
              <w:top w:val="single" w:color="auto" w:sz="4" w:space="0"/>
              <w:left w:val="single" w:color="auto" w:sz="4" w:space="0"/>
              <w:bottom w:val="single" w:color="auto" w:sz="4" w:space="0"/>
              <w:right w:val="single" w:color="auto" w:sz="4" w:space="0"/>
            </w:tcBorders>
          </w:tcPr>
          <w:p w14:paraId="4FBE37AA">
            <w:pPr>
              <w:spacing w:line="360" w:lineRule="auto"/>
              <w:ind w:left="-105" w:leftChars="-50" w:right="-105" w:rightChars="-50"/>
              <w:rPr>
                <w:rFonts w:asciiTheme="minorEastAsia" w:hAnsiTheme="minorEastAsia" w:eastAsiaTheme="minorEastAsia"/>
                <w:sz w:val="24"/>
                <w:szCs w:val="24"/>
                <w:highlight w:val="none"/>
              </w:rPr>
            </w:pPr>
          </w:p>
        </w:tc>
        <w:tc>
          <w:tcPr>
            <w:tcW w:w="1181" w:type="dxa"/>
            <w:tcBorders>
              <w:top w:val="single" w:color="auto" w:sz="4" w:space="0"/>
              <w:left w:val="single" w:color="auto" w:sz="4" w:space="0"/>
              <w:bottom w:val="single" w:color="auto" w:sz="4" w:space="0"/>
              <w:right w:val="single" w:color="auto" w:sz="4" w:space="0"/>
            </w:tcBorders>
          </w:tcPr>
          <w:p w14:paraId="0135DD66">
            <w:pPr>
              <w:spacing w:line="360" w:lineRule="auto"/>
              <w:ind w:left="-105" w:leftChars="-50" w:right="-105" w:rightChars="-50"/>
              <w:rPr>
                <w:rFonts w:asciiTheme="minorEastAsia" w:hAnsiTheme="minorEastAsia" w:eastAsiaTheme="minorEastAsia"/>
                <w:sz w:val="24"/>
                <w:szCs w:val="24"/>
                <w:highlight w:val="none"/>
              </w:rPr>
            </w:pPr>
          </w:p>
        </w:tc>
        <w:tc>
          <w:tcPr>
            <w:tcW w:w="788" w:type="dxa"/>
            <w:tcBorders>
              <w:top w:val="single" w:color="auto" w:sz="4" w:space="0"/>
              <w:left w:val="single" w:color="auto" w:sz="4" w:space="0"/>
              <w:bottom w:val="single" w:color="auto" w:sz="4" w:space="0"/>
              <w:right w:val="single" w:color="auto" w:sz="4" w:space="0"/>
            </w:tcBorders>
          </w:tcPr>
          <w:p w14:paraId="48D8019E">
            <w:pPr>
              <w:spacing w:line="360" w:lineRule="auto"/>
              <w:ind w:left="-105" w:leftChars="-50" w:right="-105" w:rightChars="-50"/>
              <w:rPr>
                <w:rFonts w:asciiTheme="minorEastAsia" w:hAnsiTheme="minorEastAsia" w:eastAsiaTheme="minorEastAsia"/>
                <w:sz w:val="24"/>
                <w:szCs w:val="24"/>
                <w:highlight w:val="none"/>
              </w:rPr>
            </w:pPr>
          </w:p>
        </w:tc>
      </w:tr>
      <w:tr w14:paraId="53CB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Pr>
          <w:p w14:paraId="4E82158D">
            <w:pPr>
              <w:spacing w:line="360" w:lineRule="auto"/>
              <w:ind w:left="-105" w:leftChars="-50" w:right="-105" w:rightChars="-50"/>
              <w:rPr>
                <w:rFonts w:asciiTheme="minorEastAsia" w:hAnsiTheme="minorEastAsia" w:eastAsiaTheme="minorEastAsia"/>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tcPr>
          <w:p w14:paraId="222BED7D">
            <w:pPr>
              <w:spacing w:line="360" w:lineRule="auto"/>
              <w:ind w:left="-105" w:leftChars="-50" w:right="-105" w:rightChars="-50"/>
              <w:rPr>
                <w:rFonts w:asciiTheme="minorEastAsia" w:hAnsiTheme="minorEastAsia" w:eastAsiaTheme="minorEastAsia"/>
                <w:sz w:val="24"/>
                <w:szCs w:val="24"/>
                <w:highlight w:val="none"/>
              </w:rPr>
            </w:pPr>
          </w:p>
        </w:tc>
        <w:tc>
          <w:tcPr>
            <w:tcW w:w="658" w:type="dxa"/>
            <w:tcBorders>
              <w:top w:val="single" w:color="auto" w:sz="4" w:space="0"/>
              <w:left w:val="single" w:color="auto" w:sz="4" w:space="0"/>
              <w:bottom w:val="single" w:color="auto" w:sz="4" w:space="0"/>
              <w:right w:val="single" w:color="auto" w:sz="4" w:space="0"/>
            </w:tcBorders>
          </w:tcPr>
          <w:p w14:paraId="255C59F7">
            <w:pPr>
              <w:spacing w:line="360" w:lineRule="auto"/>
              <w:ind w:left="-105" w:leftChars="-50" w:right="-105" w:rightChars="-50"/>
              <w:rPr>
                <w:rFonts w:asciiTheme="minorEastAsia" w:hAnsiTheme="minorEastAsia" w:eastAsiaTheme="minorEastAsia"/>
                <w:sz w:val="24"/>
                <w:szCs w:val="24"/>
                <w:highlight w:val="none"/>
              </w:rPr>
            </w:pPr>
          </w:p>
        </w:tc>
        <w:tc>
          <w:tcPr>
            <w:tcW w:w="735" w:type="dxa"/>
            <w:tcBorders>
              <w:top w:val="single" w:color="auto" w:sz="4" w:space="0"/>
              <w:left w:val="single" w:color="auto" w:sz="4" w:space="0"/>
              <w:bottom w:val="single" w:color="auto" w:sz="4" w:space="0"/>
              <w:right w:val="single" w:color="auto" w:sz="4" w:space="0"/>
            </w:tcBorders>
          </w:tcPr>
          <w:p w14:paraId="3C35FD49">
            <w:pPr>
              <w:spacing w:line="360" w:lineRule="auto"/>
              <w:ind w:left="-105" w:leftChars="-50" w:right="-105" w:rightChars="-50"/>
              <w:rPr>
                <w:rFonts w:asciiTheme="minorEastAsia" w:hAnsiTheme="minorEastAsia" w:eastAsiaTheme="minorEastAsia"/>
                <w:sz w:val="24"/>
                <w:szCs w:val="24"/>
                <w:highlight w:val="none"/>
              </w:rPr>
            </w:pPr>
          </w:p>
        </w:tc>
        <w:tc>
          <w:tcPr>
            <w:tcW w:w="1868" w:type="dxa"/>
            <w:tcBorders>
              <w:top w:val="single" w:color="auto" w:sz="4" w:space="0"/>
              <w:left w:val="single" w:color="auto" w:sz="4" w:space="0"/>
              <w:bottom w:val="single" w:color="auto" w:sz="4" w:space="0"/>
              <w:right w:val="single" w:color="auto" w:sz="4" w:space="0"/>
            </w:tcBorders>
          </w:tcPr>
          <w:p w14:paraId="3D72AA92">
            <w:pPr>
              <w:spacing w:line="360" w:lineRule="auto"/>
              <w:ind w:left="-105" w:leftChars="-50" w:right="-105" w:rightChars="-50"/>
              <w:rPr>
                <w:rFonts w:asciiTheme="minorEastAsia" w:hAnsiTheme="minorEastAsia" w:eastAsiaTheme="minorEastAsia"/>
                <w:sz w:val="24"/>
                <w:szCs w:val="24"/>
                <w:highlight w:val="none"/>
              </w:rPr>
            </w:pPr>
          </w:p>
        </w:tc>
        <w:tc>
          <w:tcPr>
            <w:tcW w:w="1597" w:type="dxa"/>
            <w:tcBorders>
              <w:top w:val="single" w:color="auto" w:sz="4" w:space="0"/>
              <w:left w:val="single" w:color="auto" w:sz="4" w:space="0"/>
              <w:bottom w:val="single" w:color="auto" w:sz="4" w:space="0"/>
              <w:right w:val="single" w:color="auto" w:sz="4" w:space="0"/>
            </w:tcBorders>
          </w:tcPr>
          <w:p w14:paraId="198D9A2D">
            <w:pPr>
              <w:spacing w:line="360" w:lineRule="auto"/>
              <w:ind w:left="-105" w:leftChars="-50" w:right="-105" w:rightChars="-50"/>
              <w:rPr>
                <w:rFonts w:asciiTheme="minorEastAsia" w:hAnsiTheme="minorEastAsia" w:eastAsiaTheme="minorEastAsia"/>
                <w:sz w:val="24"/>
                <w:szCs w:val="24"/>
                <w:highlight w:val="none"/>
              </w:rPr>
            </w:pPr>
          </w:p>
        </w:tc>
        <w:tc>
          <w:tcPr>
            <w:tcW w:w="761" w:type="dxa"/>
            <w:tcBorders>
              <w:top w:val="single" w:color="auto" w:sz="4" w:space="0"/>
              <w:left w:val="single" w:color="auto" w:sz="4" w:space="0"/>
              <w:bottom w:val="single" w:color="auto" w:sz="4" w:space="0"/>
              <w:right w:val="single" w:color="auto" w:sz="4" w:space="0"/>
            </w:tcBorders>
          </w:tcPr>
          <w:p w14:paraId="66A42006">
            <w:pPr>
              <w:spacing w:line="360" w:lineRule="auto"/>
              <w:ind w:left="-105" w:leftChars="-50" w:right="-105" w:rightChars="-50"/>
              <w:rPr>
                <w:rFonts w:asciiTheme="minorEastAsia" w:hAnsiTheme="minorEastAsia" w:eastAsiaTheme="minorEastAsia"/>
                <w:sz w:val="24"/>
                <w:szCs w:val="24"/>
                <w:highlight w:val="none"/>
              </w:rPr>
            </w:pPr>
          </w:p>
        </w:tc>
        <w:tc>
          <w:tcPr>
            <w:tcW w:w="1181" w:type="dxa"/>
            <w:tcBorders>
              <w:top w:val="single" w:color="auto" w:sz="4" w:space="0"/>
              <w:left w:val="single" w:color="auto" w:sz="4" w:space="0"/>
              <w:bottom w:val="single" w:color="auto" w:sz="4" w:space="0"/>
              <w:right w:val="single" w:color="auto" w:sz="4" w:space="0"/>
            </w:tcBorders>
          </w:tcPr>
          <w:p w14:paraId="6E1BE82C">
            <w:pPr>
              <w:spacing w:line="360" w:lineRule="auto"/>
              <w:ind w:left="-105" w:leftChars="-50" w:right="-105" w:rightChars="-50"/>
              <w:rPr>
                <w:rFonts w:asciiTheme="minorEastAsia" w:hAnsiTheme="minorEastAsia" w:eastAsiaTheme="minorEastAsia"/>
                <w:sz w:val="24"/>
                <w:szCs w:val="24"/>
                <w:highlight w:val="none"/>
              </w:rPr>
            </w:pPr>
          </w:p>
        </w:tc>
        <w:tc>
          <w:tcPr>
            <w:tcW w:w="788" w:type="dxa"/>
            <w:tcBorders>
              <w:top w:val="single" w:color="auto" w:sz="4" w:space="0"/>
              <w:left w:val="single" w:color="auto" w:sz="4" w:space="0"/>
              <w:bottom w:val="single" w:color="auto" w:sz="4" w:space="0"/>
              <w:right w:val="single" w:color="auto" w:sz="4" w:space="0"/>
            </w:tcBorders>
          </w:tcPr>
          <w:p w14:paraId="3A3114C4">
            <w:pPr>
              <w:spacing w:line="360" w:lineRule="auto"/>
              <w:ind w:left="-105" w:leftChars="-50" w:right="-105" w:rightChars="-50"/>
              <w:rPr>
                <w:rFonts w:asciiTheme="minorEastAsia" w:hAnsiTheme="minorEastAsia" w:eastAsiaTheme="minorEastAsia"/>
                <w:sz w:val="24"/>
                <w:szCs w:val="24"/>
                <w:highlight w:val="none"/>
              </w:rPr>
            </w:pPr>
          </w:p>
        </w:tc>
      </w:tr>
    </w:tbl>
    <w:p w14:paraId="300C7DC2">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各阶段拟委派本项目的主要技术人员及个人业绩、资历情况，按下列格式提供作为合同的附件二：拟委派本项目主要技术人员一览表</w:t>
      </w:r>
    </w:p>
    <w:tbl>
      <w:tblPr>
        <w:tblStyle w:val="54"/>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2619"/>
        <w:gridCol w:w="5435"/>
      </w:tblGrid>
      <w:tr w14:paraId="0CF5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084" w:type="dxa"/>
            <w:vAlign w:val="center"/>
          </w:tcPr>
          <w:p w14:paraId="38A2A846">
            <w:pPr>
              <w:spacing w:line="360" w:lineRule="auto"/>
              <w:ind w:left="-105" w:leftChars="-50" w:right="-105" w:rightChars="-50"/>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姓名</w:t>
            </w:r>
          </w:p>
        </w:tc>
        <w:tc>
          <w:tcPr>
            <w:tcW w:w="2619" w:type="dxa"/>
            <w:vAlign w:val="center"/>
          </w:tcPr>
          <w:p w14:paraId="254206CD">
            <w:pPr>
              <w:pStyle w:val="32"/>
              <w:spacing w:line="360" w:lineRule="auto"/>
              <w:ind w:left="-105" w:leftChars="-50" w:right="-105" w:rightChars="-50"/>
              <w:jc w:val="center"/>
              <w:rPr>
                <w:rFonts w:asciiTheme="minorEastAsia" w:hAnsiTheme="minorEastAsia" w:eastAsiaTheme="minorEastAsia"/>
                <w:b/>
                <w:szCs w:val="24"/>
                <w:highlight w:val="none"/>
              </w:rPr>
            </w:pPr>
            <w:r>
              <w:rPr>
                <w:rFonts w:hint="eastAsia" w:asciiTheme="minorEastAsia" w:hAnsiTheme="minorEastAsia" w:eastAsiaTheme="minorEastAsia"/>
                <w:b/>
                <w:szCs w:val="24"/>
                <w:highlight w:val="none"/>
              </w:rPr>
              <w:t>专业</w:t>
            </w:r>
          </w:p>
        </w:tc>
        <w:tc>
          <w:tcPr>
            <w:tcW w:w="5435" w:type="dxa"/>
            <w:vAlign w:val="center"/>
          </w:tcPr>
          <w:p w14:paraId="172E9149">
            <w:pPr>
              <w:spacing w:line="360" w:lineRule="auto"/>
              <w:ind w:left="11" w:leftChars="-50" w:right="-105" w:rightChars="-50" w:hanging="116" w:hangingChars="48"/>
              <w:jc w:val="center"/>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资格</w:t>
            </w:r>
          </w:p>
        </w:tc>
      </w:tr>
      <w:tr w14:paraId="133C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84" w:type="dxa"/>
            <w:vAlign w:val="center"/>
          </w:tcPr>
          <w:p w14:paraId="5D381F63">
            <w:pPr>
              <w:spacing w:line="360" w:lineRule="auto"/>
              <w:ind w:left="-105" w:leftChars="-50" w:right="-105" w:rightChars="-50"/>
              <w:rPr>
                <w:rFonts w:asciiTheme="minorEastAsia" w:hAnsiTheme="minorEastAsia" w:eastAsiaTheme="minorEastAsia"/>
                <w:sz w:val="24"/>
                <w:szCs w:val="24"/>
                <w:highlight w:val="none"/>
              </w:rPr>
            </w:pPr>
          </w:p>
        </w:tc>
        <w:tc>
          <w:tcPr>
            <w:tcW w:w="2619" w:type="dxa"/>
            <w:vAlign w:val="center"/>
          </w:tcPr>
          <w:p w14:paraId="780E1380">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项目负责人</w:t>
            </w:r>
          </w:p>
        </w:tc>
        <w:tc>
          <w:tcPr>
            <w:tcW w:w="5435" w:type="dxa"/>
            <w:vAlign w:val="center"/>
          </w:tcPr>
          <w:p w14:paraId="4FE69872">
            <w:pPr>
              <w:spacing w:line="360" w:lineRule="auto"/>
              <w:ind w:left="-105" w:leftChars="-50" w:right="-105" w:rightChars="-50"/>
              <w:rPr>
                <w:rFonts w:asciiTheme="minorEastAsia" w:hAnsiTheme="minorEastAsia" w:eastAsiaTheme="minorEastAsia"/>
                <w:sz w:val="24"/>
                <w:szCs w:val="24"/>
                <w:highlight w:val="none"/>
              </w:rPr>
            </w:pPr>
          </w:p>
        </w:tc>
      </w:tr>
      <w:tr w14:paraId="743A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84" w:type="dxa"/>
            <w:vAlign w:val="center"/>
          </w:tcPr>
          <w:p w14:paraId="66659616">
            <w:pPr>
              <w:spacing w:line="360" w:lineRule="auto"/>
              <w:ind w:left="-105" w:leftChars="-50" w:right="-105" w:rightChars="-50"/>
              <w:rPr>
                <w:rFonts w:asciiTheme="minorEastAsia" w:hAnsiTheme="minorEastAsia" w:eastAsiaTheme="minorEastAsia"/>
                <w:sz w:val="24"/>
                <w:szCs w:val="24"/>
                <w:highlight w:val="none"/>
              </w:rPr>
            </w:pPr>
          </w:p>
        </w:tc>
        <w:tc>
          <w:tcPr>
            <w:tcW w:w="2619" w:type="dxa"/>
            <w:vAlign w:val="center"/>
          </w:tcPr>
          <w:p w14:paraId="0D6CAD70">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建筑专业负责人（可由项目负责人兼任）</w:t>
            </w:r>
          </w:p>
        </w:tc>
        <w:tc>
          <w:tcPr>
            <w:tcW w:w="5435" w:type="dxa"/>
            <w:vAlign w:val="center"/>
          </w:tcPr>
          <w:p w14:paraId="06372F2A">
            <w:pPr>
              <w:spacing w:line="360" w:lineRule="auto"/>
              <w:ind w:left="-105" w:leftChars="-50" w:right="-105" w:rightChars="-50"/>
              <w:rPr>
                <w:rFonts w:asciiTheme="minorEastAsia" w:hAnsiTheme="minorEastAsia" w:eastAsiaTheme="minorEastAsia"/>
                <w:sz w:val="24"/>
                <w:szCs w:val="24"/>
                <w:highlight w:val="none"/>
              </w:rPr>
            </w:pPr>
          </w:p>
        </w:tc>
      </w:tr>
      <w:tr w14:paraId="3BB5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14:paraId="152B4514">
            <w:pPr>
              <w:spacing w:line="360" w:lineRule="auto"/>
              <w:ind w:left="-105" w:leftChars="-50" w:right="-105" w:rightChars="-50"/>
              <w:rPr>
                <w:rFonts w:asciiTheme="minorEastAsia" w:hAnsiTheme="minorEastAsia" w:eastAsiaTheme="minorEastAsia"/>
                <w:sz w:val="24"/>
                <w:szCs w:val="24"/>
                <w:highlight w:val="none"/>
              </w:rPr>
            </w:pPr>
          </w:p>
        </w:tc>
        <w:tc>
          <w:tcPr>
            <w:tcW w:w="2619" w:type="dxa"/>
            <w:vAlign w:val="center"/>
          </w:tcPr>
          <w:p w14:paraId="24257402">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结构专业负责人</w:t>
            </w:r>
          </w:p>
        </w:tc>
        <w:tc>
          <w:tcPr>
            <w:tcW w:w="5435" w:type="dxa"/>
            <w:vAlign w:val="center"/>
          </w:tcPr>
          <w:p w14:paraId="1258712F">
            <w:pPr>
              <w:spacing w:line="360" w:lineRule="auto"/>
              <w:ind w:left="-105" w:leftChars="-50" w:right="-105" w:rightChars="-50"/>
              <w:rPr>
                <w:rFonts w:asciiTheme="minorEastAsia" w:hAnsiTheme="minorEastAsia" w:eastAsiaTheme="minorEastAsia"/>
                <w:sz w:val="24"/>
                <w:szCs w:val="24"/>
                <w:highlight w:val="none"/>
              </w:rPr>
            </w:pPr>
          </w:p>
        </w:tc>
      </w:tr>
      <w:tr w14:paraId="3BF8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14:paraId="579444EC">
            <w:pPr>
              <w:spacing w:line="360" w:lineRule="auto"/>
              <w:ind w:left="-105" w:leftChars="-50" w:right="-105" w:rightChars="-50"/>
              <w:rPr>
                <w:rFonts w:asciiTheme="minorEastAsia" w:hAnsiTheme="minorEastAsia" w:eastAsiaTheme="minorEastAsia"/>
                <w:sz w:val="24"/>
                <w:szCs w:val="24"/>
                <w:highlight w:val="none"/>
              </w:rPr>
            </w:pPr>
          </w:p>
        </w:tc>
        <w:tc>
          <w:tcPr>
            <w:tcW w:w="2619" w:type="dxa"/>
            <w:vAlign w:val="center"/>
          </w:tcPr>
          <w:p w14:paraId="03C5C210">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基坑支护技术负责人</w:t>
            </w:r>
          </w:p>
        </w:tc>
        <w:tc>
          <w:tcPr>
            <w:tcW w:w="5435" w:type="dxa"/>
            <w:vAlign w:val="center"/>
          </w:tcPr>
          <w:p w14:paraId="056965F7">
            <w:pPr>
              <w:spacing w:line="360" w:lineRule="auto"/>
              <w:ind w:left="-105" w:leftChars="-50" w:right="-105" w:rightChars="-50"/>
              <w:rPr>
                <w:rFonts w:asciiTheme="minorEastAsia" w:hAnsiTheme="minorEastAsia" w:eastAsiaTheme="minorEastAsia"/>
                <w:sz w:val="24"/>
                <w:szCs w:val="24"/>
                <w:highlight w:val="none"/>
              </w:rPr>
            </w:pPr>
          </w:p>
        </w:tc>
      </w:tr>
      <w:tr w14:paraId="236E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084" w:type="dxa"/>
            <w:vAlign w:val="center"/>
          </w:tcPr>
          <w:p w14:paraId="4B1734B0">
            <w:pPr>
              <w:spacing w:line="360" w:lineRule="auto"/>
              <w:ind w:left="-105" w:leftChars="-50" w:right="-105" w:rightChars="-50"/>
              <w:rPr>
                <w:rFonts w:asciiTheme="minorEastAsia" w:hAnsiTheme="minorEastAsia" w:eastAsiaTheme="minorEastAsia"/>
                <w:sz w:val="24"/>
                <w:szCs w:val="24"/>
                <w:highlight w:val="none"/>
              </w:rPr>
            </w:pPr>
          </w:p>
        </w:tc>
        <w:tc>
          <w:tcPr>
            <w:tcW w:w="2619" w:type="dxa"/>
            <w:vAlign w:val="center"/>
          </w:tcPr>
          <w:p w14:paraId="6C295A76">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给排水专业负责人</w:t>
            </w:r>
          </w:p>
        </w:tc>
        <w:tc>
          <w:tcPr>
            <w:tcW w:w="5435" w:type="dxa"/>
            <w:vAlign w:val="center"/>
          </w:tcPr>
          <w:p w14:paraId="36BEED82">
            <w:pPr>
              <w:spacing w:line="360" w:lineRule="auto"/>
              <w:ind w:left="-105" w:leftChars="-50" w:right="-105" w:rightChars="-50"/>
              <w:rPr>
                <w:rFonts w:asciiTheme="minorEastAsia" w:hAnsiTheme="minorEastAsia" w:eastAsiaTheme="minorEastAsia"/>
                <w:sz w:val="24"/>
                <w:szCs w:val="24"/>
                <w:highlight w:val="none"/>
              </w:rPr>
            </w:pPr>
          </w:p>
        </w:tc>
      </w:tr>
      <w:tr w14:paraId="1E51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14:paraId="53CF6533">
            <w:pPr>
              <w:spacing w:line="360" w:lineRule="auto"/>
              <w:ind w:left="-105" w:leftChars="-50" w:right="-105" w:rightChars="-50"/>
              <w:rPr>
                <w:rFonts w:asciiTheme="minorEastAsia" w:hAnsiTheme="minorEastAsia" w:eastAsiaTheme="minorEastAsia"/>
                <w:sz w:val="24"/>
                <w:szCs w:val="24"/>
                <w:highlight w:val="none"/>
              </w:rPr>
            </w:pPr>
          </w:p>
        </w:tc>
        <w:tc>
          <w:tcPr>
            <w:tcW w:w="2619" w:type="dxa"/>
            <w:vAlign w:val="center"/>
          </w:tcPr>
          <w:p w14:paraId="54DF73F3">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电气专业负责人</w:t>
            </w:r>
          </w:p>
        </w:tc>
        <w:tc>
          <w:tcPr>
            <w:tcW w:w="5435" w:type="dxa"/>
            <w:vAlign w:val="center"/>
          </w:tcPr>
          <w:p w14:paraId="6D09E544">
            <w:pPr>
              <w:spacing w:line="360" w:lineRule="auto"/>
              <w:ind w:left="-105" w:leftChars="-50" w:right="-105" w:rightChars="-50"/>
              <w:rPr>
                <w:rFonts w:asciiTheme="minorEastAsia" w:hAnsiTheme="minorEastAsia" w:eastAsiaTheme="minorEastAsia"/>
                <w:sz w:val="24"/>
                <w:szCs w:val="24"/>
                <w:highlight w:val="none"/>
              </w:rPr>
            </w:pPr>
          </w:p>
        </w:tc>
      </w:tr>
      <w:tr w14:paraId="6909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14:paraId="767694E8">
            <w:pPr>
              <w:spacing w:line="360" w:lineRule="auto"/>
              <w:ind w:left="-105" w:leftChars="-50" w:right="-105" w:rightChars="-50"/>
              <w:rPr>
                <w:rFonts w:asciiTheme="minorEastAsia" w:hAnsiTheme="minorEastAsia" w:eastAsiaTheme="minorEastAsia"/>
                <w:sz w:val="24"/>
                <w:szCs w:val="24"/>
                <w:highlight w:val="none"/>
              </w:rPr>
            </w:pPr>
          </w:p>
        </w:tc>
        <w:tc>
          <w:tcPr>
            <w:tcW w:w="2619" w:type="dxa"/>
            <w:vAlign w:val="center"/>
          </w:tcPr>
          <w:p w14:paraId="4622BB93">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暖通空调专业负责人</w:t>
            </w:r>
          </w:p>
        </w:tc>
        <w:tc>
          <w:tcPr>
            <w:tcW w:w="5435" w:type="dxa"/>
            <w:vAlign w:val="center"/>
          </w:tcPr>
          <w:p w14:paraId="35E250E0">
            <w:pPr>
              <w:spacing w:line="360" w:lineRule="auto"/>
              <w:ind w:left="-105" w:leftChars="-50" w:right="-105" w:rightChars="-50"/>
              <w:rPr>
                <w:rFonts w:asciiTheme="minorEastAsia" w:hAnsiTheme="minorEastAsia" w:eastAsiaTheme="minorEastAsia"/>
                <w:sz w:val="24"/>
                <w:szCs w:val="24"/>
                <w:highlight w:val="none"/>
              </w:rPr>
            </w:pPr>
          </w:p>
        </w:tc>
      </w:tr>
      <w:tr w14:paraId="1455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14:paraId="50B4FACD">
            <w:pPr>
              <w:spacing w:line="360" w:lineRule="auto"/>
              <w:ind w:left="-105" w:leftChars="-50" w:right="-105" w:rightChars="-50"/>
              <w:rPr>
                <w:rFonts w:asciiTheme="minorEastAsia" w:hAnsiTheme="minorEastAsia" w:eastAsiaTheme="minorEastAsia"/>
                <w:sz w:val="24"/>
                <w:szCs w:val="24"/>
                <w:highlight w:val="none"/>
              </w:rPr>
            </w:pPr>
          </w:p>
        </w:tc>
        <w:tc>
          <w:tcPr>
            <w:tcW w:w="2619" w:type="dxa"/>
            <w:vAlign w:val="center"/>
          </w:tcPr>
          <w:p w14:paraId="03D923A6">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概预算专业负责人</w:t>
            </w:r>
          </w:p>
        </w:tc>
        <w:tc>
          <w:tcPr>
            <w:tcW w:w="5435" w:type="dxa"/>
            <w:vAlign w:val="center"/>
          </w:tcPr>
          <w:p w14:paraId="2E54E4A1">
            <w:pPr>
              <w:spacing w:line="360" w:lineRule="auto"/>
              <w:ind w:left="-105" w:leftChars="-50" w:right="-105" w:rightChars="-50"/>
              <w:rPr>
                <w:rFonts w:asciiTheme="minorEastAsia" w:hAnsiTheme="minorEastAsia" w:eastAsiaTheme="minorEastAsia"/>
                <w:sz w:val="24"/>
                <w:szCs w:val="24"/>
                <w:highlight w:val="none"/>
              </w:rPr>
            </w:pPr>
          </w:p>
        </w:tc>
      </w:tr>
      <w:tr w14:paraId="6B9E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14:paraId="5CCA1100">
            <w:pPr>
              <w:spacing w:line="360" w:lineRule="auto"/>
              <w:ind w:left="-105" w:leftChars="-50" w:right="-105" w:rightChars="-50"/>
              <w:rPr>
                <w:rFonts w:asciiTheme="minorEastAsia" w:hAnsiTheme="minorEastAsia" w:eastAsiaTheme="minorEastAsia"/>
                <w:sz w:val="24"/>
                <w:szCs w:val="24"/>
                <w:highlight w:val="none"/>
              </w:rPr>
            </w:pPr>
          </w:p>
        </w:tc>
        <w:tc>
          <w:tcPr>
            <w:tcW w:w="2619" w:type="dxa"/>
            <w:vAlign w:val="center"/>
          </w:tcPr>
          <w:p w14:paraId="4484C0F5">
            <w:pPr>
              <w:spacing w:line="360" w:lineRule="auto"/>
              <w:ind w:left="-105" w:leftChars="-50" w:right="-105" w:rightChars="-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勘察负责人</w:t>
            </w:r>
          </w:p>
        </w:tc>
        <w:tc>
          <w:tcPr>
            <w:tcW w:w="5435" w:type="dxa"/>
            <w:vAlign w:val="center"/>
          </w:tcPr>
          <w:p w14:paraId="1825C1FE">
            <w:pPr>
              <w:spacing w:line="360" w:lineRule="auto"/>
              <w:ind w:left="-105" w:leftChars="-50" w:right="-105" w:rightChars="-50"/>
              <w:rPr>
                <w:rFonts w:asciiTheme="minorEastAsia" w:hAnsiTheme="minorEastAsia" w:eastAsiaTheme="minorEastAsia"/>
                <w:sz w:val="24"/>
                <w:szCs w:val="24"/>
                <w:highlight w:val="none"/>
              </w:rPr>
            </w:pPr>
          </w:p>
        </w:tc>
      </w:tr>
    </w:tbl>
    <w:p w14:paraId="752A22E8">
      <w:pPr>
        <w:spacing w:line="360" w:lineRule="auto"/>
        <w:rPr>
          <w:rFonts w:asciiTheme="minorEastAsia" w:hAnsiTheme="minorEastAsia" w:eastAsiaTheme="minorEastAsia"/>
          <w:sz w:val="24"/>
          <w:szCs w:val="24"/>
          <w:highlight w:val="none"/>
        </w:rPr>
      </w:pPr>
    </w:p>
    <w:p w14:paraId="270566C1">
      <w:pPr>
        <w:spacing w:line="360" w:lineRule="auto"/>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br w:type="page"/>
      </w:r>
      <w:r>
        <w:rPr>
          <w:rFonts w:hint="eastAsia" w:asciiTheme="minorEastAsia" w:hAnsiTheme="minorEastAsia" w:eastAsiaTheme="minorEastAsia"/>
          <w:b/>
          <w:sz w:val="24"/>
          <w:szCs w:val="24"/>
          <w:highlight w:val="none"/>
        </w:rPr>
        <w:t xml:space="preserve"> 附件5：设计错误分类</w:t>
      </w:r>
    </w:p>
    <w:p w14:paraId="48FD8AB4">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设计错误分类</w:t>
      </w:r>
    </w:p>
    <w:p w14:paraId="2333C288">
      <w:pPr>
        <w:spacing w:line="360" w:lineRule="auto"/>
        <w:jc w:val="center"/>
        <w:rPr>
          <w:rFonts w:asciiTheme="minorEastAsia" w:hAnsiTheme="minorEastAsia" w:eastAsiaTheme="minorEastAsia"/>
          <w:sz w:val="24"/>
          <w:szCs w:val="24"/>
          <w:highlight w:val="none"/>
        </w:rPr>
      </w:pPr>
    </w:p>
    <w:p w14:paraId="11360104">
      <w:pPr>
        <w:spacing w:line="360" w:lineRule="auto"/>
        <w:ind w:firstLine="488" w:firstLineChars="201"/>
        <w:rPr>
          <w:rFonts w:cs="宋体" w:asciiTheme="minorEastAsia" w:hAnsiTheme="minorEastAsia" w:eastAsiaTheme="minorEastAsia"/>
          <w:b/>
          <w:sz w:val="24"/>
          <w:szCs w:val="24"/>
          <w:highlight w:val="none"/>
        </w:rPr>
      </w:pPr>
      <w:r>
        <w:rPr>
          <w:rFonts w:hint="eastAsia" w:cs="宋体" w:asciiTheme="minorEastAsia" w:hAnsiTheme="minorEastAsia" w:eastAsiaTheme="minorEastAsia"/>
          <w:b/>
          <w:spacing w:val="1"/>
          <w:sz w:val="24"/>
          <w:szCs w:val="24"/>
          <w:highlight w:val="none"/>
        </w:rPr>
        <w:t>Ⅰ类</w:t>
      </w:r>
      <w:r>
        <w:rPr>
          <w:rFonts w:hint="eastAsia" w:cs="宋体" w:asciiTheme="minorEastAsia" w:hAnsiTheme="minorEastAsia" w:eastAsiaTheme="minorEastAsia"/>
          <w:b/>
          <w:sz w:val="24"/>
          <w:szCs w:val="24"/>
          <w:highlight w:val="none"/>
        </w:rPr>
        <w:t>错误</w:t>
      </w:r>
    </w:p>
    <w:p w14:paraId="243E2C87">
      <w:pPr>
        <w:spacing w:line="360" w:lineRule="auto"/>
        <w:ind w:firstLine="478" w:firstLineChars="201"/>
        <w:rPr>
          <w:rFonts w:cs="宋体" w:asciiTheme="minorEastAsia" w:hAnsiTheme="minorEastAsia" w:eastAsiaTheme="minorEastAsia"/>
          <w:sz w:val="24"/>
          <w:szCs w:val="24"/>
          <w:highlight w:val="none"/>
        </w:rPr>
      </w:pPr>
      <w:r>
        <w:rPr>
          <w:rFonts w:hint="eastAsia" w:cs="宋体" w:asciiTheme="minorEastAsia" w:hAnsiTheme="minorEastAsia" w:eastAsiaTheme="minorEastAsia"/>
          <w:spacing w:val="-1"/>
          <w:sz w:val="24"/>
          <w:szCs w:val="24"/>
          <w:highlight w:val="none"/>
        </w:rPr>
        <w:t>指设计文</w:t>
      </w:r>
      <w:r>
        <w:rPr>
          <w:rFonts w:hint="eastAsia" w:cs="宋体" w:asciiTheme="minorEastAsia" w:hAnsiTheme="minorEastAsia" w:eastAsiaTheme="minorEastAsia"/>
          <w:sz w:val="24"/>
          <w:szCs w:val="24"/>
          <w:highlight w:val="none"/>
        </w:rPr>
        <w:t>件中存在原则性或方案性的错误，并将导致工程决策错误，或造成不能正常使用、</w:t>
      </w:r>
      <w:r>
        <w:rPr>
          <w:rFonts w:hint="eastAsia" w:cs="宋体" w:asciiTheme="minorEastAsia" w:hAnsiTheme="minorEastAsia" w:eastAsiaTheme="minorEastAsia"/>
          <w:spacing w:val="-2"/>
          <w:sz w:val="24"/>
          <w:szCs w:val="24"/>
          <w:highlight w:val="none"/>
        </w:rPr>
        <w:t>返工，或造成重大经济损失，或造成安全事故，如：</w:t>
      </w:r>
      <w:r>
        <w:rPr>
          <w:rFonts w:hint="eastAsia" w:cs="宋体" w:asciiTheme="minorEastAsia" w:hAnsiTheme="minorEastAsia" w:eastAsiaTheme="minorEastAsia"/>
          <w:spacing w:val="-9"/>
          <w:sz w:val="24"/>
          <w:szCs w:val="24"/>
          <w:highlight w:val="none"/>
        </w:rPr>
        <w:t>1</w:t>
      </w:r>
      <w:r>
        <w:rPr>
          <w:rFonts w:hint="eastAsia" w:cs="宋体" w:asciiTheme="minorEastAsia" w:hAnsiTheme="minorEastAsia" w:eastAsiaTheme="minorEastAsia"/>
          <w:spacing w:val="-3"/>
          <w:sz w:val="24"/>
          <w:szCs w:val="24"/>
          <w:highlight w:val="none"/>
        </w:rPr>
        <w:t>、违反国家有关</w:t>
      </w:r>
      <w:r>
        <w:rPr>
          <w:rFonts w:hint="eastAsia" w:cs="宋体" w:asciiTheme="minorEastAsia" w:hAnsiTheme="minorEastAsia" w:eastAsiaTheme="minorEastAsia"/>
          <w:spacing w:val="-2"/>
          <w:sz w:val="24"/>
          <w:szCs w:val="24"/>
          <w:highlight w:val="none"/>
        </w:rPr>
        <w:t>法律、法规及政策，或选用</w:t>
      </w:r>
      <w:r>
        <w:rPr>
          <w:rFonts w:hint="eastAsia" w:cs="宋体" w:asciiTheme="minorEastAsia" w:hAnsiTheme="minorEastAsia" w:eastAsiaTheme="minorEastAsia"/>
          <w:sz w:val="24"/>
          <w:szCs w:val="24"/>
          <w:highlight w:val="none"/>
        </w:rPr>
        <w:t>无效的标准规范；</w:t>
      </w:r>
      <w:r>
        <w:rPr>
          <w:rFonts w:hint="eastAsia" w:cs="宋体" w:asciiTheme="minorEastAsia" w:hAnsiTheme="minorEastAsia" w:eastAsiaTheme="minorEastAsia"/>
          <w:spacing w:val="1"/>
          <w:sz w:val="24"/>
          <w:szCs w:val="24"/>
          <w:highlight w:val="none"/>
        </w:rPr>
        <w:t>2</w:t>
      </w:r>
      <w:r>
        <w:rPr>
          <w:rFonts w:hint="eastAsia" w:cs="宋体" w:asciiTheme="minorEastAsia" w:hAnsiTheme="minorEastAsia" w:eastAsiaTheme="minorEastAsia"/>
          <w:sz w:val="24"/>
          <w:szCs w:val="24"/>
          <w:highlight w:val="none"/>
        </w:rPr>
        <w:t>、不符合合同要求的用途或目的或规定的规模；</w:t>
      </w:r>
      <w:r>
        <w:rPr>
          <w:rFonts w:hint="eastAsia" w:cs="宋体" w:asciiTheme="minorEastAsia" w:hAnsiTheme="minorEastAsia" w:eastAsiaTheme="minorEastAsia"/>
          <w:spacing w:val="3"/>
          <w:sz w:val="24"/>
          <w:szCs w:val="24"/>
          <w:highlight w:val="none"/>
        </w:rPr>
        <w:t>3</w:t>
      </w:r>
      <w:r>
        <w:rPr>
          <w:rFonts w:hint="eastAsia" w:cs="宋体" w:asciiTheme="minorEastAsia" w:hAnsiTheme="minorEastAsia" w:eastAsiaTheme="minorEastAsia"/>
          <w:spacing w:val="1"/>
          <w:sz w:val="24"/>
          <w:szCs w:val="24"/>
          <w:highlight w:val="none"/>
        </w:rPr>
        <w:t>、不</w:t>
      </w:r>
      <w:r>
        <w:rPr>
          <w:rFonts w:hint="eastAsia" w:cs="宋体" w:asciiTheme="minorEastAsia" w:hAnsiTheme="minorEastAsia" w:eastAsiaTheme="minorEastAsia"/>
          <w:sz w:val="24"/>
          <w:szCs w:val="24"/>
          <w:highlight w:val="none"/>
        </w:rPr>
        <w:t>满足城市规划对项目控制性指标的规定和要求；</w:t>
      </w:r>
      <w:r>
        <w:rPr>
          <w:rFonts w:hint="eastAsia" w:cs="宋体" w:asciiTheme="minorEastAsia" w:hAnsiTheme="minorEastAsia" w:eastAsiaTheme="minorEastAsia"/>
          <w:spacing w:val="2"/>
          <w:sz w:val="24"/>
          <w:szCs w:val="24"/>
          <w:highlight w:val="none"/>
        </w:rPr>
        <w:t>4</w:t>
      </w:r>
      <w:r>
        <w:rPr>
          <w:rFonts w:hint="eastAsia" w:cs="宋体" w:asciiTheme="minorEastAsia" w:hAnsiTheme="minorEastAsia" w:eastAsiaTheme="minorEastAsia"/>
          <w:sz w:val="24"/>
          <w:szCs w:val="24"/>
          <w:highlight w:val="none"/>
        </w:rPr>
        <w:t>、违反国家现行技术规范、规定、标准的强制性条文；</w:t>
      </w:r>
      <w:r>
        <w:rPr>
          <w:rFonts w:hint="eastAsia" w:cs="宋体" w:asciiTheme="minorEastAsia" w:hAnsiTheme="minorEastAsia" w:eastAsiaTheme="minorEastAsia"/>
          <w:spacing w:val="5"/>
          <w:sz w:val="24"/>
          <w:szCs w:val="24"/>
          <w:highlight w:val="none"/>
        </w:rPr>
        <w:t>5</w:t>
      </w:r>
      <w:r>
        <w:rPr>
          <w:rFonts w:hint="eastAsia" w:cs="宋体" w:asciiTheme="minorEastAsia" w:hAnsiTheme="minorEastAsia" w:eastAsiaTheme="minorEastAsia"/>
          <w:spacing w:val="1"/>
          <w:sz w:val="24"/>
          <w:szCs w:val="24"/>
          <w:highlight w:val="none"/>
        </w:rPr>
        <w:t>、设</w:t>
      </w:r>
      <w:r>
        <w:rPr>
          <w:rFonts w:hint="eastAsia" w:cs="宋体" w:asciiTheme="minorEastAsia" w:hAnsiTheme="minorEastAsia" w:eastAsiaTheme="minorEastAsia"/>
          <w:sz w:val="24"/>
          <w:szCs w:val="24"/>
          <w:highlight w:val="none"/>
        </w:rPr>
        <w:t>计方案不正确；6、主要部位设计错误并影响安全性能或使用功能，或结构施工图设计没有计算书；</w:t>
      </w:r>
      <w:r>
        <w:rPr>
          <w:rFonts w:hint="eastAsia" w:cs="宋体" w:asciiTheme="minorEastAsia" w:hAnsiTheme="minorEastAsia" w:eastAsiaTheme="minorEastAsia"/>
          <w:spacing w:val="7"/>
          <w:sz w:val="24"/>
          <w:szCs w:val="24"/>
          <w:highlight w:val="none"/>
        </w:rPr>
        <w:t>7</w:t>
      </w:r>
      <w:r>
        <w:rPr>
          <w:rFonts w:hint="eastAsia" w:cs="宋体" w:asciiTheme="minorEastAsia" w:hAnsiTheme="minorEastAsia" w:eastAsiaTheme="minorEastAsia"/>
          <w:sz w:val="24"/>
          <w:szCs w:val="24"/>
          <w:highlight w:val="none"/>
        </w:rPr>
        <w:t>、出现因设计责任引起的一类变更；</w:t>
      </w:r>
      <w:r>
        <w:rPr>
          <w:rFonts w:hint="eastAsia" w:cs="宋体" w:asciiTheme="minorEastAsia" w:hAnsiTheme="minorEastAsia" w:eastAsiaTheme="minorEastAsia"/>
          <w:spacing w:val="1"/>
          <w:sz w:val="24"/>
          <w:szCs w:val="24"/>
          <w:highlight w:val="none"/>
        </w:rPr>
        <w:t>8、</w:t>
      </w:r>
      <w:r>
        <w:rPr>
          <w:rFonts w:hint="eastAsia" w:cs="宋体" w:asciiTheme="minorEastAsia" w:hAnsiTheme="minorEastAsia" w:eastAsiaTheme="minorEastAsia"/>
          <w:sz w:val="24"/>
          <w:szCs w:val="24"/>
          <w:highlight w:val="none"/>
        </w:rPr>
        <w:t>造价文件严重失实。</w:t>
      </w:r>
    </w:p>
    <w:p w14:paraId="329C96A8">
      <w:pPr>
        <w:spacing w:line="360" w:lineRule="auto"/>
        <w:ind w:firstLine="486" w:firstLineChars="201"/>
        <w:rPr>
          <w:rFonts w:cs="宋体" w:asciiTheme="minorEastAsia" w:hAnsiTheme="minorEastAsia" w:eastAsiaTheme="minorEastAsia"/>
          <w:sz w:val="24"/>
          <w:szCs w:val="24"/>
          <w:highlight w:val="none"/>
        </w:rPr>
      </w:pPr>
      <w:r>
        <w:rPr>
          <w:rFonts w:hint="eastAsia" w:cs="宋体" w:asciiTheme="minorEastAsia" w:hAnsiTheme="minorEastAsia" w:eastAsiaTheme="minorEastAsia"/>
          <w:spacing w:val="1"/>
          <w:sz w:val="24"/>
          <w:szCs w:val="24"/>
          <w:highlight w:val="none"/>
        </w:rPr>
        <w:t>具体</w:t>
      </w:r>
      <w:r>
        <w:rPr>
          <w:rFonts w:hint="eastAsia" w:cs="宋体" w:asciiTheme="minorEastAsia" w:hAnsiTheme="minorEastAsia" w:eastAsiaTheme="minorEastAsia"/>
          <w:sz w:val="24"/>
          <w:szCs w:val="24"/>
          <w:highlight w:val="none"/>
        </w:rPr>
        <w:t>按照专业又可分为：</w:t>
      </w:r>
    </w:p>
    <w:p w14:paraId="7A667729">
      <w:pPr>
        <w:spacing w:line="360" w:lineRule="auto"/>
        <w:ind w:firstLine="482" w:firstLineChars="201"/>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严重违反规范</w:t>
      </w:r>
      <w:r>
        <w:rPr>
          <w:rFonts w:hint="eastAsia" w:cs="宋体" w:asciiTheme="minorEastAsia" w:hAnsiTheme="minorEastAsia" w:eastAsiaTheme="minorEastAsia"/>
          <w:spacing w:val="1"/>
          <w:sz w:val="24"/>
          <w:szCs w:val="24"/>
          <w:highlight w:val="none"/>
        </w:rPr>
        <w:t>、标准、规</w:t>
      </w:r>
      <w:r>
        <w:rPr>
          <w:rFonts w:hint="eastAsia" w:cs="宋体" w:asciiTheme="minorEastAsia" w:hAnsiTheme="minorEastAsia" w:eastAsiaTheme="minorEastAsia"/>
          <w:sz w:val="24"/>
          <w:szCs w:val="24"/>
          <w:highlight w:val="none"/>
        </w:rPr>
        <w:t>定，有可能造成严重影响安全和使用的错误，如：</w:t>
      </w:r>
    </w:p>
    <w:p w14:paraId="78E19CB9">
      <w:pPr>
        <w:autoSpaceDE w:val="0"/>
        <w:autoSpaceDN w:val="0"/>
        <w:spacing w:line="360" w:lineRule="auto"/>
        <w:ind w:firstLine="470"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3"/>
          <w:sz w:val="24"/>
          <w:szCs w:val="24"/>
          <w:highlight w:val="none"/>
        </w:rPr>
        <w:t>建筑专业：规范中消防间距不够，而又未采取措施</w:t>
      </w:r>
      <w:r>
        <w:rPr>
          <w:rFonts w:hint="eastAsia" w:cs="宋体" w:asciiTheme="minorEastAsia" w:hAnsiTheme="minorEastAsia" w:eastAsiaTheme="minorEastAsia"/>
          <w:spacing w:val="-2"/>
          <w:sz w:val="24"/>
          <w:szCs w:val="24"/>
          <w:highlight w:val="none"/>
        </w:rPr>
        <w:t>；规划中日照间距不够；防火分区面积超</w:t>
      </w:r>
      <w:r>
        <w:rPr>
          <w:rFonts w:hint="eastAsia" w:cs="宋体" w:asciiTheme="minorEastAsia" w:hAnsiTheme="minorEastAsia" w:eastAsiaTheme="minorEastAsia"/>
          <w:sz w:val="24"/>
          <w:szCs w:val="24"/>
          <w:highlight w:val="none"/>
        </w:rPr>
        <w:t>规定，电梯/</w:t>
      </w:r>
      <w:r>
        <w:rPr>
          <w:rFonts w:hint="eastAsia" w:cs="宋体" w:asciiTheme="minorEastAsia" w:hAnsiTheme="minorEastAsia" w:eastAsiaTheme="minorEastAsia"/>
          <w:spacing w:val="1"/>
          <w:sz w:val="24"/>
          <w:szCs w:val="24"/>
          <w:highlight w:val="none"/>
        </w:rPr>
        <w:t>楼</w:t>
      </w:r>
      <w:r>
        <w:rPr>
          <w:rFonts w:hint="eastAsia" w:cs="宋体" w:asciiTheme="minorEastAsia" w:hAnsiTheme="minorEastAsia" w:eastAsiaTheme="minorEastAsia"/>
          <w:sz w:val="24"/>
          <w:szCs w:val="24"/>
          <w:highlight w:val="none"/>
        </w:rPr>
        <w:t>梯厅不符合防火要求等。</w:t>
      </w:r>
    </w:p>
    <w:p w14:paraId="25664BC0">
      <w:pPr>
        <w:autoSpaceDE w:val="0"/>
        <w:autoSpaceDN w:val="0"/>
        <w:spacing w:line="360" w:lineRule="auto"/>
        <w:ind w:firstLine="470"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3"/>
          <w:sz w:val="24"/>
          <w:szCs w:val="24"/>
          <w:highlight w:val="none"/>
        </w:rPr>
        <w:t>结构专业：结构</w:t>
      </w:r>
      <w:r>
        <w:rPr>
          <w:rFonts w:hint="eastAsia" w:cs="宋体" w:asciiTheme="minorEastAsia" w:hAnsiTheme="minorEastAsia" w:eastAsiaTheme="minorEastAsia"/>
          <w:spacing w:val="2"/>
          <w:sz w:val="24"/>
          <w:szCs w:val="24"/>
          <w:highlight w:val="none"/>
        </w:rPr>
        <w:t>(</w:t>
      </w:r>
      <w:r>
        <w:rPr>
          <w:rFonts w:hint="eastAsia" w:cs="宋体" w:asciiTheme="minorEastAsia" w:hAnsiTheme="minorEastAsia" w:eastAsiaTheme="minorEastAsia"/>
          <w:spacing w:val="-3"/>
          <w:sz w:val="24"/>
          <w:szCs w:val="24"/>
          <w:highlight w:val="none"/>
        </w:rPr>
        <w:t>含基础</w:t>
      </w:r>
      <w:r>
        <w:rPr>
          <w:rFonts w:hint="eastAsia" w:cs="宋体" w:asciiTheme="minorEastAsia" w:hAnsiTheme="minorEastAsia" w:eastAsiaTheme="minorEastAsia"/>
          <w:sz w:val="24"/>
          <w:szCs w:val="24"/>
          <w:highlight w:val="none"/>
        </w:rPr>
        <w:t>)</w:t>
      </w:r>
      <w:r>
        <w:rPr>
          <w:rFonts w:hint="eastAsia" w:cs="宋体" w:asciiTheme="minorEastAsia" w:hAnsiTheme="minorEastAsia" w:eastAsiaTheme="minorEastAsia"/>
          <w:spacing w:val="-3"/>
          <w:sz w:val="24"/>
          <w:szCs w:val="24"/>
          <w:highlight w:val="none"/>
        </w:rPr>
        <w:t>选型错误；计算原则错误；未考虑抗</w:t>
      </w:r>
      <w:r>
        <w:rPr>
          <w:rFonts w:hint="eastAsia" w:cs="宋体" w:asciiTheme="minorEastAsia" w:hAnsiTheme="minorEastAsia" w:eastAsiaTheme="minorEastAsia"/>
          <w:spacing w:val="-2"/>
          <w:sz w:val="24"/>
          <w:szCs w:val="24"/>
          <w:highlight w:val="none"/>
        </w:rPr>
        <w:t>震设计；建筑物长度超过规范</w:t>
      </w:r>
      <w:r>
        <w:rPr>
          <w:rFonts w:hint="eastAsia" w:cs="宋体" w:asciiTheme="minorEastAsia" w:hAnsiTheme="minorEastAsia" w:eastAsiaTheme="minorEastAsia"/>
          <w:spacing w:val="1"/>
          <w:sz w:val="24"/>
          <w:szCs w:val="24"/>
          <w:highlight w:val="none"/>
        </w:rPr>
        <w:t>要</w:t>
      </w:r>
      <w:r>
        <w:rPr>
          <w:rFonts w:hint="eastAsia" w:cs="宋体" w:asciiTheme="minorEastAsia" w:hAnsiTheme="minorEastAsia" w:eastAsiaTheme="minorEastAsia"/>
          <w:sz w:val="24"/>
          <w:szCs w:val="24"/>
          <w:highlight w:val="none"/>
        </w:rPr>
        <w:t>求而未采取任何措施等。</w:t>
      </w:r>
    </w:p>
    <w:p w14:paraId="3929FFAA">
      <w:pPr>
        <w:autoSpaceDE w:val="0"/>
        <w:autoSpaceDN w:val="0"/>
        <w:spacing w:line="360" w:lineRule="auto"/>
        <w:ind w:firstLine="450"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8"/>
          <w:sz w:val="24"/>
          <w:szCs w:val="24"/>
          <w:highlight w:val="none"/>
        </w:rPr>
        <w:t>给排水专业：</w:t>
      </w:r>
      <w:r>
        <w:rPr>
          <w:rFonts w:hint="eastAsia" w:cs="宋体" w:asciiTheme="minorEastAsia" w:hAnsiTheme="minorEastAsia" w:eastAsiaTheme="minorEastAsia"/>
          <w:spacing w:val="-7"/>
          <w:sz w:val="24"/>
          <w:szCs w:val="24"/>
          <w:highlight w:val="none"/>
        </w:rPr>
        <w:t>规范要求的消防设施未设计；</w:t>
      </w:r>
      <w:r>
        <w:rPr>
          <w:rFonts w:hint="eastAsia" w:cs="宋体" w:asciiTheme="minorEastAsia" w:hAnsiTheme="minorEastAsia" w:eastAsiaTheme="minorEastAsia"/>
          <w:spacing w:val="-9"/>
          <w:sz w:val="24"/>
          <w:szCs w:val="24"/>
          <w:highlight w:val="none"/>
        </w:rPr>
        <w:t>消防水量、</w:t>
      </w:r>
      <w:r>
        <w:rPr>
          <w:rFonts w:hint="eastAsia" w:cs="宋体" w:asciiTheme="minorEastAsia" w:hAnsiTheme="minorEastAsia" w:eastAsiaTheme="minorEastAsia"/>
          <w:spacing w:val="-7"/>
          <w:sz w:val="24"/>
          <w:szCs w:val="24"/>
          <w:highlight w:val="none"/>
        </w:rPr>
        <w:t>水压达不到规范要求；</w:t>
      </w:r>
      <w:r>
        <w:rPr>
          <w:rFonts w:hint="eastAsia" w:cs="宋体" w:asciiTheme="minorEastAsia" w:hAnsiTheme="minorEastAsia" w:eastAsiaTheme="minorEastAsia"/>
          <w:spacing w:val="-9"/>
          <w:sz w:val="24"/>
          <w:szCs w:val="24"/>
          <w:highlight w:val="none"/>
        </w:rPr>
        <w:t>生活</w:t>
      </w:r>
      <w:r>
        <w:rPr>
          <w:rFonts w:hint="eastAsia" w:cs="宋体" w:asciiTheme="minorEastAsia" w:hAnsiTheme="minorEastAsia" w:eastAsiaTheme="minorEastAsia"/>
          <w:spacing w:val="-8"/>
          <w:sz w:val="24"/>
          <w:szCs w:val="24"/>
          <w:highlight w:val="none"/>
        </w:rPr>
        <w:t>给水水量、</w:t>
      </w:r>
      <w:r>
        <w:rPr>
          <w:rFonts w:hint="eastAsia" w:cs="宋体" w:asciiTheme="minorEastAsia" w:hAnsiTheme="minorEastAsia" w:eastAsiaTheme="minorEastAsia"/>
          <w:spacing w:val="1"/>
          <w:sz w:val="24"/>
          <w:szCs w:val="24"/>
          <w:highlight w:val="none"/>
        </w:rPr>
        <w:t>水压</w:t>
      </w:r>
      <w:r>
        <w:rPr>
          <w:rFonts w:hint="eastAsia" w:cs="宋体" w:asciiTheme="minorEastAsia" w:hAnsiTheme="minorEastAsia" w:eastAsiaTheme="minorEastAsia"/>
          <w:sz w:val="24"/>
          <w:szCs w:val="24"/>
          <w:highlight w:val="none"/>
        </w:rPr>
        <w:t>达不到规范要求等。</w:t>
      </w:r>
    </w:p>
    <w:p w14:paraId="52DF909C">
      <w:pPr>
        <w:autoSpaceDE w:val="0"/>
        <w:autoSpaceDN w:val="0"/>
        <w:spacing w:line="360" w:lineRule="auto"/>
        <w:ind w:firstLine="470"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3"/>
          <w:sz w:val="24"/>
          <w:szCs w:val="24"/>
          <w:highlight w:val="none"/>
        </w:rPr>
        <w:t>暖通专业：规范要求的防火排烟设施未设计，排烟</w:t>
      </w:r>
      <w:r>
        <w:rPr>
          <w:rFonts w:hint="eastAsia" w:cs="宋体" w:asciiTheme="minorEastAsia" w:hAnsiTheme="minorEastAsia" w:eastAsiaTheme="minorEastAsia"/>
          <w:spacing w:val="-2"/>
          <w:sz w:val="24"/>
          <w:szCs w:val="24"/>
          <w:highlight w:val="none"/>
        </w:rPr>
        <w:t>风量达不到规范要求，又未采取必要的措</w:t>
      </w:r>
      <w:r>
        <w:rPr>
          <w:rFonts w:hint="eastAsia" w:cs="宋体" w:asciiTheme="minorEastAsia" w:hAnsiTheme="minorEastAsia" w:eastAsiaTheme="minorEastAsia"/>
          <w:sz w:val="24"/>
          <w:szCs w:val="24"/>
          <w:highlight w:val="none"/>
        </w:rPr>
        <w:t>施等。</w:t>
      </w:r>
    </w:p>
    <w:p w14:paraId="16B896BE">
      <w:pPr>
        <w:autoSpaceDE w:val="0"/>
        <w:autoSpaceDN w:val="0"/>
        <w:spacing w:line="360" w:lineRule="auto"/>
        <w:ind w:firstLine="470"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3"/>
          <w:sz w:val="24"/>
          <w:szCs w:val="24"/>
          <w:highlight w:val="none"/>
        </w:rPr>
        <w:t>电气专业：变配电、电话、电视、消防、广播音响</w:t>
      </w:r>
      <w:r>
        <w:rPr>
          <w:rFonts w:hint="eastAsia" w:cs="宋体" w:asciiTheme="minorEastAsia" w:hAnsiTheme="minorEastAsia" w:eastAsiaTheme="minorEastAsia"/>
          <w:spacing w:val="-2"/>
          <w:sz w:val="24"/>
          <w:szCs w:val="24"/>
          <w:highlight w:val="none"/>
        </w:rPr>
        <w:t>等系统及各种机房平、剖面设备布置等严</w:t>
      </w:r>
      <w:r>
        <w:rPr>
          <w:rFonts w:hint="eastAsia" w:cs="宋体" w:asciiTheme="minorEastAsia" w:hAnsiTheme="minorEastAsia" w:eastAsiaTheme="minorEastAsia"/>
          <w:spacing w:val="1"/>
          <w:sz w:val="24"/>
          <w:szCs w:val="24"/>
          <w:highlight w:val="none"/>
        </w:rPr>
        <w:t>重违反</w:t>
      </w:r>
      <w:r>
        <w:rPr>
          <w:rFonts w:hint="eastAsia" w:cs="宋体" w:asciiTheme="minorEastAsia" w:hAnsiTheme="minorEastAsia" w:eastAsiaTheme="minorEastAsia"/>
          <w:sz w:val="24"/>
          <w:szCs w:val="24"/>
          <w:highlight w:val="none"/>
        </w:rPr>
        <w:t>规范、标准、规定；配电方案有严重缺陷等。</w:t>
      </w:r>
    </w:p>
    <w:p w14:paraId="41679527">
      <w:pPr>
        <w:autoSpaceDE w:val="0"/>
        <w:autoSpaceDN w:val="0"/>
        <w:spacing w:line="360" w:lineRule="auto"/>
        <w:ind w:firstLine="482" w:firstLineChars="201"/>
        <w:rPr>
          <w:rFonts w:cs="宋体" w:asciiTheme="minorEastAsia" w:hAnsiTheme="minorEastAsia" w:eastAsiaTheme="minorEastAsia"/>
          <w:spacing w:val="-1"/>
          <w:sz w:val="24"/>
          <w:szCs w:val="24"/>
          <w:highlight w:val="none"/>
        </w:rPr>
      </w:pPr>
      <w:r>
        <w:rPr>
          <w:rFonts w:hint="eastAsia" w:cs="宋体" w:asciiTheme="minorEastAsia" w:hAnsiTheme="minorEastAsia" w:eastAsiaTheme="minorEastAsia"/>
          <w:sz w:val="24"/>
          <w:szCs w:val="24"/>
          <w:highlight w:val="none"/>
        </w:rPr>
        <w:t>造价专业：提交给发包人的造价文件，经核查后，偏差大于±</w:t>
      </w:r>
      <w:r>
        <w:rPr>
          <w:rFonts w:hint="eastAsia" w:cs="宋体" w:asciiTheme="minorEastAsia" w:hAnsiTheme="minorEastAsia" w:eastAsiaTheme="minorEastAsia"/>
          <w:spacing w:val="-1"/>
          <w:sz w:val="24"/>
          <w:szCs w:val="24"/>
          <w:highlight w:val="none"/>
        </w:rPr>
        <w:t>30%的。</w:t>
      </w:r>
    </w:p>
    <w:p w14:paraId="6F98FA2C">
      <w:pPr>
        <w:autoSpaceDE w:val="0"/>
        <w:autoSpaceDN w:val="0"/>
        <w:spacing w:line="360" w:lineRule="auto"/>
        <w:ind w:firstLine="488" w:firstLineChars="201"/>
        <w:rPr>
          <w:rFonts w:asciiTheme="minorEastAsia" w:hAnsiTheme="minorEastAsia" w:eastAsiaTheme="minorEastAsia"/>
          <w:b/>
          <w:sz w:val="24"/>
          <w:szCs w:val="24"/>
          <w:highlight w:val="none"/>
        </w:rPr>
      </w:pPr>
      <w:r>
        <w:rPr>
          <w:rFonts w:hint="eastAsia" w:cs="宋体" w:asciiTheme="minorEastAsia" w:hAnsiTheme="minorEastAsia" w:eastAsiaTheme="minorEastAsia"/>
          <w:b/>
          <w:spacing w:val="1"/>
          <w:sz w:val="24"/>
          <w:szCs w:val="24"/>
          <w:highlight w:val="none"/>
        </w:rPr>
        <w:t>Ⅱ</w:t>
      </w:r>
      <w:r>
        <w:rPr>
          <w:rFonts w:hint="eastAsia" w:cs="宋体" w:asciiTheme="minorEastAsia" w:hAnsiTheme="minorEastAsia" w:eastAsiaTheme="minorEastAsia"/>
          <w:b/>
          <w:sz w:val="24"/>
          <w:szCs w:val="24"/>
          <w:highlight w:val="none"/>
        </w:rPr>
        <w:t>类错误</w:t>
      </w:r>
    </w:p>
    <w:p w14:paraId="20E6AF22">
      <w:pPr>
        <w:autoSpaceDE w:val="0"/>
        <w:autoSpaceDN w:val="0"/>
        <w:spacing w:line="360" w:lineRule="auto"/>
        <w:ind w:firstLine="470" w:firstLineChars="201"/>
        <w:rPr>
          <w:rFonts w:cs="宋体" w:asciiTheme="minorEastAsia" w:hAnsiTheme="minorEastAsia" w:eastAsiaTheme="minorEastAsia"/>
          <w:sz w:val="24"/>
          <w:szCs w:val="24"/>
          <w:highlight w:val="none"/>
        </w:rPr>
      </w:pPr>
      <w:r>
        <w:rPr>
          <w:rFonts w:hint="eastAsia" w:cs="宋体" w:asciiTheme="minorEastAsia" w:hAnsiTheme="minorEastAsia" w:eastAsiaTheme="minorEastAsia"/>
          <w:spacing w:val="-3"/>
          <w:sz w:val="24"/>
          <w:szCs w:val="24"/>
          <w:highlight w:val="none"/>
        </w:rPr>
        <w:t>指设计文件中存在错误，有可能造成施工困难、使用困难或较大经济损失</w:t>
      </w:r>
      <w:r>
        <w:rPr>
          <w:rFonts w:hint="eastAsia" w:cs="宋体" w:asciiTheme="minorEastAsia" w:hAnsiTheme="minorEastAsia" w:eastAsiaTheme="minorEastAsia"/>
          <w:spacing w:val="7"/>
          <w:sz w:val="24"/>
          <w:szCs w:val="24"/>
          <w:highlight w:val="none"/>
        </w:rPr>
        <w:t>,</w:t>
      </w:r>
      <w:r>
        <w:rPr>
          <w:rFonts w:hint="eastAsia" w:cs="宋体" w:asciiTheme="minorEastAsia" w:hAnsiTheme="minorEastAsia" w:eastAsiaTheme="minorEastAsia"/>
          <w:spacing w:val="-3"/>
          <w:sz w:val="24"/>
          <w:szCs w:val="24"/>
          <w:highlight w:val="none"/>
        </w:rPr>
        <w:t>如：</w:t>
      </w:r>
      <w:r>
        <w:rPr>
          <w:rFonts w:hint="eastAsia" w:cs="宋体" w:asciiTheme="minorEastAsia" w:hAnsiTheme="minorEastAsia" w:eastAsiaTheme="minorEastAsia"/>
          <w:sz w:val="24"/>
          <w:szCs w:val="24"/>
          <w:highlight w:val="none"/>
        </w:rPr>
        <w:t>1</w:t>
      </w:r>
      <w:r>
        <w:rPr>
          <w:rFonts w:hint="eastAsia" w:cs="宋体" w:asciiTheme="minorEastAsia" w:hAnsiTheme="minorEastAsia" w:eastAsiaTheme="minorEastAsia"/>
          <w:spacing w:val="-4"/>
          <w:sz w:val="24"/>
          <w:szCs w:val="24"/>
          <w:highlight w:val="none"/>
        </w:rPr>
        <w:t>、违反</w:t>
      </w:r>
      <w:r>
        <w:rPr>
          <w:rFonts w:hint="eastAsia" w:cs="宋体" w:asciiTheme="minorEastAsia" w:hAnsiTheme="minorEastAsia" w:eastAsiaTheme="minorEastAsia"/>
          <w:spacing w:val="-2"/>
          <w:sz w:val="24"/>
          <w:szCs w:val="24"/>
          <w:highlight w:val="none"/>
        </w:rPr>
        <w:t>国家</w:t>
      </w:r>
      <w:r>
        <w:rPr>
          <w:rFonts w:hint="eastAsia" w:cs="宋体" w:asciiTheme="minorEastAsia" w:hAnsiTheme="minorEastAsia" w:eastAsiaTheme="minorEastAsia"/>
          <w:spacing w:val="-1"/>
          <w:sz w:val="24"/>
          <w:szCs w:val="24"/>
          <w:highlight w:val="none"/>
        </w:rPr>
        <w:t>现行技术规范、规定、标准的重要条文；</w:t>
      </w:r>
      <w:r>
        <w:rPr>
          <w:rFonts w:hint="eastAsia" w:cs="宋体" w:asciiTheme="minorEastAsia" w:hAnsiTheme="minorEastAsia" w:eastAsiaTheme="minorEastAsia"/>
          <w:spacing w:val="-8"/>
          <w:sz w:val="24"/>
          <w:szCs w:val="24"/>
          <w:highlight w:val="none"/>
        </w:rPr>
        <w:t>2</w:t>
      </w:r>
      <w:r>
        <w:rPr>
          <w:rFonts w:hint="eastAsia" w:cs="宋体" w:asciiTheme="minorEastAsia" w:hAnsiTheme="minorEastAsia" w:eastAsiaTheme="minorEastAsia"/>
          <w:spacing w:val="-1"/>
          <w:sz w:val="24"/>
          <w:szCs w:val="24"/>
          <w:highlight w:val="none"/>
        </w:rPr>
        <w:t>、设计漏项；</w:t>
      </w:r>
      <w:r>
        <w:rPr>
          <w:rFonts w:hint="eastAsia" w:cs="宋体" w:asciiTheme="minorEastAsia" w:hAnsiTheme="minorEastAsia" w:eastAsiaTheme="minorEastAsia"/>
          <w:spacing w:val="-3"/>
          <w:sz w:val="24"/>
          <w:szCs w:val="24"/>
          <w:highlight w:val="none"/>
        </w:rPr>
        <w:t>3</w:t>
      </w:r>
      <w:r>
        <w:rPr>
          <w:rFonts w:hint="eastAsia" w:cs="宋体" w:asciiTheme="minorEastAsia" w:hAnsiTheme="minorEastAsia" w:eastAsiaTheme="minorEastAsia"/>
          <w:spacing w:val="-1"/>
          <w:sz w:val="24"/>
          <w:szCs w:val="24"/>
          <w:highlight w:val="none"/>
        </w:rPr>
        <w:t>、选用淘汰的设备</w:t>
      </w:r>
      <w:r>
        <w:rPr>
          <w:rFonts w:hint="eastAsia" w:cs="宋体" w:asciiTheme="minorEastAsia" w:hAnsiTheme="minorEastAsia" w:eastAsiaTheme="minorEastAsia"/>
          <w:spacing w:val="-4"/>
          <w:sz w:val="24"/>
          <w:szCs w:val="24"/>
          <w:highlight w:val="none"/>
        </w:rPr>
        <w:t>;</w:t>
      </w:r>
      <w:r>
        <w:rPr>
          <w:rFonts w:hint="eastAsia" w:cs="宋体" w:asciiTheme="minorEastAsia" w:hAnsiTheme="minorEastAsia" w:eastAsiaTheme="minorEastAsia"/>
          <w:spacing w:val="-1"/>
          <w:sz w:val="24"/>
          <w:szCs w:val="24"/>
          <w:highlight w:val="none"/>
        </w:rPr>
        <w:t>4、出现因设计责任</w:t>
      </w:r>
      <w:r>
        <w:rPr>
          <w:rFonts w:hint="eastAsia" w:cs="宋体" w:asciiTheme="minorEastAsia" w:hAnsiTheme="minorEastAsia" w:eastAsiaTheme="minorEastAsia"/>
          <w:sz w:val="24"/>
          <w:szCs w:val="24"/>
          <w:highlight w:val="none"/>
        </w:rPr>
        <w:t>引起的二类变更；5</w:t>
      </w:r>
      <w:r>
        <w:rPr>
          <w:rFonts w:hint="eastAsia" w:cs="宋体" w:asciiTheme="minorEastAsia" w:hAnsiTheme="minorEastAsia" w:eastAsiaTheme="minorEastAsia"/>
          <w:spacing w:val="1"/>
          <w:sz w:val="24"/>
          <w:szCs w:val="24"/>
          <w:highlight w:val="none"/>
        </w:rPr>
        <w:t>、</w:t>
      </w:r>
      <w:r>
        <w:rPr>
          <w:rFonts w:hint="eastAsia" w:cs="宋体" w:asciiTheme="minorEastAsia" w:hAnsiTheme="minorEastAsia" w:eastAsiaTheme="minorEastAsia"/>
          <w:sz w:val="24"/>
          <w:szCs w:val="24"/>
          <w:highlight w:val="none"/>
        </w:rPr>
        <w:t>造价文件失实较严重。</w:t>
      </w:r>
    </w:p>
    <w:p w14:paraId="5920970C">
      <w:pPr>
        <w:autoSpaceDE w:val="0"/>
        <w:autoSpaceDN w:val="0"/>
        <w:spacing w:line="360" w:lineRule="auto"/>
        <w:ind w:firstLine="486"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1"/>
          <w:sz w:val="24"/>
          <w:szCs w:val="24"/>
          <w:highlight w:val="none"/>
        </w:rPr>
        <w:t>具体</w:t>
      </w:r>
      <w:r>
        <w:rPr>
          <w:rFonts w:hint="eastAsia" w:cs="宋体" w:asciiTheme="minorEastAsia" w:hAnsiTheme="minorEastAsia" w:eastAsiaTheme="minorEastAsia"/>
          <w:sz w:val="24"/>
          <w:szCs w:val="24"/>
          <w:highlight w:val="none"/>
        </w:rPr>
        <w:t>按照专业又可分为：</w:t>
      </w:r>
    </w:p>
    <w:p w14:paraId="7119190B">
      <w:pPr>
        <w:autoSpaceDE w:val="0"/>
        <w:autoSpaceDN w:val="0"/>
        <w:spacing w:line="360" w:lineRule="auto"/>
        <w:ind w:firstLine="482"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A</w:t>
      </w:r>
      <w:r>
        <w:rPr>
          <w:rFonts w:hint="eastAsia" w:cs="宋体" w:asciiTheme="minorEastAsia" w:hAnsiTheme="minorEastAsia" w:eastAsiaTheme="minorEastAsia"/>
          <w:spacing w:val="1"/>
          <w:sz w:val="24"/>
          <w:szCs w:val="24"/>
          <w:highlight w:val="none"/>
        </w:rPr>
        <w:t>、设计</w:t>
      </w:r>
      <w:r>
        <w:rPr>
          <w:rFonts w:hint="eastAsia" w:cs="宋体" w:asciiTheme="minorEastAsia" w:hAnsiTheme="minorEastAsia" w:eastAsiaTheme="minorEastAsia"/>
          <w:sz w:val="24"/>
          <w:szCs w:val="24"/>
          <w:highlight w:val="none"/>
        </w:rPr>
        <w:t>存在错误，有可能造成施工困难、使用困难或较大经济损失，如：</w:t>
      </w:r>
    </w:p>
    <w:p w14:paraId="7833A0E8">
      <w:pPr>
        <w:autoSpaceDE w:val="0"/>
        <w:autoSpaceDN w:val="0"/>
        <w:spacing w:line="360" w:lineRule="auto"/>
        <w:ind w:firstLine="486"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1"/>
          <w:sz w:val="24"/>
          <w:szCs w:val="24"/>
          <w:highlight w:val="none"/>
        </w:rPr>
        <w:t>建筑专业：总</w:t>
      </w:r>
      <w:r>
        <w:rPr>
          <w:rFonts w:hint="eastAsia" w:cs="宋体" w:asciiTheme="minorEastAsia" w:hAnsiTheme="minorEastAsia" w:eastAsiaTheme="minorEastAsia"/>
          <w:sz w:val="24"/>
          <w:szCs w:val="24"/>
          <w:highlight w:val="none"/>
        </w:rPr>
        <w:t>平面竖向设计错误；轴线错误或对不上，楼梯碰头；视线计算错误等。</w:t>
      </w:r>
    </w:p>
    <w:p w14:paraId="1EA0E5E6">
      <w:pPr>
        <w:autoSpaceDE w:val="0"/>
        <w:autoSpaceDN w:val="0"/>
        <w:spacing w:line="360" w:lineRule="auto"/>
        <w:ind w:firstLine="486"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1"/>
          <w:sz w:val="24"/>
          <w:szCs w:val="24"/>
          <w:highlight w:val="none"/>
        </w:rPr>
        <w:t>结构专业：计算</w:t>
      </w:r>
      <w:r>
        <w:rPr>
          <w:rFonts w:hint="eastAsia" w:cs="宋体" w:asciiTheme="minorEastAsia" w:hAnsiTheme="minorEastAsia" w:eastAsiaTheme="minorEastAsia"/>
          <w:sz w:val="24"/>
          <w:szCs w:val="24"/>
          <w:highlight w:val="none"/>
        </w:rPr>
        <w:t>书未经校对；结构构件安全储备不足；结构与建筑节点不一致等。</w:t>
      </w:r>
    </w:p>
    <w:p w14:paraId="4D1A06F4">
      <w:pPr>
        <w:autoSpaceDE w:val="0"/>
        <w:autoSpaceDN w:val="0"/>
        <w:spacing w:line="360" w:lineRule="auto"/>
        <w:ind w:firstLine="486"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1"/>
          <w:sz w:val="24"/>
          <w:szCs w:val="24"/>
          <w:highlight w:val="none"/>
        </w:rPr>
        <w:t>给排水专业</w:t>
      </w:r>
      <w:r>
        <w:rPr>
          <w:rFonts w:hint="eastAsia" w:cs="宋体" w:asciiTheme="minorEastAsia" w:hAnsiTheme="minorEastAsia" w:eastAsiaTheme="minorEastAsia"/>
          <w:sz w:val="24"/>
          <w:szCs w:val="24"/>
          <w:highlight w:val="none"/>
        </w:rPr>
        <w:t>：由于设计的水塔或水箱高度不够，造成水压不足，出水量不能满足使用要求；</w:t>
      </w:r>
      <w:r>
        <w:rPr>
          <w:rFonts w:hint="eastAsia" w:cs="宋体" w:asciiTheme="minorEastAsia" w:hAnsiTheme="minorEastAsia" w:eastAsiaTheme="minorEastAsia"/>
          <w:spacing w:val="1"/>
          <w:sz w:val="24"/>
          <w:szCs w:val="24"/>
          <w:highlight w:val="none"/>
        </w:rPr>
        <w:t>高层建筑</w:t>
      </w:r>
      <w:r>
        <w:rPr>
          <w:rFonts w:hint="eastAsia" w:cs="宋体" w:asciiTheme="minorEastAsia" w:hAnsiTheme="minorEastAsia" w:eastAsiaTheme="minorEastAsia"/>
          <w:sz w:val="24"/>
          <w:szCs w:val="24"/>
          <w:highlight w:val="none"/>
        </w:rPr>
        <w:t>消防减压、止回等设计不当等。</w:t>
      </w:r>
    </w:p>
    <w:p w14:paraId="79F520DE">
      <w:pPr>
        <w:autoSpaceDE w:val="0"/>
        <w:autoSpaceDN w:val="0"/>
        <w:spacing w:line="360" w:lineRule="auto"/>
        <w:ind w:firstLine="486"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1"/>
          <w:sz w:val="24"/>
          <w:szCs w:val="24"/>
          <w:highlight w:val="none"/>
        </w:rPr>
        <w:t>暖通专业：冷</w:t>
      </w:r>
      <w:r>
        <w:rPr>
          <w:rFonts w:hint="eastAsia" w:cs="宋体" w:asciiTheme="minorEastAsia" w:hAnsiTheme="minorEastAsia" w:eastAsiaTheme="minorEastAsia"/>
          <w:sz w:val="24"/>
          <w:szCs w:val="24"/>
          <w:highlight w:val="none"/>
        </w:rPr>
        <w:t>、热负荷计算有重大错误或系统选择不当；膨胀水箱高度低于采暖系统等。</w:t>
      </w:r>
    </w:p>
    <w:p w14:paraId="72DB4FEF">
      <w:pPr>
        <w:autoSpaceDE w:val="0"/>
        <w:autoSpaceDN w:val="0"/>
        <w:spacing w:line="360" w:lineRule="auto"/>
        <w:ind w:firstLine="470" w:firstLineChars="201"/>
        <w:rPr>
          <w:rFonts w:cs="宋体" w:asciiTheme="minorEastAsia" w:hAnsiTheme="minorEastAsia" w:eastAsiaTheme="minorEastAsia"/>
          <w:sz w:val="24"/>
          <w:szCs w:val="24"/>
          <w:highlight w:val="none"/>
        </w:rPr>
      </w:pPr>
      <w:r>
        <w:rPr>
          <w:rFonts w:hint="eastAsia" w:cs="宋体" w:asciiTheme="minorEastAsia" w:hAnsiTheme="minorEastAsia" w:eastAsiaTheme="minorEastAsia"/>
          <w:spacing w:val="-3"/>
          <w:sz w:val="24"/>
          <w:szCs w:val="24"/>
          <w:highlight w:val="none"/>
        </w:rPr>
        <w:t>电气专业：选用国家已公布的机电淘汰产品；供配电系统的控制保护</w:t>
      </w:r>
      <w:r>
        <w:rPr>
          <w:rFonts w:hint="eastAsia" w:cs="宋体" w:asciiTheme="minorEastAsia" w:hAnsiTheme="minorEastAsia" w:eastAsiaTheme="minorEastAsia"/>
          <w:spacing w:val="-2"/>
          <w:sz w:val="24"/>
          <w:szCs w:val="24"/>
          <w:highlight w:val="none"/>
        </w:rPr>
        <w:t>，自动控制和自动调节</w:t>
      </w:r>
      <w:r>
        <w:rPr>
          <w:rFonts w:hint="eastAsia" w:cs="宋体" w:asciiTheme="minorEastAsia" w:hAnsiTheme="minorEastAsia" w:eastAsiaTheme="minorEastAsia"/>
          <w:spacing w:val="-1"/>
          <w:sz w:val="24"/>
          <w:szCs w:val="24"/>
          <w:highlight w:val="none"/>
        </w:rPr>
        <w:t>原理图，</w:t>
      </w:r>
      <w:r>
        <w:rPr>
          <w:rFonts w:hint="eastAsia" w:cs="宋体" w:asciiTheme="minorEastAsia" w:hAnsiTheme="minorEastAsia" w:eastAsiaTheme="minorEastAsia"/>
          <w:sz w:val="24"/>
          <w:szCs w:val="24"/>
          <w:highlight w:val="none"/>
        </w:rPr>
        <w:t>各站弱电设备之间线路连接图等设计不周或有严重错误；低压配电柜开关与所保护电缆</w:t>
      </w:r>
      <w:r>
        <w:rPr>
          <w:rFonts w:hint="eastAsia" w:cs="宋体" w:asciiTheme="minorEastAsia" w:hAnsiTheme="minorEastAsia" w:eastAsiaTheme="minorEastAsia"/>
          <w:spacing w:val="1"/>
          <w:sz w:val="24"/>
          <w:szCs w:val="24"/>
          <w:highlight w:val="none"/>
        </w:rPr>
        <w:t>选型不</w:t>
      </w:r>
      <w:r>
        <w:rPr>
          <w:rFonts w:hint="eastAsia" w:cs="宋体" w:asciiTheme="minorEastAsia" w:hAnsiTheme="minorEastAsia" w:eastAsiaTheme="minorEastAsia"/>
          <w:sz w:val="24"/>
          <w:szCs w:val="24"/>
          <w:highlight w:val="none"/>
        </w:rPr>
        <w:t>匹配，电缆母线容量不匹配等。</w:t>
      </w:r>
    </w:p>
    <w:p w14:paraId="2B2C1F93">
      <w:pPr>
        <w:autoSpaceDE w:val="0"/>
        <w:autoSpaceDN w:val="0"/>
        <w:spacing w:line="360" w:lineRule="auto"/>
        <w:ind w:firstLine="482"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造价专业：提交给发包人的造价文件，经核查后，偏差大于±20%</w:t>
      </w:r>
      <w:r>
        <w:rPr>
          <w:rFonts w:hint="eastAsia" w:cs="宋体" w:asciiTheme="minorEastAsia" w:hAnsiTheme="minorEastAsia" w:eastAsiaTheme="minorEastAsia"/>
          <w:spacing w:val="1"/>
          <w:sz w:val="24"/>
          <w:szCs w:val="24"/>
          <w:highlight w:val="none"/>
        </w:rPr>
        <w:t>的。</w:t>
      </w:r>
    </w:p>
    <w:p w14:paraId="6483DC80">
      <w:pPr>
        <w:autoSpaceDE w:val="0"/>
        <w:autoSpaceDN w:val="0"/>
        <w:spacing w:line="360" w:lineRule="auto"/>
        <w:ind w:firstLine="482"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B</w:t>
      </w:r>
      <w:r>
        <w:rPr>
          <w:rFonts w:hint="eastAsia" w:cs="宋体" w:asciiTheme="minorEastAsia" w:hAnsiTheme="minorEastAsia" w:eastAsiaTheme="minorEastAsia"/>
          <w:spacing w:val="1"/>
          <w:sz w:val="24"/>
          <w:szCs w:val="24"/>
          <w:highlight w:val="none"/>
        </w:rPr>
        <w:t>、严重影</w:t>
      </w:r>
      <w:r>
        <w:rPr>
          <w:rFonts w:hint="eastAsia" w:cs="宋体" w:asciiTheme="minorEastAsia" w:hAnsiTheme="minorEastAsia" w:eastAsiaTheme="minorEastAsia"/>
          <w:sz w:val="24"/>
          <w:szCs w:val="24"/>
          <w:highlight w:val="none"/>
        </w:rPr>
        <w:t>响报建：如计容积率面积（包含各个分部）超过允许的误差范围；平立剖面对不</w:t>
      </w:r>
      <w:r>
        <w:rPr>
          <w:rFonts w:hint="eastAsia" w:cs="宋体" w:asciiTheme="minorEastAsia" w:hAnsiTheme="minorEastAsia" w:eastAsiaTheme="minorEastAsia"/>
          <w:spacing w:val="1"/>
          <w:sz w:val="24"/>
          <w:szCs w:val="24"/>
          <w:highlight w:val="none"/>
        </w:rPr>
        <w:t>上；</w:t>
      </w:r>
      <w:r>
        <w:rPr>
          <w:rFonts w:hint="eastAsia" w:cs="宋体" w:asciiTheme="minorEastAsia" w:hAnsiTheme="minorEastAsia" w:eastAsiaTheme="minorEastAsia"/>
          <w:sz w:val="24"/>
          <w:szCs w:val="24"/>
          <w:highlight w:val="none"/>
        </w:rPr>
        <w:t>民防单元面积超过规范。</w:t>
      </w:r>
    </w:p>
    <w:p w14:paraId="43B0EC5F">
      <w:pPr>
        <w:autoSpaceDE w:val="0"/>
        <w:autoSpaceDN w:val="0"/>
        <w:spacing w:line="360" w:lineRule="auto"/>
        <w:ind w:firstLine="488" w:firstLineChars="201"/>
        <w:rPr>
          <w:rFonts w:asciiTheme="minorEastAsia" w:hAnsiTheme="minorEastAsia" w:eastAsiaTheme="minorEastAsia"/>
          <w:b/>
          <w:sz w:val="24"/>
          <w:szCs w:val="24"/>
          <w:highlight w:val="none"/>
        </w:rPr>
      </w:pPr>
      <w:r>
        <w:rPr>
          <w:rFonts w:hint="eastAsia" w:cs="宋体" w:asciiTheme="minorEastAsia" w:hAnsiTheme="minorEastAsia" w:eastAsiaTheme="minorEastAsia"/>
          <w:b/>
          <w:spacing w:val="1"/>
          <w:sz w:val="24"/>
          <w:szCs w:val="24"/>
          <w:highlight w:val="none"/>
        </w:rPr>
        <w:t>Ⅲ类</w:t>
      </w:r>
      <w:r>
        <w:rPr>
          <w:rFonts w:hint="eastAsia" w:cs="宋体" w:asciiTheme="minorEastAsia" w:hAnsiTheme="minorEastAsia" w:eastAsiaTheme="minorEastAsia"/>
          <w:b/>
          <w:sz w:val="24"/>
          <w:szCs w:val="24"/>
          <w:highlight w:val="none"/>
        </w:rPr>
        <w:t>错误：</w:t>
      </w:r>
    </w:p>
    <w:p w14:paraId="0810630E">
      <w:pPr>
        <w:autoSpaceDE w:val="0"/>
        <w:autoSpaceDN w:val="0"/>
        <w:spacing w:line="360" w:lineRule="auto"/>
        <w:ind w:firstLine="482"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设计中局部细节存在不合理或缺点，但对工程决策和质量无重大影响，如：</w:t>
      </w:r>
      <w:r>
        <w:rPr>
          <w:rFonts w:hint="eastAsia" w:cs="宋体" w:asciiTheme="minorEastAsia" w:hAnsiTheme="minorEastAsia" w:eastAsiaTheme="minorEastAsia"/>
          <w:spacing w:val="-3"/>
          <w:sz w:val="24"/>
          <w:szCs w:val="24"/>
          <w:highlight w:val="none"/>
        </w:rPr>
        <w:t>1</w:t>
      </w:r>
      <w:r>
        <w:rPr>
          <w:rFonts w:hint="eastAsia" w:cs="宋体" w:asciiTheme="minorEastAsia" w:hAnsiTheme="minorEastAsia" w:eastAsiaTheme="minorEastAsia"/>
          <w:spacing w:val="-1"/>
          <w:sz w:val="24"/>
          <w:szCs w:val="24"/>
          <w:highlight w:val="none"/>
        </w:rPr>
        <w:t>、违</w:t>
      </w:r>
      <w:r>
        <w:rPr>
          <w:rFonts w:hint="eastAsia" w:cs="宋体" w:asciiTheme="minorEastAsia" w:hAnsiTheme="minorEastAsia" w:eastAsiaTheme="minorEastAsia"/>
          <w:sz w:val="24"/>
          <w:szCs w:val="24"/>
          <w:highlight w:val="none"/>
        </w:rPr>
        <w:t>反国家现行技术规范、规定、标准的一般条文；</w:t>
      </w:r>
      <w:r>
        <w:rPr>
          <w:rFonts w:hint="eastAsia" w:cs="宋体" w:asciiTheme="minorEastAsia" w:hAnsiTheme="minorEastAsia" w:eastAsiaTheme="minorEastAsia"/>
          <w:spacing w:val="-1"/>
          <w:sz w:val="24"/>
          <w:szCs w:val="24"/>
          <w:highlight w:val="none"/>
        </w:rPr>
        <w:t>2</w:t>
      </w:r>
      <w:r>
        <w:rPr>
          <w:rFonts w:hint="eastAsia" w:cs="宋体" w:asciiTheme="minorEastAsia" w:hAnsiTheme="minorEastAsia" w:eastAsiaTheme="minorEastAsia"/>
          <w:sz w:val="24"/>
          <w:szCs w:val="24"/>
          <w:highlight w:val="none"/>
        </w:rPr>
        <w:t>、设计的流程、系统、平面布置不够合理；</w:t>
      </w:r>
      <w:r>
        <w:rPr>
          <w:rFonts w:hint="eastAsia" w:cs="宋体" w:asciiTheme="minorEastAsia" w:hAnsiTheme="minorEastAsia" w:eastAsiaTheme="minorEastAsia"/>
          <w:spacing w:val="-2"/>
          <w:sz w:val="24"/>
          <w:szCs w:val="24"/>
          <w:highlight w:val="none"/>
        </w:rPr>
        <w:t>3</w:t>
      </w:r>
      <w:r>
        <w:rPr>
          <w:rFonts w:hint="eastAsia" w:cs="宋体" w:asciiTheme="minorEastAsia" w:hAnsiTheme="minorEastAsia" w:eastAsiaTheme="minorEastAsia"/>
          <w:spacing w:val="-1"/>
          <w:sz w:val="24"/>
          <w:szCs w:val="24"/>
          <w:highlight w:val="none"/>
        </w:rPr>
        <w:t>、</w:t>
      </w:r>
      <w:r>
        <w:rPr>
          <w:rFonts w:hint="eastAsia" w:cs="宋体" w:asciiTheme="minorEastAsia" w:hAnsiTheme="minorEastAsia" w:eastAsiaTheme="minorEastAsia"/>
          <w:sz w:val="24"/>
          <w:szCs w:val="24"/>
          <w:highlight w:val="none"/>
        </w:rPr>
        <w:t>设备、构造、材料等选用不当；</w:t>
      </w:r>
      <w:r>
        <w:rPr>
          <w:rFonts w:hint="eastAsia" w:cs="宋体" w:asciiTheme="minorEastAsia" w:hAnsiTheme="minorEastAsia" w:eastAsiaTheme="minorEastAsia"/>
          <w:spacing w:val="-2"/>
          <w:sz w:val="24"/>
          <w:szCs w:val="24"/>
          <w:highlight w:val="none"/>
        </w:rPr>
        <w:t>4</w:t>
      </w:r>
      <w:r>
        <w:rPr>
          <w:rFonts w:hint="eastAsia" w:cs="宋体" w:asciiTheme="minorEastAsia" w:hAnsiTheme="minorEastAsia" w:eastAsiaTheme="minorEastAsia"/>
          <w:sz w:val="24"/>
          <w:szCs w:val="24"/>
          <w:highlight w:val="none"/>
        </w:rPr>
        <w:t>、重要的数据、计量单位、尺寸出错；</w:t>
      </w:r>
      <w:r>
        <w:rPr>
          <w:rFonts w:hint="eastAsia" w:cs="宋体" w:asciiTheme="minorEastAsia" w:hAnsiTheme="minorEastAsia" w:eastAsiaTheme="minorEastAsia"/>
          <w:spacing w:val="-2"/>
          <w:sz w:val="24"/>
          <w:szCs w:val="24"/>
          <w:highlight w:val="none"/>
        </w:rPr>
        <w:t>5</w:t>
      </w:r>
      <w:r>
        <w:rPr>
          <w:rFonts w:hint="eastAsia" w:cs="宋体" w:asciiTheme="minorEastAsia" w:hAnsiTheme="minorEastAsia" w:eastAsiaTheme="minorEastAsia"/>
          <w:spacing w:val="-1"/>
          <w:sz w:val="24"/>
          <w:szCs w:val="24"/>
          <w:highlight w:val="none"/>
        </w:rPr>
        <w:t>、不符</w:t>
      </w:r>
      <w:r>
        <w:rPr>
          <w:rFonts w:hint="eastAsia" w:cs="宋体" w:asciiTheme="minorEastAsia" w:hAnsiTheme="minorEastAsia" w:eastAsiaTheme="minorEastAsia"/>
          <w:sz w:val="24"/>
          <w:szCs w:val="24"/>
          <w:highlight w:val="none"/>
        </w:rPr>
        <w:t>合国家对工程设计文件内容深度及格式的规定要求;6、出现因设计责任引起的三类变更；6</w:t>
      </w:r>
      <w:r>
        <w:rPr>
          <w:rFonts w:hint="eastAsia" w:cs="宋体" w:asciiTheme="minorEastAsia" w:hAnsiTheme="minorEastAsia" w:eastAsiaTheme="minorEastAsia"/>
          <w:spacing w:val="-1"/>
          <w:sz w:val="24"/>
          <w:szCs w:val="24"/>
          <w:highlight w:val="none"/>
        </w:rPr>
        <w:t>、</w:t>
      </w:r>
      <w:r>
        <w:rPr>
          <w:rFonts w:hint="eastAsia" w:cs="宋体" w:asciiTheme="minorEastAsia" w:hAnsiTheme="minorEastAsia" w:eastAsiaTheme="minorEastAsia"/>
          <w:sz w:val="24"/>
          <w:szCs w:val="24"/>
          <w:highlight w:val="none"/>
        </w:rPr>
        <w:t>造价文件失实。</w:t>
      </w:r>
    </w:p>
    <w:p w14:paraId="3F54B0BE">
      <w:pPr>
        <w:autoSpaceDE w:val="0"/>
        <w:autoSpaceDN w:val="0"/>
        <w:spacing w:line="360" w:lineRule="auto"/>
        <w:ind w:firstLine="486"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1"/>
          <w:sz w:val="24"/>
          <w:szCs w:val="24"/>
          <w:highlight w:val="none"/>
        </w:rPr>
        <w:t>具体</w:t>
      </w:r>
      <w:r>
        <w:rPr>
          <w:rFonts w:hint="eastAsia" w:cs="宋体" w:asciiTheme="minorEastAsia" w:hAnsiTheme="minorEastAsia" w:eastAsiaTheme="minorEastAsia"/>
          <w:sz w:val="24"/>
          <w:szCs w:val="24"/>
          <w:highlight w:val="none"/>
        </w:rPr>
        <w:t>按照专业又可分为：</w:t>
      </w:r>
    </w:p>
    <w:p w14:paraId="647DD5AD">
      <w:pPr>
        <w:autoSpaceDE w:val="0"/>
        <w:autoSpaceDN w:val="0"/>
        <w:spacing w:line="360" w:lineRule="auto"/>
        <w:ind w:firstLine="482"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A</w:t>
      </w:r>
      <w:r>
        <w:rPr>
          <w:rFonts w:hint="eastAsia" w:cs="宋体" w:asciiTheme="minorEastAsia" w:hAnsiTheme="minorEastAsia" w:eastAsiaTheme="minorEastAsia"/>
          <w:spacing w:val="1"/>
          <w:sz w:val="24"/>
          <w:szCs w:val="24"/>
          <w:highlight w:val="none"/>
        </w:rPr>
        <w:t>、局部违</w:t>
      </w:r>
      <w:r>
        <w:rPr>
          <w:rFonts w:hint="eastAsia" w:cs="宋体" w:asciiTheme="minorEastAsia" w:hAnsiTheme="minorEastAsia" w:eastAsiaTheme="minorEastAsia"/>
          <w:sz w:val="24"/>
          <w:szCs w:val="24"/>
          <w:highlight w:val="none"/>
        </w:rPr>
        <w:t>反规范、标准、规定，但容易修正、且返工量不大，如：</w:t>
      </w:r>
    </w:p>
    <w:p w14:paraId="7A44916A">
      <w:pPr>
        <w:autoSpaceDE w:val="0"/>
        <w:autoSpaceDN w:val="0"/>
        <w:spacing w:line="360" w:lineRule="auto"/>
        <w:ind w:firstLine="470"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3"/>
          <w:sz w:val="24"/>
          <w:szCs w:val="24"/>
          <w:highlight w:val="none"/>
        </w:rPr>
        <w:t>建筑专业：栏杆的高度及强度不符合要求；消防电</w:t>
      </w:r>
      <w:r>
        <w:rPr>
          <w:rFonts w:hint="eastAsia" w:cs="宋体" w:asciiTheme="minorEastAsia" w:hAnsiTheme="minorEastAsia" w:eastAsiaTheme="minorEastAsia"/>
          <w:spacing w:val="-2"/>
          <w:sz w:val="24"/>
          <w:szCs w:val="24"/>
          <w:highlight w:val="none"/>
        </w:rPr>
        <w:t>梯不合防火要求，疏散门宽度不够、管道</w:t>
      </w:r>
      <w:r>
        <w:rPr>
          <w:rFonts w:hint="eastAsia" w:cs="宋体" w:asciiTheme="minorEastAsia" w:hAnsiTheme="minorEastAsia" w:eastAsiaTheme="minorEastAsia"/>
          <w:spacing w:val="1"/>
          <w:sz w:val="24"/>
          <w:szCs w:val="24"/>
          <w:highlight w:val="none"/>
        </w:rPr>
        <w:t>井不</w:t>
      </w:r>
      <w:r>
        <w:rPr>
          <w:rFonts w:hint="eastAsia" w:cs="宋体" w:asciiTheme="minorEastAsia" w:hAnsiTheme="minorEastAsia" w:eastAsiaTheme="minorEastAsia"/>
          <w:sz w:val="24"/>
          <w:szCs w:val="24"/>
          <w:highlight w:val="none"/>
        </w:rPr>
        <w:t>合防火规范等。</w:t>
      </w:r>
    </w:p>
    <w:p w14:paraId="7A24D92B">
      <w:pPr>
        <w:autoSpaceDE w:val="0"/>
        <w:autoSpaceDN w:val="0"/>
        <w:spacing w:line="360" w:lineRule="auto"/>
        <w:ind w:firstLine="486"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1"/>
          <w:sz w:val="24"/>
          <w:szCs w:val="24"/>
          <w:highlight w:val="none"/>
        </w:rPr>
        <w:t>结构</w:t>
      </w:r>
      <w:r>
        <w:rPr>
          <w:rFonts w:hint="eastAsia" w:cs="宋体" w:asciiTheme="minorEastAsia" w:hAnsiTheme="minorEastAsia" w:eastAsiaTheme="minorEastAsia"/>
          <w:sz w:val="24"/>
          <w:szCs w:val="24"/>
          <w:highlight w:val="none"/>
        </w:rPr>
        <w:t>专业：按简支计算的梁、支座与梁柱整体连接构造用负筋不够；悬挑构件配筋错误等。</w:t>
      </w:r>
    </w:p>
    <w:p w14:paraId="59CBD327">
      <w:pPr>
        <w:autoSpaceDE w:val="0"/>
        <w:autoSpaceDN w:val="0"/>
        <w:spacing w:line="360" w:lineRule="auto"/>
        <w:ind w:firstLine="486"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1"/>
          <w:sz w:val="24"/>
          <w:szCs w:val="24"/>
          <w:highlight w:val="none"/>
        </w:rPr>
        <w:t>给排水专</w:t>
      </w:r>
      <w:r>
        <w:rPr>
          <w:rFonts w:hint="eastAsia" w:cs="宋体" w:asciiTheme="minorEastAsia" w:hAnsiTheme="minorEastAsia" w:eastAsiaTheme="minorEastAsia"/>
          <w:sz w:val="24"/>
          <w:szCs w:val="24"/>
          <w:highlight w:val="none"/>
        </w:rPr>
        <w:t>业：生活饮用水管理与非饮用水道连接，未采取防回流污染措施等。</w:t>
      </w:r>
    </w:p>
    <w:p w14:paraId="35A1FBC3">
      <w:pPr>
        <w:autoSpaceDE w:val="0"/>
        <w:autoSpaceDN w:val="0"/>
        <w:spacing w:line="360" w:lineRule="auto"/>
        <w:ind w:firstLine="470"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3"/>
          <w:sz w:val="24"/>
          <w:szCs w:val="24"/>
          <w:highlight w:val="none"/>
        </w:rPr>
        <w:t>暖通专业：管道井不符合防火规定；穿越防火墙未</w:t>
      </w:r>
      <w:r>
        <w:rPr>
          <w:rFonts w:hint="eastAsia" w:cs="宋体" w:asciiTheme="minorEastAsia" w:hAnsiTheme="minorEastAsia" w:eastAsiaTheme="minorEastAsia"/>
          <w:spacing w:val="-2"/>
          <w:sz w:val="24"/>
          <w:szCs w:val="24"/>
          <w:highlight w:val="none"/>
        </w:rPr>
        <w:t>装防火阀；风管材料及保温材料不符合防</w:t>
      </w:r>
      <w:r>
        <w:rPr>
          <w:rFonts w:hint="eastAsia" w:cs="宋体" w:asciiTheme="minorEastAsia" w:hAnsiTheme="minorEastAsia" w:eastAsiaTheme="minorEastAsia"/>
          <w:spacing w:val="1"/>
          <w:sz w:val="24"/>
          <w:szCs w:val="24"/>
          <w:highlight w:val="none"/>
        </w:rPr>
        <w:t>火要</w:t>
      </w:r>
      <w:r>
        <w:rPr>
          <w:rFonts w:hint="eastAsia" w:cs="宋体" w:asciiTheme="minorEastAsia" w:hAnsiTheme="minorEastAsia" w:eastAsiaTheme="minorEastAsia"/>
          <w:sz w:val="24"/>
          <w:szCs w:val="24"/>
          <w:highlight w:val="none"/>
        </w:rPr>
        <w:t>求等。</w:t>
      </w:r>
    </w:p>
    <w:p w14:paraId="6F42FCD5">
      <w:pPr>
        <w:autoSpaceDE w:val="0"/>
        <w:autoSpaceDN w:val="0"/>
        <w:spacing w:line="360" w:lineRule="auto"/>
        <w:ind w:firstLine="470"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3"/>
          <w:sz w:val="24"/>
          <w:szCs w:val="24"/>
          <w:highlight w:val="none"/>
        </w:rPr>
        <w:t>电气专业：低压配电级数超过三级；照明系统中单</w:t>
      </w:r>
      <w:r>
        <w:rPr>
          <w:rFonts w:hint="eastAsia" w:cs="宋体" w:asciiTheme="minorEastAsia" w:hAnsiTheme="minorEastAsia" w:eastAsiaTheme="minorEastAsia"/>
          <w:spacing w:val="-2"/>
          <w:sz w:val="24"/>
          <w:szCs w:val="24"/>
          <w:highlight w:val="none"/>
        </w:rPr>
        <w:t xml:space="preserve">向回路灯和插座数量超过 </w:t>
      </w:r>
      <w:r>
        <w:rPr>
          <w:rFonts w:hint="eastAsia" w:cs="宋体" w:asciiTheme="minorEastAsia" w:hAnsiTheme="minorEastAsia" w:eastAsiaTheme="minorEastAsia"/>
          <w:spacing w:val="1"/>
          <w:sz w:val="24"/>
          <w:szCs w:val="24"/>
          <w:highlight w:val="none"/>
        </w:rPr>
        <w:t>25</w:t>
      </w:r>
      <w:r>
        <w:rPr>
          <w:rFonts w:hint="eastAsia" w:cs="宋体" w:asciiTheme="minorEastAsia" w:hAnsiTheme="minorEastAsia" w:eastAsiaTheme="minorEastAsia"/>
          <w:spacing w:val="-2"/>
          <w:sz w:val="24"/>
          <w:szCs w:val="24"/>
          <w:highlight w:val="none"/>
        </w:rPr>
        <w:t>个；烟、温</w:t>
      </w:r>
      <w:r>
        <w:rPr>
          <w:rFonts w:hint="eastAsia" w:cs="宋体" w:asciiTheme="minorEastAsia" w:hAnsiTheme="minorEastAsia" w:eastAsiaTheme="minorEastAsia"/>
          <w:spacing w:val="1"/>
          <w:sz w:val="24"/>
          <w:szCs w:val="24"/>
          <w:highlight w:val="none"/>
        </w:rPr>
        <w:t>感探测器位</w:t>
      </w:r>
      <w:r>
        <w:rPr>
          <w:rFonts w:hint="eastAsia" w:cs="宋体" w:asciiTheme="minorEastAsia" w:hAnsiTheme="minorEastAsia" w:eastAsiaTheme="minorEastAsia"/>
          <w:sz w:val="24"/>
          <w:szCs w:val="24"/>
          <w:highlight w:val="none"/>
        </w:rPr>
        <w:t>置；自动喷淋、排烟防火等系统连锁方式局部违反规范、标准、规定；双电源未考虑</w:t>
      </w:r>
      <w:r>
        <w:rPr>
          <w:rFonts w:hint="eastAsia" w:cs="宋体" w:asciiTheme="minorEastAsia" w:hAnsiTheme="minorEastAsia" w:eastAsiaTheme="minorEastAsia"/>
          <w:spacing w:val="1"/>
          <w:sz w:val="24"/>
          <w:szCs w:val="24"/>
          <w:highlight w:val="none"/>
        </w:rPr>
        <w:t>末</w:t>
      </w:r>
      <w:r>
        <w:rPr>
          <w:rFonts w:hint="eastAsia" w:cs="宋体" w:asciiTheme="minorEastAsia" w:hAnsiTheme="minorEastAsia" w:eastAsiaTheme="minorEastAsia"/>
          <w:sz w:val="24"/>
          <w:szCs w:val="24"/>
          <w:highlight w:val="none"/>
        </w:rPr>
        <w:t>端切换等。</w:t>
      </w:r>
    </w:p>
    <w:p w14:paraId="39B42555">
      <w:pPr>
        <w:autoSpaceDE w:val="0"/>
        <w:autoSpaceDN w:val="0"/>
        <w:spacing w:line="360" w:lineRule="auto"/>
        <w:ind w:firstLine="482"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造价专业：提交给发包人的造价文件，经核查后，偏差大于±10%</w:t>
      </w:r>
      <w:r>
        <w:rPr>
          <w:rFonts w:hint="eastAsia" w:cs="宋体" w:asciiTheme="minorEastAsia" w:hAnsiTheme="minorEastAsia" w:eastAsiaTheme="minorEastAsia"/>
          <w:spacing w:val="1"/>
          <w:sz w:val="24"/>
          <w:szCs w:val="24"/>
          <w:highlight w:val="none"/>
        </w:rPr>
        <w:t>的。</w:t>
      </w:r>
    </w:p>
    <w:p w14:paraId="10232348">
      <w:pPr>
        <w:autoSpaceDE w:val="0"/>
        <w:autoSpaceDN w:val="0"/>
        <w:spacing w:line="360" w:lineRule="auto"/>
        <w:ind w:firstLine="482"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B</w:t>
      </w:r>
      <w:r>
        <w:rPr>
          <w:rFonts w:hint="eastAsia" w:cs="宋体" w:asciiTheme="minorEastAsia" w:hAnsiTheme="minorEastAsia" w:eastAsiaTheme="minorEastAsia"/>
          <w:spacing w:val="1"/>
          <w:sz w:val="24"/>
          <w:szCs w:val="24"/>
          <w:highlight w:val="none"/>
        </w:rPr>
        <w:t>、设计不</w:t>
      </w:r>
      <w:r>
        <w:rPr>
          <w:rFonts w:hint="eastAsia" w:cs="宋体" w:asciiTheme="minorEastAsia" w:hAnsiTheme="minorEastAsia" w:eastAsiaTheme="minorEastAsia"/>
          <w:sz w:val="24"/>
          <w:szCs w:val="24"/>
          <w:highlight w:val="none"/>
        </w:rPr>
        <w:t>周、构造或用料不当，有可能造成影响局部使用效果，或重要部位尺寸错误，有</w:t>
      </w:r>
      <w:r>
        <w:rPr>
          <w:rFonts w:hint="eastAsia" w:cs="宋体" w:asciiTheme="minorEastAsia" w:hAnsiTheme="minorEastAsia" w:eastAsiaTheme="minorEastAsia"/>
          <w:spacing w:val="1"/>
          <w:sz w:val="24"/>
          <w:szCs w:val="24"/>
          <w:highlight w:val="none"/>
        </w:rPr>
        <w:t>可能</w:t>
      </w:r>
      <w:r>
        <w:rPr>
          <w:rFonts w:hint="eastAsia" w:cs="宋体" w:asciiTheme="minorEastAsia" w:hAnsiTheme="minorEastAsia" w:eastAsiaTheme="minorEastAsia"/>
          <w:sz w:val="24"/>
          <w:szCs w:val="24"/>
          <w:highlight w:val="none"/>
        </w:rPr>
        <w:t>造成严重后果，如：</w:t>
      </w:r>
    </w:p>
    <w:p w14:paraId="2626FC29">
      <w:pPr>
        <w:autoSpaceDE w:val="0"/>
        <w:autoSpaceDN w:val="0"/>
        <w:spacing w:line="360" w:lineRule="auto"/>
        <w:ind w:firstLine="470"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3"/>
          <w:sz w:val="24"/>
          <w:szCs w:val="24"/>
          <w:highlight w:val="none"/>
        </w:rPr>
        <w:t>建筑专业：</w:t>
      </w:r>
      <w:r>
        <w:rPr>
          <w:rFonts w:hint="eastAsia" w:cs="宋体" w:asciiTheme="minorEastAsia" w:hAnsiTheme="minorEastAsia" w:eastAsiaTheme="minorEastAsia"/>
          <w:spacing w:val="-2"/>
          <w:sz w:val="24"/>
          <w:szCs w:val="24"/>
          <w:highlight w:val="none"/>
        </w:rPr>
        <w:t>结构承重部分在建筑图中未完全反映或错误；</w:t>
      </w:r>
      <w:r>
        <w:rPr>
          <w:rFonts w:hint="eastAsia" w:cs="宋体" w:asciiTheme="minorEastAsia" w:hAnsiTheme="minorEastAsia" w:eastAsiaTheme="minorEastAsia"/>
          <w:spacing w:val="-4"/>
          <w:sz w:val="24"/>
          <w:szCs w:val="24"/>
          <w:highlight w:val="none"/>
        </w:rPr>
        <w:t>声光</w:t>
      </w:r>
      <w:r>
        <w:rPr>
          <w:rFonts w:hint="eastAsia" w:cs="宋体" w:asciiTheme="minorEastAsia" w:hAnsiTheme="minorEastAsia" w:eastAsiaTheme="minorEastAsia"/>
          <w:spacing w:val="-3"/>
          <w:sz w:val="24"/>
          <w:szCs w:val="24"/>
          <w:highlight w:val="none"/>
        </w:rPr>
        <w:t>热防水防潮等的技术处理欠妥</w:t>
      </w:r>
      <w:r>
        <w:rPr>
          <w:rFonts w:hint="eastAsia" w:cs="宋体" w:asciiTheme="minorEastAsia" w:hAnsiTheme="minorEastAsia" w:eastAsiaTheme="minorEastAsia"/>
          <w:sz w:val="24"/>
          <w:szCs w:val="24"/>
          <w:highlight w:val="none"/>
        </w:rPr>
        <w:t>等。</w:t>
      </w:r>
    </w:p>
    <w:p w14:paraId="39D5082E">
      <w:pPr>
        <w:autoSpaceDE w:val="0"/>
        <w:autoSpaceDN w:val="0"/>
        <w:spacing w:line="360" w:lineRule="auto"/>
        <w:ind w:firstLine="470"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3"/>
          <w:sz w:val="24"/>
          <w:szCs w:val="24"/>
          <w:highlight w:val="none"/>
        </w:rPr>
        <w:t>结构专业</w:t>
      </w:r>
      <w:r>
        <w:rPr>
          <w:rFonts w:hint="eastAsia" w:cs="宋体" w:asciiTheme="minorEastAsia" w:hAnsiTheme="minorEastAsia" w:eastAsiaTheme="minorEastAsia"/>
          <w:sz w:val="24"/>
          <w:szCs w:val="24"/>
          <w:highlight w:val="none"/>
        </w:rPr>
        <w:t>:</w:t>
      </w:r>
      <w:r>
        <w:rPr>
          <w:rFonts w:hint="eastAsia" w:cs="宋体" w:asciiTheme="minorEastAsia" w:hAnsiTheme="minorEastAsia" w:eastAsiaTheme="minorEastAsia"/>
          <w:spacing w:val="-3"/>
          <w:sz w:val="24"/>
          <w:szCs w:val="24"/>
          <w:highlight w:val="none"/>
        </w:rPr>
        <w:t>各种门</w:t>
      </w:r>
      <w:r>
        <w:rPr>
          <w:rFonts w:hint="eastAsia" w:cs="宋体" w:asciiTheme="minorEastAsia" w:hAnsiTheme="minorEastAsia" w:eastAsiaTheme="minorEastAsia"/>
          <w:spacing w:val="-1"/>
          <w:sz w:val="24"/>
          <w:szCs w:val="24"/>
          <w:highlight w:val="none"/>
        </w:rPr>
        <w:t>/</w:t>
      </w:r>
      <w:r>
        <w:rPr>
          <w:rFonts w:hint="eastAsia" w:cs="宋体" w:asciiTheme="minorEastAsia" w:hAnsiTheme="minorEastAsia" w:eastAsiaTheme="minorEastAsia"/>
          <w:spacing w:val="-3"/>
          <w:sz w:val="24"/>
          <w:szCs w:val="24"/>
          <w:highlight w:val="none"/>
        </w:rPr>
        <w:t>窗洞高度不符合建筑设计要求，</w:t>
      </w:r>
      <w:r>
        <w:rPr>
          <w:rFonts w:hint="eastAsia" w:cs="宋体" w:asciiTheme="minorEastAsia" w:hAnsiTheme="minorEastAsia" w:eastAsiaTheme="minorEastAsia"/>
          <w:spacing w:val="-2"/>
          <w:sz w:val="24"/>
          <w:szCs w:val="24"/>
          <w:highlight w:val="none"/>
        </w:rPr>
        <w:t>严重影响使用要求；</w:t>
      </w:r>
      <w:r>
        <w:rPr>
          <w:rFonts w:hint="eastAsia" w:cs="宋体" w:asciiTheme="minorEastAsia" w:hAnsiTheme="minorEastAsia" w:eastAsiaTheme="minorEastAsia"/>
          <w:spacing w:val="-4"/>
          <w:sz w:val="24"/>
          <w:szCs w:val="24"/>
          <w:highlight w:val="none"/>
        </w:rPr>
        <w:t>存</w:t>
      </w:r>
      <w:r>
        <w:rPr>
          <w:rFonts w:hint="eastAsia" w:cs="宋体" w:asciiTheme="minorEastAsia" w:hAnsiTheme="minorEastAsia" w:eastAsiaTheme="minorEastAsia"/>
          <w:spacing w:val="-3"/>
          <w:sz w:val="24"/>
          <w:szCs w:val="24"/>
          <w:highlight w:val="none"/>
        </w:rPr>
        <w:t>在明显的未设计部</w:t>
      </w:r>
      <w:r>
        <w:rPr>
          <w:rFonts w:hint="eastAsia" w:cs="宋体" w:asciiTheme="minorEastAsia" w:hAnsiTheme="minorEastAsia" w:eastAsiaTheme="minorEastAsia"/>
          <w:sz w:val="24"/>
          <w:szCs w:val="24"/>
          <w:highlight w:val="none"/>
        </w:rPr>
        <w:t>分，影响现场进度；结构标高与建筑面层要求不</w:t>
      </w:r>
      <w:r>
        <w:rPr>
          <w:rFonts w:hint="eastAsia" w:cs="宋体" w:asciiTheme="minorEastAsia" w:hAnsiTheme="minorEastAsia" w:eastAsiaTheme="minorEastAsia"/>
          <w:spacing w:val="-1"/>
          <w:sz w:val="24"/>
          <w:szCs w:val="24"/>
          <w:highlight w:val="none"/>
        </w:rPr>
        <w:t>符；阳台</w:t>
      </w:r>
      <w:r>
        <w:rPr>
          <w:rFonts w:hint="eastAsia" w:cs="宋体" w:asciiTheme="minorEastAsia" w:hAnsiTheme="minorEastAsia" w:eastAsiaTheme="minorEastAsia"/>
          <w:sz w:val="24"/>
          <w:szCs w:val="24"/>
          <w:highlight w:val="none"/>
        </w:rPr>
        <w:t>、雨蓬的倾覆安全不够，钢筋混凝土构</w:t>
      </w:r>
      <w:r>
        <w:rPr>
          <w:rFonts w:hint="eastAsia" w:cs="宋体" w:asciiTheme="minorEastAsia" w:hAnsiTheme="minorEastAsia" w:eastAsiaTheme="minorEastAsia"/>
          <w:spacing w:val="1"/>
          <w:sz w:val="24"/>
          <w:szCs w:val="24"/>
          <w:highlight w:val="none"/>
        </w:rPr>
        <w:t>件配筋与</w:t>
      </w:r>
      <w:r>
        <w:rPr>
          <w:rFonts w:hint="eastAsia" w:cs="宋体" w:asciiTheme="minorEastAsia" w:hAnsiTheme="minorEastAsia" w:eastAsiaTheme="minorEastAsia"/>
          <w:sz w:val="24"/>
          <w:szCs w:val="24"/>
          <w:highlight w:val="none"/>
        </w:rPr>
        <w:t>计算书不符；应设置构造钢筋的部位不设或少设。</w:t>
      </w:r>
    </w:p>
    <w:p w14:paraId="23A06A13">
      <w:pPr>
        <w:autoSpaceDE w:val="0"/>
        <w:autoSpaceDN w:val="0"/>
        <w:spacing w:line="360" w:lineRule="auto"/>
        <w:ind w:firstLine="482"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给排水专业:</w:t>
      </w:r>
      <w:r>
        <w:rPr>
          <w:rFonts w:hint="eastAsia" w:cs="宋体" w:asciiTheme="minorEastAsia" w:hAnsiTheme="minorEastAsia" w:eastAsiaTheme="minorEastAsia"/>
          <w:spacing w:val="1"/>
          <w:sz w:val="24"/>
          <w:szCs w:val="24"/>
          <w:highlight w:val="none"/>
        </w:rPr>
        <w:t>选用</w:t>
      </w:r>
      <w:r>
        <w:rPr>
          <w:rFonts w:hint="eastAsia" w:cs="宋体" w:asciiTheme="minorEastAsia" w:hAnsiTheme="minorEastAsia" w:eastAsiaTheme="minorEastAsia"/>
          <w:sz w:val="24"/>
          <w:szCs w:val="24"/>
          <w:highlight w:val="none"/>
        </w:rPr>
        <w:t>了已淘汰的耗能大的设备。热交换间未考虑检修条件等。</w:t>
      </w:r>
    </w:p>
    <w:p w14:paraId="08EDE039">
      <w:pPr>
        <w:autoSpaceDE w:val="0"/>
        <w:autoSpaceDN w:val="0"/>
        <w:spacing w:line="360" w:lineRule="auto"/>
        <w:ind w:firstLine="482"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暖通专业:</w:t>
      </w:r>
      <w:r>
        <w:rPr>
          <w:rFonts w:hint="eastAsia" w:cs="宋体" w:asciiTheme="minorEastAsia" w:hAnsiTheme="minorEastAsia" w:eastAsiaTheme="minorEastAsia"/>
          <w:spacing w:val="1"/>
          <w:sz w:val="24"/>
          <w:szCs w:val="24"/>
          <w:highlight w:val="none"/>
        </w:rPr>
        <w:t>选用了已</w:t>
      </w:r>
      <w:r>
        <w:rPr>
          <w:rFonts w:hint="eastAsia" w:cs="宋体" w:asciiTheme="minorEastAsia" w:hAnsiTheme="minorEastAsia" w:eastAsiaTheme="minorEastAsia"/>
          <w:sz w:val="24"/>
          <w:szCs w:val="24"/>
          <w:highlight w:val="none"/>
        </w:rPr>
        <w:t>淘汰的产品；机房布置未考虑检修条件；地下室的机房未考虑设备进出</w:t>
      </w:r>
      <w:r>
        <w:rPr>
          <w:rFonts w:hint="eastAsia" w:cs="宋体" w:asciiTheme="minorEastAsia" w:hAnsiTheme="minorEastAsia" w:eastAsiaTheme="minorEastAsia"/>
          <w:spacing w:val="1"/>
          <w:sz w:val="24"/>
          <w:szCs w:val="24"/>
          <w:highlight w:val="none"/>
        </w:rPr>
        <w:t>孔；风机</w:t>
      </w:r>
      <w:r>
        <w:rPr>
          <w:rFonts w:hint="eastAsia" w:cs="宋体" w:asciiTheme="minorEastAsia" w:hAnsiTheme="minorEastAsia" w:eastAsiaTheme="minorEastAsia"/>
          <w:sz w:val="24"/>
          <w:szCs w:val="24"/>
          <w:highlight w:val="none"/>
        </w:rPr>
        <w:t>的消声、减震处理不当等。</w:t>
      </w:r>
    </w:p>
    <w:p w14:paraId="19E087C3">
      <w:pPr>
        <w:autoSpaceDE w:val="0"/>
        <w:autoSpaceDN w:val="0"/>
        <w:spacing w:line="360" w:lineRule="auto"/>
        <w:ind w:firstLine="482"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电气专业:</w:t>
      </w:r>
      <w:r>
        <w:rPr>
          <w:rFonts w:hint="eastAsia" w:cs="宋体" w:asciiTheme="minorEastAsia" w:hAnsiTheme="minorEastAsia" w:eastAsiaTheme="minorEastAsia"/>
          <w:spacing w:val="1"/>
          <w:sz w:val="24"/>
          <w:szCs w:val="24"/>
          <w:highlight w:val="none"/>
        </w:rPr>
        <w:t>强、弱电</w:t>
      </w:r>
      <w:r>
        <w:rPr>
          <w:rFonts w:hint="eastAsia" w:cs="宋体" w:asciiTheme="minorEastAsia" w:hAnsiTheme="minorEastAsia" w:eastAsiaTheme="minorEastAsia"/>
          <w:sz w:val="24"/>
          <w:szCs w:val="24"/>
          <w:highlight w:val="none"/>
        </w:rPr>
        <w:t>各种线路布局，设备选型不当，安装图和非标准图制作尺寸以及安装不符等。</w:t>
      </w:r>
    </w:p>
    <w:p w14:paraId="0C988376">
      <w:pPr>
        <w:autoSpaceDE w:val="0"/>
        <w:autoSpaceDN w:val="0"/>
        <w:spacing w:line="360" w:lineRule="auto"/>
        <w:ind w:firstLine="482"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C</w:t>
      </w:r>
      <w:r>
        <w:rPr>
          <w:rFonts w:hint="eastAsia" w:cs="宋体" w:asciiTheme="minorEastAsia" w:hAnsiTheme="minorEastAsia" w:eastAsiaTheme="minorEastAsia"/>
          <w:spacing w:val="1"/>
          <w:sz w:val="24"/>
          <w:szCs w:val="24"/>
          <w:highlight w:val="none"/>
        </w:rPr>
        <w:t>、工种配</w:t>
      </w:r>
      <w:r>
        <w:rPr>
          <w:rFonts w:hint="eastAsia" w:cs="宋体" w:asciiTheme="minorEastAsia" w:hAnsiTheme="minorEastAsia" w:eastAsiaTheme="minorEastAsia"/>
          <w:sz w:val="24"/>
          <w:szCs w:val="24"/>
          <w:highlight w:val="none"/>
        </w:rPr>
        <w:t>合严重错误或局部遗漏有可能造成影响使用，或造成施工返工，如梁上预埋孔洞</w:t>
      </w:r>
      <w:r>
        <w:rPr>
          <w:rFonts w:hint="eastAsia" w:cs="宋体" w:asciiTheme="minorEastAsia" w:hAnsiTheme="minorEastAsia" w:eastAsiaTheme="minorEastAsia"/>
          <w:spacing w:val="1"/>
          <w:sz w:val="24"/>
          <w:szCs w:val="24"/>
          <w:highlight w:val="none"/>
        </w:rPr>
        <w:t>严重</w:t>
      </w:r>
      <w:r>
        <w:rPr>
          <w:rFonts w:hint="eastAsia" w:cs="宋体" w:asciiTheme="minorEastAsia" w:hAnsiTheme="minorEastAsia" w:eastAsiaTheme="minorEastAsia"/>
          <w:sz w:val="24"/>
          <w:szCs w:val="24"/>
          <w:highlight w:val="none"/>
        </w:rPr>
        <w:t>影响结构安全。</w:t>
      </w:r>
    </w:p>
    <w:p w14:paraId="23CBD640">
      <w:pPr>
        <w:autoSpaceDE w:val="0"/>
        <w:autoSpaceDN w:val="0"/>
        <w:spacing w:line="360" w:lineRule="auto"/>
        <w:ind w:firstLine="482"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D</w:t>
      </w:r>
      <w:r>
        <w:rPr>
          <w:rFonts w:hint="eastAsia" w:cs="宋体" w:asciiTheme="minorEastAsia" w:hAnsiTheme="minorEastAsia" w:eastAsiaTheme="minorEastAsia"/>
          <w:spacing w:val="1"/>
          <w:sz w:val="24"/>
          <w:szCs w:val="24"/>
          <w:highlight w:val="none"/>
        </w:rPr>
        <w:t>、结构专</w:t>
      </w:r>
      <w:r>
        <w:rPr>
          <w:rFonts w:hint="eastAsia" w:cs="宋体" w:asciiTheme="minorEastAsia" w:hAnsiTheme="minorEastAsia" w:eastAsiaTheme="minorEastAsia"/>
          <w:sz w:val="24"/>
          <w:szCs w:val="24"/>
          <w:highlight w:val="none"/>
        </w:rPr>
        <w:t>业计算、构造层层加码，造成严重浪费者。如设计荷载取用过大，实际配筋又大</w:t>
      </w:r>
      <w:r>
        <w:rPr>
          <w:rFonts w:hint="eastAsia" w:cs="宋体" w:asciiTheme="minorEastAsia" w:hAnsiTheme="minorEastAsia" w:eastAsiaTheme="minorEastAsia"/>
          <w:spacing w:val="1"/>
          <w:sz w:val="24"/>
          <w:szCs w:val="24"/>
          <w:highlight w:val="none"/>
        </w:rPr>
        <w:t>于计</w:t>
      </w:r>
      <w:r>
        <w:rPr>
          <w:rFonts w:hint="eastAsia" w:cs="宋体" w:asciiTheme="minorEastAsia" w:hAnsiTheme="minorEastAsia" w:eastAsiaTheme="minorEastAsia"/>
          <w:sz w:val="24"/>
          <w:szCs w:val="24"/>
          <w:highlight w:val="none"/>
        </w:rPr>
        <w:t>算要求很多等。</w:t>
      </w:r>
    </w:p>
    <w:p w14:paraId="1846D499">
      <w:pPr>
        <w:autoSpaceDE w:val="0"/>
        <w:autoSpaceDN w:val="0"/>
        <w:spacing w:line="360" w:lineRule="auto"/>
        <w:ind w:firstLine="482"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E</w:t>
      </w:r>
      <w:r>
        <w:rPr>
          <w:rFonts w:hint="eastAsia" w:cs="宋体" w:asciiTheme="minorEastAsia" w:hAnsiTheme="minorEastAsia" w:eastAsiaTheme="minorEastAsia"/>
          <w:spacing w:val="1"/>
          <w:sz w:val="24"/>
          <w:szCs w:val="24"/>
          <w:highlight w:val="none"/>
        </w:rPr>
        <w:t>、影响报</w:t>
      </w:r>
      <w:r>
        <w:rPr>
          <w:rFonts w:hint="eastAsia" w:cs="宋体" w:asciiTheme="minorEastAsia" w:hAnsiTheme="minorEastAsia" w:eastAsiaTheme="minorEastAsia"/>
          <w:sz w:val="24"/>
          <w:szCs w:val="24"/>
          <w:highlight w:val="none"/>
        </w:rPr>
        <w:t>建工作的进行；各配套设施建筑或功能区未详细标明或建筑标识不清，影响面积</w:t>
      </w:r>
      <w:r>
        <w:rPr>
          <w:rFonts w:hint="eastAsia" w:cs="宋体" w:asciiTheme="minorEastAsia" w:hAnsiTheme="minorEastAsia" w:eastAsiaTheme="minorEastAsia"/>
          <w:spacing w:val="1"/>
          <w:sz w:val="24"/>
          <w:szCs w:val="24"/>
          <w:highlight w:val="none"/>
        </w:rPr>
        <w:t>查</w:t>
      </w:r>
      <w:r>
        <w:rPr>
          <w:rFonts w:hint="eastAsia" w:cs="宋体" w:asciiTheme="minorEastAsia" w:hAnsiTheme="minorEastAsia" w:eastAsiaTheme="minorEastAsia"/>
          <w:sz w:val="24"/>
          <w:szCs w:val="24"/>
          <w:highlight w:val="none"/>
        </w:rPr>
        <w:t>丈及验收。</w:t>
      </w:r>
    </w:p>
    <w:p w14:paraId="5C7F1CB9">
      <w:pPr>
        <w:autoSpaceDE w:val="0"/>
        <w:autoSpaceDN w:val="0"/>
        <w:spacing w:line="360" w:lineRule="auto"/>
        <w:ind w:firstLine="488" w:firstLineChars="201"/>
        <w:rPr>
          <w:rFonts w:asciiTheme="minorEastAsia" w:hAnsiTheme="minorEastAsia" w:eastAsiaTheme="minorEastAsia"/>
          <w:b/>
          <w:sz w:val="24"/>
          <w:szCs w:val="24"/>
          <w:highlight w:val="none"/>
        </w:rPr>
      </w:pPr>
      <w:r>
        <w:rPr>
          <w:rFonts w:hint="eastAsia" w:cs="宋体" w:asciiTheme="minorEastAsia" w:hAnsiTheme="minorEastAsia" w:eastAsiaTheme="minorEastAsia"/>
          <w:b/>
          <w:spacing w:val="1"/>
          <w:sz w:val="24"/>
          <w:szCs w:val="24"/>
          <w:highlight w:val="none"/>
        </w:rPr>
        <w:t>Ⅳ类</w:t>
      </w:r>
      <w:r>
        <w:rPr>
          <w:rFonts w:hint="eastAsia" w:cs="宋体" w:asciiTheme="minorEastAsia" w:hAnsiTheme="minorEastAsia" w:eastAsiaTheme="minorEastAsia"/>
          <w:b/>
          <w:sz w:val="24"/>
          <w:szCs w:val="24"/>
          <w:highlight w:val="none"/>
        </w:rPr>
        <w:t>错误：</w:t>
      </w:r>
    </w:p>
    <w:p w14:paraId="4EBF3530">
      <w:pPr>
        <w:autoSpaceDE w:val="0"/>
        <w:autoSpaceDN w:val="0"/>
        <w:spacing w:line="360" w:lineRule="auto"/>
        <w:ind w:firstLine="466"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4"/>
          <w:sz w:val="24"/>
          <w:szCs w:val="24"/>
          <w:highlight w:val="none"/>
        </w:rPr>
        <w:t>指设计文件编制上的差错，如</w:t>
      </w:r>
      <w:r>
        <w:rPr>
          <w:rFonts w:hint="eastAsia" w:cs="宋体" w:asciiTheme="minorEastAsia" w:hAnsiTheme="minorEastAsia" w:eastAsiaTheme="minorEastAsia"/>
          <w:sz w:val="24"/>
          <w:szCs w:val="24"/>
          <w:highlight w:val="none"/>
        </w:rPr>
        <w:t>1</w:t>
      </w:r>
      <w:r>
        <w:rPr>
          <w:rFonts w:hint="eastAsia" w:cs="宋体" w:asciiTheme="minorEastAsia" w:hAnsiTheme="minorEastAsia" w:eastAsiaTheme="minorEastAsia"/>
          <w:spacing w:val="-4"/>
          <w:sz w:val="24"/>
          <w:szCs w:val="24"/>
          <w:highlight w:val="none"/>
        </w:rPr>
        <w:t>、说明表达错误；</w:t>
      </w:r>
      <w:r>
        <w:rPr>
          <w:rFonts w:hint="eastAsia" w:cs="宋体" w:asciiTheme="minorEastAsia" w:hAnsiTheme="minorEastAsia" w:eastAsiaTheme="minorEastAsia"/>
          <w:spacing w:val="-1"/>
          <w:sz w:val="24"/>
          <w:szCs w:val="24"/>
          <w:highlight w:val="none"/>
        </w:rPr>
        <w:t>2</w:t>
      </w:r>
      <w:r>
        <w:rPr>
          <w:rFonts w:hint="eastAsia" w:cs="宋体" w:asciiTheme="minorEastAsia" w:hAnsiTheme="minorEastAsia" w:eastAsiaTheme="minorEastAsia"/>
          <w:spacing w:val="-4"/>
          <w:sz w:val="24"/>
          <w:szCs w:val="24"/>
          <w:highlight w:val="none"/>
        </w:rPr>
        <w:t>、不重要的数据、计量单位、尺寸出错；</w:t>
      </w:r>
    </w:p>
    <w:p w14:paraId="5332A14E">
      <w:pPr>
        <w:autoSpaceDE w:val="0"/>
        <w:autoSpaceDN w:val="0"/>
        <w:spacing w:line="360" w:lineRule="auto"/>
        <w:ind w:firstLine="478"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1"/>
          <w:sz w:val="24"/>
          <w:szCs w:val="24"/>
          <w:highlight w:val="none"/>
        </w:rPr>
        <w:t>3</w:t>
      </w:r>
      <w:r>
        <w:rPr>
          <w:rFonts w:hint="eastAsia" w:cs="宋体" w:asciiTheme="minorEastAsia" w:hAnsiTheme="minorEastAsia" w:eastAsiaTheme="minorEastAsia"/>
          <w:spacing w:val="-2"/>
          <w:sz w:val="24"/>
          <w:szCs w:val="24"/>
          <w:highlight w:val="none"/>
        </w:rPr>
        <w:t>、不重要的尺寸线、剖面线、引出线等漏划；</w:t>
      </w:r>
      <w:r>
        <w:rPr>
          <w:rFonts w:hint="eastAsia" w:cs="宋体" w:asciiTheme="minorEastAsia" w:hAnsiTheme="minorEastAsia" w:eastAsiaTheme="minorEastAsia"/>
          <w:spacing w:val="-9"/>
          <w:sz w:val="24"/>
          <w:szCs w:val="24"/>
          <w:highlight w:val="none"/>
        </w:rPr>
        <w:t>4</w:t>
      </w:r>
      <w:r>
        <w:rPr>
          <w:rFonts w:hint="eastAsia" w:cs="宋体" w:asciiTheme="minorEastAsia" w:hAnsiTheme="minorEastAsia" w:eastAsiaTheme="minorEastAsia"/>
          <w:spacing w:val="-2"/>
          <w:sz w:val="24"/>
          <w:szCs w:val="24"/>
          <w:highlight w:val="none"/>
        </w:rPr>
        <w:t>、出现因设计责任引起的四类变更；</w:t>
      </w:r>
      <w:r>
        <w:rPr>
          <w:rFonts w:hint="eastAsia" w:cs="宋体" w:asciiTheme="minorEastAsia" w:hAnsiTheme="minorEastAsia" w:eastAsiaTheme="minorEastAsia"/>
          <w:spacing w:val="-7"/>
          <w:sz w:val="24"/>
          <w:szCs w:val="24"/>
          <w:highlight w:val="none"/>
        </w:rPr>
        <w:t>5</w:t>
      </w:r>
      <w:r>
        <w:rPr>
          <w:rFonts w:hint="eastAsia" w:cs="宋体" w:asciiTheme="minorEastAsia" w:hAnsiTheme="minorEastAsia" w:eastAsiaTheme="minorEastAsia"/>
          <w:spacing w:val="-3"/>
          <w:sz w:val="24"/>
          <w:szCs w:val="24"/>
          <w:highlight w:val="none"/>
        </w:rPr>
        <w:t>、造</w:t>
      </w:r>
      <w:r>
        <w:rPr>
          <w:rFonts w:hint="eastAsia" w:cs="宋体" w:asciiTheme="minorEastAsia" w:hAnsiTheme="minorEastAsia" w:eastAsiaTheme="minorEastAsia"/>
          <w:spacing w:val="-2"/>
          <w:sz w:val="24"/>
          <w:szCs w:val="24"/>
          <w:highlight w:val="none"/>
        </w:rPr>
        <w:t>价文件</w:t>
      </w:r>
      <w:r>
        <w:rPr>
          <w:rFonts w:hint="eastAsia" w:cs="宋体" w:asciiTheme="minorEastAsia" w:hAnsiTheme="minorEastAsia" w:eastAsiaTheme="minorEastAsia"/>
          <w:spacing w:val="1"/>
          <w:sz w:val="24"/>
          <w:szCs w:val="24"/>
          <w:highlight w:val="none"/>
        </w:rPr>
        <w:t>失实</w:t>
      </w:r>
      <w:r>
        <w:rPr>
          <w:rFonts w:hint="eastAsia" w:cs="宋体" w:asciiTheme="minorEastAsia" w:hAnsiTheme="minorEastAsia" w:eastAsiaTheme="minorEastAsia"/>
          <w:sz w:val="24"/>
          <w:szCs w:val="24"/>
          <w:highlight w:val="none"/>
        </w:rPr>
        <w:t>较轻。</w:t>
      </w:r>
    </w:p>
    <w:p w14:paraId="0BB8BBD0">
      <w:pPr>
        <w:autoSpaceDE w:val="0"/>
        <w:autoSpaceDN w:val="0"/>
        <w:spacing w:line="360" w:lineRule="auto"/>
        <w:ind w:firstLine="486"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pacing w:val="1"/>
          <w:sz w:val="24"/>
          <w:szCs w:val="24"/>
          <w:highlight w:val="none"/>
        </w:rPr>
        <w:t>按照</w:t>
      </w:r>
      <w:r>
        <w:rPr>
          <w:rFonts w:hint="eastAsia" w:cs="宋体" w:asciiTheme="minorEastAsia" w:hAnsiTheme="minorEastAsia" w:eastAsiaTheme="minorEastAsia"/>
          <w:sz w:val="24"/>
          <w:szCs w:val="24"/>
          <w:highlight w:val="none"/>
        </w:rPr>
        <w:t>专业具体分为：</w:t>
      </w:r>
    </w:p>
    <w:p w14:paraId="2E2720A6">
      <w:pPr>
        <w:autoSpaceDE w:val="0"/>
        <w:autoSpaceDN w:val="0"/>
        <w:spacing w:line="360" w:lineRule="auto"/>
        <w:ind w:firstLine="482"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A</w:t>
      </w:r>
      <w:r>
        <w:rPr>
          <w:rFonts w:hint="eastAsia" w:cs="宋体" w:asciiTheme="minorEastAsia" w:hAnsiTheme="minorEastAsia" w:eastAsiaTheme="minorEastAsia"/>
          <w:spacing w:val="1"/>
          <w:sz w:val="24"/>
          <w:szCs w:val="24"/>
          <w:highlight w:val="none"/>
        </w:rPr>
        <w:t>、容易修</w:t>
      </w:r>
      <w:r>
        <w:rPr>
          <w:rFonts w:hint="eastAsia" w:cs="宋体" w:asciiTheme="minorEastAsia" w:hAnsiTheme="minorEastAsia" w:eastAsiaTheme="minorEastAsia"/>
          <w:sz w:val="24"/>
          <w:szCs w:val="24"/>
          <w:highlight w:val="none"/>
        </w:rPr>
        <w:t>正、且不造成使用或安全缺陷，但会给建设单位、施工单位带来麻烦，如：</w:t>
      </w:r>
    </w:p>
    <w:p w14:paraId="41BB1877">
      <w:pPr>
        <w:autoSpaceDE w:val="0"/>
        <w:autoSpaceDN w:val="0"/>
        <w:spacing w:line="360" w:lineRule="auto"/>
        <w:ind w:firstLine="470" w:firstLineChars="201"/>
        <w:rPr>
          <w:rFonts w:cs="宋体" w:asciiTheme="minorEastAsia" w:hAnsiTheme="minorEastAsia" w:eastAsiaTheme="minorEastAsia"/>
          <w:sz w:val="24"/>
          <w:szCs w:val="24"/>
          <w:highlight w:val="none"/>
        </w:rPr>
      </w:pPr>
      <w:r>
        <w:rPr>
          <w:rFonts w:hint="eastAsia" w:cs="宋体" w:asciiTheme="minorEastAsia" w:hAnsiTheme="minorEastAsia" w:eastAsiaTheme="minorEastAsia"/>
          <w:spacing w:val="-3"/>
          <w:sz w:val="24"/>
          <w:szCs w:val="24"/>
          <w:highlight w:val="none"/>
        </w:rPr>
        <w:t>建筑、结构、水、暖、电各专业；图纸目录不全、表达不够清楚、平</w:t>
      </w:r>
      <w:r>
        <w:rPr>
          <w:rFonts w:hint="eastAsia" w:cs="宋体" w:asciiTheme="minorEastAsia" w:hAnsiTheme="minorEastAsia" w:eastAsiaTheme="minorEastAsia"/>
          <w:spacing w:val="-2"/>
          <w:sz w:val="24"/>
          <w:szCs w:val="24"/>
          <w:highlight w:val="none"/>
        </w:rPr>
        <w:t>立剖面图不一致、一般</w:t>
      </w:r>
      <w:r>
        <w:rPr>
          <w:rFonts w:hint="eastAsia" w:cs="宋体" w:asciiTheme="minorEastAsia" w:hAnsiTheme="minorEastAsia" w:eastAsiaTheme="minorEastAsia"/>
          <w:spacing w:val="-1"/>
          <w:sz w:val="24"/>
          <w:szCs w:val="24"/>
          <w:highlight w:val="none"/>
        </w:rPr>
        <w:t>性尺寸错</w:t>
      </w:r>
      <w:r>
        <w:rPr>
          <w:rFonts w:hint="eastAsia" w:cs="宋体" w:asciiTheme="minorEastAsia" w:hAnsiTheme="minorEastAsia" w:eastAsiaTheme="minorEastAsia"/>
          <w:sz w:val="24"/>
          <w:szCs w:val="24"/>
          <w:highlight w:val="none"/>
        </w:rPr>
        <w:t>误或不全、图例或符号不合规定、平面图与系统图不一致等。又如：设计文件、计算书</w:t>
      </w:r>
      <w:r>
        <w:rPr>
          <w:rFonts w:hint="eastAsia" w:cs="宋体" w:asciiTheme="minorEastAsia" w:hAnsiTheme="minorEastAsia" w:eastAsiaTheme="minorEastAsia"/>
          <w:spacing w:val="-1"/>
          <w:sz w:val="24"/>
          <w:szCs w:val="24"/>
          <w:highlight w:val="none"/>
        </w:rPr>
        <w:t>及存档材</w:t>
      </w:r>
      <w:r>
        <w:rPr>
          <w:rFonts w:hint="eastAsia" w:cs="宋体" w:asciiTheme="minorEastAsia" w:hAnsiTheme="minorEastAsia" w:eastAsiaTheme="minorEastAsia"/>
          <w:sz w:val="24"/>
          <w:szCs w:val="24"/>
          <w:highlight w:val="none"/>
        </w:rPr>
        <w:t>料的完整性不够；设计说明、图纸目录不全、图例符号表达不合规定；系统图与平面图</w:t>
      </w:r>
      <w:r>
        <w:rPr>
          <w:rFonts w:hint="eastAsia" w:cs="宋体" w:asciiTheme="minorEastAsia" w:hAnsiTheme="minorEastAsia" w:eastAsiaTheme="minorEastAsia"/>
          <w:spacing w:val="1"/>
          <w:sz w:val="24"/>
          <w:szCs w:val="24"/>
          <w:highlight w:val="none"/>
        </w:rPr>
        <w:t>的一致性</w:t>
      </w:r>
      <w:r>
        <w:rPr>
          <w:rFonts w:hint="eastAsia" w:cs="宋体" w:asciiTheme="minorEastAsia" w:hAnsiTheme="minorEastAsia" w:eastAsiaTheme="minorEastAsia"/>
          <w:sz w:val="24"/>
          <w:szCs w:val="24"/>
          <w:highlight w:val="none"/>
        </w:rPr>
        <w:t>的错、漏、碰、缺等。</w:t>
      </w:r>
    </w:p>
    <w:p w14:paraId="144DF8BD">
      <w:pPr>
        <w:autoSpaceDE w:val="0"/>
        <w:autoSpaceDN w:val="0"/>
        <w:spacing w:line="360" w:lineRule="auto"/>
        <w:ind w:firstLine="482" w:firstLineChars="201"/>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造价专业：提交给发包人的造价文件，经核查后，偏差大于±50%</w:t>
      </w:r>
      <w:r>
        <w:rPr>
          <w:rFonts w:hint="eastAsia" w:cs="宋体" w:asciiTheme="minorEastAsia" w:hAnsiTheme="minorEastAsia" w:eastAsiaTheme="minorEastAsia"/>
          <w:spacing w:val="1"/>
          <w:sz w:val="24"/>
          <w:szCs w:val="24"/>
          <w:highlight w:val="none"/>
        </w:rPr>
        <w:t>的。</w:t>
      </w:r>
    </w:p>
    <w:p w14:paraId="02695256">
      <w:pPr>
        <w:spacing w:line="360" w:lineRule="auto"/>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B</w:t>
      </w:r>
      <w:r>
        <w:rPr>
          <w:rFonts w:hint="eastAsia" w:cs="宋体" w:asciiTheme="minorEastAsia" w:hAnsiTheme="minorEastAsia" w:eastAsiaTheme="minorEastAsia"/>
          <w:spacing w:val="1"/>
          <w:sz w:val="24"/>
          <w:szCs w:val="24"/>
          <w:highlight w:val="none"/>
        </w:rPr>
        <w:t>、工种配</w:t>
      </w:r>
      <w:r>
        <w:rPr>
          <w:rFonts w:hint="eastAsia" w:cs="宋体" w:asciiTheme="minorEastAsia" w:hAnsiTheme="minorEastAsia" w:eastAsiaTheme="minorEastAsia"/>
          <w:sz w:val="24"/>
          <w:szCs w:val="24"/>
          <w:highlight w:val="none"/>
        </w:rPr>
        <w:t>合中的一般性错误，容易修正，且不致造成影响使用效果或安全。</w:t>
      </w:r>
    </w:p>
    <w:p w14:paraId="4980701E">
      <w:pPr>
        <w:spacing w:line="360" w:lineRule="auto"/>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br w:type="page"/>
      </w:r>
      <w:r>
        <w:rPr>
          <w:rFonts w:hint="eastAsia" w:asciiTheme="minorEastAsia" w:hAnsiTheme="minorEastAsia" w:eastAsiaTheme="minorEastAsia"/>
          <w:b/>
          <w:sz w:val="24"/>
          <w:szCs w:val="24"/>
          <w:highlight w:val="none"/>
        </w:rPr>
        <w:t>附件6：</w:t>
      </w:r>
      <w:r>
        <w:rPr>
          <w:rFonts w:hint="eastAsia" w:cs="宋体" w:asciiTheme="minorEastAsia" w:hAnsiTheme="minorEastAsia" w:eastAsiaTheme="minorEastAsia"/>
          <w:b/>
          <w:sz w:val="24"/>
          <w:szCs w:val="24"/>
          <w:highlight w:val="none"/>
        </w:rPr>
        <w:t>勘察协议条款</w:t>
      </w:r>
    </w:p>
    <w:p w14:paraId="6F6906A9">
      <w:pPr>
        <w:adjustRightInd w:val="0"/>
        <w:snapToGrid w:val="0"/>
        <w:spacing w:line="360" w:lineRule="auto"/>
        <w:jc w:val="center"/>
        <w:outlineLvl w:val="1"/>
        <w:rPr>
          <w:rFonts w:cs="宋体" w:asciiTheme="minorEastAsia" w:hAnsiTheme="minorEastAsia" w:eastAsiaTheme="minorEastAsia"/>
          <w:b/>
          <w:sz w:val="24"/>
          <w:szCs w:val="24"/>
          <w:highlight w:val="none"/>
        </w:rPr>
      </w:pPr>
      <w:bookmarkStart w:id="178" w:name="_Toc57189730"/>
      <w:r>
        <w:rPr>
          <w:rFonts w:hint="eastAsia" w:cs="宋体" w:asciiTheme="minorEastAsia" w:hAnsiTheme="minorEastAsia" w:eastAsiaTheme="minorEastAsia"/>
          <w:b/>
          <w:sz w:val="24"/>
          <w:szCs w:val="24"/>
          <w:highlight w:val="none"/>
        </w:rPr>
        <w:t>勘察协议条款</w:t>
      </w:r>
      <w:bookmarkEnd w:id="178"/>
    </w:p>
    <w:p w14:paraId="7664179B">
      <w:pPr>
        <w:adjustRightInd w:val="0"/>
        <w:snapToGrid w:val="0"/>
        <w:spacing w:line="360" w:lineRule="auto"/>
        <w:jc w:val="left"/>
        <w:outlineLvl w:val="1"/>
        <w:rPr>
          <w:rFonts w:cs="宋体" w:asciiTheme="minorEastAsia" w:hAnsiTheme="minorEastAsia" w:eastAsiaTheme="minorEastAsia"/>
          <w:b/>
          <w:sz w:val="24"/>
          <w:szCs w:val="24"/>
          <w:highlight w:val="none"/>
        </w:rPr>
      </w:pPr>
    </w:p>
    <w:p w14:paraId="0EA36B23">
      <w:pPr>
        <w:spacing w:line="360" w:lineRule="auto"/>
        <w:ind w:left="1" w:firstLine="479" w:firstLineChars="199"/>
        <w:rPr>
          <w:rFonts w:asciiTheme="minorEastAsia" w:hAnsiTheme="minorEastAsia" w:eastAsiaTheme="minorEastAsia"/>
          <w:sz w:val="24"/>
          <w:szCs w:val="24"/>
          <w:highlight w:val="none"/>
        </w:rPr>
      </w:pPr>
      <w:r>
        <w:rPr>
          <w:rFonts w:hint="eastAsia" w:asciiTheme="minorEastAsia" w:hAnsiTheme="minorEastAsia" w:eastAsiaTheme="minorEastAsia"/>
          <w:b/>
          <w:sz w:val="24"/>
          <w:szCs w:val="24"/>
          <w:highlight w:val="none"/>
        </w:rPr>
        <w:t>1</w:t>
      </w:r>
      <w:r>
        <w:rPr>
          <w:rFonts w:hint="eastAsia" w:asciiTheme="minorEastAsia" w:hAnsiTheme="minorEastAsia" w:eastAsiaTheme="minorEastAsia"/>
          <w:sz w:val="24"/>
          <w:szCs w:val="24"/>
          <w:highlight w:val="none"/>
        </w:rPr>
        <w:t>.勘察内容</w:t>
      </w:r>
    </w:p>
    <w:p w14:paraId="5D76A313">
      <w:pPr>
        <w:spacing w:line="360" w:lineRule="auto"/>
        <w:ind w:left="1"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1.1勘察依据：</w:t>
      </w:r>
    </w:p>
    <w:p w14:paraId="4ACB99A7">
      <w:pPr>
        <w:pStyle w:val="48"/>
        <w:adjustRightInd w:val="0"/>
        <w:snapToGrid w:val="0"/>
        <w:spacing w:before="0" w:beforeAutospacing="0" w:after="0" w:afterAutospacing="0" w:line="360" w:lineRule="auto"/>
        <w:ind w:firstLine="480" w:firstLineChars="200"/>
        <w:rPr>
          <w:rFonts w:asciiTheme="minorEastAsia" w:hAnsiTheme="minorEastAsia" w:eastAsiaTheme="minorEastAsia"/>
          <w:snapToGrid w:val="0"/>
          <w:highlight w:val="none"/>
        </w:rPr>
      </w:pPr>
      <w:r>
        <w:rPr>
          <w:rFonts w:hint="eastAsia" w:asciiTheme="minorEastAsia" w:hAnsiTheme="minorEastAsia" w:eastAsiaTheme="minorEastAsia"/>
          <w:snapToGrid w:val="0"/>
          <w:highlight w:val="none"/>
        </w:rPr>
        <w:t>（1）中华人民共和国现行有关的法律、行政法规、司法解释、部门规章、相关的工程勘察技术规范、规定及标准，和广东省、项目所在地现行有关的地方性法规、相关的工程勘察技术规范、规定及标准；</w:t>
      </w:r>
    </w:p>
    <w:p w14:paraId="374423C9">
      <w:pPr>
        <w:pStyle w:val="48"/>
        <w:adjustRightInd w:val="0"/>
        <w:snapToGrid w:val="0"/>
        <w:spacing w:before="0" w:beforeAutospacing="0" w:after="0" w:afterAutospacing="0" w:line="360" w:lineRule="auto"/>
        <w:ind w:firstLine="480" w:firstLineChars="200"/>
        <w:rPr>
          <w:rFonts w:asciiTheme="minorEastAsia" w:hAnsiTheme="minorEastAsia" w:eastAsiaTheme="minorEastAsia"/>
          <w:snapToGrid w:val="0"/>
          <w:highlight w:val="none"/>
        </w:rPr>
      </w:pPr>
      <w:r>
        <w:rPr>
          <w:rFonts w:hint="eastAsia" w:asciiTheme="minorEastAsia" w:hAnsiTheme="minorEastAsia" w:eastAsiaTheme="minorEastAsia"/>
          <w:snapToGrid w:val="0"/>
          <w:highlight w:val="none"/>
        </w:rPr>
        <w:t>（2）发包人提供的相关勘察资料；</w:t>
      </w:r>
    </w:p>
    <w:p w14:paraId="05330C33">
      <w:pPr>
        <w:pStyle w:val="48"/>
        <w:adjustRightInd w:val="0"/>
        <w:snapToGrid w:val="0"/>
        <w:spacing w:before="0" w:beforeAutospacing="0" w:after="0" w:afterAutospacing="0" w:line="360" w:lineRule="auto"/>
        <w:ind w:firstLine="480" w:firstLineChars="200"/>
        <w:rPr>
          <w:rFonts w:asciiTheme="minorEastAsia" w:hAnsiTheme="minorEastAsia" w:eastAsiaTheme="minorEastAsia"/>
          <w:snapToGrid w:val="0"/>
          <w:highlight w:val="none"/>
        </w:rPr>
      </w:pPr>
      <w:r>
        <w:rPr>
          <w:rFonts w:hint="eastAsia" w:asciiTheme="minorEastAsia" w:hAnsiTheme="minorEastAsia" w:eastAsiaTheme="minorEastAsia"/>
          <w:snapToGrid w:val="0"/>
          <w:highlight w:val="none"/>
        </w:rPr>
        <w:t>（3）本项目工程勘察许可等批文(复印件)；</w:t>
      </w:r>
    </w:p>
    <w:p w14:paraId="366073A7">
      <w:pPr>
        <w:pStyle w:val="48"/>
        <w:adjustRightInd w:val="0"/>
        <w:snapToGrid w:val="0"/>
        <w:spacing w:before="0" w:beforeAutospacing="0" w:after="0" w:afterAutospacing="0" w:line="360" w:lineRule="auto"/>
        <w:ind w:firstLine="480" w:firstLineChars="200"/>
        <w:rPr>
          <w:rFonts w:asciiTheme="minorEastAsia" w:hAnsiTheme="minorEastAsia" w:eastAsiaTheme="minorEastAsia"/>
          <w:snapToGrid w:val="0"/>
          <w:highlight w:val="none"/>
        </w:rPr>
      </w:pPr>
      <w:r>
        <w:rPr>
          <w:rFonts w:hint="eastAsia" w:asciiTheme="minorEastAsia" w:hAnsiTheme="minorEastAsia" w:eastAsiaTheme="minorEastAsia"/>
          <w:snapToGrid w:val="0"/>
          <w:highlight w:val="none"/>
        </w:rPr>
        <w:t>（4）发包人提供由规划部门认可的用地红线和地形图；</w:t>
      </w:r>
    </w:p>
    <w:p w14:paraId="74DE4998">
      <w:pPr>
        <w:pStyle w:val="48"/>
        <w:adjustRightInd w:val="0"/>
        <w:snapToGrid w:val="0"/>
        <w:spacing w:before="0" w:beforeAutospacing="0" w:after="0" w:afterAutospacing="0" w:line="360" w:lineRule="auto"/>
        <w:ind w:firstLine="480" w:firstLineChars="200"/>
        <w:rPr>
          <w:rFonts w:asciiTheme="minorEastAsia" w:hAnsiTheme="minorEastAsia" w:eastAsiaTheme="minorEastAsia"/>
          <w:snapToGrid w:val="0"/>
          <w:highlight w:val="none"/>
        </w:rPr>
      </w:pPr>
      <w:r>
        <w:rPr>
          <w:rFonts w:hint="eastAsia" w:asciiTheme="minorEastAsia" w:hAnsiTheme="minorEastAsia" w:eastAsiaTheme="minorEastAsia"/>
          <w:snapToGrid w:val="0"/>
          <w:highlight w:val="none"/>
        </w:rPr>
        <w:t>（5）本合同工程的基础资料，包括用地红线坐标(表)、现状地形图、场地标高、市政设施图的资料（绿化、道路、管线、建构筑物等）、勘察工作范围内地下管线图 (包括电力、电讯电缆、煤气、自来水、污水等各种管道)以及人防设施、洞室等具体位置分布图；</w:t>
      </w:r>
    </w:p>
    <w:p w14:paraId="43DC71C0">
      <w:pPr>
        <w:pStyle w:val="48"/>
        <w:adjustRightInd w:val="0"/>
        <w:snapToGrid w:val="0"/>
        <w:spacing w:before="0" w:beforeAutospacing="0" w:after="0" w:afterAutospacing="0" w:line="360" w:lineRule="auto"/>
        <w:ind w:firstLine="480" w:firstLineChars="200"/>
        <w:rPr>
          <w:rFonts w:asciiTheme="minorEastAsia" w:hAnsiTheme="minorEastAsia" w:eastAsiaTheme="minorEastAsia"/>
          <w:snapToGrid w:val="0"/>
          <w:highlight w:val="none"/>
        </w:rPr>
      </w:pPr>
      <w:r>
        <w:rPr>
          <w:rFonts w:hint="eastAsia" w:asciiTheme="minorEastAsia" w:hAnsiTheme="minorEastAsia" w:eastAsiaTheme="minorEastAsia"/>
          <w:snapToGrid w:val="0"/>
          <w:highlight w:val="none"/>
        </w:rPr>
        <w:t>（6）勘察范围的建筑总平面布置图、勘察技术要求、技术资料；</w:t>
      </w:r>
    </w:p>
    <w:p w14:paraId="5EE28423">
      <w:pPr>
        <w:pStyle w:val="48"/>
        <w:adjustRightInd w:val="0"/>
        <w:snapToGrid w:val="0"/>
        <w:spacing w:before="0" w:beforeAutospacing="0" w:after="0" w:afterAutospacing="0" w:line="360" w:lineRule="auto"/>
        <w:ind w:firstLine="480" w:firstLineChars="200"/>
        <w:rPr>
          <w:rFonts w:asciiTheme="minorEastAsia" w:hAnsiTheme="minorEastAsia" w:eastAsiaTheme="minorEastAsia"/>
          <w:snapToGrid w:val="0"/>
          <w:highlight w:val="none"/>
        </w:rPr>
      </w:pPr>
      <w:r>
        <w:rPr>
          <w:rFonts w:hint="eastAsia" w:asciiTheme="minorEastAsia" w:hAnsiTheme="minorEastAsia" w:eastAsiaTheme="minorEastAsia"/>
          <w:snapToGrid w:val="0"/>
          <w:highlight w:val="none"/>
        </w:rPr>
        <w:t>（7）发包人关于设计、图档、图文、工程等相关管理办法，具体见本合同附件；</w:t>
      </w:r>
    </w:p>
    <w:p w14:paraId="0432D093">
      <w:pPr>
        <w:pStyle w:val="48"/>
        <w:adjustRightInd w:val="0"/>
        <w:snapToGrid w:val="0"/>
        <w:spacing w:before="0" w:beforeAutospacing="0" w:after="0" w:afterAutospacing="0" w:line="360" w:lineRule="auto"/>
        <w:ind w:firstLine="480" w:firstLineChars="200"/>
        <w:rPr>
          <w:rFonts w:asciiTheme="minorEastAsia" w:hAnsiTheme="minorEastAsia" w:eastAsiaTheme="minorEastAsia"/>
          <w:snapToGrid w:val="0"/>
          <w:highlight w:val="none"/>
        </w:rPr>
      </w:pPr>
      <w:r>
        <w:rPr>
          <w:rFonts w:hint="eastAsia" w:asciiTheme="minorEastAsia" w:hAnsiTheme="minorEastAsia" w:eastAsiaTheme="minorEastAsia"/>
          <w:snapToGrid w:val="0"/>
          <w:highlight w:val="none"/>
        </w:rPr>
        <w:t>（8）甲、乙双方签署的合同及其附件和补充文件；</w:t>
      </w:r>
    </w:p>
    <w:p w14:paraId="7B264D6F">
      <w:pPr>
        <w:pStyle w:val="48"/>
        <w:adjustRightInd w:val="0"/>
        <w:snapToGrid w:val="0"/>
        <w:spacing w:before="0" w:beforeAutospacing="0" w:after="0" w:afterAutospacing="0" w:line="360" w:lineRule="auto"/>
        <w:ind w:firstLine="480" w:firstLineChars="200"/>
        <w:rPr>
          <w:rFonts w:asciiTheme="minorEastAsia" w:hAnsiTheme="minorEastAsia" w:eastAsiaTheme="minorEastAsia"/>
          <w:snapToGrid w:val="0"/>
          <w:highlight w:val="none"/>
        </w:rPr>
      </w:pPr>
      <w:r>
        <w:rPr>
          <w:rFonts w:hint="eastAsia" w:asciiTheme="minorEastAsia" w:hAnsiTheme="minorEastAsia" w:eastAsiaTheme="minorEastAsia"/>
          <w:snapToGrid w:val="0"/>
          <w:highlight w:val="none"/>
        </w:rPr>
        <w:t>（9）设计和建设过程中的政府审批意见，政府或发包人委托或组织的评审机构（会议）提出的或发包人发出的阶段性书面意见，双方来往的各类书面文件、会议纪要等。</w:t>
      </w:r>
    </w:p>
    <w:p w14:paraId="604D1191">
      <w:pPr>
        <w:spacing w:line="360" w:lineRule="auto"/>
        <w:ind w:left="1" w:firstLine="480" w:firstLineChars="200"/>
        <w:rPr>
          <w:rFonts w:asciiTheme="minorEastAsia" w:hAnsiTheme="minorEastAsia" w:eastAsiaTheme="minorEastAsia"/>
          <w:sz w:val="24"/>
          <w:szCs w:val="24"/>
          <w:highlight w:val="none"/>
          <w:u w:val="single"/>
        </w:rPr>
      </w:pPr>
      <w:r>
        <w:rPr>
          <w:rFonts w:hint="eastAsia" w:cs="宋体" w:asciiTheme="minorEastAsia" w:hAnsiTheme="minorEastAsia" w:eastAsiaTheme="minorEastAsia"/>
          <w:snapToGrid w:val="0"/>
          <w:sz w:val="24"/>
          <w:szCs w:val="24"/>
          <w:highlight w:val="none"/>
        </w:rPr>
        <w:t>（10）中标通知书或发包人的勘察任务委托书。</w:t>
      </w:r>
      <w:r>
        <w:rPr>
          <w:rFonts w:hint="eastAsia" w:asciiTheme="minorEastAsia" w:hAnsiTheme="minorEastAsia" w:eastAsiaTheme="minorEastAsia"/>
          <w:sz w:val="24"/>
          <w:szCs w:val="24"/>
          <w:highlight w:val="none"/>
        </w:rPr>
        <w:t>1.2勘察任务和内容：</w:t>
      </w:r>
      <w:r>
        <w:rPr>
          <w:rFonts w:hint="eastAsia" w:asciiTheme="minorEastAsia" w:hAnsiTheme="minorEastAsia" w:eastAsiaTheme="minorEastAsia"/>
          <w:sz w:val="24"/>
          <w:szCs w:val="24"/>
          <w:highlight w:val="none"/>
          <w:u w:val="single"/>
        </w:rPr>
        <w:t>包括但不限于岩土工程</w:t>
      </w:r>
      <w:r>
        <w:rPr>
          <w:rFonts w:hint="eastAsia" w:cs="宋体" w:asciiTheme="minorEastAsia" w:hAnsiTheme="minorEastAsia" w:eastAsiaTheme="minorEastAsia"/>
          <w:sz w:val="24"/>
          <w:szCs w:val="24"/>
          <w:highlight w:val="none"/>
          <w:u w:val="single"/>
        </w:rPr>
        <w:t>勘察（包含不限于□初勘、□详勘、□剪切波速试验、□土抽水试验、□超前钻、□水文地质勘察等工作）</w:t>
      </w:r>
      <w:r>
        <w:rPr>
          <w:rFonts w:hint="eastAsia" w:asciiTheme="minorEastAsia" w:hAnsiTheme="minorEastAsia" w:eastAsiaTheme="minorEastAsia"/>
          <w:sz w:val="24"/>
          <w:szCs w:val="24"/>
          <w:highlight w:val="none"/>
          <w:u w:val="single"/>
        </w:rPr>
        <w:t>，以及对应方案设计（含深化设计）、规划设计、初步设计、施工图设计、施工等各阶段的勘察要求。</w:t>
      </w:r>
      <w:r>
        <w:rPr>
          <w:rFonts w:hint="eastAsia" w:cs="宋体" w:asciiTheme="minorEastAsia" w:hAnsiTheme="minorEastAsia" w:eastAsiaTheme="minorEastAsia"/>
          <w:snapToGrid w:val="0"/>
          <w:sz w:val="24"/>
          <w:szCs w:val="24"/>
          <w:highlight w:val="none"/>
        </w:rPr>
        <w:t>按相关部门要求提供正式报告，勘察人应结合现有技术资料，严格按国家现行有关勘察规程、规范、标准进行，并提供符合深度要求的详勘报告，勘察人在进行超前钻勘察时，需经发包人同意后方能开展。</w:t>
      </w:r>
    </w:p>
    <w:p w14:paraId="16A52024">
      <w:pPr>
        <w:spacing w:line="360" w:lineRule="auto"/>
        <w:ind w:left="1"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1.3 承接方式：</w:t>
      </w:r>
      <w:r>
        <w:rPr>
          <w:rFonts w:hint="eastAsia" w:cs="宋体" w:asciiTheme="minorEastAsia" w:hAnsiTheme="minorEastAsia" w:eastAsiaTheme="minorEastAsia"/>
          <w:b/>
          <w:bCs/>
          <w:snapToGrid w:val="0"/>
          <w:kern w:val="0"/>
          <w:sz w:val="24"/>
          <w:szCs w:val="24"/>
          <w:highlight w:val="none"/>
          <w:u w:val="single"/>
        </w:rPr>
        <w:t>按实物工作量乘以合同约定的综合单价计算。</w:t>
      </w:r>
    </w:p>
    <w:p w14:paraId="61DD578E">
      <w:pPr>
        <w:spacing w:line="360" w:lineRule="auto"/>
        <w:ind w:left="1"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1.4勘察工作量：</w:t>
      </w:r>
      <w:r>
        <w:rPr>
          <w:rFonts w:hint="eastAsia" w:cs="宋体" w:asciiTheme="minorEastAsia" w:hAnsiTheme="minorEastAsia" w:eastAsiaTheme="minorEastAsia"/>
          <w:bCs/>
          <w:snapToGrid w:val="0"/>
          <w:kern w:val="0"/>
          <w:sz w:val="24"/>
          <w:szCs w:val="24"/>
          <w:highlight w:val="none"/>
          <w:u w:val="single"/>
        </w:rPr>
        <w:t>实物工作量指按照工程勘察规范、规程、合同的规定及勘察作业实际情况完成且经发包人及发包人委托的第三方共同确认的工作量。</w:t>
      </w:r>
    </w:p>
    <w:p w14:paraId="1B05A6D4">
      <w:pPr>
        <w:spacing w:line="360" w:lineRule="auto"/>
        <w:ind w:left="1" w:firstLine="480" w:firstLineChars="200"/>
        <w:rPr>
          <w:rFonts w:cs="宋体" w:asciiTheme="minorEastAsia" w:hAnsiTheme="minorEastAsia" w:eastAsiaTheme="minorEastAsia"/>
          <w:b/>
          <w:bCs/>
          <w:snapToGrid w:val="0"/>
          <w:kern w:val="0"/>
          <w:sz w:val="24"/>
          <w:szCs w:val="24"/>
          <w:highlight w:val="none"/>
          <w:u w:val="single"/>
        </w:rPr>
      </w:pPr>
      <w:r>
        <w:rPr>
          <w:rFonts w:hint="eastAsia" w:asciiTheme="minorEastAsia" w:hAnsiTheme="minorEastAsia" w:eastAsiaTheme="minorEastAsia"/>
          <w:sz w:val="24"/>
          <w:szCs w:val="24"/>
          <w:highlight w:val="none"/>
          <w:u w:val="single"/>
        </w:rPr>
        <w:t>1.5</w:t>
      </w:r>
      <w:r>
        <w:rPr>
          <w:rFonts w:hint="eastAsia" w:cs="宋体" w:asciiTheme="minorEastAsia" w:hAnsiTheme="minorEastAsia" w:eastAsiaTheme="minorEastAsia"/>
          <w:bCs/>
          <w:snapToGrid w:val="0"/>
          <w:kern w:val="0"/>
          <w:sz w:val="24"/>
          <w:szCs w:val="24"/>
          <w:highlight w:val="none"/>
          <w:u w:val="single"/>
        </w:rPr>
        <w:t>合同综合单价为全费用综合单价，</w:t>
      </w:r>
      <w:r>
        <w:rPr>
          <w:rFonts w:hint="eastAsia" w:cs="宋体" w:asciiTheme="minorEastAsia" w:hAnsiTheme="minorEastAsia" w:eastAsiaTheme="minorEastAsia"/>
          <w:b/>
          <w:bCs/>
          <w:snapToGrid w:val="0"/>
          <w:kern w:val="0"/>
          <w:sz w:val="24"/>
          <w:szCs w:val="24"/>
          <w:highlight w:val="none"/>
          <w:u w:val="single"/>
        </w:rPr>
        <w:t>本项目岩土工程勘察费中标综合单价为   元/米，超前钻勘察费（如有），综合单价     元/米。</w:t>
      </w:r>
    </w:p>
    <w:p w14:paraId="47B23D77">
      <w:pPr>
        <w:spacing w:line="360" w:lineRule="auto"/>
        <w:ind w:left="1"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u w:val="single"/>
        </w:rPr>
        <w:t>1.6</w:t>
      </w:r>
      <w:r>
        <w:rPr>
          <w:rFonts w:hint="eastAsia" w:cs="宋体" w:asciiTheme="minorEastAsia" w:hAnsiTheme="minorEastAsia" w:eastAsiaTheme="minorEastAsia"/>
          <w:snapToGrid w:val="0"/>
          <w:kern w:val="0"/>
          <w:sz w:val="24"/>
          <w:szCs w:val="24"/>
          <w:highlight w:val="none"/>
        </w:rPr>
        <w:t>安全生产文明施工控制目标：配合达到省级及项目所在地安全生产文明施工示范工地标准。</w:t>
      </w:r>
    </w:p>
    <w:p w14:paraId="1E574700">
      <w:pPr>
        <w:spacing w:line="360" w:lineRule="auto"/>
        <w:ind w:left="1" w:firstLine="480"/>
        <w:rPr>
          <w:rFonts w:asciiTheme="minorEastAsia" w:hAnsiTheme="minorEastAsia" w:eastAsiaTheme="minorEastAsia"/>
          <w:b/>
          <w:sz w:val="24"/>
          <w:szCs w:val="24"/>
          <w:highlight w:val="none"/>
        </w:rPr>
      </w:pPr>
    </w:p>
    <w:p w14:paraId="10EF535F">
      <w:pPr>
        <w:spacing w:line="360" w:lineRule="auto"/>
        <w:ind w:left="1" w:firstLine="479" w:firstLineChars="199"/>
        <w:rPr>
          <w:rFonts w:asciiTheme="minorEastAsia" w:hAnsiTheme="minorEastAsia" w:eastAsiaTheme="minorEastAsia"/>
          <w:sz w:val="24"/>
          <w:szCs w:val="24"/>
          <w:highlight w:val="none"/>
        </w:rPr>
      </w:pPr>
      <w:r>
        <w:rPr>
          <w:rFonts w:hint="eastAsia" w:asciiTheme="minorEastAsia" w:hAnsiTheme="minorEastAsia" w:eastAsiaTheme="minorEastAsia"/>
          <w:b/>
          <w:sz w:val="24"/>
          <w:szCs w:val="24"/>
          <w:highlight w:val="none"/>
        </w:rPr>
        <w:t>2.</w:t>
      </w:r>
      <w:r>
        <w:rPr>
          <w:rFonts w:hint="eastAsia" w:asciiTheme="minorEastAsia" w:hAnsiTheme="minorEastAsia" w:eastAsiaTheme="minorEastAsia"/>
          <w:sz w:val="24"/>
          <w:szCs w:val="24"/>
          <w:highlight w:val="none"/>
        </w:rPr>
        <w:t>发包人应及时向设计人提供下列文件资料，并对其准确性、可靠性负责。</w:t>
      </w:r>
    </w:p>
    <w:p w14:paraId="178AF2B6">
      <w:pPr>
        <w:spacing w:line="360" w:lineRule="auto"/>
        <w:ind w:left="1"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2.1 提供本工程批准文件（复印件），以及用地（附红线范围）、施工、勘察许可等文件（复印件）。</w:t>
      </w:r>
    </w:p>
    <w:p w14:paraId="77557632">
      <w:pPr>
        <w:spacing w:line="360" w:lineRule="auto"/>
        <w:ind w:left="1" w:firstLine="480" w:firstLineChars="200"/>
        <w:rPr>
          <w:rFonts w:asciiTheme="minorEastAsia" w:hAnsiTheme="minorEastAsia" w:eastAsiaTheme="minorEastAsia"/>
          <w:b/>
          <w:sz w:val="24"/>
          <w:szCs w:val="24"/>
          <w:highlight w:val="none"/>
        </w:rPr>
      </w:pPr>
      <w:r>
        <w:rPr>
          <w:rFonts w:hint="eastAsia" w:asciiTheme="minorEastAsia" w:hAnsiTheme="minorEastAsia" w:eastAsiaTheme="minorEastAsia"/>
          <w:sz w:val="24"/>
          <w:szCs w:val="24"/>
          <w:highlight w:val="none"/>
        </w:rPr>
        <w:t>2.2 提供工程勘察任务技术要求和工作范围的地形图、建筑总平面布置图。</w:t>
      </w:r>
    </w:p>
    <w:p w14:paraId="7032DE4E">
      <w:pPr>
        <w:spacing w:line="360" w:lineRule="auto"/>
        <w:ind w:left="1"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2.3 提供勘察工作范围已有的技术资料及工程所需的坐标与标高资料。</w:t>
      </w:r>
    </w:p>
    <w:p w14:paraId="4DD08067">
      <w:pPr>
        <w:spacing w:line="360" w:lineRule="auto"/>
        <w:ind w:left="1" w:firstLine="360" w:firstLineChars="150"/>
        <w:rPr>
          <w:rFonts w:asciiTheme="minorEastAsia" w:hAnsiTheme="minorEastAsia" w:eastAsiaTheme="minorEastAsia"/>
          <w:sz w:val="24"/>
          <w:szCs w:val="24"/>
          <w:highlight w:val="none"/>
        </w:rPr>
      </w:pPr>
    </w:p>
    <w:p w14:paraId="042CC7EF">
      <w:pPr>
        <w:spacing w:line="360" w:lineRule="auto"/>
        <w:ind w:left="1" w:firstLine="361" w:firstLineChars="150"/>
        <w:rPr>
          <w:rFonts w:asciiTheme="minorEastAsia" w:hAnsiTheme="minorEastAsia" w:eastAsiaTheme="minorEastAsia"/>
          <w:sz w:val="24"/>
          <w:szCs w:val="24"/>
          <w:highlight w:val="none"/>
        </w:rPr>
      </w:pPr>
      <w:r>
        <w:rPr>
          <w:rFonts w:hint="eastAsia" w:asciiTheme="minorEastAsia" w:hAnsiTheme="minorEastAsia" w:eastAsiaTheme="minorEastAsia"/>
          <w:b/>
          <w:sz w:val="24"/>
          <w:szCs w:val="24"/>
          <w:highlight w:val="none"/>
        </w:rPr>
        <w:t>3.</w:t>
      </w:r>
      <w:r>
        <w:rPr>
          <w:rFonts w:hint="eastAsia" w:asciiTheme="minorEastAsia" w:hAnsiTheme="minorEastAsia" w:eastAsiaTheme="minorEastAsia"/>
          <w:sz w:val="24"/>
          <w:szCs w:val="24"/>
          <w:highlight w:val="none"/>
        </w:rPr>
        <w:t>设计人向发包人提交勘察成果资料并对质量负责。</w:t>
      </w:r>
    </w:p>
    <w:p w14:paraId="41AD485B">
      <w:pPr>
        <w:spacing w:line="360" w:lineRule="auto"/>
        <w:ind w:left="1" w:firstLine="48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设计人负责向发包人提交各项勘察成果资料各十份。</w:t>
      </w:r>
    </w:p>
    <w:p w14:paraId="4274C074">
      <w:pPr>
        <w:spacing w:line="360" w:lineRule="auto"/>
        <w:ind w:left="1" w:firstLine="480"/>
        <w:rPr>
          <w:rFonts w:asciiTheme="minorEastAsia" w:hAnsiTheme="minorEastAsia" w:eastAsiaTheme="minorEastAsia"/>
          <w:b/>
          <w:sz w:val="24"/>
          <w:szCs w:val="24"/>
          <w:highlight w:val="none"/>
        </w:rPr>
      </w:pPr>
    </w:p>
    <w:p w14:paraId="65898183">
      <w:pPr>
        <w:spacing w:line="360" w:lineRule="auto"/>
        <w:ind w:left="1" w:firstLine="480"/>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4.</w:t>
      </w:r>
      <w:r>
        <w:rPr>
          <w:rFonts w:hint="eastAsia" w:asciiTheme="minorEastAsia" w:hAnsiTheme="minorEastAsia" w:eastAsiaTheme="minorEastAsia"/>
          <w:sz w:val="24"/>
          <w:szCs w:val="24"/>
          <w:highlight w:val="none"/>
        </w:rPr>
        <w:t>开工及提交勘察成果资料的时间和收费标准、结算及付费方式</w:t>
      </w:r>
    </w:p>
    <w:p w14:paraId="6995DD09">
      <w:pPr>
        <w:spacing w:line="360" w:lineRule="auto"/>
        <w:ind w:left="1"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4.1 开工及提交勘察成果资料的时间</w:t>
      </w:r>
    </w:p>
    <w:p w14:paraId="453C62D1">
      <w:pPr>
        <w:spacing w:line="360" w:lineRule="auto"/>
        <w:ind w:left="1"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4.1.1本工程的勘察工作成果在收到发包人发出的进场通知后</w:t>
      </w:r>
      <w:r>
        <w:rPr>
          <w:rFonts w:hint="eastAsia" w:asciiTheme="minorEastAsia" w:hAnsiTheme="minorEastAsia" w:eastAsiaTheme="minorEastAsia"/>
          <w:sz w:val="24"/>
          <w:szCs w:val="24"/>
          <w:highlight w:val="none"/>
          <w:u w:val="single"/>
        </w:rPr>
        <w:t xml:space="preserve">       个日历天</w:t>
      </w:r>
      <w:r>
        <w:rPr>
          <w:rFonts w:hint="eastAsia" w:asciiTheme="minorEastAsia" w:hAnsiTheme="minorEastAsia" w:eastAsiaTheme="minorEastAsia"/>
          <w:sz w:val="24"/>
          <w:szCs w:val="24"/>
          <w:highlight w:val="none"/>
        </w:rPr>
        <w:t>内提交。具体详见下表。由于发包人或设计人的原因未能按期开工或提交成果资料时，按本合同第六条规定办理。</w:t>
      </w:r>
    </w:p>
    <w:tbl>
      <w:tblPr>
        <w:tblStyle w:val="54"/>
        <w:tblW w:w="905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
        <w:gridCol w:w="2545"/>
        <w:gridCol w:w="875"/>
        <w:gridCol w:w="2472"/>
        <w:gridCol w:w="2201"/>
      </w:tblGrid>
      <w:tr w14:paraId="7ED59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2" w:hRule="atLeast"/>
        </w:trPr>
        <w:tc>
          <w:tcPr>
            <w:tcW w:w="963" w:type="dxa"/>
          </w:tcPr>
          <w:p w14:paraId="3C731283">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序号</w:t>
            </w:r>
          </w:p>
        </w:tc>
        <w:tc>
          <w:tcPr>
            <w:tcW w:w="2545" w:type="dxa"/>
            <w:vAlign w:val="center"/>
          </w:tcPr>
          <w:p w14:paraId="6987EB2F">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资料及文件名称</w:t>
            </w:r>
          </w:p>
        </w:tc>
        <w:tc>
          <w:tcPr>
            <w:tcW w:w="875" w:type="dxa"/>
          </w:tcPr>
          <w:p w14:paraId="1369AE95">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份数</w:t>
            </w:r>
          </w:p>
        </w:tc>
        <w:tc>
          <w:tcPr>
            <w:tcW w:w="2472" w:type="dxa"/>
            <w:vAlign w:val="center"/>
          </w:tcPr>
          <w:p w14:paraId="3B12E604">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提交日期</w:t>
            </w:r>
          </w:p>
        </w:tc>
        <w:tc>
          <w:tcPr>
            <w:tcW w:w="2201" w:type="dxa"/>
            <w:vAlign w:val="center"/>
          </w:tcPr>
          <w:p w14:paraId="23F9E00F">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有关事宜</w:t>
            </w:r>
          </w:p>
        </w:tc>
      </w:tr>
      <w:tr w14:paraId="40895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69" w:hRule="atLeast"/>
        </w:trPr>
        <w:tc>
          <w:tcPr>
            <w:tcW w:w="963" w:type="dxa"/>
            <w:vAlign w:val="center"/>
          </w:tcPr>
          <w:p w14:paraId="700B617D">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w:t>
            </w:r>
          </w:p>
        </w:tc>
        <w:tc>
          <w:tcPr>
            <w:tcW w:w="2545" w:type="dxa"/>
            <w:vAlign w:val="center"/>
          </w:tcPr>
          <w:p w14:paraId="13DD6B4B">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勘察成果文件（含测量）</w:t>
            </w:r>
          </w:p>
        </w:tc>
        <w:tc>
          <w:tcPr>
            <w:tcW w:w="875" w:type="dxa"/>
            <w:vAlign w:val="center"/>
          </w:tcPr>
          <w:p w14:paraId="0DBFAF11">
            <w:pPr>
              <w:spacing w:line="360" w:lineRule="auto"/>
              <w:ind w:firstLine="480" w:firstLineChars="200"/>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10</w:t>
            </w:r>
          </w:p>
        </w:tc>
        <w:tc>
          <w:tcPr>
            <w:tcW w:w="2472" w:type="dxa"/>
            <w:vAlign w:val="center"/>
          </w:tcPr>
          <w:p w14:paraId="7936044B">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在收到发包人发出的进场通知后45个日历天内。</w:t>
            </w:r>
          </w:p>
        </w:tc>
        <w:tc>
          <w:tcPr>
            <w:tcW w:w="2201" w:type="dxa"/>
            <w:vAlign w:val="center"/>
          </w:tcPr>
          <w:p w14:paraId="0AB5C454">
            <w:pPr>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所提供资料含WORD、CAD及PDF电子文件。归档资料按照发包人档案室要求提供。</w:t>
            </w:r>
          </w:p>
        </w:tc>
      </w:tr>
      <w:tr w14:paraId="45BCA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94" w:hRule="atLeast"/>
        </w:trPr>
        <w:tc>
          <w:tcPr>
            <w:tcW w:w="9056" w:type="dxa"/>
            <w:gridSpan w:val="5"/>
            <w:tcBorders>
              <w:bottom w:val="single" w:color="auto" w:sz="6" w:space="0"/>
            </w:tcBorders>
            <w:vAlign w:val="center"/>
          </w:tcPr>
          <w:p w14:paraId="4E5997CE">
            <w:pPr>
              <w:spacing w:line="360" w:lineRule="auto"/>
              <w:ind w:left="840" w:hanging="840" w:hangingChars="3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注：1.若发包人因工作需要，要求设计人提交中间成果的设计人应无条件提供。</w:t>
            </w:r>
          </w:p>
          <w:p w14:paraId="60915900">
            <w:pPr>
              <w:spacing w:line="360" w:lineRule="auto"/>
              <w:ind w:left="840" w:hanging="840" w:hangingChars="3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 xml:space="preserve">    2.勘察工作如遇特殊情况（不可抗力影响及发包人原因造成停、窝工等）时，工期顺延。</w:t>
            </w:r>
          </w:p>
          <w:p w14:paraId="7392F7E6">
            <w:pPr>
              <w:spacing w:line="360" w:lineRule="auto"/>
              <w:ind w:left="921" w:leftChars="267" w:hanging="360" w:hangingChars="1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3.勘察资料交付地点：广东省代建项目管理局。</w:t>
            </w:r>
          </w:p>
          <w:p w14:paraId="568CB35B">
            <w:pPr>
              <w:spacing w:line="360" w:lineRule="auto"/>
              <w:ind w:left="921" w:leftChars="267" w:hanging="360" w:hangingChars="1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4.为配合审查工作，承包单位须按审查要求提供相关资料。</w:t>
            </w:r>
          </w:p>
          <w:p w14:paraId="73C24F9B">
            <w:pPr>
              <w:spacing w:line="360" w:lineRule="auto"/>
              <w:ind w:left="921" w:leftChars="267" w:hanging="360" w:hangingChars="15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 版权属发包人。</w:t>
            </w:r>
          </w:p>
        </w:tc>
      </w:tr>
    </w:tbl>
    <w:p w14:paraId="51496FA5">
      <w:pPr>
        <w:spacing w:line="360" w:lineRule="auto"/>
        <w:ind w:left="1"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4.1.2 发包人向设计人提供规划报建的地形图，设计人根据设计的需要据此进行定测和修测，在开工前10天，设计人送测量方案给发包人审核，测量方案要经审核后方可开工。</w:t>
      </w:r>
    </w:p>
    <w:p w14:paraId="24B899AD">
      <w:pPr>
        <w:spacing w:line="360" w:lineRule="auto"/>
        <w:ind w:left="1"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4.1.3 设计人开工前10天，送勘察方案给发包人审核，勘察方案要经审核后方可开工。</w:t>
      </w:r>
    </w:p>
    <w:p w14:paraId="650EA845">
      <w:pPr>
        <w:spacing w:line="360" w:lineRule="auto"/>
        <w:ind w:left="1"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4.1.4 勘察工作有效期限以合同约定的时间为准，如遇特殊情况（设计变更、工作量变化、不可抗力影响以及发包人原因造成的停、窝工等）时，工期顺延。</w:t>
      </w:r>
    </w:p>
    <w:p w14:paraId="4E24CE56">
      <w:pPr>
        <w:spacing w:line="360" w:lineRule="auto"/>
        <w:ind w:left="1"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4.2勘察费用</w:t>
      </w:r>
    </w:p>
    <w:p w14:paraId="2F7465DE">
      <w:pPr>
        <w:spacing w:line="360" w:lineRule="auto"/>
        <w:ind w:left="1"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本合同勘察费</w:t>
      </w:r>
      <w:r>
        <w:rPr>
          <w:rFonts w:hint="eastAsia" w:asciiTheme="minorEastAsia" w:hAnsiTheme="minorEastAsia" w:eastAsiaTheme="minorEastAsia"/>
          <w:sz w:val="24"/>
          <w:szCs w:val="24"/>
          <w:highlight w:val="none"/>
          <w:u w:val="words"/>
        </w:rPr>
        <w:t>暂定</w:t>
      </w:r>
      <w:r>
        <w:rPr>
          <w:rFonts w:hint="eastAsia" w:asciiTheme="minorEastAsia" w:hAnsiTheme="minorEastAsia" w:eastAsiaTheme="minorEastAsia"/>
          <w:sz w:val="24"/>
          <w:szCs w:val="24"/>
          <w:highlight w:val="none"/>
        </w:rPr>
        <w:t>为人民币</w:t>
      </w:r>
      <w:r>
        <w:rPr>
          <w:rFonts w:hint="eastAsia" w:asciiTheme="minorEastAsia" w:hAnsiTheme="minorEastAsia" w:eastAsiaTheme="minorEastAsia"/>
          <w:sz w:val="24"/>
          <w:szCs w:val="24"/>
          <w:highlight w:val="none"/>
          <w:lang w:val="en-US" w:eastAsia="zh-CN"/>
        </w:rPr>
        <w:t xml:space="preserve">         </w:t>
      </w:r>
      <w:r>
        <w:rPr>
          <w:rFonts w:hint="eastAsia" w:asciiTheme="minorEastAsia" w:hAnsiTheme="minorEastAsia" w:eastAsiaTheme="minorEastAsia"/>
          <w:sz w:val="24"/>
          <w:szCs w:val="24"/>
          <w:highlight w:val="none"/>
        </w:rPr>
        <w:t>元(大写:人民币 元整)。合同暂定价只作为合同签订后支付勘察费的依据，最终勘察费结算执行下列第4.3条规定。</w:t>
      </w:r>
    </w:p>
    <w:p w14:paraId="0EC610D2">
      <w:pPr>
        <w:spacing w:line="360" w:lineRule="auto"/>
        <w:ind w:left="1" w:firstLine="530" w:firstLineChars="221"/>
        <w:rPr>
          <w:rFonts w:cs="宋体" w:asciiTheme="minorEastAsia" w:hAnsiTheme="minorEastAsia" w:eastAsiaTheme="minorEastAsia"/>
          <w:bCs/>
          <w:snapToGrid w:val="0"/>
          <w:kern w:val="0"/>
          <w:sz w:val="24"/>
          <w:szCs w:val="24"/>
          <w:highlight w:val="none"/>
          <w:u w:val="single"/>
        </w:rPr>
      </w:pPr>
      <w:r>
        <w:rPr>
          <w:rFonts w:hint="eastAsia" w:asciiTheme="minorEastAsia" w:hAnsiTheme="minorEastAsia" w:eastAsiaTheme="minorEastAsia"/>
          <w:sz w:val="24"/>
          <w:szCs w:val="24"/>
          <w:highlight w:val="none"/>
        </w:rPr>
        <w:t>结算单价按合同中标单价，应不超过招标时公布的各单项限价（如果有）或以经建设主管部门审定的工程概（预）算中相应的勘察费的各项目综合单价。</w:t>
      </w:r>
      <w:r>
        <w:rPr>
          <w:rFonts w:hint="eastAsia" w:cs="宋体" w:asciiTheme="minorEastAsia" w:hAnsiTheme="minorEastAsia" w:eastAsiaTheme="minorEastAsia"/>
          <w:b/>
          <w:bCs/>
          <w:snapToGrid w:val="0"/>
          <w:kern w:val="0"/>
          <w:sz w:val="24"/>
          <w:szCs w:val="24"/>
          <w:highlight w:val="none"/>
          <w:u w:val="single"/>
        </w:rPr>
        <w:t>其中超前钻勘察费（</w:t>
      </w:r>
      <w:r>
        <w:rPr>
          <w:rFonts w:hint="eastAsia" w:ascii="宋体" w:hAnsi="宋体" w:eastAsia="宋体"/>
          <w:b/>
          <w:color w:val="auto"/>
          <w:sz w:val="24"/>
          <w:szCs w:val="24"/>
          <w:highlight w:val="none"/>
        </w:rPr>
        <w:t>如有，则按岩土工程勘察费中标综合单价执行</w:t>
      </w:r>
      <w:r>
        <w:rPr>
          <w:rFonts w:hint="eastAsia" w:cs="宋体" w:asciiTheme="minorEastAsia" w:hAnsiTheme="minorEastAsia" w:eastAsiaTheme="minorEastAsia"/>
          <w:b/>
          <w:bCs/>
          <w:snapToGrid w:val="0"/>
          <w:kern w:val="0"/>
          <w:sz w:val="24"/>
          <w:szCs w:val="24"/>
          <w:highlight w:val="none"/>
          <w:u w:val="single"/>
        </w:rPr>
        <w:t>）综合单价为    元/米，按实结算，不包含在岩土工程全费用综合单价中。</w:t>
      </w:r>
      <w:r>
        <w:rPr>
          <w:rFonts w:hint="eastAsia" w:cs="宋体" w:asciiTheme="minorEastAsia" w:hAnsiTheme="minorEastAsia" w:eastAsiaTheme="minorEastAsia"/>
          <w:bCs/>
          <w:snapToGrid w:val="0"/>
          <w:kern w:val="0"/>
          <w:sz w:val="24"/>
          <w:szCs w:val="24"/>
          <w:highlight w:val="none"/>
          <w:u w:val="single"/>
        </w:rPr>
        <w:t>实物工作量指合同实施期间按照工程勘察规范、规程、合同的规定及勘察作业实际情况完成且经发包人及发包人委托的第三方共同确认的合格工作量。</w:t>
      </w:r>
    </w:p>
    <w:p w14:paraId="3234043D">
      <w:pPr>
        <w:spacing w:line="360" w:lineRule="auto"/>
        <w:ind w:left="1" w:firstLine="530" w:firstLineChars="221"/>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勘察过程中当遇到特征地质情况，设计人须向现场监理提交书面报告，经监理和发包人确认确需增加合同外勘察内容时，经发包人同意由监理下达书面指令；新增合同外勘察工程量按照签证程序办理，结算时应按签证的工作量，单价按合同中标单价办理结算。</w:t>
      </w:r>
    </w:p>
    <w:p w14:paraId="2426239F">
      <w:pPr>
        <w:spacing w:line="360" w:lineRule="auto"/>
        <w:ind w:left="1" w:firstLine="530" w:firstLineChars="221"/>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4.3勘察费结算</w:t>
      </w:r>
    </w:p>
    <w:p w14:paraId="0206281E">
      <w:pPr>
        <w:spacing w:line="360" w:lineRule="auto"/>
        <w:ind w:left="1" w:firstLine="532" w:firstLineChars="221"/>
        <w:rPr>
          <w:rFonts w:cs="宋体" w:asciiTheme="minorEastAsia" w:hAnsiTheme="minorEastAsia" w:eastAsiaTheme="minorEastAsia"/>
          <w:b/>
          <w:bCs/>
          <w:snapToGrid w:val="0"/>
          <w:kern w:val="0"/>
          <w:sz w:val="24"/>
          <w:szCs w:val="24"/>
          <w:highlight w:val="none"/>
          <w:u w:val="single"/>
        </w:rPr>
      </w:pPr>
      <w:r>
        <w:rPr>
          <w:rFonts w:hint="eastAsia" w:cs="宋体" w:asciiTheme="minorEastAsia" w:hAnsiTheme="minorEastAsia" w:eastAsiaTheme="minorEastAsia"/>
          <w:b/>
          <w:bCs/>
          <w:snapToGrid w:val="0"/>
          <w:kern w:val="0"/>
          <w:sz w:val="24"/>
          <w:szCs w:val="24"/>
          <w:highlight w:val="none"/>
          <w:u w:val="single"/>
        </w:rPr>
        <w:t>不得超过概算批复的勘察费，且同时不得超过勘察费最高投标限价的150%。但如勘察工作量大于招标勘察工作量150%，则超出招标勘察工作量150%部分不再另行计量。</w:t>
      </w:r>
    </w:p>
    <w:p w14:paraId="5ACC4D7E">
      <w:pPr>
        <w:spacing w:line="360" w:lineRule="auto"/>
        <w:ind w:left="1" w:firstLine="532" w:firstLineChars="221"/>
        <w:rPr>
          <w:rFonts w:asciiTheme="minorEastAsia" w:hAnsiTheme="minorEastAsia" w:eastAsiaTheme="minorEastAsia"/>
          <w:sz w:val="24"/>
          <w:szCs w:val="24"/>
          <w:highlight w:val="none"/>
        </w:rPr>
      </w:pPr>
      <w:r>
        <w:rPr>
          <w:rFonts w:hint="eastAsia" w:cs="宋体" w:asciiTheme="minorEastAsia" w:hAnsiTheme="minorEastAsia" w:eastAsiaTheme="minorEastAsia"/>
          <w:b/>
          <w:bCs/>
          <w:snapToGrid w:val="0"/>
          <w:kern w:val="0"/>
          <w:sz w:val="24"/>
          <w:szCs w:val="24"/>
          <w:highlight w:val="none"/>
          <w:u w:val="single"/>
        </w:rPr>
        <w:t>本合同勘察费为完成本合同约定的所有勘察工作内容及要求的全部费用，包括收集已有资料、现场踏勘和测量、制定勘察纲要，进行测绘、勘探、取样、试验、测试等勘察作业，编制工程勘察文件、就岩土工程向施工单位作出技术说明、解决设计或施工中的工程勘察技术问题，参加水文地质交底、岩土工程验槽、购买有关资料、勘察文件的修改、实施勘察过程中发生的相关工作（包括障碍物拆除、开挖、地下管线的修复等）、勘察过程中发生的用材以及加工、勘察作业机具的进退场及现场搬运等服务，以及综合考虑不同自然条件下、不同作业内容、不同复杂程度及高温勘察等一切因素下的勘探作业的费用。本勘察协议条款第1.5款约定综合单价也已包含实施上述所有勘察工作内容的费用</w:t>
      </w:r>
      <w:r>
        <w:rPr>
          <w:rFonts w:hint="eastAsia" w:cs="宋体" w:asciiTheme="minorEastAsia" w:hAnsiTheme="minorEastAsia" w:eastAsiaTheme="minorEastAsia"/>
          <w:bCs/>
          <w:snapToGrid w:val="0"/>
          <w:kern w:val="0"/>
          <w:sz w:val="24"/>
          <w:szCs w:val="24"/>
          <w:highlight w:val="none"/>
        </w:rPr>
        <w:t>。</w:t>
      </w:r>
    </w:p>
    <w:p w14:paraId="4361EA84">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4.4 付费方式</w:t>
      </w:r>
    </w:p>
    <w:p w14:paraId="18C508C9">
      <w:pPr>
        <w:spacing w:line="360" w:lineRule="auto"/>
        <w:ind w:left="1"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4.4.1工程勘察费分期支付，若设计人为联合体，勘察费由发包人统一支付给主办单位（即设计单位）。</w:t>
      </w:r>
    </w:p>
    <w:p w14:paraId="3CE0DB66">
      <w:pPr>
        <w:spacing w:line="360" w:lineRule="auto"/>
        <w:ind w:left="1"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4.4.2合同生效后，设计人提交经审核通过的《勘察设计工作大纲》和完整支付申请资料交发包人送财政部门审批同意后十五个工作日内，发包人向设计人支付预算勘察费的30%作为预付款，计人民币元（本合同结算时，预付款抵作勘察费）。</w:t>
      </w:r>
    </w:p>
    <w:p w14:paraId="33235A5E">
      <w:pPr>
        <w:spacing w:line="360" w:lineRule="auto"/>
        <w:ind w:left="1"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4.4.3勘察阶段竣工并在设计人提交成果、初步设计概算经省投资主管部门批准后，设计人提交完整支付申请资料交发包人送省财政部门审批同意后十五个工作日内，发包人向设计人支付至经初步设计概算评审后的预算勘察费的65%，计人民币</w:t>
      </w:r>
      <w:r>
        <w:rPr>
          <w:rFonts w:hint="eastAsia" w:asciiTheme="minorEastAsia" w:hAnsiTheme="minorEastAsia" w:eastAsiaTheme="minorEastAsia"/>
          <w:sz w:val="24"/>
          <w:szCs w:val="24"/>
          <w:highlight w:val="none"/>
          <w:lang w:val="en-US" w:eastAsia="zh-CN"/>
        </w:rPr>
        <w:t xml:space="preserve">      </w:t>
      </w:r>
      <w:r>
        <w:rPr>
          <w:rFonts w:hint="eastAsia" w:asciiTheme="minorEastAsia" w:hAnsiTheme="minorEastAsia" w:eastAsiaTheme="minorEastAsia"/>
          <w:sz w:val="24"/>
          <w:szCs w:val="24"/>
          <w:highlight w:val="none"/>
        </w:rPr>
        <w:t>元。</w:t>
      </w:r>
    </w:p>
    <w:p w14:paraId="5568FC0A">
      <w:pPr>
        <w:spacing w:line="360" w:lineRule="auto"/>
        <w:ind w:left="1"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4.4.4 设计人提交全部勘察文件</w:t>
      </w:r>
      <w:r>
        <w:rPr>
          <w:rFonts w:hint="eastAsia" w:cs="宋体" w:asciiTheme="minorEastAsia" w:hAnsiTheme="minorEastAsia" w:eastAsiaTheme="minorEastAsia"/>
          <w:snapToGrid w:val="0"/>
          <w:kern w:val="0"/>
          <w:sz w:val="24"/>
          <w:szCs w:val="24"/>
          <w:highlight w:val="none"/>
        </w:rPr>
        <w:t>【必须包括勘察机械设备进出场时间记录，勘察工作的全过程勘察记录（包含全过程作业现场录像光盘）；每个勘探钻孔及钻孔岩土样本的照片】</w:t>
      </w:r>
      <w:r>
        <w:rPr>
          <w:rFonts w:hint="eastAsia" w:asciiTheme="minorEastAsia" w:hAnsiTheme="minorEastAsia" w:eastAsiaTheme="minorEastAsia"/>
          <w:sz w:val="24"/>
          <w:szCs w:val="24"/>
          <w:highlight w:val="none"/>
        </w:rPr>
        <w:t>并经施工图审查机构审查合格后，设计人向发包人开具结算通知书，由发包人送省财政局审核其勘察费结算通知书，设计人按审核结果提交完整支付申请资料交发包人送财政部门审批同意后十五个工作日内，发包人向设计人支付至结算价的80%，余款在该项目的施工竣工验收合格，设计人提交完整支付申请资料交发包人送省财政部门审批同意后十五个工作日内，发包人向设计人支付完毕。</w:t>
      </w:r>
    </w:p>
    <w:p w14:paraId="1239F994">
      <w:pPr>
        <w:spacing w:line="360" w:lineRule="auto"/>
        <w:ind w:left="1" w:firstLine="480" w:firstLineChars="200"/>
        <w:rPr>
          <w:rFonts w:cs="宋体" w:asciiTheme="minorEastAsia" w:hAnsiTheme="minorEastAsia" w:eastAsiaTheme="minorEastAsia"/>
          <w:iCs/>
          <w:snapToGrid w:val="0"/>
          <w:kern w:val="0"/>
          <w:sz w:val="24"/>
          <w:szCs w:val="24"/>
          <w:highlight w:val="none"/>
        </w:rPr>
      </w:pPr>
      <w:r>
        <w:rPr>
          <w:rFonts w:hint="eastAsia" w:asciiTheme="minorEastAsia" w:hAnsiTheme="minorEastAsia" w:eastAsiaTheme="minorEastAsia"/>
          <w:sz w:val="24"/>
          <w:szCs w:val="24"/>
          <w:highlight w:val="none"/>
        </w:rPr>
        <w:t>4.4.5</w:t>
      </w:r>
      <w:r>
        <w:rPr>
          <w:rFonts w:hint="eastAsia" w:cs="宋体" w:asciiTheme="minorEastAsia" w:hAnsiTheme="minorEastAsia" w:eastAsiaTheme="minorEastAsia"/>
          <w:snapToGrid w:val="0"/>
          <w:kern w:val="0"/>
          <w:sz w:val="24"/>
          <w:szCs w:val="24"/>
          <w:highlight w:val="none"/>
        </w:rPr>
        <w:t>设计人分包项目的勘察费已全部包含在本合同勘察费之内，并纳入本合同一并结算。设计人在申请支付</w:t>
      </w:r>
      <w:r>
        <w:rPr>
          <w:rFonts w:hint="eastAsia" w:cs="宋体" w:asciiTheme="minorEastAsia" w:hAnsiTheme="minorEastAsia" w:eastAsiaTheme="minorEastAsia"/>
          <w:iCs/>
          <w:snapToGrid w:val="0"/>
          <w:kern w:val="0"/>
          <w:sz w:val="24"/>
          <w:szCs w:val="24"/>
          <w:highlight w:val="none"/>
        </w:rPr>
        <w:t>各次</w:t>
      </w:r>
      <w:r>
        <w:rPr>
          <w:rFonts w:hint="eastAsia" w:cs="宋体" w:asciiTheme="minorEastAsia" w:hAnsiTheme="minorEastAsia" w:eastAsiaTheme="minorEastAsia"/>
          <w:snapToGrid w:val="0"/>
          <w:kern w:val="0"/>
          <w:sz w:val="24"/>
          <w:szCs w:val="24"/>
          <w:highlight w:val="none"/>
        </w:rPr>
        <w:t>勘察费</w:t>
      </w:r>
      <w:r>
        <w:rPr>
          <w:rFonts w:hint="eastAsia" w:cs="宋体" w:asciiTheme="minorEastAsia" w:hAnsiTheme="minorEastAsia" w:eastAsiaTheme="minorEastAsia"/>
          <w:iCs/>
          <w:snapToGrid w:val="0"/>
          <w:kern w:val="0"/>
          <w:sz w:val="24"/>
          <w:szCs w:val="24"/>
          <w:highlight w:val="none"/>
        </w:rPr>
        <w:t>时应连同其分包单位的</w:t>
      </w:r>
      <w:r>
        <w:rPr>
          <w:rFonts w:hint="eastAsia" w:cs="宋体" w:asciiTheme="minorEastAsia" w:hAnsiTheme="minorEastAsia" w:eastAsiaTheme="minorEastAsia"/>
          <w:snapToGrid w:val="0"/>
          <w:kern w:val="0"/>
          <w:sz w:val="24"/>
          <w:szCs w:val="24"/>
          <w:highlight w:val="none"/>
        </w:rPr>
        <w:t>勘察费</w:t>
      </w:r>
      <w:r>
        <w:rPr>
          <w:rFonts w:hint="eastAsia" w:cs="宋体" w:asciiTheme="minorEastAsia" w:hAnsiTheme="minorEastAsia" w:eastAsiaTheme="minorEastAsia"/>
          <w:iCs/>
          <w:snapToGrid w:val="0"/>
          <w:kern w:val="0"/>
          <w:sz w:val="24"/>
          <w:szCs w:val="24"/>
          <w:highlight w:val="none"/>
        </w:rPr>
        <w:t>一并申报。</w:t>
      </w:r>
    </w:p>
    <w:p w14:paraId="63A8BBAB">
      <w:pPr>
        <w:spacing w:line="360" w:lineRule="auto"/>
        <w:ind w:left="1" w:firstLine="480" w:firstLineChars="200"/>
        <w:rPr>
          <w:rFonts w:asciiTheme="minorEastAsia" w:hAnsiTheme="minorEastAsia" w:eastAsiaTheme="minorEastAsia"/>
          <w:sz w:val="24"/>
          <w:szCs w:val="24"/>
          <w:highlight w:val="none"/>
          <w:u w:val="single"/>
        </w:rPr>
      </w:pPr>
      <w:r>
        <w:rPr>
          <w:rFonts w:hint="eastAsia" w:asciiTheme="minorEastAsia" w:hAnsiTheme="minorEastAsia" w:eastAsiaTheme="minorEastAsia"/>
          <w:sz w:val="24"/>
          <w:szCs w:val="24"/>
          <w:highlight w:val="none"/>
        </w:rPr>
        <w:t>4.4.6发包人要求增加本合同约定以外文件份数时，设计人员收晒印工本费。发包人每月定期结算晒印工本费。晒印工本费单价如下：</w:t>
      </w:r>
    </w:p>
    <w:tbl>
      <w:tblPr>
        <w:tblStyle w:val="54"/>
        <w:tblW w:w="9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1365"/>
        <w:gridCol w:w="1177"/>
        <w:gridCol w:w="1536"/>
        <w:gridCol w:w="1536"/>
        <w:gridCol w:w="1535"/>
      </w:tblGrid>
      <w:tr w14:paraId="18C1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067" w:type="dxa"/>
          </w:tcPr>
          <w:p w14:paraId="187672D4">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纸张规格</w:t>
            </w:r>
          </w:p>
        </w:tc>
        <w:tc>
          <w:tcPr>
            <w:tcW w:w="1365" w:type="dxa"/>
          </w:tcPr>
          <w:p w14:paraId="23495F8A">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A0</w:t>
            </w:r>
          </w:p>
        </w:tc>
        <w:tc>
          <w:tcPr>
            <w:tcW w:w="1177" w:type="dxa"/>
          </w:tcPr>
          <w:p w14:paraId="77548FAC">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A1</w:t>
            </w:r>
          </w:p>
        </w:tc>
        <w:tc>
          <w:tcPr>
            <w:tcW w:w="1536" w:type="dxa"/>
          </w:tcPr>
          <w:p w14:paraId="0DDAD583">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A2</w:t>
            </w:r>
          </w:p>
        </w:tc>
        <w:tc>
          <w:tcPr>
            <w:tcW w:w="1536" w:type="dxa"/>
          </w:tcPr>
          <w:p w14:paraId="0A8C1D01">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A3</w:t>
            </w:r>
          </w:p>
        </w:tc>
        <w:tc>
          <w:tcPr>
            <w:tcW w:w="1535" w:type="dxa"/>
          </w:tcPr>
          <w:p w14:paraId="384CE736">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A4</w:t>
            </w:r>
          </w:p>
        </w:tc>
      </w:tr>
      <w:tr w14:paraId="7D31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67" w:type="dxa"/>
          </w:tcPr>
          <w:p w14:paraId="60D6549F">
            <w:pPr>
              <w:spacing w:line="360" w:lineRule="auto"/>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单价（元/张）</w:t>
            </w:r>
          </w:p>
        </w:tc>
        <w:tc>
          <w:tcPr>
            <w:tcW w:w="1365" w:type="dxa"/>
          </w:tcPr>
          <w:p w14:paraId="64A0A096">
            <w:pPr>
              <w:spacing w:line="360" w:lineRule="auto"/>
              <w:ind w:firstLine="480" w:firstLineChars="200"/>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6.00</w:t>
            </w:r>
          </w:p>
        </w:tc>
        <w:tc>
          <w:tcPr>
            <w:tcW w:w="1177" w:type="dxa"/>
          </w:tcPr>
          <w:p w14:paraId="4D6FFF8A">
            <w:pPr>
              <w:spacing w:line="360" w:lineRule="auto"/>
              <w:ind w:firstLine="480" w:firstLineChars="200"/>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3.00</w:t>
            </w:r>
          </w:p>
        </w:tc>
        <w:tc>
          <w:tcPr>
            <w:tcW w:w="1536" w:type="dxa"/>
          </w:tcPr>
          <w:p w14:paraId="1B4232EB">
            <w:pPr>
              <w:spacing w:line="360" w:lineRule="auto"/>
              <w:ind w:firstLine="480" w:firstLineChars="200"/>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1.50</w:t>
            </w:r>
          </w:p>
        </w:tc>
        <w:tc>
          <w:tcPr>
            <w:tcW w:w="1536" w:type="dxa"/>
          </w:tcPr>
          <w:p w14:paraId="2E47A010">
            <w:pPr>
              <w:spacing w:line="360" w:lineRule="auto"/>
              <w:ind w:firstLine="480" w:firstLineChars="200"/>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0.50</w:t>
            </w:r>
          </w:p>
        </w:tc>
        <w:tc>
          <w:tcPr>
            <w:tcW w:w="1535" w:type="dxa"/>
          </w:tcPr>
          <w:p w14:paraId="5E7119D8">
            <w:pPr>
              <w:spacing w:line="360" w:lineRule="auto"/>
              <w:ind w:firstLine="480" w:firstLineChars="200"/>
              <w:jc w:val="center"/>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0.10</w:t>
            </w:r>
          </w:p>
        </w:tc>
      </w:tr>
    </w:tbl>
    <w:p w14:paraId="1D88A6D8">
      <w:pPr>
        <w:spacing w:line="360" w:lineRule="auto"/>
        <w:ind w:left="1" w:firstLine="480"/>
        <w:rPr>
          <w:rFonts w:asciiTheme="minorEastAsia" w:hAnsiTheme="minorEastAsia" w:eastAsiaTheme="minorEastAsia"/>
          <w:sz w:val="24"/>
          <w:szCs w:val="24"/>
          <w:highlight w:val="none"/>
        </w:rPr>
      </w:pPr>
    </w:p>
    <w:p w14:paraId="1EBD2DF9">
      <w:pPr>
        <w:spacing w:line="360" w:lineRule="auto"/>
        <w:ind w:firstLine="472" w:firstLineChars="196"/>
        <w:rPr>
          <w:rFonts w:asciiTheme="minorEastAsia" w:hAnsiTheme="minorEastAsia" w:eastAsiaTheme="minorEastAsia"/>
          <w:sz w:val="24"/>
          <w:szCs w:val="24"/>
          <w:highlight w:val="none"/>
        </w:rPr>
      </w:pPr>
      <w:r>
        <w:rPr>
          <w:rFonts w:hint="eastAsia" w:asciiTheme="minorEastAsia" w:hAnsiTheme="minorEastAsia" w:eastAsiaTheme="minorEastAsia"/>
          <w:b/>
          <w:sz w:val="24"/>
          <w:szCs w:val="24"/>
          <w:highlight w:val="none"/>
        </w:rPr>
        <w:t>5.</w:t>
      </w:r>
      <w:r>
        <w:rPr>
          <w:rFonts w:hint="eastAsia" w:asciiTheme="minorEastAsia" w:hAnsiTheme="minorEastAsia" w:eastAsiaTheme="minorEastAsia"/>
          <w:sz w:val="24"/>
          <w:szCs w:val="24"/>
          <w:highlight w:val="none"/>
        </w:rPr>
        <w:t>发包人、设计人责任</w:t>
      </w:r>
    </w:p>
    <w:p w14:paraId="285329E6">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5.1 发包人责任</w:t>
      </w:r>
    </w:p>
    <w:p w14:paraId="3C995304">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5.1.1 发包人委托任务时，必须以书面形式向设计人明确勘察任务及技术要求，并按第二条规定提供文件资料。</w:t>
      </w:r>
    </w:p>
    <w:p w14:paraId="79DF5475">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5.1.2 工程勘察前，若发包人负责提供施工用材料的，应根据设计人提出的工程用料计划，按时提供各种材料及其产品合格证明，并承担费用和运到现场，派人与设计人的人员一起验收。</w:t>
      </w:r>
    </w:p>
    <w:p w14:paraId="500C6B04">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5.1.3</w:t>
      </w:r>
      <w:r>
        <w:rPr>
          <w:rFonts w:hint="eastAsia" w:cs="宋体" w:asciiTheme="minorEastAsia" w:hAnsiTheme="minorEastAsia" w:eastAsiaTheme="minorEastAsia"/>
          <w:kern w:val="1"/>
          <w:sz w:val="24"/>
          <w:szCs w:val="24"/>
          <w:highlight w:val="none"/>
        </w:rPr>
        <w:t>勘察过程中的任何变更，经办理正式变更手续后，发包人应按实际发生的工作量办理结算。</w:t>
      </w:r>
    </w:p>
    <w:p w14:paraId="75AFC65B">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5.1.4 由于发包人原因造成设计人停、窝工，工期顺延。</w:t>
      </w:r>
    </w:p>
    <w:p w14:paraId="05FBE9C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5.1.5 发包人应保护设计人的勘察方案、报告书、文件、资料图纸、数据、特殊工艺（方法）、专利技术和合理化建设，未经设计人同意，发包人不得复制、不得泄露、不得擅自修改、传送或向第三个转让或用于本合同外的项目；如发生上述情况，发包人应负法律责任，设计人有权索赔。</w:t>
      </w:r>
    </w:p>
    <w:p w14:paraId="5734A16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5.1.6 本合同有关条款规定和补充协议中发包人应负的其它责任。</w:t>
      </w:r>
    </w:p>
    <w:p w14:paraId="479A8F74">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5.2 设计人责任</w:t>
      </w:r>
    </w:p>
    <w:p w14:paraId="253A0039">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5.2.1设计人应按国家技术规范、标准、规程、本合同的约定、设计单位技术要求编制勘察方案，经设计单位、发包人审定后的勘察方案进行勘察工作。测量控制点埋设应按《城市测量规范》要求埋设，测量方案须经发包人确认方可实施。按本合同规定的时间提交质量合格的勘察成果资料，并对其负责。</w:t>
      </w:r>
    </w:p>
    <w:p w14:paraId="2BC9345E">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5.2.2 设计人须保证项目负责人和各专业负责人自始至终亲自审核和签署本项目的勘察文件，对勘察质量负责，如不能履行，则发包人可取消合同，设计人须赔偿发包人的损失。</w:t>
      </w:r>
    </w:p>
    <w:p w14:paraId="53F6B03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5.2.3设计人自行解决勘察现场的工作条件和出现的问题。</w:t>
      </w:r>
    </w:p>
    <w:p w14:paraId="574C6D74">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5.2.4由于设计人提供的勘察成果资料质量不合格，设计人应负责无偿给予补充完善使其达到质量合格；若设计人无力补充完善，需另委托其他单位时，设计人应承担全部勘察费用；或因勘察成果与实际不符而造成重大经济损失或工程事故时，设计人除应负法律责任和免收直接受损失部分的勘察费外，并向发包人赔偿直接经济损失的50%，赔偿限额为已支付给设计人勘察费的100%；若勘察成果与现场不符，实际钻孔数或钻孔深度不符，将按不符的每孔扣勘察费2%；若造成第三方损失，应依法向人民法院起诉，并根据判决结果承担责任。</w:t>
      </w:r>
    </w:p>
    <w:p w14:paraId="7866BE7B">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5.2.5在工程勘察前，派人与发包人的人员一起验收发包人提供的材料。</w:t>
      </w:r>
    </w:p>
    <w:p w14:paraId="7815FEE5">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5.2.6 在现场工作的设计人的人员，应遵守发包人的安全保卫及其有关的规章制度，承担其有关资料保密义务。</w:t>
      </w:r>
    </w:p>
    <w:p w14:paraId="04733458">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5.2.7 本合同有关条款规定和补充协议中设计人应负的其它责任。</w:t>
      </w:r>
    </w:p>
    <w:p w14:paraId="0D4B6F32">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5.2.8负责占道、破路等报批工作,发包人积极协助。</w:t>
      </w:r>
    </w:p>
    <w:p w14:paraId="1E4A783A">
      <w:pPr>
        <w:spacing w:line="360" w:lineRule="auto"/>
        <w:ind w:firstLine="480" w:firstLineChars="200"/>
        <w:rPr>
          <w:rFonts w:cs="宋体" w:asciiTheme="minorEastAsia" w:hAnsiTheme="minorEastAsia" w:eastAsiaTheme="minorEastAsia"/>
          <w:snapToGrid w:val="0"/>
          <w:sz w:val="24"/>
          <w:szCs w:val="24"/>
          <w:highlight w:val="none"/>
        </w:rPr>
      </w:pPr>
      <w:r>
        <w:rPr>
          <w:rFonts w:hint="eastAsia" w:asciiTheme="minorEastAsia" w:hAnsiTheme="minorEastAsia" w:eastAsiaTheme="minorEastAsia"/>
          <w:sz w:val="24"/>
          <w:szCs w:val="24"/>
          <w:highlight w:val="none"/>
        </w:rPr>
        <w:t>5.2.9钻孔点桩位定位后需通知发包人到场确认，每一孔位开钻前及终孔时需通知发包人到场确认工程量并以此作为结算依据。管线探测过程需有发包人跟踪。</w:t>
      </w:r>
      <w:r>
        <w:rPr>
          <w:rFonts w:hint="eastAsia" w:cs="宋体" w:asciiTheme="minorEastAsia" w:hAnsiTheme="minorEastAsia" w:eastAsiaTheme="minorEastAsia"/>
          <w:snapToGrid w:val="0"/>
          <w:sz w:val="24"/>
          <w:szCs w:val="24"/>
          <w:highlight w:val="none"/>
        </w:rPr>
        <w:t>勘察单位须对勘察过程的重点及动态变化环节进行录像，其中包含开孔、终孔、退场时的录像。首先开孔时对钻孔位置进行录像，保证钻孔的位置准确；其次终孔时在提钻杆之前开始录像，直至钻杆完全提出，保证钻探的深度；最后对整个场地的钻孔分布和钻孔的岩芯进行走访录像，确保钻孔数量与岩芯数量匹配；对钻探过程中的异常及突发事件须进行过程录像；通过以上重点过程的录像从而来保证每一个钻孔真实且孔深准确。</w:t>
      </w:r>
    </w:p>
    <w:p w14:paraId="5D9CD152">
      <w:pPr>
        <w:spacing w:line="360" w:lineRule="auto"/>
        <w:ind w:firstLine="480" w:firstLineChars="200"/>
        <w:rPr>
          <w:rFonts w:cs="宋体" w:asciiTheme="minorEastAsia" w:hAnsiTheme="minorEastAsia" w:eastAsiaTheme="minorEastAsia"/>
          <w:snapToGrid w:val="0"/>
          <w:kern w:val="0"/>
          <w:sz w:val="24"/>
          <w:szCs w:val="24"/>
          <w:highlight w:val="none"/>
        </w:rPr>
      </w:pPr>
      <w:r>
        <w:rPr>
          <w:rFonts w:hint="eastAsia" w:cs="宋体" w:asciiTheme="minorEastAsia" w:hAnsiTheme="minorEastAsia" w:eastAsiaTheme="minorEastAsia"/>
          <w:snapToGrid w:val="0"/>
          <w:sz w:val="24"/>
          <w:szCs w:val="24"/>
          <w:highlight w:val="none"/>
        </w:rPr>
        <w:t>5.2.10</w:t>
      </w:r>
      <w:r>
        <w:rPr>
          <w:rFonts w:hint="eastAsia" w:cs="宋体" w:asciiTheme="minorEastAsia" w:hAnsiTheme="minorEastAsia" w:eastAsiaTheme="minorEastAsia"/>
          <w:snapToGrid w:val="0"/>
          <w:kern w:val="0"/>
          <w:sz w:val="24"/>
          <w:szCs w:val="24"/>
          <w:highlight w:val="none"/>
        </w:rPr>
        <w:t>设计人应参加有关基础选型、施工方案等各种技术协调会并提供相关的技术支持配合，对地基基础方案做出论证及分析；天然地基方案应明确给出持力层和基础埋深的建议，并进行承载力、沉降分析和演算；桩基础方案应提出桩型、桩端持力层、桩端土承力和桩周摩阻力、入岩桩的桩端岩石饱和单轴抗压强度标准值，并对单桩承载力及沉桩可能性进行分析和提出建议。相关方案、分析及建议应符合国家现行岩土工程勘察规范的相关规定。当遇到软弱下卧层等不良地质条件时应相应增加钻孔数量。</w:t>
      </w:r>
    </w:p>
    <w:p w14:paraId="3062D379">
      <w:pPr>
        <w:spacing w:line="360" w:lineRule="auto"/>
        <w:ind w:firstLine="480" w:firstLineChars="200"/>
        <w:rPr>
          <w:rFonts w:asciiTheme="minorEastAsia" w:hAnsiTheme="minorEastAsia" w:eastAsiaTheme="minorEastAsia"/>
          <w:sz w:val="24"/>
          <w:szCs w:val="24"/>
          <w:highlight w:val="none"/>
        </w:rPr>
      </w:pPr>
      <w:r>
        <w:rPr>
          <w:rFonts w:hint="eastAsia" w:cs="宋体" w:asciiTheme="minorEastAsia" w:hAnsiTheme="minorEastAsia" w:eastAsiaTheme="minorEastAsia"/>
          <w:snapToGrid w:val="0"/>
          <w:kern w:val="0"/>
          <w:sz w:val="24"/>
          <w:szCs w:val="24"/>
          <w:highlight w:val="none"/>
        </w:rPr>
        <w:t>5.2.11</w:t>
      </w:r>
      <w:r>
        <w:rPr>
          <w:rFonts w:hint="eastAsia" w:cs="宋体" w:asciiTheme="minorEastAsia" w:hAnsiTheme="minorEastAsia" w:eastAsiaTheme="minorEastAsia"/>
          <w:snapToGrid w:val="0"/>
          <w:sz w:val="24"/>
          <w:szCs w:val="24"/>
          <w:highlight w:val="none"/>
        </w:rPr>
        <w:t>设计人应到基础验槽、桩基础持力层岩性鉴定等施工现场进行配合服务。</w:t>
      </w:r>
    </w:p>
    <w:p w14:paraId="3B6FBDC5">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5.2.12施工阶段若需补钻、加钻，勘察工作完成后，需回灌封堵所有钻孔并通过发包人验收。</w:t>
      </w:r>
    </w:p>
    <w:p w14:paraId="57E9EA7E">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5.2.13设计人除按合同要求向发包人移交测量成果资料外，还需提供测量原始记录手薄、电子文件，如：水准测量上交手薄，全站仪测图提供dat文件，GPS测量提供GPS测量仪的电子文件，并附解算软件。</w:t>
      </w:r>
    </w:p>
    <w:p w14:paraId="423B8EF3">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5.2.14 设计人需配合设计单位对勘察成果的校对工作，且需配合设计咨询单位和审图单位对勘察成果的审查工作。</w:t>
      </w:r>
    </w:p>
    <w:p w14:paraId="665EFEA6">
      <w:pPr>
        <w:pStyle w:val="48"/>
        <w:adjustRightInd w:val="0"/>
        <w:snapToGrid w:val="0"/>
        <w:spacing w:before="0" w:beforeAutospacing="0" w:after="0" w:afterAutospacing="0" w:line="360" w:lineRule="auto"/>
        <w:ind w:firstLine="480" w:firstLineChars="200"/>
        <w:rPr>
          <w:rFonts w:asciiTheme="minorEastAsia" w:hAnsiTheme="minorEastAsia" w:eastAsiaTheme="minorEastAsia"/>
          <w:snapToGrid w:val="0"/>
          <w:highlight w:val="none"/>
        </w:rPr>
      </w:pPr>
      <w:r>
        <w:rPr>
          <w:rFonts w:hint="eastAsia" w:asciiTheme="minorEastAsia" w:hAnsiTheme="minorEastAsia" w:eastAsiaTheme="minorEastAsia"/>
          <w:highlight w:val="none"/>
        </w:rPr>
        <w:t>5.2.15</w:t>
      </w:r>
      <w:r>
        <w:rPr>
          <w:rFonts w:hint="eastAsia" w:asciiTheme="minorEastAsia" w:hAnsiTheme="minorEastAsia" w:eastAsiaTheme="minorEastAsia"/>
          <w:snapToGrid w:val="0"/>
          <w:highlight w:val="none"/>
        </w:rPr>
        <w:t>设计人应参加施工图图纸会审、技术问题汇总与回复、各种技术协调会。</w:t>
      </w:r>
    </w:p>
    <w:p w14:paraId="14494909">
      <w:pPr>
        <w:pStyle w:val="48"/>
        <w:adjustRightInd w:val="0"/>
        <w:snapToGrid w:val="0"/>
        <w:spacing w:before="0" w:beforeAutospacing="0" w:after="0" w:afterAutospacing="0" w:line="360" w:lineRule="auto"/>
        <w:ind w:firstLine="482" w:firstLineChars="200"/>
        <w:rPr>
          <w:rFonts w:asciiTheme="minorEastAsia" w:hAnsiTheme="minorEastAsia" w:eastAsiaTheme="minorEastAsia"/>
          <w:snapToGrid w:val="0"/>
          <w:highlight w:val="none"/>
        </w:rPr>
      </w:pPr>
      <w:r>
        <w:rPr>
          <w:rFonts w:hint="eastAsia" w:asciiTheme="minorEastAsia" w:hAnsiTheme="minorEastAsia" w:eastAsiaTheme="minorEastAsia"/>
          <w:b/>
          <w:snapToGrid w:val="0"/>
          <w:highlight w:val="none"/>
        </w:rPr>
        <w:t>5.2.16</w:t>
      </w:r>
      <w:r>
        <w:rPr>
          <w:rFonts w:hint="eastAsia" w:asciiTheme="minorEastAsia" w:hAnsiTheme="minorEastAsia" w:eastAsiaTheme="minorEastAsia"/>
          <w:snapToGrid w:val="0"/>
          <w:highlight w:val="none"/>
        </w:rPr>
        <w:t>设计人应参加基础工程验收。</w:t>
      </w:r>
    </w:p>
    <w:p w14:paraId="5A8CDC63">
      <w:pPr>
        <w:pStyle w:val="48"/>
        <w:adjustRightInd w:val="0"/>
        <w:snapToGrid w:val="0"/>
        <w:spacing w:before="0" w:beforeAutospacing="0" w:after="0" w:afterAutospacing="0" w:line="360" w:lineRule="auto"/>
        <w:ind w:firstLine="480" w:firstLineChars="200"/>
        <w:rPr>
          <w:rFonts w:asciiTheme="minorEastAsia" w:hAnsiTheme="minorEastAsia" w:eastAsiaTheme="minorEastAsia"/>
          <w:snapToGrid w:val="0"/>
          <w:highlight w:val="none"/>
        </w:rPr>
      </w:pPr>
      <w:r>
        <w:rPr>
          <w:rFonts w:hint="eastAsia" w:asciiTheme="minorEastAsia" w:hAnsiTheme="minorEastAsia" w:eastAsiaTheme="minorEastAsia"/>
          <w:snapToGrid w:val="0"/>
          <w:highlight w:val="none"/>
        </w:rPr>
        <w:t>5.2.17</w:t>
      </w:r>
      <w:r>
        <w:rPr>
          <w:rFonts w:hint="eastAsia" w:asciiTheme="minorEastAsia" w:hAnsiTheme="minorEastAsia" w:eastAsiaTheme="minorEastAsia"/>
          <w:kern w:val="1"/>
          <w:highlight w:val="none"/>
        </w:rPr>
        <w:t>设计人</w:t>
      </w:r>
      <w:r>
        <w:rPr>
          <w:rFonts w:hint="eastAsia" w:asciiTheme="minorEastAsia" w:hAnsiTheme="minorEastAsia" w:eastAsiaTheme="minorEastAsia"/>
          <w:highlight w:val="none"/>
        </w:rPr>
        <w:t>自行解决勘察现场的工作条件和出现的问题。负责占道、破路等报批工作,</w:t>
      </w:r>
      <w:r>
        <w:rPr>
          <w:rFonts w:hint="eastAsia" w:asciiTheme="minorEastAsia" w:hAnsiTheme="minorEastAsia" w:eastAsiaTheme="minorEastAsia"/>
          <w:kern w:val="1"/>
          <w:highlight w:val="none"/>
        </w:rPr>
        <w:t>发包人</w:t>
      </w:r>
      <w:r>
        <w:rPr>
          <w:rFonts w:hint="eastAsia" w:asciiTheme="minorEastAsia" w:hAnsiTheme="minorEastAsia" w:eastAsiaTheme="minorEastAsia"/>
          <w:highlight w:val="none"/>
        </w:rPr>
        <w:t>积极协助。</w:t>
      </w:r>
    </w:p>
    <w:p w14:paraId="6E6CEE87">
      <w:pPr>
        <w:pStyle w:val="48"/>
        <w:adjustRightInd w:val="0"/>
        <w:snapToGrid w:val="0"/>
        <w:spacing w:before="0" w:beforeAutospacing="0" w:after="0" w:afterAutospacing="0" w:line="360" w:lineRule="auto"/>
        <w:ind w:firstLine="480" w:firstLineChars="200"/>
        <w:rPr>
          <w:rFonts w:asciiTheme="minorEastAsia" w:hAnsiTheme="minorEastAsia" w:eastAsiaTheme="minorEastAsia"/>
          <w:snapToGrid w:val="0"/>
          <w:highlight w:val="none"/>
        </w:rPr>
      </w:pPr>
    </w:p>
    <w:p w14:paraId="523BBF43">
      <w:pPr>
        <w:pStyle w:val="48"/>
        <w:adjustRightInd w:val="0"/>
        <w:snapToGrid w:val="0"/>
        <w:spacing w:before="0" w:beforeAutospacing="0" w:after="0" w:afterAutospacing="0" w:line="360" w:lineRule="auto"/>
        <w:ind w:firstLine="480" w:firstLineChars="200"/>
        <w:rPr>
          <w:rFonts w:asciiTheme="minorEastAsia" w:hAnsiTheme="minorEastAsia" w:eastAsiaTheme="minorEastAsia"/>
          <w:snapToGrid w:val="0"/>
          <w:highlight w:val="none"/>
        </w:rPr>
      </w:pPr>
      <w:r>
        <w:rPr>
          <w:rFonts w:hint="eastAsia" w:asciiTheme="minorEastAsia" w:hAnsiTheme="minorEastAsia" w:eastAsiaTheme="minorEastAsia"/>
          <w:snapToGrid w:val="0"/>
          <w:highlight w:val="none"/>
        </w:rPr>
        <w:t>6勘察的质量要求</w:t>
      </w:r>
    </w:p>
    <w:p w14:paraId="002E613D">
      <w:pPr>
        <w:adjustRightInd w:val="0"/>
        <w:snapToGrid w:val="0"/>
        <w:spacing w:line="360" w:lineRule="auto"/>
        <w:ind w:right="11" w:firstLine="482" w:firstLineChars="200"/>
        <w:rPr>
          <w:rFonts w:cs="宋体" w:asciiTheme="minorEastAsia" w:hAnsiTheme="minorEastAsia" w:eastAsiaTheme="minorEastAsia"/>
          <w:bCs/>
          <w:snapToGrid w:val="0"/>
          <w:kern w:val="0"/>
          <w:sz w:val="24"/>
          <w:szCs w:val="24"/>
          <w:highlight w:val="none"/>
        </w:rPr>
      </w:pPr>
      <w:r>
        <w:rPr>
          <w:rFonts w:hint="eastAsia" w:cs="宋体" w:asciiTheme="minorEastAsia" w:hAnsiTheme="minorEastAsia" w:eastAsiaTheme="minorEastAsia"/>
          <w:b/>
          <w:bCs/>
          <w:snapToGrid w:val="0"/>
          <w:kern w:val="0"/>
          <w:sz w:val="24"/>
          <w:szCs w:val="24"/>
          <w:highlight w:val="none"/>
        </w:rPr>
        <w:t>6.1</w:t>
      </w:r>
      <w:r>
        <w:rPr>
          <w:rFonts w:hint="eastAsia" w:cs="宋体" w:asciiTheme="minorEastAsia" w:hAnsiTheme="minorEastAsia" w:eastAsiaTheme="minorEastAsia"/>
          <w:bCs/>
          <w:snapToGrid w:val="0"/>
          <w:kern w:val="0"/>
          <w:sz w:val="24"/>
          <w:szCs w:val="24"/>
          <w:highlight w:val="none"/>
        </w:rPr>
        <w:t>设计人应按国家技术规范、标准、规程和本合同约定的勘察范围及技术要求实施勘察工作，按本合同约定的时间提交质量合格的勘察成果文件并对其负责。</w:t>
      </w:r>
    </w:p>
    <w:p w14:paraId="2D9A1492">
      <w:pPr>
        <w:adjustRightInd w:val="0"/>
        <w:snapToGrid w:val="0"/>
        <w:spacing w:line="360" w:lineRule="auto"/>
        <w:ind w:firstLine="479" w:firstLineChars="199"/>
        <w:rPr>
          <w:rFonts w:cs="宋体" w:asciiTheme="minorEastAsia" w:hAnsiTheme="minorEastAsia" w:eastAsiaTheme="minorEastAsia"/>
          <w:snapToGrid w:val="0"/>
          <w:kern w:val="0"/>
          <w:sz w:val="24"/>
          <w:szCs w:val="24"/>
          <w:highlight w:val="none"/>
        </w:rPr>
      </w:pPr>
      <w:r>
        <w:rPr>
          <w:rFonts w:hint="eastAsia" w:cs="宋体" w:asciiTheme="minorEastAsia" w:hAnsiTheme="minorEastAsia" w:eastAsiaTheme="minorEastAsia"/>
          <w:b/>
          <w:snapToGrid w:val="0"/>
          <w:kern w:val="0"/>
          <w:sz w:val="24"/>
          <w:szCs w:val="24"/>
          <w:highlight w:val="none"/>
        </w:rPr>
        <w:t>6.2</w:t>
      </w:r>
      <w:r>
        <w:rPr>
          <w:rFonts w:hint="eastAsia" w:cs="宋体" w:asciiTheme="minorEastAsia" w:hAnsiTheme="minorEastAsia" w:eastAsiaTheme="minorEastAsia"/>
          <w:snapToGrid w:val="0"/>
          <w:kern w:val="0"/>
          <w:sz w:val="24"/>
          <w:szCs w:val="24"/>
          <w:highlight w:val="none"/>
        </w:rPr>
        <w:t>设计人应在勘察成果文件中明确列出本合同工程勘察涉及到的详细的勘察规范、规定及标准（名称、编号与版本）。</w:t>
      </w:r>
    </w:p>
    <w:p w14:paraId="30627B67">
      <w:pPr>
        <w:adjustRightInd w:val="0"/>
        <w:snapToGrid w:val="0"/>
        <w:spacing w:line="360" w:lineRule="auto"/>
        <w:ind w:right="11" w:firstLine="482" w:firstLineChars="200"/>
        <w:rPr>
          <w:rFonts w:cs="宋体" w:asciiTheme="minorEastAsia" w:hAnsiTheme="minorEastAsia" w:eastAsiaTheme="minorEastAsia"/>
          <w:bCs/>
          <w:snapToGrid w:val="0"/>
          <w:kern w:val="0"/>
          <w:sz w:val="24"/>
          <w:szCs w:val="24"/>
          <w:highlight w:val="none"/>
        </w:rPr>
      </w:pPr>
      <w:r>
        <w:rPr>
          <w:rFonts w:hint="eastAsia" w:cs="宋体" w:asciiTheme="minorEastAsia" w:hAnsiTheme="minorEastAsia" w:eastAsiaTheme="minorEastAsia"/>
          <w:b/>
          <w:snapToGrid w:val="0"/>
          <w:kern w:val="0"/>
          <w:sz w:val="24"/>
          <w:szCs w:val="24"/>
          <w:highlight w:val="none"/>
        </w:rPr>
        <w:t>6.3</w:t>
      </w:r>
      <w:r>
        <w:rPr>
          <w:rFonts w:hint="eastAsia" w:cs="宋体" w:asciiTheme="minorEastAsia" w:hAnsiTheme="minorEastAsia" w:eastAsiaTheme="minorEastAsia"/>
          <w:snapToGrid w:val="0"/>
          <w:kern w:val="0"/>
          <w:sz w:val="24"/>
          <w:szCs w:val="24"/>
          <w:highlight w:val="none"/>
        </w:rPr>
        <w:t>设计人实际完成的勘察工作量及勘察成果文件</w:t>
      </w:r>
      <w:r>
        <w:rPr>
          <w:rFonts w:hint="eastAsia" w:cs="宋体" w:asciiTheme="minorEastAsia" w:hAnsiTheme="minorEastAsia" w:eastAsiaTheme="minorEastAsia"/>
          <w:bCs/>
          <w:snapToGrid w:val="0"/>
          <w:kern w:val="0"/>
          <w:sz w:val="24"/>
          <w:szCs w:val="24"/>
          <w:highlight w:val="none"/>
        </w:rPr>
        <w:t>由施工图审查单位负责审核</w:t>
      </w:r>
      <w:r>
        <w:rPr>
          <w:rFonts w:hint="eastAsia" w:cs="宋体" w:asciiTheme="minorEastAsia" w:hAnsiTheme="minorEastAsia" w:eastAsiaTheme="minorEastAsia"/>
          <w:snapToGrid w:val="0"/>
          <w:kern w:val="0"/>
          <w:sz w:val="24"/>
          <w:szCs w:val="24"/>
          <w:highlight w:val="none"/>
        </w:rPr>
        <w:t>，并须经发包人或发包人委托的第三方确认后才能作为结算依据,对于超过设计要求的勘察深度的工作量不计算；</w:t>
      </w:r>
      <w:r>
        <w:rPr>
          <w:rFonts w:hint="eastAsia" w:cs="宋体" w:asciiTheme="minorEastAsia" w:hAnsiTheme="minorEastAsia" w:eastAsiaTheme="minorEastAsia"/>
          <w:bCs/>
          <w:snapToGrid w:val="0"/>
          <w:kern w:val="0"/>
          <w:sz w:val="24"/>
          <w:szCs w:val="24"/>
          <w:highlight w:val="none"/>
        </w:rPr>
        <w:t>设计人应确保其提交的勘察成果文件是完整、准确及有效的，且能通过施工图审查单位根据相关规范、规定进行的审核。</w:t>
      </w:r>
    </w:p>
    <w:p w14:paraId="2EF65BB7">
      <w:pPr>
        <w:pStyle w:val="48"/>
        <w:adjustRightInd w:val="0"/>
        <w:snapToGrid w:val="0"/>
        <w:spacing w:before="0" w:beforeAutospacing="0" w:after="0" w:afterAutospacing="0" w:line="360" w:lineRule="auto"/>
        <w:ind w:firstLine="480" w:firstLineChars="200"/>
        <w:rPr>
          <w:rFonts w:asciiTheme="minorEastAsia" w:hAnsiTheme="minorEastAsia" w:eastAsiaTheme="minorEastAsia"/>
          <w:snapToGrid w:val="0"/>
          <w:highlight w:val="none"/>
        </w:rPr>
      </w:pPr>
    </w:p>
    <w:p w14:paraId="3F0B3436">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7勘察人员</w:t>
      </w:r>
    </w:p>
    <w:p w14:paraId="4F8C8961">
      <w:pPr>
        <w:adjustRightInd w:val="0"/>
        <w:snapToGrid w:val="0"/>
        <w:spacing w:line="360" w:lineRule="auto"/>
        <w:ind w:firstLine="482" w:firstLineChars="200"/>
        <w:rPr>
          <w:rFonts w:cs="宋体" w:asciiTheme="minorEastAsia" w:hAnsiTheme="minorEastAsia" w:eastAsiaTheme="minorEastAsia"/>
          <w:snapToGrid w:val="0"/>
          <w:kern w:val="0"/>
          <w:sz w:val="24"/>
          <w:szCs w:val="24"/>
          <w:highlight w:val="none"/>
        </w:rPr>
      </w:pPr>
      <w:r>
        <w:rPr>
          <w:rFonts w:hint="eastAsia" w:cs="宋体" w:asciiTheme="minorEastAsia" w:hAnsiTheme="minorEastAsia" w:eastAsiaTheme="minorEastAsia"/>
          <w:b/>
          <w:snapToGrid w:val="0"/>
          <w:kern w:val="0"/>
          <w:sz w:val="24"/>
          <w:szCs w:val="24"/>
          <w:highlight w:val="none"/>
        </w:rPr>
        <w:t>7.1</w:t>
      </w:r>
      <w:r>
        <w:rPr>
          <w:rFonts w:hint="eastAsia" w:cs="宋体" w:asciiTheme="minorEastAsia" w:hAnsiTheme="minorEastAsia" w:eastAsiaTheme="minorEastAsia"/>
          <w:snapToGrid w:val="0"/>
          <w:kern w:val="0"/>
          <w:sz w:val="24"/>
          <w:szCs w:val="24"/>
          <w:highlight w:val="none"/>
        </w:rPr>
        <w:t>为确保本合同工程的勘察设计质量，在本合同履行期内，在明确分工各负其责的基础上，设计人为本合同工程派出的勘察专业负责人、勘察驻场服务人员的职务、资历、资格须满足招标文件及本合同约定。</w:t>
      </w:r>
    </w:p>
    <w:p w14:paraId="410918B1">
      <w:pPr>
        <w:spacing w:line="360" w:lineRule="auto"/>
        <w:ind w:firstLine="482" w:firstLineChars="200"/>
        <w:rPr>
          <w:rFonts w:cs="宋体" w:asciiTheme="minorEastAsia" w:hAnsiTheme="minorEastAsia" w:eastAsiaTheme="minorEastAsia"/>
          <w:snapToGrid w:val="0"/>
          <w:kern w:val="0"/>
          <w:sz w:val="24"/>
          <w:szCs w:val="24"/>
          <w:highlight w:val="none"/>
        </w:rPr>
      </w:pPr>
      <w:r>
        <w:rPr>
          <w:rFonts w:hint="eastAsia" w:cs="宋体" w:asciiTheme="minorEastAsia" w:hAnsiTheme="minorEastAsia" w:eastAsiaTheme="minorEastAsia"/>
          <w:b/>
          <w:snapToGrid w:val="0"/>
          <w:kern w:val="0"/>
          <w:sz w:val="24"/>
          <w:szCs w:val="24"/>
          <w:highlight w:val="none"/>
        </w:rPr>
        <w:t>7.2</w:t>
      </w:r>
      <w:r>
        <w:rPr>
          <w:rFonts w:hint="eastAsia" w:cs="宋体" w:asciiTheme="minorEastAsia" w:hAnsiTheme="minorEastAsia" w:eastAsiaTheme="minorEastAsia"/>
          <w:snapToGrid w:val="0"/>
          <w:kern w:val="0"/>
          <w:sz w:val="24"/>
          <w:szCs w:val="24"/>
          <w:highlight w:val="none"/>
        </w:rPr>
        <w:t>勘察单位应根据勘察任务建立项目组，从组织上保证投入的人力、物力能满足勘察开展的需要，保证不同勘察时段勘察工作的连续性和外部条件接口衔接的连贯性。</w:t>
      </w:r>
    </w:p>
    <w:p w14:paraId="416817E8">
      <w:pPr>
        <w:spacing w:line="360" w:lineRule="auto"/>
        <w:ind w:firstLine="420"/>
        <w:rPr>
          <w:rFonts w:asciiTheme="minorEastAsia" w:hAnsiTheme="minorEastAsia" w:eastAsiaTheme="minorEastAsia"/>
          <w:sz w:val="24"/>
          <w:szCs w:val="24"/>
          <w:highlight w:val="none"/>
        </w:rPr>
      </w:pPr>
      <w:r>
        <w:rPr>
          <w:rFonts w:hint="eastAsia" w:cs="宋体" w:asciiTheme="minorEastAsia" w:hAnsiTheme="minorEastAsia" w:eastAsiaTheme="minorEastAsia"/>
          <w:snapToGrid w:val="0"/>
          <w:kern w:val="0"/>
          <w:sz w:val="24"/>
          <w:szCs w:val="24"/>
          <w:highlight w:val="none"/>
        </w:rPr>
        <w:t>7.3</w:t>
      </w:r>
      <w:r>
        <w:rPr>
          <w:rFonts w:hint="eastAsia" w:cs="宋体" w:asciiTheme="minorEastAsia" w:hAnsiTheme="minorEastAsia" w:eastAsiaTheme="minorEastAsia"/>
          <w:kern w:val="1"/>
          <w:sz w:val="24"/>
          <w:szCs w:val="24"/>
          <w:highlight w:val="none"/>
        </w:rPr>
        <w:t>设计人</w:t>
      </w:r>
      <w:r>
        <w:rPr>
          <w:rFonts w:hint="eastAsia" w:asciiTheme="minorEastAsia" w:hAnsiTheme="minorEastAsia" w:eastAsiaTheme="minorEastAsia"/>
          <w:sz w:val="24"/>
          <w:szCs w:val="24"/>
          <w:highlight w:val="none"/>
        </w:rPr>
        <w:t>须保证项目负责人和各专业负责人自始至终亲自审核和签署本项目的勘察文件，对勘察质量负责，如不能履行，则</w:t>
      </w:r>
      <w:r>
        <w:rPr>
          <w:rFonts w:hint="eastAsia" w:cs="宋体" w:asciiTheme="minorEastAsia" w:hAnsiTheme="minorEastAsia" w:eastAsiaTheme="minorEastAsia"/>
          <w:kern w:val="1"/>
          <w:sz w:val="24"/>
          <w:szCs w:val="24"/>
          <w:highlight w:val="none"/>
        </w:rPr>
        <w:t>发包人</w:t>
      </w:r>
      <w:r>
        <w:rPr>
          <w:rFonts w:hint="eastAsia" w:asciiTheme="minorEastAsia" w:hAnsiTheme="minorEastAsia" w:eastAsiaTheme="minorEastAsia"/>
          <w:sz w:val="24"/>
          <w:szCs w:val="24"/>
          <w:highlight w:val="none"/>
        </w:rPr>
        <w:t>可取消合同，</w:t>
      </w:r>
      <w:r>
        <w:rPr>
          <w:rFonts w:hint="eastAsia" w:cs="宋体" w:asciiTheme="minorEastAsia" w:hAnsiTheme="minorEastAsia" w:eastAsiaTheme="minorEastAsia"/>
          <w:kern w:val="1"/>
          <w:sz w:val="24"/>
          <w:szCs w:val="24"/>
          <w:highlight w:val="none"/>
        </w:rPr>
        <w:t>设计人</w:t>
      </w:r>
      <w:r>
        <w:rPr>
          <w:rFonts w:hint="eastAsia" w:asciiTheme="minorEastAsia" w:hAnsiTheme="minorEastAsia" w:eastAsiaTheme="minorEastAsia"/>
          <w:sz w:val="24"/>
          <w:szCs w:val="24"/>
          <w:highlight w:val="none"/>
        </w:rPr>
        <w:t>须赔偿</w:t>
      </w:r>
      <w:r>
        <w:rPr>
          <w:rFonts w:hint="eastAsia" w:cs="宋体" w:asciiTheme="minorEastAsia" w:hAnsiTheme="minorEastAsia" w:eastAsiaTheme="minorEastAsia"/>
          <w:kern w:val="1"/>
          <w:sz w:val="24"/>
          <w:szCs w:val="24"/>
          <w:highlight w:val="none"/>
        </w:rPr>
        <w:t>发包人</w:t>
      </w:r>
      <w:r>
        <w:rPr>
          <w:rFonts w:hint="eastAsia" w:asciiTheme="minorEastAsia" w:hAnsiTheme="minorEastAsia" w:eastAsiaTheme="minorEastAsia"/>
          <w:sz w:val="24"/>
          <w:szCs w:val="24"/>
          <w:highlight w:val="none"/>
        </w:rPr>
        <w:t>的损失。</w:t>
      </w:r>
    </w:p>
    <w:p w14:paraId="542CD692">
      <w:pPr>
        <w:spacing w:line="360" w:lineRule="auto"/>
        <w:rPr>
          <w:rFonts w:asciiTheme="minorEastAsia" w:hAnsiTheme="minorEastAsia" w:eastAsiaTheme="minorEastAsia"/>
          <w:sz w:val="24"/>
          <w:szCs w:val="24"/>
          <w:highlight w:val="none"/>
        </w:rPr>
      </w:pPr>
    </w:p>
    <w:p w14:paraId="5834C517">
      <w:pPr>
        <w:spacing w:line="360" w:lineRule="auto"/>
        <w:ind w:left="1" w:firstLine="472" w:firstLineChars="196"/>
        <w:rPr>
          <w:rFonts w:asciiTheme="minorEastAsia" w:hAnsiTheme="minorEastAsia" w:eastAsiaTheme="minorEastAsia"/>
          <w:sz w:val="24"/>
          <w:szCs w:val="24"/>
          <w:highlight w:val="none"/>
        </w:rPr>
      </w:pPr>
      <w:r>
        <w:rPr>
          <w:rFonts w:hint="eastAsia" w:asciiTheme="minorEastAsia" w:hAnsiTheme="minorEastAsia" w:eastAsiaTheme="minorEastAsia"/>
          <w:b/>
          <w:sz w:val="24"/>
          <w:szCs w:val="24"/>
          <w:highlight w:val="none"/>
        </w:rPr>
        <w:t>8.</w:t>
      </w:r>
      <w:r>
        <w:rPr>
          <w:rFonts w:hint="eastAsia" w:asciiTheme="minorEastAsia" w:hAnsiTheme="minorEastAsia" w:eastAsiaTheme="minorEastAsia"/>
          <w:sz w:val="24"/>
          <w:szCs w:val="24"/>
          <w:highlight w:val="none"/>
        </w:rPr>
        <w:t>违约责任</w:t>
      </w:r>
    </w:p>
    <w:p w14:paraId="0D1623C9">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8.1 由于发包人的原因造成停、窝工，发包人应将工期按实际受影响的时间顺延，并付给设计人来回进出场费。</w:t>
      </w:r>
    </w:p>
    <w:p w14:paraId="159C58DB">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8.2 由于设计人原因造成勘察成果资料质量不合格，不能满足技术要求时，其返工勘察费用由设计人承担。如果设计人未能按时按质提供给发包人，每延迟一天，发包人则扣除勘察总费用的千分之三作罚金。误期损害赔偿费的最高限额为最终合同价格的30%。若设计人在发包人指定的期限内仍不能提供合格的勘察成果资料的，发包人有权解除本合同，未付的勘察费用无须再付。发包人另聘他人完成相关工作的费用由设计人承担。</w:t>
      </w:r>
    </w:p>
    <w:p w14:paraId="4B6B876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8.3 合同履行期间，由于工程停建而终止合同或发包人要求解除合同时，设计人未进行勘察工作的，不退还发包人已付定金。已进行勘察工作的，按实际完成的工作量向设计人支付勘察费。</w:t>
      </w:r>
    </w:p>
    <w:p w14:paraId="07699770">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8.4 本合同签订后，发包人不履行合同时，无权要求返还定金；设计人不履行合同时，双倍返还定金，并赔偿发包人的损失。</w:t>
      </w:r>
    </w:p>
    <w:p w14:paraId="4511E7D2">
      <w:pPr>
        <w:spacing w:line="360" w:lineRule="auto"/>
        <w:ind w:left="1" w:firstLine="472" w:firstLineChars="196"/>
        <w:rPr>
          <w:rFonts w:asciiTheme="minorEastAsia" w:hAnsiTheme="minorEastAsia" w:eastAsiaTheme="minorEastAsia"/>
          <w:sz w:val="24"/>
          <w:szCs w:val="24"/>
          <w:highlight w:val="none"/>
        </w:rPr>
      </w:pPr>
      <w:r>
        <w:rPr>
          <w:rFonts w:hint="eastAsia" w:asciiTheme="minorEastAsia" w:hAnsiTheme="minorEastAsia" w:eastAsiaTheme="minorEastAsia"/>
          <w:b/>
          <w:sz w:val="24"/>
          <w:szCs w:val="24"/>
          <w:highlight w:val="none"/>
        </w:rPr>
        <w:t>9.</w:t>
      </w:r>
      <w:r>
        <w:rPr>
          <w:rFonts w:hint="eastAsia" w:asciiTheme="minorEastAsia" w:hAnsiTheme="minorEastAsia" w:eastAsiaTheme="minorEastAsia"/>
          <w:sz w:val="24"/>
          <w:szCs w:val="24"/>
          <w:highlight w:val="none"/>
        </w:rPr>
        <w:t>本合同未尽事宜，经发包人与设计人协商一致，签订补充协议，补充协议与本合同具有同等效力。</w:t>
      </w:r>
    </w:p>
    <w:p w14:paraId="7ACAA6D4">
      <w:pPr>
        <w:spacing w:line="360" w:lineRule="auto"/>
        <w:ind w:left="1" w:firstLine="472" w:firstLineChars="196"/>
        <w:rPr>
          <w:rFonts w:asciiTheme="minorEastAsia" w:hAnsiTheme="minorEastAsia" w:eastAsiaTheme="minorEastAsia"/>
          <w:sz w:val="24"/>
          <w:szCs w:val="24"/>
          <w:highlight w:val="none"/>
        </w:rPr>
      </w:pPr>
      <w:r>
        <w:rPr>
          <w:rFonts w:hint="eastAsia" w:asciiTheme="minorEastAsia" w:hAnsiTheme="minorEastAsia" w:eastAsiaTheme="minorEastAsia"/>
          <w:b/>
          <w:sz w:val="24"/>
          <w:szCs w:val="24"/>
          <w:highlight w:val="none"/>
        </w:rPr>
        <w:t>10.</w:t>
      </w:r>
      <w:r>
        <w:rPr>
          <w:rFonts w:hint="eastAsia" w:asciiTheme="minorEastAsia" w:hAnsiTheme="minorEastAsia" w:eastAsiaTheme="minorEastAsia"/>
          <w:sz w:val="24"/>
          <w:szCs w:val="24"/>
          <w:highlight w:val="none"/>
        </w:rPr>
        <w:t>其它约定事项：本合同项下的勘察成果资料的知识产权归属发包人所有。</w:t>
      </w:r>
    </w:p>
    <w:p w14:paraId="44DE5393">
      <w:pPr>
        <w:spacing w:line="360" w:lineRule="auto"/>
        <w:ind w:left="1" w:firstLine="472" w:firstLineChars="196"/>
        <w:rPr>
          <w:rFonts w:cs="宋体"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11.</w:t>
      </w:r>
      <w:r>
        <w:rPr>
          <w:rFonts w:hint="eastAsia" w:asciiTheme="minorEastAsia" w:hAnsiTheme="minorEastAsia" w:eastAsiaTheme="minorEastAsia"/>
          <w:sz w:val="24"/>
          <w:szCs w:val="24"/>
          <w:highlight w:val="none"/>
        </w:rPr>
        <w:t>本合同发生争议，发包人、勘察人应及时协商解决，也可由当地建设行政主管部门调解，协商或调解不成时，发包人、勘察人同意由广州仲裁委员会仲裁。</w:t>
      </w:r>
    </w:p>
    <w:p w14:paraId="3509A2F0">
      <w:pPr>
        <w:spacing w:line="440" w:lineRule="exact"/>
        <w:rPr>
          <w:rFonts w:eastAsia="仿宋_GB2312"/>
          <w:sz w:val="30"/>
          <w:szCs w:val="30"/>
          <w:highlight w:val="none"/>
        </w:rPr>
      </w:pPr>
      <w:r>
        <w:rPr>
          <w:rFonts w:hint="eastAsia" w:asciiTheme="minorEastAsia" w:hAnsiTheme="minorEastAsia" w:eastAsiaTheme="minorEastAsia"/>
          <w:b/>
          <w:sz w:val="24"/>
          <w:szCs w:val="24"/>
          <w:highlight w:val="none"/>
        </w:rPr>
        <w:br w:type="page"/>
      </w:r>
      <w:r>
        <w:rPr>
          <w:rFonts w:hint="eastAsia" w:asciiTheme="minorEastAsia" w:hAnsiTheme="minorEastAsia" w:eastAsiaTheme="minorEastAsia"/>
          <w:b/>
          <w:sz w:val="24"/>
          <w:szCs w:val="24"/>
          <w:highlight w:val="none"/>
        </w:rPr>
        <w:t>附件7：</w:t>
      </w:r>
      <w:r>
        <w:rPr>
          <w:rFonts w:hint="eastAsia" w:eastAsia="仿宋_GB2312"/>
          <w:sz w:val="30"/>
          <w:szCs w:val="30"/>
          <w:highlight w:val="none"/>
        </w:rPr>
        <w:t> </w:t>
      </w:r>
      <w:r>
        <w:rPr>
          <w:rFonts w:hint="eastAsia" w:asciiTheme="minorEastAsia" w:hAnsiTheme="minorEastAsia" w:eastAsiaTheme="minorEastAsia"/>
          <w:b/>
          <w:sz w:val="24"/>
          <w:szCs w:val="24"/>
          <w:highlight w:val="none"/>
        </w:rPr>
        <w:t>廉政合同</w:t>
      </w:r>
      <w:r>
        <w:rPr>
          <w:rFonts w:hint="eastAsia" w:eastAsia="仿宋_GB2312"/>
          <w:sz w:val="30"/>
          <w:szCs w:val="30"/>
          <w:highlight w:val="none"/>
        </w:rPr>
        <w:t> </w:t>
      </w:r>
    </w:p>
    <w:p w14:paraId="3EC7C0BD">
      <w:pPr>
        <w:rPr>
          <w:highlight w:val="none"/>
        </w:rPr>
      </w:pPr>
      <w:r>
        <w:rPr>
          <w:rFonts w:hint="eastAsia"/>
          <w:highlight w:val="none"/>
        </w:rPr>
        <w:t>  </w:t>
      </w:r>
    </w:p>
    <w:p w14:paraId="6D2801A7">
      <w:pPr>
        <w:adjustRightInd w:val="0"/>
        <w:snapToGrid w:val="0"/>
        <w:spacing w:line="300" w:lineRule="exact"/>
        <w:jc w:val="center"/>
        <w:outlineLvl w:val="1"/>
        <w:rPr>
          <w:rFonts w:ascii="宋体" w:hAnsi="宋体"/>
          <w:b/>
          <w:snapToGrid w:val="0"/>
          <w:kern w:val="0"/>
          <w:sz w:val="32"/>
          <w:szCs w:val="32"/>
          <w:highlight w:val="none"/>
        </w:rPr>
      </w:pPr>
      <w:r>
        <w:rPr>
          <w:rFonts w:hint="eastAsia" w:ascii="宋体" w:hAnsi="宋体"/>
          <w:b/>
          <w:snapToGrid w:val="0"/>
          <w:kern w:val="0"/>
          <w:sz w:val="32"/>
          <w:szCs w:val="32"/>
          <w:highlight w:val="none"/>
        </w:rPr>
        <w:t>廉洁合同</w:t>
      </w:r>
    </w:p>
    <w:p w14:paraId="19D8413A">
      <w:pPr>
        <w:adjustRightInd w:val="0"/>
        <w:snapToGrid w:val="0"/>
        <w:spacing w:line="300" w:lineRule="exact"/>
        <w:rPr>
          <w:rFonts w:ascii="宋体" w:hAnsi="宋体"/>
          <w:snapToGrid w:val="0"/>
          <w:kern w:val="0"/>
          <w:szCs w:val="32"/>
          <w:highlight w:val="none"/>
        </w:rPr>
      </w:pPr>
    </w:p>
    <w:p w14:paraId="63ABD570">
      <w:pPr>
        <w:adjustRightInd w:val="0"/>
        <w:snapToGrid w:val="0"/>
        <w:spacing w:line="300" w:lineRule="exact"/>
        <w:rPr>
          <w:rFonts w:ascii="宋体" w:hAnsi="宋体"/>
          <w:snapToGrid w:val="0"/>
          <w:kern w:val="0"/>
          <w:sz w:val="24"/>
          <w:szCs w:val="24"/>
          <w:highlight w:val="none"/>
        </w:rPr>
      </w:pPr>
      <w:r>
        <w:rPr>
          <w:rFonts w:hint="eastAsia" w:ascii="宋体" w:hAnsi="宋体"/>
          <w:snapToGrid w:val="0"/>
          <w:kern w:val="0"/>
          <w:sz w:val="24"/>
          <w:szCs w:val="24"/>
          <w:highlight w:val="none"/>
        </w:rPr>
        <w:t>甲方（发包人）：</w:t>
      </w:r>
      <w:r>
        <w:rPr>
          <w:rFonts w:hint="eastAsia" w:ascii="宋体" w:hAnsi="宋体"/>
          <w:snapToGrid w:val="0"/>
          <w:kern w:val="0"/>
          <w:sz w:val="24"/>
          <w:szCs w:val="24"/>
          <w:highlight w:val="none"/>
          <w:u w:val="single"/>
        </w:rPr>
        <w:t>广东省代建项目管理局</w:t>
      </w:r>
    </w:p>
    <w:p w14:paraId="7D3094E2">
      <w:pPr>
        <w:adjustRightInd w:val="0"/>
        <w:snapToGrid w:val="0"/>
        <w:spacing w:line="300" w:lineRule="exact"/>
        <w:rPr>
          <w:rFonts w:ascii="宋体" w:hAnsi="宋体"/>
          <w:snapToGrid w:val="0"/>
          <w:kern w:val="0"/>
          <w:sz w:val="24"/>
          <w:szCs w:val="24"/>
          <w:highlight w:val="none"/>
          <w:u w:val="single"/>
        </w:rPr>
      </w:pPr>
      <w:r>
        <w:rPr>
          <w:rFonts w:hint="eastAsia" w:ascii="宋体" w:hAnsi="宋体"/>
          <w:snapToGrid w:val="0"/>
          <w:kern w:val="0"/>
          <w:sz w:val="24"/>
          <w:szCs w:val="24"/>
          <w:highlight w:val="none"/>
        </w:rPr>
        <w:t>乙方（承包人）：</w:t>
      </w:r>
    </w:p>
    <w:p w14:paraId="2708D55A">
      <w:pPr>
        <w:adjustRightInd w:val="0"/>
        <w:snapToGrid w:val="0"/>
        <w:spacing w:line="300" w:lineRule="exact"/>
        <w:rPr>
          <w:rFonts w:ascii="宋体" w:hAnsi="宋体"/>
          <w:snapToGrid w:val="0"/>
          <w:kern w:val="0"/>
          <w:sz w:val="24"/>
          <w:szCs w:val="24"/>
          <w:highlight w:val="none"/>
        </w:rPr>
      </w:pPr>
    </w:p>
    <w:p w14:paraId="180C583C">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为切实规范甲乙双方的各项建筑活动，预防本工程违法违纪等腐败现象的发生，保障工程建设优质、安全和廉洁，根据</w:t>
      </w:r>
      <w:r>
        <w:rPr>
          <w:rFonts w:hint="eastAsia"/>
          <w:sz w:val="24"/>
          <w:highlight w:val="none"/>
        </w:rPr>
        <w:t>国家</w:t>
      </w:r>
      <w:r>
        <w:rPr>
          <w:rFonts w:hint="eastAsia" w:ascii="宋体" w:hAnsi="宋体"/>
          <w:snapToGrid w:val="0"/>
          <w:kern w:val="0"/>
          <w:sz w:val="24"/>
          <w:szCs w:val="24"/>
          <w:highlight w:val="none"/>
        </w:rPr>
        <w:t>和省、市</w:t>
      </w:r>
      <w:r>
        <w:rPr>
          <w:rFonts w:hint="eastAsia"/>
          <w:sz w:val="24"/>
          <w:highlight w:val="none"/>
        </w:rPr>
        <w:t>工程建设相关法律法规和廉政建设责任制规定</w:t>
      </w:r>
      <w:r>
        <w:rPr>
          <w:rFonts w:hint="eastAsia" w:ascii="宋体" w:hAnsi="宋体"/>
          <w:sz w:val="24"/>
          <w:highlight w:val="none"/>
        </w:rPr>
        <w:t>，特订立协议书。</w:t>
      </w:r>
    </w:p>
    <w:p w14:paraId="329DEF68">
      <w:pPr>
        <w:adjustRightInd w:val="0"/>
        <w:snapToGrid w:val="0"/>
        <w:spacing w:line="300" w:lineRule="exact"/>
        <w:ind w:firstLine="470" w:firstLineChars="196"/>
        <w:rPr>
          <w:rFonts w:ascii="宋体" w:hAnsi="宋体"/>
          <w:snapToGrid w:val="0"/>
          <w:kern w:val="0"/>
          <w:sz w:val="24"/>
          <w:szCs w:val="24"/>
          <w:highlight w:val="none"/>
        </w:rPr>
      </w:pPr>
      <w:r>
        <w:rPr>
          <w:rFonts w:hint="eastAsia" w:ascii="宋体" w:hAnsi="宋体"/>
          <w:snapToGrid w:val="0"/>
          <w:kern w:val="0"/>
          <w:sz w:val="24"/>
          <w:szCs w:val="24"/>
          <w:highlight w:val="none"/>
        </w:rPr>
        <w:t>第一条 甲乙双方责任</w:t>
      </w:r>
    </w:p>
    <w:p w14:paraId="7B7DBA35">
      <w:pPr>
        <w:adjustRightInd w:val="0"/>
        <w:snapToGrid w:val="0"/>
        <w:spacing w:line="300" w:lineRule="exact"/>
        <w:ind w:firstLine="470" w:firstLineChars="196"/>
        <w:rPr>
          <w:rFonts w:ascii="宋体" w:hAnsi="宋体"/>
          <w:snapToGrid w:val="0"/>
          <w:kern w:val="0"/>
          <w:sz w:val="24"/>
          <w:szCs w:val="24"/>
          <w:highlight w:val="none"/>
        </w:rPr>
      </w:pPr>
      <w:r>
        <w:rPr>
          <w:rFonts w:hint="eastAsia" w:ascii="宋体" w:hAnsi="宋体"/>
          <w:snapToGrid w:val="0"/>
          <w:kern w:val="0"/>
          <w:sz w:val="24"/>
          <w:szCs w:val="24"/>
          <w:highlight w:val="none"/>
        </w:rPr>
        <w:t>（一）严格遵守国家和省、市有关法律法规、相关政策，以及廉政建设的各项约定。</w:t>
      </w:r>
    </w:p>
    <w:p w14:paraId="138E56AB">
      <w:pPr>
        <w:adjustRightInd w:val="0"/>
        <w:snapToGrid w:val="0"/>
        <w:spacing w:line="300" w:lineRule="exact"/>
        <w:ind w:firstLine="470" w:firstLineChars="196"/>
        <w:rPr>
          <w:rFonts w:ascii="宋体" w:hAnsi="宋体"/>
          <w:snapToGrid w:val="0"/>
          <w:kern w:val="0"/>
          <w:sz w:val="24"/>
          <w:szCs w:val="24"/>
          <w:highlight w:val="none"/>
        </w:rPr>
      </w:pPr>
      <w:r>
        <w:rPr>
          <w:rFonts w:hint="eastAsia" w:ascii="宋体" w:hAnsi="宋体"/>
          <w:snapToGrid w:val="0"/>
          <w:kern w:val="0"/>
          <w:sz w:val="24"/>
          <w:szCs w:val="24"/>
          <w:highlight w:val="none"/>
        </w:rPr>
        <w:t>（二）严格执行建设工程项目承发包合同文件，自觉按合同办事。</w:t>
      </w:r>
    </w:p>
    <w:p w14:paraId="4F8E11AC">
      <w:pPr>
        <w:adjustRightInd w:val="0"/>
        <w:snapToGrid w:val="0"/>
        <w:spacing w:line="300" w:lineRule="exact"/>
        <w:ind w:firstLine="470" w:firstLineChars="196"/>
        <w:rPr>
          <w:rFonts w:ascii="宋体" w:hAnsi="宋体"/>
          <w:snapToGrid w:val="0"/>
          <w:kern w:val="0"/>
          <w:sz w:val="24"/>
          <w:szCs w:val="24"/>
          <w:highlight w:val="none"/>
        </w:rPr>
      </w:pPr>
      <w:r>
        <w:rPr>
          <w:rFonts w:hint="eastAsia" w:ascii="宋体" w:hAnsi="宋体"/>
          <w:snapToGrid w:val="0"/>
          <w:kern w:val="0"/>
          <w:sz w:val="24"/>
          <w:szCs w:val="24"/>
          <w:highlight w:val="none"/>
        </w:rPr>
        <w:t>（三）建筑活动必须坚持公开、公平、公正、诚信、透明的原则（除法律法规另有规定者外），不得为获取不正当的利益，损害国家、集体和对方利益，不得违反国家、省、市和甲方有关工程建设管理的规章制度。</w:t>
      </w:r>
    </w:p>
    <w:p w14:paraId="7EDA3F1A">
      <w:pPr>
        <w:adjustRightInd w:val="0"/>
        <w:snapToGrid w:val="0"/>
        <w:spacing w:line="300" w:lineRule="exact"/>
        <w:ind w:firstLine="470" w:firstLineChars="196"/>
        <w:rPr>
          <w:rFonts w:ascii="宋体" w:hAnsi="宋体"/>
          <w:snapToGrid w:val="0"/>
          <w:kern w:val="0"/>
          <w:sz w:val="24"/>
          <w:szCs w:val="24"/>
          <w:highlight w:val="none"/>
        </w:rPr>
      </w:pPr>
      <w:r>
        <w:rPr>
          <w:rFonts w:hint="eastAsia" w:ascii="宋体" w:hAnsi="宋体"/>
          <w:snapToGrid w:val="0"/>
          <w:kern w:val="0"/>
          <w:sz w:val="24"/>
          <w:szCs w:val="24"/>
          <w:highlight w:val="none"/>
        </w:rPr>
        <w:t>（四）发现对方在建筑活动中存在违规、违纪、违法行为的，有权向其上级主管部门或纪检监察、检察等有关机关举报。</w:t>
      </w:r>
    </w:p>
    <w:p w14:paraId="5322F555">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（五）甲乙双方单位监督部门应充分发挥各自职能作用，积极互动形成纵向监督合力，依照本协议书规定，对本工程廉洁从业情况实施监督，及时制止不廉洁行为的发生。</w:t>
      </w:r>
    </w:p>
    <w:p w14:paraId="1D6C8818">
      <w:pPr>
        <w:adjustRightInd w:val="0"/>
        <w:snapToGrid w:val="0"/>
        <w:spacing w:line="300" w:lineRule="exact"/>
        <w:ind w:firstLine="470" w:firstLineChars="196"/>
        <w:rPr>
          <w:rFonts w:ascii="宋体" w:hAnsi="宋体"/>
          <w:snapToGrid w:val="0"/>
          <w:kern w:val="0"/>
          <w:sz w:val="24"/>
          <w:szCs w:val="24"/>
          <w:highlight w:val="none"/>
        </w:rPr>
      </w:pPr>
      <w:r>
        <w:rPr>
          <w:rFonts w:hint="eastAsia" w:ascii="宋体" w:hAnsi="宋体"/>
          <w:snapToGrid w:val="0"/>
          <w:kern w:val="0"/>
          <w:sz w:val="24"/>
          <w:szCs w:val="24"/>
          <w:highlight w:val="none"/>
        </w:rPr>
        <w:t>第二条 甲方责任</w:t>
      </w:r>
    </w:p>
    <w:p w14:paraId="61ADE2C0">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甲方领导干部和从事该工程建设的管理人员，在建筑活动中须严格遵守以下廉洁从业规定：</w:t>
      </w:r>
    </w:p>
    <w:p w14:paraId="139C4ECE">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1.不准向乙方和相关单位或个人索取钱物或接受回扣、礼金、各种有价证券、信用卡和好处费、感谢费以及其它支付凭证等。</w:t>
      </w:r>
    </w:p>
    <w:p w14:paraId="6F7DD255">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2.不准接受可能影响公正执行公务的乙方和相关单位或个人的礼物馈赠、宴请、各种形式俱乐部会员资格、高消费娱乐活动。</w:t>
      </w:r>
    </w:p>
    <w:p w14:paraId="66D9B9C9">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3.不准在乙方和相关单位报销任何应由甲方或个人负担的费用。</w:t>
      </w:r>
    </w:p>
    <w:p w14:paraId="55C67993">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4.不准要求、暗示或接受乙方和相关单位或个人为自己、配偶、子女、其他亲属朋友及身边工作人员的装修住房、婚丧嫁娶、工作安排、学习培训、经商办企业以及出国（境）、旅游、度假等支付费用。</w:t>
      </w:r>
    </w:p>
    <w:p w14:paraId="16B5FDC9">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5.不准向乙方介绍配偶、子女、其他亲属朋友及身边工作人员参与同甲方项目工程合同有关的设备、材料、工程分包、劳务等经济活动。</w:t>
      </w:r>
    </w:p>
    <w:p w14:paraId="4582BEF7">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6.不得以任何理由向乙方和相关单位推荐分包单位和要求或暗示乙方购买项目工程合同规定外的材料、设备等。</w:t>
      </w:r>
    </w:p>
    <w:p w14:paraId="043470FD">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第三条 乙方责任</w:t>
      </w:r>
    </w:p>
    <w:p w14:paraId="53099F12">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与甲方保持正常的业务交往，遵守以下规定：</w:t>
      </w:r>
    </w:p>
    <w:p w14:paraId="05E034C6">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1.不准以任何理由向甲方人员行贿或赠送回扣、礼金、各种有价证券、信用卡和好处费、感谢费及其它支付凭证等。</w:t>
      </w:r>
    </w:p>
    <w:p w14:paraId="4977D233">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2.不准以任何理由为甲方人员组织有可能影响公正执行公务的宴请、各种形式俱乐部及高消费娱乐等活动。</w:t>
      </w:r>
    </w:p>
    <w:p w14:paraId="5E8334FF">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3.不准以任何理由为甲方或个人报销应由对方或个人支付的费用。</w:t>
      </w:r>
    </w:p>
    <w:p w14:paraId="7BD19FDF">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4.不准暗示或要求为甲方人员及其配偶、子女、其他亲属朋友及身边工作人员的装修住房、婚丧嫁娶、工作安排、学习培训、经商办企业以及出国（境）、旅游、度假提供方便和支付费用。</w:t>
      </w:r>
    </w:p>
    <w:p w14:paraId="5B1FC10A">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5.不准介绍和安排甲方人员及其配偶、子女、其他亲属朋友及身边工作人员参与同甲方工程项目有关的设备、材料、工程分包、劳务等经济活动。</w:t>
      </w:r>
    </w:p>
    <w:p w14:paraId="39473841">
      <w:pPr>
        <w:adjustRightInd w:val="0"/>
        <w:snapToGrid w:val="0"/>
        <w:spacing w:line="300" w:lineRule="exact"/>
        <w:ind w:firstLine="480" w:firstLineChars="200"/>
        <w:rPr>
          <w:rFonts w:ascii="宋体" w:hAnsi="宋体"/>
          <w:snapToGrid w:val="0"/>
          <w:kern w:val="0"/>
          <w:sz w:val="24"/>
          <w:szCs w:val="24"/>
          <w:highlight w:val="none"/>
        </w:rPr>
      </w:pPr>
      <w:r>
        <w:rPr>
          <w:rFonts w:ascii="宋体" w:hAnsi="宋体" w:cs="宋体"/>
          <w:sz w:val="24"/>
          <w:szCs w:val="24"/>
          <w:highlight w:val="none"/>
        </w:rPr>
        <w:t>6.乙方不得与甲方及其工作人员亲属经营的企业存在业务关联或利益输送。</w:t>
      </w:r>
    </w:p>
    <w:p w14:paraId="6AC2673A">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第四条 违约责任</w:t>
      </w:r>
    </w:p>
    <w:p w14:paraId="30FB05CE">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（一）甲方违约责任</w:t>
      </w:r>
    </w:p>
    <w:p w14:paraId="68B945EC">
      <w:pPr>
        <w:adjustRightInd w:val="0"/>
        <w:snapToGrid w:val="0"/>
        <w:spacing w:line="300" w:lineRule="exact"/>
        <w:ind w:firstLine="480" w:firstLineChars="200"/>
        <w:rPr>
          <w:rFonts w:ascii="宋体" w:hAnsi="宋体"/>
          <w:bCs/>
          <w:snapToGrid w:val="0"/>
          <w:kern w:val="0"/>
          <w:sz w:val="24"/>
          <w:szCs w:val="24"/>
          <w:highlight w:val="none"/>
        </w:rPr>
      </w:pPr>
      <w:r>
        <w:rPr>
          <w:rFonts w:hint="eastAsia" w:ascii="宋体" w:hAnsi="宋体"/>
          <w:snapToGrid w:val="0"/>
          <w:kern w:val="0"/>
          <w:sz w:val="24"/>
          <w:szCs w:val="24"/>
          <w:highlight w:val="none"/>
        </w:rPr>
        <w:t>1.甲方</w:t>
      </w:r>
      <w:r>
        <w:rPr>
          <w:rFonts w:hint="eastAsia" w:ascii="宋体" w:hAnsi="宋体"/>
          <w:bCs/>
          <w:snapToGrid w:val="0"/>
          <w:kern w:val="0"/>
          <w:sz w:val="24"/>
          <w:szCs w:val="24"/>
          <w:highlight w:val="none"/>
        </w:rPr>
        <w:t>不履行或不完全履行本协议书有关责任义务给乙方造成损失的，在乙方提交足够证据并经查证属实的情况下，甲方赔偿其直接经济损失。</w:t>
      </w:r>
    </w:p>
    <w:p w14:paraId="2265F751">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2.甲方人员出现受贿等严重违法违纪违规行为的，按照管理权限，依据有关法律法规和规定给予党纪、政纪处分或组织处理；涉嫌犯罪的，移交司法机关追究刑事责任。</w:t>
      </w:r>
    </w:p>
    <w:p w14:paraId="311A86C6">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（二）乙方违约责任</w:t>
      </w:r>
    </w:p>
    <w:p w14:paraId="5DAB4ABD">
      <w:pPr>
        <w:adjustRightInd w:val="0"/>
        <w:snapToGrid w:val="0"/>
        <w:spacing w:line="300" w:lineRule="exact"/>
        <w:ind w:firstLine="480" w:firstLineChars="200"/>
        <w:rPr>
          <w:rFonts w:ascii="宋体" w:hAnsi="宋体"/>
          <w:bCs/>
          <w:snapToGrid w:val="0"/>
          <w:kern w:val="0"/>
          <w:sz w:val="24"/>
          <w:szCs w:val="24"/>
          <w:highlight w:val="none"/>
        </w:rPr>
      </w:pPr>
      <w:r>
        <w:rPr>
          <w:rFonts w:hint="eastAsia" w:ascii="宋体" w:hAnsi="宋体"/>
          <w:snapToGrid w:val="0"/>
          <w:kern w:val="0"/>
          <w:sz w:val="24"/>
          <w:szCs w:val="24"/>
          <w:highlight w:val="none"/>
        </w:rPr>
        <w:t>1.</w:t>
      </w:r>
      <w:r>
        <w:rPr>
          <w:rFonts w:hint="eastAsia" w:ascii="宋体" w:hAnsi="宋体"/>
          <w:bCs/>
          <w:snapToGrid w:val="0"/>
          <w:kern w:val="0"/>
          <w:sz w:val="24"/>
          <w:szCs w:val="24"/>
          <w:highlight w:val="none"/>
        </w:rPr>
        <w:t>乙方不履行或不完全履行本协议书有关责任义务的，</w:t>
      </w:r>
      <w:r>
        <w:rPr>
          <w:rFonts w:hint="eastAsia" w:ascii="宋体" w:hAnsi="宋体"/>
          <w:snapToGrid w:val="0"/>
          <w:kern w:val="0"/>
          <w:sz w:val="24"/>
          <w:szCs w:val="24"/>
          <w:highlight w:val="none"/>
        </w:rPr>
        <w:t>按本工程合同</w:t>
      </w:r>
      <w:r>
        <w:rPr>
          <w:rFonts w:hint="eastAsia" w:ascii="宋体" w:hAnsi="宋体"/>
          <w:bCs/>
          <w:snapToGrid w:val="0"/>
          <w:kern w:val="0"/>
          <w:sz w:val="24"/>
          <w:szCs w:val="24"/>
          <w:highlight w:val="none"/>
        </w:rPr>
        <w:t>规定须承担一次一般违约责任。情节较轻的，可给予书面警告；情节较重的，须承担一次严重违约责任。</w:t>
      </w:r>
    </w:p>
    <w:p w14:paraId="74895C15">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bCs/>
          <w:snapToGrid w:val="0"/>
          <w:kern w:val="0"/>
          <w:sz w:val="24"/>
          <w:szCs w:val="24"/>
          <w:highlight w:val="none"/>
        </w:rPr>
        <w:t>2.乙方</w:t>
      </w:r>
      <w:r>
        <w:rPr>
          <w:rFonts w:hint="eastAsia" w:ascii="宋体" w:hAnsi="宋体"/>
          <w:snapToGrid w:val="0"/>
          <w:kern w:val="0"/>
          <w:sz w:val="24"/>
          <w:szCs w:val="24"/>
          <w:highlight w:val="none"/>
        </w:rPr>
        <w:t>出现严重违法违纪违规行为的，甲方将上报检察或监察机关依法查处，并提请建设行政主管部门根据相关规定给予限制或者取消其从事建筑活动的资格等处罚。</w:t>
      </w:r>
    </w:p>
    <w:p w14:paraId="2F276A2D">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第五条 本协议书作为工程勘察设计合同的附件，与工程勘察设计合同具有同等法律效力。经双方签字盖章后生效。</w:t>
      </w:r>
    </w:p>
    <w:p w14:paraId="314A0508">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第六条 本协议书有效期为双方签字盖章之日起至所属工程项目勘察设计合同履行完毕时止。</w:t>
      </w:r>
    </w:p>
    <w:p w14:paraId="74A76351">
      <w:pPr>
        <w:adjustRightInd w:val="0"/>
        <w:snapToGrid w:val="0"/>
        <w:spacing w:line="300" w:lineRule="exact"/>
        <w:ind w:firstLine="480" w:firstLineChars="200"/>
        <w:rPr>
          <w:rFonts w:ascii="宋体" w:hAnsi="宋体"/>
          <w:snapToGrid w:val="0"/>
          <w:kern w:val="0"/>
          <w:sz w:val="24"/>
          <w:szCs w:val="24"/>
          <w:highlight w:val="none"/>
        </w:rPr>
      </w:pPr>
      <w:r>
        <w:rPr>
          <w:rFonts w:hint="eastAsia" w:ascii="宋体" w:hAnsi="宋体"/>
          <w:snapToGrid w:val="0"/>
          <w:kern w:val="0"/>
          <w:sz w:val="24"/>
          <w:szCs w:val="24"/>
          <w:highlight w:val="none"/>
        </w:rPr>
        <w:t>第七条 未尽事宜，由双方协商解决。</w:t>
      </w:r>
    </w:p>
    <w:p w14:paraId="5138F65F">
      <w:pPr>
        <w:adjustRightInd w:val="0"/>
        <w:snapToGrid w:val="0"/>
        <w:spacing w:line="300" w:lineRule="exact"/>
        <w:rPr>
          <w:rFonts w:ascii="宋体" w:hAnsi="宋体"/>
          <w:snapToGrid w:val="0"/>
          <w:kern w:val="0"/>
          <w:sz w:val="24"/>
          <w:szCs w:val="24"/>
          <w:highlight w:val="none"/>
        </w:rPr>
      </w:pPr>
    </w:p>
    <w:p w14:paraId="2339120E">
      <w:pPr>
        <w:adjustRightInd w:val="0"/>
        <w:snapToGrid w:val="0"/>
        <w:spacing w:line="300" w:lineRule="exact"/>
        <w:rPr>
          <w:rFonts w:ascii="宋体" w:hAnsi="宋体"/>
          <w:snapToGrid w:val="0"/>
          <w:kern w:val="0"/>
          <w:sz w:val="24"/>
          <w:szCs w:val="24"/>
          <w:highlight w:val="none"/>
        </w:rPr>
      </w:pPr>
    </w:p>
    <w:p w14:paraId="7FAFDBAD">
      <w:pPr>
        <w:adjustRightInd w:val="0"/>
        <w:snapToGrid w:val="0"/>
        <w:spacing w:line="300" w:lineRule="exact"/>
        <w:ind w:firstLine="0" w:firstLineChars="0"/>
        <w:rPr>
          <w:rFonts w:ascii="宋体" w:hAnsi="宋体"/>
          <w:snapToGrid w:val="0"/>
          <w:kern w:val="0"/>
          <w:sz w:val="24"/>
          <w:szCs w:val="24"/>
          <w:highlight w:val="none"/>
        </w:rPr>
      </w:pPr>
      <w:r>
        <w:rPr>
          <w:rFonts w:hint="eastAsia" w:ascii="宋体" w:hAnsi="宋体"/>
          <w:snapToGrid w:val="0"/>
          <w:spacing w:val="-20"/>
          <w:kern w:val="0"/>
          <w:sz w:val="24"/>
          <w:szCs w:val="24"/>
          <w:highlight w:val="none"/>
        </w:rPr>
        <w:t>甲方：                                                  乙方：</w:t>
      </w:r>
      <w:r>
        <w:rPr>
          <w:rFonts w:hint="eastAsia" w:ascii="宋体" w:hAnsi="宋体"/>
          <w:snapToGrid w:val="0"/>
          <w:kern w:val="0"/>
          <w:sz w:val="24"/>
          <w:szCs w:val="24"/>
          <w:highlight w:val="none"/>
        </w:rPr>
        <w:t xml:space="preserve">                      </w:t>
      </w:r>
    </w:p>
    <w:p w14:paraId="03A86325">
      <w:pPr>
        <w:adjustRightInd w:val="0"/>
        <w:snapToGrid w:val="0"/>
        <w:spacing w:line="300" w:lineRule="exact"/>
        <w:rPr>
          <w:rFonts w:ascii="宋体" w:hAnsi="宋体"/>
          <w:snapToGrid w:val="0"/>
          <w:kern w:val="0"/>
          <w:sz w:val="24"/>
          <w:szCs w:val="24"/>
          <w:highlight w:val="none"/>
        </w:rPr>
      </w:pPr>
      <w:r>
        <w:rPr>
          <w:rFonts w:hint="eastAsia" w:ascii="宋体" w:hAnsi="宋体"/>
          <w:snapToGrid w:val="0"/>
          <w:kern w:val="0"/>
          <w:sz w:val="24"/>
          <w:szCs w:val="24"/>
          <w:highlight w:val="none"/>
        </w:rPr>
        <w:t>（盖章）                            （盖章）</w:t>
      </w:r>
    </w:p>
    <w:p w14:paraId="104E9687">
      <w:pPr>
        <w:adjustRightInd w:val="0"/>
        <w:snapToGrid w:val="0"/>
        <w:spacing w:line="300" w:lineRule="exact"/>
        <w:rPr>
          <w:rFonts w:hint="eastAsia" w:ascii="宋体" w:hAnsi="宋体"/>
          <w:snapToGrid w:val="0"/>
          <w:kern w:val="0"/>
          <w:sz w:val="24"/>
          <w:szCs w:val="24"/>
          <w:highlight w:val="none"/>
        </w:rPr>
      </w:pPr>
    </w:p>
    <w:p w14:paraId="2B1A8737">
      <w:pPr>
        <w:adjustRightInd w:val="0"/>
        <w:snapToGrid w:val="0"/>
        <w:spacing w:line="300" w:lineRule="exact"/>
        <w:rPr>
          <w:rFonts w:ascii="宋体" w:hAnsi="宋体"/>
          <w:snapToGrid w:val="0"/>
          <w:kern w:val="0"/>
          <w:sz w:val="24"/>
          <w:szCs w:val="24"/>
          <w:highlight w:val="none"/>
        </w:rPr>
      </w:pPr>
      <w:r>
        <w:rPr>
          <w:rFonts w:hint="eastAsia" w:ascii="宋体" w:hAnsi="宋体"/>
          <w:snapToGrid w:val="0"/>
          <w:kern w:val="0"/>
          <w:sz w:val="24"/>
          <w:szCs w:val="24"/>
          <w:highlight w:val="none"/>
        </w:rPr>
        <w:t>法定代表人：                          法定代表人：</w:t>
      </w:r>
    </w:p>
    <w:p w14:paraId="09EA9DDE">
      <w:pPr>
        <w:adjustRightInd w:val="0"/>
        <w:snapToGrid w:val="0"/>
        <w:spacing w:line="300" w:lineRule="exact"/>
        <w:rPr>
          <w:rFonts w:ascii="宋体" w:hAnsi="宋体"/>
          <w:snapToGrid w:val="0"/>
          <w:kern w:val="0"/>
          <w:sz w:val="24"/>
          <w:szCs w:val="24"/>
          <w:highlight w:val="none"/>
        </w:rPr>
      </w:pPr>
    </w:p>
    <w:p w14:paraId="318F75DC">
      <w:pPr>
        <w:adjustRightInd w:val="0"/>
        <w:snapToGrid w:val="0"/>
        <w:spacing w:line="300" w:lineRule="exact"/>
        <w:rPr>
          <w:rFonts w:ascii="宋体" w:hAnsi="宋体"/>
          <w:snapToGrid w:val="0"/>
          <w:kern w:val="0"/>
          <w:sz w:val="24"/>
          <w:szCs w:val="24"/>
          <w:highlight w:val="none"/>
        </w:rPr>
      </w:pPr>
    </w:p>
    <w:p w14:paraId="04E71F52">
      <w:pPr>
        <w:adjustRightInd w:val="0"/>
        <w:snapToGrid w:val="0"/>
        <w:spacing w:line="300" w:lineRule="exact"/>
        <w:rPr>
          <w:rFonts w:ascii="宋体" w:hAnsi="宋体"/>
          <w:snapToGrid w:val="0"/>
          <w:kern w:val="0"/>
          <w:sz w:val="24"/>
          <w:szCs w:val="24"/>
          <w:highlight w:val="none"/>
        </w:rPr>
      </w:pPr>
      <w:r>
        <w:rPr>
          <w:rFonts w:hint="eastAsia" w:ascii="宋体" w:hAnsi="宋体"/>
          <w:snapToGrid w:val="0"/>
          <w:kern w:val="0"/>
          <w:sz w:val="24"/>
          <w:szCs w:val="24"/>
          <w:highlight w:val="none"/>
        </w:rPr>
        <w:t>或委托代理人：                         或委托代理人：</w:t>
      </w:r>
    </w:p>
    <w:p w14:paraId="2D721E31">
      <w:pPr>
        <w:adjustRightInd w:val="0"/>
        <w:snapToGrid w:val="0"/>
        <w:spacing w:line="300" w:lineRule="exact"/>
        <w:rPr>
          <w:rFonts w:ascii="宋体" w:hAnsi="宋体"/>
          <w:snapToGrid w:val="0"/>
          <w:kern w:val="0"/>
          <w:sz w:val="24"/>
          <w:szCs w:val="24"/>
          <w:highlight w:val="none"/>
        </w:rPr>
      </w:pPr>
    </w:p>
    <w:p w14:paraId="274B3019">
      <w:pPr>
        <w:adjustRightInd w:val="0"/>
        <w:snapToGrid w:val="0"/>
        <w:spacing w:line="300" w:lineRule="exact"/>
        <w:rPr>
          <w:rFonts w:ascii="宋体" w:hAnsi="宋体"/>
          <w:snapToGrid w:val="0"/>
          <w:kern w:val="0"/>
          <w:sz w:val="24"/>
          <w:szCs w:val="24"/>
          <w:highlight w:val="none"/>
        </w:rPr>
      </w:pPr>
    </w:p>
    <w:p w14:paraId="2CA5CB4C">
      <w:pPr>
        <w:adjustRightInd w:val="0"/>
        <w:snapToGrid w:val="0"/>
        <w:spacing w:line="300" w:lineRule="exact"/>
        <w:rPr>
          <w:rFonts w:ascii="宋体" w:hAnsi="宋体"/>
          <w:snapToGrid w:val="0"/>
          <w:kern w:val="0"/>
          <w:sz w:val="24"/>
          <w:szCs w:val="24"/>
          <w:highlight w:val="none"/>
        </w:rPr>
      </w:pPr>
      <w:r>
        <w:rPr>
          <w:rFonts w:hint="eastAsia" w:ascii="宋体" w:hAnsi="宋体"/>
          <w:snapToGrid w:val="0"/>
          <w:kern w:val="0"/>
          <w:sz w:val="24"/>
          <w:szCs w:val="24"/>
          <w:highlight w:val="none"/>
        </w:rPr>
        <w:t>20  年  月  日                       20  年  月  日</w:t>
      </w:r>
    </w:p>
    <w:p w14:paraId="33539268">
      <w:pPr>
        <w:adjustRightInd w:val="0"/>
        <w:snapToGrid w:val="0"/>
        <w:spacing w:line="360" w:lineRule="auto"/>
        <w:rPr>
          <w:rFonts w:ascii="宋体" w:hAnsi="宋体"/>
          <w:snapToGrid w:val="0"/>
          <w:kern w:val="0"/>
          <w:sz w:val="24"/>
          <w:szCs w:val="24"/>
          <w:highlight w:val="none"/>
        </w:rPr>
      </w:pPr>
    </w:p>
    <w:p w14:paraId="04851A01">
      <w:pPr>
        <w:spacing w:line="360" w:lineRule="auto"/>
        <w:rPr>
          <w:rFonts w:asciiTheme="minorEastAsia" w:hAnsiTheme="minorEastAsia" w:eastAsiaTheme="minorEastAsia"/>
          <w:b/>
          <w:sz w:val="24"/>
          <w:szCs w:val="24"/>
          <w:highlight w:val="none"/>
        </w:rPr>
      </w:pPr>
    </w:p>
    <w:p w14:paraId="2DA80B87">
      <w:pPr>
        <w:spacing w:line="360" w:lineRule="auto"/>
        <w:rPr>
          <w:rFonts w:asciiTheme="minorEastAsia" w:hAnsiTheme="minorEastAsia" w:eastAsiaTheme="minorEastAsia"/>
          <w:b/>
          <w:sz w:val="24"/>
          <w:szCs w:val="24"/>
          <w:highlight w:val="none"/>
        </w:rPr>
      </w:pPr>
    </w:p>
    <w:p w14:paraId="308A10EA">
      <w:pPr>
        <w:spacing w:line="360" w:lineRule="auto"/>
        <w:rPr>
          <w:rFonts w:asciiTheme="minorEastAsia" w:hAnsiTheme="minorEastAsia" w:eastAsiaTheme="minorEastAsia"/>
          <w:b/>
          <w:sz w:val="24"/>
          <w:szCs w:val="24"/>
          <w:highlight w:val="none"/>
        </w:rPr>
      </w:pPr>
    </w:p>
    <w:p w14:paraId="64DC7DB0">
      <w:pPr>
        <w:spacing w:line="360" w:lineRule="auto"/>
        <w:rPr>
          <w:rFonts w:asciiTheme="minorEastAsia" w:hAnsiTheme="minorEastAsia" w:eastAsiaTheme="minorEastAsia"/>
          <w:b/>
          <w:sz w:val="24"/>
          <w:szCs w:val="24"/>
          <w:highlight w:val="none"/>
        </w:rPr>
      </w:pPr>
    </w:p>
    <w:p w14:paraId="4F6D1F6A">
      <w:pPr>
        <w:spacing w:line="360" w:lineRule="auto"/>
        <w:rPr>
          <w:rFonts w:asciiTheme="minorEastAsia" w:hAnsiTheme="minorEastAsia" w:eastAsiaTheme="minorEastAsia"/>
          <w:b/>
          <w:sz w:val="24"/>
          <w:szCs w:val="24"/>
          <w:highlight w:val="none"/>
        </w:rPr>
      </w:pPr>
    </w:p>
    <w:p w14:paraId="71613D6A">
      <w:pPr>
        <w:spacing w:line="360" w:lineRule="auto"/>
        <w:rPr>
          <w:rFonts w:asciiTheme="minorEastAsia" w:hAnsiTheme="minorEastAsia" w:eastAsiaTheme="minorEastAsia"/>
          <w:b/>
          <w:sz w:val="24"/>
          <w:szCs w:val="24"/>
          <w:highlight w:val="none"/>
        </w:rPr>
      </w:pPr>
    </w:p>
    <w:p w14:paraId="2F04DC6C">
      <w:pPr>
        <w:spacing w:line="360" w:lineRule="auto"/>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 xml:space="preserve">附件8：银行保函格式              </w:t>
      </w:r>
    </w:p>
    <w:p w14:paraId="349C356D">
      <w:pPr>
        <w:adjustRightInd w:val="0"/>
        <w:snapToGrid w:val="0"/>
        <w:spacing w:line="360" w:lineRule="auto"/>
        <w:ind w:firstLine="482" w:firstLineChars="200"/>
        <w:jc w:val="center"/>
        <w:rPr>
          <w:rFonts w:cs="宋体" w:asciiTheme="minorEastAsia" w:hAnsiTheme="minorEastAsia" w:eastAsiaTheme="minorEastAsia"/>
          <w:b/>
          <w:sz w:val="24"/>
          <w:szCs w:val="24"/>
          <w:highlight w:val="none"/>
        </w:rPr>
      </w:pPr>
      <w:r>
        <w:rPr>
          <w:rFonts w:hint="eastAsia" w:cs="宋体" w:asciiTheme="minorEastAsia" w:hAnsiTheme="minorEastAsia" w:eastAsiaTheme="minorEastAsia"/>
          <w:b/>
          <w:sz w:val="24"/>
          <w:szCs w:val="24"/>
          <w:highlight w:val="none"/>
        </w:rPr>
        <w:t>（独立）履约保函</w:t>
      </w:r>
    </w:p>
    <w:p w14:paraId="773D84BD">
      <w:pPr>
        <w:adjustRightInd w:val="0"/>
        <w:snapToGrid w:val="0"/>
        <w:spacing w:line="360" w:lineRule="auto"/>
        <w:ind w:firstLine="480" w:firstLineChars="200"/>
        <w:jc w:val="right"/>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保函编号：</w:t>
      </w:r>
    </w:p>
    <w:p w14:paraId="4F8100AD">
      <w:pPr>
        <w:adjustRightInd w:val="0"/>
        <w:snapToGrid w:val="0"/>
        <w:spacing w:line="360" w:lineRule="auto"/>
        <w:ind w:firstLine="480" w:firstLineChars="200"/>
        <w:rPr>
          <w:rFonts w:cs="宋体" w:asciiTheme="minorEastAsia" w:hAnsiTheme="minorEastAsia" w:eastAsiaTheme="minorEastAsia"/>
          <w:sz w:val="24"/>
          <w:szCs w:val="24"/>
          <w:highlight w:val="none"/>
        </w:rPr>
      </w:pPr>
    </w:p>
    <w:p w14:paraId="14922E10">
      <w:pPr>
        <w:adjustRightInd w:val="0"/>
        <w:snapToGrid w:val="0"/>
        <w:spacing w:line="360" w:lineRule="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致：广东省代建项目管理局</w:t>
      </w:r>
    </w:p>
    <w:p w14:paraId="2B056D51">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鉴于****（下称“委托人”）在贵单位的*****项目中标，我行同意为委托人出具履约保函，为委托人履行****合同（以下称“合同”）担保，以使你方得到履约保函的保障。</w:t>
      </w:r>
    </w:p>
    <w:p w14:paraId="6435EABC">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一、本保函为见索即付保函。我行保证在收到贵单位于保函担保期间内送达的依本保函约定的索赔文件后，在 7 个工作日内无条件和不可改变地向贵单位支付金额最高不超过人民币（币种）****元（大写）的履约担保金（索赔可分次索赔，累计金额不超过最高金额），并放弃向你方提出任何异议和追索的权利。</w:t>
      </w:r>
    </w:p>
    <w:p w14:paraId="18126025">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二、贵单位的索赔文件应符合下述条件：</w:t>
      </w:r>
    </w:p>
    <w:p w14:paraId="7BA419C4">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（一）贵单位法定代表人或其授权代表签字并加盖单位公章；</w:t>
      </w:r>
    </w:p>
    <w:p w14:paraId="35758A2A">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（二）在保函担保期间内送达我行；</w:t>
      </w:r>
    </w:p>
    <w:p w14:paraId="62355E42">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（三）明确的索赔金额（不得超过本保函第一条所列之限额）；</w:t>
      </w:r>
    </w:p>
    <w:p w14:paraId="55509C1C">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（四）贵单位出具的委托人违约事项说明。</w:t>
      </w:r>
    </w:p>
    <w:p w14:paraId="473DC2D7">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三、本保函担保期间为 年 月 日至 年 月 日，除非你方提前终止或解除本保函，本保函于下述任一事项发生之时立即失效，我行在本保函项下的担保义务即刻解除：</w:t>
      </w:r>
    </w:p>
    <w:p w14:paraId="1B70C619">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（一）本保函担保期间届满；</w:t>
      </w:r>
    </w:p>
    <w:p w14:paraId="18986E9D">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（二）委托人履行了合同项下全部义务；</w:t>
      </w:r>
    </w:p>
    <w:p w14:paraId="4DC59450">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（三）我行担保的义务履行完毕。</w:t>
      </w:r>
    </w:p>
    <w:p w14:paraId="5DBB0C21">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四、我行受本保函制约的责任是延续的、独立的和无条件的，合同的任何修改、变更、解释或不可执行都不能改变我行受本保函制约的责任，委托人在合同项下对你方的任何抗辩也不能改变我行在本保函项下的付款责任。若贵单位与委托人协商变更合同，应督促委托人书面告知我行并将变更后的合同送一份给我行备案。</w:t>
      </w:r>
    </w:p>
    <w:p w14:paraId="138D9781">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五、保函失效后请将本保函退回我行注销。无论正本最终退回与否，不影响本保函依上述约定自动失效。</w:t>
      </w:r>
    </w:p>
    <w:p w14:paraId="0C107A17">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六、本保函项下的所有权利和义务受中华人民共和国法律管辖和制约，我行在保函项下做出的付款承诺决不反悔。</w:t>
      </w:r>
    </w:p>
    <w:p w14:paraId="40AF213F">
      <w:pPr>
        <w:adjustRightInd w:val="0"/>
        <w:snapToGrid w:val="0"/>
        <w:spacing w:line="360" w:lineRule="auto"/>
        <w:ind w:firstLine="480" w:firstLineChars="200"/>
        <w:rPr>
          <w:rFonts w:cs="宋体" w:asciiTheme="minorEastAsia" w:hAnsiTheme="minorEastAsia" w:eastAsiaTheme="minorEastAsia"/>
          <w:sz w:val="24"/>
          <w:szCs w:val="24"/>
          <w:highlight w:val="none"/>
        </w:rPr>
      </w:pPr>
    </w:p>
    <w:p w14:paraId="5696C0A7">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担保银行（公章）：              负责人（签章）：</w:t>
      </w:r>
    </w:p>
    <w:p w14:paraId="192AFE0F">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单位地址：                     传真： </w:t>
      </w:r>
    </w:p>
    <w:p w14:paraId="3D593683">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联系人：                       联系电话：</w:t>
      </w:r>
    </w:p>
    <w:p w14:paraId="2F408135">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开立日期：     年     月    日</w:t>
      </w:r>
    </w:p>
    <w:p w14:paraId="6AE18528">
      <w:pPr>
        <w:widowControl/>
        <w:jc w:val="left"/>
        <w:rPr>
          <w:rFonts w:cs="宋体" w:asciiTheme="minorEastAsia" w:hAnsiTheme="minorEastAsia" w:eastAsiaTheme="minorEastAsia"/>
          <w:sz w:val="24"/>
          <w:szCs w:val="24"/>
          <w:highlight w:val="none"/>
        </w:rPr>
      </w:pPr>
      <w:r>
        <w:rPr>
          <w:rFonts w:cs="宋体" w:asciiTheme="minorEastAsia" w:hAnsiTheme="minorEastAsia" w:eastAsiaTheme="minorEastAsia"/>
          <w:sz w:val="24"/>
          <w:szCs w:val="24"/>
          <w:highlight w:val="none"/>
        </w:rPr>
        <w:br w:type="page"/>
      </w:r>
    </w:p>
    <w:p w14:paraId="402AEE19">
      <w:pPr>
        <w:spacing w:line="360" w:lineRule="auto"/>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附件9：担保公司保函格式</w:t>
      </w:r>
    </w:p>
    <w:p w14:paraId="22CC5C7E">
      <w:pPr>
        <w:adjustRightInd w:val="0"/>
        <w:snapToGrid w:val="0"/>
        <w:spacing w:line="360" w:lineRule="auto"/>
        <w:ind w:firstLine="480" w:firstLineChars="20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（独立）履约保函</w:t>
      </w:r>
    </w:p>
    <w:p w14:paraId="58F46716">
      <w:pPr>
        <w:adjustRightInd w:val="0"/>
        <w:snapToGrid w:val="0"/>
        <w:spacing w:line="360" w:lineRule="auto"/>
        <w:ind w:firstLine="480" w:firstLineChars="200"/>
        <w:jc w:val="right"/>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保函编号：</w:t>
      </w:r>
    </w:p>
    <w:p w14:paraId="612E1B4B">
      <w:pPr>
        <w:adjustRightInd w:val="0"/>
        <w:snapToGrid w:val="0"/>
        <w:spacing w:line="360" w:lineRule="auto"/>
        <w:ind w:firstLine="480" w:firstLineChars="200"/>
        <w:rPr>
          <w:rFonts w:cs="宋体" w:asciiTheme="minorEastAsia" w:hAnsiTheme="minorEastAsia" w:eastAsiaTheme="minorEastAsia"/>
          <w:sz w:val="24"/>
          <w:szCs w:val="24"/>
          <w:highlight w:val="none"/>
        </w:rPr>
      </w:pPr>
    </w:p>
    <w:p w14:paraId="71854218">
      <w:pPr>
        <w:adjustRightInd w:val="0"/>
        <w:snapToGrid w:val="0"/>
        <w:spacing w:line="360" w:lineRule="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致：广东省代建项目管理局</w:t>
      </w:r>
    </w:p>
    <w:p w14:paraId="189FD4DB">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鉴于****（下称“委托人”）在贵单位的*****项目中标，我方同意为委托人出具履约保函，为委托人履行****合同（以下称“合同”）担保，以使你方得到履约保函的保障。</w:t>
      </w:r>
    </w:p>
    <w:p w14:paraId="263CF67A">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一、本保函为见索即付保函。我方保证在收到贵单位于保函担保期间内送达的依本保函约定的索赔文件后，在 7 个工作日内无条件和不可改变地向贵单位支付金额最高不超过人民币（币种）****元（大写）的履约担保金（索赔可分次索赔，累计金额不超过最高金额），并放弃向你方提出任何异议和追索的权利。</w:t>
      </w:r>
    </w:p>
    <w:p w14:paraId="200D9740">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二、贵单位的索赔文件应符合下述条件：</w:t>
      </w:r>
    </w:p>
    <w:p w14:paraId="15330990">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（一）贵单位法定代表人或其授权代表签字并加盖单位公章；</w:t>
      </w:r>
    </w:p>
    <w:p w14:paraId="0DD6AD21">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（二）在保函担保期间内送达我方；</w:t>
      </w:r>
    </w:p>
    <w:p w14:paraId="05842448">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（三）明确的索赔金额（不得超过本保函第一条所列之限额）；</w:t>
      </w:r>
    </w:p>
    <w:p w14:paraId="5EEB9404">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（四）贵单位出具的委托人违约事项说明。</w:t>
      </w:r>
    </w:p>
    <w:p w14:paraId="524E6CF4">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三、本保函担保期间为 年 月 日至 年 月 日，除非你方提前终止或解除本保函，本保函于下述任一事项发生之时立即失效，我方在本保函项下的担保义务即刻解除：</w:t>
      </w:r>
    </w:p>
    <w:p w14:paraId="58846C3B">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（一）本保函担保期间届满；</w:t>
      </w:r>
    </w:p>
    <w:p w14:paraId="5ECE0228">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（二）委托人履行了合同项下全部义务；</w:t>
      </w:r>
    </w:p>
    <w:p w14:paraId="5D424372">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（三）我方担保的义务履行完毕。</w:t>
      </w:r>
    </w:p>
    <w:p w14:paraId="0E3D790C">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四、我方受本保函制约的责任是延续的、独立的和无条件的，合同的任何修改、变更、解释或不可执行都不能改变我方受本保函制约的责任，委托人在合同项下对你方的任何抗辩也不能改变我方在本保函项下的付款责任。若贵单位与委托人协商变更合同，应督促委托人书面告知我方并将变更后的合同送一份给我方备案。</w:t>
      </w:r>
    </w:p>
    <w:p w14:paraId="5C0C7EF7">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五、保函失效后请将本保函退回我方注销。无论正本最终退回与否，不影响本保函依上述约定自动失效。</w:t>
      </w:r>
    </w:p>
    <w:p w14:paraId="681D0C4E">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六、本保函项下的所有权利和义务受中华人民共和国法律管辖和制约，我方在保函项下做出的付款承诺决不反悔。</w:t>
      </w:r>
    </w:p>
    <w:p w14:paraId="4DF8284B">
      <w:pPr>
        <w:adjustRightInd w:val="0"/>
        <w:snapToGrid w:val="0"/>
        <w:spacing w:line="360" w:lineRule="auto"/>
        <w:ind w:firstLine="480" w:firstLineChars="200"/>
        <w:rPr>
          <w:rFonts w:cs="宋体" w:asciiTheme="minorEastAsia" w:hAnsiTheme="minorEastAsia" w:eastAsiaTheme="minorEastAsia"/>
          <w:sz w:val="24"/>
          <w:szCs w:val="24"/>
          <w:highlight w:val="none"/>
        </w:rPr>
      </w:pPr>
    </w:p>
    <w:p w14:paraId="76C16989">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担保公司（公章）：              法定代表人（签章）：</w:t>
      </w:r>
    </w:p>
    <w:p w14:paraId="0DF22CD4">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单位地址：                     传真：</w:t>
      </w:r>
    </w:p>
    <w:p w14:paraId="3328C4DF">
      <w:pPr>
        <w:adjustRightInd w:val="0"/>
        <w:snapToGrid w:val="0"/>
        <w:spacing w:line="360" w:lineRule="auto"/>
        <w:ind w:firstLine="480" w:firstLineChars="20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联系人：                       联系电话：</w:t>
      </w:r>
    </w:p>
    <w:p w14:paraId="1E337C9C">
      <w:pPr>
        <w:adjustRightInd w:val="0"/>
        <w:snapToGrid w:val="0"/>
        <w:spacing w:line="360" w:lineRule="auto"/>
        <w:ind w:firstLine="480" w:firstLineChars="200"/>
        <w:rPr>
          <w:rFonts w:cs="宋体" w:asciiTheme="minorEastAsia" w:hAnsiTheme="minorEastAsia" w:eastAsiaTheme="minorEastAsia"/>
          <w:snapToGrid w:val="0"/>
          <w:kern w:val="0"/>
          <w:sz w:val="24"/>
          <w:szCs w:val="24"/>
          <w:highlight w:val="none"/>
          <w:lang w:val="zh-CN"/>
        </w:rPr>
      </w:pPr>
      <w:r>
        <w:rPr>
          <w:rFonts w:hint="eastAsia" w:cs="宋体" w:asciiTheme="minorEastAsia" w:hAnsiTheme="minorEastAsia" w:eastAsiaTheme="minorEastAsia"/>
          <w:sz w:val="24"/>
          <w:szCs w:val="24"/>
          <w:highlight w:val="none"/>
        </w:rPr>
        <w:t>开立日期：     年     月    日</w:t>
      </w:r>
    </w:p>
    <w:p w14:paraId="4EB279AF">
      <w:pPr>
        <w:adjustRightInd w:val="0"/>
        <w:snapToGrid w:val="0"/>
        <w:spacing w:line="360" w:lineRule="auto"/>
        <w:rPr>
          <w:rFonts w:cs="宋体" w:asciiTheme="minorEastAsia" w:hAnsiTheme="minorEastAsia" w:eastAsiaTheme="minorEastAsia"/>
          <w:snapToGrid w:val="0"/>
          <w:kern w:val="0"/>
          <w:sz w:val="24"/>
          <w:szCs w:val="24"/>
          <w:highlight w:val="none"/>
          <w:lang w:val="zh-CN"/>
        </w:rPr>
      </w:pPr>
    </w:p>
    <w:p w14:paraId="2FB8DD01">
      <w:pPr>
        <w:spacing w:line="360" w:lineRule="auto"/>
        <w:rPr>
          <w:rFonts w:asciiTheme="minorEastAsia" w:hAnsiTheme="minorEastAsia" w:eastAsiaTheme="minorEastAsia"/>
          <w:sz w:val="24"/>
          <w:szCs w:val="24"/>
          <w:highlight w:val="none"/>
        </w:rPr>
      </w:pPr>
    </w:p>
    <w:p w14:paraId="0E7B824F">
      <w:pPr>
        <w:spacing w:line="360" w:lineRule="auto"/>
        <w:rPr>
          <w:rFonts w:asciiTheme="minorEastAsia" w:hAnsiTheme="minorEastAsia" w:eastAsiaTheme="minorEastAsia"/>
          <w:sz w:val="24"/>
          <w:szCs w:val="24"/>
          <w:highlight w:val="none"/>
        </w:rPr>
      </w:pPr>
    </w:p>
    <w:p w14:paraId="7F63277D">
      <w:pPr>
        <w:widowControl/>
        <w:spacing w:line="240" w:lineRule="auto"/>
        <w:jc w:val="left"/>
        <w:rPr>
          <w:rFonts w:hint="eastAsia" w:asciiTheme="minorEastAsia" w:hAnsiTheme="minorEastAsia" w:eastAsiaTheme="minorEastAsia"/>
          <w:b/>
          <w:sz w:val="24"/>
          <w:szCs w:val="24"/>
          <w:highlight w:val="none"/>
        </w:rPr>
      </w:pPr>
      <w:r>
        <w:rPr>
          <w:rFonts w:hint="eastAsia" w:asciiTheme="minorEastAsia" w:hAnsiTheme="minorEastAsia" w:eastAsiaTheme="minorEastAsia"/>
          <w:b/>
          <w:sz w:val="28"/>
          <w:highlight w:val="none"/>
        </w:rPr>
        <w:br w:type="page"/>
      </w:r>
    </w:p>
    <w:p w14:paraId="446CE80B">
      <w:pPr>
        <w:widowControl/>
        <w:spacing w:before="0" w:after="0"/>
        <w:jc w:val="left"/>
        <w:rPr>
          <w:color w:val="auto"/>
          <w:highlight w:val="none"/>
        </w:rPr>
      </w:pPr>
      <w:r>
        <w:rPr>
          <w:rFonts w:hint="eastAsia" w:asciiTheme="minorEastAsia" w:hAnsiTheme="minorEastAsia" w:eastAsiaTheme="minorEastAsia"/>
          <w:b/>
          <w:sz w:val="24"/>
          <w:szCs w:val="24"/>
          <w:highlight w:val="none"/>
          <w:lang w:eastAsia="zh-CN"/>
        </w:rPr>
        <w:t>附件</w:t>
      </w:r>
      <w:r>
        <w:rPr>
          <w:rFonts w:hint="eastAsia" w:asciiTheme="minorEastAsia" w:hAnsiTheme="minorEastAsia" w:eastAsiaTheme="minorEastAsia"/>
          <w:b/>
          <w:sz w:val="24"/>
          <w:szCs w:val="24"/>
          <w:highlight w:val="none"/>
          <w:lang w:val="en-US" w:eastAsia="zh-CN"/>
        </w:rPr>
        <w:t>10：</w:t>
      </w:r>
      <w:r>
        <w:rPr>
          <w:rFonts w:hint="eastAsia" w:cs="宋体" w:asciiTheme="minorEastAsia" w:hAnsiTheme="minorEastAsia" w:eastAsiaTheme="minorEastAsia"/>
          <w:b/>
          <w:sz w:val="24"/>
          <w:szCs w:val="24"/>
          <w:highlight w:val="none"/>
        </w:rPr>
        <w:t xml:space="preserve"> </w:t>
      </w:r>
    </w:p>
    <w:p w14:paraId="3EFF763F">
      <w:pPr>
        <w:spacing w:before="156" w:after="156"/>
        <w:rPr>
          <w:color w:val="auto"/>
          <w:highlight w:val="none"/>
        </w:rPr>
      </w:pPr>
    </w:p>
    <w:p w14:paraId="3A834392">
      <w:pPr>
        <w:spacing w:before="156" w:after="156"/>
        <w:rPr>
          <w:color w:val="auto"/>
          <w:highlight w:val="none"/>
        </w:rPr>
      </w:pPr>
    </w:p>
    <w:p w14:paraId="4F455005">
      <w:pPr>
        <w:widowControl/>
        <w:autoSpaceDE w:val="0"/>
        <w:autoSpaceDN w:val="0"/>
        <w:adjustRightInd w:val="0"/>
        <w:spacing w:before="156" w:after="156" w:line="240" w:lineRule="auto"/>
        <w:ind w:firstLine="1044"/>
        <w:jc w:val="center"/>
        <w:rPr>
          <w:rFonts w:cs="Times New Roman"/>
          <w:b/>
          <w:color w:val="auto"/>
          <w:sz w:val="52"/>
          <w:szCs w:val="52"/>
          <w:highlight w:val="none"/>
        </w:rPr>
      </w:pPr>
      <w:r>
        <w:rPr>
          <w:rFonts w:cs="Times New Roman"/>
          <w:b/>
          <w:color w:val="auto"/>
          <w:sz w:val="52"/>
          <w:szCs w:val="52"/>
          <w:highlight w:val="none"/>
        </w:rPr>
        <w:t>附件：BIM实施导则</w:t>
      </w:r>
    </w:p>
    <w:p w14:paraId="7E8AF95D">
      <w:pPr>
        <w:spacing w:before="156" w:after="156" w:line="312" w:lineRule="auto"/>
        <w:ind w:firstLine="681"/>
        <w:jc w:val="center"/>
        <w:rPr>
          <w:rFonts w:eastAsia="黑体" w:cs="Times New Roman"/>
          <w:color w:val="auto"/>
          <w:w w:val="95"/>
          <w:sz w:val="36"/>
          <w:szCs w:val="36"/>
          <w:highlight w:val="none"/>
        </w:rPr>
      </w:pPr>
      <w:r>
        <w:rPr>
          <w:rFonts w:eastAsia="黑体" w:cs="Times New Roman"/>
          <w:color w:val="auto"/>
          <w:w w:val="95"/>
          <w:sz w:val="36"/>
          <w:szCs w:val="36"/>
          <w:highlight w:val="none"/>
        </w:rPr>
        <w:t>2023修订版</w:t>
      </w:r>
    </w:p>
    <w:p w14:paraId="6D7301D6">
      <w:pPr>
        <w:spacing w:before="156" w:after="156"/>
        <w:rPr>
          <w:color w:val="auto"/>
          <w:highlight w:val="none"/>
        </w:rPr>
      </w:pPr>
    </w:p>
    <w:p w14:paraId="774117FF">
      <w:pPr>
        <w:spacing w:before="156" w:after="156"/>
        <w:rPr>
          <w:color w:val="auto"/>
          <w:highlight w:val="none"/>
        </w:rPr>
      </w:pPr>
    </w:p>
    <w:p w14:paraId="443B54FE">
      <w:pPr>
        <w:spacing w:before="156" w:after="156"/>
        <w:rPr>
          <w:color w:val="auto"/>
          <w:highlight w:val="none"/>
        </w:rPr>
      </w:pPr>
    </w:p>
    <w:p w14:paraId="1A27DAD2">
      <w:pPr>
        <w:spacing w:before="156" w:after="156"/>
        <w:rPr>
          <w:color w:val="auto"/>
          <w:highlight w:val="none"/>
        </w:rPr>
      </w:pPr>
    </w:p>
    <w:p w14:paraId="5F050480">
      <w:pPr>
        <w:spacing w:before="156" w:after="156"/>
        <w:rPr>
          <w:color w:val="auto"/>
          <w:highlight w:val="none"/>
        </w:rPr>
      </w:pPr>
    </w:p>
    <w:p w14:paraId="78B5D130">
      <w:pPr>
        <w:spacing w:before="156" w:after="156"/>
        <w:rPr>
          <w:color w:val="auto"/>
          <w:highlight w:val="none"/>
        </w:rPr>
      </w:pPr>
    </w:p>
    <w:p w14:paraId="68DF69D5">
      <w:pPr>
        <w:spacing w:before="156" w:after="156"/>
        <w:rPr>
          <w:color w:val="auto"/>
          <w:highlight w:val="none"/>
        </w:rPr>
      </w:pPr>
    </w:p>
    <w:p w14:paraId="78D26047">
      <w:pPr>
        <w:spacing w:before="156" w:after="156"/>
        <w:rPr>
          <w:color w:val="auto"/>
          <w:highlight w:val="none"/>
        </w:rPr>
      </w:pPr>
    </w:p>
    <w:p w14:paraId="2D893C0D">
      <w:pPr>
        <w:spacing w:before="156" w:after="156"/>
        <w:rPr>
          <w:color w:val="auto"/>
          <w:highlight w:val="none"/>
        </w:rPr>
      </w:pPr>
    </w:p>
    <w:p w14:paraId="615EBDDE">
      <w:pPr>
        <w:spacing w:before="156" w:after="156"/>
        <w:rPr>
          <w:color w:val="auto"/>
          <w:highlight w:val="none"/>
        </w:rPr>
      </w:pPr>
    </w:p>
    <w:p w14:paraId="67B7BFA4">
      <w:pPr>
        <w:spacing w:before="156" w:after="156"/>
        <w:rPr>
          <w:color w:val="auto"/>
          <w:highlight w:val="none"/>
        </w:rPr>
      </w:pPr>
    </w:p>
    <w:p w14:paraId="039E8F36">
      <w:pPr>
        <w:widowControl/>
        <w:spacing w:before="0" w:beforeLines="0" w:after="0" w:afterLines="0" w:line="240" w:lineRule="auto"/>
        <w:ind w:firstLine="562"/>
        <w:jc w:val="center"/>
        <w:rPr>
          <w:rFonts w:ascii="宋体" w:hAnsi="宋体" w:cs="Times New Roman"/>
          <w:b/>
          <w:color w:val="auto"/>
          <w:sz w:val="28"/>
          <w:szCs w:val="28"/>
          <w:highlight w:val="none"/>
        </w:rPr>
      </w:pPr>
      <w:r>
        <w:rPr>
          <w:rFonts w:ascii="宋体" w:hAnsi="宋体" w:cs="Times New Roman"/>
          <w:b/>
          <w:color w:val="auto"/>
          <w:sz w:val="28"/>
          <w:szCs w:val="28"/>
          <w:highlight w:val="none"/>
        </w:rPr>
        <w:t>广东省代建项目管理局</w:t>
      </w:r>
    </w:p>
    <w:p w14:paraId="79074B83">
      <w:pPr>
        <w:widowControl/>
        <w:spacing w:before="0" w:beforeLines="0" w:after="0" w:afterLines="0" w:line="240" w:lineRule="auto"/>
        <w:ind w:firstLine="562"/>
        <w:jc w:val="center"/>
        <w:rPr>
          <w:rFonts w:ascii="宋体" w:hAnsi="宋体" w:cs="Times New Roman"/>
          <w:b/>
          <w:color w:val="auto"/>
          <w:sz w:val="28"/>
          <w:szCs w:val="28"/>
          <w:highlight w:val="none"/>
        </w:rPr>
      </w:pPr>
      <w:r>
        <w:rPr>
          <w:rFonts w:ascii="宋体" w:hAnsi="宋体" w:cs="Times New Roman"/>
          <w:b/>
          <w:color w:val="auto"/>
          <w:sz w:val="28"/>
          <w:szCs w:val="28"/>
          <w:highlight w:val="none"/>
        </w:rPr>
        <w:t>2023年09月</w:t>
      </w:r>
    </w:p>
    <w:p w14:paraId="2E8CE5DB">
      <w:pPr>
        <w:spacing w:before="156" w:after="156" w:line="312" w:lineRule="auto"/>
        <w:ind w:firstLine="643" w:firstLineChars="0"/>
        <w:jc w:val="center"/>
        <w:rPr>
          <w:rFonts w:ascii="宋体" w:hAnsi="宋体" w:cs="Times New Roman"/>
          <w:b/>
          <w:color w:val="auto"/>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p>
    <w:p w14:paraId="3084B756">
      <w:pPr>
        <w:spacing w:before="156" w:after="156" w:line="312" w:lineRule="auto"/>
        <w:ind w:firstLine="643" w:firstLineChars="0"/>
        <w:jc w:val="center"/>
        <w:rPr>
          <w:rFonts w:ascii="宋体" w:hAnsi="宋体" w:cs="Times New Roman"/>
          <w:b/>
          <w:color w:val="auto"/>
          <w:sz w:val="32"/>
          <w:szCs w:val="32"/>
          <w:highlight w:val="none"/>
        </w:rPr>
      </w:pPr>
      <w:r>
        <w:rPr>
          <w:rFonts w:hint="eastAsia" w:ascii="宋体" w:hAnsi="宋体" w:cs="Times New Roman"/>
          <w:b/>
          <w:color w:val="auto"/>
          <w:sz w:val="32"/>
          <w:szCs w:val="32"/>
          <w:highlight w:val="none"/>
        </w:rPr>
        <w:t>目   次</w:t>
      </w:r>
    </w:p>
    <w:p w14:paraId="7F709BF0">
      <w:pPr>
        <w:pStyle w:val="38"/>
        <w:tabs>
          <w:tab w:val="right" w:leader="dot" w:pos="8306"/>
          <w:tab w:val="clear" w:pos="8296"/>
        </w:tabs>
        <w:spacing w:before="156" w:after="156"/>
        <w:rPr>
          <w:color w:val="auto"/>
          <w:highlight w:val="none"/>
        </w:rPr>
      </w:pPr>
      <w:r>
        <w:rPr>
          <w:color w:val="auto"/>
          <w:highlight w:val="none"/>
        </w:rPr>
        <w:fldChar w:fldCharType="begin"/>
      </w:r>
      <w:r>
        <w:rPr>
          <w:color w:val="auto"/>
          <w:highlight w:val="none"/>
        </w:rPr>
        <w:instrText xml:space="preserve">TOC \o "1-2" \h \u </w:instrText>
      </w:r>
      <w:r>
        <w:rPr>
          <w:color w:val="auto"/>
          <w:highlight w:val="none"/>
        </w:rPr>
        <w:fldChar w:fldCharType="separate"/>
      </w:r>
      <w:r>
        <w:rPr>
          <w:color w:val="auto"/>
          <w:highlight w:val="none"/>
        </w:rPr>
        <w:fldChar w:fldCharType="begin"/>
      </w:r>
      <w:r>
        <w:rPr>
          <w:color w:val="auto"/>
          <w:highlight w:val="none"/>
        </w:rPr>
        <w:instrText xml:space="preserve"> HYPERLINK \l "_Toc11445" </w:instrText>
      </w:r>
      <w:r>
        <w:rPr>
          <w:color w:val="auto"/>
          <w:highlight w:val="none"/>
        </w:rPr>
        <w:fldChar w:fldCharType="separate"/>
      </w:r>
      <w:r>
        <w:rPr>
          <w:rFonts w:ascii="宋体" w:hAnsi="宋体" w:cs="宋体"/>
          <w:color w:val="auto"/>
          <w:highlight w:val="none"/>
        </w:rPr>
        <w:t xml:space="preserve">1. </w:t>
      </w:r>
      <w:r>
        <w:rPr>
          <w:color w:val="auto"/>
          <w:highlight w:val="none"/>
        </w:rPr>
        <w:t>模型体现及应用点</w:t>
      </w:r>
      <w:r>
        <w:rPr>
          <w:color w:val="auto"/>
          <w:highlight w:val="none"/>
        </w:rPr>
        <w:tab/>
      </w:r>
      <w:r>
        <w:rPr>
          <w:color w:val="auto"/>
          <w:highlight w:val="none"/>
        </w:rPr>
        <w:fldChar w:fldCharType="begin"/>
      </w:r>
      <w:r>
        <w:rPr>
          <w:color w:val="auto"/>
          <w:highlight w:val="none"/>
        </w:rPr>
        <w:instrText xml:space="preserve"> PAGEREF _Toc11445 \h </w:instrText>
      </w:r>
      <w:r>
        <w:rPr>
          <w:color w:val="auto"/>
          <w:highlight w:val="none"/>
        </w:rPr>
        <w:fldChar w:fldCharType="separate"/>
      </w:r>
      <w:r>
        <w:rPr>
          <w:color w:val="auto"/>
          <w:highlight w:val="none"/>
        </w:rPr>
        <w:t>- 1 -</w:t>
      </w:r>
      <w:r>
        <w:rPr>
          <w:color w:val="auto"/>
          <w:highlight w:val="none"/>
        </w:rPr>
        <w:fldChar w:fldCharType="end"/>
      </w:r>
      <w:r>
        <w:rPr>
          <w:color w:val="auto"/>
          <w:highlight w:val="none"/>
        </w:rPr>
        <w:fldChar w:fldCharType="end"/>
      </w:r>
    </w:p>
    <w:p w14:paraId="33952C26">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"_Toc15410" </w:instrText>
      </w:r>
      <w:r>
        <w:rPr>
          <w:color w:val="auto"/>
          <w:highlight w:val="none"/>
        </w:rPr>
        <w:fldChar w:fldCharType="separate"/>
      </w:r>
      <w:r>
        <w:rPr>
          <w:rFonts w:ascii="宋体" w:hAnsi="宋体" w:cs="宋体"/>
          <w:color w:val="auto"/>
          <w:highlight w:val="none"/>
        </w:rPr>
        <w:t xml:space="preserve">1.1. </w:t>
      </w:r>
      <w:r>
        <w:rPr>
          <w:color w:val="auto"/>
          <w:highlight w:val="none"/>
        </w:rPr>
        <w:t>BIM模型阶段化体现</w:t>
      </w:r>
      <w:r>
        <w:rPr>
          <w:color w:val="auto"/>
          <w:highlight w:val="none"/>
        </w:rPr>
        <w:tab/>
      </w:r>
      <w:r>
        <w:rPr>
          <w:color w:val="auto"/>
          <w:highlight w:val="none"/>
        </w:rPr>
        <w:fldChar w:fldCharType="begin"/>
      </w:r>
      <w:r>
        <w:rPr>
          <w:color w:val="auto"/>
          <w:highlight w:val="none"/>
        </w:rPr>
        <w:instrText xml:space="preserve"> PAGEREF _Toc15410 \h </w:instrText>
      </w:r>
      <w:r>
        <w:rPr>
          <w:color w:val="auto"/>
          <w:highlight w:val="none"/>
        </w:rPr>
        <w:fldChar w:fldCharType="separate"/>
      </w:r>
      <w:r>
        <w:rPr>
          <w:color w:val="auto"/>
          <w:highlight w:val="none"/>
        </w:rPr>
        <w:t>- 1 -</w:t>
      </w:r>
      <w:r>
        <w:rPr>
          <w:color w:val="auto"/>
          <w:highlight w:val="none"/>
        </w:rPr>
        <w:fldChar w:fldCharType="end"/>
      </w:r>
      <w:r>
        <w:rPr>
          <w:color w:val="auto"/>
          <w:highlight w:val="none"/>
        </w:rPr>
        <w:fldChar w:fldCharType="end"/>
      </w:r>
    </w:p>
    <w:p w14:paraId="48396C75">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"_Toc15359" </w:instrText>
      </w:r>
      <w:r>
        <w:rPr>
          <w:color w:val="auto"/>
          <w:highlight w:val="none"/>
        </w:rPr>
        <w:fldChar w:fldCharType="separate"/>
      </w:r>
      <w:r>
        <w:rPr>
          <w:rFonts w:ascii="宋体" w:hAnsi="宋体" w:cs="宋体"/>
          <w:color w:val="auto"/>
          <w:highlight w:val="none"/>
        </w:rPr>
        <w:t xml:space="preserve">1.2. </w:t>
      </w:r>
      <w:r>
        <w:rPr>
          <w:color w:val="auto"/>
          <w:highlight w:val="none"/>
        </w:rPr>
        <w:t>BIM模型设计阶段应用点分析</w:t>
      </w:r>
      <w:r>
        <w:rPr>
          <w:color w:val="auto"/>
          <w:highlight w:val="none"/>
        </w:rPr>
        <w:tab/>
      </w:r>
      <w:r>
        <w:rPr>
          <w:color w:val="auto"/>
          <w:highlight w:val="none"/>
        </w:rPr>
        <w:fldChar w:fldCharType="begin"/>
      </w:r>
      <w:r>
        <w:rPr>
          <w:color w:val="auto"/>
          <w:highlight w:val="none"/>
        </w:rPr>
        <w:instrText xml:space="preserve"> PAGEREF _Toc15359 \h </w:instrText>
      </w:r>
      <w:r>
        <w:rPr>
          <w:color w:val="auto"/>
          <w:highlight w:val="none"/>
        </w:rPr>
        <w:fldChar w:fldCharType="separate"/>
      </w:r>
      <w:r>
        <w:rPr>
          <w:color w:val="auto"/>
          <w:highlight w:val="none"/>
        </w:rPr>
        <w:t>- 1 -</w:t>
      </w:r>
      <w:r>
        <w:rPr>
          <w:color w:val="auto"/>
          <w:highlight w:val="none"/>
        </w:rPr>
        <w:fldChar w:fldCharType="end"/>
      </w:r>
      <w:r>
        <w:rPr>
          <w:color w:val="auto"/>
          <w:highlight w:val="none"/>
        </w:rPr>
        <w:fldChar w:fldCharType="end"/>
      </w:r>
    </w:p>
    <w:p w14:paraId="576843BF">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"_Toc14844" </w:instrText>
      </w:r>
      <w:r>
        <w:rPr>
          <w:color w:val="auto"/>
          <w:highlight w:val="none"/>
        </w:rPr>
        <w:fldChar w:fldCharType="separate"/>
      </w:r>
      <w:r>
        <w:rPr>
          <w:rFonts w:ascii="宋体" w:hAnsi="宋体" w:cs="宋体"/>
          <w:color w:val="auto"/>
          <w:highlight w:val="none"/>
        </w:rPr>
        <w:t xml:space="preserve">1.3. </w:t>
      </w:r>
      <w:r>
        <w:rPr>
          <w:color w:val="auto"/>
          <w:highlight w:val="none"/>
        </w:rPr>
        <w:t>BIM模型施工阶段应用点分析</w:t>
      </w:r>
      <w:r>
        <w:rPr>
          <w:color w:val="auto"/>
          <w:highlight w:val="none"/>
        </w:rPr>
        <w:tab/>
      </w:r>
      <w:r>
        <w:rPr>
          <w:color w:val="auto"/>
          <w:highlight w:val="none"/>
        </w:rPr>
        <w:fldChar w:fldCharType="begin"/>
      </w:r>
      <w:r>
        <w:rPr>
          <w:color w:val="auto"/>
          <w:highlight w:val="none"/>
        </w:rPr>
        <w:instrText xml:space="preserve"> PAGEREF _Toc14844 \h </w:instrText>
      </w:r>
      <w:r>
        <w:rPr>
          <w:color w:val="auto"/>
          <w:highlight w:val="none"/>
        </w:rPr>
        <w:fldChar w:fldCharType="separate"/>
      </w:r>
      <w:r>
        <w:rPr>
          <w:color w:val="auto"/>
          <w:highlight w:val="none"/>
        </w:rPr>
        <w:t>- 5 -</w:t>
      </w:r>
      <w:r>
        <w:rPr>
          <w:color w:val="auto"/>
          <w:highlight w:val="none"/>
        </w:rPr>
        <w:fldChar w:fldCharType="end"/>
      </w:r>
      <w:r>
        <w:rPr>
          <w:color w:val="auto"/>
          <w:highlight w:val="none"/>
        </w:rPr>
        <w:fldChar w:fldCharType="end"/>
      </w:r>
    </w:p>
    <w:p w14:paraId="004C0DF8">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"_Toc28489" </w:instrText>
      </w:r>
      <w:r>
        <w:rPr>
          <w:color w:val="auto"/>
          <w:highlight w:val="none"/>
        </w:rPr>
        <w:fldChar w:fldCharType="separate"/>
      </w:r>
      <w:r>
        <w:rPr>
          <w:rFonts w:ascii="宋体" w:hAnsi="宋体" w:cs="宋体"/>
          <w:color w:val="auto"/>
          <w:highlight w:val="none"/>
        </w:rPr>
        <w:t xml:space="preserve">1.4. </w:t>
      </w:r>
      <w:r>
        <w:rPr>
          <w:color w:val="auto"/>
          <w:highlight w:val="none"/>
        </w:rPr>
        <w:t>BIM模型运维阶段应用点分析</w:t>
      </w:r>
      <w:r>
        <w:rPr>
          <w:color w:val="auto"/>
          <w:highlight w:val="none"/>
        </w:rPr>
        <w:tab/>
      </w:r>
      <w:r>
        <w:rPr>
          <w:color w:val="auto"/>
          <w:highlight w:val="none"/>
        </w:rPr>
        <w:fldChar w:fldCharType="begin"/>
      </w:r>
      <w:r>
        <w:rPr>
          <w:color w:val="auto"/>
          <w:highlight w:val="none"/>
        </w:rPr>
        <w:instrText xml:space="preserve"> PAGEREF _Toc28489 \h </w:instrText>
      </w:r>
      <w:r>
        <w:rPr>
          <w:color w:val="auto"/>
          <w:highlight w:val="none"/>
        </w:rPr>
        <w:fldChar w:fldCharType="separate"/>
      </w:r>
      <w:r>
        <w:rPr>
          <w:color w:val="auto"/>
          <w:highlight w:val="none"/>
        </w:rPr>
        <w:t>- 8 -</w:t>
      </w:r>
      <w:r>
        <w:rPr>
          <w:color w:val="auto"/>
          <w:highlight w:val="none"/>
        </w:rPr>
        <w:fldChar w:fldCharType="end"/>
      </w:r>
      <w:r>
        <w:rPr>
          <w:color w:val="auto"/>
          <w:highlight w:val="none"/>
        </w:rPr>
        <w:fldChar w:fldCharType="end"/>
      </w:r>
    </w:p>
    <w:p w14:paraId="1C430489">
      <w:pPr>
        <w:pStyle w:val="38"/>
        <w:tabs>
          <w:tab w:val="right" w:leader="dot" w:pos="8306"/>
          <w:tab w:val="clear" w:pos="8296"/>
        </w:tabs>
        <w:spacing w:before="156" w:after="156"/>
        <w:rPr>
          <w:color w:val="auto"/>
          <w:highlight w:val="none"/>
        </w:rPr>
      </w:pPr>
      <w:r>
        <w:rPr>
          <w:color w:val="auto"/>
          <w:highlight w:val="none"/>
        </w:rPr>
        <w:fldChar w:fldCharType="begin"/>
      </w:r>
      <w:r>
        <w:rPr>
          <w:color w:val="auto"/>
          <w:highlight w:val="none"/>
        </w:rPr>
        <w:instrText xml:space="preserve"> HYPERLINK \l "_Toc23905" </w:instrText>
      </w:r>
      <w:r>
        <w:rPr>
          <w:color w:val="auto"/>
          <w:highlight w:val="none"/>
        </w:rPr>
        <w:fldChar w:fldCharType="separate"/>
      </w:r>
      <w:r>
        <w:rPr>
          <w:rFonts w:ascii="宋体" w:hAnsi="宋体" w:cs="宋体"/>
          <w:color w:val="auto"/>
          <w:highlight w:val="none"/>
        </w:rPr>
        <w:t xml:space="preserve">2. </w:t>
      </w:r>
      <w:r>
        <w:rPr>
          <w:color w:val="auto"/>
          <w:highlight w:val="none"/>
        </w:rPr>
        <w:t>BIM模型实施管理</w:t>
      </w:r>
      <w:r>
        <w:rPr>
          <w:color w:val="auto"/>
          <w:highlight w:val="none"/>
        </w:rPr>
        <w:tab/>
      </w:r>
      <w:r>
        <w:rPr>
          <w:color w:val="auto"/>
          <w:highlight w:val="none"/>
        </w:rPr>
        <w:fldChar w:fldCharType="begin"/>
      </w:r>
      <w:r>
        <w:rPr>
          <w:color w:val="auto"/>
          <w:highlight w:val="none"/>
        </w:rPr>
        <w:instrText xml:space="preserve"> PAGEREF _Toc23905 \h </w:instrText>
      </w:r>
      <w:r>
        <w:rPr>
          <w:color w:val="auto"/>
          <w:highlight w:val="none"/>
        </w:rPr>
        <w:fldChar w:fldCharType="separate"/>
      </w:r>
      <w:r>
        <w:rPr>
          <w:color w:val="auto"/>
          <w:highlight w:val="none"/>
        </w:rPr>
        <w:t>- 10 -</w:t>
      </w:r>
      <w:r>
        <w:rPr>
          <w:color w:val="auto"/>
          <w:highlight w:val="none"/>
        </w:rPr>
        <w:fldChar w:fldCharType="end"/>
      </w:r>
      <w:r>
        <w:rPr>
          <w:color w:val="auto"/>
          <w:highlight w:val="none"/>
        </w:rPr>
        <w:fldChar w:fldCharType="end"/>
      </w:r>
    </w:p>
    <w:p w14:paraId="44642A32">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"_Toc22667" </w:instrText>
      </w:r>
      <w:r>
        <w:rPr>
          <w:color w:val="auto"/>
          <w:highlight w:val="none"/>
        </w:rPr>
        <w:fldChar w:fldCharType="separate"/>
      </w:r>
      <w:r>
        <w:rPr>
          <w:rFonts w:ascii="宋体" w:hAnsi="宋体" w:cs="宋体"/>
          <w:color w:val="auto"/>
          <w:highlight w:val="none"/>
        </w:rPr>
        <w:t xml:space="preserve">2.1. </w:t>
      </w:r>
      <w:r>
        <w:rPr>
          <w:color w:val="auto"/>
          <w:highlight w:val="none"/>
        </w:rPr>
        <w:t>项目文档管理</w:t>
      </w:r>
      <w:r>
        <w:rPr>
          <w:color w:val="auto"/>
          <w:highlight w:val="none"/>
        </w:rPr>
        <w:tab/>
      </w:r>
      <w:r>
        <w:rPr>
          <w:color w:val="auto"/>
          <w:highlight w:val="none"/>
        </w:rPr>
        <w:fldChar w:fldCharType="begin"/>
      </w:r>
      <w:r>
        <w:rPr>
          <w:color w:val="auto"/>
          <w:highlight w:val="none"/>
        </w:rPr>
        <w:instrText xml:space="preserve"> PAGEREF _Toc22667 \h </w:instrText>
      </w:r>
      <w:r>
        <w:rPr>
          <w:color w:val="auto"/>
          <w:highlight w:val="none"/>
        </w:rPr>
        <w:fldChar w:fldCharType="separate"/>
      </w:r>
      <w:r>
        <w:rPr>
          <w:color w:val="auto"/>
          <w:highlight w:val="none"/>
        </w:rPr>
        <w:t>- 10 -</w:t>
      </w:r>
      <w:r>
        <w:rPr>
          <w:color w:val="auto"/>
          <w:highlight w:val="none"/>
        </w:rPr>
        <w:fldChar w:fldCharType="end"/>
      </w:r>
      <w:r>
        <w:rPr>
          <w:color w:val="auto"/>
          <w:highlight w:val="none"/>
        </w:rPr>
        <w:fldChar w:fldCharType="end"/>
      </w:r>
    </w:p>
    <w:p w14:paraId="4234B4EF">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"_Toc6762" </w:instrText>
      </w:r>
      <w:r>
        <w:rPr>
          <w:color w:val="auto"/>
          <w:highlight w:val="none"/>
        </w:rPr>
        <w:fldChar w:fldCharType="separate"/>
      </w:r>
      <w:r>
        <w:rPr>
          <w:rFonts w:ascii="宋体" w:hAnsi="宋体" w:cs="宋体"/>
          <w:color w:val="auto"/>
          <w:highlight w:val="none"/>
        </w:rPr>
        <w:t xml:space="preserve">2.2. </w:t>
      </w:r>
      <w:r>
        <w:rPr>
          <w:color w:val="auto"/>
          <w:highlight w:val="none"/>
        </w:rPr>
        <w:t>模型命名管理</w:t>
      </w:r>
      <w:r>
        <w:rPr>
          <w:color w:val="auto"/>
          <w:highlight w:val="none"/>
        </w:rPr>
        <w:tab/>
      </w:r>
      <w:r>
        <w:rPr>
          <w:color w:val="auto"/>
          <w:highlight w:val="none"/>
        </w:rPr>
        <w:fldChar w:fldCharType="begin"/>
      </w:r>
      <w:r>
        <w:rPr>
          <w:color w:val="auto"/>
          <w:highlight w:val="none"/>
        </w:rPr>
        <w:instrText xml:space="preserve"> PAGEREF _Toc6762 \h </w:instrText>
      </w:r>
      <w:r>
        <w:rPr>
          <w:color w:val="auto"/>
          <w:highlight w:val="none"/>
        </w:rPr>
        <w:fldChar w:fldCharType="separate"/>
      </w:r>
      <w:r>
        <w:rPr>
          <w:color w:val="auto"/>
          <w:highlight w:val="none"/>
        </w:rPr>
        <w:t>- 11 -</w:t>
      </w:r>
      <w:r>
        <w:rPr>
          <w:color w:val="auto"/>
          <w:highlight w:val="none"/>
        </w:rPr>
        <w:fldChar w:fldCharType="end"/>
      </w:r>
      <w:r>
        <w:rPr>
          <w:color w:val="auto"/>
          <w:highlight w:val="none"/>
        </w:rPr>
        <w:fldChar w:fldCharType="end"/>
      </w:r>
    </w:p>
    <w:p w14:paraId="14ACE110">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"_Toc2221" </w:instrText>
      </w:r>
      <w:r>
        <w:rPr>
          <w:color w:val="auto"/>
          <w:highlight w:val="none"/>
        </w:rPr>
        <w:fldChar w:fldCharType="separate"/>
      </w:r>
      <w:r>
        <w:rPr>
          <w:rFonts w:ascii="宋体" w:hAnsi="宋体" w:cs="宋体"/>
          <w:color w:val="auto"/>
          <w:highlight w:val="none"/>
        </w:rPr>
        <w:t xml:space="preserve">2.3. </w:t>
      </w:r>
      <w:r>
        <w:rPr>
          <w:color w:val="auto"/>
          <w:highlight w:val="none"/>
        </w:rPr>
        <w:t>模型拆分管理</w:t>
      </w:r>
      <w:r>
        <w:rPr>
          <w:color w:val="auto"/>
          <w:highlight w:val="none"/>
        </w:rPr>
        <w:tab/>
      </w:r>
      <w:r>
        <w:rPr>
          <w:color w:val="auto"/>
          <w:highlight w:val="none"/>
        </w:rPr>
        <w:fldChar w:fldCharType="begin"/>
      </w:r>
      <w:r>
        <w:rPr>
          <w:color w:val="auto"/>
          <w:highlight w:val="none"/>
        </w:rPr>
        <w:instrText xml:space="preserve"> PAGEREF _Toc2221 \h </w:instrText>
      </w:r>
      <w:r>
        <w:rPr>
          <w:color w:val="auto"/>
          <w:highlight w:val="none"/>
        </w:rPr>
        <w:fldChar w:fldCharType="separate"/>
      </w:r>
      <w:r>
        <w:rPr>
          <w:color w:val="auto"/>
          <w:highlight w:val="none"/>
        </w:rPr>
        <w:t>- 17 -</w:t>
      </w:r>
      <w:r>
        <w:rPr>
          <w:color w:val="auto"/>
          <w:highlight w:val="none"/>
        </w:rPr>
        <w:fldChar w:fldCharType="end"/>
      </w:r>
      <w:r>
        <w:rPr>
          <w:color w:val="auto"/>
          <w:highlight w:val="none"/>
        </w:rPr>
        <w:fldChar w:fldCharType="end"/>
      </w:r>
    </w:p>
    <w:p w14:paraId="58ABD67A">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"_Toc30837" </w:instrText>
      </w:r>
      <w:r>
        <w:rPr>
          <w:color w:val="auto"/>
          <w:highlight w:val="none"/>
        </w:rPr>
        <w:fldChar w:fldCharType="separate"/>
      </w:r>
      <w:r>
        <w:rPr>
          <w:rFonts w:ascii="宋体" w:hAnsi="宋体" w:cs="宋体"/>
          <w:color w:val="auto"/>
          <w:highlight w:val="none"/>
        </w:rPr>
        <w:t xml:space="preserve">2.4. </w:t>
      </w:r>
      <w:r>
        <w:rPr>
          <w:color w:val="auto"/>
          <w:highlight w:val="none"/>
        </w:rPr>
        <w:t>模型图形管理</w:t>
      </w:r>
      <w:r>
        <w:rPr>
          <w:color w:val="auto"/>
          <w:highlight w:val="none"/>
        </w:rPr>
        <w:tab/>
      </w:r>
      <w:r>
        <w:rPr>
          <w:color w:val="auto"/>
          <w:highlight w:val="none"/>
        </w:rPr>
        <w:fldChar w:fldCharType="begin"/>
      </w:r>
      <w:r>
        <w:rPr>
          <w:color w:val="auto"/>
          <w:highlight w:val="none"/>
        </w:rPr>
        <w:instrText xml:space="preserve"> PAGEREF _Toc30837 \h </w:instrText>
      </w:r>
      <w:r>
        <w:rPr>
          <w:color w:val="auto"/>
          <w:highlight w:val="none"/>
        </w:rPr>
        <w:fldChar w:fldCharType="separate"/>
      </w:r>
      <w:r>
        <w:rPr>
          <w:color w:val="auto"/>
          <w:highlight w:val="none"/>
        </w:rPr>
        <w:t>- 18 -</w:t>
      </w:r>
      <w:r>
        <w:rPr>
          <w:color w:val="auto"/>
          <w:highlight w:val="none"/>
        </w:rPr>
        <w:fldChar w:fldCharType="end"/>
      </w:r>
      <w:r>
        <w:rPr>
          <w:color w:val="auto"/>
          <w:highlight w:val="none"/>
        </w:rPr>
        <w:fldChar w:fldCharType="end"/>
      </w:r>
    </w:p>
    <w:p w14:paraId="6612A02A">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"_Toc14042" </w:instrText>
      </w:r>
      <w:r>
        <w:rPr>
          <w:color w:val="auto"/>
          <w:highlight w:val="none"/>
        </w:rPr>
        <w:fldChar w:fldCharType="separate"/>
      </w:r>
      <w:r>
        <w:rPr>
          <w:rFonts w:ascii="宋体" w:hAnsi="宋体" w:cs="宋体"/>
          <w:color w:val="auto"/>
          <w:highlight w:val="none"/>
        </w:rPr>
        <w:t xml:space="preserve">2.5. </w:t>
      </w:r>
      <w:r>
        <w:rPr>
          <w:color w:val="auto"/>
          <w:highlight w:val="none"/>
        </w:rPr>
        <w:t>单位坐标设置</w:t>
      </w:r>
      <w:r>
        <w:rPr>
          <w:color w:val="auto"/>
          <w:highlight w:val="none"/>
        </w:rPr>
        <w:tab/>
      </w:r>
      <w:r>
        <w:rPr>
          <w:color w:val="auto"/>
          <w:highlight w:val="none"/>
        </w:rPr>
        <w:fldChar w:fldCharType="begin"/>
      </w:r>
      <w:r>
        <w:rPr>
          <w:color w:val="auto"/>
          <w:highlight w:val="none"/>
        </w:rPr>
        <w:instrText xml:space="preserve"> PAGEREF _Toc14042 \h </w:instrText>
      </w:r>
      <w:r>
        <w:rPr>
          <w:color w:val="auto"/>
          <w:highlight w:val="none"/>
        </w:rPr>
        <w:fldChar w:fldCharType="separate"/>
      </w:r>
      <w:r>
        <w:rPr>
          <w:color w:val="auto"/>
          <w:highlight w:val="none"/>
        </w:rPr>
        <w:t>- 19 -</w:t>
      </w:r>
      <w:r>
        <w:rPr>
          <w:color w:val="auto"/>
          <w:highlight w:val="none"/>
        </w:rPr>
        <w:fldChar w:fldCharType="end"/>
      </w:r>
      <w:r>
        <w:rPr>
          <w:color w:val="auto"/>
          <w:highlight w:val="none"/>
        </w:rPr>
        <w:fldChar w:fldCharType="end"/>
      </w:r>
    </w:p>
    <w:p w14:paraId="4EED99EA">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"_Toc23071" </w:instrText>
      </w:r>
      <w:r>
        <w:rPr>
          <w:color w:val="auto"/>
          <w:highlight w:val="none"/>
        </w:rPr>
        <w:fldChar w:fldCharType="separate"/>
      </w:r>
      <w:r>
        <w:rPr>
          <w:rFonts w:ascii="宋体" w:hAnsi="宋体" w:cs="宋体"/>
          <w:color w:val="auto"/>
          <w:highlight w:val="none"/>
        </w:rPr>
        <w:t xml:space="preserve">2.6. </w:t>
      </w:r>
      <w:r>
        <w:rPr>
          <w:color w:val="auto"/>
          <w:highlight w:val="none"/>
        </w:rPr>
        <w:t>模型信息管理</w:t>
      </w:r>
      <w:r>
        <w:rPr>
          <w:color w:val="auto"/>
          <w:highlight w:val="none"/>
        </w:rPr>
        <w:tab/>
      </w:r>
      <w:r>
        <w:rPr>
          <w:color w:val="auto"/>
          <w:highlight w:val="none"/>
        </w:rPr>
        <w:fldChar w:fldCharType="begin"/>
      </w:r>
      <w:r>
        <w:rPr>
          <w:color w:val="auto"/>
          <w:highlight w:val="none"/>
        </w:rPr>
        <w:instrText xml:space="preserve"> PAGEREF _Toc23071 \h </w:instrText>
      </w:r>
      <w:r>
        <w:rPr>
          <w:color w:val="auto"/>
          <w:highlight w:val="none"/>
        </w:rPr>
        <w:fldChar w:fldCharType="separate"/>
      </w:r>
      <w:r>
        <w:rPr>
          <w:color w:val="auto"/>
          <w:highlight w:val="none"/>
        </w:rPr>
        <w:t>- 19 -</w:t>
      </w:r>
      <w:r>
        <w:rPr>
          <w:color w:val="auto"/>
          <w:highlight w:val="none"/>
        </w:rPr>
        <w:fldChar w:fldCharType="end"/>
      </w:r>
      <w:r>
        <w:rPr>
          <w:color w:val="auto"/>
          <w:highlight w:val="none"/>
        </w:rPr>
        <w:fldChar w:fldCharType="end"/>
      </w:r>
    </w:p>
    <w:p w14:paraId="0C7A1D72">
      <w:pPr>
        <w:pStyle w:val="38"/>
        <w:tabs>
          <w:tab w:val="right" w:leader="dot" w:pos="8306"/>
          <w:tab w:val="clear" w:pos="8296"/>
        </w:tabs>
        <w:spacing w:before="156" w:after="156"/>
        <w:rPr>
          <w:color w:val="auto"/>
          <w:highlight w:val="none"/>
        </w:rPr>
      </w:pPr>
      <w:r>
        <w:rPr>
          <w:color w:val="auto"/>
          <w:highlight w:val="none"/>
        </w:rPr>
        <w:fldChar w:fldCharType="begin"/>
      </w:r>
      <w:r>
        <w:rPr>
          <w:color w:val="auto"/>
          <w:highlight w:val="none"/>
        </w:rPr>
        <w:instrText xml:space="preserve"> HYPERLINK \l "_Toc32226" </w:instrText>
      </w:r>
      <w:r>
        <w:rPr>
          <w:color w:val="auto"/>
          <w:highlight w:val="none"/>
        </w:rPr>
        <w:fldChar w:fldCharType="separate"/>
      </w:r>
      <w:r>
        <w:rPr>
          <w:rFonts w:ascii="宋体" w:hAnsi="宋体" w:cs="宋体"/>
          <w:color w:val="auto"/>
          <w:highlight w:val="none"/>
        </w:rPr>
        <w:t xml:space="preserve">3. </w:t>
      </w:r>
      <w:r>
        <w:rPr>
          <w:color w:val="auto"/>
          <w:highlight w:val="none"/>
        </w:rPr>
        <w:t>项目控制</w:t>
      </w:r>
      <w:r>
        <w:rPr>
          <w:color w:val="auto"/>
          <w:highlight w:val="none"/>
        </w:rPr>
        <w:tab/>
      </w:r>
      <w:r>
        <w:rPr>
          <w:color w:val="auto"/>
          <w:highlight w:val="none"/>
        </w:rPr>
        <w:fldChar w:fldCharType="begin"/>
      </w:r>
      <w:r>
        <w:rPr>
          <w:color w:val="auto"/>
          <w:highlight w:val="none"/>
        </w:rPr>
        <w:instrText xml:space="preserve"> PAGEREF _Toc32226 \h </w:instrText>
      </w:r>
      <w:r>
        <w:rPr>
          <w:color w:val="auto"/>
          <w:highlight w:val="none"/>
        </w:rPr>
        <w:fldChar w:fldCharType="separate"/>
      </w:r>
      <w:r>
        <w:rPr>
          <w:color w:val="auto"/>
          <w:highlight w:val="none"/>
        </w:rPr>
        <w:t>- 20 -</w:t>
      </w:r>
      <w:r>
        <w:rPr>
          <w:color w:val="auto"/>
          <w:highlight w:val="none"/>
        </w:rPr>
        <w:fldChar w:fldCharType="end"/>
      </w:r>
      <w:r>
        <w:rPr>
          <w:color w:val="auto"/>
          <w:highlight w:val="none"/>
        </w:rPr>
        <w:fldChar w:fldCharType="end"/>
      </w:r>
    </w:p>
    <w:p w14:paraId="7489EB5B">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"_Toc12058" </w:instrText>
      </w:r>
      <w:r>
        <w:rPr>
          <w:color w:val="auto"/>
          <w:highlight w:val="none"/>
        </w:rPr>
        <w:fldChar w:fldCharType="separate"/>
      </w:r>
      <w:r>
        <w:rPr>
          <w:rFonts w:ascii="宋体" w:hAnsi="宋体" w:cs="宋体"/>
          <w:color w:val="auto"/>
          <w:highlight w:val="none"/>
        </w:rPr>
        <w:t xml:space="preserve">3.1. </w:t>
      </w:r>
      <w:r>
        <w:rPr>
          <w:color w:val="auto"/>
          <w:highlight w:val="none"/>
        </w:rPr>
        <w:t>质量控制</w:t>
      </w:r>
      <w:r>
        <w:rPr>
          <w:color w:val="auto"/>
          <w:highlight w:val="none"/>
        </w:rPr>
        <w:tab/>
      </w:r>
      <w:r>
        <w:rPr>
          <w:color w:val="auto"/>
          <w:highlight w:val="none"/>
        </w:rPr>
        <w:fldChar w:fldCharType="begin"/>
      </w:r>
      <w:r>
        <w:rPr>
          <w:color w:val="auto"/>
          <w:highlight w:val="none"/>
        </w:rPr>
        <w:instrText xml:space="preserve"> PAGEREF _Toc12058 \h </w:instrText>
      </w:r>
      <w:r>
        <w:rPr>
          <w:color w:val="auto"/>
          <w:highlight w:val="none"/>
        </w:rPr>
        <w:fldChar w:fldCharType="separate"/>
      </w:r>
      <w:r>
        <w:rPr>
          <w:color w:val="auto"/>
          <w:highlight w:val="none"/>
        </w:rPr>
        <w:t>- 20 -</w:t>
      </w:r>
      <w:r>
        <w:rPr>
          <w:color w:val="auto"/>
          <w:highlight w:val="none"/>
        </w:rPr>
        <w:fldChar w:fldCharType="end"/>
      </w:r>
      <w:r>
        <w:rPr>
          <w:color w:val="auto"/>
          <w:highlight w:val="none"/>
        </w:rPr>
        <w:fldChar w:fldCharType="end"/>
      </w:r>
    </w:p>
    <w:p w14:paraId="48D5A857">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"_Toc13917" </w:instrText>
      </w:r>
      <w:r>
        <w:rPr>
          <w:color w:val="auto"/>
          <w:highlight w:val="none"/>
        </w:rPr>
        <w:fldChar w:fldCharType="separate"/>
      </w:r>
      <w:r>
        <w:rPr>
          <w:rFonts w:ascii="宋体" w:hAnsi="宋体" w:cs="宋体"/>
          <w:color w:val="auto"/>
          <w:highlight w:val="none"/>
        </w:rPr>
        <w:t xml:space="preserve">3.2. </w:t>
      </w:r>
      <w:r>
        <w:rPr>
          <w:color w:val="auto"/>
          <w:highlight w:val="none"/>
        </w:rPr>
        <w:t>进度控制</w:t>
      </w:r>
      <w:r>
        <w:rPr>
          <w:color w:val="auto"/>
          <w:highlight w:val="none"/>
        </w:rPr>
        <w:tab/>
      </w:r>
      <w:r>
        <w:rPr>
          <w:color w:val="auto"/>
          <w:highlight w:val="none"/>
        </w:rPr>
        <w:fldChar w:fldCharType="begin"/>
      </w:r>
      <w:r>
        <w:rPr>
          <w:color w:val="auto"/>
          <w:highlight w:val="none"/>
        </w:rPr>
        <w:instrText xml:space="preserve"> PAGEREF _Toc13917 \h </w:instrText>
      </w:r>
      <w:r>
        <w:rPr>
          <w:color w:val="auto"/>
          <w:highlight w:val="none"/>
        </w:rPr>
        <w:fldChar w:fldCharType="separate"/>
      </w:r>
      <w:r>
        <w:rPr>
          <w:color w:val="auto"/>
          <w:highlight w:val="none"/>
        </w:rPr>
        <w:t>- 22 -</w:t>
      </w:r>
      <w:r>
        <w:rPr>
          <w:color w:val="auto"/>
          <w:highlight w:val="none"/>
        </w:rPr>
        <w:fldChar w:fldCharType="end"/>
      </w:r>
      <w:r>
        <w:rPr>
          <w:color w:val="auto"/>
          <w:highlight w:val="none"/>
        </w:rPr>
        <w:fldChar w:fldCharType="end"/>
      </w:r>
    </w:p>
    <w:p w14:paraId="68924E85">
      <w:pPr>
        <w:pStyle w:val="38"/>
        <w:tabs>
          <w:tab w:val="right" w:leader="dot" w:pos="8306"/>
          <w:tab w:val="clear" w:pos="8296"/>
        </w:tabs>
        <w:spacing w:before="156" w:after="156"/>
        <w:rPr>
          <w:color w:val="auto"/>
          <w:highlight w:val="none"/>
        </w:rPr>
      </w:pPr>
      <w:r>
        <w:rPr>
          <w:color w:val="auto"/>
          <w:highlight w:val="none"/>
        </w:rPr>
        <w:fldChar w:fldCharType="begin"/>
      </w:r>
      <w:r>
        <w:rPr>
          <w:color w:val="auto"/>
          <w:highlight w:val="none"/>
        </w:rPr>
        <w:instrText xml:space="preserve"> HYPERLINK \l "_Toc16455" </w:instrText>
      </w:r>
      <w:r>
        <w:rPr>
          <w:color w:val="auto"/>
          <w:highlight w:val="none"/>
        </w:rPr>
        <w:fldChar w:fldCharType="separate"/>
      </w:r>
      <w:r>
        <w:rPr>
          <w:rFonts w:ascii="宋体" w:hAnsi="宋体" w:cs="宋体"/>
          <w:color w:val="auto"/>
          <w:highlight w:val="none"/>
        </w:rPr>
        <w:t xml:space="preserve">4. </w:t>
      </w:r>
      <w:r>
        <w:rPr>
          <w:color w:val="auto"/>
          <w:highlight w:val="none"/>
        </w:rPr>
        <w:t>交付成果要求</w:t>
      </w:r>
      <w:r>
        <w:rPr>
          <w:color w:val="auto"/>
          <w:highlight w:val="none"/>
        </w:rPr>
        <w:tab/>
      </w:r>
      <w:r>
        <w:rPr>
          <w:color w:val="auto"/>
          <w:highlight w:val="none"/>
        </w:rPr>
        <w:fldChar w:fldCharType="begin"/>
      </w:r>
      <w:r>
        <w:rPr>
          <w:color w:val="auto"/>
          <w:highlight w:val="none"/>
        </w:rPr>
        <w:instrText xml:space="preserve"> PAGEREF _Toc16455 \h </w:instrText>
      </w:r>
      <w:r>
        <w:rPr>
          <w:color w:val="auto"/>
          <w:highlight w:val="none"/>
        </w:rPr>
        <w:fldChar w:fldCharType="separate"/>
      </w:r>
      <w:r>
        <w:rPr>
          <w:color w:val="auto"/>
          <w:highlight w:val="none"/>
        </w:rPr>
        <w:t>- 24 -</w:t>
      </w:r>
      <w:r>
        <w:rPr>
          <w:color w:val="auto"/>
          <w:highlight w:val="none"/>
        </w:rPr>
        <w:fldChar w:fldCharType="end"/>
      </w:r>
      <w:r>
        <w:rPr>
          <w:color w:val="auto"/>
          <w:highlight w:val="none"/>
        </w:rPr>
        <w:fldChar w:fldCharType="end"/>
      </w:r>
    </w:p>
    <w:p w14:paraId="1FC82E47">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"_Toc20637" </w:instrText>
      </w:r>
      <w:r>
        <w:rPr>
          <w:color w:val="auto"/>
          <w:highlight w:val="none"/>
        </w:rPr>
        <w:fldChar w:fldCharType="separate"/>
      </w:r>
      <w:r>
        <w:rPr>
          <w:rFonts w:ascii="宋体" w:hAnsi="宋体" w:cs="宋体"/>
          <w:color w:val="auto"/>
          <w:highlight w:val="none"/>
        </w:rPr>
        <w:t xml:space="preserve">4.1. </w:t>
      </w:r>
      <w:r>
        <w:rPr>
          <w:color w:val="auto"/>
          <w:highlight w:val="none"/>
        </w:rPr>
        <w:t>模型提交成果要求</w:t>
      </w:r>
      <w:r>
        <w:rPr>
          <w:color w:val="auto"/>
          <w:highlight w:val="none"/>
        </w:rPr>
        <w:tab/>
      </w:r>
      <w:r>
        <w:rPr>
          <w:color w:val="auto"/>
          <w:highlight w:val="none"/>
        </w:rPr>
        <w:fldChar w:fldCharType="begin"/>
      </w:r>
      <w:r>
        <w:rPr>
          <w:color w:val="auto"/>
          <w:highlight w:val="none"/>
        </w:rPr>
        <w:instrText xml:space="preserve"> PAGEREF _Toc20637 \h </w:instrText>
      </w:r>
      <w:r>
        <w:rPr>
          <w:color w:val="auto"/>
          <w:highlight w:val="none"/>
        </w:rPr>
        <w:fldChar w:fldCharType="separate"/>
      </w:r>
      <w:r>
        <w:rPr>
          <w:color w:val="auto"/>
          <w:highlight w:val="none"/>
        </w:rPr>
        <w:t>- 24 -</w:t>
      </w:r>
      <w:r>
        <w:rPr>
          <w:color w:val="auto"/>
          <w:highlight w:val="none"/>
        </w:rPr>
        <w:fldChar w:fldCharType="end"/>
      </w:r>
      <w:r>
        <w:rPr>
          <w:color w:val="auto"/>
          <w:highlight w:val="none"/>
        </w:rPr>
        <w:fldChar w:fldCharType="end"/>
      </w:r>
    </w:p>
    <w:p w14:paraId="238589B2">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ascii="宋体" w:hAnsi="宋体" w:cs="宋体"/>
          <w:color w:val="auto"/>
          <w:highlight w:val="none"/>
        </w:rPr>
        <w:t xml:space="preserve">4.2. </w:t>
      </w:r>
      <w:r>
        <w:rPr>
          <w:color w:val="auto"/>
          <w:highlight w:val="none"/>
        </w:rPr>
        <w:t>成果交付格式</w:t>
      </w:r>
      <w:r>
        <w:rPr>
          <w:color w:val="auto"/>
          <w:highlight w:val="none"/>
        </w:rPr>
        <w:tab/>
      </w:r>
      <w:r>
        <w:rPr>
          <w:color w:val="auto"/>
          <w:highlight w:val="none"/>
        </w:rPr>
        <w:fldChar w:fldCharType="begin"/>
      </w:r>
      <w:r>
        <w:rPr>
          <w:color w:val="auto"/>
          <w:highlight w:val="none"/>
        </w:rPr>
        <w:instrText xml:space="preserve"> PAGEREF _Toc29184 \h </w:instrText>
      </w:r>
      <w:r>
        <w:rPr>
          <w:color w:val="auto"/>
          <w:highlight w:val="none"/>
        </w:rPr>
        <w:fldChar w:fldCharType="separate"/>
      </w:r>
      <w:r>
        <w:rPr>
          <w:color w:val="auto"/>
          <w:highlight w:val="none"/>
        </w:rPr>
        <w:t>- 24 -</w:t>
      </w:r>
      <w:r>
        <w:rPr>
          <w:color w:val="auto"/>
          <w:highlight w:val="none"/>
        </w:rPr>
        <w:fldChar w:fldCharType="end"/>
      </w:r>
      <w:r>
        <w:rPr>
          <w:color w:val="auto"/>
          <w:highlight w:val="none"/>
        </w:rPr>
        <w:fldChar w:fldCharType="end"/>
      </w:r>
    </w:p>
    <w:p w14:paraId="369D0919">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"_Toc7253" </w:instrText>
      </w:r>
      <w:r>
        <w:rPr>
          <w:color w:val="auto"/>
          <w:highlight w:val="none"/>
        </w:rPr>
        <w:fldChar w:fldCharType="separate"/>
      </w:r>
      <w:r>
        <w:rPr>
          <w:rFonts w:ascii="宋体" w:hAnsi="宋体" w:cs="宋体"/>
          <w:color w:val="auto"/>
          <w:highlight w:val="none"/>
        </w:rPr>
        <w:t xml:space="preserve">4.3. </w:t>
      </w:r>
      <w:r>
        <w:rPr>
          <w:color w:val="auto"/>
          <w:highlight w:val="none"/>
        </w:rPr>
        <w:t>成果交付内容</w:t>
      </w:r>
      <w:r>
        <w:rPr>
          <w:color w:val="auto"/>
          <w:highlight w:val="none"/>
        </w:rPr>
        <w:tab/>
      </w:r>
      <w:r>
        <w:rPr>
          <w:color w:val="auto"/>
          <w:highlight w:val="none"/>
        </w:rPr>
        <w:fldChar w:fldCharType="begin"/>
      </w:r>
      <w:r>
        <w:rPr>
          <w:color w:val="auto"/>
          <w:highlight w:val="none"/>
        </w:rPr>
        <w:instrText xml:space="preserve"> PAGEREF _Toc7253 \h </w:instrText>
      </w:r>
      <w:r>
        <w:rPr>
          <w:color w:val="auto"/>
          <w:highlight w:val="none"/>
        </w:rPr>
        <w:fldChar w:fldCharType="separate"/>
      </w:r>
      <w:r>
        <w:rPr>
          <w:color w:val="auto"/>
          <w:highlight w:val="none"/>
        </w:rPr>
        <w:t>- 25 -</w:t>
      </w:r>
      <w:r>
        <w:rPr>
          <w:color w:val="auto"/>
          <w:highlight w:val="none"/>
        </w:rPr>
        <w:fldChar w:fldCharType="end"/>
      </w:r>
      <w:r>
        <w:rPr>
          <w:color w:val="auto"/>
          <w:highlight w:val="none"/>
        </w:rPr>
        <w:fldChar w:fldCharType="end"/>
      </w:r>
    </w:p>
    <w:p w14:paraId="576E495B">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"_Toc8392" </w:instrText>
      </w:r>
      <w:r>
        <w:rPr>
          <w:color w:val="auto"/>
          <w:highlight w:val="none"/>
        </w:rPr>
        <w:fldChar w:fldCharType="separate"/>
      </w:r>
      <w:r>
        <w:rPr>
          <w:rFonts w:ascii="宋体" w:hAnsi="宋体" w:cs="宋体"/>
          <w:color w:val="auto"/>
          <w:highlight w:val="none"/>
        </w:rPr>
        <w:t xml:space="preserve">4.4. </w:t>
      </w:r>
      <w:r>
        <w:rPr>
          <w:color w:val="auto"/>
          <w:highlight w:val="none"/>
        </w:rPr>
        <w:t>成果评价</w:t>
      </w:r>
      <w:r>
        <w:rPr>
          <w:color w:val="auto"/>
          <w:highlight w:val="none"/>
        </w:rPr>
        <w:tab/>
      </w:r>
      <w:r>
        <w:rPr>
          <w:color w:val="auto"/>
          <w:highlight w:val="none"/>
        </w:rPr>
        <w:fldChar w:fldCharType="begin"/>
      </w:r>
      <w:r>
        <w:rPr>
          <w:color w:val="auto"/>
          <w:highlight w:val="none"/>
        </w:rPr>
        <w:instrText xml:space="preserve"> PAGEREF _Toc8392 \h </w:instrText>
      </w:r>
      <w:r>
        <w:rPr>
          <w:color w:val="auto"/>
          <w:highlight w:val="none"/>
        </w:rPr>
        <w:fldChar w:fldCharType="separate"/>
      </w:r>
      <w:r>
        <w:rPr>
          <w:color w:val="auto"/>
          <w:highlight w:val="none"/>
        </w:rPr>
        <w:t>- 28 -</w:t>
      </w:r>
      <w:r>
        <w:rPr>
          <w:color w:val="auto"/>
          <w:highlight w:val="none"/>
        </w:rPr>
        <w:fldChar w:fldCharType="end"/>
      </w:r>
      <w:r>
        <w:rPr>
          <w:color w:val="auto"/>
          <w:highlight w:val="none"/>
        </w:rPr>
        <w:fldChar w:fldCharType="end"/>
      </w:r>
    </w:p>
    <w:p w14:paraId="3E1072B9">
      <w:pPr>
        <w:pStyle w:val="38"/>
        <w:tabs>
          <w:tab w:val="right" w:leader="dot" w:pos="8306"/>
          <w:tab w:val="clear" w:pos="8296"/>
        </w:tabs>
        <w:spacing w:before="156" w:after="156"/>
        <w:rPr>
          <w:color w:val="auto"/>
          <w:highlight w:val="none"/>
        </w:rPr>
      </w:pPr>
      <w:r>
        <w:rPr>
          <w:color w:val="auto"/>
          <w:highlight w:val="none"/>
        </w:rPr>
        <w:fldChar w:fldCharType="begin"/>
      </w:r>
      <w:r>
        <w:rPr>
          <w:color w:val="auto"/>
          <w:highlight w:val="none"/>
        </w:rPr>
        <w:instrText xml:space="preserve"> HYPERLINK \l "_Toc15430" </w:instrText>
      </w:r>
      <w:r>
        <w:rPr>
          <w:color w:val="auto"/>
          <w:highlight w:val="none"/>
        </w:rPr>
        <w:fldChar w:fldCharType="separate"/>
      </w:r>
      <w:r>
        <w:rPr>
          <w:rFonts w:ascii="宋体" w:hAnsi="宋体" w:cs="宋体"/>
          <w:color w:val="auto"/>
          <w:highlight w:val="none"/>
        </w:rPr>
        <w:t xml:space="preserve">5. </w:t>
      </w:r>
      <w:r>
        <w:rPr>
          <w:color w:val="auto"/>
          <w:highlight w:val="none"/>
        </w:rPr>
        <w:t>协同平台要求</w:t>
      </w:r>
      <w:r>
        <w:rPr>
          <w:color w:val="auto"/>
          <w:highlight w:val="none"/>
        </w:rPr>
        <w:tab/>
      </w:r>
      <w:r>
        <w:rPr>
          <w:color w:val="auto"/>
          <w:highlight w:val="none"/>
        </w:rPr>
        <w:fldChar w:fldCharType="begin"/>
      </w:r>
      <w:r>
        <w:rPr>
          <w:color w:val="auto"/>
          <w:highlight w:val="none"/>
        </w:rPr>
        <w:instrText xml:space="preserve"> PAGEREF _Toc15430 \h </w:instrText>
      </w:r>
      <w:r>
        <w:rPr>
          <w:color w:val="auto"/>
          <w:highlight w:val="none"/>
        </w:rPr>
        <w:fldChar w:fldCharType="separate"/>
      </w:r>
      <w:r>
        <w:rPr>
          <w:color w:val="auto"/>
          <w:highlight w:val="none"/>
        </w:rPr>
        <w:t>- 31 -</w:t>
      </w:r>
      <w:r>
        <w:rPr>
          <w:color w:val="auto"/>
          <w:highlight w:val="none"/>
        </w:rPr>
        <w:fldChar w:fldCharType="end"/>
      </w:r>
      <w:r>
        <w:rPr>
          <w:color w:val="auto"/>
          <w:highlight w:val="none"/>
        </w:rPr>
        <w:fldChar w:fldCharType="end"/>
      </w:r>
    </w:p>
    <w:p w14:paraId="17D20893">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"_Toc5561" </w:instrText>
      </w:r>
      <w:r>
        <w:rPr>
          <w:color w:val="auto"/>
          <w:highlight w:val="none"/>
        </w:rPr>
        <w:fldChar w:fldCharType="separate"/>
      </w:r>
      <w:r>
        <w:rPr>
          <w:rFonts w:ascii="宋体" w:hAnsi="宋体" w:cs="宋体"/>
          <w:color w:val="auto"/>
          <w:highlight w:val="none"/>
        </w:rPr>
        <w:t xml:space="preserve">5.1. </w:t>
      </w:r>
      <w:r>
        <w:rPr>
          <w:color w:val="auto"/>
          <w:highlight w:val="none"/>
        </w:rPr>
        <w:t>一般规定</w:t>
      </w:r>
      <w:r>
        <w:rPr>
          <w:color w:val="auto"/>
          <w:highlight w:val="none"/>
        </w:rPr>
        <w:tab/>
      </w:r>
      <w:r>
        <w:rPr>
          <w:color w:val="auto"/>
          <w:highlight w:val="none"/>
        </w:rPr>
        <w:fldChar w:fldCharType="begin"/>
      </w:r>
      <w:r>
        <w:rPr>
          <w:color w:val="auto"/>
          <w:highlight w:val="none"/>
        </w:rPr>
        <w:instrText xml:space="preserve"> PAGEREF _Toc5561 \h </w:instrText>
      </w:r>
      <w:r>
        <w:rPr>
          <w:color w:val="auto"/>
          <w:highlight w:val="none"/>
        </w:rPr>
        <w:fldChar w:fldCharType="separate"/>
      </w:r>
      <w:r>
        <w:rPr>
          <w:color w:val="auto"/>
          <w:highlight w:val="none"/>
        </w:rPr>
        <w:t>- 31 -</w:t>
      </w:r>
      <w:r>
        <w:rPr>
          <w:color w:val="auto"/>
          <w:highlight w:val="none"/>
        </w:rPr>
        <w:fldChar w:fldCharType="end"/>
      </w:r>
      <w:r>
        <w:rPr>
          <w:color w:val="auto"/>
          <w:highlight w:val="none"/>
        </w:rPr>
        <w:fldChar w:fldCharType="end"/>
      </w:r>
    </w:p>
    <w:p w14:paraId="41ECDCA3">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"_Toc21068" </w:instrText>
      </w:r>
      <w:r>
        <w:rPr>
          <w:color w:val="auto"/>
          <w:highlight w:val="none"/>
        </w:rPr>
        <w:fldChar w:fldCharType="separate"/>
      </w:r>
      <w:r>
        <w:rPr>
          <w:rFonts w:ascii="宋体" w:hAnsi="宋体" w:cs="宋体"/>
          <w:color w:val="auto"/>
          <w:highlight w:val="none"/>
        </w:rPr>
        <w:t xml:space="preserve">5.2. </w:t>
      </w:r>
      <w:r>
        <w:rPr>
          <w:color w:val="auto"/>
          <w:highlight w:val="none"/>
        </w:rPr>
        <w:t>BIM协同平台架构</w:t>
      </w:r>
      <w:r>
        <w:rPr>
          <w:color w:val="auto"/>
          <w:highlight w:val="none"/>
        </w:rPr>
        <w:tab/>
      </w:r>
      <w:r>
        <w:rPr>
          <w:color w:val="auto"/>
          <w:highlight w:val="none"/>
        </w:rPr>
        <w:fldChar w:fldCharType="begin"/>
      </w:r>
      <w:r>
        <w:rPr>
          <w:color w:val="auto"/>
          <w:highlight w:val="none"/>
        </w:rPr>
        <w:instrText xml:space="preserve"> PAGEREF _Toc21068 \h </w:instrText>
      </w:r>
      <w:r>
        <w:rPr>
          <w:color w:val="auto"/>
          <w:highlight w:val="none"/>
        </w:rPr>
        <w:fldChar w:fldCharType="separate"/>
      </w:r>
      <w:r>
        <w:rPr>
          <w:color w:val="auto"/>
          <w:highlight w:val="none"/>
        </w:rPr>
        <w:t>- 31 -</w:t>
      </w:r>
      <w:r>
        <w:rPr>
          <w:color w:val="auto"/>
          <w:highlight w:val="none"/>
        </w:rPr>
        <w:fldChar w:fldCharType="end"/>
      </w:r>
      <w:r>
        <w:rPr>
          <w:color w:val="auto"/>
          <w:highlight w:val="none"/>
        </w:rPr>
        <w:fldChar w:fldCharType="end"/>
      </w:r>
    </w:p>
    <w:p w14:paraId="34935BB9">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"_Toc7098" </w:instrText>
      </w:r>
      <w:r>
        <w:rPr>
          <w:color w:val="auto"/>
          <w:highlight w:val="none"/>
        </w:rPr>
        <w:fldChar w:fldCharType="separate"/>
      </w:r>
      <w:r>
        <w:rPr>
          <w:rFonts w:ascii="宋体" w:hAnsi="宋体" w:cs="宋体"/>
          <w:color w:val="auto"/>
          <w:highlight w:val="none"/>
        </w:rPr>
        <w:t xml:space="preserve">5.3. </w:t>
      </w:r>
      <w:r>
        <w:rPr>
          <w:color w:val="auto"/>
          <w:highlight w:val="none"/>
        </w:rPr>
        <w:t>协同平台的功能</w:t>
      </w:r>
      <w:r>
        <w:rPr>
          <w:color w:val="auto"/>
          <w:highlight w:val="none"/>
        </w:rPr>
        <w:tab/>
      </w:r>
      <w:r>
        <w:rPr>
          <w:color w:val="auto"/>
          <w:highlight w:val="none"/>
        </w:rPr>
        <w:fldChar w:fldCharType="begin"/>
      </w:r>
      <w:r>
        <w:rPr>
          <w:color w:val="auto"/>
          <w:highlight w:val="none"/>
        </w:rPr>
        <w:instrText xml:space="preserve"> PAGEREF _Toc7098 \h </w:instrText>
      </w:r>
      <w:r>
        <w:rPr>
          <w:color w:val="auto"/>
          <w:highlight w:val="none"/>
        </w:rPr>
        <w:fldChar w:fldCharType="separate"/>
      </w:r>
      <w:r>
        <w:rPr>
          <w:color w:val="auto"/>
          <w:highlight w:val="none"/>
        </w:rPr>
        <w:t>- 32 -</w:t>
      </w:r>
      <w:r>
        <w:rPr>
          <w:color w:val="auto"/>
          <w:highlight w:val="none"/>
        </w:rPr>
        <w:fldChar w:fldCharType="end"/>
      </w:r>
      <w:r>
        <w:rPr>
          <w:color w:val="auto"/>
          <w:highlight w:val="none"/>
        </w:rPr>
        <w:fldChar w:fldCharType="end"/>
      </w:r>
    </w:p>
    <w:p w14:paraId="1E71AE09">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"_Toc29741" </w:instrText>
      </w:r>
      <w:r>
        <w:rPr>
          <w:color w:val="auto"/>
          <w:highlight w:val="none"/>
        </w:rPr>
        <w:fldChar w:fldCharType="separate"/>
      </w:r>
      <w:r>
        <w:rPr>
          <w:rFonts w:ascii="宋体" w:hAnsi="宋体" w:cs="宋体"/>
          <w:color w:val="auto"/>
          <w:highlight w:val="none"/>
        </w:rPr>
        <w:t xml:space="preserve">5.4. </w:t>
      </w:r>
      <w:r>
        <w:rPr>
          <w:color w:val="auto"/>
          <w:highlight w:val="none"/>
        </w:rPr>
        <w:t>各参与方协同工作职责与工作内容</w:t>
      </w:r>
      <w:r>
        <w:rPr>
          <w:color w:val="auto"/>
          <w:highlight w:val="none"/>
        </w:rPr>
        <w:tab/>
      </w:r>
      <w:r>
        <w:rPr>
          <w:color w:val="auto"/>
          <w:highlight w:val="none"/>
        </w:rPr>
        <w:fldChar w:fldCharType="begin"/>
      </w:r>
      <w:r>
        <w:rPr>
          <w:color w:val="auto"/>
          <w:highlight w:val="none"/>
        </w:rPr>
        <w:instrText xml:space="preserve"> PAGEREF _Toc29741 \h </w:instrText>
      </w:r>
      <w:r>
        <w:rPr>
          <w:color w:val="auto"/>
          <w:highlight w:val="none"/>
        </w:rPr>
        <w:fldChar w:fldCharType="separate"/>
      </w:r>
      <w:r>
        <w:rPr>
          <w:color w:val="auto"/>
          <w:highlight w:val="none"/>
        </w:rPr>
        <w:t>- 32 -</w:t>
      </w:r>
      <w:r>
        <w:rPr>
          <w:color w:val="auto"/>
          <w:highlight w:val="none"/>
        </w:rPr>
        <w:fldChar w:fldCharType="end"/>
      </w:r>
      <w:r>
        <w:rPr>
          <w:color w:val="auto"/>
          <w:highlight w:val="none"/>
        </w:rPr>
        <w:fldChar w:fldCharType="end"/>
      </w:r>
    </w:p>
    <w:p w14:paraId="66DCF591">
      <w:pPr>
        <w:pStyle w:val="38"/>
        <w:tabs>
          <w:tab w:val="right" w:leader="dot" w:pos="8306"/>
          <w:tab w:val="clear" w:pos="8296"/>
        </w:tabs>
        <w:spacing w:before="156" w:after="156"/>
        <w:rPr>
          <w:color w:val="auto"/>
          <w:highlight w:val="none"/>
        </w:rPr>
      </w:pPr>
      <w:r>
        <w:rPr>
          <w:color w:val="auto"/>
          <w:highlight w:val="none"/>
        </w:rPr>
        <w:fldChar w:fldCharType="begin"/>
      </w:r>
      <w:r>
        <w:rPr>
          <w:color w:val="auto"/>
          <w:highlight w:val="none"/>
        </w:rPr>
        <w:instrText xml:space="preserve"> HYPERLINK \l "_Toc30224" </w:instrText>
      </w:r>
      <w:r>
        <w:rPr>
          <w:color w:val="auto"/>
          <w:highlight w:val="none"/>
        </w:rPr>
        <w:fldChar w:fldCharType="separate"/>
      </w:r>
      <w:r>
        <w:rPr>
          <w:rFonts w:ascii="宋体" w:hAnsi="宋体" w:cs="宋体"/>
          <w:color w:val="auto"/>
          <w:highlight w:val="none"/>
        </w:rPr>
        <w:t xml:space="preserve">6. </w:t>
      </w:r>
      <w:r>
        <w:rPr>
          <w:color w:val="auto"/>
          <w:highlight w:val="none"/>
        </w:rPr>
        <w:t>软件标准</w:t>
      </w:r>
      <w:r>
        <w:rPr>
          <w:color w:val="auto"/>
          <w:highlight w:val="none"/>
        </w:rPr>
        <w:tab/>
      </w:r>
      <w:r>
        <w:rPr>
          <w:color w:val="auto"/>
          <w:highlight w:val="none"/>
        </w:rPr>
        <w:fldChar w:fldCharType="begin"/>
      </w:r>
      <w:r>
        <w:rPr>
          <w:color w:val="auto"/>
          <w:highlight w:val="none"/>
        </w:rPr>
        <w:instrText xml:space="preserve"> PAGEREF _Toc30224 \h </w:instrText>
      </w:r>
      <w:r>
        <w:rPr>
          <w:color w:val="auto"/>
          <w:highlight w:val="none"/>
        </w:rPr>
        <w:fldChar w:fldCharType="separate"/>
      </w:r>
      <w:r>
        <w:rPr>
          <w:color w:val="auto"/>
          <w:highlight w:val="none"/>
        </w:rPr>
        <w:t>- 34 -</w:t>
      </w:r>
      <w:r>
        <w:rPr>
          <w:color w:val="auto"/>
          <w:highlight w:val="none"/>
        </w:rPr>
        <w:fldChar w:fldCharType="end"/>
      </w:r>
      <w:r>
        <w:rPr>
          <w:color w:val="auto"/>
          <w:highlight w:val="none"/>
        </w:rPr>
        <w:fldChar w:fldCharType="end"/>
      </w:r>
    </w:p>
    <w:p w14:paraId="38021456">
      <w:pPr>
        <w:pStyle w:val="38"/>
        <w:tabs>
          <w:tab w:val="right" w:leader="dot" w:pos="8306"/>
          <w:tab w:val="clear" w:pos="8296"/>
        </w:tabs>
        <w:spacing w:before="156" w:after="156"/>
        <w:rPr>
          <w:color w:val="auto"/>
          <w:highlight w:val="none"/>
        </w:rPr>
      </w:pPr>
      <w:r>
        <w:rPr>
          <w:color w:val="auto"/>
          <w:highlight w:val="none"/>
        </w:rPr>
        <w:fldChar w:fldCharType="begin"/>
      </w:r>
      <w:r>
        <w:rPr>
          <w:color w:val="auto"/>
          <w:highlight w:val="none"/>
        </w:rPr>
        <w:instrText xml:space="preserve"> HYPERLINK \l "_Toc19574" </w:instrText>
      </w:r>
      <w:r>
        <w:rPr>
          <w:color w:val="auto"/>
          <w:highlight w:val="none"/>
        </w:rPr>
        <w:fldChar w:fldCharType="separate"/>
      </w:r>
      <w:r>
        <w:rPr>
          <w:rFonts w:ascii="宋体" w:hAnsi="宋体" w:cs="宋体"/>
          <w:color w:val="auto"/>
          <w:highlight w:val="none"/>
        </w:rPr>
        <w:t xml:space="preserve">7. </w:t>
      </w:r>
      <w:r>
        <w:rPr>
          <w:color w:val="auto"/>
          <w:highlight w:val="none"/>
        </w:rPr>
        <w:t>全地形BIM应用及控制要求</w:t>
      </w:r>
      <w:r>
        <w:rPr>
          <w:color w:val="auto"/>
          <w:highlight w:val="none"/>
        </w:rPr>
        <w:tab/>
      </w:r>
      <w:r>
        <w:rPr>
          <w:color w:val="auto"/>
          <w:highlight w:val="none"/>
        </w:rPr>
        <w:fldChar w:fldCharType="begin"/>
      </w:r>
      <w:r>
        <w:rPr>
          <w:color w:val="auto"/>
          <w:highlight w:val="none"/>
        </w:rPr>
        <w:instrText xml:space="preserve"> PAGEREF _Toc19574 \h </w:instrText>
      </w:r>
      <w:r>
        <w:rPr>
          <w:color w:val="auto"/>
          <w:highlight w:val="none"/>
        </w:rPr>
        <w:fldChar w:fldCharType="separate"/>
      </w:r>
      <w:r>
        <w:rPr>
          <w:color w:val="auto"/>
          <w:highlight w:val="none"/>
        </w:rPr>
        <w:t>- 35 -</w:t>
      </w:r>
      <w:r>
        <w:rPr>
          <w:color w:val="auto"/>
          <w:highlight w:val="none"/>
        </w:rPr>
        <w:fldChar w:fldCharType="end"/>
      </w:r>
      <w:r>
        <w:rPr>
          <w:color w:val="auto"/>
          <w:highlight w:val="none"/>
        </w:rPr>
        <w:fldChar w:fldCharType="end"/>
      </w:r>
    </w:p>
    <w:p w14:paraId="7EDA1689">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"_Toc21072" </w:instrText>
      </w:r>
      <w:r>
        <w:rPr>
          <w:color w:val="auto"/>
          <w:highlight w:val="none"/>
        </w:rPr>
        <w:fldChar w:fldCharType="separate"/>
      </w:r>
      <w:r>
        <w:rPr>
          <w:rFonts w:ascii="宋体" w:hAnsi="宋体" w:cs="宋体"/>
          <w:color w:val="auto"/>
          <w:highlight w:val="none"/>
        </w:rPr>
        <w:t xml:space="preserve">7.1. </w:t>
      </w:r>
      <w:r>
        <w:rPr>
          <w:color w:val="auto"/>
          <w:highlight w:val="none"/>
        </w:rPr>
        <w:t>勘察阶段</w:t>
      </w:r>
      <w:r>
        <w:rPr>
          <w:color w:val="auto"/>
          <w:highlight w:val="none"/>
        </w:rPr>
        <w:tab/>
      </w:r>
      <w:r>
        <w:rPr>
          <w:color w:val="auto"/>
          <w:highlight w:val="none"/>
        </w:rPr>
        <w:fldChar w:fldCharType="begin"/>
      </w:r>
      <w:r>
        <w:rPr>
          <w:color w:val="auto"/>
          <w:highlight w:val="none"/>
        </w:rPr>
        <w:instrText xml:space="preserve"> PAGEREF _Toc21072 \h </w:instrText>
      </w:r>
      <w:r>
        <w:rPr>
          <w:color w:val="auto"/>
          <w:highlight w:val="none"/>
        </w:rPr>
        <w:fldChar w:fldCharType="separate"/>
      </w:r>
      <w:r>
        <w:rPr>
          <w:color w:val="auto"/>
          <w:highlight w:val="none"/>
        </w:rPr>
        <w:t>- 35 -</w:t>
      </w:r>
      <w:r>
        <w:rPr>
          <w:color w:val="auto"/>
          <w:highlight w:val="none"/>
        </w:rPr>
        <w:fldChar w:fldCharType="end"/>
      </w:r>
      <w:r>
        <w:rPr>
          <w:color w:val="auto"/>
          <w:highlight w:val="none"/>
        </w:rPr>
        <w:fldChar w:fldCharType="end"/>
      </w:r>
    </w:p>
    <w:p w14:paraId="580DF2A8">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"_Toc16606" </w:instrText>
      </w:r>
      <w:r>
        <w:rPr>
          <w:color w:val="auto"/>
          <w:highlight w:val="none"/>
        </w:rPr>
        <w:fldChar w:fldCharType="separate"/>
      </w:r>
      <w:r>
        <w:rPr>
          <w:rFonts w:ascii="宋体" w:hAnsi="宋体" w:cs="宋体"/>
          <w:color w:val="auto"/>
          <w:highlight w:val="none"/>
        </w:rPr>
        <w:t xml:space="preserve">7.2. </w:t>
      </w:r>
      <w:r>
        <w:rPr>
          <w:color w:val="auto"/>
          <w:highlight w:val="none"/>
        </w:rPr>
        <w:t>设计阶段</w:t>
      </w:r>
      <w:r>
        <w:rPr>
          <w:color w:val="auto"/>
          <w:highlight w:val="none"/>
        </w:rPr>
        <w:tab/>
      </w:r>
      <w:r>
        <w:rPr>
          <w:color w:val="auto"/>
          <w:highlight w:val="none"/>
        </w:rPr>
        <w:fldChar w:fldCharType="begin"/>
      </w:r>
      <w:r>
        <w:rPr>
          <w:color w:val="auto"/>
          <w:highlight w:val="none"/>
        </w:rPr>
        <w:instrText xml:space="preserve"> PAGEREF _Toc16606 \h </w:instrText>
      </w:r>
      <w:r>
        <w:rPr>
          <w:color w:val="auto"/>
          <w:highlight w:val="none"/>
        </w:rPr>
        <w:fldChar w:fldCharType="separate"/>
      </w:r>
      <w:r>
        <w:rPr>
          <w:color w:val="auto"/>
          <w:highlight w:val="none"/>
        </w:rPr>
        <w:t>- 36 -</w:t>
      </w:r>
      <w:r>
        <w:rPr>
          <w:color w:val="auto"/>
          <w:highlight w:val="none"/>
        </w:rPr>
        <w:fldChar w:fldCharType="end"/>
      </w:r>
      <w:r>
        <w:rPr>
          <w:color w:val="auto"/>
          <w:highlight w:val="none"/>
        </w:rPr>
        <w:fldChar w:fldCharType="end"/>
      </w:r>
    </w:p>
    <w:p w14:paraId="471FD647">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"_Toc24467" </w:instrText>
      </w:r>
      <w:r>
        <w:rPr>
          <w:color w:val="auto"/>
          <w:highlight w:val="none"/>
        </w:rPr>
        <w:fldChar w:fldCharType="separate"/>
      </w:r>
      <w:r>
        <w:rPr>
          <w:rFonts w:ascii="宋体" w:hAnsi="宋体" w:cs="宋体"/>
          <w:color w:val="auto"/>
          <w:highlight w:val="none"/>
        </w:rPr>
        <w:t xml:space="preserve">7.3. </w:t>
      </w:r>
      <w:r>
        <w:rPr>
          <w:color w:val="auto"/>
          <w:highlight w:val="none"/>
        </w:rPr>
        <w:t>施工阶段</w:t>
      </w:r>
      <w:r>
        <w:rPr>
          <w:color w:val="auto"/>
          <w:highlight w:val="none"/>
        </w:rPr>
        <w:tab/>
      </w:r>
      <w:r>
        <w:rPr>
          <w:color w:val="auto"/>
          <w:highlight w:val="none"/>
        </w:rPr>
        <w:fldChar w:fldCharType="begin"/>
      </w:r>
      <w:r>
        <w:rPr>
          <w:color w:val="auto"/>
          <w:highlight w:val="none"/>
        </w:rPr>
        <w:instrText xml:space="preserve"> PAGEREF _Toc24467 \h </w:instrText>
      </w:r>
      <w:r>
        <w:rPr>
          <w:color w:val="auto"/>
          <w:highlight w:val="none"/>
        </w:rPr>
        <w:fldChar w:fldCharType="separate"/>
      </w:r>
      <w:r>
        <w:rPr>
          <w:color w:val="auto"/>
          <w:highlight w:val="none"/>
        </w:rPr>
        <w:t>- 39 -</w:t>
      </w:r>
      <w:r>
        <w:rPr>
          <w:color w:val="auto"/>
          <w:highlight w:val="none"/>
        </w:rPr>
        <w:fldChar w:fldCharType="end"/>
      </w:r>
      <w:r>
        <w:rPr>
          <w:color w:val="auto"/>
          <w:highlight w:val="none"/>
        </w:rPr>
        <w:fldChar w:fldCharType="end"/>
      </w:r>
    </w:p>
    <w:p w14:paraId="0868E389">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"_Toc17479" </w:instrText>
      </w:r>
      <w:r>
        <w:rPr>
          <w:color w:val="auto"/>
          <w:highlight w:val="none"/>
        </w:rPr>
        <w:fldChar w:fldCharType="separate"/>
      </w:r>
      <w:r>
        <w:rPr>
          <w:rFonts w:ascii="宋体" w:hAnsi="宋体" w:cs="宋体"/>
          <w:color w:val="auto"/>
          <w:highlight w:val="none"/>
        </w:rPr>
        <w:t xml:space="preserve">7.4. </w:t>
      </w:r>
      <w:r>
        <w:rPr>
          <w:color w:val="auto"/>
          <w:highlight w:val="none"/>
        </w:rPr>
        <w:t>竣工阶段</w:t>
      </w:r>
      <w:r>
        <w:rPr>
          <w:color w:val="auto"/>
          <w:highlight w:val="none"/>
        </w:rPr>
        <w:tab/>
      </w:r>
      <w:r>
        <w:rPr>
          <w:color w:val="auto"/>
          <w:highlight w:val="none"/>
        </w:rPr>
        <w:fldChar w:fldCharType="begin"/>
      </w:r>
      <w:r>
        <w:rPr>
          <w:color w:val="auto"/>
          <w:highlight w:val="none"/>
        </w:rPr>
        <w:instrText xml:space="preserve"> PAGEREF _Toc17479 \h </w:instrText>
      </w:r>
      <w:r>
        <w:rPr>
          <w:color w:val="auto"/>
          <w:highlight w:val="none"/>
        </w:rPr>
        <w:fldChar w:fldCharType="separate"/>
      </w:r>
      <w:r>
        <w:rPr>
          <w:color w:val="auto"/>
          <w:highlight w:val="none"/>
        </w:rPr>
        <w:t>- 41 -</w:t>
      </w:r>
      <w:r>
        <w:rPr>
          <w:color w:val="auto"/>
          <w:highlight w:val="none"/>
        </w:rPr>
        <w:fldChar w:fldCharType="end"/>
      </w:r>
      <w:r>
        <w:rPr>
          <w:color w:val="auto"/>
          <w:highlight w:val="none"/>
        </w:rPr>
        <w:fldChar w:fldCharType="end"/>
      </w:r>
    </w:p>
    <w:p w14:paraId="48277871">
      <w:pPr>
        <w:pStyle w:val="38"/>
        <w:tabs>
          <w:tab w:val="right" w:leader="dot" w:pos="8306"/>
          <w:tab w:val="clear" w:pos="8296"/>
        </w:tabs>
        <w:spacing w:before="156" w:after="156"/>
        <w:rPr>
          <w:color w:val="auto"/>
          <w:highlight w:val="none"/>
        </w:rPr>
      </w:pPr>
      <w:r>
        <w:rPr>
          <w:color w:val="auto"/>
          <w:highlight w:val="none"/>
        </w:rPr>
        <w:fldChar w:fldCharType="begin"/>
      </w:r>
      <w:r>
        <w:rPr>
          <w:color w:val="auto"/>
          <w:highlight w:val="none"/>
        </w:rPr>
        <w:instrText xml:space="preserve"> HYPERLINK \l "_Toc5091" </w:instrText>
      </w:r>
      <w:r>
        <w:rPr>
          <w:color w:val="auto"/>
          <w:highlight w:val="none"/>
        </w:rPr>
        <w:fldChar w:fldCharType="separate"/>
      </w:r>
      <w:r>
        <w:rPr>
          <w:rFonts w:eastAsia="黑体" w:cs="Times New Roman"/>
          <w:bCs/>
          <w:color w:val="auto"/>
          <w:kern w:val="44"/>
          <w:szCs w:val="44"/>
          <w:highlight w:val="none"/>
        </w:rPr>
        <w:t>附表</w:t>
      </w:r>
      <w:r>
        <w:rPr>
          <w:color w:val="auto"/>
          <w:highlight w:val="none"/>
        </w:rPr>
        <w:tab/>
      </w:r>
      <w:r>
        <w:rPr>
          <w:color w:val="auto"/>
          <w:highlight w:val="none"/>
        </w:rPr>
        <w:fldChar w:fldCharType="begin"/>
      </w:r>
      <w:r>
        <w:rPr>
          <w:color w:val="auto"/>
          <w:highlight w:val="none"/>
        </w:rPr>
        <w:instrText xml:space="preserve"> PAGEREF _Toc5091 \h </w:instrText>
      </w:r>
      <w:r>
        <w:rPr>
          <w:color w:val="auto"/>
          <w:highlight w:val="none"/>
        </w:rPr>
        <w:fldChar w:fldCharType="separate"/>
      </w:r>
      <w:r>
        <w:rPr>
          <w:color w:val="auto"/>
          <w:highlight w:val="none"/>
        </w:rPr>
        <w:t>- 42 -</w:t>
      </w:r>
      <w:r>
        <w:rPr>
          <w:color w:val="auto"/>
          <w:highlight w:val="none"/>
        </w:rPr>
        <w:fldChar w:fldCharType="end"/>
      </w:r>
      <w:r>
        <w:rPr>
          <w:color w:val="auto"/>
          <w:highlight w:val="none"/>
        </w:rPr>
        <w:fldChar w:fldCharType="end"/>
      </w:r>
    </w:p>
    <w:p w14:paraId="34532EFE">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"_Toc11093" </w:instrText>
      </w:r>
      <w:r>
        <w:rPr>
          <w:color w:val="auto"/>
          <w:highlight w:val="none"/>
        </w:rPr>
        <w:fldChar w:fldCharType="separate"/>
      </w:r>
      <w:r>
        <w:rPr>
          <w:rFonts w:eastAsia="黑体" w:cs="Times New Roman"/>
          <w:bCs/>
          <w:color w:val="auto"/>
          <w:highlight w:val="none"/>
        </w:rPr>
        <w:t>附表1  BIM项目工作职责分配表</w:t>
      </w:r>
      <w:r>
        <w:rPr>
          <w:color w:val="auto"/>
          <w:highlight w:val="none"/>
        </w:rPr>
        <w:tab/>
      </w:r>
      <w:r>
        <w:rPr>
          <w:color w:val="auto"/>
          <w:highlight w:val="none"/>
        </w:rPr>
        <w:fldChar w:fldCharType="begin"/>
      </w:r>
      <w:r>
        <w:rPr>
          <w:color w:val="auto"/>
          <w:highlight w:val="none"/>
        </w:rPr>
        <w:instrText xml:space="preserve"> PAGEREF _Toc11093 \h </w:instrText>
      </w:r>
      <w:r>
        <w:rPr>
          <w:color w:val="auto"/>
          <w:highlight w:val="none"/>
        </w:rPr>
        <w:fldChar w:fldCharType="separate"/>
      </w:r>
      <w:r>
        <w:rPr>
          <w:color w:val="auto"/>
          <w:highlight w:val="none"/>
        </w:rPr>
        <w:t>- 42 -</w:t>
      </w:r>
      <w:r>
        <w:rPr>
          <w:color w:val="auto"/>
          <w:highlight w:val="none"/>
        </w:rPr>
        <w:fldChar w:fldCharType="end"/>
      </w:r>
      <w:r>
        <w:rPr>
          <w:color w:val="auto"/>
          <w:highlight w:val="none"/>
        </w:rPr>
        <w:fldChar w:fldCharType="end"/>
      </w:r>
    </w:p>
    <w:p w14:paraId="4B949C78">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"_Toc5089" </w:instrText>
      </w:r>
      <w:r>
        <w:rPr>
          <w:color w:val="auto"/>
          <w:highlight w:val="none"/>
        </w:rPr>
        <w:fldChar w:fldCharType="separate"/>
      </w:r>
      <w:r>
        <w:rPr>
          <w:rFonts w:eastAsia="黑体" w:cs="Times New Roman"/>
          <w:bCs/>
          <w:color w:val="auto"/>
          <w:highlight w:val="none"/>
        </w:rPr>
        <w:t>附表2  各阶段BIM实施总计划样表</w:t>
      </w:r>
      <w:r>
        <w:rPr>
          <w:color w:val="auto"/>
          <w:highlight w:val="none"/>
        </w:rPr>
        <w:tab/>
      </w:r>
      <w:r>
        <w:rPr>
          <w:color w:val="auto"/>
          <w:highlight w:val="none"/>
        </w:rPr>
        <w:fldChar w:fldCharType="begin"/>
      </w:r>
      <w:r>
        <w:rPr>
          <w:color w:val="auto"/>
          <w:highlight w:val="none"/>
        </w:rPr>
        <w:instrText xml:space="preserve"> PAGEREF _Toc5089 \h </w:instrText>
      </w:r>
      <w:r>
        <w:rPr>
          <w:color w:val="auto"/>
          <w:highlight w:val="none"/>
        </w:rPr>
        <w:fldChar w:fldCharType="separate"/>
      </w:r>
      <w:r>
        <w:rPr>
          <w:color w:val="auto"/>
          <w:highlight w:val="none"/>
        </w:rPr>
        <w:t>- 45 -</w:t>
      </w:r>
      <w:r>
        <w:rPr>
          <w:color w:val="auto"/>
          <w:highlight w:val="none"/>
        </w:rPr>
        <w:fldChar w:fldCharType="end"/>
      </w:r>
      <w:r>
        <w:rPr>
          <w:color w:val="auto"/>
          <w:highlight w:val="none"/>
        </w:rPr>
        <w:fldChar w:fldCharType="end"/>
      </w:r>
    </w:p>
    <w:p w14:paraId="0D2330C7">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"_Toc18567" </w:instrText>
      </w:r>
      <w:r>
        <w:rPr>
          <w:color w:val="auto"/>
          <w:highlight w:val="none"/>
        </w:rPr>
        <w:fldChar w:fldCharType="separate"/>
      </w:r>
      <w:r>
        <w:rPr>
          <w:rFonts w:eastAsia="黑体" w:cs="Times New Roman"/>
          <w:bCs/>
          <w:color w:val="auto"/>
          <w:highlight w:val="none"/>
        </w:rPr>
        <w:t>附表3  各阶段BIM</w:t>
      </w:r>
      <w:r>
        <w:rPr>
          <w:rFonts w:hint="eastAsia" w:eastAsia="黑体" w:cs="Times New Roman"/>
          <w:bCs/>
          <w:color w:val="auto"/>
          <w:highlight w:val="none"/>
        </w:rPr>
        <w:t>模型精度</w:t>
      </w:r>
      <w:r>
        <w:rPr>
          <w:rFonts w:eastAsia="黑体" w:cs="Times New Roman"/>
          <w:bCs/>
          <w:color w:val="auto"/>
          <w:highlight w:val="none"/>
        </w:rPr>
        <w:t>要求</w:t>
      </w:r>
      <w:r>
        <w:rPr>
          <w:color w:val="auto"/>
          <w:highlight w:val="none"/>
        </w:rPr>
        <w:tab/>
      </w:r>
      <w:r>
        <w:rPr>
          <w:color w:val="auto"/>
          <w:highlight w:val="none"/>
        </w:rPr>
        <w:fldChar w:fldCharType="begin"/>
      </w:r>
      <w:r>
        <w:rPr>
          <w:color w:val="auto"/>
          <w:highlight w:val="none"/>
        </w:rPr>
        <w:instrText xml:space="preserve"> PAGEREF _Toc18567 \h </w:instrText>
      </w:r>
      <w:r>
        <w:rPr>
          <w:color w:val="auto"/>
          <w:highlight w:val="none"/>
        </w:rPr>
        <w:fldChar w:fldCharType="separate"/>
      </w:r>
      <w:r>
        <w:rPr>
          <w:color w:val="auto"/>
          <w:highlight w:val="none"/>
        </w:rPr>
        <w:t>- 47 -</w:t>
      </w:r>
      <w:r>
        <w:rPr>
          <w:color w:val="auto"/>
          <w:highlight w:val="none"/>
        </w:rPr>
        <w:fldChar w:fldCharType="end"/>
      </w:r>
      <w:r>
        <w:rPr>
          <w:color w:val="auto"/>
          <w:highlight w:val="none"/>
        </w:rPr>
        <w:fldChar w:fldCharType="end"/>
      </w:r>
    </w:p>
    <w:p w14:paraId="2AD92BAE">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"_Toc12007" </w:instrText>
      </w:r>
      <w:r>
        <w:rPr>
          <w:color w:val="auto"/>
          <w:highlight w:val="none"/>
        </w:rPr>
        <w:fldChar w:fldCharType="separate"/>
      </w:r>
      <w:r>
        <w:rPr>
          <w:rFonts w:eastAsia="黑体" w:cs="Times New Roman"/>
          <w:bCs/>
          <w:color w:val="auto"/>
          <w:highlight w:val="none"/>
        </w:rPr>
        <w:t xml:space="preserve">附表4  </w:t>
      </w:r>
      <w:r>
        <w:rPr>
          <w:rFonts w:hint="eastAsia" w:eastAsia="黑体" w:cs="Times New Roman"/>
          <w:bCs/>
          <w:color w:val="auto"/>
          <w:highlight w:val="none"/>
        </w:rPr>
        <w:t>总协调方</w:t>
      </w:r>
      <w:r>
        <w:rPr>
          <w:rFonts w:eastAsia="黑体" w:cs="Times New Roman"/>
          <w:bCs/>
          <w:color w:val="auto"/>
          <w:highlight w:val="none"/>
        </w:rPr>
        <w:t>各阶段BIM</w:t>
      </w:r>
      <w:r>
        <w:rPr>
          <w:rFonts w:hint="eastAsia" w:eastAsia="黑体" w:cs="Times New Roman"/>
          <w:bCs/>
          <w:color w:val="auto"/>
          <w:highlight w:val="none"/>
        </w:rPr>
        <w:t>模型审查</w:t>
      </w:r>
      <w:r>
        <w:rPr>
          <w:rFonts w:eastAsia="黑体" w:cs="Times New Roman"/>
          <w:bCs/>
          <w:color w:val="auto"/>
          <w:highlight w:val="none"/>
        </w:rPr>
        <w:t>要求</w:t>
      </w:r>
      <w:r>
        <w:rPr>
          <w:color w:val="auto"/>
          <w:highlight w:val="none"/>
        </w:rPr>
        <w:tab/>
      </w:r>
      <w:r>
        <w:rPr>
          <w:color w:val="auto"/>
          <w:highlight w:val="none"/>
        </w:rPr>
        <w:fldChar w:fldCharType="begin"/>
      </w:r>
      <w:r>
        <w:rPr>
          <w:color w:val="auto"/>
          <w:highlight w:val="none"/>
        </w:rPr>
        <w:instrText xml:space="preserve"> PAGEREF _Toc12007 \h </w:instrText>
      </w:r>
      <w:r>
        <w:rPr>
          <w:color w:val="auto"/>
          <w:highlight w:val="none"/>
        </w:rPr>
        <w:fldChar w:fldCharType="separate"/>
      </w:r>
      <w:r>
        <w:rPr>
          <w:color w:val="auto"/>
          <w:highlight w:val="none"/>
        </w:rPr>
        <w:t>- 67 -</w:t>
      </w:r>
      <w:r>
        <w:rPr>
          <w:color w:val="auto"/>
          <w:highlight w:val="none"/>
        </w:rPr>
        <w:fldChar w:fldCharType="end"/>
      </w:r>
      <w:r>
        <w:rPr>
          <w:color w:val="auto"/>
          <w:highlight w:val="none"/>
        </w:rPr>
        <w:fldChar w:fldCharType="end"/>
      </w:r>
    </w:p>
    <w:p w14:paraId="2C67403B">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"_Toc16704" </w:instrText>
      </w:r>
      <w:r>
        <w:rPr>
          <w:color w:val="auto"/>
          <w:highlight w:val="none"/>
        </w:rPr>
        <w:fldChar w:fldCharType="separate"/>
      </w:r>
      <w:r>
        <w:rPr>
          <w:rFonts w:eastAsia="黑体" w:cs="Times New Roman"/>
          <w:bCs/>
          <w:color w:val="auto"/>
          <w:szCs w:val="44"/>
          <w:highlight w:val="none"/>
        </w:rPr>
        <w:t>附表5  项目各阶段BIM实施应用点</w:t>
      </w:r>
      <w:r>
        <w:rPr>
          <w:color w:val="auto"/>
          <w:highlight w:val="none"/>
        </w:rPr>
        <w:tab/>
      </w:r>
      <w:r>
        <w:rPr>
          <w:color w:val="auto"/>
          <w:highlight w:val="none"/>
        </w:rPr>
        <w:fldChar w:fldCharType="begin"/>
      </w:r>
      <w:r>
        <w:rPr>
          <w:color w:val="auto"/>
          <w:highlight w:val="none"/>
        </w:rPr>
        <w:instrText xml:space="preserve"> PAGEREF _Toc16704 \h </w:instrText>
      </w:r>
      <w:r>
        <w:rPr>
          <w:color w:val="auto"/>
          <w:highlight w:val="none"/>
        </w:rPr>
        <w:fldChar w:fldCharType="separate"/>
      </w:r>
      <w:r>
        <w:rPr>
          <w:color w:val="auto"/>
          <w:highlight w:val="none"/>
        </w:rPr>
        <w:t>- 83 -</w:t>
      </w:r>
      <w:r>
        <w:rPr>
          <w:color w:val="auto"/>
          <w:highlight w:val="none"/>
        </w:rPr>
        <w:fldChar w:fldCharType="end"/>
      </w:r>
      <w:r>
        <w:rPr>
          <w:color w:val="auto"/>
          <w:highlight w:val="none"/>
        </w:rPr>
        <w:fldChar w:fldCharType="end"/>
      </w:r>
    </w:p>
    <w:p w14:paraId="57BDFC92">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"_Toc629" </w:instrText>
      </w:r>
      <w:r>
        <w:rPr>
          <w:color w:val="auto"/>
          <w:highlight w:val="none"/>
        </w:rPr>
        <w:fldChar w:fldCharType="separate"/>
      </w:r>
      <w:r>
        <w:rPr>
          <w:rFonts w:eastAsia="黑体" w:cs="Times New Roman"/>
          <w:bCs/>
          <w:color w:val="auto"/>
          <w:highlight w:val="none"/>
        </w:rPr>
        <w:t>附表6  项目BIM团队工作职责</w:t>
      </w:r>
      <w:r>
        <w:rPr>
          <w:color w:val="auto"/>
          <w:highlight w:val="none"/>
        </w:rPr>
        <w:tab/>
      </w:r>
      <w:r>
        <w:rPr>
          <w:color w:val="auto"/>
          <w:highlight w:val="none"/>
        </w:rPr>
        <w:fldChar w:fldCharType="begin"/>
      </w:r>
      <w:r>
        <w:rPr>
          <w:color w:val="auto"/>
          <w:highlight w:val="none"/>
        </w:rPr>
        <w:instrText xml:space="preserve"> PAGEREF _Toc629 \h </w:instrText>
      </w:r>
      <w:r>
        <w:rPr>
          <w:color w:val="auto"/>
          <w:highlight w:val="none"/>
        </w:rPr>
        <w:fldChar w:fldCharType="separate"/>
      </w:r>
      <w:r>
        <w:rPr>
          <w:color w:val="auto"/>
          <w:highlight w:val="none"/>
        </w:rPr>
        <w:t>- 90 -</w:t>
      </w:r>
      <w:r>
        <w:rPr>
          <w:color w:val="auto"/>
          <w:highlight w:val="none"/>
        </w:rPr>
        <w:fldChar w:fldCharType="end"/>
      </w:r>
      <w:r>
        <w:rPr>
          <w:color w:val="auto"/>
          <w:highlight w:val="none"/>
        </w:rPr>
        <w:fldChar w:fldCharType="end"/>
      </w:r>
    </w:p>
    <w:p w14:paraId="3B628886">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"_Toc15364" </w:instrText>
      </w:r>
      <w:r>
        <w:rPr>
          <w:color w:val="auto"/>
          <w:highlight w:val="none"/>
        </w:rPr>
        <w:fldChar w:fldCharType="separate"/>
      </w:r>
      <w:r>
        <w:rPr>
          <w:rFonts w:eastAsia="黑体" w:cs="Times New Roman"/>
          <w:bCs/>
          <w:color w:val="auto"/>
          <w:highlight w:val="none"/>
        </w:rPr>
        <w:t>附表7  BIM实施计划及工作内容</w:t>
      </w:r>
      <w:r>
        <w:rPr>
          <w:color w:val="auto"/>
          <w:highlight w:val="none"/>
        </w:rPr>
        <w:tab/>
      </w:r>
      <w:r>
        <w:rPr>
          <w:color w:val="auto"/>
          <w:highlight w:val="none"/>
        </w:rPr>
        <w:fldChar w:fldCharType="begin"/>
      </w:r>
      <w:r>
        <w:rPr>
          <w:color w:val="auto"/>
          <w:highlight w:val="none"/>
        </w:rPr>
        <w:instrText xml:space="preserve"> PAGEREF _Toc15364 \h </w:instrText>
      </w:r>
      <w:r>
        <w:rPr>
          <w:color w:val="auto"/>
          <w:highlight w:val="none"/>
        </w:rPr>
        <w:fldChar w:fldCharType="separate"/>
      </w:r>
      <w:r>
        <w:rPr>
          <w:color w:val="auto"/>
          <w:highlight w:val="none"/>
        </w:rPr>
        <w:t>- 91 -</w:t>
      </w:r>
      <w:r>
        <w:rPr>
          <w:color w:val="auto"/>
          <w:highlight w:val="none"/>
        </w:rPr>
        <w:fldChar w:fldCharType="end"/>
      </w:r>
      <w:r>
        <w:rPr>
          <w:color w:val="auto"/>
          <w:highlight w:val="none"/>
        </w:rPr>
        <w:fldChar w:fldCharType="end"/>
      </w:r>
    </w:p>
    <w:p w14:paraId="575DB71E">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"_Toc9726" </w:instrText>
      </w:r>
      <w:r>
        <w:rPr>
          <w:color w:val="auto"/>
          <w:highlight w:val="none"/>
        </w:rPr>
        <w:fldChar w:fldCharType="separate"/>
      </w:r>
      <w:r>
        <w:rPr>
          <w:rFonts w:eastAsia="黑体" w:cs="Times New Roman"/>
          <w:bCs/>
          <w:color w:val="auto"/>
          <w:highlight w:val="none"/>
        </w:rPr>
        <w:t>附表8  BIM现场协调管理</w:t>
      </w:r>
      <w:r>
        <w:rPr>
          <w:color w:val="auto"/>
          <w:highlight w:val="none"/>
        </w:rPr>
        <w:tab/>
      </w:r>
      <w:r>
        <w:rPr>
          <w:color w:val="auto"/>
          <w:highlight w:val="none"/>
        </w:rPr>
        <w:fldChar w:fldCharType="begin"/>
      </w:r>
      <w:r>
        <w:rPr>
          <w:color w:val="auto"/>
          <w:highlight w:val="none"/>
        </w:rPr>
        <w:instrText xml:space="preserve"> PAGEREF _Toc9726 \h </w:instrText>
      </w:r>
      <w:r>
        <w:rPr>
          <w:color w:val="auto"/>
          <w:highlight w:val="none"/>
        </w:rPr>
        <w:fldChar w:fldCharType="separate"/>
      </w:r>
      <w:r>
        <w:rPr>
          <w:color w:val="auto"/>
          <w:highlight w:val="none"/>
        </w:rPr>
        <w:t>- 93 -</w:t>
      </w:r>
      <w:r>
        <w:rPr>
          <w:color w:val="auto"/>
          <w:highlight w:val="none"/>
        </w:rPr>
        <w:fldChar w:fldCharType="end"/>
      </w:r>
      <w:r>
        <w:rPr>
          <w:color w:val="auto"/>
          <w:highlight w:val="none"/>
        </w:rPr>
        <w:fldChar w:fldCharType="end"/>
      </w:r>
    </w:p>
    <w:p w14:paraId="782D27D2">
      <w:pPr>
        <w:pStyle w:val="38"/>
        <w:tabs>
          <w:tab w:val="right" w:leader="dot" w:pos="8306"/>
          <w:tab w:val="clear" w:pos="8296"/>
        </w:tabs>
        <w:spacing w:before="156" w:after="156"/>
        <w:rPr>
          <w:color w:val="auto"/>
          <w:highlight w:val="none"/>
        </w:rPr>
      </w:pPr>
      <w:r>
        <w:rPr>
          <w:color w:val="auto"/>
          <w:highlight w:val="none"/>
        </w:rPr>
        <w:fldChar w:fldCharType="begin"/>
      </w:r>
      <w:r>
        <w:rPr>
          <w:color w:val="auto"/>
          <w:highlight w:val="none"/>
        </w:rPr>
        <w:instrText xml:space="preserve"> HYPERLINK \l "_Toc14732" </w:instrText>
      </w:r>
      <w:r>
        <w:rPr>
          <w:color w:val="auto"/>
          <w:highlight w:val="none"/>
        </w:rPr>
        <w:fldChar w:fldCharType="separate"/>
      </w:r>
      <w:r>
        <w:rPr>
          <w:rFonts w:eastAsia="黑体" w:cs="Times New Roman"/>
          <w:bCs/>
          <w:color w:val="auto"/>
          <w:kern w:val="44"/>
          <w:szCs w:val="44"/>
          <w:highlight w:val="none"/>
        </w:rPr>
        <w:t>附图</w:t>
      </w:r>
      <w:r>
        <w:rPr>
          <w:color w:val="auto"/>
          <w:highlight w:val="none"/>
        </w:rPr>
        <w:tab/>
      </w:r>
      <w:r>
        <w:rPr>
          <w:color w:val="auto"/>
          <w:highlight w:val="none"/>
        </w:rPr>
        <w:fldChar w:fldCharType="begin"/>
      </w:r>
      <w:r>
        <w:rPr>
          <w:color w:val="auto"/>
          <w:highlight w:val="none"/>
        </w:rPr>
        <w:instrText xml:space="preserve"> PAGEREF _Toc14732 \h </w:instrText>
      </w:r>
      <w:r>
        <w:rPr>
          <w:color w:val="auto"/>
          <w:highlight w:val="none"/>
        </w:rPr>
        <w:fldChar w:fldCharType="separate"/>
      </w:r>
      <w:r>
        <w:rPr>
          <w:color w:val="auto"/>
          <w:highlight w:val="none"/>
        </w:rPr>
        <w:t>- 94 -</w:t>
      </w:r>
      <w:r>
        <w:rPr>
          <w:color w:val="auto"/>
          <w:highlight w:val="none"/>
        </w:rPr>
        <w:fldChar w:fldCharType="end"/>
      </w:r>
      <w:r>
        <w:rPr>
          <w:color w:val="auto"/>
          <w:highlight w:val="none"/>
        </w:rPr>
        <w:fldChar w:fldCharType="end"/>
      </w:r>
    </w:p>
    <w:p w14:paraId="07C5A12F">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"_Toc2589" </w:instrText>
      </w:r>
      <w:r>
        <w:rPr>
          <w:color w:val="auto"/>
          <w:highlight w:val="none"/>
        </w:rPr>
        <w:fldChar w:fldCharType="separate"/>
      </w:r>
      <w:r>
        <w:rPr>
          <w:rFonts w:hint="eastAsia" w:eastAsia="黑体" w:cs="Times New Roman"/>
          <w:bCs/>
          <w:color w:val="auto"/>
          <w:highlight w:val="none"/>
        </w:rPr>
        <w:t>附</w:t>
      </w:r>
      <w:r>
        <w:rPr>
          <w:rFonts w:eastAsia="黑体" w:cs="Times New Roman"/>
          <w:bCs/>
          <w:color w:val="auto"/>
          <w:highlight w:val="none"/>
        </w:rPr>
        <w:t>图1  代建局BIM项目管理组织结构</w:t>
      </w:r>
      <w:r>
        <w:rPr>
          <w:color w:val="auto"/>
          <w:highlight w:val="none"/>
        </w:rPr>
        <w:tab/>
      </w:r>
      <w:r>
        <w:rPr>
          <w:color w:val="auto"/>
          <w:highlight w:val="none"/>
        </w:rPr>
        <w:fldChar w:fldCharType="begin"/>
      </w:r>
      <w:r>
        <w:rPr>
          <w:color w:val="auto"/>
          <w:highlight w:val="none"/>
        </w:rPr>
        <w:instrText xml:space="preserve"> PAGEREF _Toc2589 \h </w:instrText>
      </w:r>
      <w:r>
        <w:rPr>
          <w:color w:val="auto"/>
          <w:highlight w:val="none"/>
        </w:rPr>
        <w:fldChar w:fldCharType="separate"/>
      </w:r>
      <w:r>
        <w:rPr>
          <w:color w:val="auto"/>
          <w:highlight w:val="none"/>
        </w:rPr>
        <w:t>- 94 -</w:t>
      </w:r>
      <w:r>
        <w:rPr>
          <w:color w:val="auto"/>
          <w:highlight w:val="none"/>
        </w:rPr>
        <w:fldChar w:fldCharType="end"/>
      </w:r>
      <w:r>
        <w:rPr>
          <w:color w:val="auto"/>
          <w:highlight w:val="none"/>
        </w:rPr>
        <w:fldChar w:fldCharType="end"/>
      </w:r>
    </w:p>
    <w:p w14:paraId="53C420DD">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"_Toc14249" </w:instrText>
      </w:r>
      <w:r>
        <w:rPr>
          <w:color w:val="auto"/>
          <w:highlight w:val="none"/>
        </w:rPr>
        <w:fldChar w:fldCharType="separate"/>
      </w:r>
      <w:r>
        <w:rPr>
          <w:rFonts w:eastAsia="黑体" w:cs="Times New Roman"/>
          <w:bCs/>
          <w:color w:val="auto"/>
          <w:highlight w:val="none"/>
        </w:rPr>
        <w:t>附图2  代建局内部管理流程</w:t>
      </w:r>
      <w:r>
        <w:rPr>
          <w:color w:val="auto"/>
          <w:highlight w:val="none"/>
        </w:rPr>
        <w:tab/>
      </w:r>
      <w:r>
        <w:rPr>
          <w:color w:val="auto"/>
          <w:highlight w:val="none"/>
        </w:rPr>
        <w:fldChar w:fldCharType="begin"/>
      </w:r>
      <w:r>
        <w:rPr>
          <w:color w:val="auto"/>
          <w:highlight w:val="none"/>
        </w:rPr>
        <w:instrText xml:space="preserve"> PAGEREF _Toc14249 \h </w:instrText>
      </w:r>
      <w:r>
        <w:rPr>
          <w:color w:val="auto"/>
          <w:highlight w:val="none"/>
        </w:rPr>
        <w:fldChar w:fldCharType="separate"/>
      </w:r>
      <w:r>
        <w:rPr>
          <w:color w:val="auto"/>
          <w:highlight w:val="none"/>
        </w:rPr>
        <w:t>- 94 -</w:t>
      </w:r>
      <w:r>
        <w:rPr>
          <w:color w:val="auto"/>
          <w:highlight w:val="none"/>
        </w:rPr>
        <w:fldChar w:fldCharType="end"/>
      </w:r>
      <w:r>
        <w:rPr>
          <w:color w:val="auto"/>
          <w:highlight w:val="none"/>
        </w:rPr>
        <w:fldChar w:fldCharType="end"/>
      </w:r>
    </w:p>
    <w:p w14:paraId="2CF7A5B5">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"_Toc20094" </w:instrText>
      </w:r>
      <w:r>
        <w:rPr>
          <w:color w:val="auto"/>
          <w:highlight w:val="none"/>
        </w:rPr>
        <w:fldChar w:fldCharType="separate"/>
      </w:r>
      <w:r>
        <w:rPr>
          <w:rFonts w:eastAsia="黑体" w:cs="Times New Roman"/>
          <w:bCs/>
          <w:color w:val="auto"/>
          <w:highlight w:val="none"/>
        </w:rPr>
        <w:t>附图3  代建局项目BIM管理流程</w:t>
      </w:r>
      <w:r>
        <w:rPr>
          <w:color w:val="auto"/>
          <w:highlight w:val="none"/>
        </w:rPr>
        <w:tab/>
      </w:r>
      <w:r>
        <w:rPr>
          <w:color w:val="auto"/>
          <w:highlight w:val="none"/>
        </w:rPr>
        <w:fldChar w:fldCharType="begin"/>
      </w:r>
      <w:r>
        <w:rPr>
          <w:color w:val="auto"/>
          <w:highlight w:val="none"/>
        </w:rPr>
        <w:instrText xml:space="preserve"> PAGEREF _Toc20094 \h </w:instrText>
      </w:r>
      <w:r>
        <w:rPr>
          <w:color w:val="auto"/>
          <w:highlight w:val="none"/>
        </w:rPr>
        <w:fldChar w:fldCharType="separate"/>
      </w:r>
      <w:r>
        <w:rPr>
          <w:color w:val="auto"/>
          <w:highlight w:val="none"/>
        </w:rPr>
        <w:t>- 95 -</w:t>
      </w:r>
      <w:r>
        <w:rPr>
          <w:color w:val="auto"/>
          <w:highlight w:val="none"/>
        </w:rPr>
        <w:fldChar w:fldCharType="end"/>
      </w:r>
      <w:r>
        <w:rPr>
          <w:color w:val="auto"/>
          <w:highlight w:val="none"/>
        </w:rPr>
        <w:fldChar w:fldCharType="end"/>
      </w:r>
    </w:p>
    <w:p w14:paraId="78BD075D">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"_Toc29704" </w:instrText>
      </w:r>
      <w:r>
        <w:rPr>
          <w:color w:val="auto"/>
          <w:highlight w:val="none"/>
        </w:rPr>
        <w:fldChar w:fldCharType="separate"/>
      </w:r>
      <w:r>
        <w:rPr>
          <w:rFonts w:eastAsia="黑体" w:cs="Times New Roman"/>
          <w:bCs/>
          <w:color w:val="auto"/>
          <w:highlight w:val="none"/>
        </w:rPr>
        <w:t>附图4  设计阶段BIM应用流程</w:t>
      </w:r>
      <w:r>
        <w:rPr>
          <w:color w:val="auto"/>
          <w:highlight w:val="none"/>
        </w:rPr>
        <w:tab/>
      </w:r>
      <w:r>
        <w:rPr>
          <w:color w:val="auto"/>
          <w:highlight w:val="none"/>
        </w:rPr>
        <w:fldChar w:fldCharType="begin"/>
      </w:r>
      <w:r>
        <w:rPr>
          <w:color w:val="auto"/>
          <w:highlight w:val="none"/>
        </w:rPr>
        <w:instrText xml:space="preserve"> PAGEREF _Toc29704 \h </w:instrText>
      </w:r>
      <w:r>
        <w:rPr>
          <w:color w:val="auto"/>
          <w:highlight w:val="none"/>
        </w:rPr>
        <w:fldChar w:fldCharType="separate"/>
      </w:r>
      <w:r>
        <w:rPr>
          <w:color w:val="auto"/>
          <w:highlight w:val="none"/>
        </w:rPr>
        <w:t>- 96 -</w:t>
      </w:r>
      <w:r>
        <w:rPr>
          <w:color w:val="auto"/>
          <w:highlight w:val="none"/>
        </w:rPr>
        <w:fldChar w:fldCharType="end"/>
      </w:r>
      <w:r>
        <w:rPr>
          <w:color w:val="auto"/>
          <w:highlight w:val="none"/>
        </w:rPr>
        <w:fldChar w:fldCharType="end"/>
      </w:r>
    </w:p>
    <w:p w14:paraId="11F35E8F">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"_Toc11260" </w:instrText>
      </w:r>
      <w:r>
        <w:rPr>
          <w:color w:val="auto"/>
          <w:highlight w:val="none"/>
        </w:rPr>
        <w:fldChar w:fldCharType="separate"/>
      </w:r>
      <w:r>
        <w:rPr>
          <w:rFonts w:eastAsia="黑体" w:cs="Times New Roman"/>
          <w:bCs/>
          <w:color w:val="auto"/>
          <w:highlight w:val="none"/>
        </w:rPr>
        <w:t>附图5  方案设计阶段BIM应用流程</w:t>
      </w:r>
      <w:r>
        <w:rPr>
          <w:color w:val="auto"/>
          <w:highlight w:val="none"/>
        </w:rPr>
        <w:tab/>
      </w:r>
      <w:r>
        <w:rPr>
          <w:color w:val="auto"/>
          <w:highlight w:val="none"/>
        </w:rPr>
        <w:fldChar w:fldCharType="begin"/>
      </w:r>
      <w:r>
        <w:rPr>
          <w:color w:val="auto"/>
          <w:highlight w:val="none"/>
        </w:rPr>
        <w:instrText xml:space="preserve"> PAGEREF _Toc11260 \h </w:instrText>
      </w:r>
      <w:r>
        <w:rPr>
          <w:color w:val="auto"/>
          <w:highlight w:val="none"/>
        </w:rPr>
        <w:fldChar w:fldCharType="separate"/>
      </w:r>
      <w:r>
        <w:rPr>
          <w:color w:val="auto"/>
          <w:highlight w:val="none"/>
        </w:rPr>
        <w:t>- 97 -</w:t>
      </w:r>
      <w:r>
        <w:rPr>
          <w:color w:val="auto"/>
          <w:highlight w:val="none"/>
        </w:rPr>
        <w:fldChar w:fldCharType="end"/>
      </w:r>
      <w:r>
        <w:rPr>
          <w:color w:val="auto"/>
          <w:highlight w:val="none"/>
        </w:rPr>
        <w:fldChar w:fldCharType="end"/>
      </w:r>
    </w:p>
    <w:p w14:paraId="6D40D5D1">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"_Toc5722" </w:instrText>
      </w:r>
      <w:r>
        <w:rPr>
          <w:color w:val="auto"/>
          <w:highlight w:val="none"/>
        </w:rPr>
        <w:fldChar w:fldCharType="separate"/>
      </w:r>
      <w:r>
        <w:rPr>
          <w:rFonts w:eastAsia="黑体" w:cs="Times New Roman"/>
          <w:bCs/>
          <w:color w:val="auto"/>
          <w:highlight w:val="none"/>
        </w:rPr>
        <w:t>附图6  初步设计阶段BIM应用流程</w:t>
      </w:r>
      <w:r>
        <w:rPr>
          <w:color w:val="auto"/>
          <w:highlight w:val="none"/>
        </w:rPr>
        <w:tab/>
      </w:r>
      <w:r>
        <w:rPr>
          <w:color w:val="auto"/>
          <w:highlight w:val="none"/>
        </w:rPr>
        <w:fldChar w:fldCharType="begin"/>
      </w:r>
      <w:r>
        <w:rPr>
          <w:color w:val="auto"/>
          <w:highlight w:val="none"/>
        </w:rPr>
        <w:instrText xml:space="preserve"> PAGEREF _Toc5722 \h </w:instrText>
      </w:r>
      <w:r>
        <w:rPr>
          <w:color w:val="auto"/>
          <w:highlight w:val="none"/>
        </w:rPr>
        <w:fldChar w:fldCharType="separate"/>
      </w:r>
      <w:r>
        <w:rPr>
          <w:color w:val="auto"/>
          <w:highlight w:val="none"/>
        </w:rPr>
        <w:t>- 98 -</w:t>
      </w:r>
      <w:r>
        <w:rPr>
          <w:color w:val="auto"/>
          <w:highlight w:val="none"/>
        </w:rPr>
        <w:fldChar w:fldCharType="end"/>
      </w:r>
      <w:r>
        <w:rPr>
          <w:color w:val="auto"/>
          <w:highlight w:val="none"/>
        </w:rPr>
        <w:fldChar w:fldCharType="end"/>
      </w:r>
    </w:p>
    <w:p w14:paraId="0747AA50">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"_Toc15556" </w:instrText>
      </w:r>
      <w:r>
        <w:rPr>
          <w:color w:val="auto"/>
          <w:highlight w:val="none"/>
        </w:rPr>
        <w:fldChar w:fldCharType="separate"/>
      </w:r>
      <w:r>
        <w:rPr>
          <w:rFonts w:eastAsia="黑体" w:cs="Times New Roman"/>
          <w:bCs/>
          <w:color w:val="auto"/>
          <w:highlight w:val="none"/>
        </w:rPr>
        <w:t>附图7  施工图设计阶段BIM应用流程</w:t>
      </w:r>
      <w:r>
        <w:rPr>
          <w:color w:val="auto"/>
          <w:highlight w:val="none"/>
        </w:rPr>
        <w:tab/>
      </w:r>
      <w:r>
        <w:rPr>
          <w:color w:val="auto"/>
          <w:highlight w:val="none"/>
        </w:rPr>
        <w:fldChar w:fldCharType="begin"/>
      </w:r>
      <w:r>
        <w:rPr>
          <w:color w:val="auto"/>
          <w:highlight w:val="none"/>
        </w:rPr>
        <w:instrText xml:space="preserve"> PAGEREF _Toc15556 \h </w:instrText>
      </w:r>
      <w:r>
        <w:rPr>
          <w:color w:val="auto"/>
          <w:highlight w:val="none"/>
        </w:rPr>
        <w:fldChar w:fldCharType="separate"/>
      </w:r>
      <w:r>
        <w:rPr>
          <w:color w:val="auto"/>
          <w:highlight w:val="none"/>
        </w:rPr>
        <w:t>- 99 -</w:t>
      </w:r>
      <w:r>
        <w:rPr>
          <w:color w:val="auto"/>
          <w:highlight w:val="none"/>
        </w:rPr>
        <w:fldChar w:fldCharType="end"/>
      </w:r>
      <w:r>
        <w:rPr>
          <w:color w:val="auto"/>
          <w:highlight w:val="none"/>
        </w:rPr>
        <w:fldChar w:fldCharType="end"/>
      </w:r>
    </w:p>
    <w:p w14:paraId="5C2ACE66">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"_Toc1129" </w:instrText>
      </w:r>
      <w:r>
        <w:rPr>
          <w:color w:val="auto"/>
          <w:highlight w:val="none"/>
        </w:rPr>
        <w:fldChar w:fldCharType="separate"/>
      </w:r>
      <w:r>
        <w:rPr>
          <w:rFonts w:eastAsia="黑体" w:cs="Times New Roman"/>
          <w:bCs/>
          <w:color w:val="auto"/>
          <w:highlight w:val="none"/>
        </w:rPr>
        <w:t>附图8  施工阶段项目实施总体流程</w:t>
      </w:r>
      <w:r>
        <w:rPr>
          <w:color w:val="auto"/>
          <w:highlight w:val="none"/>
        </w:rPr>
        <w:tab/>
      </w:r>
      <w:r>
        <w:rPr>
          <w:color w:val="auto"/>
          <w:highlight w:val="none"/>
        </w:rPr>
        <w:fldChar w:fldCharType="begin"/>
      </w:r>
      <w:r>
        <w:rPr>
          <w:color w:val="auto"/>
          <w:highlight w:val="none"/>
        </w:rPr>
        <w:instrText xml:space="preserve"> PAGEREF _Toc1129 \h </w:instrText>
      </w:r>
      <w:r>
        <w:rPr>
          <w:color w:val="auto"/>
          <w:highlight w:val="none"/>
        </w:rPr>
        <w:fldChar w:fldCharType="separate"/>
      </w:r>
      <w:r>
        <w:rPr>
          <w:color w:val="auto"/>
          <w:highlight w:val="none"/>
        </w:rPr>
        <w:t>- 100 -</w:t>
      </w:r>
      <w:r>
        <w:rPr>
          <w:color w:val="auto"/>
          <w:highlight w:val="none"/>
        </w:rPr>
        <w:fldChar w:fldCharType="end"/>
      </w:r>
      <w:r>
        <w:rPr>
          <w:color w:val="auto"/>
          <w:highlight w:val="none"/>
        </w:rPr>
        <w:fldChar w:fldCharType="end"/>
      </w:r>
    </w:p>
    <w:p w14:paraId="3AC0DBBA">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"_Toc31359" </w:instrText>
      </w:r>
      <w:r>
        <w:rPr>
          <w:color w:val="auto"/>
          <w:highlight w:val="none"/>
        </w:rPr>
        <w:fldChar w:fldCharType="separate"/>
      </w:r>
      <w:r>
        <w:rPr>
          <w:rFonts w:eastAsia="黑体" w:cs="Times New Roman"/>
          <w:bCs/>
          <w:color w:val="auto"/>
          <w:highlight w:val="none"/>
        </w:rPr>
        <w:t>附图9  项目BIM团队组织架构</w:t>
      </w:r>
      <w:r>
        <w:rPr>
          <w:color w:val="auto"/>
          <w:highlight w:val="none"/>
        </w:rPr>
        <w:tab/>
      </w:r>
      <w:r>
        <w:rPr>
          <w:color w:val="auto"/>
          <w:highlight w:val="none"/>
        </w:rPr>
        <w:fldChar w:fldCharType="begin"/>
      </w:r>
      <w:r>
        <w:rPr>
          <w:color w:val="auto"/>
          <w:highlight w:val="none"/>
        </w:rPr>
        <w:instrText xml:space="preserve"> PAGEREF _Toc31359 \h </w:instrText>
      </w:r>
      <w:r>
        <w:rPr>
          <w:color w:val="auto"/>
          <w:highlight w:val="none"/>
        </w:rPr>
        <w:fldChar w:fldCharType="separate"/>
      </w:r>
      <w:r>
        <w:rPr>
          <w:color w:val="auto"/>
          <w:highlight w:val="none"/>
        </w:rPr>
        <w:t>- 101 -</w:t>
      </w:r>
      <w:r>
        <w:rPr>
          <w:color w:val="auto"/>
          <w:highlight w:val="none"/>
        </w:rPr>
        <w:fldChar w:fldCharType="end"/>
      </w:r>
      <w:r>
        <w:rPr>
          <w:color w:val="auto"/>
          <w:highlight w:val="none"/>
        </w:rPr>
        <w:fldChar w:fldCharType="end"/>
      </w:r>
    </w:p>
    <w:p w14:paraId="7B69AB87">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"_Toc30751" </w:instrText>
      </w:r>
      <w:r>
        <w:rPr>
          <w:color w:val="auto"/>
          <w:highlight w:val="none"/>
        </w:rPr>
        <w:fldChar w:fldCharType="separate"/>
      </w:r>
      <w:r>
        <w:rPr>
          <w:rFonts w:eastAsia="黑体" w:cs="Times New Roman"/>
          <w:bCs/>
          <w:color w:val="auto"/>
          <w:highlight w:val="none"/>
        </w:rPr>
        <w:t>附图10  BIM前期准备工作</w:t>
      </w:r>
      <w:r>
        <w:rPr>
          <w:color w:val="auto"/>
          <w:highlight w:val="none"/>
        </w:rPr>
        <w:tab/>
      </w:r>
      <w:r>
        <w:rPr>
          <w:color w:val="auto"/>
          <w:highlight w:val="none"/>
        </w:rPr>
        <w:fldChar w:fldCharType="begin"/>
      </w:r>
      <w:r>
        <w:rPr>
          <w:color w:val="auto"/>
          <w:highlight w:val="none"/>
        </w:rPr>
        <w:instrText xml:space="preserve"> PAGEREF _Toc30751 \h </w:instrText>
      </w:r>
      <w:r>
        <w:rPr>
          <w:color w:val="auto"/>
          <w:highlight w:val="none"/>
        </w:rPr>
        <w:fldChar w:fldCharType="separate"/>
      </w:r>
      <w:r>
        <w:rPr>
          <w:color w:val="auto"/>
          <w:highlight w:val="none"/>
        </w:rPr>
        <w:t>- 102 -</w:t>
      </w:r>
      <w:r>
        <w:rPr>
          <w:color w:val="auto"/>
          <w:highlight w:val="none"/>
        </w:rPr>
        <w:fldChar w:fldCharType="end"/>
      </w:r>
      <w:r>
        <w:rPr>
          <w:color w:val="auto"/>
          <w:highlight w:val="none"/>
        </w:rPr>
        <w:fldChar w:fldCharType="end"/>
      </w:r>
    </w:p>
    <w:p w14:paraId="3F1FBF48">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"_Toc19147" </w:instrText>
      </w:r>
      <w:r>
        <w:rPr>
          <w:color w:val="auto"/>
          <w:highlight w:val="none"/>
        </w:rPr>
        <w:fldChar w:fldCharType="separate"/>
      </w:r>
      <w:r>
        <w:rPr>
          <w:rFonts w:eastAsia="黑体" w:cs="Times New Roman"/>
          <w:bCs/>
          <w:color w:val="auto"/>
          <w:highlight w:val="none"/>
        </w:rPr>
        <w:t>附图11  BIM模型会审工作流程</w:t>
      </w:r>
      <w:r>
        <w:rPr>
          <w:color w:val="auto"/>
          <w:highlight w:val="none"/>
        </w:rPr>
        <w:tab/>
      </w:r>
      <w:r>
        <w:rPr>
          <w:color w:val="auto"/>
          <w:highlight w:val="none"/>
        </w:rPr>
        <w:fldChar w:fldCharType="begin"/>
      </w:r>
      <w:r>
        <w:rPr>
          <w:color w:val="auto"/>
          <w:highlight w:val="none"/>
        </w:rPr>
        <w:instrText xml:space="preserve"> PAGEREF _Toc19147 \h </w:instrText>
      </w:r>
      <w:r>
        <w:rPr>
          <w:color w:val="auto"/>
          <w:highlight w:val="none"/>
        </w:rPr>
        <w:fldChar w:fldCharType="separate"/>
      </w:r>
      <w:r>
        <w:rPr>
          <w:color w:val="auto"/>
          <w:highlight w:val="none"/>
        </w:rPr>
        <w:t>- 103 -</w:t>
      </w:r>
      <w:r>
        <w:rPr>
          <w:color w:val="auto"/>
          <w:highlight w:val="none"/>
        </w:rPr>
        <w:fldChar w:fldCharType="end"/>
      </w:r>
      <w:r>
        <w:rPr>
          <w:color w:val="auto"/>
          <w:highlight w:val="none"/>
        </w:rPr>
        <w:fldChar w:fldCharType="end"/>
      </w:r>
    </w:p>
    <w:p w14:paraId="62CCC536">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"_Toc28305" </w:instrText>
      </w:r>
      <w:r>
        <w:rPr>
          <w:color w:val="auto"/>
          <w:highlight w:val="none"/>
        </w:rPr>
        <w:fldChar w:fldCharType="separate"/>
      </w:r>
      <w:r>
        <w:rPr>
          <w:rFonts w:eastAsia="黑体" w:cs="Times New Roman"/>
          <w:bCs/>
          <w:color w:val="auto"/>
          <w:highlight w:val="none"/>
        </w:rPr>
        <w:t>附图12  BIM深化设计管理流程</w:t>
      </w:r>
      <w:r>
        <w:rPr>
          <w:color w:val="auto"/>
          <w:highlight w:val="none"/>
        </w:rPr>
        <w:tab/>
      </w:r>
      <w:r>
        <w:rPr>
          <w:color w:val="auto"/>
          <w:highlight w:val="none"/>
        </w:rPr>
        <w:fldChar w:fldCharType="begin"/>
      </w:r>
      <w:r>
        <w:rPr>
          <w:color w:val="auto"/>
          <w:highlight w:val="none"/>
        </w:rPr>
        <w:instrText xml:space="preserve"> PAGEREF _Toc28305 \h </w:instrText>
      </w:r>
      <w:r>
        <w:rPr>
          <w:color w:val="auto"/>
          <w:highlight w:val="none"/>
        </w:rPr>
        <w:fldChar w:fldCharType="separate"/>
      </w:r>
      <w:r>
        <w:rPr>
          <w:color w:val="auto"/>
          <w:highlight w:val="none"/>
        </w:rPr>
        <w:t>- 104 -</w:t>
      </w:r>
      <w:r>
        <w:rPr>
          <w:color w:val="auto"/>
          <w:highlight w:val="none"/>
        </w:rPr>
        <w:fldChar w:fldCharType="end"/>
      </w:r>
      <w:r>
        <w:rPr>
          <w:color w:val="auto"/>
          <w:highlight w:val="none"/>
        </w:rPr>
        <w:fldChar w:fldCharType="end"/>
      </w:r>
    </w:p>
    <w:p w14:paraId="1ECF4360">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"_Toc29842" </w:instrText>
      </w:r>
      <w:r>
        <w:rPr>
          <w:color w:val="auto"/>
          <w:highlight w:val="none"/>
        </w:rPr>
        <w:fldChar w:fldCharType="separate"/>
      </w:r>
      <w:r>
        <w:rPr>
          <w:rFonts w:eastAsia="黑体" w:cs="Times New Roman"/>
          <w:bCs/>
          <w:color w:val="auto"/>
          <w:highlight w:val="none"/>
        </w:rPr>
        <w:t>附图13  运维管理系统架构</w:t>
      </w:r>
      <w:r>
        <w:rPr>
          <w:color w:val="auto"/>
          <w:highlight w:val="none"/>
        </w:rPr>
        <w:tab/>
      </w:r>
      <w:r>
        <w:rPr>
          <w:color w:val="auto"/>
          <w:highlight w:val="none"/>
        </w:rPr>
        <w:fldChar w:fldCharType="begin"/>
      </w:r>
      <w:r>
        <w:rPr>
          <w:color w:val="auto"/>
          <w:highlight w:val="none"/>
        </w:rPr>
        <w:instrText xml:space="preserve"> PAGEREF _Toc29842 \h </w:instrText>
      </w:r>
      <w:r>
        <w:rPr>
          <w:color w:val="auto"/>
          <w:highlight w:val="none"/>
        </w:rPr>
        <w:fldChar w:fldCharType="separate"/>
      </w:r>
      <w:r>
        <w:rPr>
          <w:color w:val="auto"/>
          <w:highlight w:val="none"/>
        </w:rPr>
        <w:t>- 105 -</w:t>
      </w:r>
      <w:r>
        <w:rPr>
          <w:color w:val="auto"/>
          <w:highlight w:val="none"/>
        </w:rPr>
        <w:fldChar w:fldCharType="end"/>
      </w:r>
      <w:r>
        <w:rPr>
          <w:color w:val="auto"/>
          <w:highlight w:val="none"/>
        </w:rPr>
        <w:fldChar w:fldCharType="end"/>
      </w:r>
    </w:p>
    <w:p w14:paraId="3326126B">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"_Toc133" </w:instrText>
      </w:r>
      <w:r>
        <w:rPr>
          <w:color w:val="auto"/>
          <w:highlight w:val="none"/>
        </w:rPr>
        <w:fldChar w:fldCharType="separate"/>
      </w:r>
      <w:r>
        <w:rPr>
          <w:rFonts w:eastAsia="黑体" w:cs="Times New Roman"/>
          <w:bCs/>
          <w:color w:val="auto"/>
          <w:highlight w:val="none"/>
        </w:rPr>
        <w:t>附图14  协同平台架构</w:t>
      </w:r>
      <w:r>
        <w:rPr>
          <w:color w:val="auto"/>
          <w:highlight w:val="none"/>
        </w:rPr>
        <w:tab/>
      </w:r>
      <w:r>
        <w:rPr>
          <w:color w:val="auto"/>
          <w:highlight w:val="none"/>
        </w:rPr>
        <w:fldChar w:fldCharType="begin"/>
      </w:r>
      <w:r>
        <w:rPr>
          <w:color w:val="auto"/>
          <w:highlight w:val="none"/>
        </w:rPr>
        <w:instrText xml:space="preserve"> PAGEREF _Toc133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74455A3D">
      <w:pPr>
        <w:pStyle w:val="44"/>
        <w:tabs>
          <w:tab w:val="right" w:leader="dot" w:pos="8306"/>
        </w:tabs>
        <w:spacing w:before="156" w:after="156"/>
        <w:rPr>
          <w:color w:val="auto"/>
          <w:highlight w:val="none"/>
        </w:rPr>
      </w:pPr>
      <w:r>
        <w:rPr>
          <w:color w:val="auto"/>
          <w:highlight w:val="none"/>
        </w:rPr>
        <w:fldChar w:fldCharType="begin"/>
      </w:r>
      <w:r>
        <w:rPr>
          <w:color w:val="auto"/>
          <w:highlight w:val="none"/>
        </w:rPr>
        <w:instrText xml:space="preserve"> HYPERLINK \l "_Toc27901" </w:instrText>
      </w:r>
      <w:r>
        <w:rPr>
          <w:color w:val="auto"/>
          <w:highlight w:val="none"/>
        </w:rPr>
        <w:fldChar w:fldCharType="separate"/>
      </w:r>
      <w:r>
        <w:rPr>
          <w:rFonts w:eastAsia="黑体" w:cs="Times New Roman"/>
          <w:bCs/>
          <w:color w:val="auto"/>
          <w:highlight w:val="none"/>
        </w:rPr>
        <w:t>附图15  BIM协同平台架构</w:t>
      </w:r>
      <w:r>
        <w:rPr>
          <w:color w:val="auto"/>
          <w:highlight w:val="none"/>
        </w:rPr>
        <w:tab/>
      </w:r>
      <w:r>
        <w:rPr>
          <w:color w:val="auto"/>
          <w:highlight w:val="none"/>
        </w:rPr>
        <w:fldChar w:fldCharType="begin"/>
      </w:r>
      <w:r>
        <w:rPr>
          <w:color w:val="auto"/>
          <w:highlight w:val="none"/>
        </w:rPr>
        <w:instrText xml:space="preserve"> PAGEREF _Toc27901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1EDE99E0">
      <w:pPr>
        <w:spacing w:before="156" w:after="156"/>
        <w:rPr>
          <w:color w:val="auto"/>
          <w:highlight w:val="none"/>
        </w:rPr>
      </w:pPr>
      <w:r>
        <w:rPr>
          <w:color w:val="auto"/>
          <w:highlight w:val="none"/>
        </w:rPr>
        <w:fldChar w:fldCharType="end"/>
      </w:r>
    </w:p>
    <w:p w14:paraId="18E70EBA">
      <w:pPr>
        <w:spacing w:before="156" w:after="156"/>
        <w:rPr>
          <w:color w:val="auto"/>
          <w:highlight w:val="none"/>
        </w:rPr>
      </w:pPr>
    </w:p>
    <w:p w14:paraId="53CECC11">
      <w:pPr>
        <w:spacing w:before="156" w:after="156"/>
        <w:rPr>
          <w:color w:val="auto"/>
          <w:highlight w:val="none"/>
        </w:rPr>
        <w:sectPr>
          <w:footerReference r:id="rId9" w:type="default"/>
          <w:pgSz w:w="11906" w:h="16838"/>
          <w:pgMar w:top="1440" w:right="1800" w:bottom="1440" w:left="1800" w:header="851" w:footer="992" w:gutter="0"/>
          <w:cols w:space="720" w:num="1"/>
          <w:docGrid w:type="lines" w:linePitch="312" w:charSpace="0"/>
        </w:sectPr>
      </w:pPr>
    </w:p>
    <w:p w14:paraId="494EF285">
      <w:pPr>
        <w:pStyle w:val="2"/>
        <w:tabs>
          <w:tab w:val="left" w:pos="0"/>
        </w:tabs>
        <w:spacing w:before="720" w:after="480"/>
        <w:rPr>
          <w:color w:val="auto"/>
          <w:highlight w:val="none"/>
        </w:rPr>
      </w:pPr>
      <w:bookmarkStart w:id="179" w:name="_Toc11445"/>
      <w:r>
        <w:rPr>
          <w:color w:val="auto"/>
          <w:highlight w:val="none"/>
        </w:rPr>
        <w:t>模型体现及应用点</w:t>
      </w:r>
      <w:bookmarkEnd w:id="179"/>
    </w:p>
    <w:p w14:paraId="2358C4A8">
      <w:pPr>
        <w:pStyle w:val="3"/>
        <w:tabs>
          <w:tab w:val="left" w:pos="0"/>
        </w:tabs>
        <w:rPr>
          <w:color w:val="auto"/>
          <w:highlight w:val="none"/>
        </w:rPr>
      </w:pPr>
      <w:bookmarkStart w:id="180" w:name="_Toc15410"/>
      <w:r>
        <w:rPr>
          <w:color w:val="auto"/>
          <w:highlight w:val="none"/>
        </w:rPr>
        <w:t>BIM模型阶段化体现</w:t>
      </w:r>
      <w:bookmarkEnd w:id="180"/>
    </w:p>
    <w:p w14:paraId="57E081F6">
      <w:pPr>
        <w:pStyle w:val="4"/>
        <w:tabs>
          <w:tab w:val="left" w:pos="0"/>
        </w:tabs>
        <w:spacing w:before="120" w:after="120"/>
        <w:rPr>
          <w:color w:val="auto"/>
          <w:highlight w:val="none"/>
        </w:rPr>
      </w:pPr>
      <w:r>
        <w:rPr>
          <w:color w:val="auto"/>
          <w:highlight w:val="none"/>
        </w:rPr>
        <w:t>在项目初始阶段，应针对项目特点和应用重点制定项目BIM目标，各阶段BIM模型符合表1.1.1规定。</w:t>
      </w:r>
    </w:p>
    <w:p w14:paraId="068552A0">
      <w:pPr>
        <w:pStyle w:val="401"/>
        <w:tabs>
          <w:tab w:val="left" w:pos="0"/>
          <w:tab w:val="left" w:pos="420"/>
        </w:tabs>
        <w:spacing w:before="120" w:beforeLines="50" w:after="120" w:afterLines="50"/>
        <w:ind w:firstLine="360"/>
        <w:rPr>
          <w:color w:val="auto"/>
          <w:highlight w:val="none"/>
        </w:rPr>
      </w:pPr>
      <w:r>
        <w:rPr>
          <w:color w:val="auto"/>
          <w:highlight w:val="none"/>
        </w:rPr>
        <w:t>表1.1.1  各阶段BIM模型体现</w:t>
      </w:r>
    </w:p>
    <w:tbl>
      <w:tblPr>
        <w:tblStyle w:val="519"/>
        <w:tblW w:w="4998" w:type="pct"/>
        <w:tblInd w:w="0" w:type="dxa"/>
        <w:tblLayout w:type="autofit"/>
        <w:tblCellMar>
          <w:top w:w="0" w:type="dxa"/>
          <w:left w:w="0" w:type="dxa"/>
          <w:bottom w:w="0" w:type="dxa"/>
          <w:right w:w="0" w:type="dxa"/>
        </w:tblCellMar>
      </w:tblPr>
      <w:tblGrid>
        <w:gridCol w:w="876"/>
        <w:gridCol w:w="1589"/>
        <w:gridCol w:w="556"/>
        <w:gridCol w:w="556"/>
        <w:gridCol w:w="556"/>
        <w:gridCol w:w="556"/>
        <w:gridCol w:w="556"/>
        <w:gridCol w:w="556"/>
        <w:gridCol w:w="557"/>
        <w:gridCol w:w="1959"/>
      </w:tblGrid>
      <w:tr w14:paraId="566F64B7">
        <w:tblPrEx>
          <w:tblCellMar>
            <w:top w:w="0" w:type="dxa"/>
            <w:left w:w="0" w:type="dxa"/>
            <w:bottom w:w="0" w:type="dxa"/>
            <w:right w:w="0" w:type="dxa"/>
          </w:tblCellMar>
        </w:tblPrEx>
        <w:trPr>
          <w:trHeight w:val="454" w:hRule="atLeast"/>
        </w:trPr>
        <w:tc>
          <w:tcPr>
            <w:tcW w:w="1482" w:type="pct"/>
            <w:gridSpan w:val="2"/>
            <w:vMerge w:val="restart"/>
            <w:tcBorders>
              <w:top w:val="single" w:color="000000" w:sz="4" w:space="0"/>
              <w:left w:val="single" w:color="000000" w:sz="4" w:space="0"/>
              <w:right w:val="single" w:color="000000" w:sz="4" w:space="0"/>
            </w:tcBorders>
            <w:noWrap w:val="0"/>
            <w:vAlign w:val="center"/>
          </w:tcPr>
          <w:p w14:paraId="05EE09B5">
            <w:pPr>
              <w:pStyle w:val="561"/>
              <w:widowControl w:val="0"/>
              <w:spacing w:before="120" w:after="120" w:line="240" w:lineRule="auto"/>
              <w:ind w:left="31"/>
              <w:rPr>
                <w:b/>
                <w:bCs/>
                <w:color w:val="auto"/>
                <w:highlight w:val="none"/>
                <w:lang w:eastAsia="en-US"/>
              </w:rPr>
            </w:pPr>
            <w:r>
              <w:rPr>
                <w:b/>
                <w:bCs/>
                <w:color w:val="auto"/>
                <w:highlight w:val="none"/>
                <w:lang w:eastAsia="en-US"/>
              </w:rPr>
              <w:t>阶段</w:t>
            </w:r>
          </w:p>
        </w:tc>
        <w:tc>
          <w:tcPr>
            <w:tcW w:w="334" w:type="pct"/>
            <w:vMerge w:val="restart"/>
            <w:tcBorders>
              <w:top w:val="single" w:color="000000" w:sz="4" w:space="0"/>
              <w:left w:val="single" w:color="000000" w:sz="4" w:space="0"/>
              <w:right w:val="single" w:color="000000" w:sz="4" w:space="0"/>
            </w:tcBorders>
            <w:noWrap w:val="0"/>
            <w:vAlign w:val="center"/>
          </w:tcPr>
          <w:p w14:paraId="05AA50AF">
            <w:pPr>
              <w:pStyle w:val="561"/>
              <w:widowControl w:val="0"/>
              <w:spacing w:before="120" w:after="120"/>
              <w:ind w:left="31"/>
              <w:rPr>
                <w:b/>
                <w:bCs/>
                <w:color w:val="auto"/>
                <w:highlight w:val="none"/>
                <w:lang w:eastAsia="en-US"/>
              </w:rPr>
            </w:pPr>
            <w:r>
              <w:rPr>
                <w:b/>
                <w:bCs/>
                <w:color w:val="auto"/>
                <w:highlight w:val="none"/>
                <w:lang w:eastAsia="en-US"/>
              </w:rPr>
              <w:t>建筑</w:t>
            </w:r>
          </w:p>
        </w:tc>
        <w:tc>
          <w:tcPr>
            <w:tcW w:w="334" w:type="pct"/>
            <w:vMerge w:val="restart"/>
            <w:tcBorders>
              <w:top w:val="single" w:color="000000" w:sz="4" w:space="0"/>
              <w:left w:val="single" w:color="000000" w:sz="4" w:space="0"/>
              <w:right w:val="single" w:color="000000" w:sz="4" w:space="0"/>
            </w:tcBorders>
            <w:noWrap w:val="0"/>
            <w:vAlign w:val="center"/>
          </w:tcPr>
          <w:p w14:paraId="5A865400">
            <w:pPr>
              <w:pStyle w:val="561"/>
              <w:widowControl w:val="0"/>
              <w:spacing w:before="120" w:after="120"/>
              <w:ind w:left="31"/>
              <w:rPr>
                <w:b/>
                <w:bCs/>
                <w:color w:val="auto"/>
                <w:highlight w:val="none"/>
                <w:lang w:eastAsia="en-US"/>
              </w:rPr>
            </w:pPr>
            <w:r>
              <w:rPr>
                <w:b/>
                <w:bCs/>
                <w:color w:val="auto"/>
                <w:highlight w:val="none"/>
                <w:lang w:eastAsia="en-US"/>
              </w:rPr>
              <w:t>结构</w:t>
            </w:r>
          </w:p>
        </w:tc>
        <w:tc>
          <w:tcPr>
            <w:tcW w:w="1671" w:type="pct"/>
            <w:gridSpan w:val="5"/>
            <w:tcBorders>
              <w:top w:val="single" w:color="000000" w:sz="4" w:space="0"/>
              <w:left w:val="single" w:color="000000" w:sz="4" w:space="0"/>
              <w:bottom w:val="single" w:color="000000" w:sz="4" w:space="0"/>
              <w:right w:val="single" w:color="000000" w:sz="4" w:space="0"/>
            </w:tcBorders>
            <w:noWrap w:val="0"/>
            <w:vAlign w:val="center"/>
          </w:tcPr>
          <w:p w14:paraId="40F7A744">
            <w:pPr>
              <w:pStyle w:val="561"/>
              <w:widowControl w:val="0"/>
              <w:spacing w:before="120" w:after="120"/>
              <w:ind w:left="31" w:right="1"/>
              <w:rPr>
                <w:b/>
                <w:bCs/>
                <w:color w:val="auto"/>
                <w:highlight w:val="none"/>
                <w:lang w:eastAsia="en-US"/>
              </w:rPr>
            </w:pPr>
            <w:r>
              <w:rPr>
                <w:b/>
                <w:bCs/>
                <w:color w:val="auto"/>
                <w:highlight w:val="none"/>
                <w:lang w:eastAsia="en-US"/>
              </w:rPr>
              <w:t>机电</w:t>
            </w:r>
          </w:p>
        </w:tc>
        <w:tc>
          <w:tcPr>
            <w:tcW w:w="1177" w:type="pct"/>
            <w:vMerge w:val="restart"/>
            <w:tcBorders>
              <w:top w:val="single" w:color="000000" w:sz="4" w:space="0"/>
              <w:left w:val="single" w:color="000000" w:sz="4" w:space="0"/>
              <w:right w:val="single" w:color="000000" w:sz="4" w:space="0"/>
            </w:tcBorders>
            <w:noWrap w:val="0"/>
            <w:vAlign w:val="center"/>
          </w:tcPr>
          <w:p w14:paraId="64A02349">
            <w:pPr>
              <w:pStyle w:val="561"/>
              <w:widowControl w:val="0"/>
              <w:spacing w:before="120" w:after="120"/>
              <w:ind w:left="31" w:right="1"/>
              <w:rPr>
                <w:b/>
                <w:bCs/>
                <w:color w:val="auto"/>
                <w:highlight w:val="none"/>
                <w:lang w:eastAsia="en-US"/>
              </w:rPr>
            </w:pPr>
            <w:r>
              <w:rPr>
                <w:b/>
                <w:bCs/>
                <w:color w:val="auto"/>
                <w:highlight w:val="none"/>
                <w:lang w:eastAsia="en-US"/>
              </w:rPr>
              <w:t>重点</w:t>
            </w:r>
          </w:p>
        </w:tc>
      </w:tr>
      <w:tr w14:paraId="12B432E3">
        <w:tblPrEx>
          <w:tblCellMar>
            <w:top w:w="0" w:type="dxa"/>
            <w:left w:w="0" w:type="dxa"/>
            <w:bottom w:w="0" w:type="dxa"/>
            <w:right w:w="0" w:type="dxa"/>
          </w:tblCellMar>
        </w:tblPrEx>
        <w:trPr>
          <w:trHeight w:val="454" w:hRule="atLeast"/>
        </w:trPr>
        <w:tc>
          <w:tcPr>
            <w:tcW w:w="1482" w:type="pct"/>
            <w:gridSpan w:val="2"/>
            <w:vMerge w:val="continue"/>
            <w:tcBorders>
              <w:left w:val="single" w:color="000000" w:sz="4" w:space="0"/>
              <w:bottom w:val="single" w:color="000000" w:sz="4" w:space="0"/>
              <w:right w:val="single" w:color="000000" w:sz="4" w:space="0"/>
            </w:tcBorders>
            <w:noWrap w:val="0"/>
            <w:vAlign w:val="center"/>
          </w:tcPr>
          <w:p w14:paraId="0EE37168">
            <w:pPr>
              <w:pStyle w:val="561"/>
              <w:widowControl w:val="0"/>
              <w:spacing w:before="120" w:after="120" w:line="240" w:lineRule="auto"/>
              <w:ind w:left="31"/>
              <w:rPr>
                <w:color w:val="auto"/>
                <w:highlight w:val="none"/>
                <w:lang w:eastAsia="en-US"/>
              </w:rPr>
            </w:pPr>
          </w:p>
        </w:tc>
        <w:tc>
          <w:tcPr>
            <w:tcW w:w="334" w:type="pct"/>
            <w:vMerge w:val="continue"/>
            <w:tcBorders>
              <w:left w:val="single" w:color="000000" w:sz="4" w:space="0"/>
              <w:bottom w:val="single" w:color="000000" w:sz="4" w:space="0"/>
              <w:right w:val="single" w:color="000000" w:sz="4" w:space="0"/>
            </w:tcBorders>
            <w:noWrap w:val="0"/>
            <w:vAlign w:val="center"/>
          </w:tcPr>
          <w:p w14:paraId="4038E9A5">
            <w:pPr>
              <w:pStyle w:val="561"/>
              <w:widowControl w:val="0"/>
              <w:spacing w:before="120" w:after="120" w:line="240" w:lineRule="auto"/>
              <w:ind w:left="31"/>
              <w:rPr>
                <w:color w:val="auto"/>
                <w:highlight w:val="none"/>
                <w:lang w:eastAsia="en-US"/>
              </w:rPr>
            </w:pPr>
          </w:p>
        </w:tc>
        <w:tc>
          <w:tcPr>
            <w:tcW w:w="334" w:type="pct"/>
            <w:vMerge w:val="continue"/>
            <w:tcBorders>
              <w:left w:val="single" w:color="000000" w:sz="4" w:space="0"/>
              <w:bottom w:val="single" w:color="000000" w:sz="4" w:space="0"/>
              <w:right w:val="single" w:color="000000" w:sz="4" w:space="0"/>
            </w:tcBorders>
            <w:noWrap w:val="0"/>
            <w:vAlign w:val="center"/>
          </w:tcPr>
          <w:p w14:paraId="74BB2245">
            <w:pPr>
              <w:pStyle w:val="561"/>
              <w:widowControl w:val="0"/>
              <w:spacing w:before="120" w:after="120" w:line="240" w:lineRule="auto"/>
              <w:ind w:left="31"/>
              <w:rPr>
                <w:color w:val="auto"/>
                <w:highlight w:val="none"/>
                <w:lang w:eastAsia="en-US"/>
              </w:rPr>
            </w:pP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1955B418">
            <w:pPr>
              <w:pStyle w:val="561"/>
              <w:widowControl w:val="0"/>
              <w:spacing w:before="120" w:after="120"/>
              <w:ind w:left="31"/>
              <w:rPr>
                <w:b/>
                <w:bCs/>
                <w:color w:val="auto"/>
                <w:highlight w:val="none"/>
                <w:lang w:eastAsia="en-US"/>
              </w:rPr>
            </w:pPr>
            <w:r>
              <w:rPr>
                <w:b/>
                <w:bCs/>
                <w:color w:val="auto"/>
                <w:highlight w:val="none"/>
                <w:lang w:eastAsia="en-US"/>
              </w:rPr>
              <w:t>暖通</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0BF3669A">
            <w:pPr>
              <w:pStyle w:val="561"/>
              <w:widowControl w:val="0"/>
              <w:spacing w:before="120" w:after="120"/>
              <w:ind w:left="31"/>
              <w:rPr>
                <w:b/>
                <w:bCs/>
                <w:color w:val="auto"/>
                <w:highlight w:val="none"/>
                <w:lang w:eastAsia="en-US"/>
              </w:rPr>
            </w:pPr>
            <w:r>
              <w:rPr>
                <w:b/>
                <w:bCs/>
                <w:color w:val="auto"/>
                <w:highlight w:val="none"/>
                <w:lang w:eastAsia="en-US"/>
              </w:rPr>
              <w:t>消防</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54630D26">
            <w:pPr>
              <w:pStyle w:val="561"/>
              <w:widowControl w:val="0"/>
              <w:spacing w:before="120" w:after="120"/>
              <w:ind w:left="31"/>
              <w:rPr>
                <w:b/>
                <w:bCs/>
                <w:color w:val="auto"/>
                <w:highlight w:val="none"/>
                <w:lang w:eastAsia="en-US"/>
              </w:rPr>
            </w:pPr>
            <w:r>
              <w:rPr>
                <w:b/>
                <w:bCs/>
                <w:color w:val="auto"/>
                <w:highlight w:val="none"/>
                <w:lang w:eastAsia="en-US"/>
              </w:rPr>
              <w:t>给排水</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6FDC725E">
            <w:pPr>
              <w:pStyle w:val="561"/>
              <w:widowControl w:val="0"/>
              <w:spacing w:before="120" w:after="120"/>
              <w:ind w:left="31"/>
              <w:rPr>
                <w:b/>
                <w:bCs/>
                <w:color w:val="auto"/>
                <w:highlight w:val="none"/>
                <w:lang w:eastAsia="en-US"/>
              </w:rPr>
            </w:pPr>
            <w:r>
              <w:rPr>
                <w:b/>
                <w:bCs/>
                <w:color w:val="auto"/>
                <w:highlight w:val="none"/>
                <w:lang w:eastAsia="en-US"/>
              </w:rPr>
              <w:t>强电</w:t>
            </w:r>
          </w:p>
        </w:tc>
        <w:tc>
          <w:tcPr>
            <w:tcW w:w="335" w:type="pct"/>
            <w:tcBorders>
              <w:top w:val="single" w:color="000000" w:sz="4" w:space="0"/>
              <w:left w:val="single" w:color="000000" w:sz="4" w:space="0"/>
              <w:bottom w:val="single" w:color="000000" w:sz="4" w:space="0"/>
              <w:right w:val="single" w:color="000000" w:sz="4" w:space="0"/>
            </w:tcBorders>
            <w:noWrap w:val="0"/>
            <w:vAlign w:val="center"/>
          </w:tcPr>
          <w:p w14:paraId="0E7F782D">
            <w:pPr>
              <w:pStyle w:val="561"/>
              <w:widowControl w:val="0"/>
              <w:spacing w:before="120" w:after="120"/>
              <w:ind w:left="31"/>
              <w:rPr>
                <w:b/>
                <w:bCs/>
                <w:color w:val="auto"/>
                <w:highlight w:val="none"/>
                <w:lang w:eastAsia="en-US"/>
              </w:rPr>
            </w:pPr>
            <w:r>
              <w:rPr>
                <w:b/>
                <w:bCs/>
                <w:color w:val="auto"/>
                <w:highlight w:val="none"/>
                <w:lang w:eastAsia="en-US"/>
              </w:rPr>
              <w:t>弱电</w:t>
            </w:r>
          </w:p>
        </w:tc>
        <w:tc>
          <w:tcPr>
            <w:tcW w:w="1177" w:type="pct"/>
            <w:vMerge w:val="continue"/>
            <w:tcBorders>
              <w:left w:val="single" w:color="000000" w:sz="4" w:space="0"/>
              <w:bottom w:val="single" w:color="000000" w:sz="4" w:space="0"/>
              <w:right w:val="single" w:color="000000" w:sz="4" w:space="0"/>
            </w:tcBorders>
            <w:noWrap w:val="0"/>
            <w:vAlign w:val="center"/>
          </w:tcPr>
          <w:p w14:paraId="3F544F14">
            <w:pPr>
              <w:pStyle w:val="561"/>
              <w:widowControl w:val="0"/>
              <w:spacing w:before="120" w:after="120" w:line="240" w:lineRule="auto"/>
              <w:ind w:left="31"/>
              <w:rPr>
                <w:color w:val="auto"/>
                <w:highlight w:val="none"/>
                <w:lang w:eastAsia="en-US"/>
              </w:rPr>
            </w:pPr>
          </w:p>
        </w:tc>
      </w:tr>
      <w:tr w14:paraId="42A21A3B">
        <w:tblPrEx>
          <w:tblCellMar>
            <w:top w:w="0" w:type="dxa"/>
            <w:left w:w="0" w:type="dxa"/>
            <w:bottom w:w="0" w:type="dxa"/>
            <w:right w:w="0" w:type="dxa"/>
          </w:tblCellMar>
        </w:tblPrEx>
        <w:trPr>
          <w:trHeight w:val="454" w:hRule="atLeast"/>
        </w:trPr>
        <w:tc>
          <w:tcPr>
            <w:tcW w:w="527" w:type="pct"/>
            <w:vMerge w:val="restart"/>
            <w:tcBorders>
              <w:top w:val="single" w:color="000000" w:sz="4" w:space="0"/>
              <w:left w:val="single" w:color="000000" w:sz="4" w:space="0"/>
              <w:right w:val="single" w:color="auto" w:sz="4" w:space="0"/>
            </w:tcBorders>
            <w:noWrap w:val="0"/>
            <w:vAlign w:val="center"/>
          </w:tcPr>
          <w:p w14:paraId="79399C9E">
            <w:pPr>
              <w:pStyle w:val="561"/>
              <w:widowControl w:val="0"/>
              <w:spacing w:before="120" w:after="120" w:line="240" w:lineRule="auto"/>
              <w:ind w:left="31"/>
              <w:rPr>
                <w:color w:val="auto"/>
                <w:highlight w:val="none"/>
                <w:lang w:eastAsia="en-US"/>
              </w:rPr>
            </w:pPr>
            <w:r>
              <w:rPr>
                <w:color w:val="auto"/>
                <w:highlight w:val="none"/>
                <w:lang w:eastAsia="en-US"/>
              </w:rPr>
              <w:t>设计</w:t>
            </w:r>
            <w:r>
              <w:rPr>
                <w:rFonts w:hint="eastAsia"/>
                <w:color w:val="auto"/>
                <w:highlight w:val="none"/>
                <w:lang w:val="en-US" w:eastAsia="en-US"/>
              </w:rPr>
              <w:t>阶段</w:t>
            </w:r>
          </w:p>
        </w:tc>
        <w:tc>
          <w:tcPr>
            <w:tcW w:w="955" w:type="pct"/>
            <w:tcBorders>
              <w:top w:val="single" w:color="000000" w:sz="4" w:space="0"/>
              <w:left w:val="single" w:color="auto" w:sz="4" w:space="0"/>
              <w:bottom w:val="single" w:color="000000" w:sz="4" w:space="0"/>
              <w:right w:val="single" w:color="000000" w:sz="4" w:space="0"/>
            </w:tcBorders>
            <w:noWrap w:val="0"/>
            <w:vAlign w:val="center"/>
          </w:tcPr>
          <w:p w14:paraId="186E4DB0">
            <w:pPr>
              <w:pStyle w:val="561"/>
              <w:widowControl w:val="0"/>
              <w:spacing w:before="120" w:after="120" w:line="240" w:lineRule="auto"/>
              <w:ind w:left="31"/>
              <w:rPr>
                <w:color w:val="auto"/>
                <w:highlight w:val="none"/>
                <w:lang w:val="en-US" w:eastAsia="en-US"/>
              </w:rPr>
            </w:pPr>
            <w:r>
              <w:rPr>
                <w:rFonts w:hint="eastAsia"/>
                <w:color w:val="auto"/>
                <w:highlight w:val="none"/>
                <w:lang w:eastAsia="en-US"/>
              </w:rPr>
              <w:t>方案设计</w:t>
            </w:r>
            <w:r>
              <w:rPr>
                <w:rFonts w:hint="eastAsia"/>
                <w:color w:val="auto"/>
                <w:highlight w:val="none"/>
                <w:lang w:val="en-US" w:eastAsia="en-US"/>
              </w:rPr>
              <w:t>阶段</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45498D41">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3483C4E1">
            <w:pPr>
              <w:pStyle w:val="561"/>
              <w:widowControl w:val="0"/>
              <w:spacing w:before="120" w:after="120" w:line="240" w:lineRule="auto"/>
              <w:ind w:left="31"/>
              <w:rPr>
                <w:color w:val="auto"/>
                <w:highlight w:val="none"/>
                <w:lang w:eastAsia="en-US"/>
              </w:rPr>
            </w:pP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4C71FC80">
            <w:pPr>
              <w:pStyle w:val="561"/>
              <w:widowControl w:val="0"/>
              <w:spacing w:before="120" w:after="120" w:line="240" w:lineRule="auto"/>
              <w:ind w:left="31"/>
              <w:rPr>
                <w:color w:val="auto"/>
                <w:highlight w:val="none"/>
                <w:lang w:eastAsia="en-US"/>
              </w:rPr>
            </w:pP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0E769945">
            <w:pPr>
              <w:pStyle w:val="561"/>
              <w:widowControl w:val="0"/>
              <w:spacing w:before="120" w:after="120" w:line="240" w:lineRule="auto"/>
              <w:ind w:left="31"/>
              <w:rPr>
                <w:color w:val="auto"/>
                <w:highlight w:val="none"/>
                <w:lang w:eastAsia="en-US"/>
              </w:rPr>
            </w:pP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40A2A351">
            <w:pPr>
              <w:pStyle w:val="561"/>
              <w:widowControl w:val="0"/>
              <w:spacing w:before="120" w:after="120" w:line="240" w:lineRule="auto"/>
              <w:ind w:left="31"/>
              <w:rPr>
                <w:color w:val="auto"/>
                <w:highlight w:val="none"/>
                <w:lang w:eastAsia="en-US"/>
              </w:rPr>
            </w:pP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777C47CF">
            <w:pPr>
              <w:pStyle w:val="561"/>
              <w:widowControl w:val="0"/>
              <w:spacing w:before="120" w:after="120" w:line="240" w:lineRule="auto"/>
              <w:ind w:left="31"/>
              <w:rPr>
                <w:color w:val="auto"/>
                <w:highlight w:val="none"/>
                <w:lang w:eastAsia="en-US"/>
              </w:rPr>
            </w:pPr>
          </w:p>
        </w:tc>
        <w:tc>
          <w:tcPr>
            <w:tcW w:w="335" w:type="pct"/>
            <w:tcBorders>
              <w:top w:val="single" w:color="000000" w:sz="4" w:space="0"/>
              <w:left w:val="single" w:color="000000" w:sz="4" w:space="0"/>
              <w:bottom w:val="single" w:color="000000" w:sz="4" w:space="0"/>
              <w:right w:val="single" w:color="000000" w:sz="4" w:space="0"/>
            </w:tcBorders>
            <w:noWrap w:val="0"/>
            <w:vAlign w:val="center"/>
          </w:tcPr>
          <w:p w14:paraId="6510486C">
            <w:pPr>
              <w:pStyle w:val="561"/>
              <w:widowControl w:val="0"/>
              <w:spacing w:before="120" w:after="120" w:line="240" w:lineRule="auto"/>
              <w:ind w:left="31"/>
              <w:rPr>
                <w:color w:val="auto"/>
                <w:highlight w:val="none"/>
                <w:lang w:eastAsia="en-US"/>
              </w:rPr>
            </w:pPr>
          </w:p>
        </w:tc>
        <w:tc>
          <w:tcPr>
            <w:tcW w:w="1177" w:type="pct"/>
            <w:tcBorders>
              <w:top w:val="single" w:color="000000" w:sz="4" w:space="0"/>
              <w:left w:val="single" w:color="000000" w:sz="4" w:space="0"/>
              <w:bottom w:val="single" w:color="000000" w:sz="4" w:space="0"/>
              <w:right w:val="single" w:color="000000" w:sz="4" w:space="0"/>
            </w:tcBorders>
            <w:noWrap w:val="0"/>
            <w:vAlign w:val="center"/>
          </w:tcPr>
          <w:p w14:paraId="14CF274E">
            <w:pPr>
              <w:pStyle w:val="561"/>
              <w:widowControl w:val="0"/>
              <w:spacing w:before="120" w:after="120" w:line="240" w:lineRule="auto"/>
              <w:ind w:left="31"/>
              <w:rPr>
                <w:color w:val="auto"/>
                <w:highlight w:val="none"/>
                <w:lang w:eastAsia="en-US"/>
              </w:rPr>
            </w:pPr>
            <w:r>
              <w:rPr>
                <w:color w:val="auto"/>
                <w:highlight w:val="none"/>
                <w:lang w:eastAsia="en-US"/>
              </w:rPr>
              <w:t>面积，功能</w:t>
            </w:r>
          </w:p>
        </w:tc>
      </w:tr>
      <w:tr w14:paraId="580E3B01">
        <w:tblPrEx>
          <w:tblCellMar>
            <w:top w:w="0" w:type="dxa"/>
            <w:left w:w="0" w:type="dxa"/>
            <w:bottom w:w="0" w:type="dxa"/>
            <w:right w:w="0" w:type="dxa"/>
          </w:tblCellMar>
        </w:tblPrEx>
        <w:trPr>
          <w:trHeight w:val="454" w:hRule="atLeast"/>
        </w:trPr>
        <w:tc>
          <w:tcPr>
            <w:tcW w:w="527" w:type="pct"/>
            <w:vMerge w:val="continue"/>
            <w:tcBorders>
              <w:left w:val="single" w:color="000000" w:sz="4" w:space="0"/>
              <w:right w:val="single" w:color="auto" w:sz="4" w:space="0"/>
            </w:tcBorders>
            <w:noWrap w:val="0"/>
            <w:vAlign w:val="center"/>
          </w:tcPr>
          <w:p w14:paraId="33056535">
            <w:pPr>
              <w:pStyle w:val="561"/>
              <w:widowControl w:val="0"/>
              <w:spacing w:before="120" w:after="120" w:line="240" w:lineRule="auto"/>
              <w:ind w:left="31"/>
              <w:rPr>
                <w:color w:val="auto"/>
                <w:highlight w:val="none"/>
                <w:lang w:eastAsia="en-US"/>
              </w:rPr>
            </w:pPr>
          </w:p>
        </w:tc>
        <w:tc>
          <w:tcPr>
            <w:tcW w:w="955" w:type="pct"/>
            <w:tcBorders>
              <w:top w:val="single" w:color="000000" w:sz="4" w:space="0"/>
              <w:left w:val="single" w:color="auto" w:sz="4" w:space="0"/>
              <w:bottom w:val="single" w:color="000000" w:sz="4" w:space="0"/>
              <w:right w:val="single" w:color="000000" w:sz="4" w:space="0"/>
            </w:tcBorders>
            <w:noWrap w:val="0"/>
            <w:vAlign w:val="center"/>
          </w:tcPr>
          <w:p w14:paraId="00F56AED">
            <w:pPr>
              <w:pStyle w:val="561"/>
              <w:widowControl w:val="0"/>
              <w:spacing w:before="120" w:after="120" w:line="240" w:lineRule="auto"/>
              <w:ind w:left="31"/>
              <w:rPr>
                <w:color w:val="auto"/>
                <w:highlight w:val="none"/>
                <w:lang w:val="en-US" w:eastAsia="en-US"/>
              </w:rPr>
            </w:pPr>
            <w:r>
              <w:rPr>
                <w:rFonts w:hint="eastAsia"/>
                <w:color w:val="auto"/>
                <w:highlight w:val="none"/>
                <w:lang w:val="en-US" w:eastAsia="en-US"/>
              </w:rPr>
              <w:t>初步设计阶段</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2A1D19B0">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386F023C">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18ED3C37">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4A8865E0">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34FE9B43">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3EACF004">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5" w:type="pct"/>
            <w:tcBorders>
              <w:top w:val="single" w:color="000000" w:sz="4" w:space="0"/>
              <w:left w:val="single" w:color="000000" w:sz="4" w:space="0"/>
              <w:bottom w:val="single" w:color="000000" w:sz="4" w:space="0"/>
              <w:right w:val="single" w:color="000000" w:sz="4" w:space="0"/>
            </w:tcBorders>
            <w:noWrap w:val="0"/>
            <w:vAlign w:val="center"/>
          </w:tcPr>
          <w:p w14:paraId="7FD93672">
            <w:pPr>
              <w:pStyle w:val="561"/>
              <w:widowControl w:val="0"/>
              <w:spacing w:before="120" w:after="120" w:line="240" w:lineRule="auto"/>
              <w:ind w:left="31"/>
              <w:rPr>
                <w:color w:val="auto"/>
                <w:highlight w:val="none"/>
                <w:lang w:eastAsia="en-US"/>
              </w:rPr>
            </w:pPr>
          </w:p>
        </w:tc>
        <w:tc>
          <w:tcPr>
            <w:tcW w:w="1177" w:type="pct"/>
            <w:tcBorders>
              <w:top w:val="single" w:color="000000" w:sz="4" w:space="0"/>
              <w:left w:val="single" w:color="000000" w:sz="4" w:space="0"/>
              <w:bottom w:val="single" w:color="000000" w:sz="4" w:space="0"/>
              <w:right w:val="single" w:color="000000" w:sz="4" w:space="0"/>
            </w:tcBorders>
            <w:noWrap w:val="0"/>
            <w:vAlign w:val="center"/>
          </w:tcPr>
          <w:p w14:paraId="1A73B76F">
            <w:pPr>
              <w:pStyle w:val="561"/>
              <w:widowControl w:val="0"/>
              <w:spacing w:before="120" w:after="120" w:line="240" w:lineRule="auto"/>
              <w:ind w:left="31"/>
              <w:rPr>
                <w:color w:val="auto"/>
                <w:highlight w:val="none"/>
                <w:lang w:eastAsia="en-US"/>
              </w:rPr>
            </w:pPr>
            <w:r>
              <w:rPr>
                <w:color w:val="auto"/>
                <w:highlight w:val="none"/>
                <w:lang w:eastAsia="en-US"/>
              </w:rPr>
              <w:t>协调，深化</w:t>
            </w:r>
          </w:p>
        </w:tc>
      </w:tr>
      <w:tr w14:paraId="1A316409">
        <w:tblPrEx>
          <w:tblCellMar>
            <w:top w:w="0" w:type="dxa"/>
            <w:left w:w="0" w:type="dxa"/>
            <w:bottom w:w="0" w:type="dxa"/>
            <w:right w:w="0" w:type="dxa"/>
          </w:tblCellMar>
        </w:tblPrEx>
        <w:trPr>
          <w:trHeight w:val="454" w:hRule="atLeast"/>
        </w:trPr>
        <w:tc>
          <w:tcPr>
            <w:tcW w:w="527" w:type="pct"/>
            <w:vMerge w:val="continue"/>
            <w:tcBorders>
              <w:left w:val="single" w:color="000000" w:sz="4" w:space="0"/>
              <w:bottom w:val="single" w:color="000000" w:sz="4" w:space="0"/>
              <w:right w:val="single" w:color="auto" w:sz="4" w:space="0"/>
            </w:tcBorders>
            <w:noWrap w:val="0"/>
            <w:vAlign w:val="center"/>
          </w:tcPr>
          <w:p w14:paraId="00A1FA6A">
            <w:pPr>
              <w:pStyle w:val="561"/>
              <w:widowControl w:val="0"/>
              <w:spacing w:before="120" w:after="120" w:line="240" w:lineRule="auto"/>
              <w:ind w:left="31"/>
              <w:rPr>
                <w:color w:val="auto"/>
                <w:highlight w:val="none"/>
                <w:lang w:eastAsia="en-US"/>
              </w:rPr>
            </w:pPr>
          </w:p>
        </w:tc>
        <w:tc>
          <w:tcPr>
            <w:tcW w:w="955" w:type="pct"/>
            <w:tcBorders>
              <w:top w:val="single" w:color="000000" w:sz="4" w:space="0"/>
              <w:left w:val="single" w:color="auto" w:sz="4" w:space="0"/>
              <w:bottom w:val="single" w:color="000000" w:sz="4" w:space="0"/>
              <w:right w:val="single" w:color="000000" w:sz="4" w:space="0"/>
            </w:tcBorders>
            <w:noWrap w:val="0"/>
            <w:vAlign w:val="center"/>
          </w:tcPr>
          <w:p w14:paraId="3DEB5294">
            <w:pPr>
              <w:pStyle w:val="561"/>
              <w:widowControl w:val="0"/>
              <w:spacing w:before="120" w:after="120" w:line="240" w:lineRule="auto"/>
              <w:ind w:left="31"/>
              <w:rPr>
                <w:color w:val="auto"/>
                <w:highlight w:val="none"/>
                <w:lang w:val="en-US" w:eastAsia="en-US"/>
              </w:rPr>
            </w:pPr>
            <w:r>
              <w:rPr>
                <w:rFonts w:hint="eastAsia"/>
                <w:color w:val="auto"/>
                <w:highlight w:val="none"/>
                <w:lang w:eastAsia="en-US"/>
              </w:rPr>
              <w:t>施工图</w:t>
            </w:r>
            <w:r>
              <w:rPr>
                <w:rFonts w:hint="eastAsia"/>
                <w:color w:val="auto"/>
                <w:highlight w:val="none"/>
                <w:lang w:val="en-US" w:eastAsia="en-US"/>
              </w:rPr>
              <w:t>设计阶段</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60D4E748">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5AE3B337">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4575E080">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715774CB">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60132526">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3A4CE793">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5" w:type="pct"/>
            <w:tcBorders>
              <w:top w:val="single" w:color="000000" w:sz="4" w:space="0"/>
              <w:left w:val="single" w:color="000000" w:sz="4" w:space="0"/>
              <w:bottom w:val="single" w:color="000000" w:sz="4" w:space="0"/>
              <w:right w:val="single" w:color="000000" w:sz="4" w:space="0"/>
            </w:tcBorders>
            <w:noWrap w:val="0"/>
            <w:vAlign w:val="center"/>
          </w:tcPr>
          <w:p w14:paraId="37ECEDE4">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1177" w:type="pct"/>
            <w:tcBorders>
              <w:top w:val="single" w:color="000000" w:sz="4" w:space="0"/>
              <w:left w:val="single" w:color="000000" w:sz="4" w:space="0"/>
              <w:bottom w:val="single" w:color="000000" w:sz="4" w:space="0"/>
              <w:right w:val="single" w:color="000000" w:sz="4" w:space="0"/>
            </w:tcBorders>
            <w:noWrap w:val="0"/>
            <w:vAlign w:val="center"/>
          </w:tcPr>
          <w:p w14:paraId="4819122B">
            <w:pPr>
              <w:pStyle w:val="561"/>
              <w:widowControl w:val="0"/>
              <w:spacing w:before="120" w:after="120" w:line="240" w:lineRule="auto"/>
              <w:ind w:left="31"/>
              <w:rPr>
                <w:color w:val="auto"/>
                <w:highlight w:val="none"/>
                <w:lang w:eastAsia="en-US"/>
              </w:rPr>
            </w:pPr>
            <w:r>
              <w:rPr>
                <w:color w:val="auto"/>
                <w:highlight w:val="none"/>
                <w:lang w:eastAsia="en-US"/>
              </w:rPr>
              <w:t>施工详图</w:t>
            </w:r>
          </w:p>
        </w:tc>
      </w:tr>
      <w:tr w14:paraId="78BC7B01">
        <w:tblPrEx>
          <w:tblCellMar>
            <w:top w:w="0" w:type="dxa"/>
            <w:left w:w="0" w:type="dxa"/>
            <w:bottom w:w="0" w:type="dxa"/>
            <w:right w:w="0" w:type="dxa"/>
          </w:tblCellMar>
        </w:tblPrEx>
        <w:trPr>
          <w:trHeight w:val="454" w:hRule="atLeast"/>
        </w:trPr>
        <w:tc>
          <w:tcPr>
            <w:tcW w:w="527" w:type="pct"/>
            <w:vMerge w:val="restart"/>
            <w:tcBorders>
              <w:top w:val="single" w:color="000000" w:sz="4" w:space="0"/>
              <w:left w:val="single" w:color="000000" w:sz="4" w:space="0"/>
              <w:right w:val="single" w:color="auto" w:sz="4" w:space="0"/>
            </w:tcBorders>
            <w:noWrap w:val="0"/>
            <w:vAlign w:val="center"/>
          </w:tcPr>
          <w:p w14:paraId="29E8E519">
            <w:pPr>
              <w:pStyle w:val="561"/>
              <w:widowControl w:val="0"/>
              <w:spacing w:before="120" w:after="120" w:line="240" w:lineRule="auto"/>
              <w:ind w:left="31"/>
              <w:rPr>
                <w:color w:val="auto"/>
                <w:highlight w:val="none"/>
                <w:lang w:eastAsia="en-US"/>
              </w:rPr>
            </w:pPr>
            <w:r>
              <w:rPr>
                <w:color w:val="auto"/>
                <w:highlight w:val="none"/>
                <w:lang w:eastAsia="en-US"/>
              </w:rPr>
              <w:t>施工</w:t>
            </w:r>
            <w:r>
              <w:rPr>
                <w:rFonts w:hint="eastAsia"/>
                <w:color w:val="auto"/>
                <w:highlight w:val="none"/>
                <w:lang w:val="en-US" w:eastAsia="en-US"/>
              </w:rPr>
              <w:t>阶段</w:t>
            </w:r>
          </w:p>
        </w:tc>
        <w:tc>
          <w:tcPr>
            <w:tcW w:w="955" w:type="pct"/>
            <w:tcBorders>
              <w:top w:val="single" w:color="000000" w:sz="4" w:space="0"/>
              <w:left w:val="single" w:color="auto" w:sz="4" w:space="0"/>
              <w:bottom w:val="single" w:color="000000" w:sz="4" w:space="0"/>
              <w:right w:val="single" w:color="000000" w:sz="4" w:space="0"/>
            </w:tcBorders>
            <w:noWrap w:val="0"/>
            <w:vAlign w:val="center"/>
          </w:tcPr>
          <w:p w14:paraId="212993A8">
            <w:pPr>
              <w:pStyle w:val="561"/>
              <w:widowControl w:val="0"/>
              <w:spacing w:before="120" w:after="120" w:line="240" w:lineRule="auto"/>
              <w:ind w:left="31"/>
              <w:rPr>
                <w:color w:val="auto"/>
                <w:highlight w:val="none"/>
                <w:lang w:val="en-US" w:eastAsia="en-US"/>
              </w:rPr>
            </w:pPr>
            <w:r>
              <w:rPr>
                <w:rFonts w:hint="eastAsia"/>
                <w:color w:val="auto"/>
                <w:highlight w:val="none"/>
                <w:lang w:val="en-US" w:eastAsia="en-US"/>
              </w:rPr>
              <w:t>施工准备阶段</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1AE33AC2">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57FCB869">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7731AB0F">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1AC751D8">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555DBC50">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6A8CF7E7">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5" w:type="pct"/>
            <w:tcBorders>
              <w:top w:val="single" w:color="000000" w:sz="4" w:space="0"/>
              <w:left w:val="single" w:color="000000" w:sz="4" w:space="0"/>
              <w:bottom w:val="single" w:color="000000" w:sz="4" w:space="0"/>
              <w:right w:val="single" w:color="000000" w:sz="4" w:space="0"/>
            </w:tcBorders>
            <w:noWrap w:val="0"/>
            <w:vAlign w:val="center"/>
          </w:tcPr>
          <w:p w14:paraId="78C7E39F">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1177" w:type="pct"/>
            <w:tcBorders>
              <w:top w:val="single" w:color="000000" w:sz="4" w:space="0"/>
              <w:left w:val="single" w:color="000000" w:sz="4" w:space="0"/>
              <w:bottom w:val="single" w:color="000000" w:sz="4" w:space="0"/>
              <w:right w:val="single" w:color="000000" w:sz="4" w:space="0"/>
            </w:tcBorders>
            <w:noWrap w:val="0"/>
            <w:vAlign w:val="center"/>
          </w:tcPr>
          <w:p w14:paraId="7E342CF9">
            <w:pPr>
              <w:pStyle w:val="561"/>
              <w:widowControl w:val="0"/>
              <w:spacing w:before="120" w:after="120" w:line="240" w:lineRule="auto"/>
              <w:ind w:left="31"/>
              <w:rPr>
                <w:color w:val="auto"/>
                <w:highlight w:val="none"/>
                <w:lang w:eastAsia="en-US"/>
              </w:rPr>
            </w:pPr>
            <w:r>
              <w:rPr>
                <w:color w:val="auto"/>
                <w:highlight w:val="none"/>
                <w:lang w:eastAsia="en-US"/>
              </w:rPr>
              <w:t>管线深化</w:t>
            </w:r>
          </w:p>
        </w:tc>
      </w:tr>
      <w:tr w14:paraId="284B340A">
        <w:tblPrEx>
          <w:tblCellMar>
            <w:top w:w="0" w:type="dxa"/>
            <w:left w:w="0" w:type="dxa"/>
            <w:bottom w:w="0" w:type="dxa"/>
            <w:right w:w="0" w:type="dxa"/>
          </w:tblCellMar>
        </w:tblPrEx>
        <w:trPr>
          <w:trHeight w:val="454" w:hRule="atLeast"/>
        </w:trPr>
        <w:tc>
          <w:tcPr>
            <w:tcW w:w="527" w:type="pct"/>
            <w:vMerge w:val="continue"/>
            <w:tcBorders>
              <w:left w:val="single" w:color="000000" w:sz="4" w:space="0"/>
              <w:right w:val="single" w:color="auto" w:sz="4" w:space="0"/>
            </w:tcBorders>
            <w:noWrap w:val="0"/>
            <w:vAlign w:val="center"/>
          </w:tcPr>
          <w:p w14:paraId="322366EF">
            <w:pPr>
              <w:pStyle w:val="561"/>
              <w:widowControl w:val="0"/>
              <w:spacing w:before="120" w:after="120" w:line="240" w:lineRule="auto"/>
              <w:ind w:left="31"/>
              <w:rPr>
                <w:color w:val="auto"/>
                <w:highlight w:val="none"/>
                <w:lang w:eastAsia="en-US"/>
              </w:rPr>
            </w:pPr>
          </w:p>
        </w:tc>
        <w:tc>
          <w:tcPr>
            <w:tcW w:w="955" w:type="pct"/>
            <w:tcBorders>
              <w:top w:val="single" w:color="000000" w:sz="4" w:space="0"/>
              <w:left w:val="single" w:color="auto" w:sz="4" w:space="0"/>
              <w:bottom w:val="single" w:color="000000" w:sz="4" w:space="0"/>
              <w:right w:val="single" w:color="000000" w:sz="4" w:space="0"/>
            </w:tcBorders>
            <w:noWrap w:val="0"/>
            <w:vAlign w:val="center"/>
          </w:tcPr>
          <w:p w14:paraId="735A6947">
            <w:pPr>
              <w:pStyle w:val="561"/>
              <w:widowControl w:val="0"/>
              <w:spacing w:before="120" w:after="120" w:line="240" w:lineRule="auto"/>
              <w:ind w:left="31"/>
              <w:rPr>
                <w:color w:val="auto"/>
                <w:highlight w:val="none"/>
                <w:lang w:val="en-US" w:eastAsia="en-US"/>
              </w:rPr>
            </w:pPr>
            <w:r>
              <w:rPr>
                <w:rFonts w:hint="eastAsia"/>
                <w:color w:val="auto"/>
                <w:highlight w:val="none"/>
                <w:lang w:eastAsia="en-US"/>
              </w:rPr>
              <w:t>施工</w:t>
            </w:r>
            <w:r>
              <w:rPr>
                <w:rFonts w:hint="eastAsia"/>
                <w:color w:val="auto"/>
                <w:highlight w:val="none"/>
                <w:lang w:val="en-US" w:eastAsia="en-US"/>
              </w:rPr>
              <w:t>过程阶段</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4A8640A5">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3FF432D6">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41021A58">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71DD2ED7">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5E4F5537">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669951E1">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5" w:type="pct"/>
            <w:tcBorders>
              <w:top w:val="single" w:color="000000" w:sz="4" w:space="0"/>
              <w:left w:val="single" w:color="000000" w:sz="4" w:space="0"/>
              <w:bottom w:val="single" w:color="000000" w:sz="4" w:space="0"/>
              <w:right w:val="single" w:color="000000" w:sz="4" w:space="0"/>
            </w:tcBorders>
            <w:noWrap w:val="0"/>
            <w:vAlign w:val="center"/>
          </w:tcPr>
          <w:p w14:paraId="688B063E">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1177" w:type="pct"/>
            <w:tcBorders>
              <w:top w:val="single" w:color="000000" w:sz="4" w:space="0"/>
              <w:left w:val="single" w:color="000000" w:sz="4" w:space="0"/>
              <w:bottom w:val="single" w:color="000000" w:sz="4" w:space="0"/>
              <w:right w:val="single" w:color="000000" w:sz="4" w:space="0"/>
            </w:tcBorders>
            <w:noWrap w:val="0"/>
            <w:vAlign w:val="center"/>
          </w:tcPr>
          <w:p w14:paraId="4C57192D">
            <w:pPr>
              <w:pStyle w:val="561"/>
              <w:widowControl w:val="0"/>
              <w:spacing w:before="120" w:after="120" w:line="240" w:lineRule="auto"/>
              <w:ind w:left="31"/>
              <w:rPr>
                <w:color w:val="auto"/>
                <w:highlight w:val="none"/>
                <w:lang w:eastAsia="en-US"/>
              </w:rPr>
            </w:pPr>
            <w:r>
              <w:rPr>
                <w:color w:val="auto"/>
                <w:highlight w:val="none"/>
                <w:lang w:eastAsia="en-US"/>
              </w:rPr>
              <w:t>施工BIM应用管理</w:t>
            </w:r>
          </w:p>
        </w:tc>
      </w:tr>
      <w:tr w14:paraId="56D7C359">
        <w:tblPrEx>
          <w:tblCellMar>
            <w:top w:w="0" w:type="dxa"/>
            <w:left w:w="0" w:type="dxa"/>
            <w:bottom w:w="0" w:type="dxa"/>
            <w:right w:w="0" w:type="dxa"/>
          </w:tblCellMar>
        </w:tblPrEx>
        <w:trPr>
          <w:trHeight w:val="454" w:hRule="atLeast"/>
        </w:trPr>
        <w:tc>
          <w:tcPr>
            <w:tcW w:w="527" w:type="pct"/>
            <w:vMerge w:val="continue"/>
            <w:tcBorders>
              <w:left w:val="single" w:color="000000" w:sz="4" w:space="0"/>
              <w:bottom w:val="single" w:color="000000" w:sz="4" w:space="0"/>
              <w:right w:val="single" w:color="auto" w:sz="4" w:space="0"/>
            </w:tcBorders>
            <w:noWrap w:val="0"/>
            <w:vAlign w:val="center"/>
          </w:tcPr>
          <w:p w14:paraId="02A69680">
            <w:pPr>
              <w:pStyle w:val="561"/>
              <w:widowControl w:val="0"/>
              <w:spacing w:before="120" w:after="120" w:line="240" w:lineRule="auto"/>
              <w:ind w:left="31"/>
              <w:rPr>
                <w:color w:val="auto"/>
                <w:highlight w:val="none"/>
                <w:lang w:eastAsia="en-US"/>
              </w:rPr>
            </w:pPr>
          </w:p>
        </w:tc>
        <w:tc>
          <w:tcPr>
            <w:tcW w:w="955" w:type="pct"/>
            <w:tcBorders>
              <w:top w:val="single" w:color="000000" w:sz="4" w:space="0"/>
              <w:left w:val="single" w:color="auto" w:sz="4" w:space="0"/>
              <w:bottom w:val="single" w:color="000000" w:sz="4" w:space="0"/>
              <w:right w:val="single" w:color="000000" w:sz="4" w:space="0"/>
            </w:tcBorders>
            <w:noWrap w:val="0"/>
            <w:vAlign w:val="center"/>
          </w:tcPr>
          <w:p w14:paraId="546E335E">
            <w:pPr>
              <w:pStyle w:val="561"/>
              <w:widowControl w:val="0"/>
              <w:spacing w:before="120" w:after="120" w:line="240" w:lineRule="auto"/>
              <w:ind w:left="31"/>
              <w:rPr>
                <w:color w:val="auto"/>
                <w:highlight w:val="none"/>
                <w:lang w:val="en-US" w:eastAsia="en-US"/>
              </w:rPr>
            </w:pPr>
            <w:r>
              <w:rPr>
                <w:rFonts w:hint="eastAsia"/>
                <w:color w:val="auto"/>
                <w:highlight w:val="none"/>
                <w:lang w:eastAsia="en-US"/>
              </w:rPr>
              <w:t>竣工</w:t>
            </w:r>
            <w:r>
              <w:rPr>
                <w:rFonts w:hint="eastAsia"/>
                <w:color w:val="auto"/>
                <w:highlight w:val="none"/>
                <w:lang w:val="en-US" w:eastAsia="en-US"/>
              </w:rPr>
              <w:t>阶段</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6A17A598">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01B5DEB0">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66A98356">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544455B0">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7A6C2FC0">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546F5973">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335" w:type="pct"/>
            <w:tcBorders>
              <w:top w:val="single" w:color="000000" w:sz="4" w:space="0"/>
              <w:left w:val="single" w:color="000000" w:sz="4" w:space="0"/>
              <w:bottom w:val="single" w:color="000000" w:sz="4" w:space="0"/>
              <w:right w:val="single" w:color="000000" w:sz="4" w:space="0"/>
            </w:tcBorders>
            <w:noWrap w:val="0"/>
            <w:vAlign w:val="center"/>
          </w:tcPr>
          <w:p w14:paraId="00C990D9">
            <w:pPr>
              <w:pStyle w:val="561"/>
              <w:widowControl w:val="0"/>
              <w:spacing w:before="120" w:after="120" w:line="240" w:lineRule="auto"/>
              <w:ind w:left="31"/>
              <w:rPr>
                <w:color w:val="auto"/>
                <w:highlight w:val="none"/>
                <w:lang w:eastAsia="en-US"/>
              </w:rPr>
            </w:pPr>
            <w:r>
              <w:rPr>
                <w:color w:val="auto"/>
                <w:highlight w:val="none"/>
                <w:lang w:eastAsia="en-US"/>
              </w:rPr>
              <w:t>√</w:t>
            </w:r>
          </w:p>
        </w:tc>
        <w:tc>
          <w:tcPr>
            <w:tcW w:w="1177" w:type="pct"/>
            <w:tcBorders>
              <w:top w:val="single" w:color="000000" w:sz="4" w:space="0"/>
              <w:left w:val="single" w:color="000000" w:sz="4" w:space="0"/>
              <w:bottom w:val="single" w:color="000000" w:sz="4" w:space="0"/>
              <w:right w:val="single" w:color="000000" w:sz="4" w:space="0"/>
            </w:tcBorders>
            <w:noWrap w:val="0"/>
            <w:vAlign w:val="center"/>
          </w:tcPr>
          <w:p w14:paraId="2AB8FB79">
            <w:pPr>
              <w:pStyle w:val="561"/>
              <w:widowControl w:val="0"/>
              <w:spacing w:before="120" w:after="120" w:line="240" w:lineRule="auto"/>
              <w:ind w:left="31"/>
              <w:rPr>
                <w:color w:val="auto"/>
                <w:highlight w:val="none"/>
                <w:lang w:eastAsia="en-US"/>
              </w:rPr>
            </w:pPr>
            <w:r>
              <w:rPr>
                <w:color w:val="auto"/>
                <w:highlight w:val="none"/>
                <w:lang w:eastAsia="en-US"/>
              </w:rPr>
              <w:t>信息完整性</w:t>
            </w:r>
          </w:p>
        </w:tc>
      </w:tr>
    </w:tbl>
    <w:p w14:paraId="623085FF">
      <w:pPr>
        <w:pStyle w:val="3"/>
        <w:tabs>
          <w:tab w:val="left" w:pos="0"/>
        </w:tabs>
        <w:rPr>
          <w:color w:val="auto"/>
          <w:highlight w:val="none"/>
        </w:rPr>
      </w:pPr>
      <w:bookmarkStart w:id="181" w:name="_Toc15359"/>
      <w:r>
        <w:rPr>
          <w:color w:val="auto"/>
          <w:highlight w:val="none"/>
        </w:rPr>
        <w:t>BIM模型设计阶段应用点分析</w:t>
      </w:r>
      <w:bookmarkEnd w:id="181"/>
    </w:p>
    <w:p w14:paraId="06CAFBF8">
      <w:pPr>
        <w:pStyle w:val="4"/>
        <w:tabs>
          <w:tab w:val="left" w:pos="0"/>
        </w:tabs>
        <w:spacing w:before="120" w:after="120"/>
        <w:rPr>
          <w:color w:val="auto"/>
          <w:highlight w:val="none"/>
        </w:rPr>
      </w:pPr>
      <w:r>
        <w:rPr>
          <w:color w:val="auto"/>
          <w:highlight w:val="none"/>
        </w:rPr>
        <w:t>方案设计阶段应实现：</w:t>
      </w:r>
    </w:p>
    <w:p w14:paraId="008087DC">
      <w:pPr>
        <w:spacing w:before="120" w:after="120"/>
        <w:rPr>
          <w:color w:val="auto"/>
          <w:highlight w:val="none"/>
        </w:rPr>
      </w:pPr>
      <w:r>
        <w:rPr>
          <w:color w:val="auto"/>
          <w:highlight w:val="none"/>
        </w:rPr>
        <w:t>1. 对设计理念进行可视化进行表达；</w:t>
      </w:r>
    </w:p>
    <w:p w14:paraId="6DD40F78">
      <w:pPr>
        <w:spacing w:before="120" w:after="120"/>
        <w:rPr>
          <w:color w:val="auto"/>
          <w:highlight w:val="none"/>
        </w:rPr>
      </w:pPr>
      <w:r>
        <w:rPr>
          <w:color w:val="auto"/>
          <w:highlight w:val="none"/>
        </w:rPr>
        <w:t>2. 通过参数化对工程环境、交通、绿化等进行模拟分析；</w:t>
      </w:r>
    </w:p>
    <w:p w14:paraId="44B514E3">
      <w:pPr>
        <w:spacing w:before="120" w:after="120"/>
        <w:rPr>
          <w:color w:val="auto"/>
          <w:highlight w:val="none"/>
        </w:rPr>
      </w:pPr>
      <w:r>
        <w:rPr>
          <w:color w:val="auto"/>
          <w:highlight w:val="none"/>
        </w:rPr>
        <w:t>3. 强化对设计理念的准确理解。</w:t>
      </w:r>
    </w:p>
    <w:p w14:paraId="7D5A9580">
      <w:pPr>
        <w:pStyle w:val="4"/>
        <w:tabs>
          <w:tab w:val="left" w:pos="0"/>
        </w:tabs>
        <w:spacing w:before="120" w:after="120"/>
        <w:rPr>
          <w:color w:val="auto"/>
          <w:highlight w:val="none"/>
        </w:rPr>
      </w:pPr>
      <w:r>
        <w:rPr>
          <w:color w:val="auto"/>
          <w:highlight w:val="none"/>
        </w:rPr>
        <w:t>初步设计阶段应实现：</w:t>
      </w:r>
    </w:p>
    <w:p w14:paraId="3EF61602">
      <w:pPr>
        <w:spacing w:before="120" w:after="120"/>
        <w:rPr>
          <w:color w:val="auto"/>
          <w:highlight w:val="none"/>
        </w:rPr>
      </w:pPr>
      <w:r>
        <w:rPr>
          <w:color w:val="auto"/>
          <w:highlight w:val="none"/>
        </w:rPr>
        <w:t>1. 利用可视化对设计方案进行比对和优化；</w:t>
      </w:r>
    </w:p>
    <w:p w14:paraId="36301D03">
      <w:pPr>
        <w:spacing w:before="120" w:after="120"/>
        <w:rPr>
          <w:color w:val="auto"/>
          <w:highlight w:val="none"/>
        </w:rPr>
      </w:pPr>
      <w:r>
        <w:rPr>
          <w:color w:val="auto"/>
          <w:highlight w:val="none"/>
        </w:rPr>
        <w:t>2. 利用参数化进行性能分析；</w:t>
      </w:r>
    </w:p>
    <w:p w14:paraId="2221E1B3">
      <w:pPr>
        <w:spacing w:before="120" w:after="120"/>
        <w:rPr>
          <w:color w:val="auto"/>
          <w:highlight w:val="none"/>
        </w:rPr>
      </w:pPr>
      <w:r>
        <w:rPr>
          <w:color w:val="auto"/>
          <w:highlight w:val="none"/>
        </w:rPr>
        <w:t>3. 统计和计算设计中各种数据；</w:t>
      </w:r>
    </w:p>
    <w:p w14:paraId="1E780748">
      <w:pPr>
        <w:spacing w:before="120" w:after="120"/>
        <w:rPr>
          <w:color w:val="auto"/>
          <w:highlight w:val="none"/>
        </w:rPr>
      </w:pPr>
      <w:r>
        <w:rPr>
          <w:color w:val="auto"/>
          <w:highlight w:val="none"/>
        </w:rPr>
        <w:t>4. 实现多专业协同设计。</w:t>
      </w:r>
    </w:p>
    <w:p w14:paraId="56DAB6F1">
      <w:pPr>
        <w:pStyle w:val="4"/>
        <w:tabs>
          <w:tab w:val="left" w:pos="0"/>
        </w:tabs>
        <w:spacing w:before="120" w:after="120"/>
        <w:rPr>
          <w:color w:val="auto"/>
          <w:highlight w:val="none"/>
        </w:rPr>
      </w:pPr>
      <w:r>
        <w:rPr>
          <w:color w:val="auto"/>
          <w:highlight w:val="none"/>
        </w:rPr>
        <w:t>施工图设计阶段应实现：</w:t>
      </w:r>
    </w:p>
    <w:p w14:paraId="4D991DEF">
      <w:pPr>
        <w:spacing w:before="120" w:after="120"/>
        <w:rPr>
          <w:color w:val="auto"/>
          <w:highlight w:val="none"/>
        </w:rPr>
      </w:pPr>
      <w:r>
        <w:rPr>
          <w:color w:val="auto"/>
          <w:highlight w:val="none"/>
        </w:rPr>
        <w:t>1. 通过模型进行施工图深化；</w:t>
      </w:r>
    </w:p>
    <w:p w14:paraId="67B3FB9C">
      <w:pPr>
        <w:spacing w:before="120" w:after="120"/>
        <w:rPr>
          <w:color w:val="auto"/>
          <w:highlight w:val="none"/>
        </w:rPr>
      </w:pPr>
      <w:r>
        <w:rPr>
          <w:color w:val="auto"/>
          <w:highlight w:val="none"/>
        </w:rPr>
        <w:t>2. 通过参数化提高设计出图效率；</w:t>
      </w:r>
    </w:p>
    <w:p w14:paraId="5E060C22">
      <w:pPr>
        <w:spacing w:before="120" w:after="120"/>
        <w:rPr>
          <w:color w:val="auto"/>
          <w:highlight w:val="none"/>
        </w:rPr>
      </w:pPr>
      <w:r>
        <w:rPr>
          <w:color w:val="auto"/>
          <w:highlight w:val="none"/>
        </w:rPr>
        <w:t>3. 通过模型进行设计交底；</w:t>
      </w:r>
    </w:p>
    <w:p w14:paraId="24D18072">
      <w:pPr>
        <w:spacing w:before="120" w:after="120"/>
        <w:rPr>
          <w:color w:val="auto"/>
          <w:highlight w:val="none"/>
        </w:rPr>
      </w:pPr>
      <w:r>
        <w:rPr>
          <w:color w:val="auto"/>
          <w:highlight w:val="none"/>
        </w:rPr>
        <w:t>4. 实现多方设计协同。</w:t>
      </w:r>
    </w:p>
    <w:p w14:paraId="20787C66">
      <w:pPr>
        <w:pStyle w:val="4"/>
        <w:tabs>
          <w:tab w:val="left" w:pos="0"/>
        </w:tabs>
        <w:spacing w:before="120" w:after="120"/>
        <w:rPr>
          <w:color w:val="auto"/>
          <w:highlight w:val="none"/>
        </w:rPr>
      </w:pPr>
      <w:r>
        <w:rPr>
          <w:color w:val="auto"/>
          <w:highlight w:val="none"/>
        </w:rPr>
        <w:t>制定《设计阶段BIM实施方案》</w:t>
      </w:r>
    </w:p>
    <w:p w14:paraId="1AF9DED3">
      <w:pPr>
        <w:spacing w:before="120" w:after="120"/>
        <w:rPr>
          <w:color w:val="auto"/>
          <w:highlight w:val="none"/>
        </w:rPr>
      </w:pPr>
      <w:r>
        <w:rPr>
          <w:color w:val="auto"/>
          <w:highlight w:val="none"/>
        </w:rPr>
        <w:t>1. 设计单位应在项目实施前完成方案编制并提交审核；</w:t>
      </w:r>
    </w:p>
    <w:p w14:paraId="63EFEA1F">
      <w:pPr>
        <w:spacing w:before="120" w:after="120"/>
        <w:rPr>
          <w:color w:val="auto"/>
          <w:highlight w:val="none"/>
        </w:rPr>
      </w:pPr>
      <w:r>
        <w:rPr>
          <w:color w:val="auto"/>
          <w:highlight w:val="none"/>
        </w:rPr>
        <w:t>2. 咨询单位组织评审，方案通过评审才可作为实施依据；</w:t>
      </w:r>
    </w:p>
    <w:p w14:paraId="66B88270">
      <w:pPr>
        <w:spacing w:before="120" w:after="120"/>
        <w:rPr>
          <w:color w:val="auto"/>
          <w:highlight w:val="none"/>
        </w:rPr>
      </w:pPr>
      <w:r>
        <w:rPr>
          <w:color w:val="auto"/>
          <w:highlight w:val="none"/>
        </w:rPr>
        <w:t>3. 项目设计阶段BIM实施应严格按方案执行，如变更须提前提出申请。</w:t>
      </w:r>
    </w:p>
    <w:p w14:paraId="19F8928B">
      <w:pPr>
        <w:pStyle w:val="4"/>
        <w:tabs>
          <w:tab w:val="left" w:pos="0"/>
        </w:tabs>
        <w:spacing w:before="120" w:after="120"/>
        <w:rPr>
          <w:color w:val="auto"/>
          <w:highlight w:val="none"/>
        </w:rPr>
      </w:pPr>
      <w:r>
        <w:rPr>
          <w:color w:val="auto"/>
          <w:highlight w:val="none"/>
        </w:rPr>
        <w:t>创建设计BIM模型</w:t>
      </w:r>
    </w:p>
    <w:p w14:paraId="7D8D29F3">
      <w:pPr>
        <w:spacing w:before="120" w:after="120"/>
        <w:rPr>
          <w:color w:val="auto"/>
          <w:highlight w:val="none"/>
        </w:rPr>
      </w:pPr>
      <w:r>
        <w:rPr>
          <w:color w:val="auto"/>
          <w:highlight w:val="none"/>
        </w:rPr>
        <w:t>1. 设计单位完成设计BIM模型</w:t>
      </w:r>
      <w:r>
        <w:rPr>
          <w:rFonts w:hint="eastAsia"/>
          <w:color w:val="auto"/>
          <w:highlight w:val="none"/>
        </w:rPr>
        <w:t>应符合省代建相关标准规定</w:t>
      </w:r>
      <w:r>
        <w:rPr>
          <w:color w:val="auto"/>
          <w:highlight w:val="none"/>
        </w:rPr>
        <w:t>；</w:t>
      </w:r>
    </w:p>
    <w:p w14:paraId="34F562D9">
      <w:pPr>
        <w:spacing w:before="120" w:after="120"/>
        <w:rPr>
          <w:color w:val="auto"/>
          <w:highlight w:val="none"/>
        </w:rPr>
      </w:pPr>
      <w:r>
        <w:rPr>
          <w:color w:val="auto"/>
          <w:highlight w:val="none"/>
        </w:rPr>
        <w:t>2. 设计BIM模型应作为设计阶段BIM实施的主要成果之一提交，审核通过后归档。</w:t>
      </w:r>
    </w:p>
    <w:p w14:paraId="697CF983">
      <w:pPr>
        <w:pStyle w:val="4"/>
        <w:tabs>
          <w:tab w:val="left" w:pos="0"/>
        </w:tabs>
        <w:spacing w:before="120" w:after="120"/>
        <w:rPr>
          <w:color w:val="auto"/>
          <w:highlight w:val="none"/>
        </w:rPr>
      </w:pPr>
      <w:r>
        <w:rPr>
          <w:color w:val="auto"/>
          <w:highlight w:val="none"/>
        </w:rPr>
        <w:t>规划报批BIM审查</w:t>
      </w:r>
    </w:p>
    <w:p w14:paraId="152B18A3">
      <w:pPr>
        <w:spacing w:before="120" w:after="120"/>
        <w:rPr>
          <w:color w:val="auto"/>
          <w:highlight w:val="none"/>
        </w:rPr>
      </w:pPr>
      <w:r>
        <w:rPr>
          <w:color w:val="auto"/>
          <w:highlight w:val="none"/>
        </w:rPr>
        <w:t>1. 规划信息录入；</w:t>
      </w:r>
    </w:p>
    <w:p w14:paraId="200248D5">
      <w:pPr>
        <w:spacing w:before="120" w:after="120"/>
        <w:rPr>
          <w:color w:val="auto"/>
          <w:highlight w:val="none"/>
        </w:rPr>
      </w:pPr>
      <w:r>
        <w:rPr>
          <w:color w:val="auto"/>
          <w:highlight w:val="none"/>
        </w:rPr>
        <w:t>2. 规划信息满足设计方案BIM报批系统对于BIM审查的要求。</w:t>
      </w:r>
    </w:p>
    <w:p w14:paraId="41D1A927">
      <w:pPr>
        <w:pStyle w:val="4"/>
        <w:tabs>
          <w:tab w:val="left" w:pos="0"/>
        </w:tabs>
        <w:spacing w:before="120" w:after="120"/>
        <w:rPr>
          <w:color w:val="auto"/>
          <w:highlight w:val="none"/>
        </w:rPr>
      </w:pPr>
      <w:r>
        <w:rPr>
          <w:color w:val="auto"/>
          <w:highlight w:val="none"/>
        </w:rPr>
        <w:t>建筑指标统计分析</w:t>
      </w:r>
    </w:p>
    <w:p w14:paraId="7BC8DF56">
      <w:pPr>
        <w:spacing w:before="120" w:after="120"/>
        <w:rPr>
          <w:color w:val="auto"/>
          <w:highlight w:val="none"/>
        </w:rPr>
      </w:pPr>
      <w:r>
        <w:rPr>
          <w:color w:val="auto"/>
          <w:highlight w:val="none"/>
        </w:rPr>
        <w:t>1. 基于BIM模型计算面积、体积、数量等建筑指标；</w:t>
      </w:r>
    </w:p>
    <w:p w14:paraId="74420038">
      <w:pPr>
        <w:spacing w:before="120" w:after="120"/>
        <w:rPr>
          <w:color w:val="auto"/>
          <w:highlight w:val="none"/>
        </w:rPr>
      </w:pPr>
      <w:r>
        <w:rPr>
          <w:color w:val="auto"/>
          <w:highlight w:val="none"/>
        </w:rPr>
        <w:t>2. 建筑指标应能用于设计方案</w:t>
      </w:r>
      <w:r>
        <w:rPr>
          <w:rFonts w:hint="eastAsia"/>
          <w:color w:val="auto"/>
          <w:highlight w:val="none"/>
        </w:rPr>
        <w:t>后审</w:t>
      </w:r>
      <w:r>
        <w:rPr>
          <w:color w:val="auto"/>
          <w:highlight w:val="none"/>
        </w:rPr>
        <w:t>、管理和报批等。</w:t>
      </w:r>
    </w:p>
    <w:p w14:paraId="03241A8F">
      <w:pPr>
        <w:pStyle w:val="4"/>
        <w:tabs>
          <w:tab w:val="left" w:pos="0"/>
        </w:tabs>
        <w:spacing w:before="120" w:after="120"/>
        <w:rPr>
          <w:color w:val="auto"/>
          <w:highlight w:val="none"/>
        </w:rPr>
      </w:pPr>
      <w:r>
        <w:rPr>
          <w:color w:val="auto"/>
          <w:highlight w:val="none"/>
        </w:rPr>
        <w:t>基于全地形BIM的设计应用</w:t>
      </w:r>
    </w:p>
    <w:p w14:paraId="0F21AAFE">
      <w:pPr>
        <w:spacing w:before="120" w:after="120"/>
        <w:rPr>
          <w:color w:val="auto"/>
          <w:highlight w:val="none"/>
        </w:rPr>
      </w:pPr>
      <w:r>
        <w:rPr>
          <w:color w:val="auto"/>
          <w:highlight w:val="none"/>
        </w:rPr>
        <w:t>1. 分析工程地质重难点，规避工程风险；</w:t>
      </w:r>
    </w:p>
    <w:p w14:paraId="21A858DF">
      <w:pPr>
        <w:spacing w:before="120" w:after="120"/>
        <w:rPr>
          <w:color w:val="auto"/>
          <w:highlight w:val="none"/>
        </w:rPr>
      </w:pPr>
      <w:r>
        <w:rPr>
          <w:color w:val="auto"/>
          <w:highlight w:val="none"/>
        </w:rPr>
        <w:t>2. 分析项目范围的交通影响，控制项目临时交通成本；</w:t>
      </w:r>
    </w:p>
    <w:p w14:paraId="593FB451">
      <w:pPr>
        <w:spacing w:before="120" w:after="120"/>
        <w:rPr>
          <w:color w:val="auto"/>
          <w:highlight w:val="none"/>
        </w:rPr>
      </w:pPr>
      <w:r>
        <w:rPr>
          <w:color w:val="auto"/>
          <w:highlight w:val="none"/>
        </w:rPr>
        <w:t>3. 分析市政管道绿化迁移，控制迁移成本；</w:t>
      </w:r>
    </w:p>
    <w:p w14:paraId="36358E68">
      <w:pPr>
        <w:spacing w:before="120" w:after="120"/>
        <w:rPr>
          <w:color w:val="auto"/>
          <w:highlight w:val="none"/>
        </w:rPr>
      </w:pPr>
      <w:r>
        <w:rPr>
          <w:color w:val="auto"/>
          <w:highlight w:val="none"/>
        </w:rPr>
        <w:t>4. 根据设计方案，模拟分析土方平衡方案和运输，提供优化建议；</w:t>
      </w:r>
    </w:p>
    <w:p w14:paraId="7F643A0A">
      <w:pPr>
        <w:spacing w:before="120" w:after="120"/>
        <w:rPr>
          <w:color w:val="auto"/>
          <w:highlight w:val="none"/>
        </w:rPr>
      </w:pPr>
      <w:r>
        <w:rPr>
          <w:color w:val="auto"/>
          <w:highlight w:val="none"/>
        </w:rPr>
        <w:t>5. 可结合无人机数据采集，比对场地原始模型和设计地形模型，分析设计方案对场地影响；</w:t>
      </w:r>
    </w:p>
    <w:p w14:paraId="25F2747F">
      <w:pPr>
        <w:spacing w:before="120" w:after="120"/>
        <w:rPr>
          <w:color w:val="auto"/>
          <w:highlight w:val="none"/>
        </w:rPr>
      </w:pPr>
      <w:r>
        <w:rPr>
          <w:color w:val="auto"/>
          <w:highlight w:val="none"/>
        </w:rPr>
        <w:t>6. 根据场地分析、土方设计方案确定土方专项估算和限额目标，辅助土方工程的限额设计和优化；</w:t>
      </w:r>
    </w:p>
    <w:p w14:paraId="072AFF6A">
      <w:pPr>
        <w:spacing w:before="120" w:after="120"/>
        <w:rPr>
          <w:color w:val="auto"/>
          <w:highlight w:val="none"/>
        </w:rPr>
      </w:pPr>
      <w:r>
        <w:rPr>
          <w:color w:val="auto"/>
          <w:highlight w:val="none"/>
        </w:rPr>
        <w:t>7. 根据土方挖填量，在投资限额控制下制定工程概算指标；</w:t>
      </w:r>
    </w:p>
    <w:p w14:paraId="24D814F6">
      <w:pPr>
        <w:spacing w:before="120" w:after="120"/>
        <w:rPr>
          <w:color w:val="auto"/>
          <w:highlight w:val="none"/>
        </w:rPr>
      </w:pPr>
      <w:r>
        <w:rPr>
          <w:color w:val="auto"/>
          <w:highlight w:val="none"/>
        </w:rPr>
        <w:t>8. 辅助制定及复核清单招标控制价。</w:t>
      </w:r>
    </w:p>
    <w:p w14:paraId="1971E1F9">
      <w:pPr>
        <w:pStyle w:val="4"/>
        <w:tabs>
          <w:tab w:val="left" w:pos="0"/>
        </w:tabs>
        <w:spacing w:before="120" w:after="120"/>
        <w:rPr>
          <w:color w:val="auto"/>
          <w:highlight w:val="none"/>
        </w:rPr>
      </w:pPr>
      <w:r>
        <w:rPr>
          <w:color w:val="auto"/>
          <w:highlight w:val="none"/>
        </w:rPr>
        <w:t>专业综合分析</w:t>
      </w:r>
    </w:p>
    <w:p w14:paraId="1C086A21">
      <w:pPr>
        <w:spacing w:before="120" w:after="120"/>
        <w:rPr>
          <w:color w:val="auto"/>
          <w:highlight w:val="none"/>
        </w:rPr>
      </w:pPr>
      <w:r>
        <w:rPr>
          <w:color w:val="auto"/>
          <w:highlight w:val="none"/>
        </w:rPr>
        <w:t>1. 对BIM模型进行专业内和专业间综合分析；</w:t>
      </w:r>
    </w:p>
    <w:p w14:paraId="6C55A6CB">
      <w:pPr>
        <w:spacing w:before="120" w:after="120"/>
        <w:rPr>
          <w:color w:val="auto"/>
          <w:highlight w:val="none"/>
        </w:rPr>
      </w:pPr>
      <w:r>
        <w:rPr>
          <w:color w:val="auto"/>
          <w:highlight w:val="none"/>
        </w:rPr>
        <w:t>2. 应提交综合分析报告。</w:t>
      </w:r>
    </w:p>
    <w:p w14:paraId="57C155BA">
      <w:pPr>
        <w:pStyle w:val="4"/>
        <w:tabs>
          <w:tab w:val="left" w:pos="0"/>
        </w:tabs>
        <w:spacing w:before="120" w:after="120"/>
        <w:rPr>
          <w:color w:val="auto"/>
          <w:highlight w:val="none"/>
        </w:rPr>
      </w:pPr>
      <w:r>
        <w:rPr>
          <w:color w:val="auto"/>
          <w:highlight w:val="none"/>
        </w:rPr>
        <w:t>建筑性能化分析</w:t>
      </w:r>
    </w:p>
    <w:p w14:paraId="3C278396">
      <w:pPr>
        <w:spacing w:before="120" w:after="120"/>
        <w:rPr>
          <w:color w:val="auto"/>
          <w:highlight w:val="none"/>
        </w:rPr>
      </w:pPr>
      <w:r>
        <w:rPr>
          <w:color w:val="auto"/>
          <w:highlight w:val="none"/>
        </w:rPr>
        <w:t>1. 基于BIM模型完成项目风、光、声、热等性能化分析；</w:t>
      </w:r>
    </w:p>
    <w:p w14:paraId="3A31FF14">
      <w:pPr>
        <w:spacing w:before="120" w:after="120"/>
        <w:rPr>
          <w:color w:val="auto"/>
          <w:highlight w:val="none"/>
        </w:rPr>
      </w:pPr>
      <w:r>
        <w:rPr>
          <w:color w:val="auto"/>
          <w:highlight w:val="none"/>
        </w:rPr>
        <w:t>2. 分析结果应辅助完成设计方案验证和优化。</w:t>
      </w:r>
    </w:p>
    <w:p w14:paraId="79651B92">
      <w:pPr>
        <w:pStyle w:val="4"/>
        <w:tabs>
          <w:tab w:val="left" w:pos="0"/>
        </w:tabs>
        <w:spacing w:before="120" w:after="120"/>
        <w:rPr>
          <w:color w:val="auto"/>
          <w:highlight w:val="none"/>
        </w:rPr>
      </w:pPr>
      <w:r>
        <w:rPr>
          <w:color w:val="auto"/>
          <w:highlight w:val="none"/>
        </w:rPr>
        <w:t>净空净高分析</w:t>
      </w:r>
    </w:p>
    <w:p w14:paraId="020CAB74">
      <w:pPr>
        <w:spacing w:before="120" w:after="120"/>
        <w:rPr>
          <w:color w:val="auto"/>
          <w:highlight w:val="none"/>
        </w:rPr>
      </w:pPr>
      <w:r>
        <w:rPr>
          <w:color w:val="auto"/>
          <w:highlight w:val="none"/>
        </w:rPr>
        <w:t>1. 基于</w:t>
      </w:r>
      <w:r>
        <w:rPr>
          <w:rFonts w:hint="eastAsia"/>
          <w:color w:val="auto"/>
          <w:highlight w:val="none"/>
        </w:rPr>
        <w:t>BIM模型</w:t>
      </w:r>
      <w:r>
        <w:rPr>
          <w:color w:val="auto"/>
          <w:highlight w:val="none"/>
        </w:rPr>
        <w:t>对主要、核心或关键功能要求及相应的空间进行净高分析；</w:t>
      </w:r>
    </w:p>
    <w:p w14:paraId="68292E01">
      <w:pPr>
        <w:spacing w:before="120" w:after="120"/>
        <w:rPr>
          <w:color w:val="auto"/>
          <w:highlight w:val="none"/>
        </w:rPr>
      </w:pPr>
      <w:r>
        <w:rPr>
          <w:color w:val="auto"/>
          <w:highlight w:val="none"/>
        </w:rPr>
        <w:t>2. 须验证空间利用的合理性，提供分析报告。</w:t>
      </w:r>
    </w:p>
    <w:p w14:paraId="430CD76B">
      <w:pPr>
        <w:pStyle w:val="4"/>
        <w:tabs>
          <w:tab w:val="left" w:pos="0"/>
        </w:tabs>
        <w:spacing w:before="120" w:after="120"/>
        <w:rPr>
          <w:color w:val="auto"/>
          <w:highlight w:val="none"/>
        </w:rPr>
      </w:pPr>
      <w:r>
        <w:rPr>
          <w:color w:val="auto"/>
          <w:highlight w:val="none"/>
        </w:rPr>
        <w:t>漫游模拟</w:t>
      </w:r>
    </w:p>
    <w:p w14:paraId="3ACEBCD0">
      <w:pPr>
        <w:spacing w:before="120" w:after="120"/>
        <w:rPr>
          <w:color w:val="auto"/>
          <w:highlight w:val="none"/>
        </w:rPr>
      </w:pPr>
      <w:r>
        <w:rPr>
          <w:color w:val="auto"/>
          <w:highlight w:val="none"/>
        </w:rPr>
        <w:t>1. 应对工程重点室内外部位进行虚拟漫游；</w:t>
      </w:r>
    </w:p>
    <w:p w14:paraId="0F1EFAD9">
      <w:pPr>
        <w:spacing w:before="120" w:after="120"/>
        <w:rPr>
          <w:color w:val="auto"/>
          <w:highlight w:val="none"/>
        </w:rPr>
      </w:pPr>
      <w:r>
        <w:rPr>
          <w:color w:val="auto"/>
          <w:highlight w:val="none"/>
        </w:rPr>
        <w:t>2. 对设计方案进行效果展示。</w:t>
      </w:r>
    </w:p>
    <w:p w14:paraId="7D9D6FA4">
      <w:pPr>
        <w:pStyle w:val="4"/>
        <w:tabs>
          <w:tab w:val="left" w:pos="0"/>
        </w:tabs>
        <w:spacing w:before="120" w:after="120"/>
        <w:rPr>
          <w:color w:val="auto"/>
          <w:highlight w:val="none"/>
        </w:rPr>
      </w:pPr>
      <w:r>
        <w:rPr>
          <w:color w:val="auto"/>
          <w:highlight w:val="none"/>
        </w:rPr>
        <w:t>模拟分析</w:t>
      </w:r>
    </w:p>
    <w:p w14:paraId="4B5D9565">
      <w:pPr>
        <w:spacing w:before="120" w:after="120"/>
        <w:rPr>
          <w:color w:val="auto"/>
          <w:highlight w:val="none"/>
        </w:rPr>
      </w:pPr>
      <w:r>
        <w:rPr>
          <w:color w:val="auto"/>
          <w:highlight w:val="none"/>
        </w:rPr>
        <w:t>1. 应对应急预案、设备安装、土方平衡、土方运输存放等方案进行模拟和分析；</w:t>
      </w:r>
    </w:p>
    <w:p w14:paraId="44977CE2">
      <w:pPr>
        <w:spacing w:before="120" w:after="120"/>
        <w:rPr>
          <w:color w:val="auto"/>
          <w:highlight w:val="none"/>
        </w:rPr>
      </w:pPr>
      <w:r>
        <w:rPr>
          <w:color w:val="auto"/>
          <w:highlight w:val="none"/>
        </w:rPr>
        <w:t>2. 根据分析结果提出优化设计方案。</w:t>
      </w:r>
    </w:p>
    <w:p w14:paraId="3A905BD4">
      <w:pPr>
        <w:pStyle w:val="4"/>
        <w:tabs>
          <w:tab w:val="left" w:pos="0"/>
        </w:tabs>
        <w:spacing w:before="120" w:after="120"/>
        <w:rPr>
          <w:color w:val="auto"/>
          <w:highlight w:val="none"/>
        </w:rPr>
      </w:pPr>
      <w:r>
        <w:rPr>
          <w:color w:val="auto"/>
          <w:highlight w:val="none"/>
        </w:rPr>
        <w:t>工程量统计</w:t>
      </w:r>
    </w:p>
    <w:p w14:paraId="79DF47A5">
      <w:pPr>
        <w:spacing w:before="120" w:after="120"/>
        <w:rPr>
          <w:color w:val="auto"/>
          <w:highlight w:val="none"/>
        </w:rPr>
      </w:pPr>
      <w:r>
        <w:rPr>
          <w:color w:val="auto"/>
          <w:highlight w:val="none"/>
        </w:rPr>
        <w:t>1. 通过BIM模型统计建筑、结构、给排水、暖通、电气、钢结构、幕墙、精装等工程量；</w:t>
      </w:r>
    </w:p>
    <w:p w14:paraId="02364311">
      <w:pPr>
        <w:spacing w:before="120" w:after="120"/>
        <w:rPr>
          <w:color w:val="auto"/>
          <w:highlight w:val="none"/>
        </w:rPr>
      </w:pPr>
      <w:r>
        <w:rPr>
          <w:color w:val="auto"/>
          <w:highlight w:val="none"/>
        </w:rPr>
        <w:t>2. 利用全地形BIM模型</w:t>
      </w:r>
      <w:r>
        <w:rPr>
          <w:rFonts w:hint="eastAsia"/>
          <w:color w:val="auto"/>
          <w:highlight w:val="none"/>
        </w:rPr>
        <w:t>进行</w:t>
      </w:r>
      <w:r>
        <w:rPr>
          <w:color w:val="auto"/>
          <w:highlight w:val="none"/>
        </w:rPr>
        <w:t>土方量分析；</w:t>
      </w:r>
    </w:p>
    <w:p w14:paraId="7929B04E">
      <w:pPr>
        <w:spacing w:before="120" w:after="120"/>
        <w:rPr>
          <w:color w:val="auto"/>
          <w:highlight w:val="none"/>
        </w:rPr>
      </w:pPr>
      <w:r>
        <w:rPr>
          <w:color w:val="auto"/>
          <w:highlight w:val="none"/>
        </w:rPr>
        <w:t>3. 辅助实施限额设计。</w:t>
      </w:r>
    </w:p>
    <w:p w14:paraId="1392B528">
      <w:pPr>
        <w:pStyle w:val="4"/>
        <w:tabs>
          <w:tab w:val="left" w:pos="0"/>
        </w:tabs>
        <w:spacing w:before="120" w:after="120"/>
        <w:rPr>
          <w:color w:val="auto"/>
          <w:highlight w:val="none"/>
        </w:rPr>
      </w:pPr>
      <w:r>
        <w:rPr>
          <w:color w:val="auto"/>
          <w:highlight w:val="none"/>
        </w:rPr>
        <w:t>设计质量管理</w:t>
      </w:r>
    </w:p>
    <w:p w14:paraId="3128A635">
      <w:pPr>
        <w:spacing w:before="120" w:after="120"/>
        <w:rPr>
          <w:color w:val="auto"/>
          <w:highlight w:val="none"/>
        </w:rPr>
      </w:pPr>
      <w:r>
        <w:rPr>
          <w:color w:val="auto"/>
          <w:highlight w:val="none"/>
        </w:rPr>
        <w:t>1. 由咨询单位辅助确定设计阶段管控节点；</w:t>
      </w:r>
    </w:p>
    <w:p w14:paraId="27DDB784">
      <w:pPr>
        <w:spacing w:before="120" w:after="120"/>
        <w:rPr>
          <w:color w:val="auto"/>
          <w:highlight w:val="none"/>
        </w:rPr>
      </w:pPr>
      <w:r>
        <w:rPr>
          <w:color w:val="auto"/>
          <w:highlight w:val="none"/>
        </w:rPr>
        <w:t>2. 按节点要求提交BIM成果并审核；</w:t>
      </w:r>
    </w:p>
    <w:p w14:paraId="0D2C51D1">
      <w:pPr>
        <w:spacing w:before="120" w:after="120"/>
        <w:rPr>
          <w:color w:val="auto"/>
          <w:highlight w:val="none"/>
        </w:rPr>
      </w:pPr>
      <w:r>
        <w:rPr>
          <w:color w:val="auto"/>
          <w:highlight w:val="none"/>
        </w:rPr>
        <w:t>3. 提高设计过程管控的精准度和设计质量。</w:t>
      </w:r>
    </w:p>
    <w:p w14:paraId="4E3318DC">
      <w:pPr>
        <w:pStyle w:val="4"/>
        <w:tabs>
          <w:tab w:val="left" w:pos="0"/>
        </w:tabs>
        <w:spacing w:before="120" w:after="120"/>
        <w:rPr>
          <w:color w:val="auto"/>
          <w:highlight w:val="none"/>
        </w:rPr>
      </w:pPr>
      <w:r>
        <w:rPr>
          <w:color w:val="auto"/>
          <w:highlight w:val="none"/>
        </w:rPr>
        <w:t>设计协同管理</w:t>
      </w:r>
    </w:p>
    <w:p w14:paraId="7BD4B111">
      <w:pPr>
        <w:spacing w:before="120" w:after="120"/>
        <w:rPr>
          <w:color w:val="auto"/>
          <w:highlight w:val="none"/>
        </w:rPr>
      </w:pPr>
      <w:r>
        <w:rPr>
          <w:color w:val="auto"/>
          <w:highlight w:val="none"/>
        </w:rPr>
        <w:t>1. 建立基于BIM的设计协同机制；</w:t>
      </w:r>
    </w:p>
    <w:p w14:paraId="6BFC1118">
      <w:pPr>
        <w:spacing w:before="120" w:after="120"/>
        <w:rPr>
          <w:color w:val="auto"/>
          <w:highlight w:val="none"/>
        </w:rPr>
      </w:pPr>
      <w:r>
        <w:rPr>
          <w:color w:val="auto"/>
          <w:highlight w:val="none"/>
        </w:rPr>
        <w:t>2. 设计各方应遵循项目协同机制，与参建方保持高效协同。</w:t>
      </w:r>
    </w:p>
    <w:p w14:paraId="1BD8C7CA">
      <w:pPr>
        <w:pStyle w:val="4"/>
        <w:tabs>
          <w:tab w:val="left" w:pos="0"/>
        </w:tabs>
        <w:spacing w:before="120" w:after="120"/>
        <w:rPr>
          <w:color w:val="auto"/>
          <w:highlight w:val="none"/>
        </w:rPr>
      </w:pPr>
      <w:r>
        <w:rPr>
          <w:color w:val="auto"/>
          <w:highlight w:val="none"/>
        </w:rPr>
        <w:t>设计BIM模型的施工准备</w:t>
      </w:r>
    </w:p>
    <w:p w14:paraId="59461D24">
      <w:pPr>
        <w:spacing w:before="120" w:after="120"/>
        <w:rPr>
          <w:color w:val="auto"/>
          <w:highlight w:val="none"/>
        </w:rPr>
      </w:pPr>
      <w:r>
        <w:rPr>
          <w:color w:val="auto"/>
          <w:highlight w:val="none"/>
        </w:rPr>
        <w:t>1. 实施前应在方案制定施工BIM的衔接工作要求；</w:t>
      </w:r>
    </w:p>
    <w:p w14:paraId="4835324B">
      <w:pPr>
        <w:spacing w:before="120" w:after="120"/>
        <w:rPr>
          <w:color w:val="auto"/>
          <w:highlight w:val="none"/>
        </w:rPr>
      </w:pPr>
      <w:r>
        <w:rPr>
          <w:color w:val="auto"/>
          <w:highlight w:val="none"/>
        </w:rPr>
        <w:t>2. 实施过程中，设计BIM模型应充分考虑施工阶段的可持续性应用，制定模型技术标准；</w:t>
      </w:r>
    </w:p>
    <w:p w14:paraId="768BFE94">
      <w:pPr>
        <w:spacing w:before="120" w:after="120"/>
        <w:rPr>
          <w:color w:val="auto"/>
          <w:highlight w:val="none"/>
        </w:rPr>
      </w:pPr>
      <w:r>
        <w:rPr>
          <w:color w:val="auto"/>
          <w:highlight w:val="none"/>
        </w:rPr>
        <w:t>3. 实施结束设计BIM模型应按施工准备要求进行完善和交付。</w:t>
      </w:r>
    </w:p>
    <w:p w14:paraId="5AB7791E">
      <w:pPr>
        <w:pStyle w:val="4"/>
        <w:tabs>
          <w:tab w:val="left" w:pos="0"/>
        </w:tabs>
        <w:spacing w:before="120" w:after="120"/>
        <w:rPr>
          <w:color w:val="auto"/>
          <w:highlight w:val="none"/>
        </w:rPr>
      </w:pPr>
      <w:r>
        <w:rPr>
          <w:color w:val="auto"/>
          <w:highlight w:val="none"/>
        </w:rPr>
        <w:t>机电管线路由优化</w:t>
      </w:r>
    </w:p>
    <w:p w14:paraId="04437602">
      <w:pPr>
        <w:spacing w:before="120" w:after="120"/>
        <w:rPr>
          <w:color w:val="auto"/>
          <w:highlight w:val="none"/>
        </w:rPr>
      </w:pPr>
      <w:r>
        <w:rPr>
          <w:color w:val="auto"/>
          <w:highlight w:val="none"/>
        </w:rPr>
        <w:t>1. 通过参数化进行路由路径分析；</w:t>
      </w:r>
    </w:p>
    <w:p w14:paraId="1550AA3A">
      <w:pPr>
        <w:spacing w:before="120" w:after="120"/>
        <w:rPr>
          <w:color w:val="auto"/>
          <w:highlight w:val="none"/>
        </w:rPr>
      </w:pPr>
      <w:r>
        <w:rPr>
          <w:color w:val="auto"/>
          <w:highlight w:val="none"/>
        </w:rPr>
        <w:t>2. 通过模型可视化表达管线优化结果。</w:t>
      </w:r>
    </w:p>
    <w:p w14:paraId="25B75A8F">
      <w:pPr>
        <w:pStyle w:val="4"/>
        <w:tabs>
          <w:tab w:val="left" w:pos="0"/>
        </w:tabs>
        <w:spacing w:before="120" w:after="120"/>
        <w:rPr>
          <w:color w:val="auto"/>
          <w:highlight w:val="none"/>
        </w:rPr>
      </w:pPr>
      <w:r>
        <w:rPr>
          <w:color w:val="auto"/>
          <w:highlight w:val="none"/>
        </w:rPr>
        <w:t>设备安装模拟</w:t>
      </w:r>
    </w:p>
    <w:p w14:paraId="4FAF4955">
      <w:pPr>
        <w:spacing w:before="120" w:after="120"/>
        <w:rPr>
          <w:color w:val="auto"/>
          <w:highlight w:val="none"/>
        </w:rPr>
      </w:pPr>
      <w:r>
        <w:rPr>
          <w:color w:val="auto"/>
          <w:highlight w:val="none"/>
        </w:rPr>
        <w:t>1. 通过参数化模拟设备安装；</w:t>
      </w:r>
    </w:p>
    <w:p w14:paraId="34990217">
      <w:pPr>
        <w:spacing w:before="120" w:after="120"/>
        <w:rPr>
          <w:color w:val="auto"/>
          <w:highlight w:val="none"/>
        </w:rPr>
      </w:pPr>
      <w:r>
        <w:rPr>
          <w:color w:val="auto"/>
          <w:highlight w:val="none"/>
        </w:rPr>
        <w:t>2. 通过模型可视化指导设备安装施工。</w:t>
      </w:r>
    </w:p>
    <w:p w14:paraId="5A2F7823">
      <w:pPr>
        <w:pStyle w:val="4"/>
        <w:tabs>
          <w:tab w:val="left" w:pos="0"/>
        </w:tabs>
        <w:spacing w:before="120" w:after="120"/>
        <w:rPr>
          <w:color w:val="auto"/>
          <w:highlight w:val="none"/>
        </w:rPr>
      </w:pPr>
      <w:r>
        <w:rPr>
          <w:color w:val="auto"/>
          <w:highlight w:val="none"/>
        </w:rPr>
        <w:t>设计图纸输出</w:t>
      </w:r>
    </w:p>
    <w:p w14:paraId="06C890FB">
      <w:pPr>
        <w:spacing w:before="120" w:after="120"/>
        <w:rPr>
          <w:color w:val="auto"/>
          <w:highlight w:val="none"/>
        </w:rPr>
      </w:pPr>
      <w:r>
        <w:rPr>
          <w:color w:val="auto"/>
          <w:highlight w:val="none"/>
        </w:rPr>
        <w:t>1. 基于BIM</w:t>
      </w:r>
      <w:r>
        <w:rPr>
          <w:rFonts w:hint="eastAsia"/>
          <w:color w:val="auto"/>
          <w:highlight w:val="none"/>
        </w:rPr>
        <w:t>模型</w:t>
      </w:r>
      <w:r>
        <w:rPr>
          <w:color w:val="auto"/>
          <w:highlight w:val="none"/>
        </w:rPr>
        <w:t>输出各专业设计图纸。</w:t>
      </w:r>
    </w:p>
    <w:p w14:paraId="35B1F1EA">
      <w:pPr>
        <w:pStyle w:val="4"/>
        <w:tabs>
          <w:tab w:val="left" w:pos="0"/>
        </w:tabs>
        <w:spacing w:before="120" w:after="120"/>
        <w:rPr>
          <w:color w:val="auto"/>
          <w:highlight w:val="none"/>
        </w:rPr>
      </w:pPr>
      <w:r>
        <w:rPr>
          <w:color w:val="auto"/>
          <w:highlight w:val="none"/>
        </w:rPr>
        <w:t>模型和成果管理</w:t>
      </w:r>
    </w:p>
    <w:p w14:paraId="6AB1A909">
      <w:pPr>
        <w:spacing w:before="120" w:after="120"/>
        <w:rPr>
          <w:color w:val="auto"/>
          <w:highlight w:val="none"/>
        </w:rPr>
      </w:pPr>
      <w:r>
        <w:rPr>
          <w:color w:val="auto"/>
          <w:highlight w:val="none"/>
        </w:rPr>
        <w:t>1. 各专业BIM模型应提交咨询单位审核；</w:t>
      </w:r>
    </w:p>
    <w:p w14:paraId="3652CE4D">
      <w:pPr>
        <w:spacing w:before="120" w:after="120"/>
        <w:rPr>
          <w:color w:val="auto"/>
          <w:highlight w:val="none"/>
        </w:rPr>
      </w:pPr>
      <w:r>
        <w:rPr>
          <w:color w:val="auto"/>
          <w:highlight w:val="none"/>
        </w:rPr>
        <w:t>2. BIM应用成果应按要求提交报告、图表等文件。</w:t>
      </w:r>
    </w:p>
    <w:p w14:paraId="4BA43E22">
      <w:pPr>
        <w:pStyle w:val="4"/>
        <w:tabs>
          <w:tab w:val="left" w:pos="0"/>
        </w:tabs>
        <w:spacing w:before="120" w:after="120"/>
        <w:rPr>
          <w:color w:val="auto"/>
          <w:highlight w:val="none"/>
        </w:rPr>
      </w:pPr>
      <w:r>
        <w:rPr>
          <w:color w:val="auto"/>
          <w:highlight w:val="none"/>
        </w:rPr>
        <w:t>施工图BIM审查</w:t>
      </w:r>
    </w:p>
    <w:p w14:paraId="0B983341">
      <w:pPr>
        <w:spacing w:before="120" w:after="120"/>
        <w:rPr>
          <w:color w:val="auto"/>
          <w:highlight w:val="none"/>
        </w:rPr>
      </w:pPr>
      <w:r>
        <w:rPr>
          <w:color w:val="auto"/>
          <w:highlight w:val="none"/>
        </w:rPr>
        <w:t>1. 施工图信息录入；</w:t>
      </w:r>
    </w:p>
    <w:p w14:paraId="2A18D191">
      <w:pPr>
        <w:spacing w:before="120" w:after="120"/>
        <w:rPr>
          <w:color w:val="auto"/>
          <w:highlight w:val="none"/>
        </w:rPr>
      </w:pPr>
      <w:r>
        <w:rPr>
          <w:color w:val="auto"/>
          <w:highlight w:val="none"/>
        </w:rPr>
        <w:t>2. 施工图信息满足施工图审查平台对于BIM审查的要求。</w:t>
      </w:r>
    </w:p>
    <w:p w14:paraId="5E4E7744">
      <w:pPr>
        <w:pStyle w:val="4"/>
        <w:tabs>
          <w:tab w:val="left" w:pos="0"/>
        </w:tabs>
        <w:spacing w:before="120" w:after="120"/>
        <w:rPr>
          <w:color w:val="auto"/>
          <w:highlight w:val="none"/>
        </w:rPr>
      </w:pPr>
      <w:r>
        <w:rPr>
          <w:color w:val="auto"/>
          <w:highlight w:val="none"/>
        </w:rPr>
        <w:t>施工交底</w:t>
      </w:r>
    </w:p>
    <w:p w14:paraId="742B25DF">
      <w:pPr>
        <w:spacing w:before="120" w:after="120"/>
        <w:rPr>
          <w:color w:val="auto"/>
          <w:highlight w:val="none"/>
        </w:rPr>
      </w:pPr>
      <w:r>
        <w:rPr>
          <w:color w:val="auto"/>
          <w:highlight w:val="none"/>
        </w:rPr>
        <w:t>1. 通过模型进行多方交互；</w:t>
      </w:r>
    </w:p>
    <w:p w14:paraId="32DE959B">
      <w:pPr>
        <w:spacing w:before="120" w:after="120"/>
        <w:rPr>
          <w:color w:val="auto"/>
          <w:highlight w:val="none"/>
        </w:rPr>
      </w:pPr>
      <w:r>
        <w:rPr>
          <w:color w:val="auto"/>
          <w:highlight w:val="none"/>
        </w:rPr>
        <w:t>2. 通过参数化进行数据交底。</w:t>
      </w:r>
    </w:p>
    <w:p w14:paraId="025D47D5">
      <w:pPr>
        <w:pStyle w:val="4"/>
        <w:tabs>
          <w:tab w:val="left" w:pos="0"/>
        </w:tabs>
        <w:spacing w:before="120" w:after="120"/>
        <w:rPr>
          <w:color w:val="auto"/>
          <w:highlight w:val="none"/>
        </w:rPr>
      </w:pPr>
      <w:r>
        <w:rPr>
          <w:color w:val="auto"/>
          <w:highlight w:val="none"/>
        </w:rPr>
        <w:t>对接CIM平台</w:t>
      </w:r>
    </w:p>
    <w:p w14:paraId="7239DA07">
      <w:pPr>
        <w:spacing w:before="120" w:after="120"/>
        <w:rPr>
          <w:color w:val="auto"/>
          <w:highlight w:val="none"/>
        </w:rPr>
      </w:pPr>
      <w:r>
        <w:rPr>
          <w:color w:val="auto"/>
          <w:highlight w:val="none"/>
        </w:rPr>
        <w:t>1. CIM平台数据传递；</w:t>
      </w:r>
    </w:p>
    <w:p w14:paraId="57FA8DCD">
      <w:pPr>
        <w:spacing w:before="120" w:after="120"/>
        <w:rPr>
          <w:color w:val="auto"/>
          <w:highlight w:val="none"/>
        </w:rPr>
      </w:pPr>
      <w:r>
        <w:rPr>
          <w:color w:val="auto"/>
          <w:highlight w:val="none"/>
        </w:rPr>
        <w:t>2. 基于CIM平台的数据管理及应用。</w:t>
      </w:r>
    </w:p>
    <w:p w14:paraId="3AD4EF25">
      <w:pPr>
        <w:pStyle w:val="3"/>
        <w:tabs>
          <w:tab w:val="left" w:pos="0"/>
        </w:tabs>
        <w:rPr>
          <w:color w:val="auto"/>
          <w:highlight w:val="none"/>
        </w:rPr>
      </w:pPr>
      <w:bookmarkStart w:id="182" w:name="_Toc14844"/>
      <w:r>
        <w:rPr>
          <w:color w:val="auto"/>
          <w:highlight w:val="none"/>
        </w:rPr>
        <w:t>BIM模型施工阶段应用点分析</w:t>
      </w:r>
      <w:bookmarkEnd w:id="182"/>
    </w:p>
    <w:p w14:paraId="6C53D6BD">
      <w:pPr>
        <w:pStyle w:val="4"/>
        <w:tabs>
          <w:tab w:val="left" w:pos="0"/>
        </w:tabs>
        <w:spacing w:before="120" w:after="120"/>
        <w:rPr>
          <w:color w:val="auto"/>
          <w:highlight w:val="none"/>
        </w:rPr>
      </w:pPr>
      <w:r>
        <w:rPr>
          <w:color w:val="auto"/>
          <w:highlight w:val="none"/>
        </w:rPr>
        <w:t>施工阶段应实现：</w:t>
      </w:r>
    </w:p>
    <w:p w14:paraId="0B376652">
      <w:pPr>
        <w:spacing w:before="120" w:after="120"/>
        <w:rPr>
          <w:color w:val="auto"/>
          <w:highlight w:val="none"/>
        </w:rPr>
      </w:pPr>
      <w:r>
        <w:rPr>
          <w:color w:val="auto"/>
          <w:highlight w:val="none"/>
        </w:rPr>
        <w:t>1. 施工全过程采用BIM技术辅助施工技术和管理工作；</w:t>
      </w:r>
    </w:p>
    <w:p w14:paraId="71D849D8">
      <w:pPr>
        <w:spacing w:before="120" w:after="120"/>
        <w:rPr>
          <w:color w:val="auto"/>
          <w:highlight w:val="none"/>
        </w:rPr>
      </w:pPr>
      <w:r>
        <w:rPr>
          <w:color w:val="auto"/>
          <w:highlight w:val="none"/>
        </w:rPr>
        <w:t>2. 开展深化设计、施工总平面布置、施工模拟、施工进度模拟、智慧工地等不同层级的BIM应用；</w:t>
      </w:r>
    </w:p>
    <w:p w14:paraId="34CEB84F">
      <w:pPr>
        <w:spacing w:before="120" w:after="120"/>
        <w:rPr>
          <w:color w:val="auto"/>
          <w:highlight w:val="none"/>
        </w:rPr>
      </w:pPr>
      <w:r>
        <w:rPr>
          <w:color w:val="auto"/>
          <w:highlight w:val="none"/>
        </w:rPr>
        <w:t>3. 通过施工过程数字化、智能化，提升工程建设质量和效率。</w:t>
      </w:r>
    </w:p>
    <w:p w14:paraId="440A9714">
      <w:pPr>
        <w:pStyle w:val="4"/>
        <w:tabs>
          <w:tab w:val="left" w:pos="0"/>
        </w:tabs>
        <w:spacing w:before="120" w:after="120"/>
        <w:rPr>
          <w:color w:val="auto"/>
          <w:highlight w:val="none"/>
        </w:rPr>
      </w:pPr>
      <w:r>
        <w:rPr>
          <w:color w:val="auto"/>
          <w:highlight w:val="none"/>
        </w:rPr>
        <w:t>设计BIM成果接收</w:t>
      </w:r>
    </w:p>
    <w:p w14:paraId="175C4B81">
      <w:pPr>
        <w:spacing w:before="120" w:after="120"/>
        <w:rPr>
          <w:color w:val="auto"/>
          <w:highlight w:val="none"/>
        </w:rPr>
      </w:pPr>
      <w:r>
        <w:rPr>
          <w:color w:val="auto"/>
          <w:highlight w:val="none"/>
        </w:rPr>
        <w:t>1. 施工总承包须从省代建局接收设计BIM成果；</w:t>
      </w:r>
    </w:p>
    <w:p w14:paraId="0C84ACE7">
      <w:pPr>
        <w:spacing w:before="120" w:after="120"/>
        <w:rPr>
          <w:color w:val="auto"/>
          <w:highlight w:val="none"/>
        </w:rPr>
      </w:pPr>
      <w:r>
        <w:rPr>
          <w:color w:val="auto"/>
          <w:highlight w:val="none"/>
        </w:rPr>
        <w:t>2. 施工总承包宜采用设计BIM开展施工BIM应用。</w:t>
      </w:r>
    </w:p>
    <w:p w14:paraId="24AB2928">
      <w:pPr>
        <w:pStyle w:val="4"/>
        <w:tabs>
          <w:tab w:val="left" w:pos="0"/>
        </w:tabs>
        <w:spacing w:before="120" w:after="120"/>
        <w:rPr>
          <w:color w:val="auto"/>
          <w:highlight w:val="none"/>
        </w:rPr>
      </w:pPr>
      <w:r>
        <w:rPr>
          <w:color w:val="auto"/>
          <w:highlight w:val="none"/>
        </w:rPr>
        <w:t>《施工阶段BIM实施方案》</w:t>
      </w:r>
    </w:p>
    <w:p w14:paraId="4146D9BD">
      <w:pPr>
        <w:spacing w:before="120" w:after="120"/>
        <w:rPr>
          <w:color w:val="auto"/>
          <w:highlight w:val="none"/>
        </w:rPr>
      </w:pPr>
      <w:r>
        <w:rPr>
          <w:color w:val="auto"/>
          <w:highlight w:val="none"/>
        </w:rPr>
        <w:t>1. 施工总包应编制和提交施工阶段BIM实施方案；</w:t>
      </w:r>
    </w:p>
    <w:p w14:paraId="6F004B3A">
      <w:pPr>
        <w:spacing w:before="120" w:after="120"/>
        <w:rPr>
          <w:color w:val="auto"/>
          <w:highlight w:val="none"/>
        </w:rPr>
      </w:pPr>
      <w:r>
        <w:rPr>
          <w:color w:val="auto"/>
          <w:highlight w:val="none"/>
        </w:rPr>
        <w:t>2. 施工总包应负责落实施工阶段BIM技术应用，汇总和管理施工BIM成果。</w:t>
      </w:r>
    </w:p>
    <w:p w14:paraId="1A478C13">
      <w:pPr>
        <w:pStyle w:val="4"/>
        <w:tabs>
          <w:tab w:val="left" w:pos="0"/>
        </w:tabs>
        <w:spacing w:before="120" w:after="120"/>
        <w:rPr>
          <w:color w:val="auto"/>
          <w:highlight w:val="none"/>
        </w:rPr>
      </w:pPr>
      <w:r>
        <w:rPr>
          <w:color w:val="auto"/>
          <w:highlight w:val="none"/>
        </w:rPr>
        <w:t>基于全地形BIM的施工应用</w:t>
      </w:r>
    </w:p>
    <w:p w14:paraId="6EA39F33">
      <w:pPr>
        <w:spacing w:before="120" w:after="120"/>
        <w:rPr>
          <w:color w:val="auto"/>
          <w:highlight w:val="none"/>
        </w:rPr>
      </w:pPr>
      <w:r>
        <w:rPr>
          <w:color w:val="auto"/>
          <w:highlight w:val="none"/>
        </w:rPr>
        <w:t>1. 优化基坑开挖方案，控制开挖成本；</w:t>
      </w:r>
    </w:p>
    <w:p w14:paraId="736209F4">
      <w:pPr>
        <w:spacing w:before="120" w:after="120"/>
        <w:rPr>
          <w:color w:val="auto"/>
          <w:highlight w:val="none"/>
        </w:rPr>
      </w:pPr>
      <w:r>
        <w:rPr>
          <w:color w:val="auto"/>
          <w:highlight w:val="none"/>
        </w:rPr>
        <w:t>2. 计算不同方案的土方挖填方量，优化挖填方案；</w:t>
      </w:r>
    </w:p>
    <w:p w14:paraId="70555A3A">
      <w:pPr>
        <w:spacing w:before="120" w:after="120"/>
        <w:rPr>
          <w:color w:val="auto"/>
          <w:highlight w:val="none"/>
        </w:rPr>
      </w:pPr>
      <w:r>
        <w:rPr>
          <w:color w:val="auto"/>
          <w:highlight w:val="none"/>
        </w:rPr>
        <w:t>3. 优化施工场地布置，提升场地使用效率；</w:t>
      </w:r>
    </w:p>
    <w:p w14:paraId="1A77AA90">
      <w:pPr>
        <w:spacing w:before="120" w:after="120"/>
        <w:rPr>
          <w:color w:val="auto"/>
          <w:highlight w:val="none"/>
        </w:rPr>
      </w:pPr>
      <w:r>
        <w:rPr>
          <w:color w:val="auto"/>
          <w:highlight w:val="none"/>
        </w:rPr>
        <w:t>4. 辅助材料堆放方案设计和管理；</w:t>
      </w:r>
    </w:p>
    <w:p w14:paraId="786BA416">
      <w:pPr>
        <w:spacing w:before="120" w:after="120"/>
        <w:rPr>
          <w:color w:val="auto"/>
          <w:highlight w:val="none"/>
        </w:rPr>
      </w:pPr>
      <w:r>
        <w:rPr>
          <w:color w:val="auto"/>
          <w:highlight w:val="none"/>
        </w:rPr>
        <w:t>5. 辅助土方工程成本分析，与概算比对，提出优化建议；</w:t>
      </w:r>
    </w:p>
    <w:p w14:paraId="6F796C02">
      <w:pPr>
        <w:spacing w:before="120" w:after="120"/>
        <w:rPr>
          <w:color w:val="auto"/>
          <w:highlight w:val="none"/>
        </w:rPr>
      </w:pPr>
      <w:r>
        <w:rPr>
          <w:color w:val="auto"/>
          <w:highlight w:val="none"/>
        </w:rPr>
        <w:t>6. 辅助土方工程结算数据的审核，按合同约定技术工程结算造价。</w:t>
      </w:r>
    </w:p>
    <w:p w14:paraId="75EA2E43">
      <w:pPr>
        <w:pStyle w:val="4"/>
        <w:tabs>
          <w:tab w:val="left" w:pos="0"/>
        </w:tabs>
        <w:spacing w:before="120" w:after="120"/>
        <w:rPr>
          <w:color w:val="auto"/>
          <w:highlight w:val="none"/>
        </w:rPr>
      </w:pPr>
      <w:r>
        <w:rPr>
          <w:color w:val="auto"/>
          <w:highlight w:val="none"/>
        </w:rPr>
        <w:t>BIM深化设计</w:t>
      </w:r>
    </w:p>
    <w:p w14:paraId="7E471EFF">
      <w:pPr>
        <w:spacing w:before="120" w:after="120"/>
        <w:rPr>
          <w:color w:val="auto"/>
          <w:highlight w:val="none"/>
        </w:rPr>
      </w:pPr>
      <w:r>
        <w:rPr>
          <w:color w:val="auto"/>
          <w:highlight w:val="none"/>
        </w:rPr>
        <w:t>1. 对建筑、结构、给排水、暖通、电气、钢结构、幕墙、精装等专业的施工图模型展开深化设计；</w:t>
      </w:r>
    </w:p>
    <w:p w14:paraId="425E7236">
      <w:pPr>
        <w:spacing w:before="120" w:after="120"/>
        <w:rPr>
          <w:color w:val="auto"/>
          <w:highlight w:val="none"/>
        </w:rPr>
      </w:pPr>
      <w:r>
        <w:rPr>
          <w:color w:val="auto"/>
          <w:highlight w:val="none"/>
        </w:rPr>
        <w:t>2. 形成深化设计模型。</w:t>
      </w:r>
    </w:p>
    <w:p w14:paraId="3986F2E0">
      <w:pPr>
        <w:pStyle w:val="4"/>
        <w:tabs>
          <w:tab w:val="left" w:pos="0"/>
        </w:tabs>
        <w:spacing w:before="120" w:after="120"/>
        <w:rPr>
          <w:color w:val="auto"/>
          <w:highlight w:val="none"/>
        </w:rPr>
      </w:pPr>
      <w:r>
        <w:rPr>
          <w:color w:val="auto"/>
          <w:highlight w:val="none"/>
        </w:rPr>
        <w:t>施工总平面优化</w:t>
      </w:r>
    </w:p>
    <w:p w14:paraId="417CB4A2">
      <w:pPr>
        <w:spacing w:before="120" w:after="120"/>
        <w:rPr>
          <w:color w:val="auto"/>
          <w:highlight w:val="none"/>
        </w:rPr>
      </w:pPr>
      <w:r>
        <w:rPr>
          <w:color w:val="auto"/>
          <w:highlight w:val="none"/>
        </w:rPr>
        <w:t>1.创建施工总平面布置模型；</w:t>
      </w:r>
    </w:p>
    <w:p w14:paraId="69207E67">
      <w:pPr>
        <w:spacing w:before="120" w:after="120"/>
        <w:rPr>
          <w:color w:val="auto"/>
          <w:highlight w:val="none"/>
        </w:rPr>
      </w:pPr>
      <w:r>
        <w:rPr>
          <w:color w:val="auto"/>
          <w:highlight w:val="none"/>
        </w:rPr>
        <w:t>2.基于BIM模型优化施工空间，指导施工准备。</w:t>
      </w:r>
    </w:p>
    <w:p w14:paraId="7D2FFF3D">
      <w:pPr>
        <w:pStyle w:val="4"/>
        <w:tabs>
          <w:tab w:val="left" w:pos="0"/>
        </w:tabs>
        <w:spacing w:before="120" w:after="120"/>
        <w:rPr>
          <w:color w:val="auto"/>
          <w:highlight w:val="none"/>
        </w:rPr>
      </w:pPr>
      <w:r>
        <w:rPr>
          <w:color w:val="auto"/>
          <w:highlight w:val="none"/>
        </w:rPr>
        <w:t>土建基槽开挖</w:t>
      </w:r>
    </w:p>
    <w:p w14:paraId="25E6A8B9">
      <w:pPr>
        <w:spacing w:before="120" w:after="120"/>
        <w:rPr>
          <w:color w:val="auto"/>
          <w:highlight w:val="none"/>
        </w:rPr>
      </w:pPr>
      <w:r>
        <w:rPr>
          <w:color w:val="auto"/>
          <w:highlight w:val="none"/>
        </w:rPr>
        <w:t>1. 通过模型进行可视化表达；</w:t>
      </w:r>
    </w:p>
    <w:p w14:paraId="16C4CCAB">
      <w:pPr>
        <w:spacing w:before="120" w:after="120"/>
        <w:rPr>
          <w:color w:val="auto"/>
          <w:highlight w:val="none"/>
        </w:rPr>
      </w:pPr>
      <w:r>
        <w:rPr>
          <w:color w:val="auto"/>
          <w:highlight w:val="none"/>
        </w:rPr>
        <w:t>2. 通过参数化进行土方量统计。</w:t>
      </w:r>
    </w:p>
    <w:p w14:paraId="465660B1">
      <w:pPr>
        <w:pStyle w:val="4"/>
        <w:tabs>
          <w:tab w:val="left" w:pos="0"/>
        </w:tabs>
        <w:spacing w:before="120" w:after="120"/>
        <w:rPr>
          <w:color w:val="auto"/>
          <w:highlight w:val="none"/>
        </w:rPr>
      </w:pPr>
      <w:r>
        <w:rPr>
          <w:color w:val="auto"/>
          <w:highlight w:val="none"/>
        </w:rPr>
        <w:t>结构洞口预留预埋</w:t>
      </w:r>
    </w:p>
    <w:p w14:paraId="16E2557D">
      <w:pPr>
        <w:spacing w:before="120" w:after="120"/>
        <w:rPr>
          <w:color w:val="auto"/>
          <w:highlight w:val="none"/>
        </w:rPr>
      </w:pPr>
      <w:r>
        <w:rPr>
          <w:color w:val="auto"/>
          <w:highlight w:val="none"/>
        </w:rPr>
        <w:t>1. 通过模型实现多方协同；</w:t>
      </w:r>
    </w:p>
    <w:p w14:paraId="529D92F7">
      <w:pPr>
        <w:spacing w:before="120" w:after="120"/>
        <w:rPr>
          <w:color w:val="auto"/>
          <w:highlight w:val="none"/>
        </w:rPr>
      </w:pPr>
      <w:r>
        <w:rPr>
          <w:color w:val="auto"/>
          <w:highlight w:val="none"/>
        </w:rPr>
        <w:t>2. 通过参数化精确洞口预留预埋。</w:t>
      </w:r>
    </w:p>
    <w:p w14:paraId="16DD53A0">
      <w:pPr>
        <w:pStyle w:val="4"/>
        <w:tabs>
          <w:tab w:val="left" w:pos="0"/>
        </w:tabs>
        <w:spacing w:before="120" w:after="120"/>
        <w:rPr>
          <w:color w:val="auto"/>
          <w:highlight w:val="none"/>
        </w:rPr>
      </w:pPr>
      <w:r>
        <w:rPr>
          <w:color w:val="auto"/>
          <w:highlight w:val="none"/>
        </w:rPr>
        <w:t>机电管线碰撞分析</w:t>
      </w:r>
    </w:p>
    <w:p w14:paraId="6035B5E1">
      <w:pPr>
        <w:spacing w:before="120" w:after="120"/>
        <w:rPr>
          <w:color w:val="auto"/>
          <w:highlight w:val="none"/>
        </w:rPr>
      </w:pPr>
      <w:r>
        <w:rPr>
          <w:color w:val="auto"/>
          <w:highlight w:val="none"/>
        </w:rPr>
        <w:t>1. 通过参数化进行碰撞检查；</w:t>
      </w:r>
    </w:p>
    <w:p w14:paraId="472EA02E">
      <w:pPr>
        <w:spacing w:before="120" w:after="120"/>
        <w:rPr>
          <w:color w:val="auto"/>
          <w:highlight w:val="none"/>
        </w:rPr>
      </w:pPr>
      <w:r>
        <w:rPr>
          <w:color w:val="auto"/>
          <w:highlight w:val="none"/>
        </w:rPr>
        <w:t>2. 通过模型可视化表达碰撞结果；</w:t>
      </w:r>
    </w:p>
    <w:p w14:paraId="6831194B">
      <w:pPr>
        <w:spacing w:before="120" w:after="120"/>
        <w:rPr>
          <w:color w:val="auto"/>
          <w:highlight w:val="none"/>
        </w:rPr>
      </w:pPr>
      <w:r>
        <w:rPr>
          <w:color w:val="auto"/>
          <w:highlight w:val="none"/>
        </w:rPr>
        <w:t>3. 通过模型进行统计分析。</w:t>
      </w:r>
    </w:p>
    <w:p w14:paraId="16DE64A6">
      <w:pPr>
        <w:pStyle w:val="4"/>
        <w:tabs>
          <w:tab w:val="left" w:pos="0"/>
        </w:tabs>
        <w:spacing w:before="120" w:after="120"/>
        <w:rPr>
          <w:color w:val="auto"/>
          <w:highlight w:val="none"/>
        </w:rPr>
      </w:pPr>
      <w:r>
        <w:rPr>
          <w:color w:val="auto"/>
          <w:highlight w:val="none"/>
        </w:rPr>
        <w:t>机电管线路由优化</w:t>
      </w:r>
    </w:p>
    <w:p w14:paraId="4301537C">
      <w:pPr>
        <w:spacing w:before="120" w:after="120"/>
        <w:rPr>
          <w:color w:val="auto"/>
          <w:highlight w:val="none"/>
        </w:rPr>
      </w:pPr>
      <w:r>
        <w:rPr>
          <w:color w:val="auto"/>
          <w:highlight w:val="none"/>
        </w:rPr>
        <w:t>1. 通过参数化进行路由路径分析；</w:t>
      </w:r>
    </w:p>
    <w:p w14:paraId="4D3DF025">
      <w:pPr>
        <w:spacing w:before="120" w:after="120"/>
        <w:rPr>
          <w:color w:val="auto"/>
          <w:highlight w:val="none"/>
        </w:rPr>
      </w:pPr>
      <w:r>
        <w:rPr>
          <w:color w:val="auto"/>
          <w:highlight w:val="none"/>
        </w:rPr>
        <w:t>2. 通过模型可视化表达管线优化结果。</w:t>
      </w:r>
    </w:p>
    <w:p w14:paraId="5CDD3A2A">
      <w:pPr>
        <w:pStyle w:val="4"/>
        <w:tabs>
          <w:tab w:val="left" w:pos="0"/>
        </w:tabs>
        <w:spacing w:before="120" w:after="120"/>
        <w:rPr>
          <w:color w:val="auto"/>
          <w:highlight w:val="none"/>
        </w:rPr>
      </w:pPr>
      <w:r>
        <w:rPr>
          <w:color w:val="auto"/>
          <w:highlight w:val="none"/>
        </w:rPr>
        <w:t>设备安装模拟</w:t>
      </w:r>
    </w:p>
    <w:p w14:paraId="79F085C7">
      <w:pPr>
        <w:spacing w:before="120" w:after="120"/>
        <w:rPr>
          <w:color w:val="auto"/>
          <w:highlight w:val="none"/>
        </w:rPr>
      </w:pPr>
      <w:r>
        <w:rPr>
          <w:color w:val="auto"/>
          <w:highlight w:val="none"/>
        </w:rPr>
        <w:t>1. 通过参数化模拟设备安装；</w:t>
      </w:r>
    </w:p>
    <w:p w14:paraId="1E0E61E4">
      <w:pPr>
        <w:spacing w:before="120" w:after="120"/>
        <w:rPr>
          <w:color w:val="auto"/>
          <w:highlight w:val="none"/>
        </w:rPr>
      </w:pPr>
      <w:r>
        <w:rPr>
          <w:color w:val="auto"/>
          <w:highlight w:val="none"/>
        </w:rPr>
        <w:t>2. 通过模型可视化指导设备安装施工。</w:t>
      </w:r>
    </w:p>
    <w:p w14:paraId="4B154A95">
      <w:pPr>
        <w:pStyle w:val="4"/>
        <w:tabs>
          <w:tab w:val="left" w:pos="0"/>
        </w:tabs>
        <w:spacing w:before="120" w:after="120"/>
        <w:rPr>
          <w:color w:val="auto"/>
          <w:highlight w:val="none"/>
        </w:rPr>
      </w:pPr>
      <w:r>
        <w:rPr>
          <w:color w:val="auto"/>
          <w:highlight w:val="none"/>
        </w:rPr>
        <w:t>施工现场BIM总平面布置模拟</w:t>
      </w:r>
    </w:p>
    <w:p w14:paraId="2500E1D6">
      <w:pPr>
        <w:spacing w:before="120" w:after="120"/>
        <w:rPr>
          <w:color w:val="auto"/>
          <w:highlight w:val="none"/>
        </w:rPr>
      </w:pPr>
      <w:r>
        <w:rPr>
          <w:color w:val="auto"/>
          <w:highlight w:val="none"/>
        </w:rPr>
        <w:t>1. 通过模型合理规划施工现场总平面布置；</w:t>
      </w:r>
    </w:p>
    <w:p w14:paraId="6EF54613">
      <w:pPr>
        <w:spacing w:before="120" w:after="120"/>
        <w:rPr>
          <w:color w:val="auto"/>
          <w:highlight w:val="none"/>
        </w:rPr>
      </w:pPr>
      <w:r>
        <w:rPr>
          <w:color w:val="auto"/>
          <w:highlight w:val="none"/>
        </w:rPr>
        <w:t>2. 利用总平模型，优化现场临时建筑、车辆、材料、设备及人员之间的空间关系。</w:t>
      </w:r>
    </w:p>
    <w:p w14:paraId="032DCC6F">
      <w:pPr>
        <w:pStyle w:val="4"/>
        <w:tabs>
          <w:tab w:val="left" w:pos="0"/>
        </w:tabs>
        <w:spacing w:before="120" w:after="120"/>
        <w:rPr>
          <w:color w:val="auto"/>
          <w:highlight w:val="none"/>
        </w:rPr>
      </w:pPr>
      <w:r>
        <w:rPr>
          <w:color w:val="auto"/>
          <w:highlight w:val="none"/>
        </w:rPr>
        <w:t>施工模拟</w:t>
      </w:r>
    </w:p>
    <w:p w14:paraId="1387B511">
      <w:pPr>
        <w:spacing w:before="120" w:after="120"/>
        <w:rPr>
          <w:color w:val="auto"/>
          <w:highlight w:val="none"/>
        </w:rPr>
      </w:pPr>
      <w:r>
        <w:rPr>
          <w:color w:val="auto"/>
          <w:highlight w:val="none"/>
        </w:rPr>
        <w:t>1. 利用BIM模型模拟施工重难点工艺工法、重要节点施工；</w:t>
      </w:r>
    </w:p>
    <w:p w14:paraId="363335E2">
      <w:pPr>
        <w:spacing w:before="120" w:after="120"/>
        <w:rPr>
          <w:color w:val="auto"/>
          <w:highlight w:val="none"/>
        </w:rPr>
      </w:pPr>
      <w:r>
        <w:rPr>
          <w:color w:val="auto"/>
          <w:highlight w:val="none"/>
        </w:rPr>
        <w:t>2. 模型可视化表达展示模拟结果，指导施工。</w:t>
      </w:r>
    </w:p>
    <w:p w14:paraId="1AB41E76">
      <w:pPr>
        <w:pStyle w:val="4"/>
        <w:tabs>
          <w:tab w:val="left" w:pos="0"/>
        </w:tabs>
        <w:spacing w:before="120" w:after="120"/>
        <w:rPr>
          <w:color w:val="auto"/>
          <w:highlight w:val="none"/>
        </w:rPr>
      </w:pPr>
      <w:r>
        <w:rPr>
          <w:color w:val="auto"/>
          <w:highlight w:val="none"/>
        </w:rPr>
        <w:t>施工交底</w:t>
      </w:r>
    </w:p>
    <w:p w14:paraId="505765E4">
      <w:pPr>
        <w:spacing w:before="120" w:after="120"/>
        <w:rPr>
          <w:color w:val="auto"/>
          <w:highlight w:val="none"/>
        </w:rPr>
      </w:pPr>
      <w:r>
        <w:rPr>
          <w:color w:val="auto"/>
          <w:highlight w:val="none"/>
        </w:rPr>
        <w:t>1. 通过BIM模型、BIM视频、BIM统计分析结果、BIM应用报告等进行交底；</w:t>
      </w:r>
    </w:p>
    <w:p w14:paraId="71D2F230">
      <w:pPr>
        <w:pStyle w:val="4"/>
        <w:tabs>
          <w:tab w:val="left" w:pos="0"/>
        </w:tabs>
        <w:spacing w:before="120" w:after="120"/>
        <w:rPr>
          <w:color w:val="auto"/>
          <w:highlight w:val="none"/>
        </w:rPr>
      </w:pPr>
      <w:r>
        <w:rPr>
          <w:color w:val="auto"/>
          <w:highlight w:val="none"/>
        </w:rPr>
        <w:t>工程量统计</w:t>
      </w:r>
    </w:p>
    <w:p w14:paraId="4D30C829">
      <w:pPr>
        <w:spacing w:before="120" w:after="120"/>
        <w:rPr>
          <w:color w:val="auto"/>
          <w:highlight w:val="none"/>
        </w:rPr>
      </w:pPr>
      <w:r>
        <w:rPr>
          <w:color w:val="auto"/>
          <w:highlight w:val="none"/>
        </w:rPr>
        <w:t>1. 通过BIM统计建筑、结构、给排水、暖通、电气、钢结构、幕墙、精装等专业工程量；</w:t>
      </w:r>
    </w:p>
    <w:p w14:paraId="032214FF">
      <w:pPr>
        <w:spacing w:before="120" w:after="120"/>
        <w:rPr>
          <w:color w:val="auto"/>
          <w:highlight w:val="none"/>
        </w:rPr>
      </w:pPr>
      <w:r>
        <w:rPr>
          <w:color w:val="auto"/>
          <w:highlight w:val="none"/>
        </w:rPr>
        <w:t>2. 提交统计报告。</w:t>
      </w:r>
    </w:p>
    <w:p w14:paraId="5DD698E8">
      <w:pPr>
        <w:pStyle w:val="4"/>
        <w:tabs>
          <w:tab w:val="left" w:pos="0"/>
        </w:tabs>
        <w:spacing w:before="120" w:after="120"/>
        <w:rPr>
          <w:color w:val="auto"/>
          <w:highlight w:val="none"/>
        </w:rPr>
      </w:pPr>
      <w:r>
        <w:rPr>
          <w:color w:val="auto"/>
          <w:highlight w:val="none"/>
        </w:rPr>
        <w:t>施工进度管理</w:t>
      </w:r>
    </w:p>
    <w:p w14:paraId="15F0B4AD">
      <w:pPr>
        <w:spacing w:before="120" w:after="120"/>
        <w:rPr>
          <w:color w:val="auto"/>
          <w:highlight w:val="none"/>
        </w:rPr>
      </w:pPr>
      <w:r>
        <w:rPr>
          <w:color w:val="auto"/>
          <w:highlight w:val="none"/>
        </w:rPr>
        <w:t>1. 通过参数化关联施工进度数据；</w:t>
      </w:r>
    </w:p>
    <w:p w14:paraId="77FBCE04">
      <w:pPr>
        <w:spacing w:before="120" w:after="120"/>
        <w:rPr>
          <w:color w:val="auto"/>
          <w:highlight w:val="none"/>
        </w:rPr>
      </w:pPr>
      <w:r>
        <w:rPr>
          <w:color w:val="auto"/>
          <w:highlight w:val="none"/>
        </w:rPr>
        <w:t>2. 通过模型准确表达施工进度状况；</w:t>
      </w:r>
    </w:p>
    <w:p w14:paraId="537F662B">
      <w:pPr>
        <w:spacing w:before="120" w:after="120"/>
        <w:rPr>
          <w:color w:val="auto"/>
          <w:highlight w:val="none"/>
        </w:rPr>
      </w:pPr>
      <w:r>
        <w:rPr>
          <w:color w:val="auto"/>
          <w:highlight w:val="none"/>
        </w:rPr>
        <w:t>3. 对工程总进度、年、季、月度计划和重要节点进行管理；</w:t>
      </w:r>
    </w:p>
    <w:p w14:paraId="7FFB836A">
      <w:pPr>
        <w:spacing w:before="120" w:after="120"/>
        <w:rPr>
          <w:color w:val="auto"/>
          <w:highlight w:val="none"/>
        </w:rPr>
      </w:pPr>
      <w:r>
        <w:rPr>
          <w:color w:val="auto"/>
          <w:highlight w:val="none"/>
        </w:rPr>
        <w:t>4. 建立施工进度自动预警系统。</w:t>
      </w:r>
    </w:p>
    <w:p w14:paraId="25E6A635">
      <w:pPr>
        <w:pStyle w:val="4"/>
        <w:tabs>
          <w:tab w:val="left" w:pos="0"/>
        </w:tabs>
        <w:spacing w:before="120" w:after="120"/>
        <w:rPr>
          <w:color w:val="auto"/>
          <w:highlight w:val="none"/>
        </w:rPr>
      </w:pPr>
      <w:r>
        <w:rPr>
          <w:color w:val="auto"/>
          <w:highlight w:val="none"/>
        </w:rPr>
        <w:t>施工变更管理</w:t>
      </w:r>
    </w:p>
    <w:p w14:paraId="11726B66">
      <w:pPr>
        <w:spacing w:before="120" w:after="120"/>
        <w:rPr>
          <w:color w:val="auto"/>
          <w:highlight w:val="none"/>
        </w:rPr>
      </w:pPr>
      <w:r>
        <w:rPr>
          <w:color w:val="auto"/>
          <w:highlight w:val="none"/>
        </w:rPr>
        <w:t>1. 通过模型实现变更内容的直观表达；</w:t>
      </w:r>
    </w:p>
    <w:p w14:paraId="7186522C">
      <w:pPr>
        <w:spacing w:before="120" w:after="120"/>
        <w:rPr>
          <w:color w:val="auto"/>
          <w:highlight w:val="none"/>
        </w:rPr>
      </w:pPr>
      <w:r>
        <w:rPr>
          <w:color w:val="auto"/>
          <w:highlight w:val="none"/>
        </w:rPr>
        <w:t>2. 通过参数化实现变更的数据统计；</w:t>
      </w:r>
    </w:p>
    <w:p w14:paraId="16B40EA5">
      <w:pPr>
        <w:spacing w:before="120" w:after="120"/>
        <w:rPr>
          <w:color w:val="auto"/>
          <w:highlight w:val="none"/>
        </w:rPr>
      </w:pPr>
      <w:r>
        <w:rPr>
          <w:color w:val="auto"/>
          <w:highlight w:val="none"/>
        </w:rPr>
        <w:t>3. 强化施工变更的规范化管理。</w:t>
      </w:r>
    </w:p>
    <w:p w14:paraId="5C1C167D">
      <w:pPr>
        <w:pStyle w:val="4"/>
        <w:tabs>
          <w:tab w:val="left" w:pos="0"/>
        </w:tabs>
        <w:spacing w:before="120" w:after="120"/>
        <w:rPr>
          <w:color w:val="auto"/>
          <w:highlight w:val="none"/>
        </w:rPr>
      </w:pPr>
      <w:r>
        <w:rPr>
          <w:color w:val="auto"/>
          <w:highlight w:val="none"/>
        </w:rPr>
        <w:t>施工工艺指导</w:t>
      </w:r>
    </w:p>
    <w:p w14:paraId="26F5BF3D">
      <w:pPr>
        <w:spacing w:before="120" w:after="120"/>
        <w:rPr>
          <w:color w:val="auto"/>
          <w:highlight w:val="none"/>
        </w:rPr>
      </w:pPr>
      <w:r>
        <w:rPr>
          <w:color w:val="auto"/>
          <w:highlight w:val="none"/>
        </w:rPr>
        <w:t>1. 通过参数化实现精确定位；</w:t>
      </w:r>
    </w:p>
    <w:p w14:paraId="3DB55E6A">
      <w:pPr>
        <w:spacing w:before="120" w:after="120"/>
        <w:rPr>
          <w:color w:val="auto"/>
          <w:highlight w:val="none"/>
        </w:rPr>
      </w:pPr>
      <w:r>
        <w:rPr>
          <w:color w:val="auto"/>
          <w:highlight w:val="none"/>
        </w:rPr>
        <w:t>2. 通过模拟进行施工指导；</w:t>
      </w:r>
    </w:p>
    <w:p w14:paraId="30054BBF">
      <w:pPr>
        <w:spacing w:before="120" w:after="120"/>
        <w:rPr>
          <w:color w:val="auto"/>
          <w:highlight w:val="none"/>
        </w:rPr>
      </w:pPr>
      <w:r>
        <w:rPr>
          <w:color w:val="auto"/>
          <w:highlight w:val="none"/>
        </w:rPr>
        <w:t>3. 提高施工效率与品质。</w:t>
      </w:r>
    </w:p>
    <w:p w14:paraId="01E943B7">
      <w:pPr>
        <w:pStyle w:val="4"/>
        <w:tabs>
          <w:tab w:val="left" w:pos="0"/>
        </w:tabs>
        <w:spacing w:before="120" w:after="120"/>
        <w:rPr>
          <w:color w:val="auto"/>
          <w:highlight w:val="none"/>
        </w:rPr>
      </w:pPr>
      <w:r>
        <w:rPr>
          <w:color w:val="auto"/>
          <w:highlight w:val="none"/>
        </w:rPr>
        <w:t>施工安全管理</w:t>
      </w:r>
    </w:p>
    <w:p w14:paraId="38902514">
      <w:pPr>
        <w:spacing w:before="120" w:after="120"/>
        <w:rPr>
          <w:color w:val="auto"/>
          <w:highlight w:val="none"/>
        </w:rPr>
      </w:pPr>
      <w:r>
        <w:rPr>
          <w:color w:val="auto"/>
          <w:highlight w:val="none"/>
        </w:rPr>
        <w:t>1. 通过参数化进行施工现场安全模拟，包括施工过程危险区域、施工空间冲突等安全隐患；</w:t>
      </w:r>
    </w:p>
    <w:p w14:paraId="3336DC0B">
      <w:pPr>
        <w:spacing w:before="120" w:after="120"/>
        <w:rPr>
          <w:color w:val="auto"/>
          <w:highlight w:val="none"/>
        </w:rPr>
      </w:pPr>
      <w:r>
        <w:rPr>
          <w:color w:val="auto"/>
          <w:highlight w:val="none"/>
        </w:rPr>
        <w:t>2. 通过模拟结果的可视化进行现场安全指导；</w:t>
      </w:r>
    </w:p>
    <w:p w14:paraId="57A9640F">
      <w:pPr>
        <w:spacing w:before="120" w:after="120"/>
        <w:rPr>
          <w:color w:val="auto"/>
          <w:highlight w:val="none"/>
        </w:rPr>
      </w:pPr>
      <w:r>
        <w:rPr>
          <w:color w:val="auto"/>
          <w:highlight w:val="none"/>
        </w:rPr>
        <w:t>3. 降低施工安全风险，提高安全保障。</w:t>
      </w:r>
    </w:p>
    <w:p w14:paraId="313BBDA9">
      <w:pPr>
        <w:pStyle w:val="4"/>
        <w:tabs>
          <w:tab w:val="left" w:pos="0"/>
        </w:tabs>
        <w:spacing w:before="120" w:after="120"/>
        <w:rPr>
          <w:color w:val="auto"/>
          <w:highlight w:val="none"/>
        </w:rPr>
      </w:pPr>
      <w:r>
        <w:rPr>
          <w:color w:val="auto"/>
          <w:highlight w:val="none"/>
        </w:rPr>
        <w:t>施工质量管理</w:t>
      </w:r>
    </w:p>
    <w:p w14:paraId="182069F4">
      <w:pPr>
        <w:spacing w:before="120" w:after="120"/>
        <w:rPr>
          <w:color w:val="auto"/>
          <w:highlight w:val="none"/>
        </w:rPr>
      </w:pPr>
      <w:r>
        <w:rPr>
          <w:color w:val="auto"/>
          <w:highlight w:val="none"/>
        </w:rPr>
        <w:t>1. 通过参数化实现质量精确管理，对质量管控要点进行管控；</w:t>
      </w:r>
    </w:p>
    <w:p w14:paraId="1DC40499">
      <w:pPr>
        <w:spacing w:before="120" w:after="120"/>
        <w:rPr>
          <w:color w:val="auto"/>
          <w:highlight w:val="none"/>
        </w:rPr>
      </w:pPr>
      <w:r>
        <w:rPr>
          <w:color w:val="auto"/>
          <w:highlight w:val="none"/>
        </w:rPr>
        <w:t>2. 通过可视化确定空间部位；</w:t>
      </w:r>
    </w:p>
    <w:p w14:paraId="70A00419">
      <w:pPr>
        <w:spacing w:before="120" w:after="120"/>
        <w:rPr>
          <w:color w:val="auto"/>
          <w:highlight w:val="none"/>
        </w:rPr>
      </w:pPr>
      <w:r>
        <w:rPr>
          <w:color w:val="auto"/>
          <w:highlight w:val="none"/>
        </w:rPr>
        <w:t>3. 提高施工品质，建立优秀供应商体系。</w:t>
      </w:r>
    </w:p>
    <w:p w14:paraId="270A3452">
      <w:pPr>
        <w:pStyle w:val="4"/>
        <w:tabs>
          <w:tab w:val="left" w:pos="0"/>
        </w:tabs>
        <w:spacing w:before="120" w:after="120"/>
        <w:rPr>
          <w:color w:val="auto"/>
          <w:highlight w:val="none"/>
        </w:rPr>
      </w:pPr>
      <w:r>
        <w:rPr>
          <w:color w:val="auto"/>
          <w:highlight w:val="none"/>
        </w:rPr>
        <w:t>施工成本管理</w:t>
      </w:r>
    </w:p>
    <w:p w14:paraId="5809D748">
      <w:pPr>
        <w:spacing w:before="120" w:after="120"/>
        <w:rPr>
          <w:color w:val="auto"/>
          <w:highlight w:val="none"/>
        </w:rPr>
      </w:pPr>
      <w:r>
        <w:rPr>
          <w:color w:val="auto"/>
          <w:highlight w:val="none"/>
        </w:rPr>
        <w:t>1. 基于施工模型实现一模多量，高效计量工程量；</w:t>
      </w:r>
    </w:p>
    <w:p w14:paraId="66A6AF72">
      <w:pPr>
        <w:spacing w:before="120" w:after="120"/>
        <w:rPr>
          <w:color w:val="auto"/>
          <w:highlight w:val="none"/>
        </w:rPr>
      </w:pPr>
      <w:r>
        <w:rPr>
          <w:color w:val="auto"/>
          <w:highlight w:val="none"/>
        </w:rPr>
        <w:t>2. 变更工程量跟踪统计，动态核算项目成本；</w:t>
      </w:r>
    </w:p>
    <w:p w14:paraId="3ABA191F">
      <w:pPr>
        <w:spacing w:before="120" w:after="120"/>
        <w:rPr>
          <w:color w:val="auto"/>
          <w:highlight w:val="none"/>
        </w:rPr>
      </w:pPr>
      <w:r>
        <w:rPr>
          <w:color w:val="auto"/>
          <w:highlight w:val="none"/>
        </w:rPr>
        <w:t>3. 通过设计、施工阶段多量对比、动态投资、产值统计、计量支付等开展多维度控制项目造价；</w:t>
      </w:r>
    </w:p>
    <w:p w14:paraId="3EB6AB42">
      <w:pPr>
        <w:spacing w:before="120" w:after="120"/>
        <w:rPr>
          <w:color w:val="auto"/>
          <w:highlight w:val="none"/>
        </w:rPr>
      </w:pPr>
      <w:r>
        <w:rPr>
          <w:color w:val="auto"/>
          <w:highlight w:val="none"/>
        </w:rPr>
        <w:t>4. 利用BIM辅助工程预算和结算。</w:t>
      </w:r>
    </w:p>
    <w:p w14:paraId="249D5E7B">
      <w:pPr>
        <w:pStyle w:val="4"/>
        <w:tabs>
          <w:tab w:val="left" w:pos="0"/>
        </w:tabs>
        <w:spacing w:before="120" w:after="120"/>
        <w:rPr>
          <w:color w:val="auto"/>
          <w:highlight w:val="none"/>
        </w:rPr>
      </w:pPr>
      <w:r>
        <w:rPr>
          <w:color w:val="auto"/>
          <w:highlight w:val="none"/>
        </w:rPr>
        <w:t>施工交底</w:t>
      </w:r>
    </w:p>
    <w:p w14:paraId="4839D7F5">
      <w:pPr>
        <w:spacing w:before="120" w:after="120"/>
        <w:rPr>
          <w:color w:val="auto"/>
          <w:highlight w:val="none"/>
        </w:rPr>
      </w:pPr>
      <w:r>
        <w:rPr>
          <w:color w:val="auto"/>
          <w:highlight w:val="none"/>
        </w:rPr>
        <w:t>1. 通过模型进行多方交互；</w:t>
      </w:r>
    </w:p>
    <w:p w14:paraId="74C902A7">
      <w:pPr>
        <w:spacing w:before="120" w:after="120"/>
        <w:rPr>
          <w:color w:val="auto"/>
          <w:highlight w:val="none"/>
        </w:rPr>
      </w:pPr>
      <w:r>
        <w:rPr>
          <w:color w:val="auto"/>
          <w:highlight w:val="none"/>
        </w:rPr>
        <w:t>2. 通过参数化进行数据交底。</w:t>
      </w:r>
    </w:p>
    <w:p w14:paraId="4B081BCD">
      <w:pPr>
        <w:pStyle w:val="4"/>
        <w:tabs>
          <w:tab w:val="left" w:pos="0"/>
        </w:tabs>
        <w:spacing w:before="120" w:after="120"/>
        <w:rPr>
          <w:color w:val="auto"/>
          <w:highlight w:val="none"/>
        </w:rPr>
      </w:pPr>
      <w:r>
        <w:rPr>
          <w:color w:val="auto"/>
          <w:highlight w:val="none"/>
        </w:rPr>
        <w:t>竣工交付成果准备</w:t>
      </w:r>
    </w:p>
    <w:p w14:paraId="4F040E62">
      <w:pPr>
        <w:spacing w:before="120" w:after="120"/>
        <w:rPr>
          <w:color w:val="auto"/>
          <w:highlight w:val="none"/>
        </w:rPr>
      </w:pPr>
      <w:r>
        <w:rPr>
          <w:color w:val="auto"/>
          <w:highlight w:val="none"/>
        </w:rPr>
        <w:t>1. 形成竣工模型；</w:t>
      </w:r>
    </w:p>
    <w:p w14:paraId="52F35A8B">
      <w:pPr>
        <w:spacing w:before="120" w:after="120"/>
        <w:rPr>
          <w:color w:val="auto"/>
          <w:highlight w:val="none"/>
        </w:rPr>
      </w:pPr>
      <w:r>
        <w:rPr>
          <w:color w:val="auto"/>
          <w:highlight w:val="none"/>
        </w:rPr>
        <w:t>2. 通过参数化实现交付成果比对；</w:t>
      </w:r>
    </w:p>
    <w:p w14:paraId="64AE3E1C">
      <w:pPr>
        <w:spacing w:before="120" w:after="120"/>
        <w:rPr>
          <w:color w:val="auto"/>
          <w:highlight w:val="none"/>
        </w:rPr>
      </w:pPr>
      <w:r>
        <w:rPr>
          <w:color w:val="auto"/>
          <w:highlight w:val="none"/>
        </w:rPr>
        <w:t>3. 完成阶段性交付成果，为最终综合竣工交付做好准备。</w:t>
      </w:r>
    </w:p>
    <w:p w14:paraId="793B7CC4">
      <w:pPr>
        <w:pStyle w:val="4"/>
        <w:tabs>
          <w:tab w:val="left" w:pos="0"/>
        </w:tabs>
        <w:spacing w:before="120" w:after="120"/>
        <w:rPr>
          <w:color w:val="auto"/>
          <w:highlight w:val="none"/>
        </w:rPr>
      </w:pPr>
      <w:r>
        <w:rPr>
          <w:color w:val="auto"/>
          <w:highlight w:val="none"/>
        </w:rPr>
        <w:t>综合竣工交付</w:t>
      </w:r>
    </w:p>
    <w:p w14:paraId="44B25933">
      <w:pPr>
        <w:spacing w:before="120" w:after="120"/>
        <w:rPr>
          <w:color w:val="auto"/>
          <w:highlight w:val="none"/>
        </w:rPr>
      </w:pPr>
      <w:r>
        <w:rPr>
          <w:color w:val="auto"/>
          <w:highlight w:val="none"/>
        </w:rPr>
        <w:t>1. 可视化综合竣工成果交付；</w:t>
      </w:r>
    </w:p>
    <w:p w14:paraId="5FAAB7B7">
      <w:pPr>
        <w:spacing w:before="120" w:after="120"/>
        <w:rPr>
          <w:color w:val="auto"/>
          <w:highlight w:val="none"/>
        </w:rPr>
      </w:pPr>
      <w:r>
        <w:rPr>
          <w:color w:val="auto"/>
          <w:highlight w:val="none"/>
        </w:rPr>
        <w:t>2. 通过参数化实现交付成果比对；</w:t>
      </w:r>
    </w:p>
    <w:p w14:paraId="182433E3">
      <w:pPr>
        <w:spacing w:before="120" w:after="120"/>
        <w:rPr>
          <w:color w:val="auto"/>
          <w:highlight w:val="none"/>
        </w:rPr>
      </w:pPr>
      <w:r>
        <w:rPr>
          <w:color w:val="auto"/>
          <w:highlight w:val="none"/>
        </w:rPr>
        <w:t>3. 强化综合竣工交付水平，为下阶段运维奠定数据基础。</w:t>
      </w:r>
    </w:p>
    <w:p w14:paraId="5E5A5FDF">
      <w:pPr>
        <w:pStyle w:val="4"/>
        <w:tabs>
          <w:tab w:val="left" w:pos="0"/>
        </w:tabs>
        <w:spacing w:before="120" w:after="120"/>
        <w:rPr>
          <w:color w:val="auto"/>
          <w:highlight w:val="none"/>
        </w:rPr>
      </w:pPr>
      <w:r>
        <w:rPr>
          <w:color w:val="auto"/>
          <w:highlight w:val="none"/>
        </w:rPr>
        <w:t>三维数字化竣工验收交付</w:t>
      </w:r>
    </w:p>
    <w:p w14:paraId="1DB30055">
      <w:pPr>
        <w:spacing w:before="120" w:after="120"/>
        <w:rPr>
          <w:color w:val="auto"/>
          <w:highlight w:val="none"/>
        </w:rPr>
      </w:pPr>
      <w:r>
        <w:rPr>
          <w:color w:val="auto"/>
          <w:highlight w:val="none"/>
        </w:rPr>
        <w:t>1. 竣工验收备案信息录入；</w:t>
      </w:r>
    </w:p>
    <w:p w14:paraId="1D9E0658">
      <w:pPr>
        <w:spacing w:before="120" w:after="120"/>
        <w:rPr>
          <w:color w:val="auto"/>
          <w:highlight w:val="none"/>
        </w:rPr>
      </w:pPr>
      <w:r>
        <w:rPr>
          <w:color w:val="auto"/>
          <w:highlight w:val="none"/>
        </w:rPr>
        <w:t>2. 竣工验收备案信息满足竣工验收管理系统的管理要求。</w:t>
      </w:r>
    </w:p>
    <w:p w14:paraId="094C4943">
      <w:pPr>
        <w:spacing w:before="120" w:after="120"/>
        <w:rPr>
          <w:color w:val="auto"/>
          <w:highlight w:val="none"/>
        </w:rPr>
      </w:pPr>
    </w:p>
    <w:p w14:paraId="5F08B7A8">
      <w:pPr>
        <w:pStyle w:val="3"/>
        <w:tabs>
          <w:tab w:val="left" w:pos="0"/>
        </w:tabs>
        <w:rPr>
          <w:color w:val="auto"/>
          <w:highlight w:val="none"/>
        </w:rPr>
      </w:pPr>
      <w:bookmarkStart w:id="183" w:name="_Toc28489"/>
      <w:r>
        <w:rPr>
          <w:color w:val="auto"/>
          <w:highlight w:val="none"/>
        </w:rPr>
        <w:t>BIM模型运维阶段应用点分析</w:t>
      </w:r>
      <w:bookmarkEnd w:id="183"/>
    </w:p>
    <w:p w14:paraId="6F85F34C">
      <w:pPr>
        <w:pStyle w:val="4"/>
        <w:tabs>
          <w:tab w:val="left" w:pos="0"/>
        </w:tabs>
        <w:spacing w:before="120" w:after="120"/>
        <w:rPr>
          <w:color w:val="auto"/>
          <w:highlight w:val="none"/>
        </w:rPr>
      </w:pPr>
      <w:r>
        <w:rPr>
          <w:color w:val="auto"/>
          <w:highlight w:val="none"/>
        </w:rPr>
        <w:t>运维阶段应实现：</w:t>
      </w:r>
    </w:p>
    <w:p w14:paraId="468C8FE2">
      <w:pPr>
        <w:spacing w:before="120" w:after="120"/>
        <w:rPr>
          <w:color w:val="auto"/>
          <w:highlight w:val="none"/>
        </w:rPr>
      </w:pPr>
      <w:r>
        <w:rPr>
          <w:color w:val="auto"/>
          <w:highlight w:val="none"/>
        </w:rPr>
        <w:t>1. 利用竣工模型创建运维模型，实现模型和数据的传递和利用；</w:t>
      </w:r>
    </w:p>
    <w:p w14:paraId="61F81613">
      <w:pPr>
        <w:spacing w:before="120" w:after="120"/>
        <w:rPr>
          <w:color w:val="auto"/>
          <w:highlight w:val="none"/>
        </w:rPr>
      </w:pPr>
      <w:r>
        <w:rPr>
          <w:color w:val="auto"/>
          <w:highlight w:val="none"/>
        </w:rPr>
        <w:t>2. 模型集成运维信息，支持运维功能的实现；</w:t>
      </w:r>
    </w:p>
    <w:p w14:paraId="1B45E69A">
      <w:pPr>
        <w:spacing w:before="120" w:after="120"/>
        <w:rPr>
          <w:color w:val="auto"/>
          <w:highlight w:val="none"/>
        </w:rPr>
      </w:pPr>
      <w:r>
        <w:rPr>
          <w:color w:val="auto"/>
          <w:highlight w:val="none"/>
        </w:rPr>
        <w:t>3. 提升建筑运行效率，促进建筑绿色、低碳可持续发展。</w:t>
      </w:r>
    </w:p>
    <w:p w14:paraId="4841CD02">
      <w:pPr>
        <w:pStyle w:val="4"/>
        <w:tabs>
          <w:tab w:val="left" w:pos="0"/>
        </w:tabs>
        <w:spacing w:before="120" w:after="120"/>
        <w:rPr>
          <w:color w:val="auto"/>
          <w:highlight w:val="none"/>
        </w:rPr>
      </w:pPr>
      <w:r>
        <w:rPr>
          <w:color w:val="auto"/>
          <w:highlight w:val="none"/>
        </w:rPr>
        <w:t>运维模型移交</w:t>
      </w:r>
    </w:p>
    <w:p w14:paraId="2BD5C0A0">
      <w:pPr>
        <w:spacing w:before="120" w:after="120"/>
        <w:rPr>
          <w:color w:val="auto"/>
          <w:highlight w:val="none"/>
        </w:rPr>
      </w:pPr>
      <w:r>
        <w:rPr>
          <w:color w:val="auto"/>
          <w:highlight w:val="none"/>
        </w:rPr>
        <w:t>1. 根据运维单位的要求，整理BIM竣工模型信息及格式要求；</w:t>
      </w:r>
    </w:p>
    <w:p w14:paraId="347D8673">
      <w:pPr>
        <w:spacing w:before="120" w:after="120"/>
        <w:rPr>
          <w:color w:val="auto"/>
          <w:highlight w:val="none"/>
        </w:rPr>
      </w:pPr>
      <w:r>
        <w:rPr>
          <w:color w:val="auto"/>
          <w:highlight w:val="none"/>
        </w:rPr>
        <w:t>2. 向运维单位进行BIM成果移交。</w:t>
      </w:r>
    </w:p>
    <w:p w14:paraId="0C0215B2">
      <w:pPr>
        <w:pStyle w:val="4"/>
        <w:tabs>
          <w:tab w:val="left" w:pos="0"/>
        </w:tabs>
        <w:spacing w:before="120" w:after="120"/>
        <w:rPr>
          <w:color w:val="auto"/>
          <w:highlight w:val="none"/>
        </w:rPr>
      </w:pPr>
      <w:r>
        <w:rPr>
          <w:color w:val="auto"/>
          <w:highlight w:val="none"/>
        </w:rPr>
        <w:t>运维信息集成</w:t>
      </w:r>
    </w:p>
    <w:p w14:paraId="0FD408B9">
      <w:pPr>
        <w:spacing w:before="120" w:after="120"/>
        <w:rPr>
          <w:color w:val="auto"/>
          <w:highlight w:val="none"/>
        </w:rPr>
      </w:pPr>
      <w:r>
        <w:rPr>
          <w:color w:val="auto"/>
          <w:highlight w:val="none"/>
        </w:rPr>
        <w:t>1. 在竣工模型上集成运营维护信息，形成运维模型；</w:t>
      </w:r>
    </w:p>
    <w:p w14:paraId="32988A49">
      <w:pPr>
        <w:spacing w:before="120" w:after="120"/>
        <w:rPr>
          <w:color w:val="auto"/>
          <w:highlight w:val="none"/>
        </w:rPr>
      </w:pPr>
      <w:r>
        <w:rPr>
          <w:color w:val="auto"/>
          <w:highlight w:val="none"/>
        </w:rPr>
        <w:t>2. 基于运维模型实施运维应用。</w:t>
      </w:r>
    </w:p>
    <w:p w14:paraId="39D03431">
      <w:pPr>
        <w:pStyle w:val="4"/>
        <w:tabs>
          <w:tab w:val="left" w:pos="0"/>
        </w:tabs>
        <w:spacing w:before="120" w:after="120"/>
        <w:rPr>
          <w:color w:val="auto"/>
          <w:highlight w:val="none"/>
        </w:rPr>
      </w:pPr>
      <w:r>
        <w:rPr>
          <w:color w:val="auto"/>
          <w:highlight w:val="none"/>
        </w:rPr>
        <w:t>运维数据维护</w:t>
      </w:r>
    </w:p>
    <w:p w14:paraId="56759244">
      <w:pPr>
        <w:spacing w:before="120" w:after="120"/>
        <w:rPr>
          <w:color w:val="auto"/>
          <w:highlight w:val="none"/>
        </w:rPr>
      </w:pPr>
      <w:r>
        <w:rPr>
          <w:color w:val="auto"/>
          <w:highlight w:val="none"/>
        </w:rPr>
        <w:t>1. 与运维单位进行实时沟通和回访，线上处理运维单位提出的问题；</w:t>
      </w:r>
    </w:p>
    <w:p w14:paraId="0931936C">
      <w:pPr>
        <w:spacing w:before="120" w:after="120"/>
        <w:rPr>
          <w:color w:val="auto"/>
          <w:highlight w:val="none"/>
        </w:rPr>
      </w:pPr>
      <w:r>
        <w:rPr>
          <w:color w:val="auto"/>
          <w:highlight w:val="none"/>
        </w:rPr>
        <w:t>2. 根据合同要求进行模型信息维护和更新。</w:t>
      </w:r>
    </w:p>
    <w:p w14:paraId="557159CD">
      <w:pPr>
        <w:spacing w:before="120" w:after="120"/>
        <w:rPr>
          <w:color w:val="auto"/>
          <w:highlight w:val="none"/>
        </w:rPr>
      </w:pPr>
    </w:p>
    <w:p w14:paraId="0F9E8395">
      <w:pPr>
        <w:pStyle w:val="2"/>
        <w:tabs>
          <w:tab w:val="left" w:pos="0"/>
        </w:tabs>
        <w:spacing w:before="720" w:after="480"/>
        <w:rPr>
          <w:color w:val="auto"/>
          <w:highlight w:val="none"/>
        </w:rPr>
        <w:sectPr>
          <w:footerReference r:id="rId10" w:type="default"/>
          <w:pgSz w:w="11910" w:h="16840"/>
          <w:pgMar w:top="1440" w:right="1800" w:bottom="1440" w:left="1800" w:header="907" w:footer="973" w:gutter="0"/>
          <w:pgNumType w:fmt="numberInDash"/>
          <w:cols w:space="720" w:num="1"/>
        </w:sectPr>
      </w:pPr>
    </w:p>
    <w:p w14:paraId="6233A0BC">
      <w:pPr>
        <w:pStyle w:val="2"/>
        <w:tabs>
          <w:tab w:val="left" w:pos="0"/>
        </w:tabs>
        <w:spacing w:before="720" w:after="480"/>
        <w:rPr>
          <w:color w:val="auto"/>
          <w:highlight w:val="none"/>
        </w:rPr>
      </w:pPr>
      <w:bookmarkStart w:id="184" w:name="_Toc23905"/>
      <w:r>
        <w:rPr>
          <w:color w:val="auto"/>
          <w:highlight w:val="none"/>
        </w:rPr>
        <w:t>BIM模型实施管理</w:t>
      </w:r>
      <w:bookmarkEnd w:id="184"/>
    </w:p>
    <w:p w14:paraId="772C26EF">
      <w:pPr>
        <w:pStyle w:val="3"/>
        <w:tabs>
          <w:tab w:val="left" w:pos="0"/>
        </w:tabs>
        <w:rPr>
          <w:color w:val="auto"/>
          <w:highlight w:val="none"/>
        </w:rPr>
      </w:pPr>
      <w:bookmarkStart w:id="185" w:name="_Toc22667"/>
      <w:r>
        <w:rPr>
          <w:color w:val="auto"/>
          <w:highlight w:val="none"/>
        </w:rPr>
        <w:t>项目文档管理</w:t>
      </w:r>
      <w:bookmarkEnd w:id="185"/>
    </w:p>
    <w:p w14:paraId="6936D619">
      <w:pPr>
        <w:pStyle w:val="4"/>
        <w:tabs>
          <w:tab w:val="left" w:pos="0"/>
        </w:tabs>
        <w:spacing w:before="120" w:after="120"/>
        <w:rPr>
          <w:color w:val="auto"/>
          <w:highlight w:val="none"/>
        </w:rPr>
      </w:pPr>
      <w:r>
        <w:rPr>
          <w:color w:val="auto"/>
          <w:highlight w:val="none"/>
        </w:rPr>
        <w:t>文档组成</w:t>
      </w:r>
    </w:p>
    <w:p w14:paraId="5B498388">
      <w:pPr>
        <w:spacing w:before="120" w:after="120"/>
        <w:rPr>
          <w:color w:val="auto"/>
          <w:highlight w:val="none"/>
        </w:rPr>
      </w:pPr>
      <w:r>
        <w:rPr>
          <w:color w:val="auto"/>
          <w:highlight w:val="none"/>
        </w:rPr>
        <w:t>1. 项目过程中所产生的文件可分为三大类：依据文件、过程文件、成果文件。项目实施过程中各参与方根据自身需求及实际情况对三类文件进行收集、传递及登记归档；</w:t>
      </w:r>
    </w:p>
    <w:p w14:paraId="2ED79E4D">
      <w:pPr>
        <w:spacing w:before="120" w:after="120"/>
        <w:rPr>
          <w:color w:val="auto"/>
          <w:highlight w:val="none"/>
        </w:rPr>
      </w:pPr>
      <w:r>
        <w:rPr>
          <w:color w:val="auto"/>
          <w:highlight w:val="none"/>
        </w:rPr>
        <w:t>2. 依据文件包括设计条件、变更指令、政府批文、国家地方法律、规范、标准、合同等；</w:t>
      </w:r>
    </w:p>
    <w:p w14:paraId="74F20847">
      <w:pPr>
        <w:spacing w:before="120" w:after="120"/>
        <w:rPr>
          <w:color w:val="auto"/>
          <w:highlight w:val="none"/>
        </w:rPr>
      </w:pPr>
      <w:r>
        <w:rPr>
          <w:color w:val="auto"/>
          <w:highlight w:val="none"/>
        </w:rPr>
        <w:t>3. 过程文件包含会议纪要、工程联系函等；</w:t>
      </w:r>
    </w:p>
    <w:p w14:paraId="1AC8F743">
      <w:pPr>
        <w:spacing w:before="120" w:after="120"/>
        <w:rPr>
          <w:color w:val="auto"/>
          <w:highlight w:val="none"/>
        </w:rPr>
      </w:pPr>
      <w:r>
        <w:rPr>
          <w:color w:val="auto"/>
          <w:highlight w:val="none"/>
        </w:rPr>
        <w:t>4. 成果文件包含BIM模型文件及BIM应用成果文件；按照合同约定节点及时提交给BIM总协调方。</w:t>
      </w:r>
    </w:p>
    <w:p w14:paraId="4C8D0369">
      <w:pPr>
        <w:pStyle w:val="4"/>
        <w:tabs>
          <w:tab w:val="left" w:pos="0"/>
        </w:tabs>
        <w:spacing w:before="120" w:after="120"/>
        <w:rPr>
          <w:color w:val="auto"/>
          <w:highlight w:val="none"/>
        </w:rPr>
      </w:pPr>
      <w:r>
        <w:rPr>
          <w:color w:val="auto"/>
          <w:highlight w:val="none"/>
        </w:rPr>
        <w:t>文档构架</w:t>
      </w:r>
    </w:p>
    <w:p w14:paraId="7A88FE03">
      <w:pPr>
        <w:spacing w:before="120" w:after="120"/>
        <w:ind w:firstLine="0" w:firstLineChars="0"/>
        <w:jc w:val="center"/>
        <w:rPr>
          <w:color w:val="auto"/>
          <w:highlight w:val="none"/>
        </w:rPr>
      </w:pPr>
      <w:r>
        <w:rPr>
          <w:color w:val="auto"/>
          <w:highlight w:val="none"/>
        </w:rPr>
        <w:t>在项目实施过程中文件构架体系可参考下图所示：</w:t>
      </w:r>
    </w:p>
    <w:p w14:paraId="3361D7D8">
      <w:pPr>
        <w:spacing w:before="120" w:after="120"/>
        <w:ind w:firstLine="0" w:firstLineChars="0"/>
        <w:jc w:val="center"/>
        <w:rPr>
          <w:color w:val="auto"/>
          <w:highlight w:val="none"/>
        </w:rPr>
      </w:pPr>
      <w:r>
        <w:rPr>
          <w:rFonts w:ascii="宋体" w:hAnsi="宋体" w:cs="宋体"/>
          <w:color w:val="auto"/>
          <w:sz w:val="20"/>
          <w:szCs w:val="20"/>
          <w:highlight w:val="none"/>
        </w:rPr>
        <w:drawing>
          <wp:inline distT="0" distB="0" distL="114300" distR="114300">
            <wp:extent cx="4319905" cy="5527040"/>
            <wp:effectExtent l="0" t="0" r="4445" b="698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6"/>
                    <a:srcRect l="7776" t="3365" r="14149" b="8984"/>
                    <a:stretch>
                      <a:fillRect/>
                    </a:stretch>
                  </pic:blipFill>
                  <pic:spPr>
                    <a:xfrm>
                      <a:off x="0" y="0"/>
                      <a:ext cx="4319905" cy="5527040"/>
                    </a:xfrm>
                    <a:prstGeom prst="rect">
                      <a:avLst/>
                    </a:prstGeom>
                    <a:noFill/>
                    <a:ln>
                      <a:noFill/>
                    </a:ln>
                  </pic:spPr>
                </pic:pic>
              </a:graphicData>
            </a:graphic>
          </wp:inline>
        </w:drawing>
      </w:r>
    </w:p>
    <w:p w14:paraId="7629C8BD">
      <w:pPr>
        <w:spacing w:before="120" w:after="120"/>
        <w:jc w:val="center"/>
        <w:rPr>
          <w:color w:val="auto"/>
          <w:highlight w:val="none"/>
        </w:rPr>
      </w:pPr>
      <w:r>
        <w:rPr>
          <w:color w:val="auto"/>
          <w:highlight w:val="none"/>
        </w:rPr>
        <w:t>图2.1.2  BIM项目文件管理构架</w:t>
      </w:r>
    </w:p>
    <w:p w14:paraId="10658FF9">
      <w:pPr>
        <w:pStyle w:val="3"/>
        <w:tabs>
          <w:tab w:val="left" w:pos="0"/>
        </w:tabs>
        <w:rPr>
          <w:color w:val="auto"/>
          <w:highlight w:val="none"/>
        </w:rPr>
      </w:pPr>
      <w:bookmarkStart w:id="186" w:name="_Toc6762"/>
      <w:r>
        <w:rPr>
          <w:color w:val="auto"/>
          <w:highlight w:val="none"/>
        </w:rPr>
        <w:t>模型命名管理</w:t>
      </w:r>
      <w:bookmarkEnd w:id="186"/>
    </w:p>
    <w:p w14:paraId="1C3827D1">
      <w:pPr>
        <w:pStyle w:val="4"/>
        <w:tabs>
          <w:tab w:val="left" w:pos="0"/>
        </w:tabs>
        <w:spacing w:before="120" w:after="120"/>
        <w:rPr>
          <w:color w:val="auto"/>
          <w:highlight w:val="none"/>
        </w:rPr>
      </w:pPr>
      <w:r>
        <w:rPr>
          <w:color w:val="auto"/>
          <w:highlight w:val="none"/>
        </w:rPr>
        <w:t>项目文档命名</w:t>
      </w:r>
    </w:p>
    <w:p w14:paraId="3F44B715">
      <w:pPr>
        <w:spacing w:before="120" w:after="120"/>
        <w:rPr>
          <w:color w:val="auto"/>
          <w:highlight w:val="none"/>
        </w:rPr>
      </w:pPr>
      <w:r>
        <w:rPr>
          <w:color w:val="auto"/>
          <w:highlight w:val="none"/>
        </w:rPr>
        <w:t>项目文件命名主要考虑文件名的长度和操作性，按照项目实施阶段对文件命名，且应该进行字符限制。</w:t>
      </w:r>
    </w:p>
    <w:p w14:paraId="3B1366AF">
      <w:pPr>
        <w:spacing w:before="120" w:after="120"/>
        <w:rPr>
          <w:color w:val="auto"/>
          <w:highlight w:val="none"/>
        </w:rPr>
      </w:pPr>
      <w:r>
        <w:rPr>
          <w:color w:val="auto"/>
          <w:highlight w:val="none"/>
        </w:rPr>
        <w:t>示例：“设计/施工/竣工阶段”模型文件命名格式：DS-CP-F-M</w:t>
      </w:r>
    </w:p>
    <w:p w14:paraId="7320D2FA">
      <w:pPr>
        <w:spacing w:before="120" w:after="120" w:line="1472" w:lineRule="exact"/>
        <w:ind w:firstLine="0" w:firstLineChars="0"/>
        <w:jc w:val="center"/>
        <w:rPr>
          <w:rFonts w:ascii="宋体" w:hAnsi="宋体" w:cs="宋体"/>
          <w:color w:val="auto"/>
          <w:sz w:val="20"/>
          <w:szCs w:val="20"/>
          <w:highlight w:val="none"/>
        </w:rPr>
      </w:pPr>
      <w:r>
        <w:rPr>
          <w:rFonts w:ascii="宋体" w:hAnsi="宋体" w:cs="宋体"/>
          <w:color w:val="auto"/>
          <w:sz w:val="20"/>
          <w:szCs w:val="20"/>
          <w:highlight w:val="none"/>
        </w:rPr>
        <w:drawing>
          <wp:inline distT="0" distB="0" distL="114300" distR="114300">
            <wp:extent cx="4679950" cy="478790"/>
            <wp:effectExtent l="0" t="0" r="6350" b="698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a:stretch>
                      <a:fillRect/>
                    </a:stretch>
                  </pic:blipFill>
                  <pic:spPr>
                    <a:xfrm>
                      <a:off x="0" y="0"/>
                      <a:ext cx="4679950" cy="478790"/>
                    </a:xfrm>
                    <a:prstGeom prst="rect">
                      <a:avLst/>
                    </a:prstGeom>
                    <a:noFill/>
                    <a:ln>
                      <a:noFill/>
                    </a:ln>
                  </pic:spPr>
                </pic:pic>
              </a:graphicData>
            </a:graphic>
          </wp:inline>
        </w:drawing>
      </w:r>
    </w:p>
    <w:p w14:paraId="719A185A">
      <w:pPr>
        <w:spacing w:before="120" w:after="120"/>
        <w:rPr>
          <w:color w:val="auto"/>
          <w:highlight w:val="none"/>
        </w:rPr>
      </w:pPr>
      <w:r>
        <w:rPr>
          <w:color w:val="auto"/>
          <w:highlight w:val="none"/>
        </w:rPr>
        <w:t>D——工程编号，为设计合同号后四位，字符限制4位数字；</w:t>
      </w:r>
    </w:p>
    <w:p w14:paraId="1B57946E">
      <w:pPr>
        <w:spacing w:before="120" w:after="120"/>
        <w:rPr>
          <w:color w:val="auto"/>
          <w:highlight w:val="none"/>
        </w:rPr>
      </w:pPr>
      <w:r>
        <w:rPr>
          <w:color w:val="auto"/>
          <w:highlight w:val="none"/>
        </w:rPr>
        <w:t>S——子项编号，用于有多个子项或分区的工程设计项目，字符限制1位字母和1位数字，无多个子项，字符为xx；</w:t>
      </w:r>
    </w:p>
    <w:p w14:paraId="71DB2F35">
      <w:pPr>
        <w:spacing w:before="120" w:after="120"/>
        <w:rPr>
          <w:color w:val="auto"/>
          <w:highlight w:val="none"/>
        </w:rPr>
      </w:pPr>
      <w:r>
        <w:rPr>
          <w:color w:val="auto"/>
          <w:highlight w:val="none"/>
        </w:rPr>
        <w:t>C——阶段，设计阶段，施工阶段，竣工阶段；</w:t>
      </w:r>
    </w:p>
    <w:p w14:paraId="7031F42A">
      <w:pPr>
        <w:spacing w:before="120" w:after="120"/>
        <w:rPr>
          <w:color w:val="auto"/>
          <w:highlight w:val="none"/>
        </w:rPr>
      </w:pPr>
      <w:r>
        <w:rPr>
          <w:color w:val="auto"/>
          <w:highlight w:val="none"/>
        </w:rPr>
        <w:t>P——专业，总图，建筑，结构，给排水，电气，弱电，暖通，燃气；</w:t>
      </w:r>
    </w:p>
    <w:p w14:paraId="09C82346">
      <w:pPr>
        <w:spacing w:before="120" w:after="120"/>
        <w:rPr>
          <w:color w:val="auto"/>
          <w:highlight w:val="none"/>
        </w:rPr>
      </w:pPr>
      <w:r>
        <w:rPr>
          <w:color w:val="auto"/>
          <w:highlight w:val="none"/>
        </w:rPr>
        <w:t>F——楼层，如果项目进一步细分，用于识别模型文件垂直方向的关系。</w:t>
      </w:r>
    </w:p>
    <w:p w14:paraId="7C909D13">
      <w:pPr>
        <w:spacing w:before="120" w:after="120"/>
        <w:rPr>
          <w:color w:val="auto"/>
          <w:highlight w:val="none"/>
        </w:rPr>
      </w:pPr>
      <w:r>
        <w:rPr>
          <w:color w:val="auto"/>
          <w:highlight w:val="none"/>
        </w:rPr>
        <w:t>M——描述，用于说明文件中的内容，避免与其它字段重复。此信息用于解释前面的字段，或是进一步说明所包含数据的其它方面。</w:t>
      </w:r>
    </w:p>
    <w:p w14:paraId="22AFCBE3">
      <w:pPr>
        <w:pStyle w:val="4"/>
        <w:tabs>
          <w:tab w:val="left" w:pos="0"/>
        </w:tabs>
        <w:spacing w:before="120" w:after="120"/>
        <w:rPr>
          <w:color w:val="auto"/>
          <w:highlight w:val="none"/>
        </w:rPr>
      </w:pPr>
      <w:r>
        <w:rPr>
          <w:color w:val="auto"/>
          <w:highlight w:val="none"/>
        </w:rPr>
        <w:t>模型构件命名</w:t>
      </w:r>
    </w:p>
    <w:p w14:paraId="443297E9">
      <w:pPr>
        <w:spacing w:before="120" w:after="120"/>
        <w:rPr>
          <w:color w:val="auto"/>
          <w:highlight w:val="none"/>
        </w:rPr>
      </w:pPr>
      <w:r>
        <w:rPr>
          <w:color w:val="auto"/>
          <w:highlight w:val="none"/>
        </w:rPr>
        <w:t>项目实施前期，为统一实施管理，根据各阶段建模深度，参考对应深度构件类型制定模型构件命名方式，模型中的构件命名应包括：构件类别、构件名称、构件尺寸，构件名称应与设计或实际工程名称一致。</w:t>
      </w:r>
    </w:p>
    <w:p w14:paraId="5C84BE78">
      <w:pPr>
        <w:pStyle w:val="401"/>
        <w:rPr>
          <w:color w:val="auto"/>
          <w:highlight w:val="none"/>
        </w:rPr>
      </w:pPr>
      <w:r>
        <w:rPr>
          <w:color w:val="auto"/>
          <w:highlight w:val="none"/>
        </w:rPr>
        <w:t>表2.2.2  模型构件命名表</w:t>
      </w:r>
    </w:p>
    <w:tbl>
      <w:tblPr>
        <w:tblStyle w:val="5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07"/>
        <w:gridCol w:w="799"/>
        <w:gridCol w:w="1475"/>
        <w:gridCol w:w="1170"/>
        <w:gridCol w:w="1666"/>
        <w:gridCol w:w="3019"/>
      </w:tblGrid>
      <w:tr w14:paraId="2127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38" w:type="pct"/>
            <w:noWrap w:val="0"/>
            <w:tcMar>
              <w:top w:w="57" w:type="dxa"/>
              <w:left w:w="113" w:type="dxa"/>
              <w:bottom w:w="57" w:type="dxa"/>
              <w:right w:w="113" w:type="dxa"/>
            </w:tcMar>
            <w:vAlign w:val="center"/>
          </w:tcPr>
          <w:p w14:paraId="3DD79932">
            <w:pPr>
              <w:spacing w:before="120" w:after="120" w:line="312" w:lineRule="auto"/>
              <w:ind w:firstLine="0" w:firstLineChars="0"/>
              <w:jc w:val="center"/>
              <w:rPr>
                <w:rFonts w:ascii="宋体" w:hAnsi="宋体" w:eastAsia="宋体" w:cs="宋体"/>
                <w:b/>
                <w:color w:val="auto"/>
                <w:sz w:val="18"/>
                <w:szCs w:val="18"/>
                <w:highlight w:val="none"/>
                <w:lang w:eastAsia="en-US"/>
              </w:rPr>
            </w:pPr>
            <w:r>
              <w:rPr>
                <w:rFonts w:ascii="宋体" w:hAnsi="宋体" w:eastAsia="宋体" w:cs="宋体"/>
                <w:b/>
                <w:color w:val="auto"/>
                <w:sz w:val="18"/>
                <w:szCs w:val="18"/>
                <w:highlight w:val="none"/>
                <w:lang w:eastAsia="en-US"/>
              </w:rPr>
              <w:t>专业</w:t>
            </w:r>
          </w:p>
        </w:tc>
        <w:tc>
          <w:tcPr>
            <w:tcW w:w="468" w:type="pct"/>
            <w:noWrap w:val="0"/>
            <w:tcMar>
              <w:top w:w="57" w:type="dxa"/>
              <w:left w:w="113" w:type="dxa"/>
              <w:bottom w:w="57" w:type="dxa"/>
              <w:right w:w="113" w:type="dxa"/>
            </w:tcMar>
            <w:vAlign w:val="center"/>
          </w:tcPr>
          <w:p w14:paraId="7791BB77">
            <w:pPr>
              <w:spacing w:before="120" w:after="120" w:line="312" w:lineRule="auto"/>
              <w:ind w:firstLine="0" w:firstLineChars="0"/>
              <w:jc w:val="center"/>
              <w:rPr>
                <w:rFonts w:ascii="宋体" w:hAnsi="宋体" w:eastAsia="宋体" w:cs="宋体"/>
                <w:b/>
                <w:color w:val="auto"/>
                <w:sz w:val="18"/>
                <w:szCs w:val="18"/>
                <w:highlight w:val="none"/>
                <w:lang w:eastAsia="en-US"/>
              </w:rPr>
            </w:pPr>
            <w:r>
              <w:rPr>
                <w:rFonts w:ascii="宋体" w:hAnsi="宋体" w:eastAsia="宋体" w:cs="宋体"/>
                <w:b/>
                <w:color w:val="auto"/>
                <w:sz w:val="18"/>
                <w:szCs w:val="18"/>
                <w:highlight w:val="none"/>
                <w:lang w:eastAsia="en-US"/>
              </w:rPr>
              <w:t>构件分类</w:t>
            </w:r>
          </w:p>
        </w:tc>
        <w:tc>
          <w:tcPr>
            <w:tcW w:w="863" w:type="pct"/>
            <w:noWrap w:val="0"/>
            <w:tcMar>
              <w:top w:w="57" w:type="dxa"/>
              <w:left w:w="113" w:type="dxa"/>
              <w:bottom w:w="57" w:type="dxa"/>
              <w:right w:w="113" w:type="dxa"/>
            </w:tcMar>
            <w:vAlign w:val="center"/>
          </w:tcPr>
          <w:p w14:paraId="4F8510F7">
            <w:pPr>
              <w:spacing w:before="120" w:after="120" w:line="312" w:lineRule="auto"/>
              <w:ind w:firstLine="0" w:firstLineChars="0"/>
              <w:jc w:val="center"/>
              <w:rPr>
                <w:rFonts w:ascii="宋体" w:hAnsi="宋体" w:eastAsia="宋体" w:cs="宋体"/>
                <w:b/>
                <w:color w:val="auto"/>
                <w:sz w:val="18"/>
                <w:szCs w:val="18"/>
                <w:highlight w:val="none"/>
                <w:lang w:eastAsia="en-US"/>
              </w:rPr>
            </w:pPr>
            <w:r>
              <w:rPr>
                <w:rFonts w:ascii="宋体" w:hAnsi="宋体" w:eastAsia="宋体" w:cs="宋体"/>
                <w:b/>
                <w:color w:val="auto"/>
                <w:sz w:val="18"/>
                <w:szCs w:val="18"/>
                <w:highlight w:val="none"/>
                <w:lang w:eastAsia="en-US"/>
              </w:rPr>
              <w:t>命名</w:t>
            </w:r>
            <w:r>
              <w:rPr>
                <w:rFonts w:hint="eastAsia" w:ascii="宋体" w:hAnsi="宋体" w:eastAsia="宋体" w:cs="宋体"/>
                <w:b/>
                <w:color w:val="auto"/>
                <w:sz w:val="18"/>
                <w:szCs w:val="18"/>
                <w:highlight w:val="none"/>
                <w:lang w:eastAsia="en-US"/>
              </w:rPr>
              <w:t>规则</w:t>
            </w:r>
          </w:p>
        </w:tc>
        <w:tc>
          <w:tcPr>
            <w:tcW w:w="685" w:type="pct"/>
            <w:noWrap w:val="0"/>
            <w:tcMar>
              <w:top w:w="57" w:type="dxa"/>
              <w:left w:w="113" w:type="dxa"/>
              <w:bottom w:w="57" w:type="dxa"/>
              <w:right w:w="113" w:type="dxa"/>
            </w:tcMar>
            <w:vAlign w:val="center"/>
          </w:tcPr>
          <w:p w14:paraId="76B111B4">
            <w:pPr>
              <w:spacing w:before="120" w:after="120" w:line="312" w:lineRule="auto"/>
              <w:ind w:firstLine="0" w:firstLineChars="0"/>
              <w:jc w:val="center"/>
              <w:rPr>
                <w:rFonts w:ascii="宋体" w:hAnsi="宋体" w:eastAsia="宋体" w:cs="宋体"/>
                <w:b/>
                <w:color w:val="auto"/>
                <w:sz w:val="18"/>
                <w:szCs w:val="18"/>
                <w:highlight w:val="none"/>
                <w:lang w:eastAsia="en-US"/>
              </w:rPr>
            </w:pPr>
            <w:r>
              <w:rPr>
                <w:rFonts w:hint="eastAsia" w:ascii="宋体" w:hAnsi="宋体" w:eastAsia="宋体" w:cs="宋体"/>
                <w:b/>
                <w:color w:val="auto"/>
                <w:sz w:val="18"/>
                <w:szCs w:val="18"/>
                <w:highlight w:val="none"/>
                <w:lang w:eastAsia="en-US"/>
              </w:rPr>
              <w:t>性质关键字</w:t>
            </w:r>
          </w:p>
        </w:tc>
        <w:tc>
          <w:tcPr>
            <w:tcW w:w="975" w:type="pct"/>
            <w:noWrap w:val="0"/>
            <w:tcMar>
              <w:top w:w="57" w:type="dxa"/>
              <w:left w:w="113" w:type="dxa"/>
              <w:bottom w:w="57" w:type="dxa"/>
              <w:right w:w="113" w:type="dxa"/>
            </w:tcMar>
            <w:vAlign w:val="center"/>
          </w:tcPr>
          <w:p w14:paraId="33923A88">
            <w:pPr>
              <w:spacing w:before="120" w:after="120" w:line="312" w:lineRule="auto"/>
              <w:ind w:firstLine="0" w:firstLineChars="0"/>
              <w:jc w:val="center"/>
              <w:rPr>
                <w:rFonts w:ascii="宋体" w:hAnsi="宋体" w:eastAsia="宋体" w:cs="宋体"/>
                <w:b/>
                <w:color w:val="auto"/>
                <w:sz w:val="18"/>
                <w:szCs w:val="18"/>
                <w:highlight w:val="none"/>
                <w:lang w:eastAsia="en-US"/>
              </w:rPr>
            </w:pPr>
            <w:r>
              <w:rPr>
                <w:rFonts w:hint="eastAsia" w:ascii="宋体" w:hAnsi="宋体" w:eastAsia="宋体" w:cs="宋体"/>
                <w:b/>
                <w:color w:val="auto"/>
                <w:sz w:val="18"/>
                <w:szCs w:val="18"/>
                <w:highlight w:val="none"/>
                <w:lang w:eastAsia="en-US"/>
              </w:rPr>
              <w:t>命名</w:t>
            </w:r>
            <w:r>
              <w:rPr>
                <w:rFonts w:ascii="宋体" w:hAnsi="宋体" w:eastAsia="宋体" w:cs="宋体"/>
                <w:b/>
                <w:color w:val="auto"/>
                <w:sz w:val="18"/>
                <w:szCs w:val="18"/>
                <w:highlight w:val="none"/>
                <w:lang w:eastAsia="en-US"/>
              </w:rPr>
              <w:t>例举</w:t>
            </w:r>
          </w:p>
        </w:tc>
        <w:tc>
          <w:tcPr>
            <w:tcW w:w="1767" w:type="pct"/>
            <w:noWrap w:val="0"/>
            <w:tcMar>
              <w:top w:w="57" w:type="dxa"/>
              <w:left w:w="113" w:type="dxa"/>
              <w:bottom w:w="57" w:type="dxa"/>
              <w:right w:w="113" w:type="dxa"/>
            </w:tcMar>
            <w:vAlign w:val="center"/>
          </w:tcPr>
          <w:p w14:paraId="41E6DDEE">
            <w:pPr>
              <w:spacing w:before="120" w:after="120" w:line="312" w:lineRule="auto"/>
              <w:ind w:firstLine="0" w:firstLineChars="0"/>
              <w:jc w:val="center"/>
              <w:rPr>
                <w:rFonts w:ascii="宋体" w:hAnsi="宋体" w:eastAsia="宋体" w:cs="宋体"/>
                <w:b/>
                <w:color w:val="auto"/>
                <w:sz w:val="18"/>
                <w:szCs w:val="18"/>
                <w:highlight w:val="none"/>
                <w:lang w:eastAsia="en-US"/>
              </w:rPr>
            </w:pPr>
            <w:r>
              <w:rPr>
                <w:rFonts w:hint="eastAsia" w:ascii="宋体" w:hAnsi="宋体" w:eastAsia="宋体" w:cs="宋体"/>
                <w:b/>
                <w:color w:val="auto"/>
                <w:sz w:val="18"/>
                <w:szCs w:val="18"/>
                <w:highlight w:val="none"/>
                <w:lang w:eastAsia="en-US"/>
              </w:rPr>
              <w:t>属性描述</w:t>
            </w:r>
          </w:p>
        </w:tc>
      </w:tr>
      <w:tr w14:paraId="0867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restart"/>
            <w:noWrap w:val="0"/>
            <w:tcMar>
              <w:top w:w="57" w:type="dxa"/>
              <w:left w:w="113" w:type="dxa"/>
              <w:bottom w:w="57" w:type="dxa"/>
              <w:right w:w="113" w:type="dxa"/>
            </w:tcMar>
            <w:vAlign w:val="center"/>
          </w:tcPr>
          <w:p w14:paraId="590FF5EA">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结构</w:t>
            </w:r>
          </w:p>
        </w:tc>
        <w:tc>
          <w:tcPr>
            <w:tcW w:w="468" w:type="pct"/>
            <w:noWrap w:val="0"/>
            <w:tcMar>
              <w:top w:w="57" w:type="dxa"/>
              <w:left w:w="113" w:type="dxa"/>
              <w:bottom w:w="57" w:type="dxa"/>
              <w:right w:w="113" w:type="dxa"/>
            </w:tcMar>
            <w:vAlign w:val="center"/>
          </w:tcPr>
          <w:p w14:paraId="05F352A3">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独立基础</w:t>
            </w:r>
          </w:p>
        </w:tc>
        <w:tc>
          <w:tcPr>
            <w:tcW w:w="863" w:type="pct"/>
            <w:noWrap w:val="0"/>
            <w:tcMar>
              <w:top w:w="57" w:type="dxa"/>
              <w:left w:w="113" w:type="dxa"/>
              <w:bottom w:w="57" w:type="dxa"/>
              <w:right w:w="113" w:type="dxa"/>
            </w:tcMar>
            <w:vAlign w:val="center"/>
          </w:tcPr>
          <w:p w14:paraId="18CA3CC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图纸名称</w:t>
            </w:r>
          </w:p>
        </w:tc>
        <w:tc>
          <w:tcPr>
            <w:tcW w:w="685" w:type="pct"/>
            <w:noWrap w:val="0"/>
            <w:tcMar>
              <w:top w:w="57" w:type="dxa"/>
              <w:left w:w="113" w:type="dxa"/>
              <w:bottom w:w="57" w:type="dxa"/>
              <w:right w:w="113" w:type="dxa"/>
            </w:tcMar>
            <w:vAlign w:val="center"/>
          </w:tcPr>
          <w:p w14:paraId="0D536F27">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5B1C90C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DJ01</w:t>
            </w:r>
          </w:p>
        </w:tc>
        <w:tc>
          <w:tcPr>
            <w:tcW w:w="1767" w:type="pct"/>
            <w:noWrap w:val="0"/>
            <w:tcMar>
              <w:top w:w="57" w:type="dxa"/>
              <w:left w:w="113" w:type="dxa"/>
              <w:bottom w:w="57" w:type="dxa"/>
              <w:right w:w="113" w:type="dxa"/>
            </w:tcMar>
            <w:vAlign w:val="center"/>
          </w:tcPr>
          <w:p w14:paraId="342C9CF7">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材质（混凝土类型等级）、螺栓套长度、楼层</w:t>
            </w:r>
          </w:p>
        </w:tc>
      </w:tr>
      <w:tr w14:paraId="10A4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6553DFA5">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76F299D7">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桩承台基础</w:t>
            </w:r>
          </w:p>
        </w:tc>
        <w:tc>
          <w:tcPr>
            <w:tcW w:w="863" w:type="pct"/>
            <w:noWrap w:val="0"/>
            <w:tcMar>
              <w:top w:w="57" w:type="dxa"/>
              <w:left w:w="113" w:type="dxa"/>
              <w:bottom w:w="57" w:type="dxa"/>
              <w:right w:w="113" w:type="dxa"/>
            </w:tcMar>
            <w:vAlign w:val="center"/>
          </w:tcPr>
          <w:p w14:paraId="76701E52">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图纸名称</w:t>
            </w:r>
          </w:p>
        </w:tc>
        <w:tc>
          <w:tcPr>
            <w:tcW w:w="685" w:type="pct"/>
            <w:noWrap w:val="0"/>
            <w:tcMar>
              <w:top w:w="57" w:type="dxa"/>
              <w:left w:w="113" w:type="dxa"/>
              <w:bottom w:w="57" w:type="dxa"/>
              <w:right w:w="113" w:type="dxa"/>
            </w:tcMar>
            <w:vAlign w:val="center"/>
          </w:tcPr>
          <w:p w14:paraId="5B00083D">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3AB663EA">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CT01</w:t>
            </w:r>
          </w:p>
        </w:tc>
        <w:tc>
          <w:tcPr>
            <w:tcW w:w="1767" w:type="pct"/>
            <w:noWrap w:val="0"/>
            <w:tcMar>
              <w:top w:w="57" w:type="dxa"/>
              <w:left w:w="113" w:type="dxa"/>
              <w:bottom w:w="57" w:type="dxa"/>
              <w:right w:w="113" w:type="dxa"/>
            </w:tcMar>
            <w:vAlign w:val="center"/>
          </w:tcPr>
          <w:p w14:paraId="01BF86DB">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4A31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497CA3D7">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4C458C1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筏板基础</w:t>
            </w:r>
          </w:p>
        </w:tc>
        <w:tc>
          <w:tcPr>
            <w:tcW w:w="863" w:type="pct"/>
            <w:noWrap w:val="0"/>
            <w:tcMar>
              <w:top w:w="57" w:type="dxa"/>
              <w:left w:w="113" w:type="dxa"/>
              <w:bottom w:w="57" w:type="dxa"/>
              <w:right w:w="113" w:type="dxa"/>
            </w:tcMar>
            <w:vAlign w:val="center"/>
          </w:tcPr>
          <w:p w14:paraId="791C2AA5">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图纸名称</w:t>
            </w:r>
          </w:p>
        </w:tc>
        <w:tc>
          <w:tcPr>
            <w:tcW w:w="685" w:type="pct"/>
            <w:noWrap w:val="0"/>
            <w:tcMar>
              <w:top w:w="57" w:type="dxa"/>
              <w:left w:w="113" w:type="dxa"/>
              <w:bottom w:w="57" w:type="dxa"/>
              <w:right w:w="113" w:type="dxa"/>
            </w:tcMar>
            <w:vAlign w:val="center"/>
          </w:tcPr>
          <w:p w14:paraId="45E385F2">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550AF72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FB01</w:t>
            </w:r>
          </w:p>
        </w:tc>
        <w:tc>
          <w:tcPr>
            <w:tcW w:w="1767" w:type="pct"/>
            <w:noWrap w:val="0"/>
            <w:tcMar>
              <w:top w:w="57" w:type="dxa"/>
              <w:left w:w="113" w:type="dxa"/>
              <w:bottom w:w="57" w:type="dxa"/>
              <w:right w:w="113" w:type="dxa"/>
            </w:tcMar>
            <w:vAlign w:val="center"/>
          </w:tcPr>
          <w:p w14:paraId="06F908F9">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1838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687A37C7">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2614175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条形基础</w:t>
            </w:r>
          </w:p>
        </w:tc>
        <w:tc>
          <w:tcPr>
            <w:tcW w:w="863" w:type="pct"/>
            <w:noWrap w:val="0"/>
            <w:tcMar>
              <w:top w:w="57" w:type="dxa"/>
              <w:left w:w="113" w:type="dxa"/>
              <w:bottom w:w="57" w:type="dxa"/>
              <w:right w:w="113" w:type="dxa"/>
            </w:tcMar>
            <w:vAlign w:val="center"/>
          </w:tcPr>
          <w:p w14:paraId="0686B481">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图纸名称</w:t>
            </w:r>
          </w:p>
        </w:tc>
        <w:tc>
          <w:tcPr>
            <w:tcW w:w="685" w:type="pct"/>
            <w:noWrap w:val="0"/>
            <w:tcMar>
              <w:top w:w="57" w:type="dxa"/>
              <w:left w:w="113" w:type="dxa"/>
              <w:bottom w:w="57" w:type="dxa"/>
              <w:right w:w="113" w:type="dxa"/>
            </w:tcMar>
            <w:vAlign w:val="center"/>
          </w:tcPr>
          <w:p w14:paraId="033C17EA">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35074D6E">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TJC01</w:t>
            </w:r>
          </w:p>
        </w:tc>
        <w:tc>
          <w:tcPr>
            <w:tcW w:w="1767" w:type="pct"/>
            <w:noWrap w:val="0"/>
            <w:tcMar>
              <w:top w:w="57" w:type="dxa"/>
              <w:left w:w="113" w:type="dxa"/>
              <w:bottom w:w="57" w:type="dxa"/>
              <w:right w:w="113" w:type="dxa"/>
            </w:tcMar>
            <w:vAlign w:val="center"/>
          </w:tcPr>
          <w:p w14:paraId="1F0B232B">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材质（混凝土类型等级）、是否有</w:t>
            </w:r>
            <w:r>
              <w:rPr>
                <w:rFonts w:hint="eastAsia"/>
                <w:color w:val="auto"/>
                <w:highlight w:val="none"/>
                <w:lang w:eastAsia="en-US"/>
              </w:rPr>
              <w:t>钢筋</w:t>
            </w:r>
            <w:r>
              <w:rPr>
                <w:rFonts w:hint="eastAsia" w:ascii="宋体" w:hAnsi="宋体" w:eastAsia="宋体" w:cs="宋体"/>
                <w:color w:val="auto"/>
                <w:sz w:val="18"/>
                <w:szCs w:val="18"/>
                <w:highlight w:val="none"/>
                <w:lang w:eastAsia="en-US"/>
              </w:rPr>
              <w:t>、楼层</w:t>
            </w:r>
          </w:p>
        </w:tc>
      </w:tr>
      <w:tr w14:paraId="0E88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26841C63">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389659E1">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基础梁</w:t>
            </w:r>
          </w:p>
        </w:tc>
        <w:tc>
          <w:tcPr>
            <w:tcW w:w="863" w:type="pct"/>
            <w:noWrap w:val="0"/>
            <w:tcMar>
              <w:top w:w="57" w:type="dxa"/>
              <w:left w:w="113" w:type="dxa"/>
              <w:bottom w:w="57" w:type="dxa"/>
              <w:right w:w="113" w:type="dxa"/>
            </w:tcMar>
            <w:vAlign w:val="center"/>
          </w:tcPr>
          <w:p w14:paraId="64A7BA3A">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图纸名称+截面尺寸</w:t>
            </w:r>
          </w:p>
        </w:tc>
        <w:tc>
          <w:tcPr>
            <w:tcW w:w="685" w:type="pct"/>
            <w:noWrap w:val="0"/>
            <w:tcMar>
              <w:top w:w="57" w:type="dxa"/>
              <w:left w:w="113" w:type="dxa"/>
              <w:bottom w:w="57" w:type="dxa"/>
              <w:right w:w="113" w:type="dxa"/>
            </w:tcMar>
            <w:vAlign w:val="center"/>
          </w:tcPr>
          <w:p w14:paraId="55AB88EB">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4B5051D5">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JKL01(2)_200*500</w:t>
            </w:r>
          </w:p>
        </w:tc>
        <w:tc>
          <w:tcPr>
            <w:tcW w:w="1767" w:type="pct"/>
            <w:noWrap w:val="0"/>
            <w:tcMar>
              <w:top w:w="57" w:type="dxa"/>
              <w:left w:w="113" w:type="dxa"/>
              <w:bottom w:w="57" w:type="dxa"/>
              <w:right w:w="113" w:type="dxa"/>
            </w:tcMar>
            <w:vAlign w:val="center"/>
          </w:tcPr>
          <w:p w14:paraId="30EB3DCD">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5031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794BAE6F">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3781D750">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梁</w:t>
            </w:r>
          </w:p>
        </w:tc>
        <w:tc>
          <w:tcPr>
            <w:tcW w:w="863" w:type="pct"/>
            <w:noWrap w:val="0"/>
            <w:tcMar>
              <w:top w:w="57" w:type="dxa"/>
              <w:left w:w="113" w:type="dxa"/>
              <w:bottom w:w="57" w:type="dxa"/>
              <w:right w:w="113" w:type="dxa"/>
            </w:tcMar>
            <w:vAlign w:val="center"/>
          </w:tcPr>
          <w:p w14:paraId="4B239637">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图纸名称+截面尺寸</w:t>
            </w:r>
          </w:p>
        </w:tc>
        <w:tc>
          <w:tcPr>
            <w:tcW w:w="685" w:type="pct"/>
            <w:noWrap w:val="0"/>
            <w:tcMar>
              <w:top w:w="57" w:type="dxa"/>
              <w:left w:w="113" w:type="dxa"/>
              <w:bottom w:w="57" w:type="dxa"/>
              <w:right w:w="113" w:type="dxa"/>
            </w:tcMar>
            <w:vAlign w:val="center"/>
          </w:tcPr>
          <w:p w14:paraId="15332A19">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2F4830EE">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KL01(2)_200*500</w:t>
            </w:r>
          </w:p>
        </w:tc>
        <w:tc>
          <w:tcPr>
            <w:tcW w:w="1767" w:type="pct"/>
            <w:noWrap w:val="0"/>
            <w:tcMar>
              <w:top w:w="57" w:type="dxa"/>
              <w:left w:w="113" w:type="dxa"/>
              <w:bottom w:w="57" w:type="dxa"/>
              <w:right w:w="113" w:type="dxa"/>
            </w:tcMar>
            <w:vAlign w:val="center"/>
          </w:tcPr>
          <w:p w14:paraId="767467F6">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6F03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7A34F606">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066D95CC">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连梁</w:t>
            </w:r>
          </w:p>
        </w:tc>
        <w:tc>
          <w:tcPr>
            <w:tcW w:w="863" w:type="pct"/>
            <w:noWrap w:val="0"/>
            <w:tcMar>
              <w:top w:w="57" w:type="dxa"/>
              <w:left w:w="113" w:type="dxa"/>
              <w:bottom w:w="57" w:type="dxa"/>
              <w:right w:w="113" w:type="dxa"/>
            </w:tcMar>
            <w:vAlign w:val="center"/>
          </w:tcPr>
          <w:p w14:paraId="536EAC53">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图纸名称+截面尺寸</w:t>
            </w:r>
          </w:p>
        </w:tc>
        <w:tc>
          <w:tcPr>
            <w:tcW w:w="685" w:type="pct"/>
            <w:noWrap w:val="0"/>
            <w:tcMar>
              <w:top w:w="57" w:type="dxa"/>
              <w:left w:w="113" w:type="dxa"/>
              <w:bottom w:w="57" w:type="dxa"/>
              <w:right w:w="113" w:type="dxa"/>
            </w:tcMar>
            <w:vAlign w:val="center"/>
          </w:tcPr>
          <w:p w14:paraId="5343E10B">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0F665A8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LL01(1)_200*500</w:t>
            </w:r>
          </w:p>
        </w:tc>
        <w:tc>
          <w:tcPr>
            <w:tcW w:w="1767" w:type="pct"/>
            <w:noWrap w:val="0"/>
            <w:tcMar>
              <w:top w:w="57" w:type="dxa"/>
              <w:left w:w="113" w:type="dxa"/>
              <w:bottom w:w="57" w:type="dxa"/>
              <w:right w:w="113" w:type="dxa"/>
            </w:tcMar>
            <w:vAlign w:val="center"/>
          </w:tcPr>
          <w:p w14:paraId="36A30AA1">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3D574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1B067FE4">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3038F6D5">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圈梁</w:t>
            </w:r>
          </w:p>
        </w:tc>
        <w:tc>
          <w:tcPr>
            <w:tcW w:w="863" w:type="pct"/>
            <w:noWrap w:val="0"/>
            <w:tcMar>
              <w:top w:w="57" w:type="dxa"/>
              <w:left w:w="113" w:type="dxa"/>
              <w:bottom w:w="57" w:type="dxa"/>
              <w:right w:w="113" w:type="dxa"/>
            </w:tcMar>
            <w:vAlign w:val="center"/>
          </w:tcPr>
          <w:p w14:paraId="43F9F5ED">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QL+编号+截面尺寸</w:t>
            </w:r>
          </w:p>
        </w:tc>
        <w:tc>
          <w:tcPr>
            <w:tcW w:w="685" w:type="pct"/>
            <w:noWrap w:val="0"/>
            <w:tcMar>
              <w:top w:w="57" w:type="dxa"/>
              <w:left w:w="113" w:type="dxa"/>
              <w:bottom w:w="57" w:type="dxa"/>
              <w:right w:w="113" w:type="dxa"/>
            </w:tcMar>
            <w:vAlign w:val="center"/>
          </w:tcPr>
          <w:p w14:paraId="7274F9C7">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6A02D8FE">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QL01_200*500</w:t>
            </w:r>
          </w:p>
        </w:tc>
        <w:tc>
          <w:tcPr>
            <w:tcW w:w="1767" w:type="pct"/>
            <w:noWrap w:val="0"/>
            <w:tcMar>
              <w:top w:w="57" w:type="dxa"/>
              <w:left w:w="113" w:type="dxa"/>
              <w:bottom w:w="57" w:type="dxa"/>
              <w:right w:w="113" w:type="dxa"/>
            </w:tcMar>
            <w:vAlign w:val="center"/>
          </w:tcPr>
          <w:p w14:paraId="3A421551">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3233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3675AAD8">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7FE2FEC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过梁</w:t>
            </w:r>
          </w:p>
        </w:tc>
        <w:tc>
          <w:tcPr>
            <w:tcW w:w="863" w:type="pct"/>
            <w:noWrap w:val="0"/>
            <w:tcMar>
              <w:top w:w="57" w:type="dxa"/>
              <w:left w:w="113" w:type="dxa"/>
              <w:bottom w:w="57" w:type="dxa"/>
              <w:right w:w="113" w:type="dxa"/>
            </w:tcMar>
            <w:vAlign w:val="center"/>
          </w:tcPr>
          <w:p w14:paraId="75668996">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GL+编号+截面尺寸</w:t>
            </w:r>
          </w:p>
        </w:tc>
        <w:tc>
          <w:tcPr>
            <w:tcW w:w="685" w:type="pct"/>
            <w:noWrap w:val="0"/>
            <w:tcMar>
              <w:top w:w="57" w:type="dxa"/>
              <w:left w:w="113" w:type="dxa"/>
              <w:bottom w:w="57" w:type="dxa"/>
              <w:right w:w="113" w:type="dxa"/>
            </w:tcMar>
            <w:vAlign w:val="center"/>
          </w:tcPr>
          <w:p w14:paraId="3518CED0">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5E74F382">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GL01_200*500</w:t>
            </w:r>
          </w:p>
        </w:tc>
        <w:tc>
          <w:tcPr>
            <w:tcW w:w="1767" w:type="pct"/>
            <w:noWrap w:val="0"/>
            <w:tcMar>
              <w:top w:w="57" w:type="dxa"/>
              <w:left w:w="113" w:type="dxa"/>
              <w:bottom w:w="57" w:type="dxa"/>
              <w:right w:w="113" w:type="dxa"/>
            </w:tcMar>
            <w:vAlign w:val="center"/>
          </w:tcPr>
          <w:p w14:paraId="6DE197DE">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4C89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6E2D945F">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17566EFC">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集水坑</w:t>
            </w:r>
          </w:p>
        </w:tc>
        <w:tc>
          <w:tcPr>
            <w:tcW w:w="863" w:type="pct"/>
            <w:noWrap w:val="0"/>
            <w:tcMar>
              <w:top w:w="57" w:type="dxa"/>
              <w:left w:w="113" w:type="dxa"/>
              <w:bottom w:w="57" w:type="dxa"/>
              <w:right w:w="113" w:type="dxa"/>
            </w:tcMar>
            <w:vAlign w:val="center"/>
          </w:tcPr>
          <w:p w14:paraId="6EACC52D">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图纸名称</w:t>
            </w:r>
          </w:p>
        </w:tc>
        <w:tc>
          <w:tcPr>
            <w:tcW w:w="685" w:type="pct"/>
            <w:noWrap w:val="0"/>
            <w:tcMar>
              <w:top w:w="57" w:type="dxa"/>
              <w:left w:w="113" w:type="dxa"/>
              <w:bottom w:w="57" w:type="dxa"/>
              <w:right w:w="113" w:type="dxa"/>
            </w:tcMar>
            <w:vAlign w:val="center"/>
          </w:tcPr>
          <w:p w14:paraId="7317784A">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33604DA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JSK01</w:t>
            </w:r>
          </w:p>
        </w:tc>
        <w:tc>
          <w:tcPr>
            <w:tcW w:w="1767" w:type="pct"/>
            <w:noWrap w:val="0"/>
            <w:tcMar>
              <w:top w:w="57" w:type="dxa"/>
              <w:left w:w="113" w:type="dxa"/>
              <w:bottom w:w="57" w:type="dxa"/>
              <w:right w:w="113" w:type="dxa"/>
            </w:tcMar>
            <w:vAlign w:val="center"/>
          </w:tcPr>
          <w:p w14:paraId="4AC71A3B">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0FA1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66A983D3">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138EE3D6">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垫层</w:t>
            </w:r>
          </w:p>
        </w:tc>
        <w:tc>
          <w:tcPr>
            <w:tcW w:w="863" w:type="pct"/>
            <w:noWrap w:val="0"/>
            <w:tcMar>
              <w:top w:w="57" w:type="dxa"/>
              <w:left w:w="113" w:type="dxa"/>
              <w:bottom w:w="57" w:type="dxa"/>
              <w:right w:w="113" w:type="dxa"/>
            </w:tcMar>
            <w:vAlign w:val="center"/>
          </w:tcPr>
          <w:p w14:paraId="12157C9C">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DC+编号</w:t>
            </w:r>
          </w:p>
        </w:tc>
        <w:tc>
          <w:tcPr>
            <w:tcW w:w="685" w:type="pct"/>
            <w:noWrap w:val="0"/>
            <w:tcMar>
              <w:top w:w="57" w:type="dxa"/>
              <w:left w:w="113" w:type="dxa"/>
              <w:bottom w:w="57" w:type="dxa"/>
              <w:right w:w="113" w:type="dxa"/>
            </w:tcMar>
            <w:vAlign w:val="center"/>
          </w:tcPr>
          <w:p w14:paraId="6D3469B4">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6ED7A8E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DC01</w:t>
            </w:r>
          </w:p>
        </w:tc>
        <w:tc>
          <w:tcPr>
            <w:tcW w:w="1767" w:type="pct"/>
            <w:noWrap w:val="0"/>
            <w:tcMar>
              <w:top w:w="57" w:type="dxa"/>
              <w:left w:w="113" w:type="dxa"/>
              <w:bottom w:w="57" w:type="dxa"/>
              <w:right w:w="113" w:type="dxa"/>
            </w:tcMar>
            <w:vAlign w:val="center"/>
          </w:tcPr>
          <w:p w14:paraId="33584D8C">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07B2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5FEECD67">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7FD6FEA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砖胎膜</w:t>
            </w:r>
          </w:p>
        </w:tc>
        <w:tc>
          <w:tcPr>
            <w:tcW w:w="863" w:type="pct"/>
            <w:noWrap w:val="0"/>
            <w:tcMar>
              <w:top w:w="57" w:type="dxa"/>
              <w:left w:w="113" w:type="dxa"/>
              <w:bottom w:w="57" w:type="dxa"/>
              <w:right w:w="113" w:type="dxa"/>
            </w:tcMar>
            <w:vAlign w:val="center"/>
          </w:tcPr>
          <w:p w14:paraId="7D3B022E">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ZTM+编号</w:t>
            </w:r>
          </w:p>
        </w:tc>
        <w:tc>
          <w:tcPr>
            <w:tcW w:w="685" w:type="pct"/>
            <w:noWrap w:val="0"/>
            <w:tcMar>
              <w:top w:w="57" w:type="dxa"/>
              <w:left w:w="113" w:type="dxa"/>
              <w:bottom w:w="57" w:type="dxa"/>
              <w:right w:w="113" w:type="dxa"/>
            </w:tcMar>
            <w:vAlign w:val="center"/>
          </w:tcPr>
          <w:p w14:paraId="1B2E5B1C">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13F27EA3">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ZTM01</w:t>
            </w:r>
          </w:p>
        </w:tc>
        <w:tc>
          <w:tcPr>
            <w:tcW w:w="1767" w:type="pct"/>
            <w:noWrap w:val="0"/>
            <w:tcMar>
              <w:top w:w="57" w:type="dxa"/>
              <w:left w:w="113" w:type="dxa"/>
              <w:bottom w:w="57" w:type="dxa"/>
              <w:right w:w="113" w:type="dxa"/>
            </w:tcMar>
            <w:vAlign w:val="center"/>
          </w:tcPr>
          <w:p w14:paraId="5A6AB591">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5490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636705B9">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50B47E97">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桩</w:t>
            </w:r>
          </w:p>
        </w:tc>
        <w:tc>
          <w:tcPr>
            <w:tcW w:w="863" w:type="pct"/>
            <w:noWrap w:val="0"/>
            <w:tcMar>
              <w:top w:w="57" w:type="dxa"/>
              <w:left w:w="113" w:type="dxa"/>
              <w:bottom w:w="57" w:type="dxa"/>
              <w:right w:w="113" w:type="dxa"/>
            </w:tcMar>
            <w:vAlign w:val="center"/>
          </w:tcPr>
          <w:p w14:paraId="763AA727">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图纸名称</w:t>
            </w:r>
          </w:p>
        </w:tc>
        <w:tc>
          <w:tcPr>
            <w:tcW w:w="685" w:type="pct"/>
            <w:noWrap w:val="0"/>
            <w:tcMar>
              <w:top w:w="57" w:type="dxa"/>
              <w:left w:w="113" w:type="dxa"/>
              <w:bottom w:w="57" w:type="dxa"/>
              <w:right w:w="113" w:type="dxa"/>
            </w:tcMar>
            <w:vAlign w:val="center"/>
          </w:tcPr>
          <w:p w14:paraId="060294BC">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0D7C2AF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ZJ01</w:t>
            </w:r>
          </w:p>
        </w:tc>
        <w:tc>
          <w:tcPr>
            <w:tcW w:w="1767" w:type="pct"/>
            <w:noWrap w:val="0"/>
            <w:tcMar>
              <w:top w:w="57" w:type="dxa"/>
              <w:left w:w="113" w:type="dxa"/>
              <w:bottom w:w="57" w:type="dxa"/>
              <w:right w:w="113" w:type="dxa"/>
            </w:tcMar>
            <w:vAlign w:val="center"/>
          </w:tcPr>
          <w:p w14:paraId="3978A7A3">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材质（混凝土类型等级）、护壁材质、成孔类型、楼层</w:t>
            </w:r>
          </w:p>
        </w:tc>
      </w:tr>
      <w:tr w14:paraId="16B3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09749DB9">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0B62C1E7">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结构柱</w:t>
            </w:r>
          </w:p>
        </w:tc>
        <w:tc>
          <w:tcPr>
            <w:tcW w:w="863" w:type="pct"/>
            <w:noWrap w:val="0"/>
            <w:tcMar>
              <w:top w:w="57" w:type="dxa"/>
              <w:left w:w="113" w:type="dxa"/>
              <w:bottom w:w="57" w:type="dxa"/>
              <w:right w:w="113" w:type="dxa"/>
            </w:tcMar>
            <w:vAlign w:val="center"/>
          </w:tcPr>
          <w:p w14:paraId="501470F7">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图纸名称</w:t>
            </w:r>
          </w:p>
        </w:tc>
        <w:tc>
          <w:tcPr>
            <w:tcW w:w="685" w:type="pct"/>
            <w:noWrap w:val="0"/>
            <w:tcMar>
              <w:top w:w="57" w:type="dxa"/>
              <w:left w:w="113" w:type="dxa"/>
              <w:bottom w:w="57" w:type="dxa"/>
              <w:right w:w="113" w:type="dxa"/>
            </w:tcMar>
            <w:vAlign w:val="center"/>
          </w:tcPr>
          <w:p w14:paraId="5B83818E">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06C9ABDD">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KZ1</w:t>
            </w:r>
          </w:p>
        </w:tc>
        <w:tc>
          <w:tcPr>
            <w:tcW w:w="1767" w:type="pct"/>
            <w:noWrap w:val="0"/>
            <w:tcMar>
              <w:top w:w="57" w:type="dxa"/>
              <w:left w:w="113" w:type="dxa"/>
              <w:bottom w:w="57" w:type="dxa"/>
              <w:right w:w="113" w:type="dxa"/>
            </w:tcMar>
            <w:vAlign w:val="center"/>
          </w:tcPr>
          <w:p w14:paraId="320A9B12">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202B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51311177">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194DCA16">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构造柱（梯柱）</w:t>
            </w:r>
          </w:p>
        </w:tc>
        <w:tc>
          <w:tcPr>
            <w:tcW w:w="863" w:type="pct"/>
            <w:noWrap w:val="0"/>
            <w:tcMar>
              <w:top w:w="57" w:type="dxa"/>
              <w:left w:w="113" w:type="dxa"/>
              <w:bottom w:w="57" w:type="dxa"/>
              <w:right w:w="113" w:type="dxa"/>
            </w:tcMar>
            <w:vAlign w:val="center"/>
          </w:tcPr>
          <w:p w14:paraId="3BE3FC3A">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GZ（TZ）+编号</w:t>
            </w:r>
          </w:p>
        </w:tc>
        <w:tc>
          <w:tcPr>
            <w:tcW w:w="685" w:type="pct"/>
            <w:noWrap w:val="0"/>
            <w:tcMar>
              <w:top w:w="57" w:type="dxa"/>
              <w:left w:w="113" w:type="dxa"/>
              <w:bottom w:w="57" w:type="dxa"/>
              <w:right w:w="113" w:type="dxa"/>
            </w:tcMar>
            <w:vAlign w:val="center"/>
          </w:tcPr>
          <w:p w14:paraId="4921DFE0">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339B3806">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GZ01</w:t>
            </w:r>
          </w:p>
        </w:tc>
        <w:tc>
          <w:tcPr>
            <w:tcW w:w="1767" w:type="pct"/>
            <w:noWrap w:val="0"/>
            <w:tcMar>
              <w:top w:w="57" w:type="dxa"/>
              <w:left w:w="113" w:type="dxa"/>
              <w:bottom w:w="57" w:type="dxa"/>
              <w:right w:w="113" w:type="dxa"/>
            </w:tcMar>
            <w:vAlign w:val="center"/>
          </w:tcPr>
          <w:p w14:paraId="76E9374B">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4112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10AFA6C9">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695DFE6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剪力墙</w:t>
            </w:r>
          </w:p>
        </w:tc>
        <w:tc>
          <w:tcPr>
            <w:tcW w:w="863" w:type="pct"/>
            <w:noWrap w:val="0"/>
            <w:tcMar>
              <w:top w:w="57" w:type="dxa"/>
              <w:left w:w="113" w:type="dxa"/>
              <w:bottom w:w="57" w:type="dxa"/>
              <w:right w:w="113" w:type="dxa"/>
            </w:tcMar>
            <w:vAlign w:val="center"/>
          </w:tcPr>
          <w:p w14:paraId="00375FF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空间关系（内、外）+性质关键字+厚度</w:t>
            </w:r>
          </w:p>
        </w:tc>
        <w:tc>
          <w:tcPr>
            <w:tcW w:w="685" w:type="pct"/>
            <w:noWrap w:val="0"/>
            <w:tcMar>
              <w:top w:w="57" w:type="dxa"/>
              <w:left w:w="113" w:type="dxa"/>
              <w:bottom w:w="57" w:type="dxa"/>
              <w:right w:w="113" w:type="dxa"/>
            </w:tcMar>
            <w:vAlign w:val="center"/>
          </w:tcPr>
          <w:p w14:paraId="0C0568D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防火隔墙、承重墙</w:t>
            </w:r>
          </w:p>
        </w:tc>
        <w:tc>
          <w:tcPr>
            <w:tcW w:w="975" w:type="pct"/>
            <w:noWrap w:val="0"/>
            <w:tcMar>
              <w:top w:w="57" w:type="dxa"/>
              <w:left w:w="113" w:type="dxa"/>
              <w:bottom w:w="57" w:type="dxa"/>
              <w:right w:w="113" w:type="dxa"/>
            </w:tcMar>
            <w:vAlign w:val="center"/>
          </w:tcPr>
          <w:p w14:paraId="754415EE">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外墙_承重墙_200</w:t>
            </w:r>
          </w:p>
        </w:tc>
        <w:tc>
          <w:tcPr>
            <w:tcW w:w="1767" w:type="pct"/>
            <w:noWrap w:val="0"/>
            <w:tcMar>
              <w:top w:w="57" w:type="dxa"/>
              <w:left w:w="113" w:type="dxa"/>
              <w:bottom w:w="57" w:type="dxa"/>
              <w:right w:w="113" w:type="dxa"/>
            </w:tcMar>
            <w:vAlign w:val="center"/>
          </w:tcPr>
          <w:p w14:paraId="596A7E58">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272B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19B56120">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1D878122">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结构板</w:t>
            </w:r>
          </w:p>
        </w:tc>
        <w:tc>
          <w:tcPr>
            <w:tcW w:w="863" w:type="pct"/>
            <w:noWrap w:val="0"/>
            <w:tcMar>
              <w:top w:w="57" w:type="dxa"/>
              <w:left w:w="113" w:type="dxa"/>
              <w:bottom w:w="57" w:type="dxa"/>
              <w:right w:w="113" w:type="dxa"/>
            </w:tcMar>
            <w:vAlign w:val="center"/>
          </w:tcPr>
          <w:p w14:paraId="07A8C4F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图纸名称+厚度</w:t>
            </w:r>
          </w:p>
        </w:tc>
        <w:tc>
          <w:tcPr>
            <w:tcW w:w="685" w:type="pct"/>
            <w:noWrap w:val="0"/>
            <w:tcMar>
              <w:top w:w="57" w:type="dxa"/>
              <w:left w:w="113" w:type="dxa"/>
              <w:bottom w:w="57" w:type="dxa"/>
              <w:right w:w="113" w:type="dxa"/>
            </w:tcMar>
            <w:vAlign w:val="center"/>
          </w:tcPr>
          <w:p w14:paraId="265BB9CD">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689D1100">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B01_100</w:t>
            </w:r>
          </w:p>
        </w:tc>
        <w:tc>
          <w:tcPr>
            <w:tcW w:w="1767" w:type="pct"/>
            <w:noWrap w:val="0"/>
            <w:tcMar>
              <w:top w:w="57" w:type="dxa"/>
              <w:left w:w="113" w:type="dxa"/>
              <w:bottom w:w="57" w:type="dxa"/>
              <w:right w:w="113" w:type="dxa"/>
            </w:tcMar>
            <w:vAlign w:val="center"/>
          </w:tcPr>
          <w:p w14:paraId="2827C82D">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1994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72BC0C68">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47B404D5">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基础(地下室底板、梁)后浇带</w:t>
            </w:r>
          </w:p>
        </w:tc>
        <w:tc>
          <w:tcPr>
            <w:tcW w:w="863" w:type="pct"/>
            <w:noWrap w:val="0"/>
            <w:tcMar>
              <w:top w:w="57" w:type="dxa"/>
              <w:left w:w="113" w:type="dxa"/>
              <w:bottom w:w="57" w:type="dxa"/>
              <w:right w:w="113" w:type="dxa"/>
            </w:tcMar>
            <w:vAlign w:val="center"/>
          </w:tcPr>
          <w:p w14:paraId="15CA5082">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JCHJD+编号</w:t>
            </w:r>
          </w:p>
        </w:tc>
        <w:tc>
          <w:tcPr>
            <w:tcW w:w="685" w:type="pct"/>
            <w:noWrap w:val="0"/>
            <w:tcMar>
              <w:top w:w="57" w:type="dxa"/>
              <w:left w:w="113" w:type="dxa"/>
              <w:bottom w:w="57" w:type="dxa"/>
              <w:right w:w="113" w:type="dxa"/>
            </w:tcMar>
            <w:vAlign w:val="center"/>
          </w:tcPr>
          <w:p w14:paraId="7CCFD023">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35AB3BD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JCHJD01</w:t>
            </w:r>
          </w:p>
        </w:tc>
        <w:tc>
          <w:tcPr>
            <w:tcW w:w="1767" w:type="pct"/>
            <w:noWrap w:val="0"/>
            <w:tcMar>
              <w:top w:w="57" w:type="dxa"/>
              <w:left w:w="113" w:type="dxa"/>
              <w:bottom w:w="57" w:type="dxa"/>
              <w:right w:w="113" w:type="dxa"/>
            </w:tcMar>
            <w:vAlign w:val="center"/>
          </w:tcPr>
          <w:p w14:paraId="68CB30EA">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0EBF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1BD7F4A6">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77D8B9D0">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板后浇带</w:t>
            </w:r>
          </w:p>
        </w:tc>
        <w:tc>
          <w:tcPr>
            <w:tcW w:w="863" w:type="pct"/>
            <w:noWrap w:val="0"/>
            <w:tcMar>
              <w:top w:w="57" w:type="dxa"/>
              <w:left w:w="113" w:type="dxa"/>
              <w:bottom w:w="57" w:type="dxa"/>
              <w:right w:w="113" w:type="dxa"/>
            </w:tcMar>
            <w:vAlign w:val="center"/>
          </w:tcPr>
          <w:p w14:paraId="7B95D0D0">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BHJD+编号</w:t>
            </w:r>
          </w:p>
        </w:tc>
        <w:tc>
          <w:tcPr>
            <w:tcW w:w="685" w:type="pct"/>
            <w:noWrap w:val="0"/>
            <w:tcMar>
              <w:top w:w="57" w:type="dxa"/>
              <w:left w:w="113" w:type="dxa"/>
              <w:bottom w:w="57" w:type="dxa"/>
              <w:right w:w="113" w:type="dxa"/>
            </w:tcMar>
            <w:vAlign w:val="center"/>
          </w:tcPr>
          <w:p w14:paraId="00ED8A77">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5CCA3E72">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BHJD01</w:t>
            </w:r>
          </w:p>
        </w:tc>
        <w:tc>
          <w:tcPr>
            <w:tcW w:w="1767" w:type="pct"/>
            <w:noWrap w:val="0"/>
            <w:tcMar>
              <w:top w:w="57" w:type="dxa"/>
              <w:left w:w="113" w:type="dxa"/>
              <w:bottom w:w="57" w:type="dxa"/>
              <w:right w:w="113" w:type="dxa"/>
            </w:tcMar>
            <w:vAlign w:val="center"/>
          </w:tcPr>
          <w:p w14:paraId="786DF42B">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3295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3E103253">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4EC9FD1C">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梁后浇带</w:t>
            </w:r>
          </w:p>
        </w:tc>
        <w:tc>
          <w:tcPr>
            <w:tcW w:w="863" w:type="pct"/>
            <w:noWrap w:val="0"/>
            <w:tcMar>
              <w:top w:w="57" w:type="dxa"/>
              <w:left w:w="113" w:type="dxa"/>
              <w:bottom w:w="57" w:type="dxa"/>
              <w:right w:w="113" w:type="dxa"/>
            </w:tcMar>
            <w:vAlign w:val="center"/>
          </w:tcPr>
          <w:p w14:paraId="09D119C5">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LHJD+编号</w:t>
            </w:r>
          </w:p>
        </w:tc>
        <w:tc>
          <w:tcPr>
            <w:tcW w:w="685" w:type="pct"/>
            <w:noWrap w:val="0"/>
            <w:tcMar>
              <w:top w:w="57" w:type="dxa"/>
              <w:left w:w="113" w:type="dxa"/>
              <w:bottom w:w="57" w:type="dxa"/>
              <w:right w:w="113" w:type="dxa"/>
            </w:tcMar>
            <w:vAlign w:val="center"/>
          </w:tcPr>
          <w:p w14:paraId="0C89AC68">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16F3DEBC">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LHJD01</w:t>
            </w:r>
          </w:p>
        </w:tc>
        <w:tc>
          <w:tcPr>
            <w:tcW w:w="1767" w:type="pct"/>
            <w:noWrap w:val="0"/>
            <w:tcMar>
              <w:top w:w="57" w:type="dxa"/>
              <w:left w:w="113" w:type="dxa"/>
              <w:bottom w:w="57" w:type="dxa"/>
              <w:right w:w="113" w:type="dxa"/>
            </w:tcMar>
            <w:vAlign w:val="center"/>
          </w:tcPr>
          <w:p w14:paraId="47D86B03">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2B85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0BAA3C4C">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72BE3E96">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剪力墙后浇带</w:t>
            </w:r>
          </w:p>
        </w:tc>
        <w:tc>
          <w:tcPr>
            <w:tcW w:w="863" w:type="pct"/>
            <w:noWrap w:val="0"/>
            <w:tcMar>
              <w:top w:w="57" w:type="dxa"/>
              <w:left w:w="113" w:type="dxa"/>
              <w:bottom w:w="57" w:type="dxa"/>
              <w:right w:w="113" w:type="dxa"/>
            </w:tcMar>
            <w:vAlign w:val="center"/>
          </w:tcPr>
          <w:p w14:paraId="083CD36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QHJD+编号</w:t>
            </w:r>
          </w:p>
        </w:tc>
        <w:tc>
          <w:tcPr>
            <w:tcW w:w="685" w:type="pct"/>
            <w:noWrap w:val="0"/>
            <w:tcMar>
              <w:top w:w="57" w:type="dxa"/>
              <w:left w:w="113" w:type="dxa"/>
              <w:bottom w:w="57" w:type="dxa"/>
              <w:right w:w="113" w:type="dxa"/>
            </w:tcMar>
            <w:vAlign w:val="center"/>
          </w:tcPr>
          <w:p w14:paraId="31CAED16">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4DC0350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QHJD01</w:t>
            </w:r>
          </w:p>
        </w:tc>
        <w:tc>
          <w:tcPr>
            <w:tcW w:w="1767" w:type="pct"/>
            <w:noWrap w:val="0"/>
            <w:tcMar>
              <w:top w:w="57" w:type="dxa"/>
              <w:left w:w="113" w:type="dxa"/>
              <w:bottom w:w="57" w:type="dxa"/>
              <w:right w:w="113" w:type="dxa"/>
            </w:tcMar>
            <w:vAlign w:val="center"/>
          </w:tcPr>
          <w:p w14:paraId="11A97DFE">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1482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4BEECA43">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4AFAA08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楼梯</w:t>
            </w:r>
          </w:p>
        </w:tc>
        <w:tc>
          <w:tcPr>
            <w:tcW w:w="863" w:type="pct"/>
            <w:noWrap w:val="0"/>
            <w:tcMar>
              <w:top w:w="57" w:type="dxa"/>
              <w:left w:w="113" w:type="dxa"/>
              <w:bottom w:w="57" w:type="dxa"/>
              <w:right w:w="113" w:type="dxa"/>
            </w:tcMar>
            <w:vAlign w:val="center"/>
          </w:tcPr>
          <w:p w14:paraId="516F5AD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性质关键字+图纸名称</w:t>
            </w:r>
          </w:p>
        </w:tc>
        <w:tc>
          <w:tcPr>
            <w:tcW w:w="685" w:type="pct"/>
            <w:noWrap w:val="0"/>
            <w:tcMar>
              <w:top w:w="57" w:type="dxa"/>
              <w:left w:w="113" w:type="dxa"/>
              <w:bottom w:w="57" w:type="dxa"/>
              <w:right w:w="113" w:type="dxa"/>
            </w:tcMar>
            <w:vAlign w:val="center"/>
          </w:tcPr>
          <w:p w14:paraId="066B304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专用楼梯、托儿所专用、电影院专用</w:t>
            </w:r>
          </w:p>
        </w:tc>
        <w:tc>
          <w:tcPr>
            <w:tcW w:w="975" w:type="pct"/>
            <w:noWrap w:val="0"/>
            <w:tcMar>
              <w:top w:w="57" w:type="dxa"/>
              <w:left w:w="113" w:type="dxa"/>
              <w:bottom w:w="57" w:type="dxa"/>
              <w:right w:w="113" w:type="dxa"/>
            </w:tcMar>
            <w:vAlign w:val="center"/>
          </w:tcPr>
          <w:p w14:paraId="0EAB8781">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专用楼梯_LT01</w:t>
            </w:r>
          </w:p>
        </w:tc>
        <w:tc>
          <w:tcPr>
            <w:tcW w:w="1767" w:type="pct"/>
            <w:noWrap w:val="0"/>
            <w:tcMar>
              <w:top w:w="57" w:type="dxa"/>
              <w:left w:w="113" w:type="dxa"/>
              <w:bottom w:w="57" w:type="dxa"/>
              <w:right w:w="113" w:type="dxa"/>
            </w:tcMar>
            <w:vAlign w:val="center"/>
          </w:tcPr>
          <w:p w14:paraId="2746E13D">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5E01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251288B5">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0D1F4891">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其他混凝土构件</w:t>
            </w:r>
          </w:p>
        </w:tc>
        <w:tc>
          <w:tcPr>
            <w:tcW w:w="863" w:type="pct"/>
            <w:noWrap w:val="0"/>
            <w:tcMar>
              <w:top w:w="57" w:type="dxa"/>
              <w:left w:w="113" w:type="dxa"/>
              <w:bottom w:w="57" w:type="dxa"/>
              <w:right w:w="113" w:type="dxa"/>
            </w:tcMar>
            <w:vAlign w:val="center"/>
          </w:tcPr>
          <w:p w14:paraId="0BA2304C">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图纸名称</w:t>
            </w:r>
          </w:p>
        </w:tc>
        <w:tc>
          <w:tcPr>
            <w:tcW w:w="685" w:type="pct"/>
            <w:noWrap w:val="0"/>
            <w:tcMar>
              <w:top w:w="57" w:type="dxa"/>
              <w:left w:w="113" w:type="dxa"/>
              <w:bottom w:w="57" w:type="dxa"/>
              <w:right w:w="113" w:type="dxa"/>
            </w:tcMar>
            <w:vAlign w:val="center"/>
          </w:tcPr>
          <w:p w14:paraId="2EC422B4">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1AD2121D">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反坎</w:t>
            </w:r>
          </w:p>
        </w:tc>
        <w:tc>
          <w:tcPr>
            <w:tcW w:w="1767" w:type="pct"/>
            <w:noWrap w:val="0"/>
            <w:tcMar>
              <w:top w:w="57" w:type="dxa"/>
              <w:left w:w="113" w:type="dxa"/>
              <w:bottom w:w="57" w:type="dxa"/>
              <w:right w:w="113" w:type="dxa"/>
            </w:tcMar>
            <w:vAlign w:val="center"/>
          </w:tcPr>
          <w:p w14:paraId="05FD3D0C">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4D73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restart"/>
            <w:noWrap w:val="0"/>
            <w:tcMar>
              <w:top w:w="57" w:type="dxa"/>
              <w:left w:w="113" w:type="dxa"/>
              <w:bottom w:w="57" w:type="dxa"/>
              <w:right w:w="113" w:type="dxa"/>
            </w:tcMar>
            <w:vAlign w:val="center"/>
          </w:tcPr>
          <w:p w14:paraId="665F16E3">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建筑</w:t>
            </w:r>
          </w:p>
        </w:tc>
        <w:tc>
          <w:tcPr>
            <w:tcW w:w="468" w:type="pct"/>
            <w:noWrap w:val="0"/>
            <w:tcMar>
              <w:top w:w="57" w:type="dxa"/>
              <w:left w:w="113" w:type="dxa"/>
              <w:bottom w:w="57" w:type="dxa"/>
              <w:right w:w="113" w:type="dxa"/>
            </w:tcMar>
            <w:vAlign w:val="center"/>
          </w:tcPr>
          <w:p w14:paraId="7B2384F9">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建筑墙</w:t>
            </w:r>
          </w:p>
        </w:tc>
        <w:tc>
          <w:tcPr>
            <w:tcW w:w="863" w:type="pct"/>
            <w:noWrap w:val="0"/>
            <w:tcMar>
              <w:top w:w="57" w:type="dxa"/>
              <w:left w:w="113" w:type="dxa"/>
              <w:bottom w:w="57" w:type="dxa"/>
              <w:right w:w="113" w:type="dxa"/>
            </w:tcMar>
            <w:vAlign w:val="center"/>
          </w:tcPr>
          <w:p w14:paraId="65FDBF02">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空间关系（内、外）+性质关键字+厚度</w:t>
            </w:r>
          </w:p>
        </w:tc>
        <w:tc>
          <w:tcPr>
            <w:tcW w:w="685" w:type="pct"/>
            <w:noWrap w:val="0"/>
            <w:tcMar>
              <w:top w:w="57" w:type="dxa"/>
              <w:left w:w="113" w:type="dxa"/>
              <w:bottom w:w="57" w:type="dxa"/>
              <w:right w:w="113" w:type="dxa"/>
            </w:tcMar>
            <w:vAlign w:val="center"/>
          </w:tcPr>
          <w:p w14:paraId="0C7AD84A">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防火隔墙、承重墙、砖墙</w:t>
            </w:r>
          </w:p>
        </w:tc>
        <w:tc>
          <w:tcPr>
            <w:tcW w:w="975" w:type="pct"/>
            <w:noWrap w:val="0"/>
            <w:tcMar>
              <w:top w:w="57" w:type="dxa"/>
              <w:left w:w="113" w:type="dxa"/>
              <w:bottom w:w="57" w:type="dxa"/>
              <w:right w:w="113" w:type="dxa"/>
            </w:tcMar>
            <w:vAlign w:val="center"/>
          </w:tcPr>
          <w:p w14:paraId="6877A281">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外墙_砖墙_200</w:t>
            </w:r>
          </w:p>
        </w:tc>
        <w:tc>
          <w:tcPr>
            <w:tcW w:w="1767" w:type="pct"/>
            <w:noWrap w:val="0"/>
            <w:tcMar>
              <w:top w:w="57" w:type="dxa"/>
              <w:left w:w="113" w:type="dxa"/>
              <w:bottom w:w="57" w:type="dxa"/>
              <w:right w:w="113" w:type="dxa"/>
            </w:tcMar>
            <w:vAlign w:val="center"/>
          </w:tcPr>
          <w:p w14:paraId="156D5526">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材质、楼层</w:t>
            </w:r>
          </w:p>
        </w:tc>
      </w:tr>
      <w:tr w14:paraId="59C7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1DAB0372">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492D7053">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建筑柱</w:t>
            </w:r>
          </w:p>
        </w:tc>
        <w:tc>
          <w:tcPr>
            <w:tcW w:w="863" w:type="pct"/>
            <w:noWrap w:val="0"/>
            <w:tcMar>
              <w:top w:w="57" w:type="dxa"/>
              <w:left w:w="113" w:type="dxa"/>
              <w:bottom w:w="57" w:type="dxa"/>
              <w:right w:w="113" w:type="dxa"/>
            </w:tcMar>
            <w:vAlign w:val="center"/>
          </w:tcPr>
          <w:p w14:paraId="14FC8D0A">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性质关键字+图纸名称</w:t>
            </w:r>
          </w:p>
        </w:tc>
        <w:tc>
          <w:tcPr>
            <w:tcW w:w="685" w:type="pct"/>
            <w:noWrap w:val="0"/>
            <w:tcMar>
              <w:top w:w="57" w:type="dxa"/>
              <w:left w:w="113" w:type="dxa"/>
              <w:bottom w:w="57" w:type="dxa"/>
              <w:right w:w="113" w:type="dxa"/>
            </w:tcMar>
            <w:vAlign w:val="center"/>
          </w:tcPr>
          <w:p w14:paraId="7E552F6D">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29749319">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建筑柱_JZ01</w:t>
            </w:r>
          </w:p>
        </w:tc>
        <w:tc>
          <w:tcPr>
            <w:tcW w:w="1767" w:type="pct"/>
            <w:noWrap w:val="0"/>
            <w:tcMar>
              <w:top w:w="57" w:type="dxa"/>
              <w:left w:w="113" w:type="dxa"/>
              <w:bottom w:w="57" w:type="dxa"/>
              <w:right w:w="113" w:type="dxa"/>
            </w:tcMar>
            <w:vAlign w:val="center"/>
          </w:tcPr>
          <w:p w14:paraId="79A20E36">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材质、楼层</w:t>
            </w:r>
          </w:p>
        </w:tc>
      </w:tr>
      <w:tr w14:paraId="4B49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006E206E">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75784AB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建筑板</w:t>
            </w:r>
          </w:p>
        </w:tc>
        <w:tc>
          <w:tcPr>
            <w:tcW w:w="863" w:type="pct"/>
            <w:noWrap w:val="0"/>
            <w:tcMar>
              <w:top w:w="57" w:type="dxa"/>
              <w:left w:w="113" w:type="dxa"/>
              <w:bottom w:w="57" w:type="dxa"/>
              <w:right w:w="113" w:type="dxa"/>
            </w:tcMar>
            <w:vAlign w:val="center"/>
          </w:tcPr>
          <w:p w14:paraId="2F27BD96">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性质关键字+厚度</w:t>
            </w:r>
          </w:p>
        </w:tc>
        <w:tc>
          <w:tcPr>
            <w:tcW w:w="685" w:type="pct"/>
            <w:noWrap w:val="0"/>
            <w:tcMar>
              <w:top w:w="57" w:type="dxa"/>
              <w:left w:w="113" w:type="dxa"/>
              <w:bottom w:w="57" w:type="dxa"/>
              <w:right w:w="113" w:type="dxa"/>
            </w:tcMar>
            <w:vAlign w:val="center"/>
          </w:tcPr>
          <w:p w14:paraId="1F182CA9">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天花板、屋面板</w:t>
            </w:r>
          </w:p>
        </w:tc>
        <w:tc>
          <w:tcPr>
            <w:tcW w:w="975" w:type="pct"/>
            <w:noWrap w:val="0"/>
            <w:tcMar>
              <w:top w:w="57" w:type="dxa"/>
              <w:left w:w="113" w:type="dxa"/>
              <w:bottom w:w="57" w:type="dxa"/>
              <w:right w:w="113" w:type="dxa"/>
            </w:tcMar>
            <w:vAlign w:val="center"/>
          </w:tcPr>
          <w:p w14:paraId="7ABE7ACE">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天花板_200</w:t>
            </w:r>
          </w:p>
        </w:tc>
        <w:tc>
          <w:tcPr>
            <w:tcW w:w="1767" w:type="pct"/>
            <w:noWrap w:val="0"/>
            <w:tcMar>
              <w:top w:w="57" w:type="dxa"/>
              <w:left w:w="113" w:type="dxa"/>
              <w:bottom w:w="57" w:type="dxa"/>
              <w:right w:w="113" w:type="dxa"/>
            </w:tcMar>
            <w:vAlign w:val="center"/>
          </w:tcPr>
          <w:p w14:paraId="4CE6BD7C">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材质、楼层</w:t>
            </w:r>
          </w:p>
        </w:tc>
      </w:tr>
      <w:tr w14:paraId="3A21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6DEDD15D">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1BC028C0">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门</w:t>
            </w:r>
          </w:p>
        </w:tc>
        <w:tc>
          <w:tcPr>
            <w:tcW w:w="863" w:type="pct"/>
            <w:noWrap w:val="0"/>
            <w:tcMar>
              <w:top w:w="57" w:type="dxa"/>
              <w:left w:w="113" w:type="dxa"/>
              <w:bottom w:w="57" w:type="dxa"/>
              <w:right w:w="113" w:type="dxa"/>
            </w:tcMar>
            <w:vAlign w:val="center"/>
          </w:tcPr>
          <w:p w14:paraId="5A16E6B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性质关键字+图纸名称</w:t>
            </w:r>
          </w:p>
        </w:tc>
        <w:tc>
          <w:tcPr>
            <w:tcW w:w="685" w:type="pct"/>
            <w:noWrap w:val="0"/>
            <w:tcMar>
              <w:top w:w="57" w:type="dxa"/>
              <w:left w:w="113" w:type="dxa"/>
              <w:bottom w:w="57" w:type="dxa"/>
              <w:right w:w="113" w:type="dxa"/>
            </w:tcMar>
            <w:vAlign w:val="center"/>
          </w:tcPr>
          <w:p w14:paraId="170D2E7D">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外门、疏散门、户门、安全出口</w:t>
            </w:r>
          </w:p>
        </w:tc>
        <w:tc>
          <w:tcPr>
            <w:tcW w:w="975" w:type="pct"/>
            <w:noWrap w:val="0"/>
            <w:tcMar>
              <w:top w:w="57" w:type="dxa"/>
              <w:left w:w="113" w:type="dxa"/>
              <w:bottom w:w="57" w:type="dxa"/>
              <w:right w:w="113" w:type="dxa"/>
            </w:tcMar>
            <w:vAlign w:val="center"/>
          </w:tcPr>
          <w:p w14:paraId="37ACF7D2">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外门_M01</w:t>
            </w:r>
          </w:p>
        </w:tc>
        <w:tc>
          <w:tcPr>
            <w:tcW w:w="1767" w:type="pct"/>
            <w:noWrap w:val="0"/>
            <w:tcMar>
              <w:top w:w="57" w:type="dxa"/>
              <w:left w:w="113" w:type="dxa"/>
              <w:bottom w:w="57" w:type="dxa"/>
              <w:right w:w="113" w:type="dxa"/>
            </w:tcMar>
            <w:vAlign w:val="center"/>
          </w:tcPr>
          <w:p w14:paraId="55EBBD0B">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材质、楼层</w:t>
            </w:r>
          </w:p>
        </w:tc>
      </w:tr>
      <w:tr w14:paraId="09BB4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2DEC1399">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2684BB7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窗</w:t>
            </w:r>
          </w:p>
        </w:tc>
        <w:tc>
          <w:tcPr>
            <w:tcW w:w="863" w:type="pct"/>
            <w:noWrap w:val="0"/>
            <w:tcMar>
              <w:top w:w="57" w:type="dxa"/>
              <w:left w:w="113" w:type="dxa"/>
              <w:bottom w:w="57" w:type="dxa"/>
              <w:right w:w="113" w:type="dxa"/>
            </w:tcMar>
            <w:vAlign w:val="center"/>
          </w:tcPr>
          <w:p w14:paraId="79D56DF5">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性质关键字+图纸名称</w:t>
            </w:r>
          </w:p>
        </w:tc>
        <w:tc>
          <w:tcPr>
            <w:tcW w:w="685" w:type="pct"/>
            <w:noWrap w:val="0"/>
            <w:tcMar>
              <w:top w:w="57" w:type="dxa"/>
              <w:left w:w="113" w:type="dxa"/>
              <w:bottom w:w="57" w:type="dxa"/>
              <w:right w:w="113" w:type="dxa"/>
            </w:tcMar>
            <w:vAlign w:val="center"/>
          </w:tcPr>
          <w:p w14:paraId="43AFE2AE">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消防救援窗、乙级防火窗、老虎窗</w:t>
            </w:r>
          </w:p>
        </w:tc>
        <w:tc>
          <w:tcPr>
            <w:tcW w:w="975" w:type="pct"/>
            <w:noWrap w:val="0"/>
            <w:tcMar>
              <w:top w:w="57" w:type="dxa"/>
              <w:left w:w="113" w:type="dxa"/>
              <w:bottom w:w="57" w:type="dxa"/>
              <w:right w:w="113" w:type="dxa"/>
            </w:tcMar>
            <w:vAlign w:val="center"/>
          </w:tcPr>
          <w:p w14:paraId="203381CA">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乙级防火窗_C01</w:t>
            </w:r>
          </w:p>
        </w:tc>
        <w:tc>
          <w:tcPr>
            <w:tcW w:w="1767" w:type="pct"/>
            <w:noWrap w:val="0"/>
            <w:tcMar>
              <w:top w:w="57" w:type="dxa"/>
              <w:left w:w="113" w:type="dxa"/>
              <w:bottom w:w="57" w:type="dxa"/>
              <w:right w:w="113" w:type="dxa"/>
            </w:tcMar>
            <w:vAlign w:val="center"/>
          </w:tcPr>
          <w:p w14:paraId="2371CD31">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材质、楼层</w:t>
            </w:r>
          </w:p>
        </w:tc>
      </w:tr>
      <w:tr w14:paraId="2218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0340D4B1">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6E8ED753">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幕墙</w:t>
            </w:r>
          </w:p>
        </w:tc>
        <w:tc>
          <w:tcPr>
            <w:tcW w:w="863" w:type="pct"/>
            <w:noWrap w:val="0"/>
            <w:tcMar>
              <w:top w:w="57" w:type="dxa"/>
              <w:left w:w="113" w:type="dxa"/>
              <w:bottom w:w="57" w:type="dxa"/>
              <w:right w:w="113" w:type="dxa"/>
            </w:tcMar>
            <w:vAlign w:val="center"/>
          </w:tcPr>
          <w:p w14:paraId="57317855">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空间关系（内、外）+图纸名称</w:t>
            </w:r>
          </w:p>
        </w:tc>
        <w:tc>
          <w:tcPr>
            <w:tcW w:w="685" w:type="pct"/>
            <w:noWrap w:val="0"/>
            <w:tcMar>
              <w:top w:w="57" w:type="dxa"/>
              <w:left w:w="113" w:type="dxa"/>
              <w:bottom w:w="57" w:type="dxa"/>
              <w:right w:w="113" w:type="dxa"/>
            </w:tcMar>
            <w:vAlign w:val="center"/>
          </w:tcPr>
          <w:p w14:paraId="02864622">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0D4E8D9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外墙_MQ01</w:t>
            </w:r>
          </w:p>
        </w:tc>
        <w:tc>
          <w:tcPr>
            <w:tcW w:w="1767" w:type="pct"/>
            <w:noWrap w:val="0"/>
            <w:tcMar>
              <w:top w:w="57" w:type="dxa"/>
              <w:left w:w="113" w:type="dxa"/>
              <w:bottom w:w="57" w:type="dxa"/>
              <w:right w:w="113" w:type="dxa"/>
            </w:tcMar>
            <w:vAlign w:val="center"/>
          </w:tcPr>
          <w:p w14:paraId="137F9FB2">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材质、楼层</w:t>
            </w:r>
          </w:p>
        </w:tc>
      </w:tr>
      <w:tr w14:paraId="327D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restart"/>
            <w:noWrap w:val="0"/>
            <w:tcMar>
              <w:top w:w="57" w:type="dxa"/>
              <w:left w:w="113" w:type="dxa"/>
              <w:bottom w:w="57" w:type="dxa"/>
              <w:right w:w="113" w:type="dxa"/>
            </w:tcMar>
            <w:vAlign w:val="center"/>
          </w:tcPr>
          <w:p w14:paraId="10BFF883">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土方</w:t>
            </w:r>
          </w:p>
        </w:tc>
        <w:tc>
          <w:tcPr>
            <w:tcW w:w="468" w:type="pct"/>
            <w:noWrap w:val="0"/>
            <w:tcMar>
              <w:top w:w="57" w:type="dxa"/>
              <w:left w:w="113" w:type="dxa"/>
              <w:bottom w:w="57" w:type="dxa"/>
              <w:right w:w="113" w:type="dxa"/>
            </w:tcMar>
            <w:vAlign w:val="center"/>
          </w:tcPr>
          <w:p w14:paraId="68C3EB2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基坑土方</w:t>
            </w:r>
          </w:p>
        </w:tc>
        <w:tc>
          <w:tcPr>
            <w:tcW w:w="863" w:type="pct"/>
            <w:noWrap w:val="0"/>
            <w:tcMar>
              <w:top w:w="57" w:type="dxa"/>
              <w:left w:w="113" w:type="dxa"/>
              <w:bottom w:w="57" w:type="dxa"/>
              <w:right w:w="113" w:type="dxa"/>
            </w:tcMar>
            <w:vAlign w:val="center"/>
          </w:tcPr>
          <w:p w14:paraId="4C4DDBD5">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性质关键字+图纸名称</w:t>
            </w:r>
          </w:p>
        </w:tc>
        <w:tc>
          <w:tcPr>
            <w:tcW w:w="685" w:type="pct"/>
            <w:noWrap w:val="0"/>
            <w:tcMar>
              <w:top w:w="57" w:type="dxa"/>
              <w:left w:w="113" w:type="dxa"/>
              <w:bottom w:w="57" w:type="dxa"/>
              <w:right w:w="113" w:type="dxa"/>
            </w:tcMar>
            <w:vAlign w:val="center"/>
          </w:tcPr>
          <w:p w14:paraId="0AB437FE">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790955C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基坑土方_JKT01</w:t>
            </w:r>
          </w:p>
        </w:tc>
        <w:tc>
          <w:tcPr>
            <w:tcW w:w="1767" w:type="pct"/>
            <w:noWrap w:val="0"/>
            <w:tcMar>
              <w:top w:w="57" w:type="dxa"/>
              <w:left w:w="113" w:type="dxa"/>
              <w:bottom w:w="57" w:type="dxa"/>
              <w:right w:w="113" w:type="dxa"/>
            </w:tcMar>
            <w:vAlign w:val="center"/>
          </w:tcPr>
          <w:p w14:paraId="3FCCE53C">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（可不描述）、楼层</w:t>
            </w:r>
          </w:p>
        </w:tc>
      </w:tr>
      <w:tr w14:paraId="0F73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52E8DC52">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23483C2A">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基槽土方</w:t>
            </w:r>
          </w:p>
        </w:tc>
        <w:tc>
          <w:tcPr>
            <w:tcW w:w="863" w:type="pct"/>
            <w:noWrap w:val="0"/>
            <w:tcMar>
              <w:top w:w="57" w:type="dxa"/>
              <w:left w:w="113" w:type="dxa"/>
              <w:bottom w:w="57" w:type="dxa"/>
              <w:right w:w="113" w:type="dxa"/>
            </w:tcMar>
            <w:vAlign w:val="center"/>
          </w:tcPr>
          <w:p w14:paraId="6B679C9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性质关键字+图纸名称</w:t>
            </w:r>
          </w:p>
        </w:tc>
        <w:tc>
          <w:tcPr>
            <w:tcW w:w="685" w:type="pct"/>
            <w:noWrap w:val="0"/>
            <w:tcMar>
              <w:top w:w="57" w:type="dxa"/>
              <w:left w:w="113" w:type="dxa"/>
              <w:bottom w:w="57" w:type="dxa"/>
              <w:right w:w="113" w:type="dxa"/>
            </w:tcMar>
            <w:vAlign w:val="center"/>
          </w:tcPr>
          <w:p w14:paraId="1A6AB334">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0DD7C39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基槽土方_JCT01</w:t>
            </w:r>
          </w:p>
        </w:tc>
        <w:tc>
          <w:tcPr>
            <w:tcW w:w="1767" w:type="pct"/>
            <w:noWrap w:val="0"/>
            <w:tcMar>
              <w:top w:w="57" w:type="dxa"/>
              <w:left w:w="113" w:type="dxa"/>
              <w:bottom w:w="57" w:type="dxa"/>
              <w:right w:w="113" w:type="dxa"/>
            </w:tcMar>
            <w:vAlign w:val="center"/>
          </w:tcPr>
          <w:p w14:paraId="626C13DA">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（可不描述）、楼层</w:t>
            </w:r>
          </w:p>
        </w:tc>
      </w:tr>
      <w:tr w14:paraId="1ACD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4FCB712A">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4A5967B9">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大开挖土方</w:t>
            </w:r>
          </w:p>
        </w:tc>
        <w:tc>
          <w:tcPr>
            <w:tcW w:w="863" w:type="pct"/>
            <w:noWrap w:val="0"/>
            <w:tcMar>
              <w:top w:w="57" w:type="dxa"/>
              <w:left w:w="113" w:type="dxa"/>
              <w:bottom w:w="57" w:type="dxa"/>
              <w:right w:w="113" w:type="dxa"/>
            </w:tcMar>
            <w:vAlign w:val="center"/>
          </w:tcPr>
          <w:p w14:paraId="4628C5B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性质关键字+图纸名称</w:t>
            </w:r>
          </w:p>
        </w:tc>
        <w:tc>
          <w:tcPr>
            <w:tcW w:w="685" w:type="pct"/>
            <w:noWrap w:val="0"/>
            <w:tcMar>
              <w:top w:w="57" w:type="dxa"/>
              <w:left w:w="113" w:type="dxa"/>
              <w:bottom w:w="57" w:type="dxa"/>
              <w:right w:w="113" w:type="dxa"/>
            </w:tcMar>
            <w:vAlign w:val="center"/>
          </w:tcPr>
          <w:p w14:paraId="0BBFB3C4">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02368FE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大开挖土方_DKT01</w:t>
            </w:r>
          </w:p>
        </w:tc>
        <w:tc>
          <w:tcPr>
            <w:tcW w:w="1767" w:type="pct"/>
            <w:noWrap w:val="0"/>
            <w:tcMar>
              <w:top w:w="57" w:type="dxa"/>
              <w:left w:w="113" w:type="dxa"/>
              <w:bottom w:w="57" w:type="dxa"/>
              <w:right w:w="113" w:type="dxa"/>
            </w:tcMar>
            <w:vAlign w:val="center"/>
          </w:tcPr>
          <w:p w14:paraId="1D3E9381">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（可不描述）、楼层</w:t>
            </w:r>
          </w:p>
        </w:tc>
      </w:tr>
      <w:tr w14:paraId="4669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restart"/>
            <w:noWrap w:val="0"/>
            <w:tcMar>
              <w:top w:w="57" w:type="dxa"/>
              <w:left w:w="113" w:type="dxa"/>
              <w:bottom w:w="57" w:type="dxa"/>
              <w:right w:w="113" w:type="dxa"/>
            </w:tcMar>
            <w:vAlign w:val="center"/>
          </w:tcPr>
          <w:p w14:paraId="58936EA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其他</w:t>
            </w:r>
          </w:p>
        </w:tc>
        <w:tc>
          <w:tcPr>
            <w:tcW w:w="468" w:type="pct"/>
            <w:noWrap w:val="0"/>
            <w:tcMar>
              <w:top w:w="57" w:type="dxa"/>
              <w:left w:w="113" w:type="dxa"/>
              <w:bottom w:w="57" w:type="dxa"/>
              <w:right w:w="113" w:type="dxa"/>
            </w:tcMar>
            <w:vAlign w:val="center"/>
          </w:tcPr>
          <w:p w14:paraId="0DE50CF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台阶</w:t>
            </w:r>
          </w:p>
        </w:tc>
        <w:tc>
          <w:tcPr>
            <w:tcW w:w="863" w:type="pct"/>
            <w:noWrap w:val="0"/>
            <w:tcMar>
              <w:top w:w="57" w:type="dxa"/>
              <w:left w:w="113" w:type="dxa"/>
              <w:bottom w:w="57" w:type="dxa"/>
              <w:right w:w="113" w:type="dxa"/>
            </w:tcMar>
            <w:vAlign w:val="center"/>
          </w:tcPr>
          <w:p w14:paraId="1CD16AAA">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性质关键字+图纸名称</w:t>
            </w:r>
          </w:p>
        </w:tc>
        <w:tc>
          <w:tcPr>
            <w:tcW w:w="685" w:type="pct"/>
            <w:noWrap w:val="0"/>
            <w:tcMar>
              <w:top w:w="57" w:type="dxa"/>
              <w:left w:w="113" w:type="dxa"/>
              <w:bottom w:w="57" w:type="dxa"/>
              <w:right w:w="113" w:type="dxa"/>
            </w:tcMar>
            <w:vAlign w:val="center"/>
          </w:tcPr>
          <w:p w14:paraId="580981D5">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1A3A79C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台阶_TJ01</w:t>
            </w:r>
          </w:p>
        </w:tc>
        <w:tc>
          <w:tcPr>
            <w:tcW w:w="1767" w:type="pct"/>
            <w:noWrap w:val="0"/>
            <w:tcMar>
              <w:top w:w="57" w:type="dxa"/>
              <w:left w:w="113" w:type="dxa"/>
              <w:bottom w:w="57" w:type="dxa"/>
              <w:right w:w="113" w:type="dxa"/>
            </w:tcMar>
            <w:vAlign w:val="center"/>
          </w:tcPr>
          <w:p w14:paraId="37401931">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3788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44E84204">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2F68C35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坡道</w:t>
            </w:r>
          </w:p>
        </w:tc>
        <w:tc>
          <w:tcPr>
            <w:tcW w:w="863" w:type="pct"/>
            <w:noWrap w:val="0"/>
            <w:tcMar>
              <w:top w:w="57" w:type="dxa"/>
              <w:left w:w="113" w:type="dxa"/>
              <w:bottom w:w="57" w:type="dxa"/>
              <w:right w:w="113" w:type="dxa"/>
            </w:tcMar>
            <w:vAlign w:val="center"/>
          </w:tcPr>
          <w:p w14:paraId="61B7C3C7">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性质关键字+图纸名称</w:t>
            </w:r>
          </w:p>
        </w:tc>
        <w:tc>
          <w:tcPr>
            <w:tcW w:w="685" w:type="pct"/>
            <w:noWrap w:val="0"/>
            <w:tcMar>
              <w:top w:w="57" w:type="dxa"/>
              <w:left w:w="113" w:type="dxa"/>
              <w:bottom w:w="57" w:type="dxa"/>
              <w:right w:w="113" w:type="dxa"/>
            </w:tcMar>
            <w:vAlign w:val="center"/>
          </w:tcPr>
          <w:p w14:paraId="3BA6AE6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无障碍坡道、室内坡道、轮椅坡道、疏散坡道</w:t>
            </w:r>
          </w:p>
        </w:tc>
        <w:tc>
          <w:tcPr>
            <w:tcW w:w="975" w:type="pct"/>
            <w:noWrap w:val="0"/>
            <w:tcMar>
              <w:top w:w="57" w:type="dxa"/>
              <w:left w:w="113" w:type="dxa"/>
              <w:bottom w:w="57" w:type="dxa"/>
              <w:right w:w="113" w:type="dxa"/>
            </w:tcMar>
            <w:vAlign w:val="center"/>
          </w:tcPr>
          <w:p w14:paraId="5819FE1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无障碍坡道_PD01</w:t>
            </w:r>
          </w:p>
        </w:tc>
        <w:tc>
          <w:tcPr>
            <w:tcW w:w="1767" w:type="pct"/>
            <w:noWrap w:val="0"/>
            <w:tcMar>
              <w:top w:w="57" w:type="dxa"/>
              <w:left w:w="113" w:type="dxa"/>
              <w:bottom w:w="57" w:type="dxa"/>
              <w:right w:w="113" w:type="dxa"/>
            </w:tcMar>
            <w:vAlign w:val="center"/>
          </w:tcPr>
          <w:p w14:paraId="6576204F">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1BC9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27B21E21">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773A0AE7">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挑檐</w:t>
            </w:r>
          </w:p>
        </w:tc>
        <w:tc>
          <w:tcPr>
            <w:tcW w:w="863" w:type="pct"/>
            <w:noWrap w:val="0"/>
            <w:tcMar>
              <w:top w:w="57" w:type="dxa"/>
              <w:left w:w="113" w:type="dxa"/>
              <w:bottom w:w="57" w:type="dxa"/>
              <w:right w:w="113" w:type="dxa"/>
            </w:tcMar>
            <w:vAlign w:val="center"/>
          </w:tcPr>
          <w:p w14:paraId="1DF54EC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性质关键字+图纸名称</w:t>
            </w:r>
          </w:p>
        </w:tc>
        <w:tc>
          <w:tcPr>
            <w:tcW w:w="685" w:type="pct"/>
            <w:noWrap w:val="0"/>
            <w:tcMar>
              <w:top w:w="57" w:type="dxa"/>
              <w:left w:w="113" w:type="dxa"/>
              <w:bottom w:w="57" w:type="dxa"/>
              <w:right w:w="113" w:type="dxa"/>
            </w:tcMar>
            <w:vAlign w:val="center"/>
          </w:tcPr>
          <w:p w14:paraId="50E08123">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13ADD7DC">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挑檐_TY01</w:t>
            </w:r>
          </w:p>
        </w:tc>
        <w:tc>
          <w:tcPr>
            <w:tcW w:w="1767" w:type="pct"/>
            <w:noWrap w:val="0"/>
            <w:tcMar>
              <w:top w:w="57" w:type="dxa"/>
              <w:left w:w="113" w:type="dxa"/>
              <w:bottom w:w="57" w:type="dxa"/>
              <w:right w:w="113" w:type="dxa"/>
            </w:tcMar>
            <w:vAlign w:val="center"/>
          </w:tcPr>
          <w:p w14:paraId="29F93E8A">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2FD7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009126C6">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1DD2DA8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雨棚</w:t>
            </w:r>
          </w:p>
        </w:tc>
        <w:tc>
          <w:tcPr>
            <w:tcW w:w="863" w:type="pct"/>
            <w:noWrap w:val="0"/>
            <w:tcMar>
              <w:top w:w="57" w:type="dxa"/>
              <w:left w:w="113" w:type="dxa"/>
              <w:bottom w:w="57" w:type="dxa"/>
              <w:right w:w="113" w:type="dxa"/>
            </w:tcMar>
            <w:vAlign w:val="center"/>
          </w:tcPr>
          <w:p w14:paraId="12BFD7BE">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性质关键字+图纸名称</w:t>
            </w:r>
          </w:p>
        </w:tc>
        <w:tc>
          <w:tcPr>
            <w:tcW w:w="685" w:type="pct"/>
            <w:noWrap w:val="0"/>
            <w:tcMar>
              <w:top w:w="57" w:type="dxa"/>
              <w:left w:w="113" w:type="dxa"/>
              <w:bottom w:w="57" w:type="dxa"/>
              <w:right w:w="113" w:type="dxa"/>
            </w:tcMar>
            <w:vAlign w:val="center"/>
          </w:tcPr>
          <w:p w14:paraId="6A3006EE">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7EA17350">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雨棚_YP01</w:t>
            </w:r>
          </w:p>
        </w:tc>
        <w:tc>
          <w:tcPr>
            <w:tcW w:w="1767" w:type="pct"/>
            <w:noWrap w:val="0"/>
            <w:tcMar>
              <w:top w:w="57" w:type="dxa"/>
              <w:left w:w="113" w:type="dxa"/>
              <w:bottom w:w="57" w:type="dxa"/>
              <w:right w:w="113" w:type="dxa"/>
            </w:tcMar>
            <w:vAlign w:val="center"/>
          </w:tcPr>
          <w:p w14:paraId="30E2B9C7">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69B7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5A6F8927">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747E0AC9">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天沟</w:t>
            </w:r>
          </w:p>
        </w:tc>
        <w:tc>
          <w:tcPr>
            <w:tcW w:w="863" w:type="pct"/>
            <w:noWrap w:val="0"/>
            <w:tcMar>
              <w:top w:w="57" w:type="dxa"/>
              <w:left w:w="113" w:type="dxa"/>
              <w:bottom w:w="57" w:type="dxa"/>
              <w:right w:w="113" w:type="dxa"/>
            </w:tcMar>
            <w:vAlign w:val="center"/>
          </w:tcPr>
          <w:p w14:paraId="2F79B7E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性质关键字+图纸名称</w:t>
            </w:r>
          </w:p>
        </w:tc>
        <w:tc>
          <w:tcPr>
            <w:tcW w:w="685" w:type="pct"/>
            <w:noWrap w:val="0"/>
            <w:tcMar>
              <w:top w:w="57" w:type="dxa"/>
              <w:left w:w="113" w:type="dxa"/>
              <w:bottom w:w="57" w:type="dxa"/>
              <w:right w:w="113" w:type="dxa"/>
            </w:tcMar>
            <w:vAlign w:val="center"/>
          </w:tcPr>
          <w:p w14:paraId="73A1527A">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4412568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天沟_TG01</w:t>
            </w:r>
          </w:p>
        </w:tc>
        <w:tc>
          <w:tcPr>
            <w:tcW w:w="1767" w:type="pct"/>
            <w:noWrap w:val="0"/>
            <w:tcMar>
              <w:top w:w="57" w:type="dxa"/>
              <w:left w:w="113" w:type="dxa"/>
              <w:bottom w:w="57" w:type="dxa"/>
              <w:right w:w="113" w:type="dxa"/>
            </w:tcMar>
            <w:vAlign w:val="center"/>
          </w:tcPr>
          <w:p w14:paraId="278EA7AA">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351E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7DF800D3">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2DB871A9">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建筑屋顶</w:t>
            </w:r>
          </w:p>
        </w:tc>
        <w:tc>
          <w:tcPr>
            <w:tcW w:w="863" w:type="pct"/>
            <w:noWrap w:val="0"/>
            <w:tcMar>
              <w:top w:w="57" w:type="dxa"/>
              <w:left w:w="113" w:type="dxa"/>
              <w:bottom w:w="57" w:type="dxa"/>
              <w:right w:w="113" w:type="dxa"/>
            </w:tcMar>
            <w:vAlign w:val="center"/>
          </w:tcPr>
          <w:p w14:paraId="431AE760">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性质关键字+厚度</w:t>
            </w:r>
          </w:p>
        </w:tc>
        <w:tc>
          <w:tcPr>
            <w:tcW w:w="685" w:type="pct"/>
            <w:noWrap w:val="0"/>
            <w:tcMar>
              <w:top w:w="57" w:type="dxa"/>
              <w:left w:w="113" w:type="dxa"/>
              <w:bottom w:w="57" w:type="dxa"/>
              <w:right w:w="113" w:type="dxa"/>
            </w:tcMar>
            <w:vAlign w:val="center"/>
          </w:tcPr>
          <w:p w14:paraId="683E3A50">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上人屋面、不上人屋面</w:t>
            </w:r>
          </w:p>
        </w:tc>
        <w:tc>
          <w:tcPr>
            <w:tcW w:w="975" w:type="pct"/>
            <w:noWrap w:val="0"/>
            <w:tcMar>
              <w:top w:w="57" w:type="dxa"/>
              <w:left w:w="113" w:type="dxa"/>
              <w:bottom w:w="57" w:type="dxa"/>
              <w:right w:w="113" w:type="dxa"/>
            </w:tcMar>
            <w:vAlign w:val="center"/>
          </w:tcPr>
          <w:p w14:paraId="63E7F94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上人屋面_200</w:t>
            </w:r>
          </w:p>
        </w:tc>
        <w:tc>
          <w:tcPr>
            <w:tcW w:w="1767" w:type="pct"/>
            <w:noWrap w:val="0"/>
            <w:tcMar>
              <w:top w:w="57" w:type="dxa"/>
              <w:left w:w="113" w:type="dxa"/>
              <w:bottom w:w="57" w:type="dxa"/>
              <w:right w:w="113" w:type="dxa"/>
            </w:tcMar>
            <w:vAlign w:val="center"/>
          </w:tcPr>
          <w:p w14:paraId="333DBF0B">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10E2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452BF0A1">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3853E03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常规模型</w:t>
            </w:r>
          </w:p>
        </w:tc>
        <w:tc>
          <w:tcPr>
            <w:tcW w:w="863" w:type="pct"/>
            <w:noWrap w:val="0"/>
            <w:tcMar>
              <w:top w:w="57" w:type="dxa"/>
              <w:left w:w="113" w:type="dxa"/>
              <w:bottom w:w="57" w:type="dxa"/>
              <w:right w:w="113" w:type="dxa"/>
            </w:tcMar>
            <w:vAlign w:val="center"/>
          </w:tcPr>
          <w:p w14:paraId="5B8E1C17">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性质关键字+图纸名称</w:t>
            </w:r>
          </w:p>
        </w:tc>
        <w:tc>
          <w:tcPr>
            <w:tcW w:w="685" w:type="pct"/>
            <w:noWrap w:val="0"/>
            <w:tcMar>
              <w:top w:w="57" w:type="dxa"/>
              <w:left w:w="113" w:type="dxa"/>
              <w:bottom w:w="57" w:type="dxa"/>
              <w:right w:w="113" w:type="dxa"/>
            </w:tcMar>
            <w:vAlign w:val="center"/>
          </w:tcPr>
          <w:p w14:paraId="5586DF6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汽油罐、加油机、液化石油气储罐</w:t>
            </w:r>
          </w:p>
        </w:tc>
        <w:tc>
          <w:tcPr>
            <w:tcW w:w="975" w:type="pct"/>
            <w:noWrap w:val="0"/>
            <w:tcMar>
              <w:top w:w="57" w:type="dxa"/>
              <w:left w:w="113" w:type="dxa"/>
              <w:bottom w:w="57" w:type="dxa"/>
              <w:right w:w="113" w:type="dxa"/>
            </w:tcMar>
            <w:vAlign w:val="center"/>
          </w:tcPr>
          <w:p w14:paraId="4D9C3AB0">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汽油罐</w:t>
            </w:r>
          </w:p>
        </w:tc>
        <w:tc>
          <w:tcPr>
            <w:tcW w:w="1767" w:type="pct"/>
            <w:noWrap w:val="0"/>
            <w:tcMar>
              <w:top w:w="57" w:type="dxa"/>
              <w:left w:w="113" w:type="dxa"/>
              <w:bottom w:w="57" w:type="dxa"/>
              <w:right w:w="113" w:type="dxa"/>
            </w:tcMar>
            <w:vAlign w:val="center"/>
          </w:tcPr>
          <w:p w14:paraId="4A39520E">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楼层</w:t>
            </w:r>
          </w:p>
        </w:tc>
      </w:tr>
      <w:tr w14:paraId="6ECC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543C6F01">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6DF284C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压顶</w:t>
            </w:r>
          </w:p>
        </w:tc>
        <w:tc>
          <w:tcPr>
            <w:tcW w:w="863" w:type="pct"/>
            <w:noWrap w:val="0"/>
            <w:tcMar>
              <w:top w:w="57" w:type="dxa"/>
              <w:left w:w="113" w:type="dxa"/>
              <w:bottom w:w="57" w:type="dxa"/>
              <w:right w:w="113" w:type="dxa"/>
            </w:tcMar>
            <w:vAlign w:val="center"/>
          </w:tcPr>
          <w:p w14:paraId="40843195">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性质关键字+图纸名称</w:t>
            </w:r>
          </w:p>
        </w:tc>
        <w:tc>
          <w:tcPr>
            <w:tcW w:w="685" w:type="pct"/>
            <w:noWrap w:val="0"/>
            <w:tcMar>
              <w:top w:w="57" w:type="dxa"/>
              <w:left w:w="113" w:type="dxa"/>
              <w:bottom w:w="57" w:type="dxa"/>
              <w:right w:w="113" w:type="dxa"/>
            </w:tcMar>
            <w:vAlign w:val="center"/>
          </w:tcPr>
          <w:p w14:paraId="5D85948F">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2023C056">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压顶_YD01</w:t>
            </w:r>
          </w:p>
        </w:tc>
        <w:tc>
          <w:tcPr>
            <w:tcW w:w="1767" w:type="pct"/>
            <w:noWrap w:val="0"/>
            <w:tcMar>
              <w:top w:w="57" w:type="dxa"/>
              <w:left w:w="113" w:type="dxa"/>
              <w:bottom w:w="57" w:type="dxa"/>
              <w:right w:w="113" w:type="dxa"/>
            </w:tcMar>
            <w:vAlign w:val="center"/>
          </w:tcPr>
          <w:p w14:paraId="37C091E7">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619E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2DD552A1">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7C61C547">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栏杆扶手</w:t>
            </w:r>
          </w:p>
        </w:tc>
        <w:tc>
          <w:tcPr>
            <w:tcW w:w="863" w:type="pct"/>
            <w:noWrap w:val="0"/>
            <w:tcMar>
              <w:top w:w="57" w:type="dxa"/>
              <w:left w:w="113" w:type="dxa"/>
              <w:bottom w:w="57" w:type="dxa"/>
              <w:right w:w="113" w:type="dxa"/>
            </w:tcMar>
            <w:vAlign w:val="center"/>
          </w:tcPr>
          <w:p w14:paraId="59024FB9">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性质关键字+图纸名称+高度</w:t>
            </w:r>
          </w:p>
        </w:tc>
        <w:tc>
          <w:tcPr>
            <w:tcW w:w="685" w:type="pct"/>
            <w:noWrap w:val="0"/>
            <w:tcMar>
              <w:top w:w="57" w:type="dxa"/>
              <w:left w:w="113" w:type="dxa"/>
              <w:bottom w:w="57" w:type="dxa"/>
              <w:right w:w="113" w:type="dxa"/>
            </w:tcMar>
            <w:vAlign w:val="center"/>
          </w:tcPr>
          <w:p w14:paraId="2278D343">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1FCD5E3A">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栏杆扶手_FS01_1200</w:t>
            </w:r>
          </w:p>
        </w:tc>
        <w:tc>
          <w:tcPr>
            <w:tcW w:w="1767" w:type="pct"/>
            <w:noWrap w:val="0"/>
            <w:tcMar>
              <w:top w:w="57" w:type="dxa"/>
              <w:left w:w="113" w:type="dxa"/>
              <w:bottom w:w="57" w:type="dxa"/>
              <w:right w:w="113" w:type="dxa"/>
            </w:tcMar>
            <w:vAlign w:val="center"/>
          </w:tcPr>
          <w:p w14:paraId="6CF4305D">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材质（混凝土类型等级）、楼层</w:t>
            </w:r>
          </w:p>
        </w:tc>
      </w:tr>
      <w:tr w14:paraId="644C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restart"/>
            <w:noWrap w:val="0"/>
            <w:tcMar>
              <w:top w:w="57" w:type="dxa"/>
              <w:left w:w="113" w:type="dxa"/>
              <w:bottom w:w="57" w:type="dxa"/>
              <w:right w:w="113" w:type="dxa"/>
            </w:tcMar>
            <w:vAlign w:val="center"/>
          </w:tcPr>
          <w:p w14:paraId="0963410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普通装饰</w:t>
            </w:r>
          </w:p>
        </w:tc>
        <w:tc>
          <w:tcPr>
            <w:tcW w:w="468" w:type="pct"/>
            <w:noWrap w:val="0"/>
            <w:tcMar>
              <w:top w:w="57" w:type="dxa"/>
              <w:left w:w="113" w:type="dxa"/>
              <w:bottom w:w="57" w:type="dxa"/>
              <w:right w:w="113" w:type="dxa"/>
            </w:tcMar>
            <w:vAlign w:val="center"/>
          </w:tcPr>
          <w:p w14:paraId="5B165312">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地面装饰</w:t>
            </w:r>
          </w:p>
        </w:tc>
        <w:tc>
          <w:tcPr>
            <w:tcW w:w="863" w:type="pct"/>
            <w:noWrap w:val="0"/>
            <w:tcMar>
              <w:top w:w="57" w:type="dxa"/>
              <w:left w:w="113" w:type="dxa"/>
              <w:bottom w:w="57" w:type="dxa"/>
              <w:right w:w="113" w:type="dxa"/>
            </w:tcMar>
            <w:vAlign w:val="center"/>
          </w:tcPr>
          <w:p w14:paraId="5B5DAC9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房间名称+图纸名称</w:t>
            </w:r>
          </w:p>
        </w:tc>
        <w:tc>
          <w:tcPr>
            <w:tcW w:w="685" w:type="pct"/>
            <w:noWrap w:val="0"/>
            <w:tcMar>
              <w:top w:w="57" w:type="dxa"/>
              <w:left w:w="113" w:type="dxa"/>
              <w:bottom w:w="57" w:type="dxa"/>
              <w:right w:w="113" w:type="dxa"/>
            </w:tcMar>
            <w:vAlign w:val="center"/>
          </w:tcPr>
          <w:p w14:paraId="24E74176">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6D7F7D8D">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电梯间_楼地面LDM01</w:t>
            </w:r>
          </w:p>
        </w:tc>
        <w:tc>
          <w:tcPr>
            <w:tcW w:w="1767" w:type="pct"/>
            <w:noWrap w:val="0"/>
            <w:tcMar>
              <w:top w:w="57" w:type="dxa"/>
              <w:left w:w="113" w:type="dxa"/>
              <w:bottom w:w="57" w:type="dxa"/>
              <w:right w:w="113" w:type="dxa"/>
            </w:tcMar>
            <w:vAlign w:val="center"/>
          </w:tcPr>
          <w:p w14:paraId="72A1B416">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材质、楼层</w:t>
            </w:r>
          </w:p>
        </w:tc>
      </w:tr>
      <w:tr w14:paraId="61EF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18DB1DA9">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63280649">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墙面装饰</w:t>
            </w:r>
          </w:p>
        </w:tc>
        <w:tc>
          <w:tcPr>
            <w:tcW w:w="863" w:type="pct"/>
            <w:noWrap w:val="0"/>
            <w:tcMar>
              <w:top w:w="57" w:type="dxa"/>
              <w:left w:w="113" w:type="dxa"/>
              <w:bottom w:w="57" w:type="dxa"/>
              <w:right w:w="113" w:type="dxa"/>
            </w:tcMar>
            <w:vAlign w:val="center"/>
          </w:tcPr>
          <w:p w14:paraId="331942BE">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房间名称+图纸名称</w:t>
            </w:r>
          </w:p>
        </w:tc>
        <w:tc>
          <w:tcPr>
            <w:tcW w:w="685" w:type="pct"/>
            <w:noWrap w:val="0"/>
            <w:tcMar>
              <w:top w:w="57" w:type="dxa"/>
              <w:left w:w="113" w:type="dxa"/>
              <w:bottom w:w="57" w:type="dxa"/>
              <w:right w:w="113" w:type="dxa"/>
            </w:tcMar>
            <w:vAlign w:val="center"/>
          </w:tcPr>
          <w:p w14:paraId="635D2B9E">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7C72E14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电梯间_踢脚TJX01</w:t>
            </w:r>
          </w:p>
          <w:p w14:paraId="564D4E7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电梯间_墙裙QQ01</w:t>
            </w:r>
          </w:p>
          <w:p w14:paraId="350348AC">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电梯间_墙面QM01</w:t>
            </w:r>
          </w:p>
        </w:tc>
        <w:tc>
          <w:tcPr>
            <w:tcW w:w="1767" w:type="pct"/>
            <w:noWrap w:val="0"/>
            <w:tcMar>
              <w:top w:w="57" w:type="dxa"/>
              <w:left w:w="113" w:type="dxa"/>
              <w:bottom w:w="57" w:type="dxa"/>
              <w:right w:w="113" w:type="dxa"/>
            </w:tcMar>
            <w:vAlign w:val="center"/>
          </w:tcPr>
          <w:p w14:paraId="58DFA599">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材质、是否独立柱墙面、楼层</w:t>
            </w:r>
          </w:p>
        </w:tc>
      </w:tr>
      <w:tr w14:paraId="7E6D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4F36446E">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57A0DDB7">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天棚装饰</w:t>
            </w:r>
          </w:p>
        </w:tc>
        <w:tc>
          <w:tcPr>
            <w:tcW w:w="863" w:type="pct"/>
            <w:noWrap w:val="0"/>
            <w:tcMar>
              <w:top w:w="57" w:type="dxa"/>
              <w:left w:w="113" w:type="dxa"/>
              <w:bottom w:w="57" w:type="dxa"/>
              <w:right w:w="113" w:type="dxa"/>
            </w:tcMar>
            <w:vAlign w:val="center"/>
          </w:tcPr>
          <w:p w14:paraId="6DBEC18A">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房间名称+图纸名称</w:t>
            </w:r>
          </w:p>
        </w:tc>
        <w:tc>
          <w:tcPr>
            <w:tcW w:w="685" w:type="pct"/>
            <w:noWrap w:val="0"/>
            <w:tcMar>
              <w:top w:w="57" w:type="dxa"/>
              <w:left w:w="113" w:type="dxa"/>
              <w:bottom w:w="57" w:type="dxa"/>
              <w:right w:w="113" w:type="dxa"/>
            </w:tcMar>
            <w:vAlign w:val="center"/>
          </w:tcPr>
          <w:p w14:paraId="4D355096">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7054C71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电梯间_天棚TP01</w:t>
            </w:r>
          </w:p>
          <w:p w14:paraId="359CF0DE">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电梯间_吊顶DD01</w:t>
            </w:r>
          </w:p>
        </w:tc>
        <w:tc>
          <w:tcPr>
            <w:tcW w:w="1767" w:type="pct"/>
            <w:noWrap w:val="0"/>
            <w:tcMar>
              <w:top w:w="57" w:type="dxa"/>
              <w:left w:w="113" w:type="dxa"/>
              <w:bottom w:w="57" w:type="dxa"/>
              <w:right w:w="113" w:type="dxa"/>
            </w:tcMar>
            <w:vAlign w:val="center"/>
          </w:tcPr>
          <w:p w14:paraId="1E08BE0B">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材质、楼层</w:t>
            </w:r>
          </w:p>
        </w:tc>
      </w:tr>
      <w:tr w14:paraId="7311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3D0917EE">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704E6C42">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其他面层装饰</w:t>
            </w:r>
          </w:p>
        </w:tc>
        <w:tc>
          <w:tcPr>
            <w:tcW w:w="863" w:type="pct"/>
            <w:noWrap w:val="0"/>
            <w:tcMar>
              <w:top w:w="57" w:type="dxa"/>
              <w:left w:w="113" w:type="dxa"/>
              <w:bottom w:w="57" w:type="dxa"/>
              <w:right w:w="113" w:type="dxa"/>
            </w:tcMar>
            <w:vAlign w:val="center"/>
          </w:tcPr>
          <w:p w14:paraId="52AC9D8A">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空间位置+图纸名称</w:t>
            </w:r>
          </w:p>
        </w:tc>
        <w:tc>
          <w:tcPr>
            <w:tcW w:w="685" w:type="pct"/>
            <w:noWrap w:val="0"/>
            <w:tcMar>
              <w:top w:w="57" w:type="dxa"/>
              <w:left w:w="113" w:type="dxa"/>
              <w:bottom w:w="57" w:type="dxa"/>
              <w:right w:w="113" w:type="dxa"/>
            </w:tcMar>
            <w:vAlign w:val="center"/>
          </w:tcPr>
          <w:p w14:paraId="5C0CDE96">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2D2DA5BC">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梯屋外_墙面QM01</w:t>
            </w:r>
          </w:p>
        </w:tc>
        <w:tc>
          <w:tcPr>
            <w:tcW w:w="1767" w:type="pct"/>
            <w:noWrap w:val="0"/>
            <w:tcMar>
              <w:top w:w="57" w:type="dxa"/>
              <w:left w:w="113" w:type="dxa"/>
              <w:bottom w:w="57" w:type="dxa"/>
              <w:right w:w="113" w:type="dxa"/>
            </w:tcMar>
            <w:vAlign w:val="center"/>
          </w:tcPr>
          <w:p w14:paraId="416E2EC8">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材质、楼层</w:t>
            </w:r>
          </w:p>
        </w:tc>
      </w:tr>
      <w:tr w14:paraId="1335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noWrap w:val="0"/>
            <w:tcMar>
              <w:top w:w="57" w:type="dxa"/>
              <w:left w:w="113" w:type="dxa"/>
              <w:bottom w:w="57" w:type="dxa"/>
              <w:right w:w="113" w:type="dxa"/>
            </w:tcMar>
            <w:vAlign w:val="center"/>
          </w:tcPr>
          <w:p w14:paraId="3394137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钢结构</w:t>
            </w:r>
          </w:p>
        </w:tc>
        <w:tc>
          <w:tcPr>
            <w:tcW w:w="468" w:type="pct"/>
            <w:noWrap w:val="0"/>
            <w:tcMar>
              <w:top w:w="57" w:type="dxa"/>
              <w:left w:w="113" w:type="dxa"/>
              <w:bottom w:w="57" w:type="dxa"/>
              <w:right w:w="113" w:type="dxa"/>
            </w:tcMar>
            <w:vAlign w:val="center"/>
          </w:tcPr>
          <w:p w14:paraId="68D4126E">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钢结构</w:t>
            </w:r>
          </w:p>
        </w:tc>
        <w:tc>
          <w:tcPr>
            <w:tcW w:w="863" w:type="pct"/>
            <w:noWrap w:val="0"/>
            <w:tcMar>
              <w:top w:w="57" w:type="dxa"/>
              <w:left w:w="113" w:type="dxa"/>
              <w:bottom w:w="57" w:type="dxa"/>
              <w:right w:w="113" w:type="dxa"/>
            </w:tcMar>
            <w:vAlign w:val="center"/>
          </w:tcPr>
          <w:p w14:paraId="19ABEF77">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楼层+部位+图纸名称</w:t>
            </w:r>
          </w:p>
        </w:tc>
        <w:tc>
          <w:tcPr>
            <w:tcW w:w="685" w:type="pct"/>
            <w:noWrap w:val="0"/>
            <w:tcMar>
              <w:top w:w="57" w:type="dxa"/>
              <w:left w:w="113" w:type="dxa"/>
              <w:bottom w:w="57" w:type="dxa"/>
              <w:right w:w="113" w:type="dxa"/>
            </w:tcMar>
            <w:vAlign w:val="center"/>
          </w:tcPr>
          <w:p w14:paraId="3A3E15BA">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975" w:type="pct"/>
            <w:noWrap w:val="0"/>
            <w:tcMar>
              <w:top w:w="57" w:type="dxa"/>
              <w:left w:w="113" w:type="dxa"/>
              <w:bottom w:w="57" w:type="dxa"/>
              <w:right w:w="113" w:type="dxa"/>
            </w:tcMar>
            <w:vAlign w:val="center"/>
          </w:tcPr>
          <w:p w14:paraId="6E38BBA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0F_钢梁_GL1</w:t>
            </w:r>
          </w:p>
        </w:tc>
        <w:tc>
          <w:tcPr>
            <w:tcW w:w="1767" w:type="pct"/>
            <w:noWrap w:val="0"/>
            <w:tcMar>
              <w:top w:w="57" w:type="dxa"/>
              <w:left w:w="113" w:type="dxa"/>
              <w:bottom w:w="57" w:type="dxa"/>
              <w:right w:w="113" w:type="dxa"/>
            </w:tcMar>
            <w:vAlign w:val="center"/>
          </w:tcPr>
          <w:p w14:paraId="1E82C77F">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材质</w:t>
            </w:r>
          </w:p>
        </w:tc>
      </w:tr>
      <w:tr w14:paraId="083C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restart"/>
            <w:noWrap w:val="0"/>
            <w:tcMar>
              <w:top w:w="57" w:type="dxa"/>
              <w:left w:w="113" w:type="dxa"/>
              <w:bottom w:w="57" w:type="dxa"/>
              <w:right w:w="113" w:type="dxa"/>
            </w:tcMar>
            <w:vAlign w:val="center"/>
          </w:tcPr>
          <w:p w14:paraId="6ED1EC13">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机电</w:t>
            </w:r>
          </w:p>
        </w:tc>
        <w:tc>
          <w:tcPr>
            <w:tcW w:w="468" w:type="pct"/>
            <w:noWrap w:val="0"/>
            <w:tcMar>
              <w:top w:w="57" w:type="dxa"/>
              <w:left w:w="113" w:type="dxa"/>
              <w:bottom w:w="57" w:type="dxa"/>
              <w:right w:w="113" w:type="dxa"/>
            </w:tcMar>
            <w:vAlign w:val="center"/>
          </w:tcPr>
          <w:p w14:paraId="30A84DA0">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管道</w:t>
            </w:r>
          </w:p>
        </w:tc>
        <w:tc>
          <w:tcPr>
            <w:tcW w:w="863" w:type="pct"/>
            <w:noWrap w:val="0"/>
            <w:tcMar>
              <w:top w:w="57" w:type="dxa"/>
              <w:left w:w="113" w:type="dxa"/>
              <w:bottom w:w="57" w:type="dxa"/>
              <w:right w:w="113" w:type="dxa"/>
            </w:tcMar>
            <w:vAlign w:val="center"/>
          </w:tcPr>
          <w:p w14:paraId="190AC73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系统类型</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类型名称</w:t>
            </w:r>
          </w:p>
        </w:tc>
        <w:tc>
          <w:tcPr>
            <w:tcW w:w="685" w:type="pct"/>
            <w:noWrap w:val="0"/>
            <w:tcMar>
              <w:top w:w="57" w:type="dxa"/>
              <w:left w:w="113" w:type="dxa"/>
              <w:bottom w:w="57" w:type="dxa"/>
              <w:right w:w="113" w:type="dxa"/>
            </w:tcMar>
            <w:vAlign w:val="center"/>
          </w:tcPr>
          <w:p w14:paraId="4AD60E37">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喷淋、泡沫、消火栓、给水、污水、废水、雨水等</w:t>
            </w:r>
          </w:p>
        </w:tc>
        <w:tc>
          <w:tcPr>
            <w:tcW w:w="975" w:type="pct"/>
            <w:noWrap w:val="0"/>
            <w:tcMar>
              <w:top w:w="57" w:type="dxa"/>
              <w:left w:w="113" w:type="dxa"/>
              <w:bottom w:w="57" w:type="dxa"/>
              <w:right w:w="113" w:type="dxa"/>
            </w:tcMar>
            <w:vAlign w:val="center"/>
          </w:tcPr>
          <w:p w14:paraId="55D59A0D">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消火栓_热镀锌钢管</w:t>
            </w:r>
          </w:p>
        </w:tc>
        <w:tc>
          <w:tcPr>
            <w:tcW w:w="1767" w:type="pct"/>
            <w:noWrap w:val="0"/>
            <w:tcMar>
              <w:top w:w="57" w:type="dxa"/>
              <w:left w:w="113" w:type="dxa"/>
              <w:bottom w:w="57" w:type="dxa"/>
              <w:right w:w="113" w:type="dxa"/>
            </w:tcMar>
            <w:vAlign w:val="center"/>
          </w:tcPr>
          <w:p w14:paraId="7DAA8385">
            <w:pPr>
              <w:spacing w:before="120" w:after="120" w:line="312" w:lineRule="auto"/>
              <w:ind w:firstLine="0" w:firstLineChars="0"/>
              <w:jc w:val="left"/>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类型名称</w:t>
            </w: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楼层</w:t>
            </w: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系统类型</w:t>
            </w:r>
            <w:r>
              <w:rPr>
                <w:rFonts w:hint="eastAsia" w:ascii="宋体" w:hAnsi="宋体" w:eastAsia="宋体" w:cs="宋体"/>
                <w:color w:val="auto"/>
                <w:sz w:val="18"/>
                <w:szCs w:val="18"/>
                <w:highlight w:val="none"/>
                <w:lang w:eastAsia="en-US"/>
              </w:rPr>
              <w:t>、尺寸、连接方式</w:t>
            </w:r>
          </w:p>
        </w:tc>
      </w:tr>
      <w:tr w14:paraId="71D5E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5D5C1F48">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4F0E83BE">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管道附件</w:t>
            </w:r>
          </w:p>
        </w:tc>
        <w:tc>
          <w:tcPr>
            <w:tcW w:w="863" w:type="pct"/>
            <w:noWrap w:val="0"/>
            <w:tcMar>
              <w:top w:w="57" w:type="dxa"/>
              <w:left w:w="113" w:type="dxa"/>
              <w:bottom w:w="57" w:type="dxa"/>
              <w:right w:w="113" w:type="dxa"/>
            </w:tcMar>
            <w:vAlign w:val="center"/>
          </w:tcPr>
          <w:p w14:paraId="7ED1FC27">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类型属性/类型</w:t>
            </w:r>
          </w:p>
        </w:tc>
        <w:tc>
          <w:tcPr>
            <w:tcW w:w="685" w:type="pct"/>
            <w:noWrap w:val="0"/>
            <w:tcMar>
              <w:top w:w="57" w:type="dxa"/>
              <w:left w:w="113" w:type="dxa"/>
              <w:bottom w:w="57" w:type="dxa"/>
              <w:right w:w="113" w:type="dxa"/>
            </w:tcMar>
            <w:vAlign w:val="center"/>
          </w:tcPr>
          <w:p w14:paraId="1D9D8E8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阀、表</w:t>
            </w:r>
          </w:p>
        </w:tc>
        <w:tc>
          <w:tcPr>
            <w:tcW w:w="975" w:type="pct"/>
            <w:noWrap w:val="0"/>
            <w:tcMar>
              <w:top w:w="57" w:type="dxa"/>
              <w:left w:w="113" w:type="dxa"/>
              <w:bottom w:w="57" w:type="dxa"/>
              <w:right w:w="113" w:type="dxa"/>
            </w:tcMar>
            <w:vAlign w:val="center"/>
          </w:tcPr>
          <w:p w14:paraId="4C3BADB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止回阀</w:t>
            </w:r>
          </w:p>
        </w:tc>
        <w:tc>
          <w:tcPr>
            <w:tcW w:w="1767" w:type="pct"/>
            <w:noWrap w:val="0"/>
            <w:tcMar>
              <w:top w:w="57" w:type="dxa"/>
              <w:left w:w="113" w:type="dxa"/>
              <w:bottom w:w="57" w:type="dxa"/>
              <w:right w:w="113" w:type="dxa"/>
            </w:tcMar>
            <w:vAlign w:val="center"/>
          </w:tcPr>
          <w:p w14:paraId="51017C93">
            <w:pPr>
              <w:spacing w:before="120" w:after="120" w:line="312" w:lineRule="auto"/>
              <w:ind w:firstLine="0" w:firstLineChars="0"/>
              <w:jc w:val="left"/>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类型名称</w:t>
            </w: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楼层</w:t>
            </w: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系统类型</w:t>
            </w:r>
            <w:r>
              <w:rPr>
                <w:rFonts w:hint="eastAsia" w:ascii="宋体" w:hAnsi="宋体" w:eastAsia="宋体" w:cs="宋体"/>
                <w:color w:val="auto"/>
                <w:sz w:val="18"/>
                <w:szCs w:val="18"/>
                <w:highlight w:val="none"/>
                <w:lang w:eastAsia="en-US"/>
              </w:rPr>
              <w:t>、尺寸、连接方式</w:t>
            </w:r>
          </w:p>
        </w:tc>
      </w:tr>
      <w:tr w14:paraId="5AF1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0C99F032">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0E6BF8C6">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风管</w:t>
            </w:r>
          </w:p>
        </w:tc>
        <w:tc>
          <w:tcPr>
            <w:tcW w:w="863" w:type="pct"/>
            <w:noWrap w:val="0"/>
            <w:tcMar>
              <w:top w:w="57" w:type="dxa"/>
              <w:left w:w="113" w:type="dxa"/>
              <w:bottom w:w="57" w:type="dxa"/>
              <w:right w:w="113" w:type="dxa"/>
            </w:tcMar>
            <w:vAlign w:val="center"/>
          </w:tcPr>
          <w:p w14:paraId="6FE09335">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系统类型</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类型名称</w:t>
            </w:r>
          </w:p>
        </w:tc>
        <w:tc>
          <w:tcPr>
            <w:tcW w:w="685" w:type="pct"/>
            <w:noWrap w:val="0"/>
            <w:tcMar>
              <w:top w:w="57" w:type="dxa"/>
              <w:left w:w="113" w:type="dxa"/>
              <w:bottom w:w="57" w:type="dxa"/>
              <w:right w:w="113" w:type="dxa"/>
            </w:tcMar>
            <w:vAlign w:val="center"/>
          </w:tcPr>
          <w:p w14:paraId="6F7707A9">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送风、排风、排烟等</w:t>
            </w:r>
          </w:p>
        </w:tc>
        <w:tc>
          <w:tcPr>
            <w:tcW w:w="975" w:type="pct"/>
            <w:noWrap w:val="0"/>
            <w:tcMar>
              <w:top w:w="57" w:type="dxa"/>
              <w:left w:w="113" w:type="dxa"/>
              <w:bottom w:w="57" w:type="dxa"/>
              <w:right w:w="113" w:type="dxa"/>
            </w:tcMar>
            <w:vAlign w:val="center"/>
          </w:tcPr>
          <w:p w14:paraId="6F9B5FA3">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送风_薄钢板风管</w:t>
            </w:r>
          </w:p>
        </w:tc>
        <w:tc>
          <w:tcPr>
            <w:tcW w:w="1767" w:type="pct"/>
            <w:noWrap w:val="0"/>
            <w:tcMar>
              <w:top w:w="57" w:type="dxa"/>
              <w:left w:w="113" w:type="dxa"/>
              <w:bottom w:w="57" w:type="dxa"/>
              <w:right w:w="113" w:type="dxa"/>
            </w:tcMar>
            <w:vAlign w:val="center"/>
          </w:tcPr>
          <w:p w14:paraId="6AD25A6D">
            <w:pPr>
              <w:spacing w:before="120" w:after="120" w:line="312" w:lineRule="auto"/>
              <w:ind w:firstLine="0" w:firstLineChars="0"/>
              <w:jc w:val="left"/>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类型名称</w:t>
            </w: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楼层</w:t>
            </w: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系统类型</w:t>
            </w:r>
            <w:r>
              <w:rPr>
                <w:rFonts w:hint="eastAsia" w:ascii="宋体" w:hAnsi="宋体" w:eastAsia="宋体" w:cs="宋体"/>
                <w:color w:val="auto"/>
                <w:sz w:val="18"/>
                <w:szCs w:val="18"/>
                <w:highlight w:val="none"/>
                <w:lang w:eastAsia="en-US"/>
              </w:rPr>
              <w:t>、尺寸、连接方式</w:t>
            </w:r>
          </w:p>
        </w:tc>
      </w:tr>
      <w:tr w14:paraId="713C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7F827E29">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17926022">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风管附件</w:t>
            </w:r>
          </w:p>
        </w:tc>
        <w:tc>
          <w:tcPr>
            <w:tcW w:w="863" w:type="pct"/>
            <w:noWrap w:val="0"/>
            <w:tcMar>
              <w:top w:w="57" w:type="dxa"/>
              <w:left w:w="113" w:type="dxa"/>
              <w:bottom w:w="57" w:type="dxa"/>
              <w:right w:w="113" w:type="dxa"/>
            </w:tcMar>
            <w:vAlign w:val="center"/>
          </w:tcPr>
          <w:p w14:paraId="22A86701">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类型属性/类型</w:t>
            </w:r>
          </w:p>
        </w:tc>
        <w:tc>
          <w:tcPr>
            <w:tcW w:w="685" w:type="pct"/>
            <w:noWrap w:val="0"/>
            <w:tcMar>
              <w:top w:w="57" w:type="dxa"/>
              <w:left w:w="113" w:type="dxa"/>
              <w:bottom w:w="57" w:type="dxa"/>
              <w:right w:w="113" w:type="dxa"/>
            </w:tcMar>
            <w:vAlign w:val="center"/>
          </w:tcPr>
          <w:p w14:paraId="48DD0EAA">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阀</w:t>
            </w:r>
          </w:p>
        </w:tc>
        <w:tc>
          <w:tcPr>
            <w:tcW w:w="975" w:type="pct"/>
            <w:noWrap w:val="0"/>
            <w:tcMar>
              <w:top w:w="57" w:type="dxa"/>
              <w:left w:w="113" w:type="dxa"/>
              <w:bottom w:w="57" w:type="dxa"/>
              <w:right w:w="113" w:type="dxa"/>
            </w:tcMar>
            <w:vAlign w:val="center"/>
          </w:tcPr>
          <w:p w14:paraId="00E1BCDC">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防火调节阀</w:t>
            </w:r>
          </w:p>
        </w:tc>
        <w:tc>
          <w:tcPr>
            <w:tcW w:w="1767" w:type="pct"/>
            <w:noWrap w:val="0"/>
            <w:tcMar>
              <w:top w:w="57" w:type="dxa"/>
              <w:left w:w="113" w:type="dxa"/>
              <w:bottom w:w="57" w:type="dxa"/>
              <w:right w:w="113" w:type="dxa"/>
            </w:tcMar>
            <w:vAlign w:val="center"/>
          </w:tcPr>
          <w:p w14:paraId="400CD097">
            <w:pPr>
              <w:spacing w:before="120" w:after="120" w:line="312" w:lineRule="auto"/>
              <w:ind w:firstLine="0" w:firstLineChars="0"/>
              <w:jc w:val="left"/>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类型名称</w:t>
            </w: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楼层</w:t>
            </w: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系统类型</w:t>
            </w:r>
            <w:r>
              <w:rPr>
                <w:rFonts w:hint="eastAsia" w:ascii="宋体" w:hAnsi="宋体" w:eastAsia="宋体" w:cs="宋体"/>
                <w:color w:val="auto"/>
                <w:sz w:val="18"/>
                <w:szCs w:val="18"/>
                <w:highlight w:val="none"/>
                <w:lang w:eastAsia="en-US"/>
              </w:rPr>
              <w:t>、尺寸</w:t>
            </w:r>
          </w:p>
        </w:tc>
      </w:tr>
      <w:tr w14:paraId="3936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6E62F2F8">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5C48BE5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风道末端</w:t>
            </w:r>
          </w:p>
        </w:tc>
        <w:tc>
          <w:tcPr>
            <w:tcW w:w="863" w:type="pct"/>
            <w:noWrap w:val="0"/>
            <w:tcMar>
              <w:top w:w="57" w:type="dxa"/>
              <w:left w:w="113" w:type="dxa"/>
              <w:bottom w:w="57" w:type="dxa"/>
              <w:right w:w="113" w:type="dxa"/>
            </w:tcMar>
            <w:vAlign w:val="center"/>
          </w:tcPr>
          <w:p w14:paraId="2CF01B9C">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类型属性/类型</w:t>
            </w:r>
          </w:p>
        </w:tc>
        <w:tc>
          <w:tcPr>
            <w:tcW w:w="685" w:type="pct"/>
            <w:noWrap w:val="0"/>
            <w:tcMar>
              <w:top w:w="57" w:type="dxa"/>
              <w:left w:w="113" w:type="dxa"/>
              <w:bottom w:w="57" w:type="dxa"/>
              <w:right w:w="113" w:type="dxa"/>
            </w:tcMar>
            <w:vAlign w:val="center"/>
          </w:tcPr>
          <w:p w14:paraId="380279B3">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风口</w:t>
            </w:r>
          </w:p>
        </w:tc>
        <w:tc>
          <w:tcPr>
            <w:tcW w:w="975" w:type="pct"/>
            <w:noWrap w:val="0"/>
            <w:tcMar>
              <w:top w:w="57" w:type="dxa"/>
              <w:left w:w="113" w:type="dxa"/>
              <w:bottom w:w="57" w:type="dxa"/>
              <w:right w:w="113" w:type="dxa"/>
            </w:tcMar>
            <w:vAlign w:val="center"/>
          </w:tcPr>
          <w:p w14:paraId="195B732D">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双层防雨百叶风口</w:t>
            </w:r>
          </w:p>
        </w:tc>
        <w:tc>
          <w:tcPr>
            <w:tcW w:w="1767" w:type="pct"/>
            <w:noWrap w:val="0"/>
            <w:tcMar>
              <w:top w:w="57" w:type="dxa"/>
              <w:left w:w="113" w:type="dxa"/>
              <w:bottom w:w="57" w:type="dxa"/>
              <w:right w:w="113" w:type="dxa"/>
            </w:tcMar>
            <w:vAlign w:val="center"/>
          </w:tcPr>
          <w:p w14:paraId="33E227AE">
            <w:pPr>
              <w:spacing w:before="120" w:after="120" w:line="312" w:lineRule="auto"/>
              <w:ind w:firstLine="0" w:firstLineChars="0"/>
              <w:jc w:val="left"/>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类型名称</w:t>
            </w: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楼层</w:t>
            </w: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系统类型</w:t>
            </w:r>
            <w:r>
              <w:rPr>
                <w:rFonts w:hint="eastAsia" w:ascii="宋体" w:hAnsi="宋体" w:eastAsia="宋体" w:cs="宋体"/>
                <w:color w:val="auto"/>
                <w:sz w:val="18"/>
                <w:szCs w:val="18"/>
                <w:highlight w:val="none"/>
                <w:lang w:eastAsia="en-US"/>
              </w:rPr>
              <w:t>、尺寸</w:t>
            </w:r>
          </w:p>
        </w:tc>
      </w:tr>
      <w:tr w14:paraId="752F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7D1DBD3C">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14A6A89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电缆桥架</w:t>
            </w:r>
          </w:p>
        </w:tc>
        <w:tc>
          <w:tcPr>
            <w:tcW w:w="863" w:type="pct"/>
            <w:noWrap w:val="0"/>
            <w:tcMar>
              <w:top w:w="57" w:type="dxa"/>
              <w:left w:w="113" w:type="dxa"/>
              <w:bottom w:w="57" w:type="dxa"/>
              <w:right w:w="113" w:type="dxa"/>
            </w:tcMar>
            <w:vAlign w:val="center"/>
          </w:tcPr>
          <w:p w14:paraId="2D863136">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类型属性/类型</w:t>
            </w:r>
          </w:p>
        </w:tc>
        <w:tc>
          <w:tcPr>
            <w:tcW w:w="685" w:type="pct"/>
            <w:noWrap w:val="0"/>
            <w:tcMar>
              <w:top w:w="57" w:type="dxa"/>
              <w:left w:w="113" w:type="dxa"/>
              <w:bottom w:w="57" w:type="dxa"/>
              <w:right w:w="113" w:type="dxa"/>
            </w:tcMar>
            <w:vAlign w:val="center"/>
          </w:tcPr>
          <w:p w14:paraId="132578D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桥架、线槽</w:t>
            </w:r>
          </w:p>
        </w:tc>
        <w:tc>
          <w:tcPr>
            <w:tcW w:w="975" w:type="pct"/>
            <w:noWrap w:val="0"/>
            <w:tcMar>
              <w:top w:w="57" w:type="dxa"/>
              <w:left w:w="113" w:type="dxa"/>
              <w:bottom w:w="57" w:type="dxa"/>
              <w:right w:w="113" w:type="dxa"/>
            </w:tcMar>
            <w:vAlign w:val="center"/>
          </w:tcPr>
          <w:p w14:paraId="2F7CC91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钢制消防桥架</w:t>
            </w:r>
          </w:p>
        </w:tc>
        <w:tc>
          <w:tcPr>
            <w:tcW w:w="1767" w:type="pct"/>
            <w:noWrap w:val="0"/>
            <w:tcMar>
              <w:top w:w="57" w:type="dxa"/>
              <w:left w:w="113" w:type="dxa"/>
              <w:bottom w:w="57" w:type="dxa"/>
              <w:right w:w="113" w:type="dxa"/>
            </w:tcMar>
            <w:vAlign w:val="center"/>
          </w:tcPr>
          <w:p w14:paraId="60549ADC">
            <w:pPr>
              <w:spacing w:before="120" w:after="120" w:line="312" w:lineRule="auto"/>
              <w:ind w:firstLine="0" w:firstLineChars="0"/>
              <w:jc w:val="left"/>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类型名称</w:t>
            </w:r>
            <w:r>
              <w:rPr>
                <w:rFonts w:hint="eastAsia" w:ascii="宋体" w:hAnsi="宋体" w:eastAsia="宋体" w:cs="宋体"/>
                <w:color w:val="auto"/>
                <w:sz w:val="18"/>
                <w:szCs w:val="18"/>
                <w:highlight w:val="none"/>
                <w:lang w:eastAsia="en-US"/>
              </w:rPr>
              <w:t>、尺寸</w:t>
            </w:r>
          </w:p>
        </w:tc>
      </w:tr>
      <w:tr w14:paraId="264F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5A13C4B8">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69052519">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线管（线缆）</w:t>
            </w:r>
          </w:p>
        </w:tc>
        <w:tc>
          <w:tcPr>
            <w:tcW w:w="863" w:type="pct"/>
            <w:noWrap w:val="0"/>
            <w:tcMar>
              <w:top w:w="57" w:type="dxa"/>
              <w:left w:w="113" w:type="dxa"/>
              <w:bottom w:w="57" w:type="dxa"/>
              <w:right w:w="113" w:type="dxa"/>
            </w:tcMar>
            <w:vAlign w:val="center"/>
          </w:tcPr>
          <w:p w14:paraId="6662E11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类型属性/类型</w:t>
            </w:r>
          </w:p>
        </w:tc>
        <w:tc>
          <w:tcPr>
            <w:tcW w:w="685" w:type="pct"/>
            <w:noWrap w:val="0"/>
            <w:tcMar>
              <w:top w:w="57" w:type="dxa"/>
              <w:left w:w="113" w:type="dxa"/>
              <w:bottom w:w="57" w:type="dxa"/>
              <w:right w:w="113" w:type="dxa"/>
            </w:tcMar>
            <w:vAlign w:val="center"/>
          </w:tcPr>
          <w:p w14:paraId="2A1E353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线管</w:t>
            </w:r>
          </w:p>
        </w:tc>
        <w:tc>
          <w:tcPr>
            <w:tcW w:w="975" w:type="pct"/>
            <w:noWrap w:val="0"/>
            <w:tcMar>
              <w:top w:w="57" w:type="dxa"/>
              <w:left w:w="113" w:type="dxa"/>
              <w:bottom w:w="57" w:type="dxa"/>
              <w:right w:w="113" w:type="dxa"/>
            </w:tcMar>
            <w:vAlign w:val="center"/>
          </w:tcPr>
          <w:p w14:paraId="18F91662">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镀锌电线管</w:t>
            </w:r>
          </w:p>
        </w:tc>
        <w:tc>
          <w:tcPr>
            <w:tcW w:w="1767" w:type="pct"/>
            <w:noWrap w:val="0"/>
            <w:tcMar>
              <w:top w:w="57" w:type="dxa"/>
              <w:left w:w="113" w:type="dxa"/>
              <w:bottom w:w="57" w:type="dxa"/>
              <w:right w:w="113" w:type="dxa"/>
            </w:tcMar>
            <w:vAlign w:val="center"/>
          </w:tcPr>
          <w:p w14:paraId="4590E44E">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尺寸、线缆规格型号、敷设方式</w:t>
            </w:r>
          </w:p>
        </w:tc>
      </w:tr>
      <w:tr w14:paraId="20E3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 w:type="pct"/>
            <w:vMerge w:val="continue"/>
            <w:noWrap w:val="0"/>
            <w:tcMar>
              <w:top w:w="57" w:type="dxa"/>
              <w:left w:w="113" w:type="dxa"/>
              <w:bottom w:w="57" w:type="dxa"/>
              <w:right w:w="113" w:type="dxa"/>
            </w:tcMar>
            <w:vAlign w:val="center"/>
          </w:tcPr>
          <w:p w14:paraId="73E18713">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468" w:type="pct"/>
            <w:noWrap w:val="0"/>
            <w:tcMar>
              <w:top w:w="57" w:type="dxa"/>
              <w:left w:w="113" w:type="dxa"/>
              <w:bottom w:w="57" w:type="dxa"/>
              <w:right w:w="113" w:type="dxa"/>
            </w:tcMar>
            <w:vAlign w:val="center"/>
          </w:tcPr>
          <w:p w14:paraId="2B7CCC6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设备、装置</w:t>
            </w:r>
          </w:p>
        </w:tc>
        <w:tc>
          <w:tcPr>
            <w:tcW w:w="863" w:type="pct"/>
            <w:noWrap w:val="0"/>
            <w:tcMar>
              <w:top w:w="57" w:type="dxa"/>
              <w:left w:w="113" w:type="dxa"/>
              <w:bottom w:w="57" w:type="dxa"/>
              <w:right w:w="113" w:type="dxa"/>
            </w:tcMar>
            <w:vAlign w:val="center"/>
          </w:tcPr>
          <w:p w14:paraId="0FEA4909">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类型属性/类型</w:t>
            </w:r>
          </w:p>
        </w:tc>
        <w:tc>
          <w:tcPr>
            <w:tcW w:w="685" w:type="pct"/>
            <w:noWrap w:val="0"/>
            <w:tcMar>
              <w:top w:w="57" w:type="dxa"/>
              <w:left w:w="113" w:type="dxa"/>
              <w:bottom w:w="57" w:type="dxa"/>
              <w:right w:w="113" w:type="dxa"/>
            </w:tcMar>
            <w:vAlign w:val="center"/>
          </w:tcPr>
          <w:p w14:paraId="53B31417">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泵、箱、风机等</w:t>
            </w:r>
          </w:p>
        </w:tc>
        <w:tc>
          <w:tcPr>
            <w:tcW w:w="975" w:type="pct"/>
            <w:noWrap w:val="0"/>
            <w:tcMar>
              <w:top w:w="57" w:type="dxa"/>
              <w:left w:w="113" w:type="dxa"/>
              <w:bottom w:w="57" w:type="dxa"/>
              <w:right w:w="113" w:type="dxa"/>
            </w:tcMar>
            <w:vAlign w:val="center"/>
          </w:tcPr>
          <w:p w14:paraId="23CAB2B5">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轴流排烟风机</w:t>
            </w:r>
          </w:p>
        </w:tc>
        <w:tc>
          <w:tcPr>
            <w:tcW w:w="1767" w:type="pct"/>
            <w:noWrap w:val="0"/>
            <w:tcMar>
              <w:top w:w="57" w:type="dxa"/>
              <w:left w:w="113" w:type="dxa"/>
              <w:bottom w:w="57" w:type="dxa"/>
              <w:right w:w="113" w:type="dxa"/>
            </w:tcMar>
            <w:vAlign w:val="center"/>
          </w:tcPr>
          <w:p w14:paraId="352115E7">
            <w:pPr>
              <w:spacing w:before="120" w:after="120" w:line="312" w:lineRule="auto"/>
              <w:ind w:firstLine="0" w:firstLineChars="0"/>
              <w:jc w:val="left"/>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图纸说明参数</w:t>
            </w:r>
          </w:p>
        </w:tc>
      </w:tr>
    </w:tbl>
    <w:p w14:paraId="005249BC">
      <w:pPr>
        <w:spacing w:before="120" w:after="120"/>
        <w:rPr>
          <w:color w:val="auto"/>
          <w:highlight w:val="none"/>
        </w:rPr>
      </w:pPr>
    </w:p>
    <w:p w14:paraId="214BDB3F">
      <w:pPr>
        <w:pStyle w:val="4"/>
        <w:tabs>
          <w:tab w:val="left" w:pos="0"/>
        </w:tabs>
        <w:spacing w:before="120" w:after="120"/>
        <w:rPr>
          <w:color w:val="auto"/>
          <w:highlight w:val="none"/>
        </w:rPr>
      </w:pPr>
      <w:r>
        <w:rPr>
          <w:color w:val="auto"/>
          <w:highlight w:val="none"/>
        </w:rPr>
        <w:t>模型材质命名</w:t>
      </w:r>
    </w:p>
    <w:p w14:paraId="59DFEA50">
      <w:pPr>
        <w:spacing w:before="120" w:after="120"/>
        <w:rPr>
          <w:color w:val="auto"/>
          <w:highlight w:val="none"/>
        </w:rPr>
      </w:pPr>
      <w:r>
        <w:rPr>
          <w:color w:val="auto"/>
          <w:highlight w:val="none"/>
        </w:rPr>
        <w:t>材质的命名分类清晰，便于查找，命名参考设置应由材质“类别”和“名称”的实际名称组成。</w:t>
      </w:r>
    </w:p>
    <w:p w14:paraId="798DE0B4">
      <w:pPr>
        <w:spacing w:before="120" w:after="120"/>
        <w:rPr>
          <w:color w:val="auto"/>
          <w:highlight w:val="none"/>
        </w:rPr>
      </w:pPr>
      <w:r>
        <w:rPr>
          <w:color w:val="auto"/>
          <w:highlight w:val="none"/>
        </w:rPr>
        <w:t>例如：玻璃—磨砂，现场浇筑混凝土—C30</w:t>
      </w:r>
    </w:p>
    <w:p w14:paraId="0173D39E">
      <w:pPr>
        <w:pStyle w:val="4"/>
        <w:tabs>
          <w:tab w:val="left" w:pos="0"/>
        </w:tabs>
        <w:spacing w:before="120" w:after="120"/>
        <w:rPr>
          <w:color w:val="auto"/>
          <w:highlight w:val="none"/>
        </w:rPr>
      </w:pPr>
      <w:r>
        <w:rPr>
          <w:color w:val="auto"/>
          <w:highlight w:val="none"/>
        </w:rPr>
        <w:t>模型楼层命名</w:t>
      </w:r>
    </w:p>
    <w:p w14:paraId="467894B9">
      <w:pPr>
        <w:spacing w:before="120" w:after="120"/>
        <w:rPr>
          <w:color w:val="auto"/>
          <w:highlight w:val="none"/>
        </w:rPr>
      </w:pPr>
      <w:r>
        <w:rPr>
          <w:color w:val="auto"/>
          <w:highlight w:val="none"/>
        </w:rPr>
        <w:t>楼层命名应与设计图纸保持一致。</w:t>
      </w:r>
    </w:p>
    <w:p w14:paraId="3F23893F">
      <w:pPr>
        <w:pStyle w:val="3"/>
        <w:tabs>
          <w:tab w:val="left" w:pos="0"/>
        </w:tabs>
        <w:rPr>
          <w:color w:val="auto"/>
          <w:highlight w:val="none"/>
        </w:rPr>
      </w:pPr>
      <w:bookmarkStart w:id="187" w:name="_Toc2221"/>
      <w:r>
        <w:rPr>
          <w:color w:val="auto"/>
          <w:highlight w:val="none"/>
        </w:rPr>
        <w:t>模型拆分管理</w:t>
      </w:r>
      <w:bookmarkEnd w:id="187"/>
    </w:p>
    <w:p w14:paraId="1D254D2F">
      <w:pPr>
        <w:pStyle w:val="4"/>
        <w:tabs>
          <w:tab w:val="left" w:pos="0"/>
        </w:tabs>
        <w:spacing w:before="120" w:after="120"/>
        <w:rPr>
          <w:color w:val="auto"/>
          <w:highlight w:val="none"/>
        </w:rPr>
      </w:pPr>
      <w:r>
        <w:rPr>
          <w:color w:val="auto"/>
          <w:highlight w:val="none"/>
        </w:rPr>
        <w:t>设计应用的模型拆分宜按各个建筑的单体、专业、区域或楼层进行拆分，拆分原则如下：</w:t>
      </w:r>
    </w:p>
    <w:p w14:paraId="45DBE7E3">
      <w:pPr>
        <w:spacing w:before="120" w:after="120"/>
        <w:rPr>
          <w:color w:val="auto"/>
          <w:highlight w:val="none"/>
        </w:rPr>
      </w:pPr>
      <w:r>
        <w:rPr>
          <w:color w:val="auto"/>
          <w:highlight w:val="none"/>
        </w:rPr>
        <w:t>1. 按专业分类划分，项目模型按照专业分类进行划分。若有外立面幕墙部分，将作为子专业分离出来，相关模型保存在对应文件夹中。项目模型拆分专业为：土建（建筑结构），机电，幕墙外立面；</w:t>
      </w:r>
    </w:p>
    <w:p w14:paraId="64EE7731">
      <w:pPr>
        <w:spacing w:before="120" w:after="120"/>
        <w:rPr>
          <w:color w:val="auto"/>
          <w:highlight w:val="none"/>
        </w:rPr>
      </w:pPr>
      <w:r>
        <w:rPr>
          <w:color w:val="auto"/>
          <w:highlight w:val="none"/>
        </w:rPr>
        <w:t>2. 按楼层划分，各专业模型需按楼层进行划分；</w:t>
      </w:r>
    </w:p>
    <w:p w14:paraId="7C7954EE">
      <w:pPr>
        <w:spacing w:before="120" w:after="120"/>
        <w:rPr>
          <w:color w:val="auto"/>
          <w:highlight w:val="none"/>
        </w:rPr>
      </w:pPr>
      <w:r>
        <w:rPr>
          <w:color w:val="auto"/>
          <w:highlight w:val="none"/>
        </w:rPr>
        <w:t>3. 按机电系统划分，机电各专业在楼层的基础上还需按系统划分；</w:t>
      </w:r>
    </w:p>
    <w:p w14:paraId="1AFB6992">
      <w:pPr>
        <w:spacing w:before="120" w:after="120"/>
        <w:rPr>
          <w:color w:val="auto"/>
          <w:highlight w:val="none"/>
        </w:rPr>
      </w:pPr>
      <w:r>
        <w:rPr>
          <w:color w:val="auto"/>
          <w:highlight w:val="none"/>
        </w:rPr>
        <w:t>4. 按分包区域划分，在施工阶段应根据施工分包区域划分模型。</w:t>
      </w:r>
    </w:p>
    <w:p w14:paraId="155826DB">
      <w:pPr>
        <w:pStyle w:val="401"/>
        <w:rPr>
          <w:color w:val="auto"/>
          <w:highlight w:val="none"/>
        </w:rPr>
      </w:pPr>
      <w:r>
        <w:rPr>
          <w:color w:val="auto"/>
          <w:highlight w:val="none"/>
        </w:rPr>
        <w:t>表2.3.1  设计应用模型拆分示意</w:t>
      </w:r>
    </w:p>
    <w:tbl>
      <w:tblPr>
        <w:tblStyle w:val="519"/>
        <w:tblW w:w="4999" w:type="pct"/>
        <w:tblInd w:w="0" w:type="dxa"/>
        <w:tblLayout w:type="autofit"/>
        <w:tblCellMar>
          <w:top w:w="0" w:type="dxa"/>
          <w:left w:w="0" w:type="dxa"/>
          <w:bottom w:w="0" w:type="dxa"/>
          <w:right w:w="0" w:type="dxa"/>
        </w:tblCellMar>
      </w:tblPr>
      <w:tblGrid>
        <w:gridCol w:w="637"/>
        <w:gridCol w:w="1202"/>
        <w:gridCol w:w="6695"/>
      </w:tblGrid>
      <w:tr w14:paraId="17A21C3D">
        <w:tblPrEx>
          <w:tblCellMar>
            <w:top w:w="0" w:type="dxa"/>
            <w:left w:w="0" w:type="dxa"/>
            <w:bottom w:w="0" w:type="dxa"/>
            <w:right w:w="0" w:type="dxa"/>
          </w:tblCellMar>
        </w:tblPrEx>
        <w:trPr>
          <w:trHeight w:val="454" w:hRule="atLeast"/>
        </w:trPr>
        <w:tc>
          <w:tcPr>
            <w:tcW w:w="373"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14AD1C9">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序号</w:t>
            </w:r>
          </w:p>
        </w:tc>
        <w:tc>
          <w:tcPr>
            <w:tcW w:w="704"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34E345C">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专业</w:t>
            </w:r>
          </w:p>
        </w:tc>
        <w:tc>
          <w:tcPr>
            <w:tcW w:w="392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A103FC5">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模型拆分规则</w:t>
            </w:r>
          </w:p>
        </w:tc>
      </w:tr>
      <w:tr w14:paraId="467C3EEC">
        <w:tblPrEx>
          <w:tblCellMar>
            <w:top w:w="0" w:type="dxa"/>
            <w:left w:w="0" w:type="dxa"/>
            <w:bottom w:w="0" w:type="dxa"/>
            <w:right w:w="0" w:type="dxa"/>
          </w:tblCellMar>
        </w:tblPrEx>
        <w:trPr>
          <w:trHeight w:val="454" w:hRule="atLeast"/>
        </w:trPr>
        <w:tc>
          <w:tcPr>
            <w:tcW w:w="373"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76DAE51">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1</w:t>
            </w:r>
          </w:p>
        </w:tc>
        <w:tc>
          <w:tcPr>
            <w:tcW w:w="704"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F420F8E">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建筑</w:t>
            </w:r>
          </w:p>
        </w:tc>
        <w:tc>
          <w:tcPr>
            <w:tcW w:w="392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7A8EA5B">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按建筑、楼号、施工缝、构件功能分一个单体、一层楼层或多层楼层</w:t>
            </w:r>
          </w:p>
        </w:tc>
      </w:tr>
      <w:tr w14:paraId="1E2BB114">
        <w:tblPrEx>
          <w:tblCellMar>
            <w:top w:w="0" w:type="dxa"/>
            <w:left w:w="0" w:type="dxa"/>
            <w:bottom w:w="0" w:type="dxa"/>
            <w:right w:w="0" w:type="dxa"/>
          </w:tblCellMar>
        </w:tblPrEx>
        <w:trPr>
          <w:trHeight w:val="454" w:hRule="atLeast"/>
        </w:trPr>
        <w:tc>
          <w:tcPr>
            <w:tcW w:w="373"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AD3B3A1">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2</w:t>
            </w:r>
          </w:p>
        </w:tc>
        <w:tc>
          <w:tcPr>
            <w:tcW w:w="704"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BCD40E6">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结构</w:t>
            </w:r>
          </w:p>
        </w:tc>
        <w:tc>
          <w:tcPr>
            <w:tcW w:w="392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D282803">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按建筑、楼号、施工缝、构件功能分一个单体、一层楼层或多层楼层</w:t>
            </w:r>
          </w:p>
        </w:tc>
      </w:tr>
      <w:tr w14:paraId="7D4D4C9B">
        <w:tblPrEx>
          <w:tblCellMar>
            <w:top w:w="0" w:type="dxa"/>
            <w:left w:w="0" w:type="dxa"/>
            <w:bottom w:w="0" w:type="dxa"/>
            <w:right w:w="0" w:type="dxa"/>
          </w:tblCellMar>
        </w:tblPrEx>
        <w:trPr>
          <w:trHeight w:val="454" w:hRule="atLeast"/>
        </w:trPr>
        <w:tc>
          <w:tcPr>
            <w:tcW w:w="373"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F3BBE21">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3</w:t>
            </w:r>
          </w:p>
        </w:tc>
        <w:tc>
          <w:tcPr>
            <w:tcW w:w="704"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5C56E40">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机电</w:t>
            </w:r>
          </w:p>
        </w:tc>
        <w:tc>
          <w:tcPr>
            <w:tcW w:w="392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8A61603">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参照建筑专业拆分方式，根据系统、子系统可进一步细化</w:t>
            </w:r>
          </w:p>
        </w:tc>
      </w:tr>
    </w:tbl>
    <w:p w14:paraId="5C82EE3A">
      <w:pPr>
        <w:spacing w:before="120" w:after="120"/>
        <w:rPr>
          <w:color w:val="auto"/>
          <w:highlight w:val="none"/>
        </w:rPr>
      </w:pPr>
    </w:p>
    <w:p w14:paraId="4AB7131B">
      <w:pPr>
        <w:pStyle w:val="4"/>
        <w:tabs>
          <w:tab w:val="left" w:pos="0"/>
        </w:tabs>
        <w:spacing w:before="120" w:after="120"/>
        <w:rPr>
          <w:color w:val="auto"/>
          <w:highlight w:val="none"/>
        </w:rPr>
      </w:pPr>
      <w:r>
        <w:rPr>
          <w:color w:val="auto"/>
          <w:highlight w:val="none"/>
        </w:rPr>
        <w:t xml:space="preserve">造价应用的模型拆分宜按各个建筑的单项工程、单位工程进行拆分，拆分原则如下： </w:t>
      </w:r>
    </w:p>
    <w:p w14:paraId="4B615126">
      <w:pPr>
        <w:spacing w:before="120" w:after="120"/>
        <w:rPr>
          <w:color w:val="auto"/>
          <w:highlight w:val="none"/>
        </w:rPr>
      </w:pPr>
      <w:r>
        <w:rPr>
          <w:color w:val="auto"/>
          <w:highlight w:val="none"/>
        </w:rPr>
        <w:t>1. 按单项工程分类划分，项目模型按照合同清单文件中的单项工程分类进行划分，项目模型拆分单体为：1号楼工程</w:t>
      </w:r>
      <w:r>
        <w:rPr>
          <w:rFonts w:hint="eastAsia"/>
          <w:color w:val="auto"/>
          <w:highlight w:val="none"/>
        </w:rPr>
        <w:t>、</w:t>
      </w:r>
      <w:r>
        <w:rPr>
          <w:color w:val="auto"/>
          <w:highlight w:val="none"/>
        </w:rPr>
        <w:t>2号楼工程或建筑工程、机电工程</w:t>
      </w:r>
      <w:r>
        <w:rPr>
          <w:rFonts w:hint="eastAsia"/>
          <w:color w:val="auto"/>
          <w:highlight w:val="none"/>
        </w:rPr>
        <w:t>；</w:t>
      </w:r>
    </w:p>
    <w:p w14:paraId="675892B5">
      <w:pPr>
        <w:spacing w:before="120" w:after="120"/>
        <w:rPr>
          <w:color w:val="auto"/>
          <w:highlight w:val="none"/>
        </w:rPr>
      </w:pPr>
      <w:r>
        <w:rPr>
          <w:color w:val="auto"/>
          <w:highlight w:val="none"/>
        </w:rPr>
        <w:t>2. 按单位工程分类划分，专业模型按照合同清单文件中的单位工程分类进行划分。项目模型拆分专业为：1号楼工程-建筑工程</w:t>
      </w:r>
      <w:r>
        <w:rPr>
          <w:rFonts w:hint="eastAsia"/>
          <w:color w:val="auto"/>
          <w:highlight w:val="none"/>
        </w:rPr>
        <w:t>、</w:t>
      </w:r>
      <w:r>
        <w:rPr>
          <w:color w:val="auto"/>
          <w:highlight w:val="none"/>
        </w:rPr>
        <w:t>2号楼工程-建筑工程或建筑工程-结构工程、机电工程-暖通工程。</w:t>
      </w:r>
    </w:p>
    <w:p w14:paraId="3F186C9D">
      <w:pPr>
        <w:pStyle w:val="401"/>
        <w:rPr>
          <w:color w:val="auto"/>
          <w:highlight w:val="none"/>
        </w:rPr>
      </w:pPr>
      <w:r>
        <w:rPr>
          <w:color w:val="auto"/>
          <w:highlight w:val="none"/>
        </w:rPr>
        <w:t>表2.3.2模型拆分示意（造价应用建模）</w:t>
      </w:r>
    </w:p>
    <w:tbl>
      <w:tblPr>
        <w:tblStyle w:val="519"/>
        <w:tblW w:w="4998" w:type="pct"/>
        <w:tblInd w:w="0" w:type="dxa"/>
        <w:tblLayout w:type="autofit"/>
        <w:tblCellMar>
          <w:top w:w="0" w:type="dxa"/>
          <w:left w:w="0" w:type="dxa"/>
          <w:bottom w:w="0" w:type="dxa"/>
          <w:right w:w="0" w:type="dxa"/>
        </w:tblCellMar>
      </w:tblPr>
      <w:tblGrid>
        <w:gridCol w:w="637"/>
        <w:gridCol w:w="1997"/>
        <w:gridCol w:w="5899"/>
      </w:tblGrid>
      <w:tr w14:paraId="60449579">
        <w:tblPrEx>
          <w:tblCellMar>
            <w:top w:w="0" w:type="dxa"/>
            <w:left w:w="0" w:type="dxa"/>
            <w:bottom w:w="0" w:type="dxa"/>
            <w:right w:w="0" w:type="dxa"/>
          </w:tblCellMar>
        </w:tblPrEx>
        <w:trPr>
          <w:trHeight w:val="454" w:hRule="atLeast"/>
        </w:trPr>
        <w:tc>
          <w:tcPr>
            <w:tcW w:w="373"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F2C64AB">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序号</w:t>
            </w:r>
          </w:p>
        </w:tc>
        <w:tc>
          <w:tcPr>
            <w:tcW w:w="117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946CA67">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专业（</w:t>
            </w:r>
            <w:r>
              <w:rPr>
                <w:rFonts w:hint="eastAsia" w:ascii="宋体" w:hAnsi="宋体" w:eastAsia="宋体" w:cs="宋体"/>
                <w:b/>
                <w:bCs/>
                <w:color w:val="auto"/>
                <w:sz w:val="18"/>
                <w:szCs w:val="18"/>
                <w:highlight w:val="none"/>
                <w:lang w:eastAsia="en-US"/>
              </w:rPr>
              <w:t>单项工程）</w:t>
            </w:r>
          </w:p>
        </w:tc>
        <w:tc>
          <w:tcPr>
            <w:tcW w:w="345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6E98972">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模型拆分规则（</w:t>
            </w:r>
            <w:r>
              <w:rPr>
                <w:rFonts w:hint="eastAsia" w:ascii="宋体" w:hAnsi="宋体" w:eastAsia="宋体" w:cs="宋体"/>
                <w:b/>
                <w:bCs/>
                <w:color w:val="auto"/>
                <w:sz w:val="18"/>
                <w:szCs w:val="18"/>
                <w:highlight w:val="none"/>
                <w:lang w:eastAsia="en-US"/>
              </w:rPr>
              <w:t>单位工程）</w:t>
            </w:r>
          </w:p>
        </w:tc>
      </w:tr>
      <w:tr w14:paraId="2784FAA2">
        <w:tblPrEx>
          <w:tblCellMar>
            <w:top w:w="0" w:type="dxa"/>
            <w:left w:w="0" w:type="dxa"/>
            <w:bottom w:w="0" w:type="dxa"/>
            <w:right w:w="0" w:type="dxa"/>
          </w:tblCellMar>
        </w:tblPrEx>
        <w:trPr>
          <w:trHeight w:val="454" w:hRule="atLeast"/>
        </w:trPr>
        <w:tc>
          <w:tcPr>
            <w:tcW w:w="373"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5FF8C0F">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1</w:t>
            </w:r>
          </w:p>
        </w:tc>
        <w:tc>
          <w:tcPr>
            <w:tcW w:w="117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1E5AC66">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建筑</w:t>
            </w:r>
            <w:r>
              <w:rPr>
                <w:rFonts w:hint="eastAsia" w:ascii="宋体" w:hAnsi="宋体" w:eastAsia="宋体" w:cs="宋体"/>
                <w:color w:val="auto"/>
                <w:sz w:val="18"/>
                <w:szCs w:val="18"/>
                <w:highlight w:val="none"/>
                <w:lang w:eastAsia="en-US"/>
              </w:rPr>
              <w:t>工程</w:t>
            </w:r>
          </w:p>
        </w:tc>
        <w:tc>
          <w:tcPr>
            <w:tcW w:w="345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D0A6889">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土建工程（建筑+结构）、装饰工程、幕墙工程</w:t>
            </w:r>
            <w:r>
              <w:rPr>
                <w:rFonts w:ascii="宋体" w:hAnsi="宋体" w:eastAsia="宋体" w:cs="宋体"/>
                <w:color w:val="auto"/>
                <w:sz w:val="15"/>
                <w:szCs w:val="15"/>
                <w:highlight w:val="none"/>
                <w:lang w:eastAsia="en-US"/>
              </w:rPr>
              <w:t>……</w:t>
            </w:r>
          </w:p>
        </w:tc>
      </w:tr>
      <w:tr w14:paraId="1AD0AA8F">
        <w:tblPrEx>
          <w:tblCellMar>
            <w:top w:w="0" w:type="dxa"/>
            <w:left w:w="0" w:type="dxa"/>
            <w:bottom w:w="0" w:type="dxa"/>
            <w:right w:w="0" w:type="dxa"/>
          </w:tblCellMar>
        </w:tblPrEx>
        <w:trPr>
          <w:trHeight w:val="454" w:hRule="atLeast"/>
        </w:trPr>
        <w:tc>
          <w:tcPr>
            <w:tcW w:w="373"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E6FA6CE">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2</w:t>
            </w:r>
          </w:p>
        </w:tc>
        <w:tc>
          <w:tcPr>
            <w:tcW w:w="117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1DE8ED7">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机电工程</w:t>
            </w:r>
          </w:p>
        </w:tc>
        <w:tc>
          <w:tcPr>
            <w:tcW w:w="345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EE39498">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暖通工程、给排水工程、电气工程</w:t>
            </w:r>
            <w:r>
              <w:rPr>
                <w:rFonts w:ascii="宋体" w:hAnsi="宋体" w:eastAsia="宋体" w:cs="宋体"/>
                <w:color w:val="auto"/>
                <w:sz w:val="15"/>
                <w:szCs w:val="15"/>
                <w:highlight w:val="none"/>
                <w:lang w:eastAsia="en-US"/>
              </w:rPr>
              <w:t>……</w:t>
            </w:r>
          </w:p>
        </w:tc>
      </w:tr>
    </w:tbl>
    <w:p w14:paraId="35DC48BD">
      <w:pPr>
        <w:spacing w:before="120" w:after="120"/>
        <w:rPr>
          <w:color w:val="auto"/>
          <w:highlight w:val="none"/>
        </w:rPr>
      </w:pPr>
    </w:p>
    <w:p w14:paraId="1CC6CD94">
      <w:pPr>
        <w:pStyle w:val="3"/>
        <w:tabs>
          <w:tab w:val="left" w:pos="0"/>
        </w:tabs>
        <w:rPr>
          <w:color w:val="auto"/>
          <w:highlight w:val="none"/>
        </w:rPr>
      </w:pPr>
      <w:bookmarkStart w:id="188" w:name="_Toc30837"/>
      <w:r>
        <w:rPr>
          <w:color w:val="auto"/>
          <w:highlight w:val="none"/>
        </w:rPr>
        <w:t>模型图形管理</w:t>
      </w:r>
      <w:bookmarkEnd w:id="188"/>
    </w:p>
    <w:p w14:paraId="39AC1779">
      <w:pPr>
        <w:pStyle w:val="4"/>
        <w:tabs>
          <w:tab w:val="left" w:pos="0"/>
        </w:tabs>
        <w:spacing w:before="120" w:after="120"/>
        <w:rPr>
          <w:color w:val="auto"/>
          <w:highlight w:val="none"/>
        </w:rPr>
      </w:pPr>
      <w:r>
        <w:rPr>
          <w:color w:val="auto"/>
          <w:highlight w:val="none"/>
        </w:rPr>
        <w:t>应根据项目各参与方的企业标准及使用习惯制定项目的模型配色及线型要求，并应符合以下原则：</w:t>
      </w:r>
    </w:p>
    <w:p w14:paraId="53CE7DC3">
      <w:pPr>
        <w:spacing w:before="120" w:after="120"/>
        <w:rPr>
          <w:color w:val="auto"/>
          <w:highlight w:val="none"/>
        </w:rPr>
      </w:pPr>
      <w:r>
        <w:rPr>
          <w:color w:val="auto"/>
          <w:highlight w:val="none"/>
        </w:rPr>
        <w:t>1. 具体实施根据项目要求而定，模型颜色应与设计图纸保持一致；</w:t>
      </w:r>
    </w:p>
    <w:p w14:paraId="204098A0">
      <w:pPr>
        <w:spacing w:before="120" w:after="120"/>
        <w:rPr>
          <w:color w:val="auto"/>
          <w:highlight w:val="none"/>
        </w:rPr>
      </w:pPr>
      <w:r>
        <w:rPr>
          <w:color w:val="auto"/>
          <w:highlight w:val="none"/>
        </w:rPr>
        <w:t>2. 模型二维配色及线型应清晰鲜明，符合出图标准要求；</w:t>
      </w:r>
    </w:p>
    <w:p w14:paraId="136059FA">
      <w:pPr>
        <w:spacing w:before="120" w:after="120"/>
        <w:rPr>
          <w:color w:val="auto"/>
          <w:highlight w:val="none"/>
        </w:rPr>
      </w:pPr>
      <w:r>
        <w:rPr>
          <w:color w:val="auto"/>
          <w:highlight w:val="none"/>
        </w:rPr>
        <w:t>3. 机电专业可根据系统划分三维配色体系，三维配色应采用不同色系方便区分不同系统分类。机电专业管线构件命名及配色不作强制要求。</w:t>
      </w:r>
    </w:p>
    <w:p w14:paraId="170ABDA2">
      <w:pPr>
        <w:pStyle w:val="3"/>
        <w:tabs>
          <w:tab w:val="left" w:pos="0"/>
        </w:tabs>
        <w:rPr>
          <w:color w:val="auto"/>
          <w:highlight w:val="none"/>
        </w:rPr>
      </w:pPr>
      <w:bookmarkStart w:id="189" w:name="_Toc14042"/>
      <w:r>
        <w:rPr>
          <w:color w:val="auto"/>
          <w:highlight w:val="none"/>
        </w:rPr>
        <w:t>单位坐标设置</w:t>
      </w:r>
      <w:bookmarkEnd w:id="189"/>
    </w:p>
    <w:p w14:paraId="143F9C89">
      <w:pPr>
        <w:pStyle w:val="4"/>
        <w:tabs>
          <w:tab w:val="left" w:pos="0"/>
        </w:tabs>
        <w:spacing w:before="120" w:after="120"/>
        <w:rPr>
          <w:color w:val="auto"/>
          <w:highlight w:val="none"/>
        </w:rPr>
      </w:pPr>
      <w:r>
        <w:rPr>
          <w:color w:val="auto"/>
          <w:highlight w:val="none"/>
        </w:rPr>
        <w:t>项目样板文件定义单位及坐标基本参数，设置参考内容如下：</w:t>
      </w:r>
    </w:p>
    <w:p w14:paraId="68C48C1B">
      <w:pPr>
        <w:pStyle w:val="401"/>
        <w:rPr>
          <w:color w:val="auto"/>
          <w:highlight w:val="none"/>
        </w:rPr>
      </w:pPr>
      <w:r>
        <w:rPr>
          <w:color w:val="auto"/>
          <w:highlight w:val="none"/>
        </w:rPr>
        <w:t>表2.5.1  信息模型单位、坐标要求</w:t>
      </w:r>
    </w:p>
    <w:tbl>
      <w:tblPr>
        <w:tblStyle w:val="519"/>
        <w:tblW w:w="4999" w:type="pct"/>
        <w:tblInd w:w="0" w:type="dxa"/>
        <w:tblLayout w:type="autofit"/>
        <w:tblCellMar>
          <w:top w:w="0" w:type="dxa"/>
          <w:left w:w="0" w:type="dxa"/>
          <w:bottom w:w="0" w:type="dxa"/>
          <w:right w:w="0" w:type="dxa"/>
        </w:tblCellMar>
      </w:tblPr>
      <w:tblGrid>
        <w:gridCol w:w="626"/>
        <w:gridCol w:w="7908"/>
      </w:tblGrid>
      <w:tr w14:paraId="7CE70B8D">
        <w:tblPrEx>
          <w:tblCellMar>
            <w:top w:w="0" w:type="dxa"/>
            <w:left w:w="0" w:type="dxa"/>
            <w:bottom w:w="0" w:type="dxa"/>
            <w:right w:w="0" w:type="dxa"/>
          </w:tblCellMar>
        </w:tblPrEx>
        <w:trPr>
          <w:trHeight w:val="454" w:hRule="atLeast"/>
        </w:trPr>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D681278">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序号</w:t>
            </w:r>
          </w:p>
        </w:tc>
        <w:tc>
          <w:tcPr>
            <w:tcW w:w="463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EE715DA">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设置内容</w:t>
            </w:r>
          </w:p>
        </w:tc>
      </w:tr>
      <w:tr w14:paraId="512B29A0">
        <w:tblPrEx>
          <w:tblCellMar>
            <w:top w:w="0" w:type="dxa"/>
            <w:left w:w="0" w:type="dxa"/>
            <w:bottom w:w="0" w:type="dxa"/>
            <w:right w:w="0" w:type="dxa"/>
          </w:tblCellMar>
        </w:tblPrEx>
        <w:trPr>
          <w:trHeight w:val="454" w:hRule="atLeast"/>
        </w:trPr>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0E68FC4">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1</w:t>
            </w:r>
          </w:p>
        </w:tc>
        <w:tc>
          <w:tcPr>
            <w:tcW w:w="463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1702800">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项目单位为毫米</w:t>
            </w:r>
          </w:p>
        </w:tc>
      </w:tr>
      <w:tr w14:paraId="75712B8E">
        <w:tblPrEx>
          <w:tblCellMar>
            <w:top w:w="0" w:type="dxa"/>
            <w:left w:w="0" w:type="dxa"/>
            <w:bottom w:w="0" w:type="dxa"/>
            <w:right w:w="0" w:type="dxa"/>
          </w:tblCellMar>
        </w:tblPrEx>
        <w:trPr>
          <w:trHeight w:val="454" w:hRule="atLeast"/>
        </w:trPr>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063CC62">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2</w:t>
            </w:r>
          </w:p>
        </w:tc>
        <w:tc>
          <w:tcPr>
            <w:tcW w:w="463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654F264">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使用相对标高，±0.000即为坐标原点Z轴坐标点</w:t>
            </w:r>
          </w:p>
        </w:tc>
      </w:tr>
      <w:tr w14:paraId="051DA50C">
        <w:tblPrEx>
          <w:tblCellMar>
            <w:top w:w="0" w:type="dxa"/>
            <w:left w:w="0" w:type="dxa"/>
            <w:bottom w:w="0" w:type="dxa"/>
            <w:right w:w="0" w:type="dxa"/>
          </w:tblCellMar>
        </w:tblPrEx>
        <w:trPr>
          <w:trHeight w:val="454" w:hRule="atLeast"/>
        </w:trPr>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A981BC2">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3</w:t>
            </w:r>
          </w:p>
        </w:tc>
        <w:tc>
          <w:tcPr>
            <w:tcW w:w="463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CEB48AA">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为所有BIM数据定义通用坐标系</w:t>
            </w:r>
          </w:p>
        </w:tc>
      </w:tr>
      <w:tr w14:paraId="1C93A9D2">
        <w:tblPrEx>
          <w:tblCellMar>
            <w:top w:w="0" w:type="dxa"/>
            <w:left w:w="0" w:type="dxa"/>
            <w:bottom w:w="0" w:type="dxa"/>
            <w:right w:w="0" w:type="dxa"/>
          </w:tblCellMar>
        </w:tblPrEx>
        <w:trPr>
          <w:trHeight w:val="454" w:hRule="atLeast"/>
        </w:trPr>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4A0FFAE">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4</w:t>
            </w:r>
          </w:p>
        </w:tc>
        <w:tc>
          <w:tcPr>
            <w:tcW w:w="463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AF28DF2">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建立“正北”和“项目北”之间的关系</w:t>
            </w:r>
          </w:p>
        </w:tc>
      </w:tr>
      <w:tr w14:paraId="623F7045">
        <w:tblPrEx>
          <w:tblCellMar>
            <w:top w:w="0" w:type="dxa"/>
            <w:left w:w="0" w:type="dxa"/>
            <w:bottom w:w="0" w:type="dxa"/>
            <w:right w:w="0" w:type="dxa"/>
          </w:tblCellMar>
        </w:tblPrEx>
        <w:trPr>
          <w:trHeight w:val="454" w:hRule="atLeast"/>
        </w:trPr>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19F7BA8">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5</w:t>
            </w:r>
          </w:p>
        </w:tc>
        <w:tc>
          <w:tcPr>
            <w:tcW w:w="463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E5E432C">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依据施工图纸正确定位项目的</w:t>
            </w:r>
            <w:r>
              <w:rPr>
                <w:rFonts w:hint="eastAsia" w:ascii="宋体" w:hAnsi="宋体" w:eastAsia="宋体" w:cs="宋体"/>
                <w:color w:val="auto"/>
                <w:sz w:val="18"/>
                <w:szCs w:val="18"/>
                <w:highlight w:val="none"/>
                <w:lang w:eastAsia="en-US"/>
              </w:rPr>
              <w:t>项目基点、</w:t>
            </w:r>
            <w:r>
              <w:rPr>
                <w:rFonts w:ascii="宋体" w:hAnsi="宋体" w:eastAsia="宋体" w:cs="宋体"/>
                <w:color w:val="auto"/>
                <w:sz w:val="18"/>
                <w:szCs w:val="18"/>
                <w:highlight w:val="none"/>
                <w:lang w:eastAsia="en-US"/>
              </w:rPr>
              <w:t>地理位置和朝向。</w:t>
            </w:r>
          </w:p>
        </w:tc>
      </w:tr>
    </w:tbl>
    <w:p w14:paraId="63F2765A">
      <w:pPr>
        <w:spacing w:before="120" w:after="120"/>
        <w:jc w:val="center"/>
        <w:rPr>
          <w:color w:val="auto"/>
          <w:highlight w:val="none"/>
        </w:rPr>
      </w:pPr>
    </w:p>
    <w:p w14:paraId="7CF6B559">
      <w:pPr>
        <w:pStyle w:val="3"/>
        <w:tabs>
          <w:tab w:val="left" w:pos="0"/>
        </w:tabs>
        <w:rPr>
          <w:color w:val="auto"/>
          <w:highlight w:val="none"/>
        </w:rPr>
      </w:pPr>
      <w:bookmarkStart w:id="190" w:name="_Toc23071"/>
      <w:r>
        <w:rPr>
          <w:color w:val="auto"/>
          <w:highlight w:val="none"/>
        </w:rPr>
        <w:t>模型信息管理</w:t>
      </w:r>
      <w:bookmarkEnd w:id="190"/>
    </w:p>
    <w:p w14:paraId="05911F01">
      <w:pPr>
        <w:pStyle w:val="4"/>
        <w:tabs>
          <w:tab w:val="left" w:pos="0"/>
        </w:tabs>
        <w:spacing w:before="120" w:after="120"/>
        <w:rPr>
          <w:color w:val="auto"/>
          <w:highlight w:val="none"/>
        </w:rPr>
      </w:pPr>
      <w:r>
        <w:rPr>
          <w:color w:val="auto"/>
          <w:highlight w:val="none"/>
        </w:rPr>
        <w:t>BIM模型应包含正确的几何信息和非几何信息，几何信息包括形状、尺寸、坐标等。非几何信息包括项目参数、设备参数、运维信息等。各阶段应包含信息详见附表内容。</w:t>
      </w:r>
    </w:p>
    <w:p w14:paraId="0FEF9C31">
      <w:pPr>
        <w:spacing w:before="120" w:after="120"/>
        <w:rPr>
          <w:color w:val="auto"/>
          <w:highlight w:val="none"/>
        </w:rPr>
      </w:pPr>
      <w:r>
        <w:rPr>
          <w:color w:val="auto"/>
          <w:highlight w:val="none"/>
        </w:rPr>
        <w:br w:type="page"/>
      </w:r>
    </w:p>
    <w:p w14:paraId="1FE8869A">
      <w:pPr>
        <w:pStyle w:val="2"/>
        <w:tabs>
          <w:tab w:val="left" w:pos="0"/>
        </w:tabs>
        <w:spacing w:before="720" w:after="480"/>
        <w:rPr>
          <w:color w:val="auto"/>
          <w:highlight w:val="none"/>
        </w:rPr>
      </w:pPr>
      <w:bookmarkStart w:id="191" w:name="_Toc32226"/>
      <w:r>
        <w:rPr>
          <w:color w:val="auto"/>
          <w:highlight w:val="none"/>
        </w:rPr>
        <w:t>项目控制</w:t>
      </w:r>
      <w:bookmarkEnd w:id="191"/>
    </w:p>
    <w:p w14:paraId="2AD39985">
      <w:pPr>
        <w:pStyle w:val="3"/>
        <w:tabs>
          <w:tab w:val="left" w:pos="0"/>
        </w:tabs>
        <w:rPr>
          <w:color w:val="auto"/>
          <w:highlight w:val="none"/>
        </w:rPr>
      </w:pPr>
      <w:bookmarkStart w:id="192" w:name="_Toc12058"/>
      <w:r>
        <w:rPr>
          <w:color w:val="auto"/>
          <w:highlight w:val="none"/>
        </w:rPr>
        <w:t>质量控制</w:t>
      </w:r>
      <w:bookmarkEnd w:id="192"/>
    </w:p>
    <w:p w14:paraId="20B8CDA4">
      <w:pPr>
        <w:pStyle w:val="4"/>
        <w:tabs>
          <w:tab w:val="left" w:pos="0"/>
        </w:tabs>
        <w:spacing w:before="120" w:after="120"/>
        <w:rPr>
          <w:color w:val="auto"/>
          <w:highlight w:val="none"/>
        </w:rPr>
      </w:pPr>
      <w:r>
        <w:rPr>
          <w:color w:val="auto"/>
          <w:highlight w:val="none"/>
        </w:rPr>
        <w:t>BIM质量控制管理</w:t>
      </w:r>
    </w:p>
    <w:p w14:paraId="0AB95879">
      <w:pPr>
        <w:spacing w:before="120" w:after="120"/>
        <w:rPr>
          <w:color w:val="auto"/>
          <w:highlight w:val="none"/>
        </w:rPr>
      </w:pPr>
      <w:r>
        <w:rPr>
          <w:color w:val="auto"/>
          <w:highlight w:val="none"/>
        </w:rPr>
        <w:t>1. 在项目阶段和信息交流之前，BIM总协调方应预先计划BIM项目模型内容、详细程度，负责更新模型；</w:t>
      </w:r>
    </w:p>
    <w:p w14:paraId="5DA3D0DA">
      <w:pPr>
        <w:spacing w:before="120" w:after="120"/>
        <w:rPr>
          <w:color w:val="auto"/>
          <w:highlight w:val="none"/>
        </w:rPr>
      </w:pPr>
      <w:r>
        <w:rPr>
          <w:color w:val="auto"/>
          <w:highlight w:val="none"/>
        </w:rPr>
        <w:t>2. 应安排一个固定负责人来协调工作，且应参加所有BIM团队工作，负责解决可能出现的问题；</w:t>
      </w:r>
    </w:p>
    <w:p w14:paraId="3A3B1859">
      <w:pPr>
        <w:spacing w:before="120" w:after="120"/>
        <w:rPr>
          <w:color w:val="auto"/>
          <w:highlight w:val="none"/>
        </w:rPr>
      </w:pPr>
      <w:r>
        <w:rPr>
          <w:color w:val="auto"/>
          <w:highlight w:val="none"/>
        </w:rPr>
        <w:t>3. BIM总协调方在规划过程中应建立数据质量的标准，在每个主要的BIM阶段，质量控制必须完成，如设计审查、协调会议等；</w:t>
      </w:r>
    </w:p>
    <w:p w14:paraId="3B195E9A">
      <w:pPr>
        <w:spacing w:before="120" w:after="120"/>
        <w:rPr>
          <w:color w:val="auto"/>
          <w:highlight w:val="none"/>
        </w:rPr>
      </w:pPr>
      <w:r>
        <w:rPr>
          <w:color w:val="auto"/>
          <w:highlight w:val="none"/>
        </w:rPr>
        <w:t>4. 每个项目组应在质量检查前提交其负责的BIM模型，BIM总协调方应对提交的BIM报告的进行质量检查确认，确认模型修订后的质量。</w:t>
      </w:r>
    </w:p>
    <w:p w14:paraId="510B5ADB">
      <w:pPr>
        <w:pStyle w:val="4"/>
        <w:tabs>
          <w:tab w:val="left" w:pos="0"/>
        </w:tabs>
        <w:spacing w:before="120" w:after="120"/>
        <w:rPr>
          <w:color w:val="auto"/>
          <w:highlight w:val="none"/>
        </w:rPr>
      </w:pPr>
      <w:r>
        <w:rPr>
          <w:color w:val="auto"/>
          <w:highlight w:val="none"/>
        </w:rPr>
        <w:t>BIM质量审核内容</w:t>
      </w:r>
    </w:p>
    <w:p w14:paraId="49BD74DB">
      <w:pPr>
        <w:spacing w:before="120" w:after="120"/>
        <w:rPr>
          <w:color w:val="auto"/>
          <w:highlight w:val="none"/>
        </w:rPr>
      </w:pPr>
      <w:r>
        <w:rPr>
          <w:color w:val="auto"/>
          <w:highlight w:val="none"/>
        </w:rPr>
        <w:t>1. 项目实施各阶段前期准备工作交付成果审核</w:t>
      </w:r>
    </w:p>
    <w:p w14:paraId="2C0B292A">
      <w:pPr>
        <w:spacing w:before="120" w:after="120"/>
        <w:rPr>
          <w:color w:val="auto"/>
          <w:highlight w:val="none"/>
        </w:rPr>
      </w:pPr>
      <w:r>
        <w:rPr>
          <w:color w:val="auto"/>
          <w:highlight w:val="none"/>
        </w:rPr>
        <w:t>1）审核节点：项目实施各阶段前期准备工作完成节点；</w:t>
      </w:r>
    </w:p>
    <w:p w14:paraId="7A4851F8">
      <w:pPr>
        <w:spacing w:before="120" w:after="120"/>
        <w:rPr>
          <w:color w:val="auto"/>
          <w:highlight w:val="none"/>
        </w:rPr>
      </w:pPr>
      <w:r>
        <w:rPr>
          <w:color w:val="auto"/>
          <w:highlight w:val="none"/>
        </w:rPr>
        <w:t>2）审查依据：国家BIM标准、代建局项目BIM实施标准；</w:t>
      </w:r>
    </w:p>
    <w:p w14:paraId="7A369E49">
      <w:pPr>
        <w:spacing w:before="120" w:after="120"/>
        <w:rPr>
          <w:color w:val="auto"/>
          <w:highlight w:val="none"/>
        </w:rPr>
      </w:pPr>
      <w:r>
        <w:rPr>
          <w:color w:val="auto"/>
          <w:highlight w:val="none"/>
        </w:rPr>
        <w:t>3）审核形式：项目前期准备协调会；</w:t>
      </w:r>
    </w:p>
    <w:p w14:paraId="6E12E1BF">
      <w:pPr>
        <w:spacing w:before="120" w:after="120"/>
        <w:rPr>
          <w:color w:val="auto"/>
          <w:highlight w:val="none"/>
        </w:rPr>
      </w:pPr>
      <w:r>
        <w:rPr>
          <w:color w:val="auto"/>
          <w:highlight w:val="none"/>
        </w:rPr>
        <w:t>4）审核人员：代建局各阶段相关负责人、BIM总协调方负责人、项目参与方BIM负责人；</w:t>
      </w:r>
    </w:p>
    <w:p w14:paraId="7C024D7A">
      <w:pPr>
        <w:spacing w:before="120" w:after="120"/>
        <w:rPr>
          <w:color w:val="auto"/>
          <w:highlight w:val="none"/>
        </w:rPr>
      </w:pPr>
      <w:r>
        <w:rPr>
          <w:color w:val="auto"/>
          <w:highlight w:val="none"/>
        </w:rPr>
        <w:t>5）审核内容：项目建模标准、建模计划、样板文件、基准模型审核；</w:t>
      </w:r>
    </w:p>
    <w:p w14:paraId="7F8BD718">
      <w:pPr>
        <w:spacing w:before="120" w:after="120"/>
        <w:rPr>
          <w:color w:val="auto"/>
          <w:highlight w:val="none"/>
        </w:rPr>
      </w:pPr>
      <w:r>
        <w:rPr>
          <w:color w:val="auto"/>
          <w:highlight w:val="none"/>
        </w:rPr>
        <w:t>6）审核结论：是否可以启动项目工作。</w:t>
      </w:r>
    </w:p>
    <w:p w14:paraId="4A3009F8">
      <w:pPr>
        <w:spacing w:before="120" w:after="120"/>
        <w:rPr>
          <w:color w:val="auto"/>
          <w:highlight w:val="none"/>
        </w:rPr>
      </w:pPr>
      <w:r>
        <w:rPr>
          <w:color w:val="auto"/>
          <w:highlight w:val="none"/>
        </w:rPr>
        <w:t>2. 项目实施各阶段过程交付成果审核</w:t>
      </w:r>
    </w:p>
    <w:p w14:paraId="1B771A8B">
      <w:pPr>
        <w:spacing w:before="120" w:after="120"/>
        <w:rPr>
          <w:color w:val="auto"/>
          <w:highlight w:val="none"/>
        </w:rPr>
      </w:pPr>
      <w:r>
        <w:rPr>
          <w:color w:val="auto"/>
          <w:highlight w:val="none"/>
        </w:rPr>
        <w:t>1）审核节点：项目实施各阶段实施过程；</w:t>
      </w:r>
    </w:p>
    <w:p w14:paraId="70AD0505">
      <w:pPr>
        <w:spacing w:before="120" w:after="120"/>
        <w:rPr>
          <w:color w:val="auto"/>
          <w:highlight w:val="none"/>
        </w:rPr>
      </w:pPr>
      <w:r>
        <w:rPr>
          <w:color w:val="auto"/>
          <w:highlight w:val="none"/>
        </w:rPr>
        <w:t>2）审查依据：代建局项目BIM实施标准、项目BIM实施大纲及方案；</w:t>
      </w:r>
    </w:p>
    <w:p w14:paraId="51075849">
      <w:pPr>
        <w:spacing w:before="120" w:after="120"/>
        <w:rPr>
          <w:color w:val="auto"/>
          <w:highlight w:val="none"/>
        </w:rPr>
      </w:pPr>
      <w:r>
        <w:rPr>
          <w:color w:val="auto"/>
          <w:highlight w:val="none"/>
        </w:rPr>
        <w:t>3）审核形式：项目BIM协调周例会；</w:t>
      </w:r>
    </w:p>
    <w:p w14:paraId="33D22FAB">
      <w:pPr>
        <w:spacing w:before="120" w:after="120"/>
        <w:rPr>
          <w:color w:val="auto"/>
          <w:highlight w:val="none"/>
        </w:rPr>
      </w:pPr>
      <w:r>
        <w:rPr>
          <w:color w:val="auto"/>
          <w:highlight w:val="none"/>
        </w:rPr>
        <w:t>4）审核人员：BIM总协调方负责人、项目各参与方BIM负责人；</w:t>
      </w:r>
    </w:p>
    <w:p w14:paraId="74E94EEA">
      <w:pPr>
        <w:spacing w:before="120" w:after="120"/>
        <w:rPr>
          <w:color w:val="auto"/>
          <w:highlight w:val="none"/>
        </w:rPr>
      </w:pPr>
      <w:r>
        <w:rPr>
          <w:color w:val="auto"/>
          <w:highlight w:val="none"/>
        </w:rPr>
        <w:t>5）审核内容：各参与方是否按节点提交过程成果，过程成果的质量审核（提交成果格式及内容是否满足交付要求，模型搭建及更新是否符合项目实施标准）；</w:t>
      </w:r>
    </w:p>
    <w:p w14:paraId="599B3188">
      <w:pPr>
        <w:spacing w:before="120" w:after="120"/>
        <w:rPr>
          <w:color w:val="auto"/>
          <w:highlight w:val="none"/>
        </w:rPr>
      </w:pPr>
      <w:r>
        <w:rPr>
          <w:color w:val="auto"/>
          <w:highlight w:val="none"/>
        </w:rPr>
        <w:t>6）审核结论：BIM审核结果反馈、落实下一阶段BIM实施计划及要求。</w:t>
      </w:r>
    </w:p>
    <w:p w14:paraId="209CBDEA">
      <w:pPr>
        <w:spacing w:before="120" w:after="120"/>
        <w:rPr>
          <w:color w:val="auto"/>
          <w:highlight w:val="none"/>
        </w:rPr>
      </w:pPr>
      <w:r>
        <w:rPr>
          <w:color w:val="auto"/>
          <w:highlight w:val="none"/>
        </w:rPr>
        <w:t>3. 项目实施各阶段最终交付成果审核：</w:t>
      </w:r>
    </w:p>
    <w:p w14:paraId="1FDC548A">
      <w:pPr>
        <w:spacing w:before="120" w:after="120"/>
        <w:rPr>
          <w:color w:val="auto"/>
          <w:highlight w:val="none"/>
        </w:rPr>
      </w:pPr>
      <w:r>
        <w:rPr>
          <w:color w:val="auto"/>
          <w:highlight w:val="none"/>
        </w:rPr>
        <w:t>1）审核节点：各阶段BIM实施成果交付后；</w:t>
      </w:r>
    </w:p>
    <w:p w14:paraId="0AAF53C4">
      <w:pPr>
        <w:spacing w:before="120" w:after="120"/>
        <w:rPr>
          <w:color w:val="auto"/>
          <w:highlight w:val="none"/>
        </w:rPr>
      </w:pPr>
      <w:r>
        <w:rPr>
          <w:color w:val="auto"/>
          <w:highlight w:val="none"/>
        </w:rPr>
        <w:t>2）审查依据：国家建设工程相关规范规程、国家BIM标准、代建局项目BIM实施标准、项目BIM实施大纲及方案；</w:t>
      </w:r>
    </w:p>
    <w:p w14:paraId="09037274">
      <w:pPr>
        <w:spacing w:before="120" w:after="120"/>
        <w:rPr>
          <w:color w:val="auto"/>
          <w:highlight w:val="none"/>
        </w:rPr>
      </w:pPr>
      <w:r>
        <w:rPr>
          <w:color w:val="auto"/>
          <w:highlight w:val="none"/>
        </w:rPr>
        <w:t>3）审核形式：项目BIM阶段成果交付审查会；</w:t>
      </w:r>
    </w:p>
    <w:p w14:paraId="30010BEE">
      <w:pPr>
        <w:spacing w:before="120" w:after="120"/>
        <w:rPr>
          <w:color w:val="auto"/>
          <w:highlight w:val="none"/>
        </w:rPr>
      </w:pPr>
      <w:r>
        <w:rPr>
          <w:color w:val="auto"/>
          <w:highlight w:val="none"/>
        </w:rPr>
        <w:t>4）审核人员：代建局各阶段相关负责人、BIM总协调方负责人、项目各参与方BIM负责人；</w:t>
      </w:r>
    </w:p>
    <w:p w14:paraId="13455F52">
      <w:pPr>
        <w:spacing w:before="120" w:after="120"/>
        <w:rPr>
          <w:color w:val="auto"/>
          <w:highlight w:val="none"/>
        </w:rPr>
      </w:pPr>
      <w:r>
        <w:rPr>
          <w:color w:val="auto"/>
          <w:highlight w:val="none"/>
        </w:rPr>
        <w:t>5）审核内容：提交BIM模型及成果质量是否满足相关要求；模型精度是否满足LOD标准并与实际（设计图纸、施工现场）相符；模型信息是否完整；提交成果是否满足相关要求；</w:t>
      </w:r>
    </w:p>
    <w:p w14:paraId="4458898C">
      <w:pPr>
        <w:spacing w:before="120" w:after="120"/>
        <w:rPr>
          <w:color w:val="auto"/>
          <w:highlight w:val="none"/>
        </w:rPr>
      </w:pPr>
      <w:r>
        <w:rPr>
          <w:color w:val="auto"/>
          <w:highlight w:val="none"/>
        </w:rPr>
        <w:t>6）审核结论：BIM阶段成果深度满足移交下一阶段参与方使用。</w:t>
      </w:r>
    </w:p>
    <w:p w14:paraId="7A3D7102">
      <w:pPr>
        <w:pStyle w:val="4"/>
        <w:tabs>
          <w:tab w:val="left" w:pos="0"/>
        </w:tabs>
        <w:spacing w:before="120" w:after="120"/>
        <w:rPr>
          <w:color w:val="auto"/>
          <w:highlight w:val="none"/>
        </w:rPr>
      </w:pPr>
      <w:r>
        <w:rPr>
          <w:color w:val="auto"/>
          <w:highlight w:val="none"/>
        </w:rPr>
        <w:t>确定质量控制方法</w:t>
      </w:r>
    </w:p>
    <w:p w14:paraId="58EF3D10">
      <w:pPr>
        <w:spacing w:before="120" w:after="120"/>
        <w:rPr>
          <w:color w:val="auto"/>
          <w:highlight w:val="none"/>
        </w:rPr>
      </w:pPr>
      <w:r>
        <w:rPr>
          <w:color w:val="auto"/>
          <w:highlight w:val="none"/>
        </w:rPr>
        <w:t>1. 目视检查：确保没有多余的模型组件，并使用导航软件检查设计意图是否被遵循；</w:t>
      </w:r>
    </w:p>
    <w:p w14:paraId="39E93EF7">
      <w:pPr>
        <w:spacing w:before="120" w:after="120"/>
        <w:rPr>
          <w:color w:val="auto"/>
          <w:highlight w:val="none"/>
        </w:rPr>
      </w:pPr>
      <w:r>
        <w:rPr>
          <w:color w:val="auto"/>
          <w:highlight w:val="none"/>
        </w:rPr>
        <w:t xml:space="preserve">2. </w:t>
      </w:r>
      <w:r>
        <w:rPr>
          <w:rFonts w:hint="eastAsia"/>
          <w:color w:val="auto"/>
          <w:highlight w:val="none"/>
        </w:rPr>
        <w:t>冲突检查</w:t>
      </w:r>
      <w:r>
        <w:rPr>
          <w:color w:val="auto"/>
          <w:highlight w:val="none"/>
        </w:rPr>
        <w:t>：由冲突检测软件检测两个（或多个）模型之间是否有冲突问题；</w:t>
      </w:r>
    </w:p>
    <w:p w14:paraId="35AEC403">
      <w:pPr>
        <w:spacing w:before="120" w:after="120"/>
        <w:rPr>
          <w:color w:val="auto"/>
          <w:highlight w:val="none"/>
        </w:rPr>
      </w:pPr>
      <w:r>
        <w:rPr>
          <w:rFonts w:hint="eastAsia"/>
          <w:color w:val="auto"/>
          <w:highlight w:val="none"/>
        </w:rPr>
        <w:t>3</w:t>
      </w:r>
      <w:r>
        <w:rPr>
          <w:color w:val="auto"/>
          <w:highlight w:val="none"/>
        </w:rPr>
        <w:t>. 标准检查：确保该模型遵循团队商定的标准；</w:t>
      </w:r>
    </w:p>
    <w:p w14:paraId="3E2EA9CE">
      <w:pPr>
        <w:spacing w:before="120" w:after="120"/>
        <w:rPr>
          <w:color w:val="auto"/>
          <w:highlight w:val="none"/>
        </w:rPr>
      </w:pPr>
      <w:r>
        <w:rPr>
          <w:rFonts w:hint="eastAsia"/>
          <w:color w:val="auto"/>
          <w:highlight w:val="none"/>
        </w:rPr>
        <w:t>4</w:t>
      </w:r>
      <w:r>
        <w:rPr>
          <w:color w:val="auto"/>
          <w:highlight w:val="none"/>
        </w:rPr>
        <w:t>. 元素验证：确保数据集没有未定义的元素；</w:t>
      </w:r>
    </w:p>
    <w:p w14:paraId="3FB43C86">
      <w:pPr>
        <w:spacing w:before="120" w:after="120"/>
        <w:rPr>
          <w:color w:val="auto"/>
          <w:highlight w:val="none"/>
        </w:rPr>
      </w:pPr>
      <w:r>
        <w:rPr>
          <w:rFonts w:hint="eastAsia"/>
          <w:color w:val="auto"/>
          <w:highlight w:val="none"/>
        </w:rPr>
        <w:t>5</w:t>
      </w:r>
      <w:r>
        <w:rPr>
          <w:color w:val="auto"/>
          <w:highlight w:val="none"/>
        </w:rPr>
        <w:t>. 质量检查报告可参考表3.1.3。</w:t>
      </w:r>
    </w:p>
    <w:p w14:paraId="2AF58AD9">
      <w:pPr>
        <w:pStyle w:val="401"/>
        <w:tabs>
          <w:tab w:val="left" w:pos="0"/>
          <w:tab w:val="left" w:pos="420"/>
        </w:tabs>
        <w:spacing w:before="120" w:beforeLines="50" w:after="120" w:afterLines="50"/>
        <w:ind w:firstLine="360"/>
        <w:rPr>
          <w:color w:val="auto"/>
          <w:highlight w:val="none"/>
        </w:rPr>
      </w:pPr>
      <w:r>
        <w:rPr>
          <w:color w:val="auto"/>
          <w:highlight w:val="none"/>
        </w:rPr>
        <w:t>表3.1.3  质量控制报告</w:t>
      </w:r>
    </w:p>
    <w:tbl>
      <w:tblPr>
        <w:tblStyle w:val="519"/>
        <w:tblW w:w="4998" w:type="pct"/>
        <w:tblInd w:w="0" w:type="dxa"/>
        <w:tblLayout w:type="autofit"/>
        <w:tblCellMar>
          <w:top w:w="0" w:type="dxa"/>
          <w:left w:w="0" w:type="dxa"/>
          <w:bottom w:w="0" w:type="dxa"/>
          <w:right w:w="0" w:type="dxa"/>
        </w:tblCellMar>
      </w:tblPr>
      <w:tblGrid>
        <w:gridCol w:w="597"/>
        <w:gridCol w:w="3730"/>
        <w:gridCol w:w="925"/>
        <w:gridCol w:w="824"/>
        <w:gridCol w:w="836"/>
        <w:gridCol w:w="837"/>
        <w:gridCol w:w="568"/>
      </w:tblGrid>
      <w:tr w14:paraId="6AC8295C">
        <w:tblPrEx>
          <w:tblCellMar>
            <w:top w:w="0" w:type="dxa"/>
            <w:left w:w="0" w:type="dxa"/>
            <w:bottom w:w="0" w:type="dxa"/>
            <w:right w:w="0" w:type="dxa"/>
          </w:tblCellMar>
        </w:tblPrEx>
        <w:trPr>
          <w:trHeight w:val="454" w:hRule="atLeast"/>
        </w:trPr>
        <w:tc>
          <w:tcPr>
            <w:tcW w:w="359" w:type="pct"/>
            <w:tcBorders>
              <w:top w:val="single" w:color="000000" w:sz="4" w:space="0"/>
              <w:left w:val="single" w:color="000000" w:sz="4" w:space="0"/>
              <w:bottom w:val="single" w:color="000000" w:sz="4" w:space="0"/>
              <w:right w:val="single" w:color="000000" w:sz="4" w:space="0"/>
            </w:tcBorders>
            <w:noWrap w:val="0"/>
            <w:vAlign w:val="center"/>
          </w:tcPr>
          <w:p w14:paraId="3C282125">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区域</w:t>
            </w:r>
          </w:p>
        </w:tc>
        <w:tc>
          <w:tcPr>
            <w:tcW w:w="2241" w:type="pct"/>
            <w:tcBorders>
              <w:top w:val="single" w:color="000000" w:sz="4" w:space="0"/>
              <w:left w:val="single" w:color="000000" w:sz="4" w:space="0"/>
              <w:bottom w:val="single" w:color="000000" w:sz="4" w:space="0"/>
              <w:right w:val="single" w:color="000000" w:sz="4" w:space="0"/>
            </w:tcBorders>
            <w:noWrap w:val="0"/>
            <w:vAlign w:val="center"/>
          </w:tcPr>
          <w:p w14:paraId="2F25AC4D">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检查方法</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14:paraId="6EE5B527">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检查内容</w:t>
            </w:r>
          </w:p>
        </w:tc>
        <w:tc>
          <w:tcPr>
            <w:tcW w:w="495" w:type="pct"/>
            <w:tcBorders>
              <w:top w:val="single" w:color="000000" w:sz="4" w:space="0"/>
              <w:left w:val="single" w:color="000000" w:sz="4" w:space="0"/>
              <w:bottom w:val="single" w:color="000000" w:sz="4" w:space="0"/>
              <w:right w:val="single" w:color="000000" w:sz="4" w:space="0"/>
            </w:tcBorders>
            <w:noWrap w:val="0"/>
            <w:vAlign w:val="center"/>
          </w:tcPr>
          <w:p w14:paraId="721194EC">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检查结果</w:t>
            </w:r>
          </w:p>
        </w:tc>
        <w:tc>
          <w:tcPr>
            <w:tcW w:w="502" w:type="pct"/>
            <w:tcBorders>
              <w:top w:val="single" w:color="000000" w:sz="4" w:space="0"/>
              <w:left w:val="single" w:color="000000" w:sz="4" w:space="0"/>
              <w:bottom w:val="single" w:color="000000" w:sz="4" w:space="0"/>
              <w:right w:val="single" w:color="000000" w:sz="4" w:space="0"/>
            </w:tcBorders>
            <w:noWrap w:val="0"/>
            <w:vAlign w:val="center"/>
          </w:tcPr>
          <w:p w14:paraId="04E34079">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检查人</w:t>
            </w:r>
          </w:p>
        </w:tc>
        <w:tc>
          <w:tcPr>
            <w:tcW w:w="503" w:type="pct"/>
            <w:tcBorders>
              <w:top w:val="single" w:color="000000" w:sz="4" w:space="0"/>
              <w:left w:val="single" w:color="000000" w:sz="4" w:space="0"/>
              <w:bottom w:val="single" w:color="000000" w:sz="4" w:space="0"/>
              <w:right w:val="single" w:color="000000" w:sz="4" w:space="0"/>
            </w:tcBorders>
            <w:noWrap w:val="0"/>
            <w:vAlign w:val="center"/>
          </w:tcPr>
          <w:p w14:paraId="145D11F0">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负责人</w:t>
            </w:r>
          </w:p>
        </w:tc>
        <w:tc>
          <w:tcPr>
            <w:tcW w:w="341" w:type="pct"/>
            <w:tcBorders>
              <w:top w:val="single" w:color="000000" w:sz="4" w:space="0"/>
              <w:left w:val="single" w:color="000000" w:sz="4" w:space="0"/>
              <w:bottom w:val="single" w:color="000000" w:sz="4" w:space="0"/>
              <w:right w:val="single" w:color="000000" w:sz="4" w:space="0"/>
            </w:tcBorders>
            <w:noWrap w:val="0"/>
            <w:vAlign w:val="center"/>
          </w:tcPr>
          <w:p w14:paraId="203714EA">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整改</w:t>
            </w:r>
          </w:p>
          <w:p w14:paraId="7B3E12EA">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意见</w:t>
            </w:r>
          </w:p>
        </w:tc>
      </w:tr>
      <w:tr w14:paraId="1E5FD246">
        <w:tblPrEx>
          <w:tblCellMar>
            <w:top w:w="0" w:type="dxa"/>
            <w:left w:w="0" w:type="dxa"/>
            <w:bottom w:w="0" w:type="dxa"/>
            <w:right w:w="0" w:type="dxa"/>
          </w:tblCellMar>
        </w:tblPrEx>
        <w:trPr>
          <w:trHeight w:val="454" w:hRule="atLeast"/>
        </w:trPr>
        <w:tc>
          <w:tcPr>
            <w:tcW w:w="359" w:type="pct"/>
            <w:tcBorders>
              <w:top w:val="single" w:color="000000" w:sz="4" w:space="0"/>
              <w:left w:val="single" w:color="000000" w:sz="4" w:space="0"/>
              <w:bottom w:val="single" w:color="000000" w:sz="4" w:space="0"/>
              <w:right w:val="single" w:color="000000" w:sz="4" w:space="0"/>
            </w:tcBorders>
            <w:noWrap w:val="0"/>
            <w:vAlign w:val="center"/>
          </w:tcPr>
          <w:p w14:paraId="4A94C44E">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2241" w:type="pct"/>
            <w:tcBorders>
              <w:top w:val="single" w:color="000000" w:sz="4" w:space="0"/>
              <w:left w:val="single" w:color="000000" w:sz="4" w:space="0"/>
              <w:bottom w:val="single" w:color="000000" w:sz="4" w:space="0"/>
              <w:right w:val="single" w:color="000000" w:sz="4" w:space="0"/>
            </w:tcBorders>
            <w:noWrap w:val="0"/>
            <w:vAlign w:val="center"/>
          </w:tcPr>
          <w:p w14:paraId="19CF615C">
            <w:pPr>
              <w:spacing w:before="120" w:after="120" w:line="312" w:lineRule="auto"/>
              <w:ind w:left="103"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目视检查/冲突检查/标准检查/元素验证</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14:paraId="32E45B8B">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495" w:type="pct"/>
            <w:tcBorders>
              <w:top w:val="single" w:color="000000" w:sz="4" w:space="0"/>
              <w:left w:val="single" w:color="000000" w:sz="4" w:space="0"/>
              <w:bottom w:val="single" w:color="000000" w:sz="4" w:space="0"/>
              <w:right w:val="single" w:color="000000" w:sz="4" w:space="0"/>
            </w:tcBorders>
            <w:noWrap w:val="0"/>
            <w:vAlign w:val="center"/>
          </w:tcPr>
          <w:p w14:paraId="435CBC67">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502" w:type="pct"/>
            <w:tcBorders>
              <w:top w:val="single" w:color="000000" w:sz="4" w:space="0"/>
              <w:left w:val="single" w:color="000000" w:sz="4" w:space="0"/>
              <w:bottom w:val="single" w:color="000000" w:sz="4" w:space="0"/>
              <w:right w:val="single" w:color="000000" w:sz="4" w:space="0"/>
            </w:tcBorders>
            <w:noWrap w:val="0"/>
            <w:vAlign w:val="center"/>
          </w:tcPr>
          <w:p w14:paraId="1F1FD0CA">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503" w:type="pct"/>
            <w:tcBorders>
              <w:top w:val="single" w:color="000000" w:sz="4" w:space="0"/>
              <w:left w:val="single" w:color="000000" w:sz="4" w:space="0"/>
              <w:bottom w:val="single" w:color="000000" w:sz="4" w:space="0"/>
              <w:right w:val="single" w:color="000000" w:sz="4" w:space="0"/>
            </w:tcBorders>
            <w:noWrap w:val="0"/>
            <w:vAlign w:val="center"/>
          </w:tcPr>
          <w:p w14:paraId="696F0F69">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341" w:type="pct"/>
            <w:tcBorders>
              <w:top w:val="single" w:color="000000" w:sz="4" w:space="0"/>
              <w:left w:val="single" w:color="000000" w:sz="4" w:space="0"/>
              <w:bottom w:val="single" w:color="000000" w:sz="4" w:space="0"/>
              <w:right w:val="single" w:color="000000" w:sz="4" w:space="0"/>
            </w:tcBorders>
            <w:noWrap w:val="0"/>
            <w:vAlign w:val="center"/>
          </w:tcPr>
          <w:p w14:paraId="25E3A591">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41A28636">
        <w:tblPrEx>
          <w:tblCellMar>
            <w:top w:w="0" w:type="dxa"/>
            <w:left w:w="0" w:type="dxa"/>
            <w:bottom w:w="0" w:type="dxa"/>
            <w:right w:w="0" w:type="dxa"/>
          </w:tblCellMar>
        </w:tblPrEx>
        <w:trPr>
          <w:trHeight w:val="454" w:hRule="atLeast"/>
        </w:trPr>
        <w:tc>
          <w:tcPr>
            <w:tcW w:w="359" w:type="pct"/>
            <w:tcBorders>
              <w:top w:val="single" w:color="000000" w:sz="4" w:space="0"/>
              <w:left w:val="single" w:color="000000" w:sz="4" w:space="0"/>
              <w:bottom w:val="single" w:color="000000" w:sz="4" w:space="0"/>
              <w:right w:val="single" w:color="000000" w:sz="4" w:space="0"/>
            </w:tcBorders>
            <w:noWrap w:val="0"/>
            <w:vAlign w:val="center"/>
          </w:tcPr>
          <w:p w14:paraId="5177C52C">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2241" w:type="pct"/>
            <w:tcBorders>
              <w:top w:val="single" w:color="000000" w:sz="4" w:space="0"/>
              <w:left w:val="single" w:color="000000" w:sz="4" w:space="0"/>
              <w:bottom w:val="single" w:color="000000" w:sz="4" w:space="0"/>
              <w:right w:val="single" w:color="000000" w:sz="4" w:space="0"/>
            </w:tcBorders>
            <w:noWrap w:val="0"/>
            <w:vAlign w:val="center"/>
          </w:tcPr>
          <w:p w14:paraId="661053C4">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556" w:type="pct"/>
            <w:tcBorders>
              <w:top w:val="single" w:color="000000" w:sz="4" w:space="0"/>
              <w:left w:val="single" w:color="000000" w:sz="4" w:space="0"/>
              <w:bottom w:val="single" w:color="000000" w:sz="4" w:space="0"/>
              <w:right w:val="single" w:color="000000" w:sz="4" w:space="0"/>
            </w:tcBorders>
            <w:noWrap w:val="0"/>
            <w:vAlign w:val="center"/>
          </w:tcPr>
          <w:p w14:paraId="0EDE467E">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495" w:type="pct"/>
            <w:tcBorders>
              <w:top w:val="single" w:color="000000" w:sz="4" w:space="0"/>
              <w:left w:val="single" w:color="000000" w:sz="4" w:space="0"/>
              <w:bottom w:val="single" w:color="000000" w:sz="4" w:space="0"/>
              <w:right w:val="single" w:color="000000" w:sz="4" w:space="0"/>
            </w:tcBorders>
            <w:noWrap w:val="0"/>
            <w:vAlign w:val="center"/>
          </w:tcPr>
          <w:p w14:paraId="1927AAB0">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502" w:type="pct"/>
            <w:tcBorders>
              <w:top w:val="single" w:color="000000" w:sz="4" w:space="0"/>
              <w:left w:val="single" w:color="000000" w:sz="4" w:space="0"/>
              <w:bottom w:val="single" w:color="000000" w:sz="4" w:space="0"/>
              <w:right w:val="single" w:color="000000" w:sz="4" w:space="0"/>
            </w:tcBorders>
            <w:noWrap w:val="0"/>
            <w:vAlign w:val="center"/>
          </w:tcPr>
          <w:p w14:paraId="33B09007">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503" w:type="pct"/>
            <w:tcBorders>
              <w:top w:val="single" w:color="000000" w:sz="4" w:space="0"/>
              <w:left w:val="single" w:color="000000" w:sz="4" w:space="0"/>
              <w:bottom w:val="single" w:color="000000" w:sz="4" w:space="0"/>
              <w:right w:val="single" w:color="000000" w:sz="4" w:space="0"/>
            </w:tcBorders>
            <w:noWrap w:val="0"/>
            <w:vAlign w:val="center"/>
          </w:tcPr>
          <w:p w14:paraId="1E23EE75">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341" w:type="pct"/>
            <w:tcBorders>
              <w:top w:val="single" w:color="000000" w:sz="4" w:space="0"/>
              <w:left w:val="single" w:color="000000" w:sz="4" w:space="0"/>
              <w:bottom w:val="single" w:color="000000" w:sz="4" w:space="0"/>
              <w:right w:val="single" w:color="000000" w:sz="4" w:space="0"/>
            </w:tcBorders>
            <w:noWrap w:val="0"/>
            <w:vAlign w:val="center"/>
          </w:tcPr>
          <w:p w14:paraId="537869E2">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7544E2E2">
        <w:tblPrEx>
          <w:tblCellMar>
            <w:top w:w="0" w:type="dxa"/>
            <w:left w:w="0" w:type="dxa"/>
            <w:bottom w:w="0" w:type="dxa"/>
            <w:right w:w="0" w:type="dxa"/>
          </w:tblCellMar>
        </w:tblPrEx>
        <w:trPr>
          <w:trHeight w:val="454" w:hRule="atLeast"/>
        </w:trPr>
        <w:tc>
          <w:tcPr>
            <w:tcW w:w="359" w:type="pct"/>
            <w:tcBorders>
              <w:top w:val="single" w:color="000000" w:sz="4" w:space="0"/>
              <w:left w:val="single" w:color="000000" w:sz="4" w:space="0"/>
              <w:bottom w:val="single" w:color="000000" w:sz="4" w:space="0"/>
              <w:right w:val="single" w:color="000000" w:sz="4" w:space="0"/>
            </w:tcBorders>
            <w:noWrap w:val="0"/>
            <w:vAlign w:val="center"/>
          </w:tcPr>
          <w:p w14:paraId="7C38806A">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2241" w:type="pct"/>
            <w:tcBorders>
              <w:top w:val="single" w:color="000000" w:sz="4" w:space="0"/>
              <w:left w:val="single" w:color="000000" w:sz="4" w:space="0"/>
              <w:bottom w:val="single" w:color="000000" w:sz="4" w:space="0"/>
              <w:right w:val="single" w:color="000000" w:sz="4" w:space="0"/>
            </w:tcBorders>
            <w:noWrap w:val="0"/>
            <w:vAlign w:val="center"/>
          </w:tcPr>
          <w:p w14:paraId="17C9EA7A">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556" w:type="pct"/>
            <w:tcBorders>
              <w:top w:val="single" w:color="000000" w:sz="4" w:space="0"/>
              <w:left w:val="single" w:color="000000" w:sz="4" w:space="0"/>
              <w:bottom w:val="single" w:color="000000" w:sz="4" w:space="0"/>
              <w:right w:val="single" w:color="000000" w:sz="4" w:space="0"/>
            </w:tcBorders>
            <w:noWrap w:val="0"/>
            <w:vAlign w:val="center"/>
          </w:tcPr>
          <w:p w14:paraId="423910C4">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495" w:type="pct"/>
            <w:tcBorders>
              <w:top w:val="single" w:color="000000" w:sz="4" w:space="0"/>
              <w:left w:val="single" w:color="000000" w:sz="4" w:space="0"/>
              <w:bottom w:val="single" w:color="000000" w:sz="4" w:space="0"/>
              <w:right w:val="single" w:color="000000" w:sz="4" w:space="0"/>
            </w:tcBorders>
            <w:noWrap w:val="0"/>
            <w:vAlign w:val="center"/>
          </w:tcPr>
          <w:p w14:paraId="118B841A">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502" w:type="pct"/>
            <w:tcBorders>
              <w:top w:val="single" w:color="000000" w:sz="4" w:space="0"/>
              <w:left w:val="single" w:color="000000" w:sz="4" w:space="0"/>
              <w:bottom w:val="single" w:color="000000" w:sz="4" w:space="0"/>
              <w:right w:val="single" w:color="000000" w:sz="4" w:space="0"/>
            </w:tcBorders>
            <w:noWrap w:val="0"/>
            <w:vAlign w:val="center"/>
          </w:tcPr>
          <w:p w14:paraId="4C01FB96">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503" w:type="pct"/>
            <w:tcBorders>
              <w:top w:val="single" w:color="000000" w:sz="4" w:space="0"/>
              <w:left w:val="single" w:color="000000" w:sz="4" w:space="0"/>
              <w:bottom w:val="single" w:color="000000" w:sz="4" w:space="0"/>
              <w:right w:val="single" w:color="000000" w:sz="4" w:space="0"/>
            </w:tcBorders>
            <w:noWrap w:val="0"/>
            <w:vAlign w:val="center"/>
          </w:tcPr>
          <w:p w14:paraId="1BB27B0E">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341" w:type="pct"/>
            <w:tcBorders>
              <w:top w:val="single" w:color="000000" w:sz="4" w:space="0"/>
              <w:left w:val="single" w:color="000000" w:sz="4" w:space="0"/>
              <w:bottom w:val="single" w:color="000000" w:sz="4" w:space="0"/>
              <w:right w:val="single" w:color="000000" w:sz="4" w:space="0"/>
            </w:tcBorders>
            <w:noWrap w:val="0"/>
            <w:vAlign w:val="center"/>
          </w:tcPr>
          <w:p w14:paraId="07F08886">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54A246D9">
        <w:tblPrEx>
          <w:tblCellMar>
            <w:top w:w="0" w:type="dxa"/>
            <w:left w:w="0" w:type="dxa"/>
            <w:bottom w:w="0" w:type="dxa"/>
            <w:right w:w="0" w:type="dxa"/>
          </w:tblCellMar>
        </w:tblPrEx>
        <w:trPr>
          <w:trHeight w:val="454" w:hRule="atLeast"/>
        </w:trPr>
        <w:tc>
          <w:tcPr>
            <w:tcW w:w="359" w:type="pct"/>
            <w:tcBorders>
              <w:top w:val="single" w:color="000000" w:sz="4" w:space="0"/>
              <w:left w:val="single" w:color="000000" w:sz="4" w:space="0"/>
              <w:bottom w:val="single" w:color="000000" w:sz="4" w:space="0"/>
              <w:right w:val="single" w:color="000000" w:sz="4" w:space="0"/>
            </w:tcBorders>
            <w:noWrap w:val="0"/>
            <w:vAlign w:val="center"/>
          </w:tcPr>
          <w:p w14:paraId="6B03AF44">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2241" w:type="pct"/>
            <w:tcBorders>
              <w:top w:val="single" w:color="000000" w:sz="4" w:space="0"/>
              <w:left w:val="single" w:color="000000" w:sz="4" w:space="0"/>
              <w:bottom w:val="single" w:color="000000" w:sz="4" w:space="0"/>
              <w:right w:val="single" w:color="000000" w:sz="4" w:space="0"/>
            </w:tcBorders>
            <w:noWrap w:val="0"/>
            <w:vAlign w:val="center"/>
          </w:tcPr>
          <w:p w14:paraId="0FFAEB1E">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556" w:type="pct"/>
            <w:tcBorders>
              <w:top w:val="single" w:color="000000" w:sz="4" w:space="0"/>
              <w:left w:val="single" w:color="000000" w:sz="4" w:space="0"/>
              <w:bottom w:val="single" w:color="000000" w:sz="4" w:space="0"/>
              <w:right w:val="single" w:color="000000" w:sz="4" w:space="0"/>
            </w:tcBorders>
            <w:noWrap w:val="0"/>
            <w:vAlign w:val="center"/>
          </w:tcPr>
          <w:p w14:paraId="4DC87C77">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495" w:type="pct"/>
            <w:tcBorders>
              <w:top w:val="single" w:color="000000" w:sz="4" w:space="0"/>
              <w:left w:val="single" w:color="000000" w:sz="4" w:space="0"/>
              <w:bottom w:val="single" w:color="000000" w:sz="4" w:space="0"/>
              <w:right w:val="single" w:color="000000" w:sz="4" w:space="0"/>
            </w:tcBorders>
            <w:noWrap w:val="0"/>
            <w:vAlign w:val="center"/>
          </w:tcPr>
          <w:p w14:paraId="561013BB">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502" w:type="pct"/>
            <w:tcBorders>
              <w:top w:val="single" w:color="000000" w:sz="4" w:space="0"/>
              <w:left w:val="single" w:color="000000" w:sz="4" w:space="0"/>
              <w:bottom w:val="single" w:color="000000" w:sz="4" w:space="0"/>
              <w:right w:val="single" w:color="000000" w:sz="4" w:space="0"/>
            </w:tcBorders>
            <w:noWrap w:val="0"/>
            <w:vAlign w:val="center"/>
          </w:tcPr>
          <w:p w14:paraId="2D23B0F3">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503" w:type="pct"/>
            <w:tcBorders>
              <w:top w:val="single" w:color="000000" w:sz="4" w:space="0"/>
              <w:left w:val="single" w:color="000000" w:sz="4" w:space="0"/>
              <w:bottom w:val="single" w:color="000000" w:sz="4" w:space="0"/>
              <w:right w:val="single" w:color="000000" w:sz="4" w:space="0"/>
            </w:tcBorders>
            <w:noWrap w:val="0"/>
            <w:vAlign w:val="center"/>
          </w:tcPr>
          <w:p w14:paraId="75552853">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341" w:type="pct"/>
            <w:tcBorders>
              <w:top w:val="single" w:color="000000" w:sz="4" w:space="0"/>
              <w:left w:val="single" w:color="000000" w:sz="4" w:space="0"/>
              <w:bottom w:val="single" w:color="000000" w:sz="4" w:space="0"/>
              <w:right w:val="single" w:color="000000" w:sz="4" w:space="0"/>
            </w:tcBorders>
            <w:noWrap w:val="0"/>
            <w:vAlign w:val="center"/>
          </w:tcPr>
          <w:p w14:paraId="53CE1675">
            <w:pPr>
              <w:spacing w:before="120" w:after="120" w:line="240" w:lineRule="auto"/>
              <w:ind w:firstLine="0" w:firstLineChars="0"/>
              <w:jc w:val="center"/>
              <w:rPr>
                <w:rFonts w:ascii="宋体" w:hAnsi="宋体" w:eastAsia="宋体" w:cs="宋体"/>
                <w:color w:val="auto"/>
                <w:sz w:val="18"/>
                <w:szCs w:val="18"/>
                <w:highlight w:val="none"/>
                <w:lang w:eastAsia="en-US"/>
              </w:rPr>
            </w:pPr>
          </w:p>
        </w:tc>
      </w:tr>
    </w:tbl>
    <w:p w14:paraId="36F35D88">
      <w:pPr>
        <w:spacing w:before="120" w:after="120"/>
        <w:rPr>
          <w:color w:val="auto"/>
          <w:highlight w:val="none"/>
        </w:rPr>
      </w:pPr>
    </w:p>
    <w:p w14:paraId="24C5E43F">
      <w:pPr>
        <w:pStyle w:val="4"/>
        <w:tabs>
          <w:tab w:val="left" w:pos="0"/>
        </w:tabs>
        <w:spacing w:before="120" w:after="120"/>
        <w:rPr>
          <w:color w:val="auto"/>
          <w:highlight w:val="none"/>
        </w:rPr>
      </w:pPr>
      <w:r>
        <w:rPr>
          <w:color w:val="auto"/>
          <w:highlight w:val="none"/>
        </w:rPr>
        <w:t>BIM模型及成果审查要点包括：</w:t>
      </w:r>
    </w:p>
    <w:p w14:paraId="431AEC59">
      <w:pPr>
        <w:spacing w:before="120" w:after="120"/>
        <w:rPr>
          <w:color w:val="auto"/>
          <w:highlight w:val="none"/>
        </w:rPr>
      </w:pPr>
      <w:r>
        <w:rPr>
          <w:color w:val="auto"/>
          <w:highlight w:val="none"/>
        </w:rPr>
        <w:t>1. 提交内容是否与要求一致；</w:t>
      </w:r>
    </w:p>
    <w:p w14:paraId="05DB71F7">
      <w:pPr>
        <w:spacing w:before="120" w:after="120"/>
        <w:rPr>
          <w:color w:val="auto"/>
          <w:highlight w:val="none"/>
        </w:rPr>
      </w:pPr>
      <w:r>
        <w:rPr>
          <w:color w:val="auto"/>
          <w:highlight w:val="none"/>
        </w:rPr>
        <w:t>2. 提交成果格式是否与要求一致；</w:t>
      </w:r>
    </w:p>
    <w:p w14:paraId="428939B4">
      <w:pPr>
        <w:spacing w:before="120" w:after="120"/>
        <w:rPr>
          <w:color w:val="auto"/>
          <w:highlight w:val="none"/>
        </w:rPr>
      </w:pPr>
      <w:r>
        <w:rPr>
          <w:color w:val="auto"/>
          <w:highlight w:val="none"/>
        </w:rPr>
        <w:t>3. BIM模型是否满足相应阶段LOD精度需求；</w:t>
      </w:r>
    </w:p>
    <w:p w14:paraId="5662FD3C">
      <w:pPr>
        <w:spacing w:before="120" w:after="120"/>
        <w:rPr>
          <w:color w:val="auto"/>
          <w:highlight w:val="none"/>
        </w:rPr>
      </w:pPr>
      <w:r>
        <w:rPr>
          <w:color w:val="auto"/>
          <w:highlight w:val="none"/>
        </w:rPr>
        <w:t>4. 各阶段BIM模型与提交图纸相符；</w:t>
      </w:r>
    </w:p>
    <w:p w14:paraId="3C374532">
      <w:pPr>
        <w:spacing w:before="120" w:after="120"/>
        <w:rPr>
          <w:color w:val="auto"/>
          <w:highlight w:val="none"/>
        </w:rPr>
      </w:pPr>
      <w:r>
        <w:rPr>
          <w:color w:val="auto"/>
          <w:highlight w:val="none"/>
        </w:rPr>
        <w:t>5. 现阶段BIM模型是否满足下一阶段应用条件；</w:t>
      </w:r>
    </w:p>
    <w:p w14:paraId="7ABB8531">
      <w:pPr>
        <w:spacing w:before="120" w:after="120"/>
        <w:rPr>
          <w:color w:val="auto"/>
          <w:highlight w:val="none"/>
        </w:rPr>
      </w:pPr>
      <w:r>
        <w:rPr>
          <w:color w:val="auto"/>
          <w:highlight w:val="none"/>
        </w:rPr>
        <w:t>6. 各阶段BIM模型应有符合当前阶段的基础信息。</w:t>
      </w:r>
    </w:p>
    <w:p w14:paraId="3D120F55">
      <w:pPr>
        <w:pStyle w:val="4"/>
        <w:tabs>
          <w:tab w:val="left" w:pos="0"/>
        </w:tabs>
        <w:spacing w:before="120" w:after="120"/>
        <w:rPr>
          <w:color w:val="auto"/>
          <w:highlight w:val="none"/>
        </w:rPr>
      </w:pPr>
      <w:r>
        <w:rPr>
          <w:color w:val="auto"/>
          <w:highlight w:val="none"/>
        </w:rPr>
        <w:t>BIM模型建模审查要求包括：</w:t>
      </w:r>
    </w:p>
    <w:p w14:paraId="772C1769">
      <w:pPr>
        <w:spacing w:before="120" w:after="120"/>
        <w:rPr>
          <w:color w:val="auto"/>
          <w:highlight w:val="none"/>
        </w:rPr>
      </w:pPr>
      <w:r>
        <w:rPr>
          <w:color w:val="auto"/>
          <w:highlight w:val="none"/>
        </w:rPr>
        <w:t>1. 建筑专业建模：要求楼梯间、电梯间、管井、楼梯、空调机房、泵房、管廊尺寸、天花板高度等定位须准确、模型构件应按层拆分、楼板分区应按后浇带拆分等；</w:t>
      </w:r>
    </w:p>
    <w:p w14:paraId="66151543">
      <w:pPr>
        <w:spacing w:before="120" w:after="120"/>
        <w:rPr>
          <w:color w:val="auto"/>
          <w:highlight w:val="none"/>
        </w:rPr>
      </w:pPr>
      <w:r>
        <w:rPr>
          <w:color w:val="auto"/>
          <w:highlight w:val="none"/>
        </w:rPr>
        <w:t>2. 结构专业建模：要求梁、板、柱的截面尺寸与定位尺寸须与图纸一致；管廊内梁底标高需要与设计要求一致；</w:t>
      </w:r>
    </w:p>
    <w:p w14:paraId="6A7E6BCD">
      <w:pPr>
        <w:spacing w:before="120" w:after="120"/>
        <w:rPr>
          <w:color w:val="auto"/>
          <w:highlight w:val="none"/>
        </w:rPr>
      </w:pPr>
      <w:r>
        <w:rPr>
          <w:color w:val="auto"/>
          <w:highlight w:val="none"/>
        </w:rPr>
        <w:t>3. 暖通专业建模要求：影响管线综合的一些设备、末端须按图纸要求建出，例如：风机盘管、风口等；暖通水系统建模要求同水专业建模要求一致；</w:t>
      </w:r>
    </w:p>
    <w:p w14:paraId="2959D2C5">
      <w:pPr>
        <w:spacing w:before="120" w:after="120"/>
        <w:rPr>
          <w:color w:val="auto"/>
          <w:highlight w:val="none"/>
        </w:rPr>
      </w:pPr>
      <w:r>
        <w:rPr>
          <w:color w:val="auto"/>
          <w:highlight w:val="none"/>
        </w:rPr>
        <w:t>4. 给排水专业建模要求：一些需要增加坡度的水管须按图纸要求建出坡度；</w:t>
      </w:r>
    </w:p>
    <w:p w14:paraId="11D44DA4">
      <w:pPr>
        <w:spacing w:before="120" w:after="120"/>
        <w:rPr>
          <w:color w:val="auto"/>
          <w:highlight w:val="none"/>
        </w:rPr>
      </w:pPr>
      <w:r>
        <w:rPr>
          <w:color w:val="auto"/>
          <w:highlight w:val="none"/>
        </w:rPr>
        <w:t>5. 电气专业：要求各系统名称须与图纸一致；桥架规格与图纸一致。</w:t>
      </w:r>
    </w:p>
    <w:p w14:paraId="171B5D6C">
      <w:pPr>
        <w:pStyle w:val="3"/>
        <w:tabs>
          <w:tab w:val="left" w:pos="0"/>
        </w:tabs>
        <w:rPr>
          <w:color w:val="auto"/>
          <w:highlight w:val="none"/>
        </w:rPr>
      </w:pPr>
      <w:bookmarkStart w:id="193" w:name="_Toc13917"/>
      <w:r>
        <w:rPr>
          <w:color w:val="auto"/>
          <w:highlight w:val="none"/>
        </w:rPr>
        <w:t>进度控制</w:t>
      </w:r>
      <w:bookmarkEnd w:id="193"/>
    </w:p>
    <w:p w14:paraId="4E3AA9CF">
      <w:pPr>
        <w:pStyle w:val="4"/>
        <w:tabs>
          <w:tab w:val="left" w:pos="0"/>
        </w:tabs>
        <w:spacing w:before="120" w:after="120"/>
        <w:rPr>
          <w:color w:val="auto"/>
          <w:highlight w:val="none"/>
        </w:rPr>
      </w:pPr>
      <w:r>
        <w:rPr>
          <w:color w:val="auto"/>
          <w:highlight w:val="none"/>
        </w:rPr>
        <w:t>在项目规划前期，代建局前期工作部或项目建设管理部根据拟定项目进度计划，制定项目实施的BIM工作总实施计划，如《BIM实施导则》附表2所示。</w:t>
      </w:r>
    </w:p>
    <w:p w14:paraId="6F264027">
      <w:pPr>
        <w:pStyle w:val="4"/>
        <w:tabs>
          <w:tab w:val="left" w:pos="0"/>
        </w:tabs>
        <w:spacing w:before="120" w:after="120"/>
        <w:rPr>
          <w:color w:val="auto"/>
          <w:highlight w:val="none"/>
        </w:rPr>
      </w:pPr>
      <w:r>
        <w:rPr>
          <w:color w:val="auto"/>
          <w:highlight w:val="none"/>
        </w:rPr>
        <w:t>项目进度控制管理</w:t>
      </w:r>
    </w:p>
    <w:p w14:paraId="62F9FCD3">
      <w:pPr>
        <w:spacing w:before="120" w:after="120"/>
        <w:rPr>
          <w:color w:val="auto"/>
          <w:highlight w:val="none"/>
        </w:rPr>
      </w:pPr>
      <w:r>
        <w:rPr>
          <w:color w:val="auto"/>
          <w:highlight w:val="none"/>
        </w:rPr>
        <w:t>1. BIM总协调方根据项目总实施进度制定各阶段BIM实施进度计划，确定模型及成果提交节点及时间；</w:t>
      </w:r>
    </w:p>
    <w:p w14:paraId="54A85D8E">
      <w:pPr>
        <w:spacing w:before="120" w:after="120"/>
        <w:rPr>
          <w:color w:val="auto"/>
          <w:highlight w:val="none"/>
        </w:rPr>
      </w:pPr>
      <w:r>
        <w:rPr>
          <w:color w:val="auto"/>
          <w:highlight w:val="none"/>
        </w:rPr>
        <w:t>2. 各阶段BIM实施团队根据BIM总协调方制定BIM实施进度计划，要求在计划日期内在项目协同平台上提交BIM成果；</w:t>
      </w:r>
    </w:p>
    <w:p w14:paraId="4B2689F9">
      <w:pPr>
        <w:spacing w:before="120" w:after="120"/>
        <w:rPr>
          <w:color w:val="auto"/>
          <w:highlight w:val="none"/>
        </w:rPr>
      </w:pPr>
      <w:r>
        <w:rPr>
          <w:color w:val="auto"/>
          <w:highlight w:val="none"/>
        </w:rPr>
        <w:t>3. BIM总协调方审核BIM模型及成果是否满足交付规格及要求，没达到要求的应填写修改意见单并反馈至BIM实施单位，BIM实施单位修改后重新提交；</w:t>
      </w:r>
    </w:p>
    <w:p w14:paraId="595CEF27">
      <w:pPr>
        <w:spacing w:before="120" w:after="120"/>
        <w:rPr>
          <w:color w:val="auto"/>
          <w:highlight w:val="none"/>
        </w:rPr>
      </w:pPr>
      <w:r>
        <w:rPr>
          <w:color w:val="auto"/>
          <w:highlight w:val="none"/>
        </w:rPr>
        <w:t>4. BIM实施计划应根据项目实施过程实现过程监督及偏差分析；</w:t>
      </w:r>
    </w:p>
    <w:p w14:paraId="48A1BDFE">
      <w:pPr>
        <w:spacing w:before="120" w:after="120"/>
        <w:rPr>
          <w:color w:val="auto"/>
          <w:highlight w:val="none"/>
        </w:rPr>
      </w:pPr>
      <w:r>
        <w:rPr>
          <w:color w:val="auto"/>
          <w:highlight w:val="none"/>
        </w:rPr>
        <w:t>5. BIM实施进度没能按计划实施的，应追踪查明延误原因，及时纠正偏差并追究相关方责任。</w:t>
      </w:r>
    </w:p>
    <w:p w14:paraId="616EA217">
      <w:pPr>
        <w:pStyle w:val="4"/>
        <w:tabs>
          <w:tab w:val="left" w:pos="0"/>
        </w:tabs>
        <w:spacing w:before="120" w:after="120"/>
        <w:rPr>
          <w:color w:val="auto"/>
          <w:highlight w:val="none"/>
        </w:rPr>
      </w:pPr>
      <w:r>
        <w:rPr>
          <w:color w:val="auto"/>
          <w:highlight w:val="none"/>
        </w:rPr>
        <w:t>项目进度控制审查方法</w:t>
      </w:r>
    </w:p>
    <w:p w14:paraId="07037C81">
      <w:pPr>
        <w:spacing w:before="120" w:after="120"/>
        <w:rPr>
          <w:color w:val="auto"/>
          <w:highlight w:val="none"/>
        </w:rPr>
      </w:pPr>
      <w:r>
        <w:rPr>
          <w:color w:val="auto"/>
          <w:highlight w:val="none"/>
        </w:rPr>
        <w:t>1. 审核节点：日常工作（每周），项目阶段性节点；</w:t>
      </w:r>
    </w:p>
    <w:p w14:paraId="3A2A2569">
      <w:pPr>
        <w:spacing w:before="120" w:after="120"/>
        <w:rPr>
          <w:color w:val="auto"/>
          <w:highlight w:val="none"/>
        </w:rPr>
      </w:pPr>
      <w:r>
        <w:rPr>
          <w:color w:val="auto"/>
          <w:highlight w:val="none"/>
        </w:rPr>
        <w:t>2. 审查依据：项目BIM实施进度计划；</w:t>
      </w:r>
    </w:p>
    <w:p w14:paraId="732878AF">
      <w:pPr>
        <w:spacing w:before="120" w:after="120"/>
        <w:rPr>
          <w:color w:val="auto"/>
          <w:highlight w:val="none"/>
        </w:rPr>
      </w:pPr>
      <w:r>
        <w:rPr>
          <w:color w:val="auto"/>
          <w:highlight w:val="none"/>
        </w:rPr>
        <w:t>3. 审核形式：项目BIM协调周例会；</w:t>
      </w:r>
    </w:p>
    <w:p w14:paraId="629B2A55">
      <w:pPr>
        <w:spacing w:before="120" w:after="120"/>
        <w:rPr>
          <w:color w:val="auto"/>
          <w:highlight w:val="none"/>
        </w:rPr>
      </w:pPr>
      <w:r>
        <w:rPr>
          <w:color w:val="auto"/>
          <w:highlight w:val="none"/>
        </w:rPr>
        <w:t>4. 审核人员：BIM总协调方负责人、项目各参与方BIM负责人；</w:t>
      </w:r>
    </w:p>
    <w:p w14:paraId="016C6D37">
      <w:pPr>
        <w:spacing w:before="120" w:after="120"/>
        <w:rPr>
          <w:color w:val="auto"/>
          <w:highlight w:val="none"/>
        </w:rPr>
      </w:pPr>
      <w:r>
        <w:rPr>
          <w:color w:val="auto"/>
          <w:highlight w:val="none"/>
        </w:rPr>
        <w:t>5. 审核内容：参照项目进度计划比对，审核项目子项模型完成进度审查（动态审核、节点审核）；</w:t>
      </w:r>
    </w:p>
    <w:p w14:paraId="0173D87B">
      <w:pPr>
        <w:spacing w:before="120" w:after="120"/>
        <w:rPr>
          <w:color w:val="auto"/>
          <w:highlight w:val="none"/>
        </w:rPr>
      </w:pPr>
      <w:r>
        <w:rPr>
          <w:color w:val="auto"/>
          <w:highlight w:val="none"/>
        </w:rPr>
        <w:t>6. 审核结论：进度调差，动态调整后期建模工作安排。</w:t>
      </w:r>
    </w:p>
    <w:p w14:paraId="7BA6A1D2">
      <w:pPr>
        <w:spacing w:before="120" w:after="120"/>
        <w:rPr>
          <w:color w:val="auto"/>
          <w:highlight w:val="none"/>
        </w:rPr>
      </w:pPr>
    </w:p>
    <w:p w14:paraId="3421089D">
      <w:pPr>
        <w:spacing w:before="120" w:after="120"/>
        <w:rPr>
          <w:color w:val="auto"/>
          <w:highlight w:val="none"/>
        </w:rPr>
      </w:pPr>
    </w:p>
    <w:p w14:paraId="057A5573">
      <w:pPr>
        <w:pStyle w:val="2"/>
        <w:tabs>
          <w:tab w:val="left" w:pos="0"/>
        </w:tabs>
        <w:spacing w:before="720" w:after="480"/>
        <w:rPr>
          <w:color w:val="auto"/>
          <w:highlight w:val="none"/>
        </w:rPr>
        <w:sectPr>
          <w:pgSz w:w="11910" w:h="16840"/>
          <w:pgMar w:top="1440" w:right="1800" w:bottom="1440" w:left="1800" w:header="907" w:footer="973" w:gutter="0"/>
          <w:pgNumType w:fmt="numberInDash"/>
          <w:cols w:space="720" w:num="1"/>
        </w:sectPr>
      </w:pPr>
    </w:p>
    <w:p w14:paraId="7D096CFC">
      <w:pPr>
        <w:pStyle w:val="2"/>
        <w:tabs>
          <w:tab w:val="left" w:pos="0"/>
        </w:tabs>
        <w:spacing w:before="720" w:after="480"/>
        <w:rPr>
          <w:color w:val="auto"/>
          <w:highlight w:val="none"/>
        </w:rPr>
      </w:pPr>
      <w:bookmarkStart w:id="194" w:name="_Toc16455"/>
      <w:r>
        <w:rPr>
          <w:color w:val="auto"/>
          <w:highlight w:val="none"/>
        </w:rPr>
        <w:t>交付成果要求</w:t>
      </w:r>
      <w:bookmarkEnd w:id="194"/>
    </w:p>
    <w:p w14:paraId="5EBF8081">
      <w:pPr>
        <w:pStyle w:val="3"/>
        <w:tabs>
          <w:tab w:val="left" w:pos="0"/>
        </w:tabs>
        <w:rPr>
          <w:color w:val="auto"/>
          <w:highlight w:val="none"/>
        </w:rPr>
      </w:pPr>
      <w:bookmarkStart w:id="195" w:name="_Toc20637"/>
      <w:r>
        <w:rPr>
          <w:color w:val="auto"/>
          <w:highlight w:val="none"/>
        </w:rPr>
        <w:t>模型提交成果要求</w:t>
      </w:r>
      <w:bookmarkEnd w:id="195"/>
    </w:p>
    <w:p w14:paraId="64B504EB">
      <w:pPr>
        <w:pStyle w:val="4"/>
        <w:tabs>
          <w:tab w:val="left" w:pos="0"/>
        </w:tabs>
        <w:spacing w:before="120" w:after="120"/>
        <w:rPr>
          <w:color w:val="auto"/>
          <w:highlight w:val="none"/>
        </w:rPr>
      </w:pPr>
      <w:r>
        <w:rPr>
          <w:color w:val="auto"/>
          <w:highlight w:val="none"/>
        </w:rPr>
        <w:t>模型提交成果应符合以下要求：</w:t>
      </w:r>
    </w:p>
    <w:p w14:paraId="07603FC9">
      <w:pPr>
        <w:spacing w:before="120" w:after="120"/>
        <w:rPr>
          <w:color w:val="auto"/>
          <w:highlight w:val="none"/>
        </w:rPr>
      </w:pPr>
      <w:r>
        <w:rPr>
          <w:color w:val="auto"/>
          <w:highlight w:val="none"/>
        </w:rPr>
        <w:t>1. 项目各参与方应根据合同约定的BIM内容，按节点要求按时提交成果，并保证交付成果要求符合相关合同范围及标准要求；</w:t>
      </w:r>
    </w:p>
    <w:p w14:paraId="4F883BB5">
      <w:pPr>
        <w:spacing w:before="120" w:after="120"/>
        <w:rPr>
          <w:color w:val="auto"/>
          <w:highlight w:val="none"/>
        </w:rPr>
      </w:pPr>
      <w:r>
        <w:rPr>
          <w:color w:val="auto"/>
          <w:highlight w:val="none"/>
        </w:rPr>
        <w:t>2. 项目各参与方在提交BIM成果时，参与方BIM负责人应将BIM成果交付函件、签收单、BIM成果文件一并提交BIM总协调方；</w:t>
      </w:r>
    </w:p>
    <w:p w14:paraId="33EA04EA">
      <w:pPr>
        <w:spacing w:before="120" w:after="120"/>
        <w:rPr>
          <w:color w:val="auto"/>
          <w:highlight w:val="none"/>
        </w:rPr>
      </w:pPr>
      <w:r>
        <w:rPr>
          <w:color w:val="auto"/>
          <w:highlight w:val="none"/>
        </w:rPr>
        <w:t>3. 项目各参与方在项目BIM实施过程中提交的所有成果，应接受BIM总协调方的管理与监督。</w:t>
      </w:r>
    </w:p>
    <w:p w14:paraId="69124C69">
      <w:pPr>
        <w:pStyle w:val="3"/>
        <w:tabs>
          <w:tab w:val="left" w:pos="0"/>
        </w:tabs>
        <w:rPr>
          <w:color w:val="auto"/>
          <w:highlight w:val="none"/>
        </w:rPr>
      </w:pPr>
      <w:bookmarkStart w:id="196" w:name="_Toc29184"/>
      <w:r>
        <w:rPr>
          <w:color w:val="auto"/>
          <w:highlight w:val="none"/>
        </w:rPr>
        <w:t>成果交付格式</w:t>
      </w:r>
      <w:bookmarkEnd w:id="196"/>
    </w:p>
    <w:p w14:paraId="064D46C1">
      <w:pPr>
        <w:pStyle w:val="4"/>
        <w:tabs>
          <w:tab w:val="left" w:pos="0"/>
        </w:tabs>
        <w:spacing w:before="120" w:after="120"/>
        <w:rPr>
          <w:color w:val="auto"/>
          <w:highlight w:val="none"/>
        </w:rPr>
      </w:pPr>
      <w:r>
        <w:rPr>
          <w:color w:val="auto"/>
          <w:highlight w:val="none"/>
        </w:rPr>
        <w:t>BIM应用成果需提供原始模型文件格式，对于同类文件格式应使用统一的版本，常用数据交付格式如下表所示：</w:t>
      </w:r>
    </w:p>
    <w:p w14:paraId="435F3081">
      <w:pPr>
        <w:pStyle w:val="401"/>
        <w:rPr>
          <w:color w:val="auto"/>
          <w:highlight w:val="none"/>
        </w:rPr>
      </w:pPr>
      <w:r>
        <w:rPr>
          <w:color w:val="auto"/>
          <w:highlight w:val="none"/>
        </w:rPr>
        <w:t>表4.2.1  数据交付格式</w:t>
      </w:r>
    </w:p>
    <w:tbl>
      <w:tblPr>
        <w:tblStyle w:val="519"/>
        <w:tblW w:w="4998" w:type="pct"/>
        <w:tblInd w:w="0" w:type="dxa"/>
        <w:tblLayout w:type="autofit"/>
        <w:tblCellMar>
          <w:top w:w="0" w:type="dxa"/>
          <w:left w:w="0" w:type="dxa"/>
          <w:bottom w:w="0" w:type="dxa"/>
          <w:right w:w="0" w:type="dxa"/>
        </w:tblCellMar>
      </w:tblPr>
      <w:tblGrid>
        <w:gridCol w:w="705"/>
        <w:gridCol w:w="1264"/>
        <w:gridCol w:w="2223"/>
        <w:gridCol w:w="1383"/>
        <w:gridCol w:w="2958"/>
      </w:tblGrid>
      <w:tr w14:paraId="505F341D">
        <w:tblPrEx>
          <w:tblCellMar>
            <w:top w:w="0" w:type="dxa"/>
            <w:left w:w="0" w:type="dxa"/>
            <w:bottom w:w="0" w:type="dxa"/>
            <w:right w:w="0" w:type="dxa"/>
          </w:tblCellMar>
        </w:tblPrEx>
        <w:trPr>
          <w:trHeight w:val="454" w:hRule="atLeast"/>
          <w:tblHeader/>
        </w:trPr>
        <w:tc>
          <w:tcPr>
            <w:tcW w:w="413"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71CC703">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序号</w:t>
            </w:r>
          </w:p>
        </w:tc>
        <w:tc>
          <w:tcPr>
            <w:tcW w:w="74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6A6381F">
            <w:pPr>
              <w:spacing w:before="120" w:after="120" w:line="312"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内容</w:t>
            </w:r>
          </w:p>
        </w:tc>
        <w:tc>
          <w:tcPr>
            <w:tcW w:w="130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3ADE1E8">
            <w:pPr>
              <w:spacing w:before="120" w:after="120" w:line="312"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软件</w:t>
            </w: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9554E5C">
            <w:pPr>
              <w:spacing w:before="120" w:after="120" w:line="312"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交付格式</w:t>
            </w:r>
          </w:p>
        </w:tc>
        <w:tc>
          <w:tcPr>
            <w:tcW w:w="173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4C07772">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备注</w:t>
            </w:r>
          </w:p>
        </w:tc>
      </w:tr>
      <w:tr w14:paraId="4F239004">
        <w:tblPrEx>
          <w:tblCellMar>
            <w:top w:w="0" w:type="dxa"/>
            <w:left w:w="0" w:type="dxa"/>
            <w:bottom w:w="0" w:type="dxa"/>
            <w:right w:w="0" w:type="dxa"/>
          </w:tblCellMar>
        </w:tblPrEx>
        <w:trPr>
          <w:trHeight w:val="454" w:hRule="atLeast"/>
        </w:trPr>
        <w:tc>
          <w:tcPr>
            <w:tcW w:w="413"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31C5706F">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1</w:t>
            </w:r>
          </w:p>
        </w:tc>
        <w:tc>
          <w:tcPr>
            <w:tcW w:w="740"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2FB438BD">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模型成果文件</w:t>
            </w:r>
          </w:p>
        </w:tc>
        <w:tc>
          <w:tcPr>
            <w:tcW w:w="130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8F1ED9B">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AutodeskRevit</w:t>
            </w: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6720E23">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*.rvt</w:t>
            </w: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*.rfa</w:t>
            </w:r>
          </w:p>
        </w:tc>
        <w:tc>
          <w:tcPr>
            <w:tcW w:w="1732"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3BD71D5F">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761EA9C3">
        <w:tblPrEx>
          <w:tblCellMar>
            <w:top w:w="0" w:type="dxa"/>
            <w:left w:w="0" w:type="dxa"/>
            <w:bottom w:w="0" w:type="dxa"/>
            <w:right w:w="0" w:type="dxa"/>
          </w:tblCellMar>
        </w:tblPrEx>
        <w:trPr>
          <w:trHeight w:val="454" w:hRule="atLeast"/>
        </w:trPr>
        <w:tc>
          <w:tcPr>
            <w:tcW w:w="413"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356ADC1E">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740"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766DABB9">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30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1AE8624">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Catia</w:t>
            </w: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4268674">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*.CATProduct</w:t>
            </w:r>
          </w:p>
        </w:tc>
        <w:tc>
          <w:tcPr>
            <w:tcW w:w="1732"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5DB16F5C">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222FECF2">
        <w:tblPrEx>
          <w:tblCellMar>
            <w:top w:w="0" w:type="dxa"/>
            <w:left w:w="0" w:type="dxa"/>
            <w:bottom w:w="0" w:type="dxa"/>
            <w:right w:w="0" w:type="dxa"/>
          </w:tblCellMar>
        </w:tblPrEx>
        <w:trPr>
          <w:trHeight w:val="454" w:hRule="atLeast"/>
        </w:trPr>
        <w:tc>
          <w:tcPr>
            <w:tcW w:w="413"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22835BD">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740"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73F6196">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30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01AF79F">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Tekla</w:t>
            </w: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7A1C173">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*.DB1</w:t>
            </w:r>
          </w:p>
        </w:tc>
        <w:tc>
          <w:tcPr>
            <w:tcW w:w="1732"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FA12985">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458F92A8">
        <w:tblPrEx>
          <w:tblCellMar>
            <w:top w:w="0" w:type="dxa"/>
            <w:left w:w="0" w:type="dxa"/>
            <w:bottom w:w="0" w:type="dxa"/>
            <w:right w:w="0" w:type="dxa"/>
          </w:tblCellMar>
        </w:tblPrEx>
        <w:trPr>
          <w:trHeight w:val="454" w:hRule="atLeast"/>
        </w:trPr>
        <w:tc>
          <w:tcPr>
            <w:tcW w:w="413"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7C20D445">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2</w:t>
            </w:r>
          </w:p>
        </w:tc>
        <w:tc>
          <w:tcPr>
            <w:tcW w:w="740"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2B77409D">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浏览审核文件格式</w:t>
            </w:r>
          </w:p>
        </w:tc>
        <w:tc>
          <w:tcPr>
            <w:tcW w:w="130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6A70D73">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Navisworks</w:t>
            </w: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862DCFF">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*.nwd</w:t>
            </w:r>
          </w:p>
        </w:tc>
        <w:tc>
          <w:tcPr>
            <w:tcW w:w="173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87CF1EA">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347E301D">
        <w:tblPrEx>
          <w:tblCellMar>
            <w:top w:w="0" w:type="dxa"/>
            <w:left w:w="0" w:type="dxa"/>
            <w:bottom w:w="0" w:type="dxa"/>
            <w:right w:w="0" w:type="dxa"/>
          </w:tblCellMar>
        </w:tblPrEx>
        <w:trPr>
          <w:trHeight w:val="454" w:hRule="atLeast"/>
        </w:trPr>
        <w:tc>
          <w:tcPr>
            <w:tcW w:w="413"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5BAB3A16">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740"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6AB500AF">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30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5FA7472">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Bentleyi-model</w:t>
            </w: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7B862C5">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*.i-model</w:t>
            </w:r>
          </w:p>
        </w:tc>
        <w:tc>
          <w:tcPr>
            <w:tcW w:w="173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0327D0D">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1C1C32C3">
        <w:tblPrEx>
          <w:tblCellMar>
            <w:top w:w="0" w:type="dxa"/>
            <w:left w:w="0" w:type="dxa"/>
            <w:bottom w:w="0" w:type="dxa"/>
            <w:right w:w="0" w:type="dxa"/>
          </w:tblCellMar>
        </w:tblPrEx>
        <w:trPr>
          <w:trHeight w:val="454" w:hRule="atLeast"/>
        </w:trPr>
        <w:tc>
          <w:tcPr>
            <w:tcW w:w="413"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72B6D09">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740"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EE607C6">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30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FA66811">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3dxml</w:t>
            </w: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0CCF465">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*.3dxml</w:t>
            </w:r>
          </w:p>
        </w:tc>
        <w:tc>
          <w:tcPr>
            <w:tcW w:w="173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3B1D81A">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7748143E">
        <w:tblPrEx>
          <w:tblCellMar>
            <w:top w:w="0" w:type="dxa"/>
            <w:left w:w="0" w:type="dxa"/>
            <w:bottom w:w="0" w:type="dxa"/>
            <w:right w:w="0" w:type="dxa"/>
          </w:tblCellMar>
        </w:tblPrEx>
        <w:trPr>
          <w:trHeight w:val="454" w:hRule="atLeast"/>
        </w:trPr>
        <w:tc>
          <w:tcPr>
            <w:tcW w:w="413"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787DF8C7">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3</w:t>
            </w:r>
          </w:p>
        </w:tc>
        <w:tc>
          <w:tcPr>
            <w:tcW w:w="740"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19638EB2">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媒体文件格式</w:t>
            </w:r>
          </w:p>
        </w:tc>
        <w:tc>
          <w:tcPr>
            <w:tcW w:w="1302"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5CC30E2F">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CF989FF">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*.AVI</w:t>
            </w:r>
          </w:p>
        </w:tc>
        <w:tc>
          <w:tcPr>
            <w:tcW w:w="1732"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7FF68CD2">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原始分辨率不小于800*600,帧率不少于15帧/秒。内容时长应以充分说明所表达内容为准</w:t>
            </w:r>
            <w:r>
              <w:rPr>
                <w:rFonts w:hint="eastAsia" w:ascii="宋体" w:hAnsi="宋体" w:eastAsia="宋体" w:cs="宋体"/>
                <w:color w:val="auto"/>
                <w:sz w:val="18"/>
                <w:szCs w:val="18"/>
                <w:highlight w:val="none"/>
                <w:lang w:eastAsia="en-US"/>
              </w:rPr>
              <w:t>。</w:t>
            </w:r>
          </w:p>
        </w:tc>
      </w:tr>
      <w:tr w14:paraId="046026FE">
        <w:tblPrEx>
          <w:tblCellMar>
            <w:top w:w="0" w:type="dxa"/>
            <w:left w:w="0" w:type="dxa"/>
            <w:bottom w:w="0" w:type="dxa"/>
            <w:right w:w="0" w:type="dxa"/>
          </w:tblCellMar>
        </w:tblPrEx>
        <w:trPr>
          <w:trHeight w:val="454" w:hRule="atLeast"/>
        </w:trPr>
        <w:tc>
          <w:tcPr>
            <w:tcW w:w="413"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3985A49F">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740"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014CCDE7">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302"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598F0AB6">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84788C5">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*.wmv</w:t>
            </w:r>
          </w:p>
        </w:tc>
        <w:tc>
          <w:tcPr>
            <w:tcW w:w="1732"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4DD3574F">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6AB37B5A">
        <w:tblPrEx>
          <w:tblCellMar>
            <w:top w:w="0" w:type="dxa"/>
            <w:left w:w="0" w:type="dxa"/>
            <w:bottom w:w="0" w:type="dxa"/>
            <w:right w:w="0" w:type="dxa"/>
          </w:tblCellMar>
        </w:tblPrEx>
        <w:trPr>
          <w:trHeight w:val="454" w:hRule="atLeast"/>
        </w:trPr>
        <w:tc>
          <w:tcPr>
            <w:tcW w:w="413"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3BD071F">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740"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ED72156">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302"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C12169E">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4AB563B">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*.MP4</w:t>
            </w:r>
          </w:p>
        </w:tc>
        <w:tc>
          <w:tcPr>
            <w:tcW w:w="1732"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2FB6206">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458B5A67">
        <w:tblPrEx>
          <w:tblCellMar>
            <w:top w:w="0" w:type="dxa"/>
            <w:left w:w="0" w:type="dxa"/>
            <w:bottom w:w="0" w:type="dxa"/>
            <w:right w:w="0" w:type="dxa"/>
          </w:tblCellMar>
        </w:tblPrEx>
        <w:trPr>
          <w:trHeight w:val="454" w:hRule="atLeast"/>
        </w:trPr>
        <w:tc>
          <w:tcPr>
            <w:tcW w:w="413"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6DD1243D">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4</w:t>
            </w:r>
          </w:p>
        </w:tc>
        <w:tc>
          <w:tcPr>
            <w:tcW w:w="740"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653E1624">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图片文件</w:t>
            </w:r>
          </w:p>
        </w:tc>
        <w:tc>
          <w:tcPr>
            <w:tcW w:w="1302"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62285886">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FD0C8EC">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*.jpeg</w:t>
            </w:r>
          </w:p>
        </w:tc>
        <w:tc>
          <w:tcPr>
            <w:tcW w:w="1732"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2CB6B667">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分辨率不小于1280*720</w:t>
            </w:r>
          </w:p>
        </w:tc>
      </w:tr>
      <w:tr w14:paraId="188C34AF">
        <w:tblPrEx>
          <w:tblCellMar>
            <w:top w:w="0" w:type="dxa"/>
            <w:left w:w="0" w:type="dxa"/>
            <w:bottom w:w="0" w:type="dxa"/>
            <w:right w:w="0" w:type="dxa"/>
          </w:tblCellMar>
        </w:tblPrEx>
        <w:trPr>
          <w:trHeight w:val="454" w:hRule="atLeast"/>
        </w:trPr>
        <w:tc>
          <w:tcPr>
            <w:tcW w:w="413"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C5EC8FD">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740"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9C12386">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302"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6A3A534">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71A2447">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*.png</w:t>
            </w:r>
          </w:p>
        </w:tc>
        <w:tc>
          <w:tcPr>
            <w:tcW w:w="1732"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9FF56DE">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7AB3D4A3">
        <w:tblPrEx>
          <w:tblCellMar>
            <w:top w:w="0" w:type="dxa"/>
            <w:left w:w="0" w:type="dxa"/>
            <w:bottom w:w="0" w:type="dxa"/>
            <w:right w:w="0" w:type="dxa"/>
          </w:tblCellMar>
        </w:tblPrEx>
        <w:trPr>
          <w:trHeight w:val="454" w:hRule="atLeast"/>
        </w:trPr>
        <w:tc>
          <w:tcPr>
            <w:tcW w:w="413"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18142F9E">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5</w:t>
            </w:r>
          </w:p>
        </w:tc>
        <w:tc>
          <w:tcPr>
            <w:tcW w:w="740"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6200C70A">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办公文件</w:t>
            </w:r>
          </w:p>
        </w:tc>
        <w:tc>
          <w:tcPr>
            <w:tcW w:w="1302"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11A0B6AF">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Office</w:t>
            </w: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8B3EE8F">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*.doc/*.docx</w:t>
            </w:r>
          </w:p>
        </w:tc>
        <w:tc>
          <w:tcPr>
            <w:tcW w:w="1732"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5DCC025D">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33F63F36">
        <w:tblPrEx>
          <w:tblCellMar>
            <w:top w:w="0" w:type="dxa"/>
            <w:left w:w="0" w:type="dxa"/>
            <w:bottom w:w="0" w:type="dxa"/>
            <w:right w:w="0" w:type="dxa"/>
          </w:tblCellMar>
        </w:tblPrEx>
        <w:trPr>
          <w:trHeight w:val="454" w:hRule="atLeast"/>
        </w:trPr>
        <w:tc>
          <w:tcPr>
            <w:tcW w:w="413"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161CF170">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740"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39F483DD">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302"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2FE555F8">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647B426">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*.xls/*.xlsx</w:t>
            </w:r>
          </w:p>
        </w:tc>
        <w:tc>
          <w:tcPr>
            <w:tcW w:w="1732"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3B253207">
            <w:pPr>
              <w:spacing w:before="120" w:after="120" w:line="240" w:lineRule="auto"/>
              <w:ind w:firstLine="0" w:firstLineChars="0"/>
              <w:jc w:val="center"/>
              <w:rPr>
                <w:rFonts w:ascii="Calibri" w:hAnsi="Calibri" w:eastAsia="宋体"/>
                <w:color w:val="auto"/>
                <w:highlight w:val="none"/>
                <w:lang w:eastAsia="en-US"/>
              </w:rPr>
            </w:pPr>
          </w:p>
        </w:tc>
      </w:tr>
      <w:tr w14:paraId="7681E808">
        <w:tblPrEx>
          <w:tblCellMar>
            <w:top w:w="0" w:type="dxa"/>
            <w:left w:w="0" w:type="dxa"/>
            <w:bottom w:w="0" w:type="dxa"/>
            <w:right w:w="0" w:type="dxa"/>
          </w:tblCellMar>
        </w:tblPrEx>
        <w:trPr>
          <w:trHeight w:val="454" w:hRule="atLeast"/>
        </w:trPr>
        <w:tc>
          <w:tcPr>
            <w:tcW w:w="413"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7E885446">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740"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659C2FA3">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302"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D6078F8">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D11B3CA">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*.ppt/*.pptx</w:t>
            </w:r>
          </w:p>
        </w:tc>
        <w:tc>
          <w:tcPr>
            <w:tcW w:w="1732" w:type="pct"/>
            <w:vMerge w:val="continue"/>
            <w:tcBorders>
              <w:left w:val="single" w:color="000000" w:sz="4" w:space="0"/>
              <w:right w:val="single" w:color="000000" w:sz="4" w:space="0"/>
            </w:tcBorders>
            <w:noWrap w:val="0"/>
            <w:tcMar>
              <w:top w:w="113" w:type="dxa"/>
              <w:left w:w="113" w:type="dxa"/>
              <w:bottom w:w="113" w:type="dxa"/>
              <w:right w:w="113" w:type="dxa"/>
            </w:tcMar>
            <w:vAlign w:val="center"/>
          </w:tcPr>
          <w:p w14:paraId="21D69DF1">
            <w:pPr>
              <w:spacing w:before="120" w:after="120" w:line="240" w:lineRule="auto"/>
              <w:ind w:firstLine="0" w:firstLineChars="0"/>
              <w:jc w:val="center"/>
              <w:rPr>
                <w:rFonts w:ascii="Calibri" w:hAnsi="Calibri" w:eastAsia="宋体"/>
                <w:color w:val="auto"/>
                <w:highlight w:val="none"/>
                <w:lang w:eastAsia="en-US"/>
              </w:rPr>
            </w:pPr>
          </w:p>
        </w:tc>
      </w:tr>
      <w:tr w14:paraId="72A053F7">
        <w:tblPrEx>
          <w:tblCellMar>
            <w:top w:w="0" w:type="dxa"/>
            <w:left w:w="0" w:type="dxa"/>
            <w:bottom w:w="0" w:type="dxa"/>
            <w:right w:w="0" w:type="dxa"/>
          </w:tblCellMar>
        </w:tblPrEx>
        <w:trPr>
          <w:trHeight w:val="454" w:hRule="atLeast"/>
        </w:trPr>
        <w:tc>
          <w:tcPr>
            <w:tcW w:w="413"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655B196">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740"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F596CCA">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30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18DA207">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Adobe</w:t>
            </w:r>
          </w:p>
        </w:tc>
        <w:tc>
          <w:tcPr>
            <w:tcW w:w="810"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64C13F0">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*.pdf</w:t>
            </w:r>
          </w:p>
        </w:tc>
        <w:tc>
          <w:tcPr>
            <w:tcW w:w="1732"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9E4E32D">
            <w:pPr>
              <w:spacing w:before="120" w:after="120" w:line="240" w:lineRule="auto"/>
              <w:ind w:firstLine="0" w:firstLineChars="0"/>
              <w:jc w:val="center"/>
              <w:rPr>
                <w:rFonts w:ascii="Calibri" w:hAnsi="Calibri" w:eastAsia="宋体"/>
                <w:color w:val="auto"/>
                <w:highlight w:val="none"/>
                <w:lang w:eastAsia="en-US"/>
              </w:rPr>
            </w:pPr>
          </w:p>
        </w:tc>
      </w:tr>
    </w:tbl>
    <w:p w14:paraId="2E0C61B2">
      <w:pPr>
        <w:spacing w:before="120" w:after="120"/>
        <w:rPr>
          <w:color w:val="auto"/>
          <w:highlight w:val="none"/>
        </w:rPr>
      </w:pPr>
    </w:p>
    <w:p w14:paraId="6750F898">
      <w:pPr>
        <w:pStyle w:val="3"/>
        <w:tabs>
          <w:tab w:val="left" w:pos="0"/>
        </w:tabs>
        <w:rPr>
          <w:color w:val="auto"/>
          <w:highlight w:val="none"/>
        </w:rPr>
      </w:pPr>
      <w:bookmarkStart w:id="197" w:name="_Toc7253"/>
      <w:r>
        <w:rPr>
          <w:color w:val="auto"/>
          <w:highlight w:val="none"/>
        </w:rPr>
        <w:t>成果交付内容</w:t>
      </w:r>
      <w:bookmarkEnd w:id="197"/>
    </w:p>
    <w:p w14:paraId="0213B94E">
      <w:pPr>
        <w:pStyle w:val="4"/>
        <w:tabs>
          <w:tab w:val="left" w:pos="0"/>
        </w:tabs>
        <w:spacing w:before="120" w:after="120"/>
        <w:rPr>
          <w:color w:val="auto"/>
          <w:highlight w:val="none"/>
        </w:rPr>
      </w:pPr>
      <w:r>
        <w:rPr>
          <w:color w:val="auto"/>
          <w:highlight w:val="none"/>
        </w:rPr>
        <w:t>BIM模型成果交付内容包括设计、施工、BIM总协调三大类内容，如表4.3.1所示。</w:t>
      </w:r>
    </w:p>
    <w:p w14:paraId="6D3E20DD">
      <w:pPr>
        <w:pStyle w:val="401"/>
        <w:rPr>
          <w:color w:val="auto"/>
          <w:highlight w:val="none"/>
        </w:rPr>
      </w:pPr>
      <w:r>
        <w:rPr>
          <w:color w:val="auto"/>
          <w:highlight w:val="none"/>
        </w:rPr>
        <w:t>表4.3.1  成果交付内容</w:t>
      </w:r>
    </w:p>
    <w:tbl>
      <w:tblPr>
        <w:tblStyle w:val="5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8"/>
        <w:gridCol w:w="508"/>
        <w:gridCol w:w="598"/>
        <w:gridCol w:w="1815"/>
        <w:gridCol w:w="2464"/>
        <w:gridCol w:w="1975"/>
        <w:gridCol w:w="755"/>
      </w:tblGrid>
      <w:tr w14:paraId="59DF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44" w:type="pct"/>
            <w:noWrap w:val="0"/>
            <w:tcMar>
              <w:top w:w="113" w:type="dxa"/>
              <w:left w:w="113" w:type="dxa"/>
              <w:bottom w:w="113" w:type="dxa"/>
              <w:right w:w="113" w:type="dxa"/>
            </w:tcMar>
            <w:vAlign w:val="center"/>
          </w:tcPr>
          <w:p w14:paraId="58F9A727">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序号</w:t>
            </w:r>
          </w:p>
        </w:tc>
        <w:tc>
          <w:tcPr>
            <w:tcW w:w="297" w:type="pct"/>
            <w:noWrap w:val="0"/>
            <w:tcMar>
              <w:top w:w="113" w:type="dxa"/>
              <w:left w:w="113" w:type="dxa"/>
              <w:bottom w:w="113" w:type="dxa"/>
              <w:right w:w="113" w:type="dxa"/>
            </w:tcMar>
            <w:vAlign w:val="center"/>
          </w:tcPr>
          <w:p w14:paraId="0C357674">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阶段</w:t>
            </w:r>
          </w:p>
        </w:tc>
        <w:tc>
          <w:tcPr>
            <w:tcW w:w="350" w:type="pct"/>
            <w:noWrap w:val="0"/>
            <w:tcMar>
              <w:top w:w="113" w:type="dxa"/>
              <w:left w:w="113" w:type="dxa"/>
              <w:bottom w:w="113" w:type="dxa"/>
              <w:right w:w="113" w:type="dxa"/>
            </w:tcMar>
            <w:vAlign w:val="center"/>
          </w:tcPr>
          <w:p w14:paraId="4AC4397A">
            <w:pPr>
              <w:spacing w:before="120" w:after="120" w:line="312"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交付</w:t>
            </w:r>
          </w:p>
          <w:p w14:paraId="283D5B8A">
            <w:pPr>
              <w:spacing w:before="120" w:after="120" w:line="312"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单位</w:t>
            </w:r>
          </w:p>
        </w:tc>
        <w:tc>
          <w:tcPr>
            <w:tcW w:w="1063" w:type="pct"/>
            <w:noWrap w:val="0"/>
            <w:tcMar>
              <w:top w:w="113" w:type="dxa"/>
              <w:left w:w="113" w:type="dxa"/>
              <w:bottom w:w="113" w:type="dxa"/>
              <w:right w:w="113" w:type="dxa"/>
            </w:tcMar>
            <w:vAlign w:val="center"/>
          </w:tcPr>
          <w:p w14:paraId="66ECD961">
            <w:pPr>
              <w:spacing w:before="120" w:after="120" w:line="312"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交付成果</w:t>
            </w:r>
          </w:p>
        </w:tc>
        <w:tc>
          <w:tcPr>
            <w:tcW w:w="1443" w:type="pct"/>
            <w:noWrap w:val="0"/>
            <w:tcMar>
              <w:top w:w="113" w:type="dxa"/>
              <w:left w:w="113" w:type="dxa"/>
              <w:bottom w:w="113" w:type="dxa"/>
              <w:right w:w="113" w:type="dxa"/>
            </w:tcMar>
            <w:vAlign w:val="center"/>
          </w:tcPr>
          <w:p w14:paraId="734552FF">
            <w:pPr>
              <w:spacing w:before="120" w:after="120" w:line="312" w:lineRule="auto"/>
              <w:ind w:firstLine="0" w:firstLineChars="0"/>
              <w:jc w:val="center"/>
              <w:rPr>
                <w:rFonts w:ascii="宋体" w:hAnsi="宋体" w:eastAsia="宋体" w:cs="宋体"/>
                <w:b/>
                <w:bCs/>
                <w:color w:val="auto"/>
                <w:sz w:val="18"/>
                <w:szCs w:val="18"/>
                <w:highlight w:val="none"/>
                <w:lang w:eastAsia="en-US"/>
              </w:rPr>
            </w:pPr>
            <w:r>
              <w:rPr>
                <w:rFonts w:hint="eastAsia" w:ascii="宋体" w:hAnsi="宋体" w:eastAsia="宋体" w:cs="宋体"/>
                <w:b/>
                <w:bCs/>
                <w:color w:val="auto"/>
                <w:sz w:val="18"/>
                <w:szCs w:val="18"/>
                <w:highlight w:val="none"/>
                <w:lang w:eastAsia="en-US"/>
              </w:rPr>
              <w:t>交付内容</w:t>
            </w:r>
          </w:p>
        </w:tc>
        <w:tc>
          <w:tcPr>
            <w:tcW w:w="1157" w:type="pct"/>
            <w:noWrap w:val="0"/>
            <w:tcMar>
              <w:top w:w="113" w:type="dxa"/>
              <w:left w:w="113" w:type="dxa"/>
              <w:bottom w:w="113" w:type="dxa"/>
              <w:right w:w="113" w:type="dxa"/>
            </w:tcMar>
            <w:vAlign w:val="center"/>
          </w:tcPr>
          <w:p w14:paraId="219293E9">
            <w:pPr>
              <w:spacing w:before="120" w:after="120" w:line="312" w:lineRule="auto"/>
              <w:ind w:firstLine="0" w:firstLineChars="0"/>
              <w:jc w:val="center"/>
              <w:rPr>
                <w:rFonts w:ascii="宋体" w:hAnsi="宋体" w:eastAsia="宋体" w:cs="宋体"/>
                <w:b/>
                <w:bCs/>
                <w:color w:val="auto"/>
                <w:sz w:val="18"/>
                <w:szCs w:val="18"/>
                <w:highlight w:val="none"/>
                <w:lang w:eastAsia="en-US"/>
              </w:rPr>
            </w:pPr>
            <w:r>
              <w:rPr>
                <w:rFonts w:hint="eastAsia" w:ascii="宋体" w:hAnsi="宋体" w:eastAsia="宋体" w:cs="宋体"/>
                <w:b/>
                <w:bCs/>
                <w:color w:val="auto"/>
                <w:sz w:val="18"/>
                <w:szCs w:val="18"/>
                <w:highlight w:val="none"/>
                <w:lang w:eastAsia="en-US"/>
              </w:rPr>
              <w:t>交付格式</w:t>
            </w:r>
          </w:p>
        </w:tc>
        <w:tc>
          <w:tcPr>
            <w:tcW w:w="442" w:type="pct"/>
            <w:noWrap w:val="0"/>
            <w:tcMar>
              <w:top w:w="113" w:type="dxa"/>
              <w:left w:w="113" w:type="dxa"/>
              <w:bottom w:w="113" w:type="dxa"/>
              <w:right w:w="113" w:type="dxa"/>
            </w:tcMar>
            <w:vAlign w:val="center"/>
          </w:tcPr>
          <w:p w14:paraId="0C1C16AA">
            <w:pPr>
              <w:spacing w:before="120" w:after="120" w:line="312" w:lineRule="auto"/>
              <w:ind w:firstLine="0" w:firstLineChars="0"/>
              <w:jc w:val="center"/>
              <w:rPr>
                <w:rFonts w:ascii="宋体" w:hAnsi="宋体" w:eastAsia="宋体" w:cs="宋体"/>
                <w:b/>
                <w:bCs/>
                <w:color w:val="auto"/>
                <w:sz w:val="18"/>
                <w:szCs w:val="18"/>
                <w:highlight w:val="none"/>
                <w:lang w:eastAsia="en-US"/>
              </w:rPr>
            </w:pPr>
            <w:r>
              <w:rPr>
                <w:rFonts w:hint="eastAsia" w:ascii="宋体" w:hAnsi="宋体" w:eastAsia="宋体" w:cs="宋体"/>
                <w:b/>
                <w:bCs/>
                <w:color w:val="auto"/>
                <w:sz w:val="18"/>
                <w:szCs w:val="18"/>
                <w:highlight w:val="none"/>
                <w:lang w:eastAsia="en-US"/>
              </w:rPr>
              <w:t>接收单位</w:t>
            </w:r>
          </w:p>
        </w:tc>
      </w:tr>
      <w:tr w14:paraId="1D28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restart"/>
            <w:noWrap w:val="0"/>
            <w:tcMar>
              <w:top w:w="113" w:type="dxa"/>
              <w:left w:w="113" w:type="dxa"/>
              <w:bottom w:w="113" w:type="dxa"/>
              <w:right w:w="113" w:type="dxa"/>
            </w:tcMar>
            <w:vAlign w:val="center"/>
          </w:tcPr>
          <w:p w14:paraId="6F0752DA">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1</w:t>
            </w:r>
          </w:p>
        </w:tc>
        <w:tc>
          <w:tcPr>
            <w:tcW w:w="297" w:type="pct"/>
            <w:vMerge w:val="restart"/>
            <w:noWrap w:val="0"/>
            <w:tcMar>
              <w:top w:w="113" w:type="dxa"/>
              <w:left w:w="113" w:type="dxa"/>
              <w:bottom w:w="113" w:type="dxa"/>
              <w:right w:w="113" w:type="dxa"/>
            </w:tcMar>
            <w:vAlign w:val="center"/>
          </w:tcPr>
          <w:p w14:paraId="749DFE04">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设计阶段</w:t>
            </w:r>
          </w:p>
        </w:tc>
        <w:tc>
          <w:tcPr>
            <w:tcW w:w="350" w:type="pct"/>
            <w:vMerge w:val="restart"/>
            <w:noWrap w:val="0"/>
            <w:tcMar>
              <w:top w:w="113" w:type="dxa"/>
              <w:left w:w="113" w:type="dxa"/>
              <w:bottom w:w="113" w:type="dxa"/>
              <w:right w:w="113" w:type="dxa"/>
            </w:tcMar>
            <w:vAlign w:val="center"/>
          </w:tcPr>
          <w:p w14:paraId="0AF9751D">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设计</w:t>
            </w:r>
          </w:p>
          <w:p w14:paraId="5ED71CC1">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单位</w:t>
            </w:r>
          </w:p>
        </w:tc>
        <w:tc>
          <w:tcPr>
            <w:tcW w:w="1063" w:type="pct"/>
            <w:noWrap w:val="0"/>
            <w:tcMar>
              <w:top w:w="113" w:type="dxa"/>
              <w:left w:w="113" w:type="dxa"/>
              <w:bottom w:w="113" w:type="dxa"/>
              <w:right w:w="113" w:type="dxa"/>
            </w:tcMar>
            <w:vAlign w:val="center"/>
          </w:tcPr>
          <w:p w14:paraId="1BF62973">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设计阶段BIM实施方案</w:t>
            </w:r>
          </w:p>
        </w:tc>
        <w:tc>
          <w:tcPr>
            <w:tcW w:w="1443" w:type="pct"/>
            <w:noWrap w:val="0"/>
            <w:tcMar>
              <w:top w:w="113" w:type="dxa"/>
              <w:left w:w="113" w:type="dxa"/>
              <w:bottom w:w="113" w:type="dxa"/>
              <w:right w:w="113" w:type="dxa"/>
            </w:tcMar>
            <w:vAlign w:val="center"/>
          </w:tcPr>
          <w:p w14:paraId="45D43B27">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设计阶段BIM实施方案</w:t>
            </w:r>
          </w:p>
        </w:tc>
        <w:tc>
          <w:tcPr>
            <w:tcW w:w="1157" w:type="pct"/>
            <w:noWrap w:val="0"/>
            <w:tcMar>
              <w:top w:w="113" w:type="dxa"/>
              <w:left w:w="113" w:type="dxa"/>
              <w:bottom w:w="113" w:type="dxa"/>
              <w:right w:w="113" w:type="dxa"/>
            </w:tcMar>
            <w:vAlign w:val="center"/>
          </w:tcPr>
          <w:p w14:paraId="2A16B7CB">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PDF、Word</w:t>
            </w:r>
          </w:p>
        </w:tc>
        <w:tc>
          <w:tcPr>
            <w:tcW w:w="442" w:type="pct"/>
            <w:noWrap w:val="0"/>
            <w:tcMar>
              <w:top w:w="113" w:type="dxa"/>
              <w:left w:w="113" w:type="dxa"/>
              <w:bottom w:w="113" w:type="dxa"/>
              <w:right w:w="113" w:type="dxa"/>
            </w:tcMar>
            <w:vAlign w:val="center"/>
          </w:tcPr>
          <w:p w14:paraId="6B0FA32D">
            <w:pPr>
              <w:spacing w:before="120" w:after="120" w:line="312" w:lineRule="auto"/>
              <w:ind w:firstLine="0" w:firstLineChars="0"/>
              <w:jc w:val="center"/>
              <w:rPr>
                <w:rFonts w:ascii="宋体" w:hAnsi="宋体" w:eastAsia="宋体" w:cs="宋体"/>
                <w:color w:val="auto"/>
                <w:sz w:val="18"/>
                <w:szCs w:val="18"/>
                <w:highlight w:val="none"/>
                <w:lang w:eastAsia="en-US"/>
              </w:rPr>
            </w:pPr>
          </w:p>
        </w:tc>
      </w:tr>
      <w:tr w14:paraId="03D4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39397927">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5AEFD213">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76ED70C8">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1063" w:type="pct"/>
            <w:vMerge w:val="restart"/>
            <w:noWrap w:val="0"/>
            <w:tcMar>
              <w:top w:w="113" w:type="dxa"/>
              <w:left w:w="113" w:type="dxa"/>
              <w:bottom w:w="113" w:type="dxa"/>
              <w:right w:w="113" w:type="dxa"/>
            </w:tcMar>
            <w:vAlign w:val="center"/>
          </w:tcPr>
          <w:p w14:paraId="046C47C9">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2</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设计BIM模型</w:t>
            </w:r>
          </w:p>
        </w:tc>
        <w:tc>
          <w:tcPr>
            <w:tcW w:w="1443" w:type="pct"/>
            <w:noWrap w:val="0"/>
            <w:tcMar>
              <w:top w:w="113" w:type="dxa"/>
              <w:left w:w="113" w:type="dxa"/>
              <w:bottom w:w="113" w:type="dxa"/>
              <w:right w:w="113" w:type="dxa"/>
            </w:tcMar>
            <w:vAlign w:val="center"/>
          </w:tcPr>
          <w:p w14:paraId="50750735">
            <w:pPr>
              <w:spacing w:before="120" w:after="120" w:line="240"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1）</w:t>
            </w:r>
            <w:r>
              <w:rPr>
                <w:rFonts w:ascii="宋体" w:hAnsi="宋体" w:eastAsia="宋体" w:cs="宋体"/>
                <w:color w:val="auto"/>
                <w:sz w:val="18"/>
                <w:szCs w:val="18"/>
                <w:highlight w:val="none"/>
                <w:lang w:eastAsia="en-US"/>
              </w:rPr>
              <w:t>各阶段设计模型</w:t>
            </w:r>
          </w:p>
        </w:tc>
        <w:tc>
          <w:tcPr>
            <w:tcW w:w="1157" w:type="pct"/>
            <w:vMerge w:val="restart"/>
            <w:noWrap w:val="0"/>
            <w:tcMar>
              <w:top w:w="113" w:type="dxa"/>
              <w:left w:w="113" w:type="dxa"/>
              <w:bottom w:w="113" w:type="dxa"/>
              <w:right w:w="113" w:type="dxa"/>
            </w:tcMar>
            <w:vAlign w:val="center"/>
          </w:tcPr>
          <w:p w14:paraId="58E3037D">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相关BIM模型文件格式</w:t>
            </w:r>
          </w:p>
        </w:tc>
        <w:tc>
          <w:tcPr>
            <w:tcW w:w="442" w:type="pct"/>
            <w:vMerge w:val="restart"/>
            <w:noWrap w:val="0"/>
            <w:tcMar>
              <w:top w:w="113" w:type="dxa"/>
              <w:left w:w="113" w:type="dxa"/>
              <w:bottom w:w="113" w:type="dxa"/>
              <w:right w:w="113" w:type="dxa"/>
            </w:tcMar>
            <w:vAlign w:val="center"/>
          </w:tcPr>
          <w:p w14:paraId="38A36740">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前期工作部</w:t>
            </w:r>
          </w:p>
        </w:tc>
      </w:tr>
      <w:tr w14:paraId="3EBA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75817441">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266B0577">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0AC34F7D">
            <w:pPr>
              <w:spacing w:before="120" w:after="120" w:line="312" w:lineRule="auto"/>
              <w:ind w:firstLine="0" w:firstLineChars="0"/>
              <w:jc w:val="center"/>
              <w:rPr>
                <w:rFonts w:ascii="宋体" w:hAnsi="宋体" w:eastAsia="宋体" w:cs="宋体"/>
                <w:color w:val="auto"/>
                <w:sz w:val="18"/>
                <w:szCs w:val="18"/>
                <w:highlight w:val="none"/>
                <w:lang w:eastAsia="en-US"/>
              </w:rPr>
            </w:pPr>
          </w:p>
        </w:tc>
        <w:tc>
          <w:tcPr>
            <w:tcW w:w="1063" w:type="pct"/>
            <w:vMerge w:val="continue"/>
            <w:noWrap w:val="0"/>
            <w:tcMar>
              <w:top w:w="113" w:type="dxa"/>
              <w:left w:w="113" w:type="dxa"/>
              <w:bottom w:w="113" w:type="dxa"/>
              <w:right w:w="113" w:type="dxa"/>
            </w:tcMar>
            <w:vAlign w:val="center"/>
          </w:tcPr>
          <w:p w14:paraId="7A59E3A2">
            <w:pPr>
              <w:spacing w:before="120" w:after="120" w:line="240" w:lineRule="auto"/>
              <w:ind w:firstLine="0" w:firstLineChars="0"/>
              <w:rPr>
                <w:rFonts w:ascii="宋体" w:hAnsi="宋体" w:eastAsia="宋体" w:cs="宋体"/>
                <w:color w:val="auto"/>
                <w:sz w:val="18"/>
                <w:szCs w:val="18"/>
                <w:highlight w:val="none"/>
                <w:lang w:eastAsia="en-US"/>
              </w:rPr>
            </w:pPr>
          </w:p>
        </w:tc>
        <w:tc>
          <w:tcPr>
            <w:tcW w:w="1443" w:type="pct"/>
            <w:noWrap w:val="0"/>
            <w:tcMar>
              <w:top w:w="113" w:type="dxa"/>
              <w:left w:w="113" w:type="dxa"/>
              <w:bottom w:w="113" w:type="dxa"/>
              <w:right w:w="113" w:type="dxa"/>
            </w:tcMar>
            <w:vAlign w:val="center"/>
          </w:tcPr>
          <w:p w14:paraId="1BE6D1BC">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（2）设计变更模型</w:t>
            </w:r>
          </w:p>
        </w:tc>
        <w:tc>
          <w:tcPr>
            <w:tcW w:w="1157" w:type="pct"/>
            <w:vMerge w:val="continue"/>
            <w:noWrap w:val="0"/>
            <w:tcMar>
              <w:top w:w="113" w:type="dxa"/>
              <w:left w:w="113" w:type="dxa"/>
              <w:bottom w:w="113" w:type="dxa"/>
              <w:right w:w="113" w:type="dxa"/>
            </w:tcMar>
            <w:vAlign w:val="center"/>
          </w:tcPr>
          <w:p w14:paraId="251C542A">
            <w:pPr>
              <w:spacing w:before="120" w:after="120" w:line="240" w:lineRule="auto"/>
              <w:ind w:firstLine="0" w:firstLineChars="0"/>
              <w:rPr>
                <w:rFonts w:ascii="宋体" w:hAnsi="宋体" w:eastAsia="宋体" w:cs="宋体"/>
                <w:color w:val="auto"/>
                <w:sz w:val="18"/>
                <w:szCs w:val="18"/>
                <w:highlight w:val="none"/>
                <w:lang w:eastAsia="en-US"/>
              </w:rPr>
            </w:pPr>
          </w:p>
        </w:tc>
        <w:tc>
          <w:tcPr>
            <w:tcW w:w="442" w:type="pct"/>
            <w:vMerge w:val="continue"/>
            <w:noWrap w:val="0"/>
            <w:tcMar>
              <w:top w:w="113" w:type="dxa"/>
              <w:left w:w="113" w:type="dxa"/>
              <w:bottom w:w="113" w:type="dxa"/>
              <w:right w:w="113" w:type="dxa"/>
            </w:tcMar>
            <w:vAlign w:val="center"/>
          </w:tcPr>
          <w:p w14:paraId="64BB8819">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113D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58DAC85C">
            <w:pPr>
              <w:spacing w:before="120" w:after="120" w:line="240" w:lineRule="auto"/>
              <w:ind w:firstLine="0" w:firstLineChars="0"/>
              <w:rPr>
                <w:rFonts w:ascii="Calibri" w:hAnsi="Calibri" w:eastAsia="宋体"/>
                <w:color w:val="auto"/>
                <w:highlight w:val="none"/>
                <w:lang w:eastAsia="en-US"/>
              </w:rPr>
            </w:pPr>
          </w:p>
        </w:tc>
        <w:tc>
          <w:tcPr>
            <w:tcW w:w="297" w:type="pct"/>
            <w:vMerge w:val="continue"/>
            <w:noWrap w:val="0"/>
            <w:tcMar>
              <w:top w:w="113" w:type="dxa"/>
              <w:left w:w="113" w:type="dxa"/>
              <w:bottom w:w="113" w:type="dxa"/>
              <w:right w:w="113" w:type="dxa"/>
            </w:tcMar>
            <w:vAlign w:val="center"/>
          </w:tcPr>
          <w:p w14:paraId="026ACEAA">
            <w:pPr>
              <w:spacing w:before="120" w:after="120" w:line="240" w:lineRule="auto"/>
              <w:ind w:firstLine="0" w:firstLineChars="0"/>
              <w:rPr>
                <w:rFonts w:ascii="Calibri" w:hAnsi="Calibri" w:eastAsia="宋体"/>
                <w:color w:val="auto"/>
                <w:highlight w:val="none"/>
                <w:lang w:eastAsia="en-US"/>
              </w:rPr>
            </w:pPr>
          </w:p>
        </w:tc>
        <w:tc>
          <w:tcPr>
            <w:tcW w:w="350" w:type="pct"/>
            <w:vMerge w:val="continue"/>
            <w:noWrap w:val="0"/>
            <w:tcMar>
              <w:top w:w="113" w:type="dxa"/>
              <w:left w:w="113" w:type="dxa"/>
              <w:bottom w:w="113" w:type="dxa"/>
              <w:right w:w="113" w:type="dxa"/>
            </w:tcMar>
            <w:vAlign w:val="center"/>
          </w:tcPr>
          <w:p w14:paraId="1C03CCE3">
            <w:pPr>
              <w:spacing w:before="120" w:after="120" w:line="240" w:lineRule="auto"/>
              <w:ind w:firstLine="0" w:firstLineChars="0"/>
              <w:rPr>
                <w:rFonts w:ascii="Calibri" w:hAnsi="Calibri" w:eastAsia="宋体"/>
                <w:color w:val="auto"/>
                <w:highlight w:val="none"/>
                <w:lang w:eastAsia="en-US"/>
              </w:rPr>
            </w:pPr>
          </w:p>
        </w:tc>
        <w:tc>
          <w:tcPr>
            <w:tcW w:w="1063" w:type="pct"/>
            <w:noWrap w:val="0"/>
            <w:tcMar>
              <w:top w:w="113" w:type="dxa"/>
              <w:left w:w="113" w:type="dxa"/>
              <w:bottom w:w="113" w:type="dxa"/>
              <w:right w:w="113" w:type="dxa"/>
            </w:tcMar>
            <w:vAlign w:val="center"/>
          </w:tcPr>
          <w:p w14:paraId="4556CCED">
            <w:pPr>
              <w:spacing w:before="120" w:after="120" w:line="312" w:lineRule="auto"/>
              <w:ind w:firstLine="0" w:firstLineChars="0"/>
              <w:rPr>
                <w:rFonts w:eastAsia="宋体"/>
                <w:color w:val="auto"/>
                <w:highlight w:val="none"/>
                <w:lang w:eastAsia="en-US"/>
              </w:rPr>
            </w:pPr>
            <w:r>
              <w:rPr>
                <w:rFonts w:ascii="宋体" w:hAnsi="宋体" w:eastAsia="宋体" w:cs="宋体"/>
                <w:color w:val="auto"/>
                <w:sz w:val="18"/>
                <w:szCs w:val="18"/>
                <w:highlight w:val="none"/>
                <w:lang w:eastAsia="en-US"/>
              </w:rPr>
              <w:t>3.BIM导出的二维图纸</w:t>
            </w:r>
          </w:p>
        </w:tc>
        <w:tc>
          <w:tcPr>
            <w:tcW w:w="1443" w:type="pct"/>
            <w:noWrap w:val="0"/>
            <w:tcMar>
              <w:top w:w="113" w:type="dxa"/>
              <w:left w:w="113" w:type="dxa"/>
              <w:bottom w:w="113" w:type="dxa"/>
              <w:right w:w="113" w:type="dxa"/>
            </w:tcMar>
            <w:vAlign w:val="center"/>
          </w:tcPr>
          <w:p w14:paraId="49434EE1">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（1）管线综合平面图</w:t>
            </w:r>
          </w:p>
          <w:p w14:paraId="4C99AE91">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（2）综合预留洞图</w:t>
            </w:r>
          </w:p>
        </w:tc>
        <w:tc>
          <w:tcPr>
            <w:tcW w:w="1157" w:type="pct"/>
            <w:noWrap w:val="0"/>
            <w:tcMar>
              <w:top w:w="113" w:type="dxa"/>
              <w:left w:w="113" w:type="dxa"/>
              <w:bottom w:w="113" w:type="dxa"/>
              <w:right w:w="113" w:type="dxa"/>
            </w:tcMar>
            <w:vAlign w:val="center"/>
          </w:tcPr>
          <w:p w14:paraId="41F14EAD">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DWG、PDF</w:t>
            </w:r>
          </w:p>
        </w:tc>
        <w:tc>
          <w:tcPr>
            <w:tcW w:w="442" w:type="pct"/>
            <w:vMerge w:val="continue"/>
            <w:noWrap w:val="0"/>
            <w:tcMar>
              <w:top w:w="113" w:type="dxa"/>
              <w:left w:w="113" w:type="dxa"/>
              <w:bottom w:w="113" w:type="dxa"/>
              <w:right w:w="113" w:type="dxa"/>
            </w:tcMar>
            <w:vAlign w:val="center"/>
          </w:tcPr>
          <w:p w14:paraId="3AA7842F">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394D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48F4BDAF">
            <w:pPr>
              <w:spacing w:before="120" w:after="120" w:line="240" w:lineRule="auto"/>
              <w:ind w:firstLine="0" w:firstLineChars="0"/>
              <w:rPr>
                <w:rFonts w:ascii="Calibri" w:hAnsi="Calibri" w:eastAsia="宋体"/>
                <w:color w:val="auto"/>
                <w:highlight w:val="none"/>
                <w:lang w:eastAsia="en-US"/>
              </w:rPr>
            </w:pPr>
          </w:p>
        </w:tc>
        <w:tc>
          <w:tcPr>
            <w:tcW w:w="297" w:type="pct"/>
            <w:vMerge w:val="continue"/>
            <w:noWrap w:val="0"/>
            <w:tcMar>
              <w:top w:w="113" w:type="dxa"/>
              <w:left w:w="113" w:type="dxa"/>
              <w:bottom w:w="113" w:type="dxa"/>
              <w:right w:w="113" w:type="dxa"/>
            </w:tcMar>
            <w:vAlign w:val="center"/>
          </w:tcPr>
          <w:p w14:paraId="1C023E45">
            <w:pPr>
              <w:spacing w:before="120" w:after="120" w:line="240" w:lineRule="auto"/>
              <w:ind w:firstLine="0" w:firstLineChars="0"/>
              <w:rPr>
                <w:rFonts w:ascii="Calibri" w:hAnsi="Calibri" w:eastAsia="宋体"/>
                <w:color w:val="auto"/>
                <w:highlight w:val="none"/>
                <w:lang w:eastAsia="en-US"/>
              </w:rPr>
            </w:pPr>
          </w:p>
        </w:tc>
        <w:tc>
          <w:tcPr>
            <w:tcW w:w="350" w:type="pct"/>
            <w:vMerge w:val="continue"/>
            <w:noWrap w:val="0"/>
            <w:tcMar>
              <w:top w:w="113" w:type="dxa"/>
              <w:left w:w="113" w:type="dxa"/>
              <w:bottom w:w="113" w:type="dxa"/>
              <w:right w:w="113" w:type="dxa"/>
            </w:tcMar>
            <w:vAlign w:val="center"/>
          </w:tcPr>
          <w:p w14:paraId="045EF856">
            <w:pPr>
              <w:spacing w:before="120" w:after="120" w:line="240" w:lineRule="auto"/>
              <w:ind w:firstLine="0" w:firstLineChars="0"/>
              <w:rPr>
                <w:rFonts w:ascii="Calibri" w:hAnsi="Calibri" w:eastAsia="宋体"/>
                <w:color w:val="auto"/>
                <w:highlight w:val="none"/>
                <w:lang w:eastAsia="en-US"/>
              </w:rPr>
            </w:pPr>
          </w:p>
        </w:tc>
        <w:tc>
          <w:tcPr>
            <w:tcW w:w="1063" w:type="pct"/>
            <w:noWrap w:val="0"/>
            <w:tcMar>
              <w:top w:w="113" w:type="dxa"/>
              <w:left w:w="113" w:type="dxa"/>
              <w:bottom w:w="113" w:type="dxa"/>
              <w:right w:w="113" w:type="dxa"/>
            </w:tcMar>
            <w:vAlign w:val="center"/>
          </w:tcPr>
          <w:p w14:paraId="19243601">
            <w:pPr>
              <w:spacing w:before="120" w:after="120" w:line="312"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4.</w:t>
            </w:r>
            <w:r>
              <w:rPr>
                <w:rFonts w:hint="eastAsia" w:ascii="宋体" w:hAnsi="宋体" w:eastAsia="宋体" w:cs="宋体"/>
                <w:color w:val="auto"/>
                <w:sz w:val="18"/>
                <w:szCs w:val="18"/>
                <w:highlight w:val="none"/>
                <w:lang w:eastAsia="en-US"/>
              </w:rPr>
              <w:t>设计</w:t>
            </w:r>
            <w:r>
              <w:rPr>
                <w:rFonts w:ascii="宋体" w:hAnsi="宋体" w:eastAsia="宋体" w:cs="宋体"/>
                <w:color w:val="auto"/>
                <w:sz w:val="18"/>
                <w:szCs w:val="18"/>
                <w:highlight w:val="none"/>
                <w:lang w:eastAsia="en-US"/>
              </w:rPr>
              <w:t>阶段基于BIM的分析报告</w:t>
            </w:r>
          </w:p>
        </w:tc>
        <w:tc>
          <w:tcPr>
            <w:tcW w:w="1443" w:type="pct"/>
            <w:noWrap w:val="0"/>
            <w:tcMar>
              <w:top w:w="113" w:type="dxa"/>
              <w:left w:w="113" w:type="dxa"/>
              <w:bottom w:w="113" w:type="dxa"/>
              <w:right w:w="113" w:type="dxa"/>
            </w:tcMar>
            <w:vAlign w:val="center"/>
          </w:tcPr>
          <w:p w14:paraId="444F48A6">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（1）管线碰撞报告</w:t>
            </w:r>
          </w:p>
          <w:p w14:paraId="43215B7D">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（2</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净高分析报告</w:t>
            </w:r>
          </w:p>
          <w:p w14:paraId="2BCBC179">
            <w:pPr>
              <w:spacing w:before="120" w:after="120" w:line="312"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3）图纸校核报告</w:t>
            </w:r>
          </w:p>
        </w:tc>
        <w:tc>
          <w:tcPr>
            <w:tcW w:w="1157" w:type="pct"/>
            <w:noWrap w:val="0"/>
            <w:tcMar>
              <w:top w:w="113" w:type="dxa"/>
              <w:left w:w="113" w:type="dxa"/>
              <w:bottom w:w="113" w:type="dxa"/>
              <w:right w:w="113" w:type="dxa"/>
            </w:tcMar>
            <w:vAlign w:val="center"/>
          </w:tcPr>
          <w:p w14:paraId="00F9DD97">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PDF、Word、Excel、PPT及相关图片格式等</w:t>
            </w:r>
          </w:p>
        </w:tc>
        <w:tc>
          <w:tcPr>
            <w:tcW w:w="442" w:type="pct"/>
            <w:vMerge w:val="continue"/>
            <w:noWrap w:val="0"/>
            <w:tcMar>
              <w:top w:w="113" w:type="dxa"/>
              <w:left w:w="113" w:type="dxa"/>
              <w:bottom w:w="113" w:type="dxa"/>
              <w:right w:w="113" w:type="dxa"/>
            </w:tcMar>
            <w:vAlign w:val="center"/>
          </w:tcPr>
          <w:p w14:paraId="3D957F83">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0E59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50C1C44B">
            <w:pPr>
              <w:spacing w:before="120" w:after="120" w:line="240" w:lineRule="auto"/>
              <w:ind w:firstLine="0" w:firstLineChars="0"/>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4A973F47">
            <w:pPr>
              <w:spacing w:before="120" w:after="120" w:line="240" w:lineRule="auto"/>
              <w:ind w:firstLine="0" w:firstLineChars="0"/>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3B03B8B6">
            <w:pPr>
              <w:spacing w:before="120" w:after="120" w:line="240" w:lineRule="auto"/>
              <w:ind w:firstLine="0" w:firstLineChars="0"/>
              <w:rPr>
                <w:rFonts w:ascii="宋体" w:hAnsi="宋体" w:eastAsia="宋体" w:cs="宋体"/>
                <w:color w:val="auto"/>
                <w:sz w:val="18"/>
                <w:szCs w:val="18"/>
                <w:highlight w:val="none"/>
                <w:lang w:eastAsia="en-US"/>
              </w:rPr>
            </w:pPr>
          </w:p>
        </w:tc>
        <w:tc>
          <w:tcPr>
            <w:tcW w:w="1063" w:type="pct"/>
            <w:noWrap w:val="0"/>
            <w:tcMar>
              <w:top w:w="113" w:type="dxa"/>
              <w:left w:w="113" w:type="dxa"/>
              <w:bottom w:w="113" w:type="dxa"/>
              <w:right w:w="113" w:type="dxa"/>
            </w:tcMar>
            <w:vAlign w:val="center"/>
          </w:tcPr>
          <w:p w14:paraId="5378D552">
            <w:pPr>
              <w:spacing w:before="120" w:after="120" w:line="240"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5.设计阶段工程量统计清单</w:t>
            </w:r>
          </w:p>
        </w:tc>
        <w:tc>
          <w:tcPr>
            <w:tcW w:w="1443" w:type="pct"/>
            <w:noWrap w:val="0"/>
            <w:tcMar>
              <w:top w:w="113" w:type="dxa"/>
              <w:left w:w="113" w:type="dxa"/>
              <w:bottom w:w="113" w:type="dxa"/>
              <w:right w:w="113" w:type="dxa"/>
            </w:tcMar>
            <w:vAlign w:val="center"/>
          </w:tcPr>
          <w:p w14:paraId="028610CC">
            <w:pPr>
              <w:spacing w:before="120" w:after="120" w:line="240"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1）门窗类别、编号、规格、数量统计表。</w:t>
            </w:r>
          </w:p>
          <w:p w14:paraId="79683AA4">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2</w:t>
            </w:r>
            <w:r>
              <w:rPr>
                <w:rFonts w:hint="eastAsia" w:ascii="宋体" w:hAnsi="宋体" w:eastAsia="宋体" w:cs="宋体"/>
                <w:color w:val="auto"/>
                <w:sz w:val="18"/>
                <w:szCs w:val="18"/>
                <w:highlight w:val="none"/>
                <w:lang w:eastAsia="en-US"/>
              </w:rPr>
              <w:t>）机电专业设备名称、型号、规格、性能参数、计数单位、数量统计表。</w:t>
            </w:r>
          </w:p>
          <w:p w14:paraId="1BD561DA">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给水排水管材、阀门名称、型号、规格（3）计数单位、数量统计表。</w:t>
            </w:r>
          </w:p>
          <w:p w14:paraId="53AF9E9E">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（4）建筑电气桥架、母线规格、计数单位、数量统计表。</w:t>
            </w:r>
          </w:p>
          <w:p w14:paraId="367489EF">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5）</w:t>
            </w:r>
            <w:r>
              <w:rPr>
                <w:rFonts w:hint="eastAsia" w:ascii="宋体" w:hAnsi="宋体" w:eastAsia="宋体" w:cs="宋体"/>
                <w:color w:val="auto"/>
                <w:sz w:val="18"/>
                <w:szCs w:val="18"/>
                <w:highlight w:val="none"/>
                <w:lang w:eastAsia="en-US"/>
              </w:rPr>
              <w:t>供暖通风与空气调节风管管材、阀门名称、型号、规格、计数单位、数量统计表。</w:t>
            </w:r>
          </w:p>
        </w:tc>
        <w:tc>
          <w:tcPr>
            <w:tcW w:w="1157" w:type="pct"/>
            <w:noWrap w:val="0"/>
            <w:tcMar>
              <w:top w:w="113" w:type="dxa"/>
              <w:left w:w="113" w:type="dxa"/>
              <w:bottom w:w="113" w:type="dxa"/>
              <w:right w:w="113" w:type="dxa"/>
            </w:tcMar>
            <w:vAlign w:val="center"/>
          </w:tcPr>
          <w:p w14:paraId="1A8D874B">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Excel、PDF</w:t>
            </w:r>
          </w:p>
        </w:tc>
        <w:tc>
          <w:tcPr>
            <w:tcW w:w="442" w:type="pct"/>
            <w:vMerge w:val="continue"/>
            <w:noWrap w:val="0"/>
            <w:tcMar>
              <w:top w:w="113" w:type="dxa"/>
              <w:left w:w="113" w:type="dxa"/>
              <w:bottom w:w="113" w:type="dxa"/>
              <w:right w:w="113" w:type="dxa"/>
            </w:tcMar>
            <w:vAlign w:val="center"/>
          </w:tcPr>
          <w:p w14:paraId="2A8EA9F9">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4519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0EEC8D99">
            <w:pPr>
              <w:spacing w:before="120" w:after="120" w:line="240" w:lineRule="auto"/>
              <w:ind w:firstLine="0" w:firstLineChars="0"/>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015B6D33">
            <w:pPr>
              <w:spacing w:before="120" w:after="120" w:line="240" w:lineRule="auto"/>
              <w:ind w:firstLine="0" w:firstLineChars="0"/>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1F9585B4">
            <w:pPr>
              <w:spacing w:before="120" w:after="120" w:line="240" w:lineRule="auto"/>
              <w:ind w:firstLine="0" w:firstLineChars="0"/>
              <w:rPr>
                <w:rFonts w:ascii="宋体" w:hAnsi="宋体" w:eastAsia="宋体" w:cs="宋体"/>
                <w:color w:val="auto"/>
                <w:sz w:val="18"/>
                <w:szCs w:val="18"/>
                <w:highlight w:val="none"/>
                <w:lang w:eastAsia="en-US"/>
              </w:rPr>
            </w:pPr>
          </w:p>
        </w:tc>
        <w:tc>
          <w:tcPr>
            <w:tcW w:w="1063" w:type="pct"/>
            <w:noWrap w:val="0"/>
            <w:tcMar>
              <w:top w:w="113" w:type="dxa"/>
              <w:left w:w="113" w:type="dxa"/>
              <w:bottom w:w="113" w:type="dxa"/>
              <w:right w:w="113" w:type="dxa"/>
            </w:tcMar>
            <w:vAlign w:val="center"/>
          </w:tcPr>
          <w:p w14:paraId="3B5A56A3">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6、可视化成果文件</w:t>
            </w:r>
          </w:p>
        </w:tc>
        <w:tc>
          <w:tcPr>
            <w:tcW w:w="1443" w:type="pct"/>
            <w:noWrap w:val="0"/>
            <w:tcMar>
              <w:top w:w="113" w:type="dxa"/>
              <w:left w:w="113" w:type="dxa"/>
              <w:bottom w:w="113" w:type="dxa"/>
              <w:right w:w="113" w:type="dxa"/>
            </w:tcMar>
            <w:vAlign w:val="center"/>
          </w:tcPr>
          <w:p w14:paraId="32F97CD3">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（1）漫游动画视频</w:t>
            </w:r>
          </w:p>
          <w:p w14:paraId="60037688">
            <w:pPr>
              <w:spacing w:before="120" w:after="120" w:line="312" w:lineRule="auto"/>
              <w:ind w:firstLine="0" w:firstLineChars="0"/>
              <w:rPr>
                <w:rFonts w:ascii="Calibri" w:hAnsi="Calibri" w:eastAsia="宋体"/>
                <w:color w:val="auto"/>
                <w:highlight w:val="none"/>
                <w:lang w:eastAsia="en-US"/>
              </w:rPr>
            </w:pP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2）模型渲染效果图</w:t>
            </w:r>
          </w:p>
        </w:tc>
        <w:tc>
          <w:tcPr>
            <w:tcW w:w="1157" w:type="pct"/>
            <w:noWrap w:val="0"/>
            <w:tcMar>
              <w:top w:w="113" w:type="dxa"/>
              <w:left w:w="113" w:type="dxa"/>
              <w:bottom w:w="113" w:type="dxa"/>
              <w:right w:w="113" w:type="dxa"/>
            </w:tcMar>
            <w:vAlign w:val="center"/>
          </w:tcPr>
          <w:p w14:paraId="13199238">
            <w:pPr>
              <w:spacing w:before="120" w:after="120" w:line="240" w:lineRule="auto"/>
              <w:ind w:firstLine="0" w:firstLineChars="0"/>
              <w:rPr>
                <w:rFonts w:ascii="Calibri" w:hAnsi="Calibri" w:eastAsia="宋体"/>
                <w:color w:val="auto"/>
                <w:highlight w:val="none"/>
                <w:lang w:eastAsia="en-US"/>
              </w:rPr>
            </w:pPr>
            <w:r>
              <w:rPr>
                <w:rFonts w:hint="eastAsia" w:ascii="宋体" w:hAnsi="宋体" w:eastAsia="宋体" w:cs="宋体"/>
                <w:color w:val="auto"/>
                <w:sz w:val="18"/>
                <w:szCs w:val="18"/>
                <w:highlight w:val="none"/>
                <w:lang w:eastAsia="en-US"/>
              </w:rPr>
              <w:t>MP4、AVI等相关视频格式及相关图片格式等</w:t>
            </w:r>
          </w:p>
        </w:tc>
        <w:tc>
          <w:tcPr>
            <w:tcW w:w="442" w:type="pct"/>
            <w:vMerge w:val="continue"/>
            <w:noWrap w:val="0"/>
            <w:tcMar>
              <w:top w:w="113" w:type="dxa"/>
              <w:left w:w="113" w:type="dxa"/>
              <w:bottom w:w="113" w:type="dxa"/>
              <w:right w:w="113" w:type="dxa"/>
            </w:tcMar>
            <w:vAlign w:val="center"/>
          </w:tcPr>
          <w:p w14:paraId="24ABB77D">
            <w:pPr>
              <w:spacing w:before="120" w:after="120" w:line="240" w:lineRule="auto"/>
              <w:ind w:firstLine="0" w:firstLineChars="0"/>
              <w:jc w:val="center"/>
              <w:rPr>
                <w:rFonts w:ascii="宋体" w:hAnsi="宋体" w:eastAsia="宋体" w:cs="宋体"/>
                <w:color w:val="auto"/>
                <w:sz w:val="18"/>
                <w:szCs w:val="18"/>
                <w:highlight w:val="none"/>
                <w:lang w:eastAsia="en-US"/>
              </w:rPr>
            </w:pPr>
          </w:p>
        </w:tc>
      </w:tr>
      <w:tr w14:paraId="2D0F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restart"/>
            <w:noWrap w:val="0"/>
            <w:tcMar>
              <w:top w:w="113" w:type="dxa"/>
              <w:left w:w="113" w:type="dxa"/>
              <w:bottom w:w="113" w:type="dxa"/>
              <w:right w:w="113" w:type="dxa"/>
            </w:tcMar>
            <w:vAlign w:val="center"/>
          </w:tcPr>
          <w:p w14:paraId="3E0B6DF3">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2</w:t>
            </w:r>
          </w:p>
        </w:tc>
        <w:tc>
          <w:tcPr>
            <w:tcW w:w="297" w:type="pct"/>
            <w:vMerge w:val="restart"/>
            <w:noWrap w:val="0"/>
            <w:tcMar>
              <w:top w:w="113" w:type="dxa"/>
              <w:left w:w="113" w:type="dxa"/>
              <w:bottom w:w="113" w:type="dxa"/>
              <w:right w:w="113" w:type="dxa"/>
            </w:tcMar>
            <w:vAlign w:val="center"/>
          </w:tcPr>
          <w:p w14:paraId="15106AF0">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施工阶段</w:t>
            </w:r>
          </w:p>
        </w:tc>
        <w:tc>
          <w:tcPr>
            <w:tcW w:w="350" w:type="pct"/>
            <w:vMerge w:val="restart"/>
            <w:noWrap w:val="0"/>
            <w:tcMar>
              <w:top w:w="113" w:type="dxa"/>
              <w:left w:w="113" w:type="dxa"/>
              <w:bottom w:w="113" w:type="dxa"/>
              <w:right w:w="113" w:type="dxa"/>
            </w:tcMar>
            <w:vAlign w:val="center"/>
          </w:tcPr>
          <w:p w14:paraId="340CADEA">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施工</w:t>
            </w:r>
          </w:p>
          <w:p w14:paraId="01BABF27">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单位</w:t>
            </w:r>
          </w:p>
        </w:tc>
        <w:tc>
          <w:tcPr>
            <w:tcW w:w="1063" w:type="pct"/>
            <w:noWrap w:val="0"/>
            <w:tcMar>
              <w:top w:w="113" w:type="dxa"/>
              <w:left w:w="113" w:type="dxa"/>
              <w:bottom w:w="113" w:type="dxa"/>
              <w:right w:w="113" w:type="dxa"/>
            </w:tcMar>
            <w:vAlign w:val="center"/>
          </w:tcPr>
          <w:p w14:paraId="1A981802">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施工阶段BIM实施方案</w:t>
            </w:r>
          </w:p>
        </w:tc>
        <w:tc>
          <w:tcPr>
            <w:tcW w:w="1443" w:type="pct"/>
            <w:noWrap w:val="0"/>
            <w:tcMar>
              <w:top w:w="113" w:type="dxa"/>
              <w:left w:w="113" w:type="dxa"/>
              <w:bottom w:w="113" w:type="dxa"/>
              <w:right w:w="113" w:type="dxa"/>
            </w:tcMar>
            <w:vAlign w:val="center"/>
          </w:tcPr>
          <w:p w14:paraId="2B2C5343">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施工阶段BIM实施方案</w:t>
            </w:r>
          </w:p>
        </w:tc>
        <w:tc>
          <w:tcPr>
            <w:tcW w:w="1157" w:type="pct"/>
            <w:noWrap w:val="0"/>
            <w:tcMar>
              <w:top w:w="113" w:type="dxa"/>
              <w:left w:w="113" w:type="dxa"/>
              <w:bottom w:w="113" w:type="dxa"/>
              <w:right w:w="113" w:type="dxa"/>
            </w:tcMar>
            <w:vAlign w:val="center"/>
          </w:tcPr>
          <w:p w14:paraId="51FEB45C">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PDF、Word</w:t>
            </w:r>
          </w:p>
        </w:tc>
        <w:tc>
          <w:tcPr>
            <w:tcW w:w="442" w:type="pct"/>
            <w:vMerge w:val="restart"/>
            <w:noWrap w:val="0"/>
            <w:tcMar>
              <w:top w:w="113" w:type="dxa"/>
              <w:left w:w="113" w:type="dxa"/>
              <w:bottom w:w="113" w:type="dxa"/>
              <w:right w:w="113" w:type="dxa"/>
            </w:tcMar>
            <w:vAlign w:val="center"/>
          </w:tcPr>
          <w:p w14:paraId="41DA3F33">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项目建设</w:t>
            </w:r>
          </w:p>
          <w:p w14:paraId="01B34B8B">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管理部</w:t>
            </w:r>
          </w:p>
        </w:tc>
      </w:tr>
      <w:tr w14:paraId="63C9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4A686901">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70B87085">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61430097">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063" w:type="pct"/>
            <w:vMerge w:val="restart"/>
            <w:noWrap w:val="0"/>
            <w:tcMar>
              <w:top w:w="113" w:type="dxa"/>
              <w:left w:w="113" w:type="dxa"/>
              <w:bottom w:w="113" w:type="dxa"/>
              <w:right w:w="113" w:type="dxa"/>
            </w:tcMar>
            <w:vAlign w:val="center"/>
          </w:tcPr>
          <w:p w14:paraId="1EE82730">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2</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施工BIM模型</w:t>
            </w:r>
          </w:p>
        </w:tc>
        <w:tc>
          <w:tcPr>
            <w:tcW w:w="1443" w:type="pct"/>
            <w:noWrap w:val="0"/>
            <w:tcMar>
              <w:top w:w="113" w:type="dxa"/>
              <w:left w:w="113" w:type="dxa"/>
              <w:bottom w:w="113" w:type="dxa"/>
              <w:right w:w="113" w:type="dxa"/>
            </w:tcMar>
            <w:vAlign w:val="center"/>
          </w:tcPr>
          <w:p w14:paraId="4B2DA52F">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（1）深化设计</w:t>
            </w:r>
            <w:r>
              <w:rPr>
                <w:rFonts w:ascii="宋体" w:hAnsi="宋体" w:eastAsia="宋体" w:cs="宋体"/>
                <w:color w:val="auto"/>
                <w:sz w:val="18"/>
                <w:szCs w:val="18"/>
                <w:highlight w:val="none"/>
                <w:lang w:eastAsia="en-US"/>
              </w:rPr>
              <w:t>节点模型</w:t>
            </w:r>
          </w:p>
        </w:tc>
        <w:tc>
          <w:tcPr>
            <w:tcW w:w="1157" w:type="pct"/>
            <w:vMerge w:val="restart"/>
            <w:noWrap w:val="0"/>
            <w:tcMar>
              <w:top w:w="113" w:type="dxa"/>
              <w:left w:w="113" w:type="dxa"/>
              <w:bottom w:w="113" w:type="dxa"/>
              <w:right w:w="113" w:type="dxa"/>
            </w:tcMar>
            <w:vAlign w:val="center"/>
          </w:tcPr>
          <w:p w14:paraId="12A61673">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相关BIM模型文件格式</w:t>
            </w:r>
          </w:p>
        </w:tc>
        <w:tc>
          <w:tcPr>
            <w:tcW w:w="442" w:type="pct"/>
            <w:vMerge w:val="continue"/>
            <w:noWrap w:val="0"/>
            <w:tcMar>
              <w:top w:w="113" w:type="dxa"/>
              <w:left w:w="113" w:type="dxa"/>
              <w:bottom w:w="113" w:type="dxa"/>
              <w:right w:w="113" w:type="dxa"/>
            </w:tcMar>
            <w:vAlign w:val="center"/>
          </w:tcPr>
          <w:p w14:paraId="5D86CE21">
            <w:pPr>
              <w:spacing w:before="120" w:after="120" w:line="312" w:lineRule="auto"/>
              <w:ind w:firstLine="0" w:firstLineChars="0"/>
              <w:jc w:val="center"/>
              <w:rPr>
                <w:rFonts w:ascii="宋体" w:hAnsi="宋体" w:eastAsia="宋体" w:cs="宋体"/>
                <w:color w:val="auto"/>
                <w:sz w:val="18"/>
                <w:szCs w:val="18"/>
                <w:highlight w:val="none"/>
                <w:lang w:eastAsia="en-US"/>
              </w:rPr>
            </w:pPr>
          </w:p>
        </w:tc>
      </w:tr>
      <w:tr w14:paraId="6EB5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1B4F7C28">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4DA1C6BC">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5BD23D08">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063" w:type="pct"/>
            <w:vMerge w:val="continue"/>
            <w:noWrap w:val="0"/>
            <w:tcMar>
              <w:top w:w="113" w:type="dxa"/>
              <w:left w:w="113" w:type="dxa"/>
              <w:bottom w:w="113" w:type="dxa"/>
              <w:right w:w="113" w:type="dxa"/>
            </w:tcMar>
            <w:vAlign w:val="center"/>
          </w:tcPr>
          <w:p w14:paraId="464787EB">
            <w:pPr>
              <w:spacing w:before="120" w:after="120" w:line="240" w:lineRule="auto"/>
              <w:ind w:firstLine="0" w:firstLineChars="0"/>
              <w:rPr>
                <w:rFonts w:ascii="宋体" w:hAnsi="宋体" w:eastAsia="宋体" w:cs="宋体"/>
                <w:color w:val="auto"/>
                <w:sz w:val="18"/>
                <w:szCs w:val="18"/>
                <w:highlight w:val="none"/>
                <w:lang w:eastAsia="en-US"/>
              </w:rPr>
            </w:pPr>
          </w:p>
        </w:tc>
        <w:tc>
          <w:tcPr>
            <w:tcW w:w="1443" w:type="pct"/>
            <w:noWrap w:val="0"/>
            <w:tcMar>
              <w:top w:w="113" w:type="dxa"/>
              <w:left w:w="113" w:type="dxa"/>
              <w:bottom w:w="113" w:type="dxa"/>
              <w:right w:w="113" w:type="dxa"/>
            </w:tcMar>
            <w:vAlign w:val="center"/>
          </w:tcPr>
          <w:p w14:paraId="449DAEC4">
            <w:pPr>
              <w:spacing w:before="120" w:after="120" w:line="240"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（2</w:t>
            </w:r>
            <w:r>
              <w:rPr>
                <w:rFonts w:hint="eastAsia" w:ascii="宋体" w:hAnsi="宋体" w:eastAsia="宋体" w:cs="宋体"/>
                <w:color w:val="auto"/>
                <w:sz w:val="18"/>
                <w:szCs w:val="18"/>
                <w:highlight w:val="none"/>
                <w:lang w:eastAsia="en-US"/>
              </w:rPr>
              <w:t>）管线综合深化模型</w:t>
            </w:r>
          </w:p>
        </w:tc>
        <w:tc>
          <w:tcPr>
            <w:tcW w:w="1157" w:type="pct"/>
            <w:vMerge w:val="continue"/>
            <w:noWrap w:val="0"/>
            <w:tcMar>
              <w:top w:w="113" w:type="dxa"/>
              <w:left w:w="113" w:type="dxa"/>
              <w:bottom w:w="113" w:type="dxa"/>
              <w:right w:w="113" w:type="dxa"/>
            </w:tcMar>
            <w:vAlign w:val="center"/>
          </w:tcPr>
          <w:p w14:paraId="0C673DBF">
            <w:pPr>
              <w:spacing w:before="120" w:after="120" w:line="240" w:lineRule="auto"/>
              <w:ind w:firstLine="0" w:firstLineChars="0"/>
              <w:rPr>
                <w:rFonts w:ascii="宋体" w:hAnsi="宋体" w:eastAsia="宋体" w:cs="宋体"/>
                <w:color w:val="auto"/>
                <w:sz w:val="18"/>
                <w:szCs w:val="18"/>
                <w:highlight w:val="none"/>
                <w:lang w:eastAsia="en-US"/>
              </w:rPr>
            </w:pPr>
          </w:p>
        </w:tc>
        <w:tc>
          <w:tcPr>
            <w:tcW w:w="442" w:type="pct"/>
            <w:vMerge w:val="continue"/>
            <w:noWrap w:val="0"/>
            <w:tcMar>
              <w:top w:w="113" w:type="dxa"/>
              <w:left w:w="113" w:type="dxa"/>
              <w:bottom w:w="113" w:type="dxa"/>
              <w:right w:w="113" w:type="dxa"/>
            </w:tcMar>
            <w:vAlign w:val="center"/>
          </w:tcPr>
          <w:p w14:paraId="09E1A9F6">
            <w:pPr>
              <w:spacing w:before="120" w:after="120" w:line="312" w:lineRule="auto"/>
              <w:ind w:firstLine="0" w:firstLineChars="0"/>
              <w:jc w:val="center"/>
              <w:rPr>
                <w:rFonts w:ascii="宋体" w:hAnsi="宋体" w:eastAsia="宋体" w:cs="宋体"/>
                <w:color w:val="auto"/>
                <w:sz w:val="18"/>
                <w:szCs w:val="18"/>
                <w:highlight w:val="none"/>
                <w:lang w:eastAsia="en-US"/>
              </w:rPr>
            </w:pPr>
          </w:p>
        </w:tc>
      </w:tr>
      <w:tr w14:paraId="15E7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643FC13A">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135A6B39">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73D0D828">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063" w:type="pct"/>
            <w:vMerge w:val="continue"/>
            <w:noWrap w:val="0"/>
            <w:tcMar>
              <w:top w:w="113" w:type="dxa"/>
              <w:left w:w="113" w:type="dxa"/>
              <w:bottom w:w="113" w:type="dxa"/>
              <w:right w:w="113" w:type="dxa"/>
            </w:tcMar>
            <w:vAlign w:val="center"/>
          </w:tcPr>
          <w:p w14:paraId="5C2EF50B">
            <w:pPr>
              <w:spacing w:before="120" w:after="120" w:line="240" w:lineRule="auto"/>
              <w:ind w:firstLine="0" w:firstLineChars="0"/>
              <w:rPr>
                <w:rFonts w:ascii="宋体" w:hAnsi="宋体" w:eastAsia="宋体" w:cs="宋体"/>
                <w:color w:val="auto"/>
                <w:sz w:val="18"/>
                <w:szCs w:val="18"/>
                <w:highlight w:val="none"/>
                <w:lang w:eastAsia="en-US"/>
              </w:rPr>
            </w:pPr>
          </w:p>
        </w:tc>
        <w:tc>
          <w:tcPr>
            <w:tcW w:w="1443" w:type="pct"/>
            <w:noWrap w:val="0"/>
            <w:tcMar>
              <w:top w:w="113" w:type="dxa"/>
              <w:left w:w="113" w:type="dxa"/>
              <w:bottom w:w="113" w:type="dxa"/>
              <w:right w:w="113" w:type="dxa"/>
            </w:tcMar>
            <w:vAlign w:val="center"/>
          </w:tcPr>
          <w:p w14:paraId="7EF7114C">
            <w:pPr>
              <w:spacing w:before="120" w:after="120" w:line="240"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（3</w:t>
            </w: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施工场地布置</w:t>
            </w:r>
            <w:r>
              <w:rPr>
                <w:rFonts w:hint="eastAsia" w:ascii="宋体" w:hAnsi="宋体" w:eastAsia="宋体" w:cs="宋体"/>
                <w:color w:val="auto"/>
                <w:sz w:val="18"/>
                <w:szCs w:val="18"/>
                <w:highlight w:val="none"/>
                <w:lang w:eastAsia="en-US"/>
              </w:rPr>
              <w:t>模型</w:t>
            </w:r>
            <w:r>
              <w:rPr>
                <w:rFonts w:ascii="宋体" w:hAnsi="宋体" w:eastAsia="宋体" w:cs="宋体"/>
                <w:color w:val="auto"/>
                <w:sz w:val="18"/>
                <w:szCs w:val="18"/>
                <w:highlight w:val="none"/>
                <w:lang w:eastAsia="en-US"/>
              </w:rPr>
              <w:t>（含场布方案文档）</w:t>
            </w:r>
          </w:p>
        </w:tc>
        <w:tc>
          <w:tcPr>
            <w:tcW w:w="1157" w:type="pct"/>
            <w:vMerge w:val="continue"/>
            <w:noWrap w:val="0"/>
            <w:tcMar>
              <w:top w:w="113" w:type="dxa"/>
              <w:left w:w="113" w:type="dxa"/>
              <w:bottom w:w="113" w:type="dxa"/>
              <w:right w:w="113" w:type="dxa"/>
            </w:tcMar>
            <w:vAlign w:val="center"/>
          </w:tcPr>
          <w:p w14:paraId="4AC5D93F">
            <w:pPr>
              <w:spacing w:before="120" w:after="120" w:line="240" w:lineRule="auto"/>
              <w:ind w:firstLine="0" w:firstLineChars="0"/>
              <w:rPr>
                <w:rFonts w:ascii="宋体" w:hAnsi="宋体" w:eastAsia="宋体" w:cs="宋体"/>
                <w:color w:val="auto"/>
                <w:sz w:val="18"/>
                <w:szCs w:val="18"/>
                <w:highlight w:val="none"/>
                <w:lang w:eastAsia="en-US"/>
              </w:rPr>
            </w:pPr>
          </w:p>
        </w:tc>
        <w:tc>
          <w:tcPr>
            <w:tcW w:w="442" w:type="pct"/>
            <w:vMerge w:val="continue"/>
            <w:noWrap w:val="0"/>
            <w:tcMar>
              <w:top w:w="113" w:type="dxa"/>
              <w:left w:w="113" w:type="dxa"/>
              <w:bottom w:w="113" w:type="dxa"/>
              <w:right w:w="113" w:type="dxa"/>
            </w:tcMar>
            <w:vAlign w:val="center"/>
          </w:tcPr>
          <w:p w14:paraId="09AC7F30">
            <w:pPr>
              <w:spacing w:before="120" w:after="120" w:line="312" w:lineRule="auto"/>
              <w:ind w:firstLine="0" w:firstLineChars="0"/>
              <w:jc w:val="center"/>
              <w:rPr>
                <w:rFonts w:ascii="宋体" w:hAnsi="宋体" w:eastAsia="宋体" w:cs="宋体"/>
                <w:color w:val="auto"/>
                <w:sz w:val="18"/>
                <w:szCs w:val="18"/>
                <w:highlight w:val="none"/>
                <w:lang w:eastAsia="en-US"/>
              </w:rPr>
            </w:pPr>
          </w:p>
        </w:tc>
      </w:tr>
      <w:tr w14:paraId="5AC9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2E92D8E7">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680BB794">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085D9172">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063" w:type="pct"/>
            <w:vMerge w:val="continue"/>
            <w:noWrap w:val="0"/>
            <w:tcMar>
              <w:top w:w="113" w:type="dxa"/>
              <w:left w:w="113" w:type="dxa"/>
              <w:bottom w:w="113" w:type="dxa"/>
              <w:right w:w="113" w:type="dxa"/>
            </w:tcMar>
            <w:vAlign w:val="center"/>
          </w:tcPr>
          <w:p w14:paraId="6196DCFA">
            <w:pPr>
              <w:spacing w:before="120" w:after="120" w:line="240" w:lineRule="auto"/>
              <w:ind w:firstLine="0" w:firstLineChars="0"/>
              <w:rPr>
                <w:rFonts w:ascii="宋体" w:hAnsi="宋体" w:eastAsia="宋体" w:cs="宋体"/>
                <w:color w:val="auto"/>
                <w:sz w:val="18"/>
                <w:szCs w:val="18"/>
                <w:highlight w:val="none"/>
                <w:lang w:eastAsia="en-US"/>
              </w:rPr>
            </w:pPr>
          </w:p>
        </w:tc>
        <w:tc>
          <w:tcPr>
            <w:tcW w:w="1443" w:type="pct"/>
            <w:noWrap w:val="0"/>
            <w:tcMar>
              <w:top w:w="113" w:type="dxa"/>
              <w:left w:w="113" w:type="dxa"/>
              <w:bottom w:w="113" w:type="dxa"/>
              <w:right w:w="113" w:type="dxa"/>
            </w:tcMar>
            <w:vAlign w:val="center"/>
          </w:tcPr>
          <w:p w14:paraId="6F3D88ED">
            <w:pPr>
              <w:spacing w:before="120" w:after="120" w:line="240"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4）</w:t>
            </w:r>
            <w:r>
              <w:rPr>
                <w:rFonts w:ascii="宋体" w:hAnsi="宋体" w:eastAsia="宋体" w:cs="宋体"/>
                <w:color w:val="auto"/>
                <w:sz w:val="18"/>
                <w:szCs w:val="18"/>
                <w:highlight w:val="none"/>
                <w:lang w:eastAsia="en-US"/>
              </w:rPr>
              <w:t>施工竣工模型</w:t>
            </w:r>
          </w:p>
        </w:tc>
        <w:tc>
          <w:tcPr>
            <w:tcW w:w="1157" w:type="pct"/>
            <w:vMerge w:val="continue"/>
            <w:noWrap w:val="0"/>
            <w:tcMar>
              <w:top w:w="113" w:type="dxa"/>
              <w:left w:w="113" w:type="dxa"/>
              <w:bottom w:w="113" w:type="dxa"/>
              <w:right w:w="113" w:type="dxa"/>
            </w:tcMar>
            <w:vAlign w:val="center"/>
          </w:tcPr>
          <w:p w14:paraId="54556A7E">
            <w:pPr>
              <w:spacing w:before="120" w:after="120" w:line="240" w:lineRule="auto"/>
              <w:ind w:firstLine="0" w:firstLineChars="0"/>
              <w:rPr>
                <w:rFonts w:ascii="宋体" w:hAnsi="宋体" w:eastAsia="宋体" w:cs="宋体"/>
                <w:color w:val="auto"/>
                <w:sz w:val="18"/>
                <w:szCs w:val="18"/>
                <w:highlight w:val="none"/>
                <w:lang w:eastAsia="en-US"/>
              </w:rPr>
            </w:pPr>
          </w:p>
        </w:tc>
        <w:tc>
          <w:tcPr>
            <w:tcW w:w="442" w:type="pct"/>
            <w:vMerge w:val="continue"/>
            <w:noWrap w:val="0"/>
            <w:tcMar>
              <w:top w:w="113" w:type="dxa"/>
              <w:left w:w="113" w:type="dxa"/>
              <w:bottom w:w="113" w:type="dxa"/>
              <w:right w:w="113" w:type="dxa"/>
            </w:tcMar>
            <w:vAlign w:val="center"/>
          </w:tcPr>
          <w:p w14:paraId="1C202D60">
            <w:pPr>
              <w:spacing w:before="120" w:after="120" w:line="312" w:lineRule="auto"/>
              <w:ind w:firstLine="0" w:firstLineChars="0"/>
              <w:jc w:val="center"/>
              <w:rPr>
                <w:rFonts w:ascii="宋体" w:hAnsi="宋体" w:eastAsia="宋体" w:cs="宋体"/>
                <w:color w:val="auto"/>
                <w:sz w:val="18"/>
                <w:szCs w:val="18"/>
                <w:highlight w:val="none"/>
                <w:lang w:eastAsia="en-US"/>
              </w:rPr>
            </w:pPr>
          </w:p>
        </w:tc>
      </w:tr>
      <w:tr w14:paraId="369F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4223D076">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2DB7BF37">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4034B048">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063" w:type="pct"/>
            <w:noWrap w:val="0"/>
            <w:tcMar>
              <w:top w:w="113" w:type="dxa"/>
              <w:left w:w="113" w:type="dxa"/>
              <w:bottom w:w="113" w:type="dxa"/>
              <w:right w:w="113" w:type="dxa"/>
            </w:tcMar>
            <w:vAlign w:val="center"/>
          </w:tcPr>
          <w:p w14:paraId="32148201">
            <w:pPr>
              <w:spacing w:before="120" w:after="120" w:line="240"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3.BIM导出的二维图纸</w:t>
            </w:r>
          </w:p>
        </w:tc>
        <w:tc>
          <w:tcPr>
            <w:tcW w:w="1443" w:type="pct"/>
            <w:noWrap w:val="0"/>
            <w:tcMar>
              <w:top w:w="113" w:type="dxa"/>
              <w:left w:w="113" w:type="dxa"/>
              <w:bottom w:w="113" w:type="dxa"/>
              <w:right w:w="113" w:type="dxa"/>
            </w:tcMar>
            <w:vAlign w:val="center"/>
          </w:tcPr>
          <w:p w14:paraId="764085F2">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（1）管线综合平面图</w:t>
            </w:r>
          </w:p>
          <w:p w14:paraId="19794077">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（2）综合预留洞图</w:t>
            </w:r>
          </w:p>
          <w:p w14:paraId="3EA344CE">
            <w:pPr>
              <w:spacing w:before="120" w:after="120" w:line="312" w:lineRule="auto"/>
              <w:ind w:firstLine="0" w:firstLineChars="0"/>
              <w:rPr>
                <w:rFonts w:ascii="Calibri" w:hAnsi="Calibri" w:eastAsia="宋体"/>
                <w:color w:val="auto"/>
                <w:highlight w:val="none"/>
                <w:lang w:eastAsia="en-US"/>
              </w:rPr>
            </w:pP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3）深化设计三维节点图</w:t>
            </w:r>
          </w:p>
        </w:tc>
        <w:tc>
          <w:tcPr>
            <w:tcW w:w="1157" w:type="pct"/>
            <w:noWrap w:val="0"/>
            <w:tcMar>
              <w:top w:w="113" w:type="dxa"/>
              <w:left w:w="113" w:type="dxa"/>
              <w:bottom w:w="113" w:type="dxa"/>
              <w:right w:w="113" w:type="dxa"/>
            </w:tcMar>
            <w:vAlign w:val="center"/>
          </w:tcPr>
          <w:p w14:paraId="771DFD33">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DWG、PDF</w:t>
            </w:r>
          </w:p>
        </w:tc>
        <w:tc>
          <w:tcPr>
            <w:tcW w:w="442" w:type="pct"/>
            <w:vMerge w:val="continue"/>
            <w:noWrap w:val="0"/>
            <w:tcMar>
              <w:top w:w="113" w:type="dxa"/>
              <w:left w:w="113" w:type="dxa"/>
              <w:bottom w:w="113" w:type="dxa"/>
              <w:right w:w="113" w:type="dxa"/>
            </w:tcMar>
            <w:vAlign w:val="center"/>
          </w:tcPr>
          <w:p w14:paraId="3A7478C5">
            <w:pPr>
              <w:spacing w:before="120" w:after="120" w:line="312" w:lineRule="auto"/>
              <w:ind w:firstLine="0" w:firstLineChars="0"/>
              <w:jc w:val="center"/>
              <w:rPr>
                <w:rFonts w:ascii="宋体" w:hAnsi="宋体" w:eastAsia="宋体" w:cs="宋体"/>
                <w:color w:val="auto"/>
                <w:sz w:val="18"/>
                <w:szCs w:val="18"/>
                <w:highlight w:val="none"/>
                <w:lang w:eastAsia="en-US"/>
              </w:rPr>
            </w:pPr>
          </w:p>
        </w:tc>
      </w:tr>
      <w:tr w14:paraId="2496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729BF1E4">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67A47669">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29D573F7">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063" w:type="pct"/>
            <w:noWrap w:val="0"/>
            <w:tcMar>
              <w:top w:w="113" w:type="dxa"/>
              <w:left w:w="113" w:type="dxa"/>
              <w:bottom w:w="113" w:type="dxa"/>
              <w:right w:w="113" w:type="dxa"/>
            </w:tcMar>
            <w:vAlign w:val="center"/>
          </w:tcPr>
          <w:p w14:paraId="191771E2">
            <w:pPr>
              <w:spacing w:before="120" w:after="120" w:line="240"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4.</w:t>
            </w:r>
            <w:r>
              <w:rPr>
                <w:rFonts w:hint="eastAsia" w:ascii="宋体" w:hAnsi="宋体" w:eastAsia="宋体" w:cs="宋体"/>
                <w:color w:val="auto"/>
                <w:sz w:val="18"/>
                <w:szCs w:val="18"/>
                <w:highlight w:val="none"/>
                <w:lang w:eastAsia="en-US"/>
              </w:rPr>
              <w:t>施工</w:t>
            </w:r>
            <w:r>
              <w:rPr>
                <w:rFonts w:ascii="宋体" w:hAnsi="宋体" w:eastAsia="宋体" w:cs="宋体"/>
                <w:color w:val="auto"/>
                <w:sz w:val="18"/>
                <w:szCs w:val="18"/>
                <w:highlight w:val="none"/>
                <w:lang w:eastAsia="en-US"/>
              </w:rPr>
              <w:t>阶段基于BIM的分析报告</w:t>
            </w:r>
          </w:p>
        </w:tc>
        <w:tc>
          <w:tcPr>
            <w:tcW w:w="1443" w:type="pct"/>
            <w:noWrap w:val="0"/>
            <w:tcMar>
              <w:top w:w="113" w:type="dxa"/>
              <w:left w:w="113" w:type="dxa"/>
              <w:bottom w:w="113" w:type="dxa"/>
              <w:right w:w="113" w:type="dxa"/>
            </w:tcMar>
            <w:vAlign w:val="center"/>
          </w:tcPr>
          <w:p w14:paraId="00A927B9">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（1）机电深化设计报告</w:t>
            </w:r>
          </w:p>
          <w:p w14:paraId="31EE13A3">
            <w:pPr>
              <w:spacing w:before="120" w:after="120" w:line="312"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（2</w:t>
            </w:r>
            <w:r>
              <w:rPr>
                <w:rFonts w:hint="eastAsia" w:ascii="宋体" w:hAnsi="宋体" w:eastAsia="宋体" w:cs="宋体"/>
                <w:color w:val="auto"/>
                <w:sz w:val="18"/>
                <w:szCs w:val="18"/>
                <w:highlight w:val="none"/>
                <w:lang w:eastAsia="en-US"/>
              </w:rPr>
              <w:t>）图纸校核报告</w:t>
            </w:r>
          </w:p>
        </w:tc>
        <w:tc>
          <w:tcPr>
            <w:tcW w:w="1157" w:type="pct"/>
            <w:noWrap w:val="0"/>
            <w:tcMar>
              <w:top w:w="113" w:type="dxa"/>
              <w:left w:w="113" w:type="dxa"/>
              <w:bottom w:w="113" w:type="dxa"/>
              <w:right w:w="113" w:type="dxa"/>
            </w:tcMar>
            <w:vAlign w:val="center"/>
          </w:tcPr>
          <w:p w14:paraId="5EB50BAF">
            <w:pPr>
              <w:spacing w:before="120" w:after="120" w:line="240"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PDF、Word、Excel、PPT、PDF及相关图片格式等</w:t>
            </w:r>
          </w:p>
        </w:tc>
        <w:tc>
          <w:tcPr>
            <w:tcW w:w="442" w:type="pct"/>
            <w:vMerge w:val="continue"/>
            <w:noWrap w:val="0"/>
            <w:tcMar>
              <w:top w:w="113" w:type="dxa"/>
              <w:left w:w="113" w:type="dxa"/>
              <w:bottom w:w="113" w:type="dxa"/>
              <w:right w:w="113" w:type="dxa"/>
            </w:tcMar>
            <w:vAlign w:val="center"/>
          </w:tcPr>
          <w:p w14:paraId="610B35F3">
            <w:pPr>
              <w:spacing w:before="120" w:after="120" w:line="312" w:lineRule="auto"/>
              <w:ind w:firstLine="0" w:firstLineChars="0"/>
              <w:jc w:val="center"/>
              <w:rPr>
                <w:rFonts w:ascii="宋体" w:hAnsi="宋体" w:eastAsia="宋体" w:cs="宋体"/>
                <w:color w:val="auto"/>
                <w:sz w:val="18"/>
                <w:szCs w:val="18"/>
                <w:highlight w:val="none"/>
                <w:lang w:eastAsia="en-US"/>
              </w:rPr>
            </w:pPr>
          </w:p>
        </w:tc>
      </w:tr>
      <w:tr w14:paraId="5F1A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40D1E331">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063A4B13">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03118409">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1063" w:type="pct"/>
            <w:vMerge w:val="restart"/>
            <w:noWrap w:val="0"/>
            <w:tcMar>
              <w:top w:w="113" w:type="dxa"/>
              <w:left w:w="113" w:type="dxa"/>
              <w:bottom w:w="113" w:type="dxa"/>
              <w:right w:w="113" w:type="dxa"/>
            </w:tcMar>
            <w:vAlign w:val="center"/>
          </w:tcPr>
          <w:p w14:paraId="7CB08B19">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5</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施工模拟</w:t>
            </w:r>
          </w:p>
        </w:tc>
        <w:tc>
          <w:tcPr>
            <w:tcW w:w="1443" w:type="pct"/>
            <w:noWrap w:val="0"/>
            <w:tcMar>
              <w:top w:w="113" w:type="dxa"/>
              <w:left w:w="113" w:type="dxa"/>
              <w:bottom w:w="113" w:type="dxa"/>
              <w:right w:w="113" w:type="dxa"/>
            </w:tcMar>
            <w:vAlign w:val="center"/>
          </w:tcPr>
          <w:p w14:paraId="27548DF1">
            <w:pPr>
              <w:spacing w:before="120" w:after="120" w:line="312"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施工设备模拟（含设备清单文档）</w:t>
            </w:r>
          </w:p>
        </w:tc>
        <w:tc>
          <w:tcPr>
            <w:tcW w:w="1157" w:type="pct"/>
            <w:noWrap w:val="0"/>
            <w:tcMar>
              <w:top w:w="113" w:type="dxa"/>
              <w:left w:w="113" w:type="dxa"/>
              <w:bottom w:w="113" w:type="dxa"/>
              <w:right w:w="113" w:type="dxa"/>
            </w:tcMar>
            <w:vAlign w:val="center"/>
          </w:tcPr>
          <w:p w14:paraId="2863CC45">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MP4、AVI等相关视频格式</w:t>
            </w:r>
          </w:p>
        </w:tc>
        <w:tc>
          <w:tcPr>
            <w:tcW w:w="442" w:type="pct"/>
            <w:vMerge w:val="continue"/>
            <w:noWrap w:val="0"/>
            <w:tcMar>
              <w:top w:w="113" w:type="dxa"/>
              <w:left w:w="113" w:type="dxa"/>
              <w:bottom w:w="113" w:type="dxa"/>
              <w:right w:w="113" w:type="dxa"/>
            </w:tcMar>
            <w:vAlign w:val="center"/>
          </w:tcPr>
          <w:p w14:paraId="5ADC82CD">
            <w:pPr>
              <w:spacing w:before="120" w:after="120" w:line="312" w:lineRule="auto"/>
              <w:ind w:left="102" w:firstLine="0" w:firstLineChars="0"/>
              <w:rPr>
                <w:rFonts w:ascii="宋体" w:hAnsi="宋体" w:eastAsia="宋体" w:cs="宋体"/>
                <w:color w:val="auto"/>
                <w:sz w:val="18"/>
                <w:szCs w:val="18"/>
                <w:highlight w:val="none"/>
                <w:lang w:eastAsia="en-US"/>
              </w:rPr>
            </w:pPr>
          </w:p>
        </w:tc>
      </w:tr>
      <w:tr w14:paraId="2AA0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179B196C">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7633098D">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1B0FF345">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1063" w:type="pct"/>
            <w:vMerge w:val="continue"/>
            <w:noWrap w:val="0"/>
            <w:tcMar>
              <w:top w:w="113" w:type="dxa"/>
              <w:left w:w="113" w:type="dxa"/>
              <w:bottom w:w="113" w:type="dxa"/>
              <w:right w:w="113" w:type="dxa"/>
            </w:tcMar>
            <w:vAlign w:val="center"/>
          </w:tcPr>
          <w:p w14:paraId="5692AF98">
            <w:pPr>
              <w:spacing w:before="120" w:after="120" w:line="312" w:lineRule="auto"/>
              <w:ind w:firstLine="0" w:firstLineChars="0"/>
              <w:rPr>
                <w:rFonts w:ascii="宋体" w:hAnsi="宋体" w:eastAsia="宋体" w:cs="宋体"/>
                <w:color w:val="auto"/>
                <w:sz w:val="18"/>
                <w:szCs w:val="18"/>
                <w:highlight w:val="none"/>
                <w:lang w:eastAsia="en-US"/>
              </w:rPr>
            </w:pPr>
          </w:p>
        </w:tc>
        <w:tc>
          <w:tcPr>
            <w:tcW w:w="1443" w:type="pct"/>
            <w:noWrap w:val="0"/>
            <w:tcMar>
              <w:top w:w="113" w:type="dxa"/>
              <w:left w:w="113" w:type="dxa"/>
              <w:bottom w:w="113" w:type="dxa"/>
              <w:right w:w="113" w:type="dxa"/>
            </w:tcMar>
            <w:vAlign w:val="center"/>
          </w:tcPr>
          <w:p w14:paraId="4F1E1838">
            <w:pPr>
              <w:spacing w:before="120" w:after="120" w:line="312"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施工进度摸拟（含施工进度计划文档）</w:t>
            </w:r>
          </w:p>
        </w:tc>
        <w:tc>
          <w:tcPr>
            <w:tcW w:w="1157" w:type="pct"/>
            <w:noWrap w:val="0"/>
            <w:tcMar>
              <w:top w:w="113" w:type="dxa"/>
              <w:left w:w="113" w:type="dxa"/>
              <w:bottom w:w="113" w:type="dxa"/>
              <w:right w:w="113" w:type="dxa"/>
            </w:tcMar>
            <w:vAlign w:val="center"/>
          </w:tcPr>
          <w:p w14:paraId="079F284B">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MP4、AVI等相关视频格式</w:t>
            </w:r>
          </w:p>
        </w:tc>
        <w:tc>
          <w:tcPr>
            <w:tcW w:w="442" w:type="pct"/>
            <w:vMerge w:val="continue"/>
            <w:noWrap w:val="0"/>
            <w:tcMar>
              <w:top w:w="113" w:type="dxa"/>
              <w:left w:w="113" w:type="dxa"/>
              <w:bottom w:w="113" w:type="dxa"/>
              <w:right w:w="113" w:type="dxa"/>
            </w:tcMar>
            <w:vAlign w:val="center"/>
          </w:tcPr>
          <w:p w14:paraId="661A6975">
            <w:pPr>
              <w:spacing w:before="120" w:after="120" w:line="312" w:lineRule="auto"/>
              <w:ind w:left="102" w:firstLine="0" w:firstLineChars="0"/>
              <w:rPr>
                <w:rFonts w:ascii="宋体" w:hAnsi="宋体" w:eastAsia="宋体" w:cs="宋体"/>
                <w:color w:val="auto"/>
                <w:sz w:val="18"/>
                <w:szCs w:val="18"/>
                <w:highlight w:val="none"/>
                <w:lang w:eastAsia="en-US"/>
              </w:rPr>
            </w:pPr>
          </w:p>
        </w:tc>
      </w:tr>
      <w:tr w14:paraId="642B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74FAECC7">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6FC66497">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53425FF9">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1063" w:type="pct"/>
            <w:vMerge w:val="continue"/>
            <w:noWrap w:val="0"/>
            <w:tcMar>
              <w:top w:w="113" w:type="dxa"/>
              <w:left w:w="113" w:type="dxa"/>
              <w:bottom w:w="113" w:type="dxa"/>
              <w:right w:w="113" w:type="dxa"/>
            </w:tcMar>
            <w:vAlign w:val="center"/>
          </w:tcPr>
          <w:p w14:paraId="262415EA">
            <w:pPr>
              <w:spacing w:before="120" w:after="120" w:line="312" w:lineRule="auto"/>
              <w:ind w:firstLine="0" w:firstLineChars="0"/>
              <w:rPr>
                <w:rFonts w:ascii="宋体" w:hAnsi="宋体" w:eastAsia="宋体" w:cs="宋体"/>
                <w:color w:val="auto"/>
                <w:sz w:val="18"/>
                <w:szCs w:val="18"/>
                <w:highlight w:val="none"/>
                <w:lang w:eastAsia="en-US"/>
              </w:rPr>
            </w:pPr>
          </w:p>
        </w:tc>
        <w:tc>
          <w:tcPr>
            <w:tcW w:w="1443" w:type="pct"/>
            <w:noWrap w:val="0"/>
            <w:tcMar>
              <w:top w:w="113" w:type="dxa"/>
              <w:left w:w="113" w:type="dxa"/>
              <w:bottom w:w="113" w:type="dxa"/>
              <w:right w:w="113" w:type="dxa"/>
            </w:tcMar>
            <w:vAlign w:val="center"/>
          </w:tcPr>
          <w:p w14:paraId="6B1BCB0C">
            <w:pPr>
              <w:spacing w:before="120" w:after="120" w:line="312"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施工工艺模拟（含施工技术交底文档）</w:t>
            </w:r>
          </w:p>
        </w:tc>
        <w:tc>
          <w:tcPr>
            <w:tcW w:w="1157" w:type="pct"/>
            <w:noWrap w:val="0"/>
            <w:tcMar>
              <w:top w:w="113" w:type="dxa"/>
              <w:left w:w="113" w:type="dxa"/>
              <w:bottom w:w="113" w:type="dxa"/>
              <w:right w:w="113" w:type="dxa"/>
            </w:tcMar>
            <w:vAlign w:val="center"/>
          </w:tcPr>
          <w:p w14:paraId="507D2177">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MP4、AVI等相关视频格式</w:t>
            </w:r>
          </w:p>
        </w:tc>
        <w:tc>
          <w:tcPr>
            <w:tcW w:w="442" w:type="pct"/>
            <w:vMerge w:val="continue"/>
            <w:noWrap w:val="0"/>
            <w:tcMar>
              <w:top w:w="113" w:type="dxa"/>
              <w:left w:w="113" w:type="dxa"/>
              <w:bottom w:w="113" w:type="dxa"/>
              <w:right w:w="113" w:type="dxa"/>
            </w:tcMar>
            <w:vAlign w:val="center"/>
          </w:tcPr>
          <w:p w14:paraId="04241889">
            <w:pPr>
              <w:spacing w:before="120" w:after="120" w:line="312" w:lineRule="auto"/>
              <w:ind w:left="102" w:firstLine="0" w:firstLineChars="0"/>
              <w:rPr>
                <w:rFonts w:ascii="宋体" w:hAnsi="宋体" w:eastAsia="宋体" w:cs="宋体"/>
                <w:color w:val="auto"/>
                <w:sz w:val="18"/>
                <w:szCs w:val="18"/>
                <w:highlight w:val="none"/>
                <w:lang w:eastAsia="en-US"/>
              </w:rPr>
            </w:pPr>
          </w:p>
        </w:tc>
      </w:tr>
      <w:tr w14:paraId="2EA8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221C982A">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21A5022C">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406A6B57">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1063" w:type="pct"/>
            <w:noWrap w:val="0"/>
            <w:tcMar>
              <w:top w:w="113" w:type="dxa"/>
              <w:left w:w="113" w:type="dxa"/>
              <w:bottom w:w="113" w:type="dxa"/>
              <w:right w:w="113" w:type="dxa"/>
            </w:tcMar>
            <w:vAlign w:val="center"/>
          </w:tcPr>
          <w:p w14:paraId="76FDFB6C">
            <w:pPr>
              <w:spacing w:before="120" w:after="120" w:line="312"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6.施工阶段工程量统计清单</w:t>
            </w:r>
          </w:p>
        </w:tc>
        <w:tc>
          <w:tcPr>
            <w:tcW w:w="1443" w:type="pct"/>
            <w:noWrap w:val="0"/>
            <w:tcMar>
              <w:top w:w="113" w:type="dxa"/>
              <w:left w:w="113" w:type="dxa"/>
              <w:bottom w:w="113" w:type="dxa"/>
              <w:right w:w="113" w:type="dxa"/>
            </w:tcMar>
            <w:vAlign w:val="center"/>
          </w:tcPr>
          <w:p w14:paraId="1890D039">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措施材料工程量统计清单</w:t>
            </w:r>
          </w:p>
        </w:tc>
        <w:tc>
          <w:tcPr>
            <w:tcW w:w="1157" w:type="pct"/>
            <w:noWrap w:val="0"/>
            <w:tcMar>
              <w:top w:w="113" w:type="dxa"/>
              <w:left w:w="113" w:type="dxa"/>
              <w:bottom w:w="113" w:type="dxa"/>
              <w:right w:w="113" w:type="dxa"/>
            </w:tcMar>
            <w:vAlign w:val="center"/>
          </w:tcPr>
          <w:p w14:paraId="14F127F4">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Excel、PDF</w:t>
            </w:r>
          </w:p>
        </w:tc>
        <w:tc>
          <w:tcPr>
            <w:tcW w:w="442" w:type="pct"/>
            <w:vMerge w:val="continue"/>
            <w:noWrap w:val="0"/>
            <w:tcMar>
              <w:top w:w="113" w:type="dxa"/>
              <w:left w:w="113" w:type="dxa"/>
              <w:bottom w:w="113" w:type="dxa"/>
              <w:right w:w="113" w:type="dxa"/>
            </w:tcMar>
            <w:vAlign w:val="center"/>
          </w:tcPr>
          <w:p w14:paraId="3FF9213A">
            <w:pPr>
              <w:spacing w:before="120" w:after="120" w:line="312" w:lineRule="auto"/>
              <w:ind w:left="102" w:firstLine="0" w:firstLineChars="0"/>
              <w:rPr>
                <w:rFonts w:ascii="宋体" w:hAnsi="宋体" w:eastAsia="宋体" w:cs="宋体"/>
                <w:color w:val="auto"/>
                <w:sz w:val="18"/>
                <w:szCs w:val="18"/>
                <w:highlight w:val="none"/>
                <w:lang w:eastAsia="en-US"/>
              </w:rPr>
            </w:pPr>
          </w:p>
        </w:tc>
      </w:tr>
      <w:tr w14:paraId="1AD7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1CE7FDB3">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041C5657">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045346C1">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1063" w:type="pct"/>
            <w:noWrap w:val="0"/>
            <w:tcMar>
              <w:top w:w="113" w:type="dxa"/>
              <w:left w:w="113" w:type="dxa"/>
              <w:bottom w:w="113" w:type="dxa"/>
              <w:right w:w="113" w:type="dxa"/>
            </w:tcMar>
            <w:vAlign w:val="center"/>
          </w:tcPr>
          <w:p w14:paraId="0F65D589">
            <w:pPr>
              <w:spacing w:before="120" w:after="120" w:line="312"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7.</w:t>
            </w:r>
            <w:r>
              <w:rPr>
                <w:rFonts w:hint="eastAsia" w:ascii="宋体" w:hAnsi="宋体" w:eastAsia="宋体" w:cs="宋体"/>
                <w:color w:val="auto"/>
                <w:sz w:val="18"/>
                <w:szCs w:val="18"/>
                <w:highlight w:val="none"/>
                <w:lang w:eastAsia="en-US"/>
              </w:rPr>
              <w:t>可视化成果文件</w:t>
            </w:r>
          </w:p>
        </w:tc>
        <w:tc>
          <w:tcPr>
            <w:tcW w:w="1443" w:type="pct"/>
            <w:noWrap w:val="0"/>
            <w:tcMar>
              <w:top w:w="113" w:type="dxa"/>
              <w:left w:w="113" w:type="dxa"/>
              <w:bottom w:w="113" w:type="dxa"/>
              <w:right w:w="113" w:type="dxa"/>
            </w:tcMar>
            <w:vAlign w:val="center"/>
          </w:tcPr>
          <w:p w14:paraId="4F494A5C">
            <w:pPr>
              <w:spacing w:before="120" w:after="120" w:line="312"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1）</w:t>
            </w:r>
            <w:r>
              <w:rPr>
                <w:rFonts w:ascii="宋体" w:hAnsi="宋体" w:eastAsia="宋体" w:cs="宋体"/>
                <w:color w:val="auto"/>
                <w:sz w:val="18"/>
                <w:szCs w:val="18"/>
                <w:highlight w:val="none"/>
                <w:lang w:eastAsia="en-US"/>
              </w:rPr>
              <w:t>施工节点验收可视化视频展示</w:t>
            </w:r>
          </w:p>
          <w:p w14:paraId="4237151B">
            <w:pPr>
              <w:spacing w:before="120" w:after="120" w:line="312" w:lineRule="auto"/>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2）复杂节点三维图</w:t>
            </w:r>
          </w:p>
        </w:tc>
        <w:tc>
          <w:tcPr>
            <w:tcW w:w="1157" w:type="pct"/>
            <w:noWrap w:val="0"/>
            <w:tcMar>
              <w:top w:w="113" w:type="dxa"/>
              <w:left w:w="113" w:type="dxa"/>
              <w:bottom w:w="113" w:type="dxa"/>
              <w:right w:w="113" w:type="dxa"/>
            </w:tcMar>
            <w:vAlign w:val="center"/>
          </w:tcPr>
          <w:p w14:paraId="1F120E69">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MP4、AVI等相关视频格式及相关图片格式等</w:t>
            </w:r>
          </w:p>
        </w:tc>
        <w:tc>
          <w:tcPr>
            <w:tcW w:w="442" w:type="pct"/>
            <w:vMerge w:val="continue"/>
            <w:noWrap w:val="0"/>
            <w:tcMar>
              <w:top w:w="113" w:type="dxa"/>
              <w:left w:w="113" w:type="dxa"/>
              <w:bottom w:w="113" w:type="dxa"/>
              <w:right w:w="113" w:type="dxa"/>
            </w:tcMar>
            <w:vAlign w:val="center"/>
          </w:tcPr>
          <w:p w14:paraId="770F7C7C">
            <w:pPr>
              <w:spacing w:before="120" w:after="120" w:line="312" w:lineRule="auto"/>
              <w:ind w:left="102" w:firstLine="0" w:firstLineChars="0"/>
              <w:rPr>
                <w:rFonts w:ascii="宋体" w:hAnsi="宋体" w:eastAsia="宋体" w:cs="宋体"/>
                <w:color w:val="auto"/>
                <w:sz w:val="18"/>
                <w:szCs w:val="18"/>
                <w:highlight w:val="none"/>
                <w:lang w:eastAsia="en-US"/>
              </w:rPr>
            </w:pPr>
          </w:p>
        </w:tc>
      </w:tr>
      <w:tr w14:paraId="3475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restart"/>
            <w:noWrap w:val="0"/>
            <w:tcMar>
              <w:top w:w="113" w:type="dxa"/>
              <w:left w:w="113" w:type="dxa"/>
              <w:bottom w:w="113" w:type="dxa"/>
              <w:right w:w="113" w:type="dxa"/>
            </w:tcMar>
            <w:vAlign w:val="center"/>
          </w:tcPr>
          <w:p w14:paraId="17B4DD5F">
            <w:pPr>
              <w:spacing w:before="120" w:after="120" w:line="312" w:lineRule="auto"/>
              <w:ind w:left="102"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3</w:t>
            </w:r>
          </w:p>
        </w:tc>
        <w:tc>
          <w:tcPr>
            <w:tcW w:w="297" w:type="pct"/>
            <w:vMerge w:val="restart"/>
            <w:noWrap w:val="0"/>
            <w:tcMar>
              <w:top w:w="113" w:type="dxa"/>
              <w:left w:w="113" w:type="dxa"/>
              <w:bottom w:w="113" w:type="dxa"/>
              <w:right w:w="113" w:type="dxa"/>
            </w:tcMar>
            <w:vAlign w:val="center"/>
          </w:tcPr>
          <w:p w14:paraId="58568B33">
            <w:pPr>
              <w:spacing w:before="120" w:after="120" w:line="312" w:lineRule="auto"/>
              <w:ind w:left="102"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设计施工阶段</w:t>
            </w:r>
          </w:p>
        </w:tc>
        <w:tc>
          <w:tcPr>
            <w:tcW w:w="350" w:type="pct"/>
            <w:vMerge w:val="restart"/>
            <w:noWrap w:val="0"/>
            <w:tcMar>
              <w:top w:w="113" w:type="dxa"/>
              <w:left w:w="113" w:type="dxa"/>
              <w:bottom w:w="113" w:type="dxa"/>
              <w:right w:w="113" w:type="dxa"/>
            </w:tcMar>
            <w:vAlign w:val="center"/>
          </w:tcPr>
          <w:p w14:paraId="78634D63">
            <w:pPr>
              <w:spacing w:before="120" w:after="120" w:line="312" w:lineRule="auto"/>
              <w:ind w:left="102"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BIM总协调方</w:t>
            </w:r>
          </w:p>
        </w:tc>
        <w:tc>
          <w:tcPr>
            <w:tcW w:w="1063" w:type="pct"/>
            <w:noWrap w:val="0"/>
            <w:tcMar>
              <w:top w:w="113" w:type="dxa"/>
              <w:left w:w="113" w:type="dxa"/>
              <w:bottom w:w="113" w:type="dxa"/>
              <w:right w:w="113" w:type="dxa"/>
            </w:tcMar>
            <w:vAlign w:val="center"/>
          </w:tcPr>
          <w:p w14:paraId="095BD882">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BIM实施大纲</w:t>
            </w:r>
          </w:p>
        </w:tc>
        <w:tc>
          <w:tcPr>
            <w:tcW w:w="1443" w:type="pct"/>
            <w:noWrap w:val="0"/>
            <w:tcMar>
              <w:top w:w="113" w:type="dxa"/>
              <w:left w:w="113" w:type="dxa"/>
              <w:bottom w:w="113" w:type="dxa"/>
              <w:right w:w="113" w:type="dxa"/>
            </w:tcMar>
            <w:vAlign w:val="center"/>
          </w:tcPr>
          <w:p w14:paraId="2BD1B1BC">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BIM实施大纲</w:t>
            </w:r>
          </w:p>
        </w:tc>
        <w:tc>
          <w:tcPr>
            <w:tcW w:w="1157" w:type="pct"/>
            <w:noWrap w:val="0"/>
            <w:tcMar>
              <w:top w:w="113" w:type="dxa"/>
              <w:left w:w="113" w:type="dxa"/>
              <w:bottom w:w="113" w:type="dxa"/>
              <w:right w:w="113" w:type="dxa"/>
            </w:tcMar>
            <w:vAlign w:val="center"/>
          </w:tcPr>
          <w:p w14:paraId="493F1090">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Word、PDF</w:t>
            </w:r>
          </w:p>
        </w:tc>
        <w:tc>
          <w:tcPr>
            <w:tcW w:w="442" w:type="pct"/>
            <w:vMerge w:val="restart"/>
            <w:noWrap w:val="0"/>
            <w:tcMar>
              <w:top w:w="113" w:type="dxa"/>
              <w:left w:w="113" w:type="dxa"/>
              <w:bottom w:w="113" w:type="dxa"/>
              <w:right w:w="113" w:type="dxa"/>
            </w:tcMar>
            <w:vAlign w:val="center"/>
          </w:tcPr>
          <w:p w14:paraId="43583DB0">
            <w:pPr>
              <w:spacing w:before="120" w:after="120" w:line="312" w:lineRule="auto"/>
              <w:ind w:left="102"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前期工作部、项目建设管理部</w:t>
            </w:r>
          </w:p>
        </w:tc>
      </w:tr>
      <w:tr w14:paraId="751C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7C553B4B">
            <w:pPr>
              <w:spacing w:before="120" w:after="120" w:line="312" w:lineRule="auto"/>
              <w:ind w:firstLine="0" w:firstLineChars="0"/>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304A310C">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3C589E59">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1063" w:type="pct"/>
            <w:noWrap w:val="0"/>
            <w:tcMar>
              <w:top w:w="113" w:type="dxa"/>
              <w:left w:w="113" w:type="dxa"/>
              <w:bottom w:w="113" w:type="dxa"/>
              <w:right w:w="113" w:type="dxa"/>
            </w:tcMar>
            <w:vAlign w:val="center"/>
          </w:tcPr>
          <w:p w14:paraId="2E99B419">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BIM成果质量审查报告</w:t>
            </w:r>
          </w:p>
        </w:tc>
        <w:tc>
          <w:tcPr>
            <w:tcW w:w="1443" w:type="pct"/>
            <w:noWrap w:val="0"/>
            <w:tcMar>
              <w:top w:w="113" w:type="dxa"/>
              <w:left w:w="113" w:type="dxa"/>
              <w:bottom w:w="113" w:type="dxa"/>
              <w:right w:w="113" w:type="dxa"/>
            </w:tcMar>
            <w:vAlign w:val="center"/>
          </w:tcPr>
          <w:p w14:paraId="139069C3">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BIM成果质量审查报告</w:t>
            </w:r>
          </w:p>
        </w:tc>
        <w:tc>
          <w:tcPr>
            <w:tcW w:w="1157" w:type="pct"/>
            <w:noWrap w:val="0"/>
            <w:tcMar>
              <w:top w:w="113" w:type="dxa"/>
              <w:left w:w="113" w:type="dxa"/>
              <w:bottom w:w="113" w:type="dxa"/>
              <w:right w:w="113" w:type="dxa"/>
            </w:tcMar>
            <w:vAlign w:val="center"/>
          </w:tcPr>
          <w:p w14:paraId="6BC60865">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Word、PDF</w:t>
            </w:r>
          </w:p>
        </w:tc>
        <w:tc>
          <w:tcPr>
            <w:tcW w:w="442" w:type="pct"/>
            <w:vMerge w:val="continue"/>
            <w:noWrap w:val="0"/>
            <w:tcMar>
              <w:top w:w="113" w:type="dxa"/>
              <w:left w:w="113" w:type="dxa"/>
              <w:bottom w:w="113" w:type="dxa"/>
              <w:right w:w="113" w:type="dxa"/>
            </w:tcMar>
            <w:vAlign w:val="center"/>
          </w:tcPr>
          <w:p w14:paraId="239EDFF8">
            <w:pPr>
              <w:spacing w:before="120" w:after="120" w:line="312" w:lineRule="auto"/>
              <w:ind w:left="102" w:firstLine="0" w:firstLineChars="0"/>
              <w:rPr>
                <w:rFonts w:ascii="宋体" w:hAnsi="宋体" w:eastAsia="宋体" w:cs="宋体"/>
                <w:color w:val="auto"/>
                <w:sz w:val="18"/>
                <w:szCs w:val="18"/>
                <w:highlight w:val="none"/>
                <w:lang w:eastAsia="en-US"/>
              </w:rPr>
            </w:pPr>
          </w:p>
        </w:tc>
      </w:tr>
      <w:tr w14:paraId="085E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71538E31">
            <w:pPr>
              <w:spacing w:before="120" w:after="120" w:line="312" w:lineRule="auto"/>
              <w:ind w:firstLine="0" w:firstLineChars="0"/>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3DD6644E">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30EFF33F">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1063" w:type="pct"/>
            <w:noWrap w:val="0"/>
            <w:tcMar>
              <w:top w:w="113" w:type="dxa"/>
              <w:left w:w="113" w:type="dxa"/>
              <w:bottom w:w="113" w:type="dxa"/>
              <w:right w:w="113" w:type="dxa"/>
            </w:tcMar>
            <w:vAlign w:val="center"/>
          </w:tcPr>
          <w:p w14:paraId="555C8D92">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BIM工作月报/季报</w:t>
            </w:r>
          </w:p>
        </w:tc>
        <w:tc>
          <w:tcPr>
            <w:tcW w:w="1443" w:type="pct"/>
            <w:noWrap w:val="0"/>
            <w:tcMar>
              <w:top w:w="113" w:type="dxa"/>
              <w:left w:w="113" w:type="dxa"/>
              <w:bottom w:w="113" w:type="dxa"/>
              <w:right w:w="113" w:type="dxa"/>
            </w:tcMar>
            <w:vAlign w:val="center"/>
          </w:tcPr>
          <w:p w14:paraId="238E079D">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BIM工作月报/季报</w:t>
            </w:r>
          </w:p>
        </w:tc>
        <w:tc>
          <w:tcPr>
            <w:tcW w:w="1157" w:type="pct"/>
            <w:noWrap w:val="0"/>
            <w:tcMar>
              <w:top w:w="113" w:type="dxa"/>
              <w:left w:w="113" w:type="dxa"/>
              <w:bottom w:w="113" w:type="dxa"/>
              <w:right w:w="113" w:type="dxa"/>
            </w:tcMar>
            <w:vAlign w:val="center"/>
          </w:tcPr>
          <w:p w14:paraId="423D0F67">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Word、PDF</w:t>
            </w:r>
          </w:p>
        </w:tc>
        <w:tc>
          <w:tcPr>
            <w:tcW w:w="442" w:type="pct"/>
            <w:vMerge w:val="continue"/>
            <w:noWrap w:val="0"/>
            <w:tcMar>
              <w:top w:w="113" w:type="dxa"/>
              <w:left w:w="113" w:type="dxa"/>
              <w:bottom w:w="113" w:type="dxa"/>
              <w:right w:w="113" w:type="dxa"/>
            </w:tcMar>
            <w:vAlign w:val="center"/>
          </w:tcPr>
          <w:p w14:paraId="08B4FA5D">
            <w:pPr>
              <w:spacing w:before="120" w:after="120" w:line="312" w:lineRule="auto"/>
              <w:ind w:left="102" w:firstLine="0" w:firstLineChars="0"/>
              <w:rPr>
                <w:rFonts w:ascii="宋体" w:hAnsi="宋体" w:eastAsia="宋体" w:cs="宋体"/>
                <w:color w:val="auto"/>
                <w:sz w:val="18"/>
                <w:szCs w:val="18"/>
                <w:highlight w:val="none"/>
                <w:lang w:eastAsia="en-US"/>
              </w:rPr>
            </w:pPr>
          </w:p>
        </w:tc>
      </w:tr>
      <w:tr w14:paraId="40F2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44" w:type="pct"/>
            <w:vMerge w:val="continue"/>
            <w:noWrap w:val="0"/>
            <w:tcMar>
              <w:top w:w="113" w:type="dxa"/>
              <w:left w:w="113" w:type="dxa"/>
              <w:bottom w:w="113" w:type="dxa"/>
              <w:right w:w="113" w:type="dxa"/>
            </w:tcMar>
            <w:vAlign w:val="center"/>
          </w:tcPr>
          <w:p w14:paraId="3633F956">
            <w:pPr>
              <w:spacing w:before="120" w:after="120" w:line="312" w:lineRule="auto"/>
              <w:ind w:firstLine="0" w:firstLineChars="0"/>
              <w:rPr>
                <w:rFonts w:ascii="宋体" w:hAnsi="宋体" w:eastAsia="宋体" w:cs="宋体"/>
                <w:color w:val="auto"/>
                <w:sz w:val="18"/>
                <w:szCs w:val="18"/>
                <w:highlight w:val="none"/>
                <w:lang w:eastAsia="en-US"/>
              </w:rPr>
            </w:pPr>
          </w:p>
        </w:tc>
        <w:tc>
          <w:tcPr>
            <w:tcW w:w="297" w:type="pct"/>
            <w:vMerge w:val="continue"/>
            <w:noWrap w:val="0"/>
            <w:tcMar>
              <w:top w:w="113" w:type="dxa"/>
              <w:left w:w="113" w:type="dxa"/>
              <w:bottom w:w="113" w:type="dxa"/>
              <w:right w:w="113" w:type="dxa"/>
            </w:tcMar>
            <w:vAlign w:val="center"/>
          </w:tcPr>
          <w:p w14:paraId="242237A1">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350" w:type="pct"/>
            <w:vMerge w:val="continue"/>
            <w:noWrap w:val="0"/>
            <w:tcMar>
              <w:top w:w="113" w:type="dxa"/>
              <w:left w:w="113" w:type="dxa"/>
              <w:bottom w:w="113" w:type="dxa"/>
              <w:right w:w="113" w:type="dxa"/>
            </w:tcMar>
            <w:vAlign w:val="center"/>
          </w:tcPr>
          <w:p w14:paraId="220AD93C">
            <w:pPr>
              <w:spacing w:before="120" w:after="120" w:line="312" w:lineRule="auto"/>
              <w:ind w:left="102" w:firstLine="0" w:firstLineChars="0"/>
              <w:rPr>
                <w:rFonts w:ascii="宋体" w:hAnsi="宋体" w:eastAsia="宋体" w:cs="宋体"/>
                <w:color w:val="auto"/>
                <w:sz w:val="18"/>
                <w:szCs w:val="18"/>
                <w:highlight w:val="none"/>
                <w:lang w:eastAsia="en-US"/>
              </w:rPr>
            </w:pPr>
          </w:p>
        </w:tc>
        <w:tc>
          <w:tcPr>
            <w:tcW w:w="1063" w:type="pct"/>
            <w:noWrap w:val="0"/>
            <w:tcMar>
              <w:top w:w="113" w:type="dxa"/>
              <w:left w:w="113" w:type="dxa"/>
              <w:bottom w:w="113" w:type="dxa"/>
              <w:right w:w="113" w:type="dxa"/>
            </w:tcMar>
            <w:vAlign w:val="center"/>
          </w:tcPr>
          <w:p w14:paraId="3BB835F7">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BIM成果评价表</w:t>
            </w:r>
          </w:p>
        </w:tc>
        <w:tc>
          <w:tcPr>
            <w:tcW w:w="1443" w:type="pct"/>
            <w:noWrap w:val="0"/>
            <w:tcMar>
              <w:top w:w="113" w:type="dxa"/>
              <w:left w:w="113" w:type="dxa"/>
              <w:bottom w:w="113" w:type="dxa"/>
              <w:right w:w="113" w:type="dxa"/>
            </w:tcMar>
            <w:vAlign w:val="center"/>
          </w:tcPr>
          <w:p w14:paraId="641ADDED">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BIM成果评价表</w:t>
            </w:r>
          </w:p>
        </w:tc>
        <w:tc>
          <w:tcPr>
            <w:tcW w:w="1157" w:type="pct"/>
            <w:noWrap w:val="0"/>
            <w:tcMar>
              <w:top w:w="113" w:type="dxa"/>
              <w:left w:w="113" w:type="dxa"/>
              <w:bottom w:w="113" w:type="dxa"/>
              <w:right w:w="113" w:type="dxa"/>
            </w:tcMar>
            <w:vAlign w:val="center"/>
          </w:tcPr>
          <w:p w14:paraId="4BF8445C">
            <w:pPr>
              <w:spacing w:before="120" w:after="120" w:line="312" w:lineRule="auto"/>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Word、PDF</w:t>
            </w:r>
          </w:p>
        </w:tc>
        <w:tc>
          <w:tcPr>
            <w:tcW w:w="442" w:type="pct"/>
            <w:vMerge w:val="continue"/>
            <w:noWrap w:val="0"/>
            <w:tcMar>
              <w:top w:w="113" w:type="dxa"/>
              <w:left w:w="113" w:type="dxa"/>
              <w:bottom w:w="113" w:type="dxa"/>
              <w:right w:w="113" w:type="dxa"/>
            </w:tcMar>
            <w:vAlign w:val="center"/>
          </w:tcPr>
          <w:p w14:paraId="4DD3AE42">
            <w:pPr>
              <w:spacing w:before="120" w:after="120" w:line="312" w:lineRule="auto"/>
              <w:ind w:left="102" w:firstLine="0" w:firstLineChars="0"/>
              <w:rPr>
                <w:rFonts w:ascii="宋体" w:hAnsi="宋体" w:eastAsia="宋体" w:cs="宋体"/>
                <w:color w:val="auto"/>
                <w:sz w:val="18"/>
                <w:szCs w:val="18"/>
                <w:highlight w:val="none"/>
                <w:lang w:eastAsia="en-US"/>
              </w:rPr>
            </w:pPr>
          </w:p>
        </w:tc>
      </w:tr>
    </w:tbl>
    <w:p w14:paraId="7ED3C324">
      <w:pPr>
        <w:spacing w:before="120" w:after="120"/>
        <w:rPr>
          <w:color w:val="auto"/>
          <w:highlight w:val="none"/>
        </w:rPr>
      </w:pPr>
    </w:p>
    <w:p w14:paraId="4202C99D">
      <w:pPr>
        <w:pStyle w:val="3"/>
        <w:tabs>
          <w:tab w:val="left" w:pos="0"/>
        </w:tabs>
        <w:rPr>
          <w:color w:val="auto"/>
          <w:highlight w:val="none"/>
        </w:rPr>
      </w:pPr>
      <w:bookmarkStart w:id="198" w:name="_Toc8392"/>
      <w:r>
        <w:rPr>
          <w:color w:val="auto"/>
          <w:highlight w:val="none"/>
        </w:rPr>
        <w:t>成果评价</w:t>
      </w:r>
      <w:bookmarkEnd w:id="198"/>
    </w:p>
    <w:p w14:paraId="14A33B04">
      <w:pPr>
        <w:pStyle w:val="4"/>
        <w:tabs>
          <w:tab w:val="left" w:pos="0"/>
        </w:tabs>
        <w:spacing w:before="120" w:after="120"/>
        <w:rPr>
          <w:color w:val="auto"/>
          <w:highlight w:val="none"/>
        </w:rPr>
      </w:pPr>
      <w:r>
        <w:rPr>
          <w:color w:val="auto"/>
          <w:highlight w:val="none"/>
        </w:rPr>
        <w:t>BIM总协调方应对代建局项目的BIM成果进行评价，该评价可作为项目交付及结算的参考依据。</w:t>
      </w:r>
    </w:p>
    <w:p w14:paraId="741FF8C0">
      <w:pPr>
        <w:pStyle w:val="401"/>
        <w:rPr>
          <w:color w:val="auto"/>
          <w:highlight w:val="none"/>
        </w:rPr>
      </w:pPr>
      <w:r>
        <w:rPr>
          <w:color w:val="auto"/>
          <w:highlight w:val="none"/>
        </w:rPr>
        <w:t>表4.4.1  成果交付评价表</w:t>
      </w:r>
    </w:p>
    <w:tbl>
      <w:tblPr>
        <w:tblStyle w:val="5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24"/>
        <w:gridCol w:w="714"/>
        <w:gridCol w:w="4876"/>
        <w:gridCol w:w="2222"/>
      </w:tblGrid>
      <w:tr w14:paraId="2AEB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24" w:type="pct"/>
            <w:noWrap w:val="0"/>
            <w:tcMar>
              <w:top w:w="113" w:type="dxa"/>
              <w:left w:w="113" w:type="dxa"/>
              <w:bottom w:w="113" w:type="dxa"/>
              <w:right w:w="113" w:type="dxa"/>
            </w:tcMar>
            <w:vAlign w:val="center"/>
          </w:tcPr>
          <w:p w14:paraId="31464D13">
            <w:pPr>
              <w:spacing w:before="120" w:after="120" w:line="312" w:lineRule="auto"/>
              <w:ind w:firstLine="0" w:firstLineChars="0"/>
              <w:jc w:val="center"/>
              <w:rPr>
                <w:rFonts w:ascii="宋体" w:hAnsi="宋体" w:eastAsia="宋体" w:cs="宋体"/>
                <w:b/>
                <w:bCs/>
                <w:color w:val="auto"/>
                <w:sz w:val="18"/>
                <w:szCs w:val="18"/>
                <w:highlight w:val="none"/>
                <w:lang w:eastAsia="en-US"/>
              </w:rPr>
            </w:pPr>
            <w:r>
              <w:rPr>
                <w:rFonts w:hint="eastAsia" w:ascii="宋体" w:hAnsi="宋体" w:eastAsia="宋体" w:cs="宋体"/>
                <w:b/>
                <w:bCs/>
                <w:color w:val="auto"/>
                <w:sz w:val="18"/>
                <w:szCs w:val="18"/>
                <w:highlight w:val="none"/>
                <w:lang w:eastAsia="en-US"/>
              </w:rPr>
              <w:t>序号</w:t>
            </w:r>
          </w:p>
        </w:tc>
        <w:tc>
          <w:tcPr>
            <w:tcW w:w="418" w:type="pct"/>
            <w:noWrap w:val="0"/>
            <w:tcMar>
              <w:top w:w="113" w:type="dxa"/>
              <w:left w:w="113" w:type="dxa"/>
              <w:bottom w:w="113" w:type="dxa"/>
              <w:right w:w="113" w:type="dxa"/>
            </w:tcMar>
            <w:vAlign w:val="center"/>
          </w:tcPr>
          <w:p w14:paraId="6F404441">
            <w:pPr>
              <w:spacing w:before="120" w:after="120" w:line="312" w:lineRule="auto"/>
              <w:ind w:firstLine="0" w:firstLineChars="0"/>
              <w:jc w:val="center"/>
              <w:rPr>
                <w:rFonts w:ascii="宋体" w:hAnsi="宋体" w:eastAsia="宋体" w:cs="宋体"/>
                <w:b/>
                <w:bCs/>
                <w:color w:val="auto"/>
                <w:sz w:val="18"/>
                <w:szCs w:val="18"/>
                <w:highlight w:val="none"/>
                <w:lang w:eastAsia="en-US"/>
              </w:rPr>
            </w:pPr>
            <w:r>
              <w:rPr>
                <w:rFonts w:hint="eastAsia" w:ascii="宋体" w:hAnsi="宋体" w:eastAsia="宋体" w:cs="宋体"/>
                <w:b/>
                <w:bCs/>
                <w:color w:val="auto"/>
                <w:sz w:val="18"/>
                <w:szCs w:val="18"/>
                <w:highlight w:val="none"/>
                <w:lang w:eastAsia="en-US"/>
              </w:rPr>
              <w:t>评级</w:t>
            </w:r>
          </w:p>
        </w:tc>
        <w:tc>
          <w:tcPr>
            <w:tcW w:w="2855" w:type="pct"/>
            <w:noWrap w:val="0"/>
            <w:tcMar>
              <w:top w:w="113" w:type="dxa"/>
              <w:left w:w="113" w:type="dxa"/>
              <w:bottom w:w="113" w:type="dxa"/>
              <w:right w:w="113" w:type="dxa"/>
            </w:tcMar>
            <w:vAlign w:val="center"/>
          </w:tcPr>
          <w:p w14:paraId="389AE6B6">
            <w:pPr>
              <w:spacing w:before="120" w:after="120" w:line="312" w:lineRule="auto"/>
              <w:ind w:firstLine="0" w:firstLineChars="0"/>
              <w:jc w:val="center"/>
              <w:rPr>
                <w:rFonts w:ascii="宋体" w:hAnsi="宋体" w:eastAsia="宋体" w:cs="宋体"/>
                <w:b/>
                <w:bCs/>
                <w:color w:val="auto"/>
                <w:sz w:val="18"/>
                <w:szCs w:val="18"/>
                <w:highlight w:val="none"/>
                <w:lang w:eastAsia="en-US"/>
              </w:rPr>
            </w:pPr>
            <w:r>
              <w:rPr>
                <w:rFonts w:hint="eastAsia" w:ascii="宋体" w:hAnsi="宋体" w:eastAsia="宋体" w:cs="宋体"/>
                <w:b/>
                <w:bCs/>
                <w:color w:val="auto"/>
                <w:sz w:val="18"/>
                <w:szCs w:val="18"/>
                <w:highlight w:val="none"/>
                <w:lang w:eastAsia="en-US"/>
              </w:rPr>
              <w:t>评价内容</w:t>
            </w:r>
          </w:p>
        </w:tc>
        <w:tc>
          <w:tcPr>
            <w:tcW w:w="1301" w:type="pct"/>
            <w:noWrap w:val="0"/>
            <w:tcMar>
              <w:top w:w="113" w:type="dxa"/>
              <w:left w:w="113" w:type="dxa"/>
              <w:bottom w:w="113" w:type="dxa"/>
              <w:right w:w="113" w:type="dxa"/>
            </w:tcMar>
            <w:vAlign w:val="center"/>
          </w:tcPr>
          <w:p w14:paraId="40C16D96">
            <w:pPr>
              <w:spacing w:before="120" w:after="120" w:line="312" w:lineRule="auto"/>
              <w:ind w:firstLine="0" w:firstLineChars="0"/>
              <w:jc w:val="center"/>
              <w:rPr>
                <w:rFonts w:ascii="宋体" w:hAnsi="宋体" w:eastAsia="宋体" w:cs="宋体"/>
                <w:b/>
                <w:bCs/>
                <w:color w:val="auto"/>
                <w:sz w:val="18"/>
                <w:szCs w:val="18"/>
                <w:highlight w:val="none"/>
                <w:lang w:eastAsia="en-US"/>
              </w:rPr>
            </w:pPr>
            <w:r>
              <w:rPr>
                <w:rFonts w:hint="eastAsia" w:ascii="宋体" w:hAnsi="宋体" w:eastAsia="宋体" w:cs="宋体"/>
                <w:b/>
                <w:bCs/>
                <w:color w:val="auto"/>
                <w:sz w:val="18"/>
                <w:szCs w:val="18"/>
                <w:highlight w:val="none"/>
                <w:lang w:eastAsia="en-US"/>
              </w:rPr>
              <w:t>评价措施</w:t>
            </w:r>
          </w:p>
        </w:tc>
      </w:tr>
      <w:tr w14:paraId="2C3A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4" w:type="pct"/>
            <w:noWrap w:val="0"/>
            <w:tcMar>
              <w:top w:w="113" w:type="dxa"/>
              <w:left w:w="113" w:type="dxa"/>
              <w:bottom w:w="113" w:type="dxa"/>
              <w:right w:w="113" w:type="dxa"/>
            </w:tcMar>
            <w:vAlign w:val="center"/>
          </w:tcPr>
          <w:p w14:paraId="7EA58299">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w:t>
            </w:r>
          </w:p>
        </w:tc>
        <w:tc>
          <w:tcPr>
            <w:tcW w:w="418" w:type="pct"/>
            <w:noWrap w:val="0"/>
            <w:tcMar>
              <w:top w:w="113" w:type="dxa"/>
              <w:left w:w="113" w:type="dxa"/>
              <w:bottom w:w="113" w:type="dxa"/>
              <w:right w:w="113" w:type="dxa"/>
            </w:tcMar>
            <w:vAlign w:val="center"/>
          </w:tcPr>
          <w:p w14:paraId="01763A8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A+</w:t>
            </w:r>
          </w:p>
        </w:tc>
        <w:tc>
          <w:tcPr>
            <w:tcW w:w="2855" w:type="pct"/>
            <w:noWrap w:val="0"/>
            <w:tcMar>
              <w:top w:w="113" w:type="dxa"/>
              <w:left w:w="113" w:type="dxa"/>
              <w:bottom w:w="113" w:type="dxa"/>
              <w:right w:w="113" w:type="dxa"/>
            </w:tcMar>
            <w:vAlign w:val="center"/>
          </w:tcPr>
          <w:p w14:paraId="0576EC4F">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1.按时按质完成约定成果，包括但不限于表4.3成果交付内容。</w:t>
            </w:r>
          </w:p>
          <w:p w14:paraId="7458945B">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2.成果完整，内容丰富。</w:t>
            </w:r>
          </w:p>
          <w:p w14:paraId="61B091A1">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3.已满足合同及相关使用方的要求：</w:t>
            </w:r>
          </w:p>
          <w:p w14:paraId="7AF94818">
            <w:pPr>
              <w:spacing w:before="120" w:after="120"/>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1）各阶段BIM实施方案符合《广东省代建局政府公共工程BIM实施管理标准》相关要求，内容完整、可行，能切实指导开展BIM应用工作；</w:t>
            </w:r>
          </w:p>
          <w:p w14:paraId="21A54173">
            <w:pPr>
              <w:spacing w:before="120" w:after="120"/>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2）BIM模型的建模合规性、模型完整性、图模一致性符合合同、本导则及《广东省代建局政府公共工程BIM实施管理标准》相关规定，各专业及上下游提资顺畅，数据互用合理，符合工程需要、各专业模型齐全且符合相应精度、深度标准；</w:t>
            </w:r>
          </w:p>
          <w:p w14:paraId="4CEEBD4B">
            <w:pPr>
              <w:spacing w:before="120" w:after="120"/>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3）BIM模型二维图纸对现场施工技术交底起到实质性作用。</w:t>
            </w:r>
          </w:p>
          <w:p w14:paraId="033EBBA3">
            <w:pPr>
              <w:spacing w:before="120" w:after="120"/>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4）图纸校核报告</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管线碰撞报告</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净高分析报告</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机电深化设计报告等各类分析报告，内容完整、针对性强，切实解决工程实际问题</w:t>
            </w:r>
            <w:r>
              <w:rPr>
                <w:rFonts w:ascii="宋体" w:hAnsi="宋体" w:eastAsia="宋体" w:cs="宋体"/>
                <w:color w:val="auto"/>
                <w:sz w:val="18"/>
                <w:szCs w:val="18"/>
                <w:highlight w:val="none"/>
                <w:lang w:eastAsia="en-US"/>
              </w:rPr>
              <w:t>；</w:t>
            </w:r>
          </w:p>
          <w:p w14:paraId="02D79B44">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5</w:t>
            </w:r>
            <w:r>
              <w:rPr>
                <w:rFonts w:hint="eastAsia" w:ascii="宋体" w:hAnsi="宋体" w:eastAsia="宋体" w:cs="宋体"/>
                <w:color w:val="auto"/>
                <w:sz w:val="18"/>
                <w:szCs w:val="18"/>
                <w:highlight w:val="none"/>
                <w:lang w:eastAsia="en-US"/>
              </w:rPr>
              <w:t>）模型生成工程量统计清单为设计概算预算编制、施工现场资源计划编制提供基础数据；</w:t>
            </w:r>
          </w:p>
          <w:p w14:paraId="7EA63BA7">
            <w:pPr>
              <w:spacing w:before="120" w:after="120"/>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（6）</w:t>
            </w:r>
            <w:r>
              <w:rPr>
                <w:rFonts w:hint="eastAsia" w:ascii="宋体" w:hAnsi="宋体" w:eastAsia="宋体" w:cs="宋体"/>
                <w:color w:val="auto"/>
                <w:sz w:val="18"/>
                <w:szCs w:val="18"/>
                <w:highlight w:val="none"/>
                <w:lang w:eastAsia="en-US"/>
              </w:rPr>
              <w:t>漫游动画及模型效果图全面展示工程设计概况，工程特点等；通过施工模拟视频进行工艺展示、工程进度模拟、复杂设备安装流程模拟等。</w:t>
            </w:r>
          </w:p>
          <w:p w14:paraId="7AC6D61E">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4.部分成果的实际应用效果超过预期，为项目带来实质性突破。（如创造效益、节约工期、提升社会知名度、科研创新等、且有具体数据支撑。）</w:t>
            </w:r>
          </w:p>
        </w:tc>
        <w:tc>
          <w:tcPr>
            <w:tcW w:w="1301" w:type="pct"/>
            <w:noWrap w:val="0"/>
            <w:tcMar>
              <w:top w:w="113" w:type="dxa"/>
              <w:left w:w="113" w:type="dxa"/>
              <w:bottom w:w="113" w:type="dxa"/>
              <w:right w:w="113" w:type="dxa"/>
            </w:tcMar>
            <w:vAlign w:val="center"/>
          </w:tcPr>
          <w:p w14:paraId="55CC5E18">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1.成果满足要求，可开展项目交付及结算事宜；</w:t>
            </w:r>
          </w:p>
          <w:p w14:paraId="3149679E">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2.可对成果交付单位给予一定鼓励。如奖金、感谢信等。</w:t>
            </w:r>
          </w:p>
        </w:tc>
      </w:tr>
      <w:tr w14:paraId="0F90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4" w:type="pct"/>
            <w:noWrap w:val="0"/>
            <w:tcMar>
              <w:top w:w="113" w:type="dxa"/>
              <w:left w:w="113" w:type="dxa"/>
              <w:bottom w:w="113" w:type="dxa"/>
              <w:right w:w="113" w:type="dxa"/>
            </w:tcMar>
            <w:vAlign w:val="center"/>
          </w:tcPr>
          <w:p w14:paraId="31089ADC">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2</w:t>
            </w:r>
          </w:p>
        </w:tc>
        <w:tc>
          <w:tcPr>
            <w:tcW w:w="418" w:type="pct"/>
            <w:noWrap w:val="0"/>
            <w:tcMar>
              <w:top w:w="113" w:type="dxa"/>
              <w:left w:w="113" w:type="dxa"/>
              <w:bottom w:w="113" w:type="dxa"/>
              <w:right w:w="113" w:type="dxa"/>
            </w:tcMar>
            <w:vAlign w:val="center"/>
          </w:tcPr>
          <w:p w14:paraId="74F660BD">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A</w:t>
            </w:r>
          </w:p>
        </w:tc>
        <w:tc>
          <w:tcPr>
            <w:tcW w:w="2855" w:type="pct"/>
            <w:noWrap w:val="0"/>
            <w:tcMar>
              <w:top w:w="113" w:type="dxa"/>
              <w:left w:w="113" w:type="dxa"/>
              <w:bottom w:w="113" w:type="dxa"/>
              <w:right w:w="113" w:type="dxa"/>
            </w:tcMar>
            <w:vAlign w:val="center"/>
          </w:tcPr>
          <w:p w14:paraId="075B701D">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1.按时按质完成约定成果；</w:t>
            </w:r>
          </w:p>
          <w:p w14:paraId="260505D0">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2.成果完整，内容丰富；</w:t>
            </w:r>
          </w:p>
          <w:p w14:paraId="1F9981F9">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3.已满足合同及相关使用方的要求；</w:t>
            </w:r>
          </w:p>
          <w:p w14:paraId="5138C2A2">
            <w:pPr>
              <w:spacing w:before="120" w:after="120"/>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1）各阶段BIM实施方案符合《广东省代建局政府公共工程BIM实施管理标准》相关要求，内容完整、可行，能切实指导开展BIM应用工作；</w:t>
            </w:r>
          </w:p>
          <w:p w14:paraId="5890438F">
            <w:pPr>
              <w:spacing w:before="120" w:after="120"/>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2）BIM模型的建模合规性、模型完整性、图模一致性符合合同、本导则及《广东省代建局政府公共工程BIM实施管理标准》相关规定，各专业及上下游提资顺畅，数据互用合理，符合工程需要、各专业模型齐全且符合相应精度、深度标准；</w:t>
            </w:r>
          </w:p>
          <w:p w14:paraId="2FB21C2B">
            <w:pPr>
              <w:spacing w:before="120" w:after="120"/>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3）BIM模型二维图纸对现场施工技术交底起到实质性作用。</w:t>
            </w:r>
          </w:p>
          <w:p w14:paraId="5547A5CA">
            <w:pPr>
              <w:spacing w:before="120" w:after="120"/>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4）图纸校核报告</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管线碰撞报告</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净高分析报告</w:t>
            </w:r>
            <w:r>
              <w:rPr>
                <w:rFonts w:ascii="宋体" w:hAnsi="宋体" w:eastAsia="宋体" w:cs="宋体"/>
                <w:color w:val="auto"/>
                <w:sz w:val="18"/>
                <w:szCs w:val="18"/>
                <w:highlight w:val="none"/>
                <w:lang w:eastAsia="en-US"/>
              </w:rPr>
              <w:t>、</w:t>
            </w:r>
            <w:r>
              <w:rPr>
                <w:rFonts w:hint="eastAsia" w:ascii="宋体" w:hAnsi="宋体" w:eastAsia="宋体" w:cs="宋体"/>
                <w:color w:val="auto"/>
                <w:sz w:val="18"/>
                <w:szCs w:val="18"/>
                <w:highlight w:val="none"/>
                <w:lang w:eastAsia="en-US"/>
              </w:rPr>
              <w:t>机电深化设计报告等各类分析报告，内容完整、针对性强，切实解决工程实际问题</w:t>
            </w:r>
            <w:r>
              <w:rPr>
                <w:rFonts w:ascii="宋体" w:hAnsi="宋体" w:eastAsia="宋体" w:cs="宋体"/>
                <w:color w:val="auto"/>
                <w:sz w:val="18"/>
                <w:szCs w:val="18"/>
                <w:highlight w:val="none"/>
                <w:lang w:eastAsia="en-US"/>
              </w:rPr>
              <w:t>；</w:t>
            </w:r>
          </w:p>
          <w:p w14:paraId="4536F29B">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w:t>
            </w:r>
            <w:r>
              <w:rPr>
                <w:rFonts w:ascii="宋体" w:hAnsi="宋体" w:eastAsia="宋体" w:cs="宋体"/>
                <w:color w:val="auto"/>
                <w:sz w:val="18"/>
                <w:szCs w:val="18"/>
                <w:highlight w:val="none"/>
                <w:lang w:eastAsia="en-US"/>
              </w:rPr>
              <w:t>5</w:t>
            </w:r>
            <w:r>
              <w:rPr>
                <w:rFonts w:hint="eastAsia" w:ascii="宋体" w:hAnsi="宋体" w:eastAsia="宋体" w:cs="宋体"/>
                <w:color w:val="auto"/>
                <w:sz w:val="18"/>
                <w:szCs w:val="18"/>
                <w:highlight w:val="none"/>
                <w:lang w:eastAsia="en-US"/>
              </w:rPr>
              <w:t>）模型生成工程量统计清单为设计概算预算编制、施工现场资源计划编制提供基础数据；</w:t>
            </w:r>
          </w:p>
          <w:p w14:paraId="13082152">
            <w:pPr>
              <w:spacing w:before="120" w:after="120"/>
              <w:ind w:firstLine="0" w:firstLineChars="0"/>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（6）</w:t>
            </w:r>
            <w:r>
              <w:rPr>
                <w:rFonts w:hint="eastAsia" w:ascii="宋体" w:hAnsi="宋体" w:eastAsia="宋体" w:cs="宋体"/>
                <w:color w:val="auto"/>
                <w:sz w:val="18"/>
                <w:szCs w:val="18"/>
                <w:highlight w:val="none"/>
                <w:lang w:eastAsia="en-US"/>
              </w:rPr>
              <w:t>漫游动画及模型效果图全面展示工程设计概况，工程特点等；通过施工模拟视频进行工艺展示、工程进度模拟、复杂设备安装流程模拟等。</w:t>
            </w:r>
          </w:p>
        </w:tc>
        <w:tc>
          <w:tcPr>
            <w:tcW w:w="1301" w:type="pct"/>
            <w:noWrap w:val="0"/>
            <w:tcMar>
              <w:top w:w="113" w:type="dxa"/>
              <w:left w:w="113" w:type="dxa"/>
              <w:bottom w:w="113" w:type="dxa"/>
              <w:right w:w="113" w:type="dxa"/>
            </w:tcMar>
            <w:vAlign w:val="center"/>
          </w:tcPr>
          <w:p w14:paraId="11B4CFC6">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1.成果满足要求，可开展项目交付及结算事宜。</w:t>
            </w:r>
          </w:p>
        </w:tc>
      </w:tr>
      <w:tr w14:paraId="1B0F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4" w:type="pct"/>
            <w:noWrap w:val="0"/>
            <w:tcMar>
              <w:top w:w="113" w:type="dxa"/>
              <w:left w:w="113" w:type="dxa"/>
              <w:bottom w:w="113" w:type="dxa"/>
              <w:right w:w="113" w:type="dxa"/>
            </w:tcMar>
            <w:vAlign w:val="center"/>
          </w:tcPr>
          <w:p w14:paraId="5710DD49">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3</w:t>
            </w:r>
          </w:p>
        </w:tc>
        <w:tc>
          <w:tcPr>
            <w:tcW w:w="418" w:type="pct"/>
            <w:noWrap w:val="0"/>
            <w:tcMar>
              <w:top w:w="113" w:type="dxa"/>
              <w:left w:w="113" w:type="dxa"/>
              <w:bottom w:w="113" w:type="dxa"/>
              <w:right w:w="113" w:type="dxa"/>
            </w:tcMar>
            <w:vAlign w:val="center"/>
          </w:tcPr>
          <w:p w14:paraId="64CD308E">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B</w:t>
            </w:r>
          </w:p>
        </w:tc>
        <w:tc>
          <w:tcPr>
            <w:tcW w:w="2855" w:type="pct"/>
            <w:noWrap w:val="0"/>
            <w:tcMar>
              <w:top w:w="113" w:type="dxa"/>
              <w:left w:w="113" w:type="dxa"/>
              <w:bottom w:w="113" w:type="dxa"/>
              <w:right w:w="113" w:type="dxa"/>
            </w:tcMar>
            <w:vAlign w:val="center"/>
          </w:tcPr>
          <w:p w14:paraId="4805CBDD">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1.按时完成约定成果；</w:t>
            </w:r>
          </w:p>
          <w:p w14:paraId="7E67FEED">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2.部分成果完整，内容丰富；</w:t>
            </w:r>
          </w:p>
          <w:p w14:paraId="285FAA90">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3.已满足合同及相关使用方的要求；</w:t>
            </w:r>
          </w:p>
        </w:tc>
        <w:tc>
          <w:tcPr>
            <w:tcW w:w="1301" w:type="pct"/>
            <w:noWrap w:val="0"/>
            <w:tcMar>
              <w:top w:w="113" w:type="dxa"/>
              <w:left w:w="113" w:type="dxa"/>
              <w:bottom w:w="113" w:type="dxa"/>
              <w:right w:w="113" w:type="dxa"/>
            </w:tcMar>
            <w:vAlign w:val="center"/>
          </w:tcPr>
          <w:p w14:paraId="1D5F2ADE">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1.由BIM总协调方提出修改意见，经修改完善后，组织成果交付评价。</w:t>
            </w:r>
          </w:p>
          <w:p w14:paraId="5003ACFC">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2.经评价，成果满足要求，可开展项目交付及结算事宜。</w:t>
            </w:r>
          </w:p>
        </w:tc>
      </w:tr>
      <w:tr w14:paraId="0DE6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4" w:type="pct"/>
            <w:noWrap w:val="0"/>
            <w:tcMar>
              <w:top w:w="113" w:type="dxa"/>
              <w:left w:w="113" w:type="dxa"/>
              <w:bottom w:w="113" w:type="dxa"/>
              <w:right w:w="113" w:type="dxa"/>
            </w:tcMar>
            <w:vAlign w:val="center"/>
          </w:tcPr>
          <w:p w14:paraId="2A0C7688">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4</w:t>
            </w:r>
          </w:p>
        </w:tc>
        <w:tc>
          <w:tcPr>
            <w:tcW w:w="418" w:type="pct"/>
            <w:noWrap w:val="0"/>
            <w:tcMar>
              <w:top w:w="113" w:type="dxa"/>
              <w:left w:w="113" w:type="dxa"/>
              <w:bottom w:w="113" w:type="dxa"/>
              <w:right w:w="113" w:type="dxa"/>
            </w:tcMar>
            <w:vAlign w:val="center"/>
          </w:tcPr>
          <w:p w14:paraId="747AE40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C</w:t>
            </w:r>
          </w:p>
        </w:tc>
        <w:tc>
          <w:tcPr>
            <w:tcW w:w="2855" w:type="pct"/>
            <w:noWrap w:val="0"/>
            <w:tcMar>
              <w:top w:w="113" w:type="dxa"/>
              <w:left w:w="113" w:type="dxa"/>
              <w:bottom w:w="113" w:type="dxa"/>
              <w:right w:w="113" w:type="dxa"/>
            </w:tcMar>
            <w:vAlign w:val="center"/>
          </w:tcPr>
          <w:p w14:paraId="0B732D7A">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1.未按时完成约定成果；</w:t>
            </w:r>
          </w:p>
          <w:p w14:paraId="72B33FE2">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2.成果不完整，缺少内容；</w:t>
            </w:r>
          </w:p>
          <w:p w14:paraId="54F712D7">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3.未满足合同及相关使用方的要求；</w:t>
            </w:r>
          </w:p>
        </w:tc>
        <w:tc>
          <w:tcPr>
            <w:tcW w:w="1301" w:type="pct"/>
            <w:noWrap w:val="0"/>
            <w:tcMar>
              <w:top w:w="113" w:type="dxa"/>
              <w:left w:w="113" w:type="dxa"/>
              <w:bottom w:w="113" w:type="dxa"/>
              <w:right w:w="113" w:type="dxa"/>
            </w:tcMar>
            <w:vAlign w:val="center"/>
          </w:tcPr>
          <w:p w14:paraId="4896BE9D">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1.暂停项目BIM部分交付及结算事宜，责令整改；</w:t>
            </w:r>
          </w:p>
          <w:p w14:paraId="5C6CDA6B">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2.成果提交单位内部自检，待成果满足A级评价后，再组织相关单位进行成果评价。</w:t>
            </w:r>
          </w:p>
          <w:p w14:paraId="149DDFDA">
            <w:pPr>
              <w:spacing w:before="120" w:after="120"/>
              <w:ind w:firstLine="0" w:firstLineChars="0"/>
              <w:rPr>
                <w:rFonts w:ascii="宋体" w:hAnsi="宋体" w:eastAsia="宋体" w:cs="宋体"/>
                <w:color w:val="auto"/>
                <w:sz w:val="18"/>
                <w:szCs w:val="18"/>
                <w:highlight w:val="none"/>
                <w:lang w:eastAsia="en-US"/>
              </w:rPr>
            </w:pPr>
            <w:r>
              <w:rPr>
                <w:rFonts w:hint="eastAsia" w:ascii="宋体" w:hAnsi="宋体" w:eastAsia="宋体" w:cs="宋体"/>
                <w:color w:val="auto"/>
                <w:sz w:val="18"/>
                <w:szCs w:val="18"/>
                <w:highlight w:val="none"/>
                <w:lang w:eastAsia="en-US"/>
              </w:rPr>
              <w:t>3.经评价，成果满足要求，可开展项目交付及结算事宜。</w:t>
            </w:r>
          </w:p>
        </w:tc>
      </w:tr>
    </w:tbl>
    <w:p w14:paraId="32292169">
      <w:pPr>
        <w:spacing w:before="120" w:after="120"/>
        <w:rPr>
          <w:color w:val="auto"/>
          <w:highlight w:val="none"/>
        </w:rPr>
        <w:sectPr>
          <w:pgSz w:w="11910" w:h="16840"/>
          <w:pgMar w:top="1440" w:right="1800" w:bottom="1440" w:left="1800" w:header="907" w:footer="973" w:gutter="0"/>
          <w:pgNumType w:fmt="numberInDash"/>
          <w:cols w:space="720" w:num="1"/>
        </w:sectPr>
      </w:pPr>
    </w:p>
    <w:p w14:paraId="5BAAD827">
      <w:pPr>
        <w:spacing w:before="120" w:after="120"/>
        <w:rPr>
          <w:color w:val="auto"/>
          <w:highlight w:val="none"/>
        </w:rPr>
      </w:pPr>
    </w:p>
    <w:p w14:paraId="7BD1CD43">
      <w:pPr>
        <w:pStyle w:val="2"/>
        <w:tabs>
          <w:tab w:val="left" w:pos="0"/>
        </w:tabs>
        <w:spacing w:before="720" w:after="480"/>
        <w:rPr>
          <w:color w:val="auto"/>
          <w:highlight w:val="none"/>
        </w:rPr>
      </w:pPr>
      <w:bookmarkStart w:id="199" w:name="_Toc15430"/>
      <w:r>
        <w:rPr>
          <w:color w:val="auto"/>
          <w:highlight w:val="none"/>
        </w:rPr>
        <w:t>协同平台要求</w:t>
      </w:r>
      <w:bookmarkEnd w:id="199"/>
    </w:p>
    <w:p w14:paraId="0FCD92D5">
      <w:pPr>
        <w:pStyle w:val="3"/>
        <w:tabs>
          <w:tab w:val="left" w:pos="0"/>
        </w:tabs>
        <w:rPr>
          <w:color w:val="auto"/>
          <w:highlight w:val="none"/>
        </w:rPr>
      </w:pPr>
      <w:bookmarkStart w:id="200" w:name="_Toc5561"/>
      <w:r>
        <w:rPr>
          <w:color w:val="auto"/>
          <w:highlight w:val="none"/>
        </w:rPr>
        <w:t>一般规定</w:t>
      </w:r>
      <w:bookmarkEnd w:id="200"/>
    </w:p>
    <w:p w14:paraId="05ED7B72">
      <w:pPr>
        <w:pStyle w:val="4"/>
        <w:tabs>
          <w:tab w:val="left" w:pos="0"/>
        </w:tabs>
        <w:spacing w:before="120" w:after="120"/>
        <w:rPr>
          <w:color w:val="auto"/>
          <w:highlight w:val="none"/>
        </w:rPr>
      </w:pPr>
      <w:r>
        <w:rPr>
          <w:color w:val="auto"/>
          <w:highlight w:val="none"/>
        </w:rPr>
        <w:t>在BIM协同工作中，通过公用的BIM协同平台确保BIM模型数据的统一性与准确性，提升BIM模型数据传输效率及质量，提高各参与方协作效率，为工程项目的设计、施工、运营、维护提供数字化基础。</w:t>
      </w:r>
    </w:p>
    <w:p w14:paraId="68E7F2C1">
      <w:pPr>
        <w:pStyle w:val="3"/>
        <w:tabs>
          <w:tab w:val="left" w:pos="0"/>
        </w:tabs>
        <w:rPr>
          <w:color w:val="auto"/>
          <w:highlight w:val="none"/>
        </w:rPr>
      </w:pPr>
      <w:bookmarkStart w:id="201" w:name="_Toc21068"/>
      <w:r>
        <w:rPr>
          <w:color w:val="auto"/>
          <w:highlight w:val="none"/>
        </w:rPr>
        <w:t>BIM协同平台架构</w:t>
      </w:r>
      <w:bookmarkEnd w:id="201"/>
    </w:p>
    <w:p w14:paraId="03E3AD98">
      <w:pPr>
        <w:pStyle w:val="4"/>
        <w:tabs>
          <w:tab w:val="left" w:pos="0"/>
        </w:tabs>
        <w:spacing w:before="120" w:after="120"/>
        <w:rPr>
          <w:color w:val="auto"/>
          <w:highlight w:val="none"/>
        </w:rPr>
      </w:pPr>
      <w:r>
        <w:rPr>
          <w:color w:val="auto"/>
          <w:highlight w:val="none"/>
        </w:rPr>
        <w:t>BIM协同管理需要在一定的网络环境下实现项目各参与方对BIM文件及相关过程文档实时或者定时操作。</w:t>
      </w:r>
    </w:p>
    <w:p w14:paraId="444A4FCD">
      <w:pPr>
        <w:pStyle w:val="4"/>
        <w:tabs>
          <w:tab w:val="left" w:pos="0"/>
        </w:tabs>
        <w:spacing w:before="120" w:after="120"/>
        <w:rPr>
          <w:color w:val="auto"/>
          <w:highlight w:val="none"/>
        </w:rPr>
      </w:pPr>
      <w:r>
        <w:rPr>
          <w:color w:val="auto"/>
          <w:highlight w:val="none"/>
        </w:rPr>
        <w:t>鉴于当前互联网带宽所限，借助互联网异地实时协同暂时难以实现。宜采用搭建项目服务器方式，实现一定时间间隔同步项目管理平台数据的协同方式，项目管理单位则使用云端管理协同平台项目数据，协同平台搭建架构如图5.2.2所示。</w:t>
      </w:r>
    </w:p>
    <w:p w14:paraId="045CA9F7">
      <w:pPr>
        <w:spacing w:before="120" w:after="120"/>
        <w:rPr>
          <w:color w:val="auto"/>
          <w:highlight w:val="none"/>
        </w:rPr>
      </w:pPr>
    </w:p>
    <w:p w14:paraId="3945FA4E">
      <w:pPr>
        <w:spacing w:before="120" w:after="120"/>
        <w:rPr>
          <w:color w:val="auto"/>
          <w:highlight w:val="none"/>
        </w:rPr>
      </w:pPr>
      <w:r>
        <w:rPr>
          <w:color w:val="auto"/>
          <w:highlight w:val="none"/>
        </w:rPr>
        <w:drawing>
          <wp:inline distT="0" distB="0" distL="114300" distR="114300">
            <wp:extent cx="4679950" cy="2745105"/>
            <wp:effectExtent l="0" t="0" r="635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4679950" cy="2745105"/>
                    </a:xfrm>
                    <a:prstGeom prst="rect">
                      <a:avLst/>
                    </a:prstGeom>
                    <a:noFill/>
                    <a:ln>
                      <a:noFill/>
                    </a:ln>
                  </pic:spPr>
                </pic:pic>
              </a:graphicData>
            </a:graphic>
          </wp:inline>
        </w:drawing>
      </w:r>
    </w:p>
    <w:p w14:paraId="0748CEBE">
      <w:pPr>
        <w:pStyle w:val="401"/>
        <w:tabs>
          <w:tab w:val="left" w:pos="0"/>
          <w:tab w:val="left" w:pos="420"/>
        </w:tabs>
        <w:spacing w:before="120" w:beforeLines="50" w:after="120" w:afterLines="50"/>
        <w:ind w:firstLine="360"/>
        <w:rPr>
          <w:color w:val="auto"/>
          <w:highlight w:val="none"/>
        </w:rPr>
      </w:pPr>
      <w:r>
        <w:rPr>
          <w:color w:val="auto"/>
          <w:highlight w:val="none"/>
        </w:rPr>
        <w:t>图5.2.2  协同平台搭建架构</w:t>
      </w:r>
    </w:p>
    <w:p w14:paraId="60156E41">
      <w:pPr>
        <w:spacing w:before="120" w:after="120"/>
        <w:rPr>
          <w:color w:val="auto"/>
          <w:highlight w:val="none"/>
        </w:rPr>
      </w:pPr>
    </w:p>
    <w:p w14:paraId="55D457EA">
      <w:pPr>
        <w:pStyle w:val="3"/>
        <w:tabs>
          <w:tab w:val="left" w:pos="0"/>
        </w:tabs>
        <w:rPr>
          <w:color w:val="auto"/>
          <w:highlight w:val="none"/>
        </w:rPr>
      </w:pPr>
      <w:bookmarkStart w:id="202" w:name="_Toc7098"/>
      <w:r>
        <w:rPr>
          <w:color w:val="auto"/>
          <w:highlight w:val="none"/>
        </w:rPr>
        <w:t>协同平台的功能</w:t>
      </w:r>
      <w:bookmarkEnd w:id="202"/>
    </w:p>
    <w:p w14:paraId="7F46F755">
      <w:pPr>
        <w:pStyle w:val="4"/>
        <w:tabs>
          <w:tab w:val="left" w:pos="0"/>
        </w:tabs>
        <w:spacing w:before="120" w:after="120"/>
        <w:rPr>
          <w:color w:val="auto"/>
          <w:highlight w:val="none"/>
        </w:rPr>
      </w:pPr>
      <w:r>
        <w:rPr>
          <w:color w:val="auto"/>
          <w:highlight w:val="none"/>
        </w:rPr>
        <w:t>协同平台应具有良好的兼容性，能够实现数据和信息的有效共享。</w:t>
      </w:r>
    </w:p>
    <w:p w14:paraId="6B76EBB3">
      <w:pPr>
        <w:pStyle w:val="4"/>
        <w:tabs>
          <w:tab w:val="left" w:pos="0"/>
        </w:tabs>
        <w:spacing w:before="120" w:after="120"/>
        <w:rPr>
          <w:color w:val="auto"/>
          <w:highlight w:val="none"/>
        </w:rPr>
      </w:pPr>
      <w:r>
        <w:rPr>
          <w:color w:val="auto"/>
          <w:highlight w:val="none"/>
        </w:rPr>
        <w:t>协同平台应具备模型及文档管理功能，利用BIM模型发现的问题进行分类、统计，并做出相关分析；支持模型上传下载功能，支持图纸的存放管理，支持文件更新改动自动通知及显示。</w:t>
      </w:r>
    </w:p>
    <w:p w14:paraId="22E0BA00">
      <w:pPr>
        <w:pStyle w:val="4"/>
        <w:tabs>
          <w:tab w:val="left" w:pos="0"/>
        </w:tabs>
        <w:spacing w:before="120" w:after="120"/>
        <w:rPr>
          <w:color w:val="auto"/>
          <w:highlight w:val="none"/>
        </w:rPr>
      </w:pPr>
      <w:r>
        <w:rPr>
          <w:color w:val="auto"/>
          <w:highlight w:val="none"/>
        </w:rPr>
        <w:t>协同平台应能集合各参与单位资料信息，支持各参与单位访问权限设定。</w:t>
      </w:r>
    </w:p>
    <w:p w14:paraId="75495D05">
      <w:pPr>
        <w:pStyle w:val="4"/>
        <w:tabs>
          <w:tab w:val="left" w:pos="0"/>
        </w:tabs>
        <w:spacing w:before="120" w:after="120"/>
        <w:rPr>
          <w:color w:val="auto"/>
          <w:highlight w:val="none"/>
        </w:rPr>
      </w:pPr>
      <w:r>
        <w:rPr>
          <w:color w:val="auto"/>
          <w:highlight w:val="none"/>
        </w:rPr>
        <w:t>协同平台集成BIM模型所包含的各项信息（BIM软件包含的所有信息），包括修改记录、专项模型信息、分析报告、变更信息、模型信息可视化、模型信息可分类统计、模型信息可批量输出等。</w:t>
      </w:r>
    </w:p>
    <w:p w14:paraId="3BAE76E9">
      <w:pPr>
        <w:pStyle w:val="4"/>
        <w:tabs>
          <w:tab w:val="left" w:pos="0"/>
        </w:tabs>
        <w:spacing w:before="120" w:after="120"/>
        <w:rPr>
          <w:color w:val="auto"/>
          <w:highlight w:val="none"/>
        </w:rPr>
      </w:pPr>
      <w:r>
        <w:rPr>
          <w:color w:val="auto"/>
          <w:highlight w:val="none"/>
        </w:rPr>
        <w:t>协同平台应具备BIM模型操控功能，包括：</w:t>
      </w:r>
    </w:p>
    <w:p w14:paraId="4E7115FB">
      <w:pPr>
        <w:spacing w:before="120" w:after="120"/>
        <w:rPr>
          <w:color w:val="auto"/>
          <w:highlight w:val="none"/>
        </w:rPr>
      </w:pPr>
      <w:r>
        <w:rPr>
          <w:color w:val="auto"/>
          <w:highlight w:val="none"/>
        </w:rPr>
        <w:t>1. 支持轻量化模型（可在普通办公用的计算机上流畅运行）并对分专业模型进行管理；</w:t>
      </w:r>
    </w:p>
    <w:p w14:paraId="7140524F">
      <w:pPr>
        <w:spacing w:before="120" w:after="120"/>
        <w:rPr>
          <w:color w:val="auto"/>
          <w:highlight w:val="none"/>
        </w:rPr>
      </w:pPr>
      <w:r>
        <w:rPr>
          <w:color w:val="auto"/>
          <w:highlight w:val="none"/>
        </w:rPr>
        <w:t>2. 支持长度、面积、体积等测量，对模型任意位置的剖切和观察；</w:t>
      </w:r>
    </w:p>
    <w:p w14:paraId="35BA6C12">
      <w:pPr>
        <w:spacing w:before="120" w:after="120"/>
        <w:rPr>
          <w:color w:val="auto"/>
          <w:highlight w:val="none"/>
        </w:rPr>
      </w:pPr>
      <w:r>
        <w:rPr>
          <w:color w:val="auto"/>
          <w:highlight w:val="none"/>
        </w:rPr>
        <w:t>3. 支持模型的组合装配，预留视点进行定点浏览模型等功能。</w:t>
      </w:r>
    </w:p>
    <w:p w14:paraId="4ABB7286">
      <w:pPr>
        <w:pStyle w:val="4"/>
        <w:tabs>
          <w:tab w:val="left" w:pos="0"/>
        </w:tabs>
        <w:spacing w:before="120" w:after="120"/>
        <w:rPr>
          <w:color w:val="auto"/>
          <w:highlight w:val="none"/>
        </w:rPr>
      </w:pPr>
      <w:r>
        <w:rPr>
          <w:color w:val="auto"/>
          <w:highlight w:val="none"/>
        </w:rPr>
        <w:t>协同平台应具有统一完整的接口。</w:t>
      </w:r>
    </w:p>
    <w:p w14:paraId="13C40F7B">
      <w:pPr>
        <w:pStyle w:val="4"/>
        <w:tabs>
          <w:tab w:val="left" w:pos="0"/>
        </w:tabs>
        <w:spacing w:before="120" w:after="120"/>
        <w:rPr>
          <w:color w:val="auto"/>
          <w:highlight w:val="none"/>
        </w:rPr>
      </w:pPr>
      <w:r>
        <w:rPr>
          <w:color w:val="auto"/>
          <w:highlight w:val="none"/>
        </w:rPr>
        <w:t>协同平台可对BIM成果进行浏览，输出批注、量度尺寸、构件的详细信息、工程量、漫游及模拟动画等BIM成果。</w:t>
      </w:r>
    </w:p>
    <w:p w14:paraId="5FE412FA">
      <w:pPr>
        <w:pStyle w:val="4"/>
        <w:tabs>
          <w:tab w:val="left" w:pos="0"/>
        </w:tabs>
        <w:spacing w:before="120" w:after="120"/>
        <w:rPr>
          <w:color w:val="auto"/>
          <w:highlight w:val="none"/>
        </w:rPr>
      </w:pPr>
      <w:r>
        <w:rPr>
          <w:color w:val="auto"/>
          <w:highlight w:val="none"/>
        </w:rPr>
        <w:t>协同平台与手机、平板电脑客户端保持协同，手机、平板电脑等移动客户端实现上述查询功能。</w:t>
      </w:r>
    </w:p>
    <w:p w14:paraId="5DBEEA9C">
      <w:pPr>
        <w:pStyle w:val="3"/>
        <w:tabs>
          <w:tab w:val="left" w:pos="0"/>
        </w:tabs>
        <w:rPr>
          <w:color w:val="auto"/>
          <w:highlight w:val="none"/>
        </w:rPr>
      </w:pPr>
      <w:bookmarkStart w:id="203" w:name="_Toc29741"/>
      <w:r>
        <w:rPr>
          <w:color w:val="auto"/>
          <w:highlight w:val="none"/>
        </w:rPr>
        <w:t>各参与方协同工作职责与工作内容</w:t>
      </w:r>
      <w:bookmarkEnd w:id="203"/>
    </w:p>
    <w:p w14:paraId="7AC3A4C3">
      <w:pPr>
        <w:pStyle w:val="4"/>
        <w:tabs>
          <w:tab w:val="left" w:pos="0"/>
        </w:tabs>
        <w:spacing w:before="120" w:after="120"/>
        <w:rPr>
          <w:color w:val="auto"/>
          <w:highlight w:val="none"/>
        </w:rPr>
      </w:pPr>
      <w:r>
        <w:rPr>
          <w:color w:val="auto"/>
          <w:highlight w:val="none"/>
        </w:rPr>
        <w:t>平台提供单位</w:t>
      </w:r>
    </w:p>
    <w:p w14:paraId="37333240">
      <w:pPr>
        <w:spacing w:before="120" w:after="120"/>
        <w:rPr>
          <w:color w:val="auto"/>
          <w:highlight w:val="none"/>
        </w:rPr>
      </w:pPr>
      <w:r>
        <w:rPr>
          <w:color w:val="auto"/>
          <w:highlight w:val="none"/>
        </w:rPr>
        <w:t>1. 参与单位</w:t>
      </w:r>
    </w:p>
    <w:p w14:paraId="73E58BB8">
      <w:pPr>
        <w:spacing w:before="120" w:after="120"/>
        <w:rPr>
          <w:color w:val="auto"/>
          <w:highlight w:val="none"/>
        </w:rPr>
      </w:pPr>
      <w:r>
        <w:rPr>
          <w:color w:val="auto"/>
          <w:highlight w:val="none"/>
        </w:rPr>
        <w:t>代建局指定的平台服务单位。</w:t>
      </w:r>
    </w:p>
    <w:p w14:paraId="17B7E4D6">
      <w:pPr>
        <w:spacing w:before="120" w:after="120"/>
        <w:rPr>
          <w:color w:val="auto"/>
          <w:highlight w:val="none"/>
        </w:rPr>
      </w:pPr>
      <w:r>
        <w:rPr>
          <w:color w:val="auto"/>
          <w:highlight w:val="none"/>
        </w:rPr>
        <w:t>2. 工作职责</w:t>
      </w:r>
    </w:p>
    <w:p w14:paraId="3CBC60BF">
      <w:pPr>
        <w:spacing w:before="120" w:after="120"/>
        <w:rPr>
          <w:color w:val="auto"/>
          <w:highlight w:val="none"/>
        </w:rPr>
      </w:pPr>
      <w:r>
        <w:rPr>
          <w:color w:val="auto"/>
          <w:highlight w:val="none"/>
        </w:rPr>
        <w:t>1）根据代建局需求与项目特点提供项目BIM协同平台的分区位置及平台容量，搭建一个高效稳定的BIM协同平台供各参与方使用；</w:t>
      </w:r>
    </w:p>
    <w:p w14:paraId="02E7D640">
      <w:pPr>
        <w:spacing w:before="120" w:after="120"/>
        <w:rPr>
          <w:color w:val="auto"/>
          <w:highlight w:val="none"/>
        </w:rPr>
      </w:pPr>
      <w:r>
        <w:rPr>
          <w:color w:val="auto"/>
          <w:highlight w:val="none"/>
        </w:rPr>
        <w:t>2）解决各参与方在平台上工作所出现的问题；</w:t>
      </w:r>
    </w:p>
    <w:p w14:paraId="0EDD89E8">
      <w:pPr>
        <w:spacing w:before="120" w:after="120"/>
        <w:rPr>
          <w:color w:val="auto"/>
          <w:highlight w:val="none"/>
        </w:rPr>
      </w:pPr>
      <w:r>
        <w:rPr>
          <w:color w:val="auto"/>
          <w:highlight w:val="none"/>
        </w:rPr>
        <w:t>3）根据用户需求优化平台功能。</w:t>
      </w:r>
    </w:p>
    <w:p w14:paraId="432D323D">
      <w:pPr>
        <w:pStyle w:val="4"/>
        <w:tabs>
          <w:tab w:val="left" w:pos="0"/>
        </w:tabs>
        <w:spacing w:before="120" w:after="120"/>
        <w:rPr>
          <w:color w:val="auto"/>
          <w:highlight w:val="none"/>
        </w:rPr>
      </w:pPr>
      <w:r>
        <w:rPr>
          <w:color w:val="auto"/>
          <w:highlight w:val="none"/>
        </w:rPr>
        <w:t>平台管理单位</w:t>
      </w:r>
    </w:p>
    <w:p w14:paraId="6816864D">
      <w:pPr>
        <w:spacing w:before="120" w:after="120"/>
        <w:rPr>
          <w:color w:val="auto"/>
          <w:highlight w:val="none"/>
        </w:rPr>
      </w:pPr>
      <w:r>
        <w:rPr>
          <w:color w:val="auto"/>
          <w:highlight w:val="none"/>
        </w:rPr>
        <w:t>1. 参与单位</w:t>
      </w:r>
    </w:p>
    <w:p w14:paraId="6BCE147F">
      <w:pPr>
        <w:spacing w:before="120" w:after="120"/>
        <w:rPr>
          <w:color w:val="auto"/>
          <w:highlight w:val="none"/>
        </w:rPr>
      </w:pPr>
      <w:r>
        <w:rPr>
          <w:color w:val="auto"/>
          <w:highlight w:val="none"/>
        </w:rPr>
        <w:t>BIM总协调方。</w:t>
      </w:r>
    </w:p>
    <w:p w14:paraId="4C5BDBC9">
      <w:pPr>
        <w:spacing w:before="120" w:after="120"/>
        <w:rPr>
          <w:color w:val="auto"/>
          <w:highlight w:val="none"/>
        </w:rPr>
      </w:pPr>
      <w:r>
        <w:rPr>
          <w:color w:val="auto"/>
          <w:highlight w:val="none"/>
        </w:rPr>
        <w:t>2. 工作职责</w:t>
      </w:r>
    </w:p>
    <w:p w14:paraId="592016E5">
      <w:pPr>
        <w:spacing w:before="120" w:after="120"/>
        <w:rPr>
          <w:color w:val="auto"/>
          <w:highlight w:val="none"/>
        </w:rPr>
      </w:pPr>
      <w:r>
        <w:rPr>
          <w:color w:val="auto"/>
          <w:highlight w:val="none"/>
        </w:rPr>
        <w:t>1）建立平台文件架构、申请项目平台权限及容量；</w:t>
      </w:r>
    </w:p>
    <w:p w14:paraId="77709ACE">
      <w:pPr>
        <w:spacing w:before="120" w:after="120"/>
        <w:rPr>
          <w:color w:val="auto"/>
          <w:highlight w:val="none"/>
        </w:rPr>
      </w:pPr>
      <w:r>
        <w:rPr>
          <w:color w:val="auto"/>
          <w:highlight w:val="none"/>
        </w:rPr>
        <w:t>2）对平台使用方的权限进行管理及分配；</w:t>
      </w:r>
    </w:p>
    <w:p w14:paraId="4408C607">
      <w:pPr>
        <w:spacing w:before="120" w:after="120"/>
        <w:rPr>
          <w:color w:val="auto"/>
          <w:highlight w:val="none"/>
        </w:rPr>
      </w:pPr>
      <w:r>
        <w:rPr>
          <w:color w:val="auto"/>
          <w:highlight w:val="none"/>
        </w:rPr>
        <w:t>3）分阶段审核、定期备份、清理归档BIM成果；</w:t>
      </w:r>
    </w:p>
    <w:p w14:paraId="7F33420B">
      <w:pPr>
        <w:spacing w:before="120" w:after="120"/>
        <w:rPr>
          <w:color w:val="auto"/>
          <w:highlight w:val="none"/>
        </w:rPr>
      </w:pPr>
      <w:r>
        <w:rPr>
          <w:color w:val="auto"/>
          <w:highlight w:val="none"/>
        </w:rPr>
        <w:t>4）对使用单位的BIM成果进行有效性检查，确保模型和项目实际工作同步进行。</w:t>
      </w:r>
    </w:p>
    <w:p w14:paraId="507161C8">
      <w:pPr>
        <w:pStyle w:val="4"/>
        <w:tabs>
          <w:tab w:val="left" w:pos="0"/>
        </w:tabs>
        <w:spacing w:before="120" w:after="120"/>
        <w:rPr>
          <w:color w:val="auto"/>
          <w:highlight w:val="none"/>
        </w:rPr>
      </w:pPr>
      <w:r>
        <w:rPr>
          <w:color w:val="auto"/>
          <w:highlight w:val="none"/>
        </w:rPr>
        <w:t>平台使用单位</w:t>
      </w:r>
    </w:p>
    <w:p w14:paraId="6B2D9B1C">
      <w:pPr>
        <w:spacing w:before="120" w:after="120"/>
        <w:rPr>
          <w:color w:val="auto"/>
          <w:highlight w:val="none"/>
        </w:rPr>
      </w:pPr>
      <w:r>
        <w:rPr>
          <w:color w:val="auto"/>
          <w:highlight w:val="none"/>
        </w:rPr>
        <w:t>1. 参与单位</w:t>
      </w:r>
    </w:p>
    <w:p w14:paraId="36239309">
      <w:pPr>
        <w:spacing w:before="120" w:after="120"/>
        <w:rPr>
          <w:color w:val="auto"/>
          <w:highlight w:val="none"/>
        </w:rPr>
      </w:pPr>
      <w:r>
        <w:rPr>
          <w:color w:val="auto"/>
          <w:highlight w:val="none"/>
        </w:rPr>
        <w:t>设计单位、施工单位、监理单位、咨询单位、运维单位。</w:t>
      </w:r>
    </w:p>
    <w:p w14:paraId="4346AE09">
      <w:pPr>
        <w:spacing w:before="120" w:after="120"/>
        <w:rPr>
          <w:color w:val="auto"/>
          <w:highlight w:val="none"/>
        </w:rPr>
      </w:pPr>
      <w:r>
        <w:rPr>
          <w:color w:val="auto"/>
          <w:highlight w:val="none"/>
        </w:rPr>
        <w:t>2. 工作职责</w:t>
      </w:r>
    </w:p>
    <w:p w14:paraId="4081BE58">
      <w:pPr>
        <w:spacing w:before="120" w:after="120"/>
        <w:rPr>
          <w:color w:val="auto"/>
          <w:highlight w:val="none"/>
        </w:rPr>
      </w:pPr>
      <w:r>
        <w:rPr>
          <w:color w:val="auto"/>
          <w:highlight w:val="none"/>
        </w:rPr>
        <w:t>1）在BIM总协调方的统一管理下，遵守协同配合机制，在服务器上开展项目BIM实施工作；</w:t>
      </w:r>
    </w:p>
    <w:p w14:paraId="5ADEF087">
      <w:pPr>
        <w:spacing w:before="120" w:after="120"/>
        <w:rPr>
          <w:color w:val="auto"/>
          <w:highlight w:val="none"/>
        </w:rPr>
      </w:pPr>
      <w:r>
        <w:rPr>
          <w:color w:val="auto"/>
          <w:highlight w:val="none"/>
        </w:rPr>
        <w:t>2）定期向项目协同平台更新过程信息和成果文件；</w:t>
      </w:r>
    </w:p>
    <w:p w14:paraId="4A12C5A1">
      <w:pPr>
        <w:spacing w:before="120" w:after="120"/>
        <w:rPr>
          <w:color w:val="auto"/>
          <w:highlight w:val="none"/>
        </w:rPr>
      </w:pPr>
      <w:r>
        <w:rPr>
          <w:color w:val="auto"/>
          <w:highlight w:val="none"/>
        </w:rPr>
        <w:t>3）根据项目实施情况，对协同平台提出优化建议。</w:t>
      </w:r>
    </w:p>
    <w:p w14:paraId="2E7E8A32">
      <w:pPr>
        <w:spacing w:before="120" w:after="120"/>
        <w:rPr>
          <w:color w:val="auto"/>
          <w:highlight w:val="none"/>
        </w:rPr>
        <w:sectPr>
          <w:pgSz w:w="11910" w:h="16840"/>
          <w:pgMar w:top="1440" w:right="1800" w:bottom="1440" w:left="1800" w:header="907" w:footer="973" w:gutter="0"/>
          <w:pgNumType w:fmt="numberInDash"/>
          <w:cols w:space="720" w:num="1"/>
        </w:sectPr>
      </w:pPr>
    </w:p>
    <w:p w14:paraId="402CD8B1">
      <w:pPr>
        <w:pStyle w:val="2"/>
        <w:tabs>
          <w:tab w:val="left" w:pos="0"/>
        </w:tabs>
        <w:spacing w:before="720" w:after="480"/>
        <w:rPr>
          <w:color w:val="auto"/>
          <w:highlight w:val="none"/>
        </w:rPr>
      </w:pPr>
      <w:bookmarkStart w:id="204" w:name="_Toc30224"/>
      <w:r>
        <w:rPr>
          <w:color w:val="auto"/>
          <w:highlight w:val="none"/>
        </w:rPr>
        <w:t>软件标准</w:t>
      </w:r>
      <w:bookmarkEnd w:id="204"/>
    </w:p>
    <w:p w14:paraId="01BDE67D">
      <w:pPr>
        <w:pStyle w:val="4"/>
        <w:tabs>
          <w:tab w:val="left" w:pos="0"/>
        </w:tabs>
        <w:spacing w:before="120" w:after="120"/>
        <w:rPr>
          <w:color w:val="auto"/>
          <w:highlight w:val="none"/>
        </w:rPr>
      </w:pPr>
      <w:r>
        <w:rPr>
          <w:color w:val="auto"/>
          <w:highlight w:val="none"/>
        </w:rPr>
        <w:t>本导则BIM模型和BIM应用，不限于单一软件，软件的选择和使用遵循代建局项目特点及要求制定，并充分考虑软件之间的格式交换和数据接口。</w:t>
      </w:r>
    </w:p>
    <w:p w14:paraId="5B0292A2">
      <w:pPr>
        <w:pStyle w:val="4"/>
        <w:tabs>
          <w:tab w:val="left" w:pos="0"/>
        </w:tabs>
        <w:spacing w:before="120" w:after="120"/>
        <w:rPr>
          <w:color w:val="auto"/>
          <w:highlight w:val="none"/>
        </w:rPr>
      </w:pPr>
      <w:r>
        <w:rPr>
          <w:color w:val="auto"/>
          <w:highlight w:val="none"/>
        </w:rPr>
        <w:t>.对于一般项目BIM软件使用可参考以下规定：</w:t>
      </w:r>
    </w:p>
    <w:p w14:paraId="68AA2A2F">
      <w:pPr>
        <w:pStyle w:val="401"/>
        <w:rPr>
          <w:color w:val="auto"/>
          <w:highlight w:val="none"/>
        </w:rPr>
      </w:pPr>
      <w:r>
        <w:rPr>
          <w:color w:val="auto"/>
          <w:highlight w:val="none"/>
        </w:rPr>
        <w:t>表6.1.2  BIM软件参考表</w:t>
      </w:r>
    </w:p>
    <w:tbl>
      <w:tblPr>
        <w:tblStyle w:val="519"/>
        <w:tblW w:w="4999" w:type="pct"/>
        <w:tblInd w:w="0" w:type="dxa"/>
        <w:tblLayout w:type="autofit"/>
        <w:tblCellMar>
          <w:top w:w="0" w:type="dxa"/>
          <w:left w:w="0" w:type="dxa"/>
          <w:bottom w:w="0" w:type="dxa"/>
          <w:right w:w="0" w:type="dxa"/>
        </w:tblCellMar>
      </w:tblPr>
      <w:tblGrid>
        <w:gridCol w:w="591"/>
        <w:gridCol w:w="2371"/>
        <w:gridCol w:w="2704"/>
        <w:gridCol w:w="2652"/>
      </w:tblGrid>
      <w:tr w14:paraId="69FFC94A">
        <w:tblPrEx>
          <w:tblCellMar>
            <w:top w:w="0" w:type="dxa"/>
            <w:left w:w="0" w:type="dxa"/>
            <w:bottom w:w="0" w:type="dxa"/>
            <w:right w:w="0" w:type="dxa"/>
          </w:tblCellMar>
        </w:tblPrEx>
        <w:trPr>
          <w:trHeight w:val="454" w:hRule="atLeast"/>
        </w:trPr>
        <w:tc>
          <w:tcPr>
            <w:tcW w:w="355" w:type="pct"/>
            <w:tcBorders>
              <w:top w:val="single" w:color="auto" w:sz="4" w:space="0"/>
              <w:left w:val="single" w:color="auto" w:sz="4" w:space="0"/>
              <w:bottom w:val="single" w:color="auto" w:sz="4" w:space="0"/>
              <w:right w:val="single" w:color="auto" w:sz="4" w:space="0"/>
            </w:tcBorders>
            <w:noWrap w:val="0"/>
            <w:vAlign w:val="center"/>
          </w:tcPr>
          <w:p w14:paraId="53647A91">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序号</w:t>
            </w:r>
          </w:p>
        </w:tc>
        <w:tc>
          <w:tcPr>
            <w:tcW w:w="1425" w:type="pct"/>
            <w:tcBorders>
              <w:top w:val="single" w:color="auto" w:sz="4" w:space="0"/>
              <w:left w:val="single" w:color="auto" w:sz="4" w:space="0"/>
              <w:bottom w:val="single" w:color="auto" w:sz="4" w:space="0"/>
              <w:right w:val="single" w:color="auto" w:sz="4" w:space="0"/>
            </w:tcBorders>
            <w:noWrap w:val="0"/>
            <w:vAlign w:val="center"/>
          </w:tcPr>
          <w:p w14:paraId="0108C8CD">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专业</w:t>
            </w:r>
          </w:p>
        </w:tc>
        <w:tc>
          <w:tcPr>
            <w:tcW w:w="1625" w:type="pct"/>
            <w:tcBorders>
              <w:top w:val="single" w:color="auto" w:sz="4" w:space="0"/>
              <w:left w:val="single" w:color="auto" w:sz="4" w:space="0"/>
              <w:bottom w:val="single" w:color="auto" w:sz="4" w:space="0"/>
              <w:right w:val="single" w:color="auto" w:sz="4" w:space="0"/>
            </w:tcBorders>
            <w:noWrap w:val="0"/>
            <w:vAlign w:val="center"/>
          </w:tcPr>
          <w:p w14:paraId="2D5EFECB">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类型</w:t>
            </w:r>
          </w:p>
        </w:tc>
        <w:tc>
          <w:tcPr>
            <w:tcW w:w="1594" w:type="pct"/>
            <w:tcBorders>
              <w:top w:val="single" w:color="auto" w:sz="4" w:space="0"/>
              <w:left w:val="single" w:color="auto" w:sz="4" w:space="0"/>
              <w:bottom w:val="single" w:color="auto" w:sz="4" w:space="0"/>
              <w:right w:val="single" w:color="auto" w:sz="4" w:space="0"/>
            </w:tcBorders>
            <w:noWrap w:val="0"/>
            <w:vAlign w:val="center"/>
          </w:tcPr>
          <w:p w14:paraId="662ED302">
            <w:pPr>
              <w:spacing w:before="120" w:after="120" w:line="240" w:lineRule="auto"/>
              <w:ind w:firstLine="0" w:firstLineChars="0"/>
              <w:jc w:val="center"/>
              <w:rPr>
                <w:rFonts w:ascii="宋体" w:hAnsi="宋体" w:eastAsia="宋体" w:cs="宋体"/>
                <w:b/>
                <w:bCs/>
                <w:color w:val="auto"/>
                <w:sz w:val="18"/>
                <w:szCs w:val="18"/>
                <w:highlight w:val="none"/>
                <w:lang w:eastAsia="en-US"/>
              </w:rPr>
            </w:pPr>
            <w:r>
              <w:rPr>
                <w:rFonts w:ascii="宋体" w:hAnsi="宋体" w:eastAsia="宋体" w:cs="宋体"/>
                <w:b/>
                <w:bCs/>
                <w:color w:val="auto"/>
                <w:sz w:val="18"/>
                <w:szCs w:val="18"/>
                <w:highlight w:val="none"/>
                <w:lang w:eastAsia="en-US"/>
              </w:rPr>
              <w:t>选用软件</w:t>
            </w:r>
          </w:p>
        </w:tc>
      </w:tr>
      <w:tr w14:paraId="6A2BC272">
        <w:tblPrEx>
          <w:tblCellMar>
            <w:top w:w="0" w:type="dxa"/>
            <w:left w:w="0" w:type="dxa"/>
            <w:bottom w:w="0" w:type="dxa"/>
            <w:right w:w="0" w:type="dxa"/>
          </w:tblCellMar>
        </w:tblPrEx>
        <w:trPr>
          <w:trHeight w:val="454" w:hRule="atLeast"/>
        </w:trPr>
        <w:tc>
          <w:tcPr>
            <w:tcW w:w="355" w:type="pct"/>
            <w:vMerge w:val="restart"/>
            <w:tcBorders>
              <w:top w:val="single" w:color="auto" w:sz="4" w:space="0"/>
              <w:left w:val="single" w:color="auto" w:sz="4" w:space="0"/>
              <w:bottom w:val="single" w:color="auto" w:sz="4" w:space="0"/>
              <w:right w:val="single" w:color="auto" w:sz="4" w:space="0"/>
            </w:tcBorders>
            <w:noWrap w:val="0"/>
            <w:vAlign w:val="center"/>
          </w:tcPr>
          <w:p w14:paraId="7D88A30E">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1</w:t>
            </w:r>
          </w:p>
        </w:tc>
        <w:tc>
          <w:tcPr>
            <w:tcW w:w="1425" w:type="pct"/>
            <w:vMerge w:val="restart"/>
            <w:tcBorders>
              <w:top w:val="single" w:color="auto" w:sz="4" w:space="0"/>
              <w:left w:val="single" w:color="auto" w:sz="4" w:space="0"/>
              <w:bottom w:val="single" w:color="auto" w:sz="4" w:space="0"/>
              <w:right w:val="single" w:color="auto" w:sz="4" w:space="0"/>
            </w:tcBorders>
            <w:noWrap w:val="0"/>
            <w:vAlign w:val="center"/>
          </w:tcPr>
          <w:p w14:paraId="4129F620">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建筑专业</w:t>
            </w:r>
          </w:p>
        </w:tc>
        <w:tc>
          <w:tcPr>
            <w:tcW w:w="1625" w:type="pct"/>
            <w:tcBorders>
              <w:top w:val="single" w:color="auto" w:sz="4" w:space="0"/>
              <w:left w:val="single" w:color="auto" w:sz="4" w:space="0"/>
              <w:bottom w:val="single" w:color="auto" w:sz="4" w:space="0"/>
              <w:right w:val="single" w:color="auto" w:sz="4" w:space="0"/>
            </w:tcBorders>
            <w:noWrap w:val="0"/>
            <w:vAlign w:val="center"/>
          </w:tcPr>
          <w:p w14:paraId="2BF7E39C">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常规建筑</w:t>
            </w:r>
          </w:p>
        </w:tc>
        <w:tc>
          <w:tcPr>
            <w:tcW w:w="1594" w:type="pct"/>
            <w:tcBorders>
              <w:top w:val="single" w:color="auto" w:sz="4" w:space="0"/>
              <w:left w:val="single" w:color="auto" w:sz="4" w:space="0"/>
              <w:bottom w:val="single" w:color="auto" w:sz="4" w:space="0"/>
              <w:right w:val="single" w:color="auto" w:sz="4" w:space="0"/>
            </w:tcBorders>
            <w:noWrap w:val="0"/>
            <w:vAlign w:val="center"/>
          </w:tcPr>
          <w:p w14:paraId="341D672D">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Revit</w:t>
            </w:r>
          </w:p>
        </w:tc>
      </w:tr>
      <w:tr w14:paraId="4BB78F77">
        <w:tblPrEx>
          <w:tblCellMar>
            <w:top w:w="0" w:type="dxa"/>
            <w:left w:w="0" w:type="dxa"/>
            <w:bottom w:w="0" w:type="dxa"/>
            <w:right w:w="0" w:type="dxa"/>
          </w:tblCellMar>
        </w:tblPrEx>
        <w:trPr>
          <w:trHeight w:val="454" w:hRule="atLeast"/>
        </w:trPr>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359D5124">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425" w:type="pct"/>
            <w:vMerge w:val="continue"/>
            <w:tcBorders>
              <w:top w:val="single" w:color="auto" w:sz="4" w:space="0"/>
              <w:left w:val="single" w:color="auto" w:sz="4" w:space="0"/>
              <w:bottom w:val="single" w:color="auto" w:sz="4" w:space="0"/>
              <w:right w:val="single" w:color="auto" w:sz="4" w:space="0"/>
            </w:tcBorders>
            <w:noWrap w:val="0"/>
            <w:vAlign w:val="center"/>
          </w:tcPr>
          <w:p w14:paraId="51D8B118">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625" w:type="pct"/>
            <w:vMerge w:val="restart"/>
            <w:tcBorders>
              <w:top w:val="single" w:color="auto" w:sz="4" w:space="0"/>
              <w:left w:val="single" w:color="auto" w:sz="4" w:space="0"/>
              <w:bottom w:val="single" w:color="auto" w:sz="4" w:space="0"/>
              <w:right w:val="single" w:color="auto" w:sz="4" w:space="0"/>
            </w:tcBorders>
            <w:noWrap w:val="0"/>
            <w:vAlign w:val="center"/>
          </w:tcPr>
          <w:p w14:paraId="29C08FFB">
            <w:pPr>
              <w:spacing w:before="120" w:after="120" w:line="312" w:lineRule="auto"/>
              <w:ind w:left="631"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异性曲面建筑外形</w:t>
            </w:r>
          </w:p>
        </w:tc>
        <w:tc>
          <w:tcPr>
            <w:tcW w:w="1594" w:type="pct"/>
            <w:tcBorders>
              <w:top w:val="single" w:color="auto" w:sz="4" w:space="0"/>
              <w:left w:val="single" w:color="auto" w:sz="4" w:space="0"/>
              <w:bottom w:val="single" w:color="auto" w:sz="4" w:space="0"/>
              <w:right w:val="single" w:color="auto" w:sz="4" w:space="0"/>
            </w:tcBorders>
            <w:noWrap w:val="0"/>
            <w:vAlign w:val="center"/>
          </w:tcPr>
          <w:p w14:paraId="462E0550">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Rhino</w:t>
            </w:r>
          </w:p>
        </w:tc>
      </w:tr>
      <w:tr w14:paraId="1AB67055">
        <w:tblPrEx>
          <w:tblCellMar>
            <w:top w:w="0" w:type="dxa"/>
            <w:left w:w="0" w:type="dxa"/>
            <w:bottom w:w="0" w:type="dxa"/>
            <w:right w:w="0" w:type="dxa"/>
          </w:tblCellMar>
        </w:tblPrEx>
        <w:trPr>
          <w:trHeight w:val="454" w:hRule="atLeast"/>
        </w:trPr>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0F2602E1">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425" w:type="pct"/>
            <w:vMerge w:val="continue"/>
            <w:tcBorders>
              <w:top w:val="single" w:color="auto" w:sz="4" w:space="0"/>
              <w:left w:val="single" w:color="auto" w:sz="4" w:space="0"/>
              <w:bottom w:val="single" w:color="auto" w:sz="4" w:space="0"/>
              <w:right w:val="single" w:color="auto" w:sz="4" w:space="0"/>
            </w:tcBorders>
            <w:noWrap w:val="0"/>
            <w:vAlign w:val="center"/>
          </w:tcPr>
          <w:p w14:paraId="73957831">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625" w:type="pct"/>
            <w:vMerge w:val="continue"/>
            <w:tcBorders>
              <w:top w:val="single" w:color="auto" w:sz="4" w:space="0"/>
              <w:left w:val="single" w:color="auto" w:sz="4" w:space="0"/>
              <w:bottom w:val="single" w:color="auto" w:sz="4" w:space="0"/>
              <w:right w:val="single" w:color="auto" w:sz="4" w:space="0"/>
            </w:tcBorders>
            <w:noWrap w:val="0"/>
            <w:vAlign w:val="center"/>
          </w:tcPr>
          <w:p w14:paraId="746C50FB">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594" w:type="pct"/>
            <w:tcBorders>
              <w:top w:val="single" w:color="auto" w:sz="4" w:space="0"/>
              <w:left w:val="single" w:color="auto" w:sz="4" w:space="0"/>
              <w:bottom w:val="single" w:color="auto" w:sz="4" w:space="0"/>
              <w:right w:val="single" w:color="auto" w:sz="4" w:space="0"/>
            </w:tcBorders>
            <w:noWrap w:val="0"/>
            <w:vAlign w:val="center"/>
          </w:tcPr>
          <w:p w14:paraId="6D419696">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Catia</w:t>
            </w:r>
          </w:p>
        </w:tc>
      </w:tr>
      <w:tr w14:paraId="3591C5A8">
        <w:tblPrEx>
          <w:tblCellMar>
            <w:top w:w="0" w:type="dxa"/>
            <w:left w:w="0" w:type="dxa"/>
            <w:bottom w:w="0" w:type="dxa"/>
            <w:right w:w="0" w:type="dxa"/>
          </w:tblCellMar>
        </w:tblPrEx>
        <w:trPr>
          <w:trHeight w:val="454" w:hRule="atLeast"/>
        </w:trPr>
        <w:tc>
          <w:tcPr>
            <w:tcW w:w="355" w:type="pct"/>
            <w:vMerge w:val="restart"/>
            <w:tcBorders>
              <w:top w:val="single" w:color="auto" w:sz="4" w:space="0"/>
              <w:left w:val="single" w:color="auto" w:sz="4" w:space="0"/>
              <w:bottom w:val="single" w:color="auto" w:sz="4" w:space="0"/>
              <w:right w:val="single" w:color="auto" w:sz="4" w:space="0"/>
            </w:tcBorders>
            <w:noWrap w:val="0"/>
            <w:vAlign w:val="center"/>
          </w:tcPr>
          <w:p w14:paraId="4FE03407">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2</w:t>
            </w:r>
          </w:p>
        </w:tc>
        <w:tc>
          <w:tcPr>
            <w:tcW w:w="1425" w:type="pct"/>
            <w:vMerge w:val="restart"/>
            <w:tcBorders>
              <w:top w:val="single" w:color="auto" w:sz="4" w:space="0"/>
              <w:left w:val="single" w:color="auto" w:sz="4" w:space="0"/>
              <w:bottom w:val="single" w:color="auto" w:sz="4" w:space="0"/>
              <w:right w:val="single" w:color="auto" w:sz="4" w:space="0"/>
            </w:tcBorders>
            <w:noWrap w:val="0"/>
            <w:vAlign w:val="center"/>
          </w:tcPr>
          <w:p w14:paraId="4765C94D">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结构专业</w:t>
            </w:r>
          </w:p>
        </w:tc>
        <w:tc>
          <w:tcPr>
            <w:tcW w:w="1625" w:type="pct"/>
            <w:vMerge w:val="restart"/>
            <w:tcBorders>
              <w:top w:val="single" w:color="auto" w:sz="4" w:space="0"/>
              <w:left w:val="single" w:color="auto" w:sz="4" w:space="0"/>
              <w:bottom w:val="single" w:color="auto" w:sz="4" w:space="0"/>
              <w:right w:val="single" w:color="auto" w:sz="4" w:space="0"/>
            </w:tcBorders>
            <w:noWrap w:val="0"/>
            <w:vAlign w:val="center"/>
          </w:tcPr>
          <w:p w14:paraId="1ABD2A1D">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结构混凝土</w:t>
            </w:r>
          </w:p>
        </w:tc>
        <w:tc>
          <w:tcPr>
            <w:tcW w:w="1594" w:type="pct"/>
            <w:tcBorders>
              <w:top w:val="single" w:color="auto" w:sz="4" w:space="0"/>
              <w:left w:val="single" w:color="auto" w:sz="4" w:space="0"/>
              <w:bottom w:val="single" w:color="auto" w:sz="4" w:space="0"/>
              <w:right w:val="single" w:color="auto" w:sz="4" w:space="0"/>
            </w:tcBorders>
            <w:noWrap w:val="0"/>
            <w:vAlign w:val="center"/>
          </w:tcPr>
          <w:p w14:paraId="2FBA1423">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Revit</w:t>
            </w:r>
          </w:p>
        </w:tc>
      </w:tr>
      <w:tr w14:paraId="43F7C321">
        <w:tblPrEx>
          <w:tblCellMar>
            <w:top w:w="0" w:type="dxa"/>
            <w:left w:w="0" w:type="dxa"/>
            <w:bottom w:w="0" w:type="dxa"/>
            <w:right w:w="0" w:type="dxa"/>
          </w:tblCellMar>
        </w:tblPrEx>
        <w:trPr>
          <w:trHeight w:val="454" w:hRule="atLeast"/>
        </w:trPr>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0E837951">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425" w:type="pct"/>
            <w:vMerge w:val="continue"/>
            <w:tcBorders>
              <w:top w:val="single" w:color="auto" w:sz="4" w:space="0"/>
              <w:left w:val="single" w:color="auto" w:sz="4" w:space="0"/>
              <w:bottom w:val="single" w:color="auto" w:sz="4" w:space="0"/>
              <w:right w:val="single" w:color="auto" w:sz="4" w:space="0"/>
            </w:tcBorders>
            <w:noWrap w:val="0"/>
            <w:vAlign w:val="center"/>
          </w:tcPr>
          <w:p w14:paraId="5DDA3977">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625" w:type="pct"/>
            <w:vMerge w:val="continue"/>
            <w:tcBorders>
              <w:top w:val="single" w:color="auto" w:sz="4" w:space="0"/>
              <w:left w:val="single" w:color="auto" w:sz="4" w:space="0"/>
              <w:bottom w:val="single" w:color="auto" w:sz="4" w:space="0"/>
              <w:right w:val="single" w:color="auto" w:sz="4" w:space="0"/>
            </w:tcBorders>
            <w:noWrap w:val="0"/>
            <w:vAlign w:val="center"/>
          </w:tcPr>
          <w:p w14:paraId="113CDED5">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594" w:type="pct"/>
            <w:tcBorders>
              <w:top w:val="single" w:color="auto" w:sz="4" w:space="0"/>
              <w:left w:val="single" w:color="auto" w:sz="4" w:space="0"/>
              <w:bottom w:val="single" w:color="auto" w:sz="4" w:space="0"/>
              <w:right w:val="single" w:color="auto" w:sz="4" w:space="0"/>
            </w:tcBorders>
            <w:noWrap w:val="0"/>
            <w:vAlign w:val="center"/>
          </w:tcPr>
          <w:p w14:paraId="4F6FC2F6">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PKPM</w:t>
            </w:r>
          </w:p>
        </w:tc>
      </w:tr>
      <w:tr w14:paraId="430F4C2A">
        <w:tblPrEx>
          <w:tblCellMar>
            <w:top w:w="0" w:type="dxa"/>
            <w:left w:w="0" w:type="dxa"/>
            <w:bottom w:w="0" w:type="dxa"/>
            <w:right w:w="0" w:type="dxa"/>
          </w:tblCellMar>
        </w:tblPrEx>
        <w:trPr>
          <w:trHeight w:val="454" w:hRule="atLeast"/>
        </w:trPr>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1AC51E4A">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425" w:type="pct"/>
            <w:vMerge w:val="continue"/>
            <w:tcBorders>
              <w:top w:val="single" w:color="auto" w:sz="4" w:space="0"/>
              <w:left w:val="single" w:color="auto" w:sz="4" w:space="0"/>
              <w:bottom w:val="single" w:color="auto" w:sz="4" w:space="0"/>
              <w:right w:val="single" w:color="auto" w:sz="4" w:space="0"/>
            </w:tcBorders>
            <w:noWrap w:val="0"/>
            <w:vAlign w:val="center"/>
          </w:tcPr>
          <w:p w14:paraId="5AF7F3BC">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625" w:type="pct"/>
            <w:vMerge w:val="continue"/>
            <w:tcBorders>
              <w:top w:val="single" w:color="auto" w:sz="4" w:space="0"/>
              <w:left w:val="single" w:color="auto" w:sz="4" w:space="0"/>
              <w:bottom w:val="single" w:color="auto" w:sz="4" w:space="0"/>
              <w:right w:val="single" w:color="auto" w:sz="4" w:space="0"/>
            </w:tcBorders>
            <w:noWrap w:val="0"/>
            <w:vAlign w:val="center"/>
          </w:tcPr>
          <w:p w14:paraId="50EB534F">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594" w:type="pct"/>
            <w:tcBorders>
              <w:top w:val="single" w:color="auto" w:sz="4" w:space="0"/>
              <w:left w:val="single" w:color="auto" w:sz="4" w:space="0"/>
              <w:bottom w:val="single" w:color="auto" w:sz="4" w:space="0"/>
              <w:right w:val="single" w:color="auto" w:sz="4" w:space="0"/>
            </w:tcBorders>
            <w:noWrap w:val="0"/>
            <w:vAlign w:val="center"/>
          </w:tcPr>
          <w:p w14:paraId="7DC5DFD9">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探索者</w:t>
            </w:r>
          </w:p>
        </w:tc>
      </w:tr>
      <w:tr w14:paraId="7803C016">
        <w:tblPrEx>
          <w:tblCellMar>
            <w:top w:w="0" w:type="dxa"/>
            <w:left w:w="0" w:type="dxa"/>
            <w:bottom w:w="0" w:type="dxa"/>
            <w:right w:w="0" w:type="dxa"/>
          </w:tblCellMar>
        </w:tblPrEx>
        <w:trPr>
          <w:trHeight w:val="454" w:hRule="atLeast"/>
        </w:trPr>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5D3A4411">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425" w:type="pct"/>
            <w:vMerge w:val="continue"/>
            <w:tcBorders>
              <w:top w:val="single" w:color="auto" w:sz="4" w:space="0"/>
              <w:left w:val="single" w:color="auto" w:sz="4" w:space="0"/>
              <w:bottom w:val="single" w:color="auto" w:sz="4" w:space="0"/>
              <w:right w:val="single" w:color="auto" w:sz="4" w:space="0"/>
            </w:tcBorders>
            <w:noWrap w:val="0"/>
            <w:vAlign w:val="center"/>
          </w:tcPr>
          <w:p w14:paraId="3AB49B15">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625" w:type="pct"/>
            <w:vMerge w:val="restart"/>
            <w:tcBorders>
              <w:top w:val="single" w:color="auto" w:sz="4" w:space="0"/>
              <w:left w:val="single" w:color="auto" w:sz="4" w:space="0"/>
              <w:bottom w:val="single" w:color="auto" w:sz="4" w:space="0"/>
              <w:right w:val="single" w:color="auto" w:sz="4" w:space="0"/>
            </w:tcBorders>
            <w:noWrap w:val="0"/>
            <w:vAlign w:val="center"/>
          </w:tcPr>
          <w:p w14:paraId="382A45F4">
            <w:pPr>
              <w:spacing w:before="120" w:after="120" w:line="312" w:lineRule="auto"/>
              <w:ind w:right="1"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钢结构</w:t>
            </w:r>
          </w:p>
        </w:tc>
        <w:tc>
          <w:tcPr>
            <w:tcW w:w="1594" w:type="pct"/>
            <w:tcBorders>
              <w:top w:val="single" w:color="auto" w:sz="4" w:space="0"/>
              <w:left w:val="single" w:color="auto" w:sz="4" w:space="0"/>
              <w:bottom w:val="single" w:color="auto" w:sz="4" w:space="0"/>
              <w:right w:val="single" w:color="auto" w:sz="4" w:space="0"/>
            </w:tcBorders>
            <w:noWrap w:val="0"/>
            <w:vAlign w:val="center"/>
          </w:tcPr>
          <w:p w14:paraId="5D06CCD9">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Catia</w:t>
            </w:r>
          </w:p>
        </w:tc>
      </w:tr>
      <w:tr w14:paraId="5D6C129B">
        <w:tblPrEx>
          <w:tblCellMar>
            <w:top w:w="0" w:type="dxa"/>
            <w:left w:w="0" w:type="dxa"/>
            <w:bottom w:w="0" w:type="dxa"/>
            <w:right w:w="0" w:type="dxa"/>
          </w:tblCellMar>
        </w:tblPrEx>
        <w:trPr>
          <w:trHeight w:val="454" w:hRule="atLeast"/>
        </w:trPr>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39B462E6">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425" w:type="pct"/>
            <w:vMerge w:val="continue"/>
            <w:tcBorders>
              <w:top w:val="single" w:color="auto" w:sz="4" w:space="0"/>
              <w:left w:val="single" w:color="auto" w:sz="4" w:space="0"/>
              <w:bottom w:val="single" w:color="auto" w:sz="4" w:space="0"/>
              <w:right w:val="single" w:color="auto" w:sz="4" w:space="0"/>
            </w:tcBorders>
            <w:noWrap w:val="0"/>
            <w:vAlign w:val="center"/>
          </w:tcPr>
          <w:p w14:paraId="22B09CCE">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625" w:type="pct"/>
            <w:vMerge w:val="continue"/>
            <w:tcBorders>
              <w:top w:val="single" w:color="auto" w:sz="4" w:space="0"/>
              <w:left w:val="single" w:color="auto" w:sz="4" w:space="0"/>
              <w:bottom w:val="single" w:color="auto" w:sz="4" w:space="0"/>
              <w:right w:val="single" w:color="auto" w:sz="4" w:space="0"/>
            </w:tcBorders>
            <w:noWrap w:val="0"/>
            <w:vAlign w:val="center"/>
          </w:tcPr>
          <w:p w14:paraId="5FCB8CBC">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594" w:type="pct"/>
            <w:tcBorders>
              <w:top w:val="single" w:color="auto" w:sz="4" w:space="0"/>
              <w:left w:val="single" w:color="auto" w:sz="4" w:space="0"/>
              <w:bottom w:val="single" w:color="auto" w:sz="4" w:space="0"/>
              <w:right w:val="single" w:color="auto" w:sz="4" w:space="0"/>
            </w:tcBorders>
            <w:noWrap w:val="0"/>
            <w:vAlign w:val="center"/>
          </w:tcPr>
          <w:p w14:paraId="75DA8349">
            <w:pPr>
              <w:spacing w:before="120" w:after="120" w:line="312" w:lineRule="auto"/>
              <w:ind w:left="120"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TeklaStructures(X-steel)</w:t>
            </w:r>
          </w:p>
        </w:tc>
      </w:tr>
      <w:tr w14:paraId="1ADF8157">
        <w:tblPrEx>
          <w:tblCellMar>
            <w:top w:w="0" w:type="dxa"/>
            <w:left w:w="0" w:type="dxa"/>
            <w:bottom w:w="0" w:type="dxa"/>
            <w:right w:w="0" w:type="dxa"/>
          </w:tblCellMar>
        </w:tblPrEx>
        <w:trPr>
          <w:trHeight w:val="454" w:hRule="atLeast"/>
        </w:trPr>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765F2805">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425" w:type="pct"/>
            <w:vMerge w:val="continue"/>
            <w:tcBorders>
              <w:top w:val="single" w:color="auto" w:sz="4" w:space="0"/>
              <w:left w:val="single" w:color="auto" w:sz="4" w:space="0"/>
              <w:bottom w:val="single" w:color="auto" w:sz="4" w:space="0"/>
              <w:right w:val="single" w:color="auto" w:sz="4" w:space="0"/>
            </w:tcBorders>
            <w:noWrap w:val="0"/>
            <w:vAlign w:val="center"/>
          </w:tcPr>
          <w:p w14:paraId="4F98C8DB">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625" w:type="pct"/>
            <w:vMerge w:val="continue"/>
            <w:tcBorders>
              <w:top w:val="single" w:color="auto" w:sz="4" w:space="0"/>
              <w:left w:val="single" w:color="auto" w:sz="4" w:space="0"/>
              <w:bottom w:val="single" w:color="auto" w:sz="4" w:space="0"/>
              <w:right w:val="single" w:color="auto" w:sz="4" w:space="0"/>
            </w:tcBorders>
            <w:noWrap w:val="0"/>
            <w:vAlign w:val="center"/>
          </w:tcPr>
          <w:p w14:paraId="72DC4858">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594" w:type="pct"/>
            <w:tcBorders>
              <w:top w:val="single" w:color="auto" w:sz="4" w:space="0"/>
              <w:left w:val="single" w:color="auto" w:sz="4" w:space="0"/>
              <w:bottom w:val="single" w:color="auto" w:sz="4" w:space="0"/>
              <w:right w:val="single" w:color="auto" w:sz="4" w:space="0"/>
            </w:tcBorders>
            <w:noWrap w:val="0"/>
            <w:vAlign w:val="center"/>
          </w:tcPr>
          <w:p w14:paraId="46A9A72B">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Revit</w:t>
            </w:r>
          </w:p>
        </w:tc>
      </w:tr>
      <w:tr w14:paraId="69934807">
        <w:tblPrEx>
          <w:tblCellMar>
            <w:top w:w="0" w:type="dxa"/>
            <w:left w:w="0" w:type="dxa"/>
            <w:bottom w:w="0" w:type="dxa"/>
            <w:right w:w="0" w:type="dxa"/>
          </w:tblCellMar>
        </w:tblPrEx>
        <w:trPr>
          <w:trHeight w:val="454" w:hRule="atLeast"/>
        </w:trPr>
        <w:tc>
          <w:tcPr>
            <w:tcW w:w="355" w:type="pct"/>
            <w:vMerge w:val="restart"/>
            <w:tcBorders>
              <w:top w:val="single" w:color="auto" w:sz="4" w:space="0"/>
              <w:left w:val="single" w:color="auto" w:sz="4" w:space="0"/>
              <w:bottom w:val="single" w:color="auto" w:sz="4" w:space="0"/>
              <w:right w:val="single" w:color="auto" w:sz="4" w:space="0"/>
            </w:tcBorders>
            <w:noWrap w:val="0"/>
            <w:vAlign w:val="center"/>
          </w:tcPr>
          <w:p w14:paraId="2C8EA10D">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3</w:t>
            </w:r>
          </w:p>
        </w:tc>
        <w:tc>
          <w:tcPr>
            <w:tcW w:w="1425" w:type="pct"/>
            <w:vMerge w:val="restart"/>
            <w:tcBorders>
              <w:top w:val="single" w:color="auto" w:sz="4" w:space="0"/>
              <w:left w:val="single" w:color="auto" w:sz="4" w:space="0"/>
              <w:bottom w:val="single" w:color="auto" w:sz="4" w:space="0"/>
              <w:right w:val="single" w:color="auto" w:sz="4" w:space="0"/>
            </w:tcBorders>
            <w:noWrap w:val="0"/>
            <w:vAlign w:val="center"/>
          </w:tcPr>
          <w:p w14:paraId="520DD02E">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机电专业</w:t>
            </w:r>
          </w:p>
        </w:tc>
        <w:tc>
          <w:tcPr>
            <w:tcW w:w="1625"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75C25D75">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594" w:type="pct"/>
            <w:tcBorders>
              <w:top w:val="single" w:color="auto" w:sz="4" w:space="0"/>
              <w:left w:val="single" w:color="auto" w:sz="4" w:space="0"/>
              <w:bottom w:val="single" w:color="auto" w:sz="4" w:space="0"/>
              <w:right w:val="single" w:color="auto" w:sz="4" w:space="0"/>
            </w:tcBorders>
            <w:noWrap w:val="0"/>
            <w:vAlign w:val="center"/>
          </w:tcPr>
          <w:p w14:paraId="361D22BD">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Revit</w:t>
            </w:r>
          </w:p>
        </w:tc>
      </w:tr>
      <w:tr w14:paraId="32C79F77">
        <w:tblPrEx>
          <w:tblCellMar>
            <w:top w:w="0" w:type="dxa"/>
            <w:left w:w="0" w:type="dxa"/>
            <w:bottom w:w="0" w:type="dxa"/>
            <w:right w:w="0" w:type="dxa"/>
          </w:tblCellMar>
        </w:tblPrEx>
        <w:trPr>
          <w:trHeight w:val="454" w:hRule="atLeast"/>
        </w:trPr>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229C4333">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425" w:type="pct"/>
            <w:vMerge w:val="continue"/>
            <w:tcBorders>
              <w:top w:val="single" w:color="auto" w:sz="4" w:space="0"/>
              <w:left w:val="single" w:color="auto" w:sz="4" w:space="0"/>
              <w:bottom w:val="single" w:color="auto" w:sz="4" w:space="0"/>
              <w:right w:val="single" w:color="auto" w:sz="4" w:space="0"/>
            </w:tcBorders>
            <w:noWrap w:val="0"/>
            <w:vAlign w:val="center"/>
          </w:tcPr>
          <w:p w14:paraId="796E0985">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625" w:type="pct"/>
            <w:vMerge w:val="continue"/>
            <w:tcBorders>
              <w:top w:val="single" w:color="auto" w:sz="4" w:space="0"/>
              <w:left w:val="single" w:color="auto" w:sz="4" w:space="0"/>
              <w:bottom w:val="single" w:color="auto" w:sz="4" w:space="0"/>
              <w:right w:val="single" w:color="auto" w:sz="4" w:space="0"/>
            </w:tcBorders>
            <w:noWrap w:val="0"/>
            <w:vAlign w:val="center"/>
          </w:tcPr>
          <w:p w14:paraId="76222124">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594" w:type="pct"/>
            <w:tcBorders>
              <w:top w:val="single" w:color="auto" w:sz="4" w:space="0"/>
              <w:left w:val="single" w:color="auto" w:sz="4" w:space="0"/>
              <w:bottom w:val="single" w:color="auto" w:sz="4" w:space="0"/>
              <w:right w:val="single" w:color="auto" w:sz="4" w:space="0"/>
            </w:tcBorders>
            <w:noWrap w:val="0"/>
            <w:vAlign w:val="center"/>
          </w:tcPr>
          <w:p w14:paraId="2FF02822">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MagiCAD</w:t>
            </w:r>
          </w:p>
        </w:tc>
      </w:tr>
      <w:tr w14:paraId="6D7D01C9">
        <w:tblPrEx>
          <w:tblCellMar>
            <w:top w:w="0" w:type="dxa"/>
            <w:left w:w="0" w:type="dxa"/>
            <w:bottom w:w="0" w:type="dxa"/>
            <w:right w:w="0" w:type="dxa"/>
          </w:tblCellMar>
        </w:tblPrEx>
        <w:trPr>
          <w:trHeight w:val="454" w:hRule="atLeast"/>
        </w:trPr>
        <w:tc>
          <w:tcPr>
            <w:tcW w:w="355" w:type="pct"/>
            <w:vMerge w:val="restart"/>
            <w:tcBorders>
              <w:top w:val="single" w:color="auto" w:sz="4" w:space="0"/>
              <w:left w:val="single" w:color="auto" w:sz="4" w:space="0"/>
              <w:bottom w:val="single" w:color="auto" w:sz="4" w:space="0"/>
              <w:right w:val="single" w:color="auto" w:sz="4" w:space="0"/>
            </w:tcBorders>
            <w:noWrap w:val="0"/>
            <w:vAlign w:val="center"/>
          </w:tcPr>
          <w:p w14:paraId="0B310585">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4</w:t>
            </w:r>
          </w:p>
        </w:tc>
        <w:tc>
          <w:tcPr>
            <w:tcW w:w="1425" w:type="pct"/>
            <w:vMerge w:val="restart"/>
            <w:tcBorders>
              <w:top w:val="single" w:color="auto" w:sz="4" w:space="0"/>
              <w:left w:val="single" w:color="auto" w:sz="4" w:space="0"/>
              <w:bottom w:val="single" w:color="auto" w:sz="4" w:space="0"/>
              <w:right w:val="single" w:color="auto" w:sz="4" w:space="0"/>
            </w:tcBorders>
            <w:noWrap w:val="0"/>
            <w:vAlign w:val="center"/>
          </w:tcPr>
          <w:p w14:paraId="0DE00EE5">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幕墙专业</w:t>
            </w:r>
          </w:p>
        </w:tc>
        <w:tc>
          <w:tcPr>
            <w:tcW w:w="1625"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6E1A357A">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594" w:type="pct"/>
            <w:tcBorders>
              <w:top w:val="single" w:color="auto" w:sz="4" w:space="0"/>
              <w:left w:val="single" w:color="auto" w:sz="4" w:space="0"/>
              <w:bottom w:val="single" w:color="auto" w:sz="4" w:space="0"/>
              <w:right w:val="single" w:color="auto" w:sz="4" w:space="0"/>
            </w:tcBorders>
            <w:noWrap w:val="0"/>
            <w:vAlign w:val="center"/>
          </w:tcPr>
          <w:p w14:paraId="700142C7">
            <w:pPr>
              <w:spacing w:before="120" w:after="120" w:line="240"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Revit</w:t>
            </w:r>
          </w:p>
        </w:tc>
      </w:tr>
      <w:tr w14:paraId="63A7667A">
        <w:tblPrEx>
          <w:tblCellMar>
            <w:top w:w="0" w:type="dxa"/>
            <w:left w:w="0" w:type="dxa"/>
            <w:bottom w:w="0" w:type="dxa"/>
            <w:right w:w="0" w:type="dxa"/>
          </w:tblCellMar>
        </w:tblPrEx>
        <w:trPr>
          <w:trHeight w:val="454" w:hRule="atLeast"/>
        </w:trPr>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7D87F6A8">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425" w:type="pct"/>
            <w:vMerge w:val="continue"/>
            <w:tcBorders>
              <w:top w:val="single" w:color="auto" w:sz="4" w:space="0"/>
              <w:left w:val="single" w:color="auto" w:sz="4" w:space="0"/>
              <w:bottom w:val="single" w:color="auto" w:sz="4" w:space="0"/>
              <w:right w:val="single" w:color="auto" w:sz="4" w:space="0"/>
            </w:tcBorders>
            <w:noWrap w:val="0"/>
            <w:vAlign w:val="center"/>
          </w:tcPr>
          <w:p w14:paraId="3C904238">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625" w:type="pct"/>
            <w:vMerge w:val="continue"/>
            <w:tcBorders>
              <w:top w:val="single" w:color="auto" w:sz="4" w:space="0"/>
              <w:left w:val="single" w:color="auto" w:sz="4" w:space="0"/>
              <w:bottom w:val="single" w:color="auto" w:sz="4" w:space="0"/>
              <w:right w:val="single" w:color="auto" w:sz="4" w:space="0"/>
            </w:tcBorders>
            <w:noWrap w:val="0"/>
            <w:vAlign w:val="center"/>
          </w:tcPr>
          <w:p w14:paraId="5A628457">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594" w:type="pct"/>
            <w:tcBorders>
              <w:top w:val="single" w:color="auto" w:sz="4" w:space="0"/>
              <w:left w:val="single" w:color="auto" w:sz="4" w:space="0"/>
              <w:bottom w:val="single" w:color="auto" w:sz="4" w:space="0"/>
              <w:right w:val="single" w:color="auto" w:sz="4" w:space="0"/>
            </w:tcBorders>
            <w:noWrap w:val="0"/>
            <w:vAlign w:val="center"/>
          </w:tcPr>
          <w:p w14:paraId="19BB53EF">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Rhino</w:t>
            </w:r>
          </w:p>
        </w:tc>
      </w:tr>
      <w:tr w14:paraId="4CD631AF">
        <w:tblPrEx>
          <w:tblCellMar>
            <w:top w:w="0" w:type="dxa"/>
            <w:left w:w="0" w:type="dxa"/>
            <w:bottom w:w="0" w:type="dxa"/>
            <w:right w:w="0" w:type="dxa"/>
          </w:tblCellMar>
        </w:tblPrEx>
        <w:trPr>
          <w:trHeight w:val="454" w:hRule="atLeast"/>
        </w:trPr>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14:paraId="2B9C9B36">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425" w:type="pct"/>
            <w:vMerge w:val="continue"/>
            <w:tcBorders>
              <w:top w:val="single" w:color="auto" w:sz="4" w:space="0"/>
              <w:left w:val="single" w:color="auto" w:sz="4" w:space="0"/>
              <w:bottom w:val="single" w:color="auto" w:sz="4" w:space="0"/>
              <w:right w:val="single" w:color="auto" w:sz="4" w:space="0"/>
            </w:tcBorders>
            <w:noWrap w:val="0"/>
            <w:vAlign w:val="center"/>
          </w:tcPr>
          <w:p w14:paraId="377461E2">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625" w:type="pct"/>
            <w:vMerge w:val="continue"/>
            <w:tcBorders>
              <w:top w:val="single" w:color="auto" w:sz="4" w:space="0"/>
              <w:left w:val="single" w:color="auto" w:sz="4" w:space="0"/>
              <w:bottom w:val="single" w:color="auto" w:sz="4" w:space="0"/>
              <w:right w:val="single" w:color="auto" w:sz="4" w:space="0"/>
            </w:tcBorders>
            <w:noWrap w:val="0"/>
            <w:vAlign w:val="center"/>
          </w:tcPr>
          <w:p w14:paraId="501C3EB7">
            <w:pPr>
              <w:spacing w:before="120" w:after="120" w:line="240" w:lineRule="auto"/>
              <w:ind w:firstLine="0" w:firstLineChars="0"/>
              <w:jc w:val="center"/>
              <w:rPr>
                <w:rFonts w:ascii="宋体" w:hAnsi="宋体" w:eastAsia="宋体" w:cs="宋体"/>
                <w:color w:val="auto"/>
                <w:sz w:val="18"/>
                <w:szCs w:val="18"/>
                <w:highlight w:val="none"/>
                <w:lang w:eastAsia="en-US"/>
              </w:rPr>
            </w:pPr>
          </w:p>
        </w:tc>
        <w:tc>
          <w:tcPr>
            <w:tcW w:w="1594" w:type="pct"/>
            <w:tcBorders>
              <w:top w:val="single" w:color="auto" w:sz="4" w:space="0"/>
              <w:left w:val="single" w:color="auto" w:sz="4" w:space="0"/>
              <w:bottom w:val="single" w:color="auto" w:sz="4" w:space="0"/>
              <w:right w:val="single" w:color="auto" w:sz="4" w:space="0"/>
            </w:tcBorders>
            <w:noWrap w:val="0"/>
            <w:vAlign w:val="center"/>
          </w:tcPr>
          <w:p w14:paraId="6F27F684">
            <w:pPr>
              <w:spacing w:before="120" w:after="120" w:line="312" w:lineRule="auto"/>
              <w:ind w:firstLine="0" w:firstLineChars="0"/>
              <w:jc w:val="center"/>
              <w:rPr>
                <w:rFonts w:ascii="宋体" w:hAnsi="宋体" w:eastAsia="宋体" w:cs="宋体"/>
                <w:color w:val="auto"/>
                <w:sz w:val="18"/>
                <w:szCs w:val="18"/>
                <w:highlight w:val="none"/>
                <w:lang w:eastAsia="en-US"/>
              </w:rPr>
            </w:pPr>
            <w:r>
              <w:rPr>
                <w:rFonts w:ascii="宋体" w:hAnsi="宋体" w:eastAsia="宋体" w:cs="宋体"/>
                <w:color w:val="auto"/>
                <w:sz w:val="18"/>
                <w:szCs w:val="18"/>
                <w:highlight w:val="none"/>
                <w:lang w:eastAsia="en-US"/>
              </w:rPr>
              <w:t>Catia</w:t>
            </w:r>
          </w:p>
        </w:tc>
      </w:tr>
    </w:tbl>
    <w:p w14:paraId="029A04D4">
      <w:pPr>
        <w:spacing w:before="120" w:after="120"/>
        <w:rPr>
          <w:color w:val="auto"/>
          <w:highlight w:val="none"/>
        </w:rPr>
      </w:pPr>
    </w:p>
    <w:p w14:paraId="458D43FA">
      <w:pPr>
        <w:pStyle w:val="2"/>
        <w:tabs>
          <w:tab w:val="left" w:pos="0"/>
        </w:tabs>
        <w:spacing w:before="720" w:after="480"/>
        <w:rPr>
          <w:color w:val="auto"/>
          <w:highlight w:val="none"/>
        </w:rPr>
        <w:sectPr>
          <w:pgSz w:w="11910" w:h="16840"/>
          <w:pgMar w:top="1440" w:right="1800" w:bottom="1440" w:left="1800" w:header="907" w:footer="973" w:gutter="0"/>
          <w:pgNumType w:fmt="numberInDash"/>
          <w:cols w:space="720" w:num="1"/>
        </w:sectPr>
      </w:pPr>
    </w:p>
    <w:p w14:paraId="047610F4">
      <w:pPr>
        <w:pStyle w:val="2"/>
        <w:tabs>
          <w:tab w:val="left" w:pos="0"/>
        </w:tabs>
        <w:spacing w:before="720" w:after="480"/>
        <w:rPr>
          <w:color w:val="auto"/>
          <w:highlight w:val="none"/>
        </w:rPr>
      </w:pPr>
      <w:bookmarkStart w:id="205" w:name="_Toc19574"/>
      <w:r>
        <w:rPr>
          <w:color w:val="auto"/>
          <w:highlight w:val="none"/>
        </w:rPr>
        <w:t>全地形BIM应用及控制要求</w:t>
      </w:r>
      <w:bookmarkEnd w:id="205"/>
    </w:p>
    <w:p w14:paraId="6700C825">
      <w:pPr>
        <w:pStyle w:val="3"/>
        <w:tabs>
          <w:tab w:val="left" w:pos="0"/>
        </w:tabs>
        <w:rPr>
          <w:color w:val="auto"/>
          <w:highlight w:val="none"/>
        </w:rPr>
      </w:pPr>
      <w:bookmarkStart w:id="206" w:name="_Toc21072"/>
      <w:r>
        <w:rPr>
          <w:color w:val="auto"/>
          <w:highlight w:val="none"/>
        </w:rPr>
        <w:t>勘察阶段</w:t>
      </w:r>
      <w:bookmarkEnd w:id="206"/>
    </w:p>
    <w:p w14:paraId="3CB310CE">
      <w:pPr>
        <w:pStyle w:val="4"/>
        <w:tabs>
          <w:tab w:val="left" w:pos="0"/>
        </w:tabs>
        <w:spacing w:before="120" w:after="120"/>
        <w:rPr>
          <w:color w:val="auto"/>
          <w:highlight w:val="none"/>
        </w:rPr>
      </w:pPr>
      <w:r>
        <w:rPr>
          <w:color w:val="auto"/>
          <w:highlight w:val="none"/>
        </w:rPr>
        <w:t>应将全地形BIM模型勘察内容和要求写入勘察合同。勘察单位应按合同约定提供全地形BIM模型和基础数据。</w:t>
      </w:r>
    </w:p>
    <w:p w14:paraId="73861F53">
      <w:pPr>
        <w:pStyle w:val="4"/>
        <w:tabs>
          <w:tab w:val="left" w:pos="0"/>
        </w:tabs>
        <w:spacing w:before="120" w:after="120"/>
        <w:rPr>
          <w:color w:val="auto"/>
          <w:highlight w:val="none"/>
        </w:rPr>
      </w:pPr>
      <w:r>
        <w:rPr>
          <w:color w:val="auto"/>
          <w:highlight w:val="none"/>
        </w:rPr>
        <w:t>全地形BIM模型应包括三维地质模型、现状地形模型和倾斜摄影测量模型。</w:t>
      </w:r>
    </w:p>
    <w:p w14:paraId="6ABEE35C">
      <w:pPr>
        <w:pStyle w:val="4"/>
        <w:tabs>
          <w:tab w:val="left" w:pos="0"/>
        </w:tabs>
        <w:spacing w:before="120" w:after="120"/>
        <w:rPr>
          <w:color w:val="auto"/>
          <w:highlight w:val="none"/>
        </w:rPr>
      </w:pPr>
      <w:r>
        <w:rPr>
          <w:color w:val="auto"/>
          <w:highlight w:val="none"/>
        </w:rPr>
        <w:t>数据底座中各项数据应以勘察测量成果作为基础输入资料，提取数据，创建全地形BIM模型。</w:t>
      </w:r>
    </w:p>
    <w:p w14:paraId="621091AB">
      <w:pPr>
        <w:pStyle w:val="4"/>
        <w:tabs>
          <w:tab w:val="left" w:pos="0"/>
        </w:tabs>
        <w:spacing w:before="120" w:after="120"/>
        <w:rPr>
          <w:color w:val="auto"/>
          <w:highlight w:val="none"/>
        </w:rPr>
      </w:pPr>
      <w:r>
        <w:rPr>
          <w:color w:val="auto"/>
          <w:highlight w:val="none"/>
        </w:rPr>
        <w:t>勘察测量成果包括地形测量、物探图、地质勘探等，具体要求：</w:t>
      </w:r>
    </w:p>
    <w:p w14:paraId="64F341B4">
      <w:pPr>
        <w:spacing w:before="120" w:after="120"/>
        <w:rPr>
          <w:color w:val="auto"/>
          <w:highlight w:val="none"/>
        </w:rPr>
      </w:pPr>
      <w:r>
        <w:rPr>
          <w:color w:val="auto"/>
          <w:highlight w:val="none"/>
        </w:rPr>
        <w:t>1. 场地地形CAD图等高距应达到0.5m，并带有高程信息</w:t>
      </w:r>
      <w:r>
        <w:rPr>
          <w:rFonts w:hint="eastAsia"/>
          <w:color w:val="auto"/>
          <w:highlight w:val="none"/>
        </w:rPr>
        <w:t>；</w:t>
      </w:r>
    </w:p>
    <w:p w14:paraId="1F6BC906">
      <w:pPr>
        <w:spacing w:before="120" w:after="120"/>
        <w:rPr>
          <w:color w:val="auto"/>
          <w:highlight w:val="none"/>
        </w:rPr>
      </w:pPr>
      <w:r>
        <w:rPr>
          <w:color w:val="auto"/>
          <w:highlight w:val="none"/>
        </w:rPr>
        <w:t>2. 场地平面图应清晰标注既有建构筑物边界和高度，重要设施设备位置，各种用地及水体</w:t>
      </w:r>
      <w:r>
        <w:rPr>
          <w:rFonts w:hint="eastAsia"/>
          <w:color w:val="auto"/>
          <w:highlight w:val="none"/>
        </w:rPr>
        <w:t>；</w:t>
      </w:r>
    </w:p>
    <w:p w14:paraId="56D351C3">
      <w:pPr>
        <w:spacing w:before="120" w:after="120"/>
        <w:rPr>
          <w:color w:val="auto"/>
          <w:highlight w:val="none"/>
        </w:rPr>
      </w:pPr>
      <w:r>
        <w:rPr>
          <w:color w:val="auto"/>
          <w:highlight w:val="none"/>
        </w:rPr>
        <w:t>3. 其他勘探结果应符合现行规范标准和合同约定。</w:t>
      </w:r>
    </w:p>
    <w:p w14:paraId="23C6ED78">
      <w:pPr>
        <w:pStyle w:val="4"/>
        <w:tabs>
          <w:tab w:val="left" w:pos="0"/>
        </w:tabs>
        <w:spacing w:before="120" w:after="120"/>
        <w:rPr>
          <w:color w:val="auto"/>
          <w:highlight w:val="none"/>
        </w:rPr>
      </w:pPr>
      <w:r>
        <w:rPr>
          <w:color w:val="auto"/>
          <w:highlight w:val="none"/>
        </w:rPr>
        <w:t>全地形BIM模型和基础数据应满足设计阶段工程概预算应用和控制要求。</w:t>
      </w:r>
    </w:p>
    <w:p w14:paraId="32AC38FB">
      <w:pPr>
        <w:pStyle w:val="4"/>
        <w:tabs>
          <w:tab w:val="left" w:pos="0"/>
        </w:tabs>
        <w:spacing w:before="120" w:after="120"/>
        <w:rPr>
          <w:color w:val="auto"/>
          <w:highlight w:val="none"/>
        </w:rPr>
      </w:pPr>
      <w:r>
        <w:rPr>
          <w:color w:val="auto"/>
          <w:highlight w:val="none"/>
        </w:rPr>
        <w:t>勘察阶段全地形BIM模型应符合表7.1.6的规定。</w:t>
      </w:r>
    </w:p>
    <w:p w14:paraId="25CC9F79">
      <w:pPr>
        <w:pStyle w:val="401"/>
        <w:rPr>
          <w:color w:val="auto"/>
          <w:highlight w:val="none"/>
        </w:rPr>
      </w:pPr>
      <w:r>
        <w:rPr>
          <w:color w:val="auto"/>
          <w:highlight w:val="none"/>
        </w:rPr>
        <w:t>表7.1.6  勘察阶段全地形BIM模型要求</w:t>
      </w:r>
    </w:p>
    <w:tbl>
      <w:tblPr>
        <w:tblStyle w:val="58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4"/>
        <w:gridCol w:w="1005"/>
        <w:gridCol w:w="5417"/>
      </w:tblGrid>
      <w:tr w14:paraId="3562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4" w:type="pct"/>
            <w:noWrap w:val="0"/>
            <w:tcMar>
              <w:top w:w="113" w:type="dxa"/>
              <w:left w:w="108" w:type="dxa"/>
              <w:bottom w:w="113" w:type="dxa"/>
              <w:right w:w="108" w:type="dxa"/>
            </w:tcMar>
            <w:vAlign w:val="center"/>
          </w:tcPr>
          <w:p w14:paraId="48EE94FC">
            <w:pPr>
              <w:tabs>
                <w:tab w:val="left" w:pos="0"/>
                <w:tab w:val="left" w:pos="420"/>
              </w:tabs>
              <w:spacing w:before="120" w:after="0" w:afterLines="0"/>
              <w:ind w:firstLine="0" w:firstLineChars="0"/>
              <w:jc w:val="center"/>
              <w:rPr>
                <w:rFonts w:ascii="宋体" w:hAnsi="宋体" w:cs="Times New Roman"/>
                <w:b/>
                <w:bCs/>
                <w:color w:val="auto"/>
                <w:sz w:val="18"/>
                <w:szCs w:val="18"/>
                <w:highlight w:val="none"/>
              </w:rPr>
            </w:pPr>
            <w:r>
              <w:rPr>
                <w:rFonts w:hint="eastAsia" w:ascii="宋体" w:hAnsi="宋体" w:cs="Times New Roman"/>
                <w:b/>
                <w:bCs/>
                <w:color w:val="auto"/>
                <w:sz w:val="18"/>
                <w:szCs w:val="18"/>
                <w:highlight w:val="none"/>
              </w:rPr>
              <w:t>模型单元</w:t>
            </w:r>
          </w:p>
        </w:tc>
        <w:tc>
          <w:tcPr>
            <w:tcW w:w="589" w:type="pct"/>
            <w:noWrap w:val="0"/>
            <w:tcMar>
              <w:top w:w="113" w:type="dxa"/>
              <w:left w:w="108" w:type="dxa"/>
              <w:bottom w:w="113" w:type="dxa"/>
              <w:right w:w="108" w:type="dxa"/>
            </w:tcMar>
            <w:vAlign w:val="center"/>
          </w:tcPr>
          <w:p w14:paraId="26CBDC3B">
            <w:pPr>
              <w:tabs>
                <w:tab w:val="left" w:pos="0"/>
                <w:tab w:val="left" w:pos="420"/>
              </w:tabs>
              <w:spacing w:before="120" w:after="0" w:afterLines="0"/>
              <w:ind w:firstLine="0" w:firstLineChars="0"/>
              <w:jc w:val="center"/>
              <w:rPr>
                <w:rFonts w:ascii="宋体" w:hAnsi="宋体" w:cs="Times New Roman"/>
                <w:b/>
                <w:bCs/>
                <w:color w:val="auto"/>
                <w:sz w:val="18"/>
                <w:szCs w:val="18"/>
                <w:highlight w:val="none"/>
              </w:rPr>
            </w:pPr>
            <w:r>
              <w:rPr>
                <w:rFonts w:hint="eastAsia" w:ascii="宋体" w:hAnsi="宋体" w:cs="Times New Roman"/>
                <w:b/>
                <w:bCs/>
                <w:color w:val="auto"/>
                <w:sz w:val="18"/>
                <w:szCs w:val="18"/>
                <w:highlight w:val="none"/>
              </w:rPr>
              <w:t>表达精度</w:t>
            </w:r>
          </w:p>
        </w:tc>
        <w:tc>
          <w:tcPr>
            <w:tcW w:w="3176" w:type="pct"/>
            <w:noWrap w:val="0"/>
            <w:tcMar>
              <w:top w:w="113" w:type="dxa"/>
              <w:left w:w="108" w:type="dxa"/>
              <w:bottom w:w="113" w:type="dxa"/>
              <w:right w:w="108" w:type="dxa"/>
            </w:tcMar>
            <w:vAlign w:val="center"/>
          </w:tcPr>
          <w:p w14:paraId="1EAC75E4">
            <w:pPr>
              <w:tabs>
                <w:tab w:val="left" w:pos="0"/>
                <w:tab w:val="left" w:pos="420"/>
              </w:tabs>
              <w:spacing w:before="120" w:after="0" w:afterLines="0"/>
              <w:ind w:firstLine="0" w:firstLineChars="0"/>
              <w:jc w:val="center"/>
              <w:rPr>
                <w:rFonts w:ascii="宋体" w:hAnsi="宋体" w:cs="Times New Roman"/>
                <w:b/>
                <w:bCs/>
                <w:color w:val="auto"/>
                <w:sz w:val="18"/>
                <w:szCs w:val="18"/>
                <w:highlight w:val="none"/>
              </w:rPr>
            </w:pPr>
            <w:r>
              <w:rPr>
                <w:rFonts w:hint="eastAsia" w:ascii="宋体" w:hAnsi="宋体" w:cs="Times New Roman"/>
                <w:b/>
                <w:bCs/>
                <w:color w:val="auto"/>
                <w:sz w:val="18"/>
                <w:szCs w:val="18"/>
                <w:highlight w:val="none"/>
              </w:rPr>
              <w:t>具体要求</w:t>
            </w:r>
          </w:p>
        </w:tc>
      </w:tr>
      <w:tr w14:paraId="1085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4" w:type="pct"/>
            <w:noWrap w:val="0"/>
            <w:tcMar>
              <w:top w:w="113" w:type="dxa"/>
              <w:left w:w="108" w:type="dxa"/>
              <w:bottom w:w="113" w:type="dxa"/>
              <w:right w:w="108" w:type="dxa"/>
            </w:tcMar>
            <w:vAlign w:val="center"/>
          </w:tcPr>
          <w:p w14:paraId="3BE211B0">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三维地质模型</w:t>
            </w:r>
          </w:p>
        </w:tc>
        <w:tc>
          <w:tcPr>
            <w:tcW w:w="589" w:type="pct"/>
            <w:noWrap w:val="0"/>
            <w:tcMar>
              <w:top w:w="113" w:type="dxa"/>
              <w:left w:w="108" w:type="dxa"/>
              <w:bottom w:w="113" w:type="dxa"/>
              <w:right w:w="108" w:type="dxa"/>
            </w:tcMar>
            <w:vAlign w:val="center"/>
          </w:tcPr>
          <w:p w14:paraId="6D18161E">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LOD200</w:t>
            </w:r>
          </w:p>
        </w:tc>
        <w:tc>
          <w:tcPr>
            <w:tcW w:w="3176" w:type="pct"/>
            <w:noWrap w:val="0"/>
            <w:tcMar>
              <w:top w:w="113" w:type="dxa"/>
              <w:left w:w="108" w:type="dxa"/>
              <w:bottom w:w="113" w:type="dxa"/>
              <w:right w:w="108" w:type="dxa"/>
            </w:tcMar>
            <w:vAlign w:val="center"/>
          </w:tcPr>
          <w:p w14:paraId="024C7518">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模型坐标系与项目坐标系一致，大致反映地勘及超前钻等地质勘探信息</w:t>
            </w:r>
          </w:p>
        </w:tc>
      </w:tr>
      <w:tr w14:paraId="5617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4" w:type="pct"/>
            <w:noWrap w:val="0"/>
            <w:tcMar>
              <w:top w:w="113" w:type="dxa"/>
              <w:left w:w="108" w:type="dxa"/>
              <w:bottom w:w="113" w:type="dxa"/>
              <w:right w:w="108" w:type="dxa"/>
            </w:tcMar>
            <w:vAlign w:val="center"/>
          </w:tcPr>
          <w:p w14:paraId="4C41D8A5">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三维地形模型</w:t>
            </w:r>
          </w:p>
        </w:tc>
        <w:tc>
          <w:tcPr>
            <w:tcW w:w="589" w:type="pct"/>
            <w:noWrap w:val="0"/>
            <w:tcMar>
              <w:top w:w="113" w:type="dxa"/>
              <w:left w:w="108" w:type="dxa"/>
              <w:bottom w:w="113" w:type="dxa"/>
              <w:right w:w="108" w:type="dxa"/>
            </w:tcMar>
            <w:vAlign w:val="center"/>
          </w:tcPr>
          <w:p w14:paraId="0EE7A5FA">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LOD200</w:t>
            </w:r>
          </w:p>
        </w:tc>
        <w:tc>
          <w:tcPr>
            <w:tcW w:w="3176" w:type="pct"/>
            <w:noWrap w:val="0"/>
            <w:tcMar>
              <w:top w:w="113" w:type="dxa"/>
              <w:left w:w="108" w:type="dxa"/>
              <w:bottom w:w="113" w:type="dxa"/>
              <w:right w:w="108" w:type="dxa"/>
            </w:tcMar>
            <w:vAlign w:val="center"/>
          </w:tcPr>
          <w:p w14:paraId="50AF3425">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模型坐标系与项目坐标系一致，</w:t>
            </w:r>
            <w:r>
              <w:rPr>
                <w:rFonts w:ascii="宋体" w:hAnsi="宋体" w:cs="Times New Roman"/>
                <w:color w:val="auto"/>
                <w:sz w:val="18"/>
                <w:highlight w:val="none"/>
              </w:rPr>
              <w:t>模型应包含现状地形、现有道路、场地范围周边标志性建构筑物等内容。</w:t>
            </w:r>
          </w:p>
        </w:tc>
      </w:tr>
      <w:tr w14:paraId="4B04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234" w:type="pct"/>
            <w:noWrap w:val="0"/>
            <w:tcMar>
              <w:top w:w="113" w:type="dxa"/>
              <w:left w:w="108" w:type="dxa"/>
              <w:bottom w:w="113" w:type="dxa"/>
              <w:right w:w="108" w:type="dxa"/>
            </w:tcMar>
            <w:vAlign w:val="center"/>
          </w:tcPr>
          <w:p w14:paraId="35E2CAAE">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倾斜摄影测量模型</w:t>
            </w:r>
          </w:p>
        </w:tc>
        <w:tc>
          <w:tcPr>
            <w:tcW w:w="589" w:type="pct"/>
            <w:noWrap w:val="0"/>
            <w:tcMar>
              <w:top w:w="113" w:type="dxa"/>
              <w:left w:w="108" w:type="dxa"/>
              <w:bottom w:w="113" w:type="dxa"/>
              <w:right w:w="108" w:type="dxa"/>
            </w:tcMar>
            <w:vAlign w:val="center"/>
          </w:tcPr>
          <w:p w14:paraId="1EE5CEB4">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LOD200</w:t>
            </w:r>
          </w:p>
        </w:tc>
        <w:tc>
          <w:tcPr>
            <w:tcW w:w="3176" w:type="pct"/>
            <w:noWrap w:val="0"/>
            <w:tcMar>
              <w:top w:w="113" w:type="dxa"/>
              <w:left w:w="108" w:type="dxa"/>
              <w:bottom w:w="113" w:type="dxa"/>
              <w:right w:w="108" w:type="dxa"/>
            </w:tcMar>
            <w:vAlign w:val="center"/>
          </w:tcPr>
          <w:p w14:paraId="5BC19E52">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ascii="宋体" w:hAnsi="宋体" w:cs="Times New Roman"/>
                <w:color w:val="auto"/>
                <w:sz w:val="18"/>
                <w:highlight w:val="none"/>
              </w:rPr>
              <w:t>倾斜摄影地貌模型</w:t>
            </w:r>
            <w:r>
              <w:rPr>
                <w:rFonts w:hint="eastAsia" w:ascii="宋体" w:hAnsi="宋体" w:cs="Times New Roman"/>
                <w:color w:val="auto"/>
                <w:sz w:val="18"/>
                <w:highlight w:val="none"/>
              </w:rPr>
              <w:t>应准确表达场地现状，模型相对精度</w:t>
            </w:r>
            <w:r>
              <w:rPr>
                <w:rFonts w:ascii="宋体" w:hAnsi="宋体" w:cs="Times New Roman"/>
                <w:color w:val="auto"/>
                <w:sz w:val="18"/>
                <w:highlight w:val="none"/>
              </w:rPr>
              <w:t>应</w:t>
            </w:r>
            <w:r>
              <w:rPr>
                <w:rFonts w:hint="eastAsia" w:ascii="宋体" w:hAnsi="宋体" w:cs="Times New Roman"/>
                <w:color w:val="auto"/>
                <w:sz w:val="18"/>
                <w:highlight w:val="none"/>
              </w:rPr>
              <w:t>不低于</w:t>
            </w:r>
            <w:r>
              <w:rPr>
                <w:rFonts w:ascii="宋体" w:hAnsi="宋体" w:cs="Times New Roman"/>
                <w:color w:val="auto"/>
                <w:sz w:val="18"/>
                <w:highlight w:val="none"/>
              </w:rPr>
              <w:t>5cm，</w:t>
            </w:r>
            <w:r>
              <w:rPr>
                <w:rFonts w:hint="eastAsia" w:ascii="宋体" w:hAnsi="宋体" w:cs="Times New Roman"/>
                <w:color w:val="auto"/>
                <w:sz w:val="18"/>
                <w:highlight w:val="none"/>
              </w:rPr>
              <w:t>绝对精度不低于</w:t>
            </w:r>
            <w:r>
              <w:rPr>
                <w:rFonts w:ascii="宋体" w:hAnsi="宋体" w:cs="Times New Roman"/>
                <w:color w:val="auto"/>
                <w:sz w:val="18"/>
                <w:highlight w:val="none"/>
              </w:rPr>
              <w:t>10cm，坐标系与高程应与项目统一。</w:t>
            </w:r>
          </w:p>
        </w:tc>
      </w:tr>
    </w:tbl>
    <w:p w14:paraId="48503BB4">
      <w:pPr>
        <w:spacing w:before="120" w:after="120"/>
        <w:rPr>
          <w:color w:val="auto"/>
          <w:highlight w:val="none"/>
        </w:rPr>
      </w:pPr>
    </w:p>
    <w:p w14:paraId="507A91DA">
      <w:pPr>
        <w:pStyle w:val="4"/>
        <w:tabs>
          <w:tab w:val="left" w:pos="0"/>
        </w:tabs>
        <w:spacing w:before="120" w:after="120"/>
        <w:rPr>
          <w:color w:val="auto"/>
          <w:highlight w:val="none"/>
        </w:rPr>
      </w:pPr>
      <w:r>
        <w:rPr>
          <w:color w:val="auto"/>
          <w:highlight w:val="none"/>
        </w:rPr>
        <w:t>勘察阶段全地形BIM应用项目应符合表7.1.7的要求。</w:t>
      </w:r>
    </w:p>
    <w:p w14:paraId="0F4D8302">
      <w:pPr>
        <w:pStyle w:val="401"/>
        <w:rPr>
          <w:color w:val="auto"/>
          <w:highlight w:val="none"/>
        </w:rPr>
      </w:pPr>
      <w:r>
        <w:rPr>
          <w:color w:val="auto"/>
          <w:highlight w:val="none"/>
        </w:rPr>
        <w:t>表7.1.7  勘察阶段全地形BIM应用项目及控制表</w:t>
      </w:r>
    </w:p>
    <w:tbl>
      <w:tblPr>
        <w:tblStyle w:val="5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160"/>
        <w:gridCol w:w="1756"/>
        <w:gridCol w:w="4205"/>
        <w:gridCol w:w="677"/>
      </w:tblGrid>
      <w:tr w14:paraId="0E07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5" w:type="pct"/>
            <w:noWrap w:val="0"/>
            <w:tcMar>
              <w:top w:w="113" w:type="dxa"/>
              <w:left w:w="108" w:type="dxa"/>
              <w:bottom w:w="113" w:type="dxa"/>
              <w:right w:w="108" w:type="dxa"/>
            </w:tcMar>
            <w:vAlign w:val="center"/>
          </w:tcPr>
          <w:p w14:paraId="08CBAF32">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序号</w:t>
            </w:r>
          </w:p>
        </w:tc>
        <w:tc>
          <w:tcPr>
            <w:tcW w:w="680" w:type="pct"/>
            <w:noWrap w:val="0"/>
            <w:tcMar>
              <w:top w:w="113" w:type="dxa"/>
              <w:left w:w="108" w:type="dxa"/>
              <w:bottom w:w="113" w:type="dxa"/>
              <w:right w:w="108" w:type="dxa"/>
            </w:tcMar>
            <w:vAlign w:val="center"/>
          </w:tcPr>
          <w:p w14:paraId="38A0F8D6">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应用类别</w:t>
            </w:r>
          </w:p>
        </w:tc>
        <w:tc>
          <w:tcPr>
            <w:tcW w:w="1030" w:type="pct"/>
            <w:noWrap w:val="0"/>
            <w:tcMar>
              <w:top w:w="113" w:type="dxa"/>
              <w:left w:w="108" w:type="dxa"/>
              <w:bottom w:w="113" w:type="dxa"/>
              <w:right w:w="108" w:type="dxa"/>
            </w:tcMar>
            <w:vAlign w:val="center"/>
          </w:tcPr>
          <w:p w14:paraId="04951477">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应用点</w:t>
            </w:r>
          </w:p>
        </w:tc>
        <w:tc>
          <w:tcPr>
            <w:tcW w:w="2466" w:type="pct"/>
            <w:noWrap w:val="0"/>
            <w:tcMar>
              <w:top w:w="113" w:type="dxa"/>
              <w:left w:w="108" w:type="dxa"/>
              <w:bottom w:w="113" w:type="dxa"/>
              <w:right w:w="108" w:type="dxa"/>
            </w:tcMar>
            <w:vAlign w:val="center"/>
          </w:tcPr>
          <w:p w14:paraId="2BEBA250">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应用要求</w:t>
            </w:r>
          </w:p>
        </w:tc>
        <w:tc>
          <w:tcPr>
            <w:tcW w:w="397" w:type="pct"/>
            <w:noWrap w:val="0"/>
            <w:tcMar>
              <w:top w:w="113" w:type="dxa"/>
              <w:left w:w="108" w:type="dxa"/>
              <w:bottom w:w="113" w:type="dxa"/>
              <w:right w:w="108" w:type="dxa"/>
            </w:tcMar>
            <w:vAlign w:val="center"/>
          </w:tcPr>
          <w:p w14:paraId="5AD28D36">
            <w:pPr>
              <w:adjustRightInd w:val="0"/>
              <w:snapToGrid w:val="0"/>
              <w:spacing w:before="0" w:beforeLines="0" w:after="0" w:afterLines="0"/>
              <w:ind w:firstLine="0" w:firstLineChars="0"/>
              <w:jc w:val="center"/>
              <w:rPr>
                <w:rFonts w:ascii="宋体" w:hAnsi="宋体" w:cs="Times New Roman"/>
                <w:b/>
                <w:bCs/>
                <w:color w:val="auto"/>
                <w:sz w:val="18"/>
                <w:szCs w:val="18"/>
                <w:highlight w:val="none"/>
              </w:rPr>
            </w:pPr>
            <w:r>
              <w:rPr>
                <w:rFonts w:hint="eastAsia" w:ascii="宋体" w:hAnsi="宋体" w:cs="Times New Roman"/>
                <w:b/>
                <w:bCs/>
                <w:color w:val="auto"/>
                <w:sz w:val="18"/>
                <w:szCs w:val="18"/>
                <w:highlight w:val="none"/>
              </w:rPr>
              <w:t>选用情况</w:t>
            </w:r>
          </w:p>
        </w:tc>
      </w:tr>
      <w:tr w14:paraId="149B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5" w:type="pct"/>
            <w:noWrap w:val="0"/>
            <w:tcMar>
              <w:top w:w="113" w:type="dxa"/>
              <w:left w:w="108" w:type="dxa"/>
              <w:bottom w:w="113" w:type="dxa"/>
              <w:right w:w="108" w:type="dxa"/>
            </w:tcMar>
            <w:vAlign w:val="center"/>
          </w:tcPr>
          <w:p w14:paraId="5AA18340">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1</w:t>
            </w:r>
          </w:p>
        </w:tc>
        <w:tc>
          <w:tcPr>
            <w:tcW w:w="680" w:type="pct"/>
            <w:vMerge w:val="restart"/>
            <w:noWrap w:val="0"/>
            <w:tcMar>
              <w:top w:w="113" w:type="dxa"/>
              <w:left w:w="108" w:type="dxa"/>
              <w:bottom w:w="113" w:type="dxa"/>
              <w:right w:w="108" w:type="dxa"/>
            </w:tcMar>
            <w:vAlign w:val="center"/>
          </w:tcPr>
          <w:p w14:paraId="541A1E46">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数据底座</w:t>
            </w:r>
          </w:p>
        </w:tc>
        <w:tc>
          <w:tcPr>
            <w:tcW w:w="1030" w:type="pct"/>
            <w:noWrap w:val="0"/>
            <w:tcMar>
              <w:top w:w="113" w:type="dxa"/>
              <w:left w:w="108" w:type="dxa"/>
              <w:bottom w:w="113" w:type="dxa"/>
              <w:right w:w="108" w:type="dxa"/>
            </w:tcMar>
            <w:vAlign w:val="center"/>
          </w:tcPr>
          <w:p w14:paraId="6D5C5916">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创建三维地质模型</w:t>
            </w:r>
          </w:p>
        </w:tc>
        <w:tc>
          <w:tcPr>
            <w:tcW w:w="2466" w:type="pct"/>
            <w:vMerge w:val="restart"/>
            <w:noWrap w:val="0"/>
            <w:tcMar>
              <w:top w:w="113" w:type="dxa"/>
              <w:left w:w="108" w:type="dxa"/>
              <w:bottom w:w="113" w:type="dxa"/>
              <w:right w:w="108" w:type="dxa"/>
            </w:tcMar>
            <w:vAlign w:val="center"/>
          </w:tcPr>
          <w:p w14:paraId="1CED71D0">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（1）</w:t>
            </w:r>
            <w:r>
              <w:rPr>
                <w:rFonts w:ascii="宋体" w:hAnsi="宋体" w:cs="Times New Roman"/>
                <w:color w:val="auto"/>
                <w:sz w:val="18"/>
                <w:highlight w:val="none"/>
              </w:rPr>
              <w:t>各模型的坐标系及高程应与项目统一，可以在同一平台中准确合模。</w:t>
            </w:r>
          </w:p>
          <w:p w14:paraId="6F3235FE">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（2）</w:t>
            </w:r>
            <w:r>
              <w:rPr>
                <w:rFonts w:ascii="宋体" w:hAnsi="宋体" w:cs="Times New Roman"/>
                <w:color w:val="auto"/>
                <w:sz w:val="18"/>
                <w:highlight w:val="none"/>
              </w:rPr>
              <w:t>在现场条件允许的情况下，宜采用无人机、人工量测、三维激光扫描等方式补充全地形模型，提升地形模型数据的精细度和完整性。</w:t>
            </w:r>
          </w:p>
          <w:p w14:paraId="20F7BEEB">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（3）</w:t>
            </w:r>
            <w:r>
              <w:rPr>
                <w:rFonts w:ascii="宋体" w:hAnsi="宋体" w:cs="Times New Roman"/>
                <w:color w:val="auto"/>
                <w:sz w:val="18"/>
                <w:highlight w:val="none"/>
              </w:rPr>
              <w:t>倾斜摄影地貌模型</w:t>
            </w:r>
            <w:r>
              <w:rPr>
                <w:rFonts w:hint="eastAsia" w:ascii="宋体" w:hAnsi="宋体" w:cs="Times New Roman"/>
                <w:color w:val="auto"/>
                <w:sz w:val="18"/>
                <w:highlight w:val="none"/>
              </w:rPr>
              <w:t>范围和精细度要求应满足合同要求，覆盖必要的项目周边场地</w:t>
            </w:r>
            <w:r>
              <w:rPr>
                <w:rFonts w:ascii="宋体" w:hAnsi="宋体" w:cs="Times New Roman"/>
                <w:color w:val="auto"/>
                <w:sz w:val="18"/>
                <w:highlight w:val="none"/>
              </w:rPr>
              <w:t>。</w:t>
            </w:r>
          </w:p>
        </w:tc>
        <w:tc>
          <w:tcPr>
            <w:tcW w:w="397" w:type="pct"/>
            <w:noWrap w:val="0"/>
            <w:tcMar>
              <w:top w:w="113" w:type="dxa"/>
              <w:left w:w="108" w:type="dxa"/>
              <w:bottom w:w="113" w:type="dxa"/>
              <w:right w:w="108" w:type="dxa"/>
            </w:tcMar>
            <w:vAlign w:val="center"/>
          </w:tcPr>
          <w:p w14:paraId="602158B5">
            <w:pPr>
              <w:spacing w:before="0" w:beforeLines="0" w:after="0" w:afterLines="0"/>
              <w:ind w:firstLine="0" w:firstLineChars="0"/>
              <w:jc w:val="center"/>
              <w:rPr>
                <w:rFonts w:ascii="宋体" w:hAnsi="宋体" w:cs="宋体"/>
                <w:color w:val="auto"/>
                <w:kern w:val="0"/>
                <w:sz w:val="18"/>
                <w:szCs w:val="18"/>
                <w:highlight w:val="none"/>
                <w:lang w:bidi="ar"/>
              </w:rPr>
            </w:pPr>
            <w:r>
              <w:rPr>
                <w:rFonts w:hint="eastAsia" w:ascii="宋体" w:hAnsi="宋体" w:cs="Times New Roman"/>
                <w:color w:val="auto"/>
                <w:sz w:val="18"/>
                <w:szCs w:val="18"/>
                <w:highlight w:val="none"/>
                <w:lang w:val="zh-CN"/>
              </w:rPr>
              <w:t>■</w:t>
            </w:r>
          </w:p>
        </w:tc>
      </w:tr>
      <w:tr w14:paraId="4134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5" w:type="pct"/>
            <w:noWrap w:val="0"/>
            <w:tcMar>
              <w:top w:w="113" w:type="dxa"/>
              <w:left w:w="108" w:type="dxa"/>
              <w:bottom w:w="113" w:type="dxa"/>
              <w:right w:w="108" w:type="dxa"/>
            </w:tcMar>
            <w:vAlign w:val="center"/>
          </w:tcPr>
          <w:p w14:paraId="55EEE344">
            <w:pPr>
              <w:adjustRightInd w:val="0"/>
              <w:snapToGrid w:val="0"/>
              <w:spacing w:before="0" w:beforeLines="0" w:after="0" w:afterLines="0"/>
              <w:ind w:firstLine="0" w:firstLineChars="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2</w:t>
            </w:r>
          </w:p>
        </w:tc>
        <w:tc>
          <w:tcPr>
            <w:tcW w:w="680" w:type="pct"/>
            <w:vMerge w:val="continue"/>
            <w:noWrap w:val="0"/>
            <w:tcMar>
              <w:top w:w="113" w:type="dxa"/>
              <w:left w:w="108" w:type="dxa"/>
              <w:bottom w:w="113" w:type="dxa"/>
              <w:right w:w="108" w:type="dxa"/>
            </w:tcMar>
            <w:vAlign w:val="center"/>
          </w:tcPr>
          <w:p w14:paraId="5F1CC973">
            <w:pPr>
              <w:adjustRightInd w:val="0"/>
              <w:snapToGrid w:val="0"/>
              <w:spacing w:before="0" w:beforeLines="0" w:after="0" w:afterLines="0"/>
              <w:ind w:firstLine="0" w:firstLineChars="0"/>
              <w:jc w:val="center"/>
              <w:rPr>
                <w:rFonts w:ascii="宋体" w:hAnsi="宋体" w:cs="Times New Roman"/>
                <w:color w:val="auto"/>
                <w:sz w:val="18"/>
                <w:szCs w:val="18"/>
                <w:highlight w:val="none"/>
              </w:rPr>
            </w:pPr>
          </w:p>
        </w:tc>
        <w:tc>
          <w:tcPr>
            <w:tcW w:w="1030" w:type="pct"/>
            <w:noWrap w:val="0"/>
            <w:tcMar>
              <w:top w:w="113" w:type="dxa"/>
              <w:left w:w="108" w:type="dxa"/>
              <w:bottom w:w="113" w:type="dxa"/>
              <w:right w:w="108" w:type="dxa"/>
            </w:tcMar>
            <w:vAlign w:val="center"/>
          </w:tcPr>
          <w:p w14:paraId="2396BFAE">
            <w:pPr>
              <w:widowControl/>
              <w:spacing w:before="0" w:beforeLines="0" w:after="0" w:afterLines="0"/>
              <w:ind w:firstLine="0" w:firstLineChars="0"/>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创建现状地形模型</w:t>
            </w:r>
          </w:p>
        </w:tc>
        <w:tc>
          <w:tcPr>
            <w:tcW w:w="2466" w:type="pct"/>
            <w:vMerge w:val="continue"/>
            <w:noWrap w:val="0"/>
            <w:tcMar>
              <w:top w:w="113" w:type="dxa"/>
              <w:left w:w="108" w:type="dxa"/>
              <w:bottom w:w="113" w:type="dxa"/>
              <w:right w:w="108" w:type="dxa"/>
            </w:tcMar>
            <w:vAlign w:val="center"/>
          </w:tcPr>
          <w:p w14:paraId="64BCE505">
            <w:pPr>
              <w:widowControl/>
              <w:spacing w:before="0" w:beforeLines="0" w:after="0" w:afterLines="0"/>
              <w:ind w:firstLine="0" w:firstLineChars="0"/>
              <w:textAlignment w:val="center"/>
              <w:rPr>
                <w:rFonts w:ascii="宋体" w:hAnsi="宋体" w:cs="宋体"/>
                <w:color w:val="auto"/>
                <w:kern w:val="0"/>
                <w:sz w:val="18"/>
                <w:szCs w:val="18"/>
                <w:highlight w:val="none"/>
                <w:lang w:bidi="ar"/>
              </w:rPr>
            </w:pPr>
          </w:p>
        </w:tc>
        <w:tc>
          <w:tcPr>
            <w:tcW w:w="397" w:type="pct"/>
            <w:noWrap w:val="0"/>
            <w:tcMar>
              <w:top w:w="113" w:type="dxa"/>
              <w:left w:w="108" w:type="dxa"/>
              <w:bottom w:w="113" w:type="dxa"/>
              <w:right w:w="108" w:type="dxa"/>
            </w:tcMar>
            <w:vAlign w:val="center"/>
          </w:tcPr>
          <w:p w14:paraId="7013EB07">
            <w:pPr>
              <w:spacing w:before="0" w:beforeLines="0" w:after="0" w:afterLines="0"/>
              <w:ind w:firstLine="0" w:firstLineChars="0"/>
              <w:jc w:val="center"/>
              <w:rPr>
                <w:rFonts w:ascii="宋体" w:hAnsi="宋体" w:cs="宋体"/>
                <w:color w:val="auto"/>
                <w:kern w:val="0"/>
                <w:sz w:val="18"/>
                <w:szCs w:val="18"/>
                <w:highlight w:val="none"/>
                <w:lang w:bidi="ar"/>
              </w:rPr>
            </w:pPr>
            <w:r>
              <w:rPr>
                <w:rFonts w:hint="eastAsia" w:ascii="宋体" w:hAnsi="宋体" w:cs="Times New Roman"/>
                <w:color w:val="auto"/>
                <w:sz w:val="18"/>
                <w:szCs w:val="18"/>
                <w:highlight w:val="none"/>
                <w:lang w:val="zh-CN"/>
              </w:rPr>
              <w:t>■</w:t>
            </w:r>
          </w:p>
        </w:tc>
      </w:tr>
      <w:tr w14:paraId="7E77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5" w:type="pct"/>
            <w:noWrap w:val="0"/>
            <w:tcMar>
              <w:top w:w="113" w:type="dxa"/>
              <w:left w:w="108" w:type="dxa"/>
              <w:bottom w:w="113" w:type="dxa"/>
              <w:right w:w="108" w:type="dxa"/>
            </w:tcMar>
            <w:vAlign w:val="center"/>
          </w:tcPr>
          <w:p w14:paraId="4FD8B35C">
            <w:pPr>
              <w:adjustRightInd w:val="0"/>
              <w:snapToGrid w:val="0"/>
              <w:spacing w:before="0" w:beforeLines="0" w:after="0" w:afterLines="0"/>
              <w:ind w:firstLine="0" w:firstLineChars="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3</w:t>
            </w:r>
          </w:p>
        </w:tc>
        <w:tc>
          <w:tcPr>
            <w:tcW w:w="680" w:type="pct"/>
            <w:vMerge w:val="continue"/>
            <w:noWrap w:val="0"/>
            <w:tcMar>
              <w:top w:w="113" w:type="dxa"/>
              <w:left w:w="108" w:type="dxa"/>
              <w:bottom w:w="113" w:type="dxa"/>
              <w:right w:w="108" w:type="dxa"/>
            </w:tcMar>
            <w:vAlign w:val="center"/>
          </w:tcPr>
          <w:p w14:paraId="026734CF">
            <w:pPr>
              <w:adjustRightInd w:val="0"/>
              <w:snapToGrid w:val="0"/>
              <w:spacing w:before="0" w:beforeLines="0" w:after="0" w:afterLines="0"/>
              <w:ind w:firstLine="0" w:firstLineChars="0"/>
              <w:jc w:val="center"/>
              <w:rPr>
                <w:rFonts w:ascii="宋体" w:hAnsi="宋体" w:cs="Times New Roman"/>
                <w:color w:val="auto"/>
                <w:sz w:val="18"/>
                <w:szCs w:val="18"/>
                <w:highlight w:val="none"/>
              </w:rPr>
            </w:pPr>
          </w:p>
        </w:tc>
        <w:tc>
          <w:tcPr>
            <w:tcW w:w="1030" w:type="pct"/>
            <w:noWrap w:val="0"/>
            <w:tcMar>
              <w:top w:w="113" w:type="dxa"/>
              <w:left w:w="108" w:type="dxa"/>
              <w:bottom w:w="113" w:type="dxa"/>
              <w:right w:w="108" w:type="dxa"/>
            </w:tcMar>
            <w:vAlign w:val="center"/>
          </w:tcPr>
          <w:p w14:paraId="1478EC7D">
            <w:pPr>
              <w:widowControl/>
              <w:spacing w:before="0" w:beforeLines="0" w:after="0" w:afterLines="0"/>
              <w:ind w:firstLine="0" w:firstLineChars="0"/>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创建倾斜摄影测量模型</w:t>
            </w:r>
          </w:p>
        </w:tc>
        <w:tc>
          <w:tcPr>
            <w:tcW w:w="2466" w:type="pct"/>
            <w:vMerge w:val="continue"/>
            <w:noWrap w:val="0"/>
            <w:tcMar>
              <w:top w:w="113" w:type="dxa"/>
              <w:left w:w="108" w:type="dxa"/>
              <w:bottom w:w="113" w:type="dxa"/>
              <w:right w:w="108" w:type="dxa"/>
            </w:tcMar>
            <w:vAlign w:val="center"/>
          </w:tcPr>
          <w:p w14:paraId="5DABBC23">
            <w:pPr>
              <w:adjustRightInd w:val="0"/>
              <w:snapToGrid w:val="0"/>
              <w:spacing w:before="0" w:beforeLines="0" w:after="0" w:afterLines="0"/>
              <w:ind w:firstLine="0" w:firstLineChars="0"/>
              <w:rPr>
                <w:rFonts w:ascii="宋体" w:hAnsi="宋体" w:cs="Times New Roman"/>
                <w:color w:val="auto"/>
                <w:sz w:val="18"/>
                <w:szCs w:val="18"/>
                <w:highlight w:val="none"/>
              </w:rPr>
            </w:pPr>
          </w:p>
        </w:tc>
        <w:tc>
          <w:tcPr>
            <w:tcW w:w="397" w:type="pct"/>
            <w:noWrap w:val="0"/>
            <w:tcMar>
              <w:top w:w="113" w:type="dxa"/>
              <w:left w:w="108" w:type="dxa"/>
              <w:bottom w:w="113" w:type="dxa"/>
              <w:right w:w="108" w:type="dxa"/>
            </w:tcMar>
            <w:vAlign w:val="center"/>
          </w:tcPr>
          <w:p w14:paraId="05F55AB0">
            <w:pPr>
              <w:spacing w:before="0" w:beforeLines="0" w:after="0" w:afterLines="0"/>
              <w:ind w:firstLine="0" w:firstLineChars="0"/>
              <w:jc w:val="center"/>
              <w:rPr>
                <w:rFonts w:ascii="宋体" w:hAnsi="宋体" w:cs="宋体"/>
                <w:color w:val="auto"/>
                <w:kern w:val="0"/>
                <w:sz w:val="18"/>
                <w:szCs w:val="18"/>
                <w:highlight w:val="none"/>
                <w:lang w:bidi="ar"/>
              </w:rPr>
            </w:pPr>
            <w:r>
              <w:rPr>
                <w:rFonts w:hint="eastAsia" w:ascii="宋体" w:hAnsi="宋体" w:cs="Times New Roman"/>
                <w:color w:val="auto"/>
                <w:sz w:val="18"/>
                <w:szCs w:val="18"/>
                <w:highlight w:val="none"/>
                <w:lang w:val="zh-CN"/>
              </w:rPr>
              <w:t>■</w:t>
            </w:r>
          </w:p>
        </w:tc>
      </w:tr>
    </w:tbl>
    <w:p w14:paraId="57A3D72D">
      <w:pPr>
        <w:spacing w:before="0" w:beforeLines="0" w:after="0" w:afterLines="0" w:line="240" w:lineRule="auto"/>
        <w:ind w:firstLine="0" w:firstLineChars="0"/>
        <w:jc w:val="center"/>
        <w:rPr>
          <w:rFonts w:ascii="宋体" w:hAnsi="宋体" w:cs="Times New Roman"/>
          <w:color w:val="auto"/>
          <w:sz w:val="18"/>
          <w:szCs w:val="18"/>
          <w:highlight w:val="none"/>
          <w:lang w:val="zh-CN"/>
        </w:rPr>
      </w:pPr>
      <w:r>
        <w:rPr>
          <w:rFonts w:hint="eastAsia" w:ascii="宋体" w:hAnsi="宋体" w:cs="Times New Roman"/>
          <w:color w:val="auto"/>
          <w:sz w:val="18"/>
          <w:szCs w:val="18"/>
          <w:highlight w:val="none"/>
          <w:lang w:val="zh-CN"/>
        </w:rPr>
        <w:t>注</w:t>
      </w:r>
      <w:r>
        <w:rPr>
          <w:rFonts w:hint="eastAsia" w:ascii="宋体" w:hAnsi="宋体" w:cs="Times New Roman"/>
          <w:color w:val="auto"/>
          <w:sz w:val="18"/>
          <w:szCs w:val="18"/>
          <w:highlight w:val="none"/>
        </w:rPr>
        <w:t>1</w:t>
      </w:r>
      <w:r>
        <w:rPr>
          <w:rFonts w:hint="eastAsia" w:ascii="宋体" w:hAnsi="宋体" w:cs="Times New Roman"/>
          <w:color w:val="auto"/>
          <w:sz w:val="18"/>
          <w:szCs w:val="18"/>
          <w:highlight w:val="none"/>
          <w:lang w:val="zh-CN"/>
        </w:rPr>
        <w:t xml:space="preserve">：必选■ </w:t>
      </w:r>
      <w:r>
        <w:rPr>
          <w:rFonts w:ascii="宋体" w:hAnsi="宋体" w:cs="Times New Roman"/>
          <w:color w:val="auto"/>
          <w:sz w:val="18"/>
          <w:szCs w:val="18"/>
          <w:highlight w:val="none"/>
          <w:lang w:val="zh-CN"/>
        </w:rPr>
        <w:t xml:space="preserve"> </w:t>
      </w:r>
      <w:r>
        <w:rPr>
          <w:rFonts w:hint="eastAsia" w:ascii="宋体" w:hAnsi="宋体" w:cs="Times New Roman"/>
          <w:color w:val="auto"/>
          <w:sz w:val="18"/>
          <w:szCs w:val="18"/>
          <w:highlight w:val="none"/>
          <w:lang w:val="zh-CN"/>
        </w:rPr>
        <w:t>可选</w:t>
      </w:r>
      <w:r>
        <w:rPr>
          <w:rFonts w:hint="eastAsia" w:ascii="宋体" w:hAnsi="宋体" w:cs="Times New Roman"/>
          <w:color w:val="auto"/>
          <w:sz w:val="18"/>
          <w:szCs w:val="18"/>
          <w:highlight w:val="none"/>
          <w:lang w:val="zh-CN"/>
        </w:rPr>
        <w:sym w:font="Wingdings 2" w:char="00A3"/>
      </w:r>
    </w:p>
    <w:p w14:paraId="2A96510D">
      <w:pPr>
        <w:pStyle w:val="3"/>
        <w:tabs>
          <w:tab w:val="left" w:pos="0"/>
        </w:tabs>
        <w:rPr>
          <w:color w:val="auto"/>
          <w:highlight w:val="none"/>
        </w:rPr>
      </w:pPr>
      <w:bookmarkStart w:id="207" w:name="_Toc16606"/>
      <w:r>
        <w:rPr>
          <w:color w:val="auto"/>
          <w:highlight w:val="none"/>
        </w:rPr>
        <w:t>设计阶段</w:t>
      </w:r>
      <w:bookmarkEnd w:id="207"/>
    </w:p>
    <w:p w14:paraId="4ECF2F09">
      <w:pPr>
        <w:pStyle w:val="4"/>
        <w:tabs>
          <w:tab w:val="left" w:pos="0"/>
        </w:tabs>
        <w:spacing w:before="120" w:after="120"/>
        <w:rPr>
          <w:color w:val="auto"/>
          <w:highlight w:val="none"/>
        </w:rPr>
      </w:pPr>
      <w:r>
        <w:rPr>
          <w:color w:val="auto"/>
          <w:highlight w:val="none"/>
        </w:rPr>
        <w:t>设计单位接收勘察单位提供的常规勘察资料、全地形BIM模型和基础数据，接收建设单位提供的市政管网、基础设施、建设规划等资料，并进行签认。</w:t>
      </w:r>
    </w:p>
    <w:p w14:paraId="1F175D52">
      <w:pPr>
        <w:pStyle w:val="4"/>
        <w:tabs>
          <w:tab w:val="left" w:pos="0"/>
        </w:tabs>
        <w:spacing w:before="120" w:after="120"/>
        <w:rPr>
          <w:color w:val="auto"/>
          <w:highlight w:val="none"/>
        </w:rPr>
      </w:pPr>
      <w:r>
        <w:rPr>
          <w:color w:val="auto"/>
          <w:highlight w:val="none"/>
        </w:rPr>
        <w:t>设计单位应利用勘察单位勘测成果及建设单位提供的市政管网数据等进行数据处理、设计阶段全地形BIM模型创建工作。</w:t>
      </w:r>
    </w:p>
    <w:p w14:paraId="4885E535">
      <w:pPr>
        <w:pStyle w:val="4"/>
        <w:tabs>
          <w:tab w:val="left" w:pos="0"/>
        </w:tabs>
        <w:spacing w:before="120" w:after="120"/>
        <w:rPr>
          <w:color w:val="auto"/>
          <w:highlight w:val="none"/>
        </w:rPr>
      </w:pPr>
      <w:r>
        <w:rPr>
          <w:color w:val="auto"/>
          <w:highlight w:val="none"/>
        </w:rPr>
        <w:t>设计单位可采用无人机、人工量测、激光点云扫描等多种方式补充全地形测量数据，创建全地形模型。模型应统一采用广州2000坐标，模型的经纬度、标高等信息应准确，满足如土堆、树木等物体的标高、坐标、高度等几何量测需求。</w:t>
      </w:r>
    </w:p>
    <w:p w14:paraId="2BAA58D9">
      <w:pPr>
        <w:pStyle w:val="4"/>
        <w:tabs>
          <w:tab w:val="left" w:pos="0"/>
        </w:tabs>
        <w:spacing w:before="120" w:after="120"/>
        <w:rPr>
          <w:color w:val="auto"/>
          <w:highlight w:val="none"/>
        </w:rPr>
      </w:pPr>
      <w:r>
        <w:rPr>
          <w:color w:val="auto"/>
          <w:highlight w:val="none"/>
        </w:rPr>
        <w:t>设计单位可对采用无人机、人工测量、三维激光扫描等得到的全地形模型和勘察单位提供的地形模型做对比分析应用，对两个模型的数据一致性、精度等做对比验证，提升全地形数据的质量和可靠性。</w:t>
      </w:r>
    </w:p>
    <w:p w14:paraId="395FA070">
      <w:pPr>
        <w:pStyle w:val="4"/>
        <w:tabs>
          <w:tab w:val="left" w:pos="0"/>
        </w:tabs>
        <w:spacing w:before="120" w:after="120"/>
        <w:rPr>
          <w:color w:val="auto"/>
          <w:highlight w:val="none"/>
        </w:rPr>
      </w:pPr>
      <w:r>
        <w:rPr>
          <w:color w:val="auto"/>
          <w:highlight w:val="none"/>
        </w:rPr>
        <w:t>设计单位应结合全地形BIM应用要求，补充完善方案设计、初步设计、施工图设计等阶段全地形BIM模型，在各阶段BIM模型提资前提交全地形BIM模型并做好签认工作。</w:t>
      </w:r>
    </w:p>
    <w:p w14:paraId="68825170">
      <w:pPr>
        <w:pStyle w:val="4"/>
        <w:tabs>
          <w:tab w:val="left" w:pos="0"/>
        </w:tabs>
        <w:spacing w:before="120" w:after="120"/>
        <w:rPr>
          <w:color w:val="auto"/>
          <w:highlight w:val="none"/>
        </w:rPr>
      </w:pPr>
      <w:r>
        <w:rPr>
          <w:color w:val="auto"/>
          <w:highlight w:val="none"/>
        </w:rPr>
        <w:t>设计阶段全地形BIM模型应符合表7.2.6的规定。</w:t>
      </w:r>
    </w:p>
    <w:p w14:paraId="2944D8D4">
      <w:pPr>
        <w:pStyle w:val="401"/>
        <w:rPr>
          <w:color w:val="auto"/>
          <w:highlight w:val="none"/>
        </w:rPr>
      </w:pPr>
      <w:r>
        <w:rPr>
          <w:color w:val="auto"/>
          <w:highlight w:val="none"/>
        </w:rPr>
        <w:t>表7.2.6  设计阶段全地形BIM模型要求</w:t>
      </w:r>
    </w:p>
    <w:tbl>
      <w:tblPr>
        <w:tblStyle w:val="58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1305"/>
        <w:gridCol w:w="5422"/>
      </w:tblGrid>
      <w:tr w14:paraId="53DF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54" w:type="pct"/>
            <w:noWrap w:val="0"/>
            <w:tcMar>
              <w:top w:w="113" w:type="dxa"/>
              <w:left w:w="108" w:type="dxa"/>
              <w:bottom w:w="113" w:type="dxa"/>
              <w:right w:w="108" w:type="dxa"/>
            </w:tcMar>
            <w:vAlign w:val="center"/>
          </w:tcPr>
          <w:p w14:paraId="1684B01D">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模型单元</w:t>
            </w:r>
          </w:p>
        </w:tc>
        <w:tc>
          <w:tcPr>
            <w:tcW w:w="765" w:type="pct"/>
            <w:noWrap w:val="0"/>
            <w:tcMar>
              <w:top w:w="113" w:type="dxa"/>
              <w:left w:w="108" w:type="dxa"/>
              <w:bottom w:w="113" w:type="dxa"/>
              <w:right w:w="108" w:type="dxa"/>
            </w:tcMar>
            <w:vAlign w:val="center"/>
          </w:tcPr>
          <w:p w14:paraId="713A7190">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表达精度</w:t>
            </w:r>
          </w:p>
        </w:tc>
        <w:tc>
          <w:tcPr>
            <w:tcW w:w="3179" w:type="pct"/>
            <w:noWrap w:val="0"/>
            <w:tcMar>
              <w:top w:w="113" w:type="dxa"/>
              <w:left w:w="108" w:type="dxa"/>
              <w:bottom w:w="113" w:type="dxa"/>
              <w:right w:w="108" w:type="dxa"/>
            </w:tcMar>
            <w:vAlign w:val="center"/>
          </w:tcPr>
          <w:p w14:paraId="03F05BE7">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具体要求</w:t>
            </w:r>
          </w:p>
        </w:tc>
      </w:tr>
      <w:tr w14:paraId="4989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54" w:type="pct"/>
            <w:noWrap w:val="0"/>
            <w:tcMar>
              <w:top w:w="113" w:type="dxa"/>
              <w:left w:w="108" w:type="dxa"/>
              <w:bottom w:w="113" w:type="dxa"/>
              <w:right w:w="108" w:type="dxa"/>
            </w:tcMar>
            <w:vAlign w:val="center"/>
          </w:tcPr>
          <w:p w14:paraId="53A683B3">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三维地质模型</w:t>
            </w:r>
          </w:p>
        </w:tc>
        <w:tc>
          <w:tcPr>
            <w:tcW w:w="765" w:type="pct"/>
            <w:noWrap w:val="0"/>
            <w:tcMar>
              <w:top w:w="113" w:type="dxa"/>
              <w:left w:w="108" w:type="dxa"/>
              <w:bottom w:w="113" w:type="dxa"/>
              <w:right w:w="108" w:type="dxa"/>
            </w:tcMar>
            <w:vAlign w:val="center"/>
          </w:tcPr>
          <w:p w14:paraId="4B6D312F">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LOD300</w:t>
            </w:r>
          </w:p>
        </w:tc>
        <w:tc>
          <w:tcPr>
            <w:tcW w:w="3179" w:type="pct"/>
            <w:noWrap w:val="0"/>
            <w:tcMar>
              <w:top w:w="113" w:type="dxa"/>
              <w:left w:w="108" w:type="dxa"/>
              <w:bottom w:w="113" w:type="dxa"/>
              <w:right w:w="108" w:type="dxa"/>
            </w:tcMar>
            <w:vAlign w:val="center"/>
          </w:tcPr>
          <w:p w14:paraId="23EB7940">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模型坐标系与项目坐标系一致，准确反映地勘及超前钻等地质勘探信息.</w:t>
            </w:r>
          </w:p>
        </w:tc>
      </w:tr>
      <w:tr w14:paraId="21E8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54" w:type="pct"/>
            <w:noWrap w:val="0"/>
            <w:tcMar>
              <w:top w:w="113" w:type="dxa"/>
              <w:left w:w="108" w:type="dxa"/>
              <w:bottom w:w="113" w:type="dxa"/>
              <w:right w:w="108" w:type="dxa"/>
            </w:tcMar>
            <w:vAlign w:val="center"/>
          </w:tcPr>
          <w:p w14:paraId="7DFF85D3">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三维地形模型</w:t>
            </w:r>
          </w:p>
        </w:tc>
        <w:tc>
          <w:tcPr>
            <w:tcW w:w="765" w:type="pct"/>
            <w:noWrap w:val="0"/>
            <w:tcMar>
              <w:top w:w="113" w:type="dxa"/>
              <w:left w:w="108" w:type="dxa"/>
              <w:bottom w:w="113" w:type="dxa"/>
              <w:right w:w="108" w:type="dxa"/>
            </w:tcMar>
            <w:vAlign w:val="center"/>
          </w:tcPr>
          <w:p w14:paraId="04B66E6C">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LOD300</w:t>
            </w:r>
          </w:p>
        </w:tc>
        <w:tc>
          <w:tcPr>
            <w:tcW w:w="3179" w:type="pct"/>
            <w:noWrap w:val="0"/>
            <w:tcMar>
              <w:top w:w="113" w:type="dxa"/>
              <w:left w:w="108" w:type="dxa"/>
              <w:bottom w:w="113" w:type="dxa"/>
              <w:right w:w="108" w:type="dxa"/>
            </w:tcMar>
            <w:vAlign w:val="center"/>
          </w:tcPr>
          <w:p w14:paraId="0E5B9D46">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模型坐标系与项目坐标系一致，准确表达现状地形信息，地形模型建模精度应不低于5cm。</w:t>
            </w:r>
          </w:p>
        </w:tc>
      </w:tr>
      <w:tr w14:paraId="15B2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54" w:type="pct"/>
            <w:noWrap w:val="0"/>
            <w:tcMar>
              <w:top w:w="113" w:type="dxa"/>
              <w:left w:w="108" w:type="dxa"/>
              <w:bottom w:w="113" w:type="dxa"/>
              <w:right w:w="108" w:type="dxa"/>
            </w:tcMar>
            <w:vAlign w:val="center"/>
          </w:tcPr>
          <w:p w14:paraId="021957B8">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倾斜摄影测量模型</w:t>
            </w:r>
          </w:p>
        </w:tc>
        <w:tc>
          <w:tcPr>
            <w:tcW w:w="765" w:type="pct"/>
            <w:noWrap w:val="0"/>
            <w:tcMar>
              <w:top w:w="113" w:type="dxa"/>
              <w:left w:w="108" w:type="dxa"/>
              <w:bottom w:w="113" w:type="dxa"/>
              <w:right w:w="108" w:type="dxa"/>
            </w:tcMar>
            <w:vAlign w:val="center"/>
          </w:tcPr>
          <w:p w14:paraId="4902EDB2">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LOD300</w:t>
            </w:r>
          </w:p>
        </w:tc>
        <w:tc>
          <w:tcPr>
            <w:tcW w:w="3179" w:type="pct"/>
            <w:noWrap w:val="0"/>
            <w:tcMar>
              <w:top w:w="113" w:type="dxa"/>
              <w:left w:w="108" w:type="dxa"/>
              <w:bottom w:w="113" w:type="dxa"/>
              <w:right w:w="108" w:type="dxa"/>
            </w:tcMar>
            <w:vAlign w:val="center"/>
          </w:tcPr>
          <w:p w14:paraId="05133CCD">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ascii="宋体" w:hAnsi="宋体" w:cs="Times New Roman"/>
                <w:color w:val="auto"/>
                <w:sz w:val="18"/>
                <w:highlight w:val="none"/>
              </w:rPr>
              <w:t>倾斜摄影地貌模型</w:t>
            </w:r>
            <w:r>
              <w:rPr>
                <w:rFonts w:hint="eastAsia" w:ascii="宋体" w:hAnsi="宋体" w:cs="Times New Roman"/>
                <w:color w:val="auto"/>
                <w:sz w:val="18"/>
                <w:highlight w:val="none"/>
              </w:rPr>
              <w:t>应准确表达场地现状，模型相对精度</w:t>
            </w:r>
            <w:r>
              <w:rPr>
                <w:rFonts w:ascii="宋体" w:hAnsi="宋体" w:cs="Times New Roman"/>
                <w:color w:val="auto"/>
                <w:sz w:val="18"/>
                <w:highlight w:val="none"/>
              </w:rPr>
              <w:t>应</w:t>
            </w:r>
            <w:r>
              <w:rPr>
                <w:rFonts w:hint="eastAsia" w:ascii="宋体" w:hAnsi="宋体" w:cs="Times New Roman"/>
                <w:color w:val="auto"/>
                <w:sz w:val="18"/>
                <w:highlight w:val="none"/>
              </w:rPr>
              <w:t>不低于4</w:t>
            </w:r>
            <w:r>
              <w:rPr>
                <w:rFonts w:ascii="宋体" w:hAnsi="宋体" w:cs="Times New Roman"/>
                <w:color w:val="auto"/>
                <w:sz w:val="18"/>
                <w:highlight w:val="none"/>
              </w:rPr>
              <w:t>cm，</w:t>
            </w:r>
            <w:r>
              <w:rPr>
                <w:rFonts w:hint="eastAsia" w:ascii="宋体" w:hAnsi="宋体" w:cs="Times New Roman"/>
                <w:color w:val="auto"/>
                <w:sz w:val="18"/>
                <w:highlight w:val="none"/>
              </w:rPr>
              <w:t>绝对精度不低于8</w:t>
            </w:r>
            <w:r>
              <w:rPr>
                <w:rFonts w:ascii="宋体" w:hAnsi="宋体" w:cs="Times New Roman"/>
                <w:color w:val="auto"/>
                <w:sz w:val="18"/>
                <w:highlight w:val="none"/>
              </w:rPr>
              <w:t>cm，坐标系与高程应与项目统一。</w:t>
            </w:r>
          </w:p>
        </w:tc>
      </w:tr>
      <w:tr w14:paraId="1425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54" w:type="pct"/>
            <w:noWrap w:val="0"/>
            <w:tcMar>
              <w:top w:w="113" w:type="dxa"/>
              <w:left w:w="108" w:type="dxa"/>
              <w:bottom w:w="113" w:type="dxa"/>
              <w:right w:w="108" w:type="dxa"/>
            </w:tcMar>
            <w:vAlign w:val="center"/>
          </w:tcPr>
          <w:p w14:paraId="31A8486B">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设计BIM模型</w:t>
            </w:r>
          </w:p>
        </w:tc>
        <w:tc>
          <w:tcPr>
            <w:tcW w:w="765" w:type="pct"/>
            <w:noWrap w:val="0"/>
            <w:tcMar>
              <w:top w:w="113" w:type="dxa"/>
              <w:left w:w="108" w:type="dxa"/>
              <w:bottom w:w="113" w:type="dxa"/>
              <w:right w:w="108" w:type="dxa"/>
            </w:tcMar>
            <w:vAlign w:val="center"/>
          </w:tcPr>
          <w:p w14:paraId="2F52723D">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LOD300</w:t>
            </w:r>
          </w:p>
        </w:tc>
        <w:tc>
          <w:tcPr>
            <w:tcW w:w="3179" w:type="pct"/>
            <w:noWrap w:val="0"/>
            <w:tcMar>
              <w:top w:w="113" w:type="dxa"/>
              <w:left w:w="108" w:type="dxa"/>
              <w:bottom w:w="113" w:type="dxa"/>
              <w:right w:w="108" w:type="dxa"/>
            </w:tcMar>
            <w:vAlign w:val="center"/>
          </w:tcPr>
          <w:p w14:paraId="14139D92">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模型坐标系与项目坐标系一致。</w:t>
            </w:r>
            <w:r>
              <w:rPr>
                <w:rFonts w:ascii="宋体" w:hAnsi="宋体" w:cs="Times New Roman"/>
                <w:color w:val="auto"/>
                <w:sz w:val="18"/>
                <w:highlight w:val="none"/>
              </w:rPr>
              <w:t>总平面模型，模型应包含总平面出入口、广场、道路、景观、停车位等构件，构件精度满足施工图设计深度要求。场地模型应在剖切视图或三维视图中显示与现状地形的高差关系。</w:t>
            </w:r>
            <w:r>
              <w:rPr>
                <w:rFonts w:hint="eastAsia" w:ascii="宋体" w:hAnsi="宋体" w:cs="Times New Roman"/>
                <w:color w:val="auto"/>
                <w:sz w:val="18"/>
                <w:highlight w:val="none"/>
              </w:rPr>
              <w:t>设计BIM模型应满足对应建模标准要求。</w:t>
            </w:r>
          </w:p>
        </w:tc>
      </w:tr>
      <w:tr w14:paraId="1416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54" w:type="pct"/>
            <w:noWrap w:val="0"/>
            <w:tcMar>
              <w:top w:w="113" w:type="dxa"/>
              <w:left w:w="108" w:type="dxa"/>
              <w:bottom w:w="113" w:type="dxa"/>
              <w:right w:w="108" w:type="dxa"/>
            </w:tcMar>
            <w:vAlign w:val="center"/>
          </w:tcPr>
          <w:p w14:paraId="01A168A2">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既有环境BIM模型</w:t>
            </w:r>
          </w:p>
        </w:tc>
        <w:tc>
          <w:tcPr>
            <w:tcW w:w="765" w:type="pct"/>
            <w:noWrap w:val="0"/>
            <w:tcMar>
              <w:top w:w="113" w:type="dxa"/>
              <w:left w:w="108" w:type="dxa"/>
              <w:bottom w:w="113" w:type="dxa"/>
              <w:right w:w="108" w:type="dxa"/>
            </w:tcMar>
            <w:vAlign w:val="center"/>
          </w:tcPr>
          <w:p w14:paraId="1E9857E8">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LOD300</w:t>
            </w:r>
          </w:p>
        </w:tc>
        <w:tc>
          <w:tcPr>
            <w:tcW w:w="3179" w:type="pct"/>
            <w:noWrap w:val="0"/>
            <w:tcMar>
              <w:top w:w="113" w:type="dxa"/>
              <w:left w:w="108" w:type="dxa"/>
              <w:bottom w:w="113" w:type="dxa"/>
              <w:right w:w="108" w:type="dxa"/>
            </w:tcMar>
            <w:vAlign w:val="center"/>
          </w:tcPr>
          <w:p w14:paraId="2C8978D4">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模型坐标系与项目坐标系一致，模型应包含现状地形、现有道路、场地范围周边标志性建构筑物、周边市政管网、地下构筑物等内容。模型宜与卫星图像、航拍图相结合，准确表达不同用地及现状建构筑物、道路等内容。</w:t>
            </w:r>
          </w:p>
        </w:tc>
      </w:tr>
    </w:tbl>
    <w:p w14:paraId="2C5BD536">
      <w:pPr>
        <w:pStyle w:val="4"/>
        <w:tabs>
          <w:tab w:val="left" w:pos="0"/>
        </w:tabs>
        <w:spacing w:before="120" w:after="120"/>
        <w:rPr>
          <w:color w:val="auto"/>
          <w:highlight w:val="none"/>
        </w:rPr>
      </w:pPr>
      <w:r>
        <w:rPr>
          <w:color w:val="auto"/>
          <w:highlight w:val="none"/>
        </w:rPr>
        <w:t>设计单位应用全地形BIM模型的项目应符合表7.2.7的要求。</w:t>
      </w:r>
    </w:p>
    <w:p w14:paraId="0F3DF949">
      <w:pPr>
        <w:pStyle w:val="401"/>
        <w:rPr>
          <w:color w:val="auto"/>
          <w:highlight w:val="none"/>
        </w:rPr>
      </w:pPr>
      <w:r>
        <w:rPr>
          <w:color w:val="auto"/>
          <w:highlight w:val="none"/>
        </w:rPr>
        <w:t>表7.2.7  设计阶段全地形BIM应用项目及控制表</w:t>
      </w:r>
    </w:p>
    <w:tbl>
      <w:tblPr>
        <w:tblStyle w:val="5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398"/>
        <w:gridCol w:w="1681"/>
        <w:gridCol w:w="4128"/>
        <w:gridCol w:w="667"/>
      </w:tblGrid>
      <w:tr w14:paraId="4D85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noWrap w:val="0"/>
            <w:tcMar>
              <w:top w:w="113" w:type="dxa"/>
              <w:left w:w="108" w:type="dxa"/>
              <w:bottom w:w="113" w:type="dxa"/>
              <w:right w:w="108" w:type="dxa"/>
            </w:tcMar>
            <w:vAlign w:val="center"/>
          </w:tcPr>
          <w:p w14:paraId="06B52A1E">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序号</w:t>
            </w:r>
          </w:p>
        </w:tc>
        <w:tc>
          <w:tcPr>
            <w:tcW w:w="820" w:type="pct"/>
            <w:noWrap w:val="0"/>
            <w:tcMar>
              <w:top w:w="113" w:type="dxa"/>
              <w:left w:w="108" w:type="dxa"/>
              <w:bottom w:w="113" w:type="dxa"/>
              <w:right w:w="108" w:type="dxa"/>
            </w:tcMar>
            <w:vAlign w:val="center"/>
          </w:tcPr>
          <w:p w14:paraId="0B6859B1">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应用类别</w:t>
            </w:r>
          </w:p>
        </w:tc>
        <w:tc>
          <w:tcPr>
            <w:tcW w:w="986" w:type="pct"/>
            <w:noWrap w:val="0"/>
            <w:tcMar>
              <w:top w:w="113" w:type="dxa"/>
              <w:left w:w="108" w:type="dxa"/>
              <w:bottom w:w="113" w:type="dxa"/>
              <w:right w:w="108" w:type="dxa"/>
            </w:tcMar>
            <w:vAlign w:val="center"/>
          </w:tcPr>
          <w:p w14:paraId="6999B3BF">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应用点</w:t>
            </w:r>
          </w:p>
        </w:tc>
        <w:tc>
          <w:tcPr>
            <w:tcW w:w="2421" w:type="pct"/>
            <w:noWrap w:val="0"/>
            <w:tcMar>
              <w:top w:w="113" w:type="dxa"/>
              <w:left w:w="108" w:type="dxa"/>
              <w:bottom w:w="113" w:type="dxa"/>
              <w:right w:w="108" w:type="dxa"/>
            </w:tcMar>
            <w:vAlign w:val="center"/>
          </w:tcPr>
          <w:p w14:paraId="1CE39842">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应用要求</w:t>
            </w:r>
          </w:p>
        </w:tc>
        <w:tc>
          <w:tcPr>
            <w:tcW w:w="391" w:type="pct"/>
            <w:noWrap w:val="0"/>
            <w:tcMar>
              <w:top w:w="113" w:type="dxa"/>
              <w:left w:w="108" w:type="dxa"/>
              <w:bottom w:w="113" w:type="dxa"/>
              <w:right w:w="108" w:type="dxa"/>
            </w:tcMar>
            <w:vAlign w:val="center"/>
          </w:tcPr>
          <w:p w14:paraId="2F7F5130">
            <w:pPr>
              <w:adjustRightInd w:val="0"/>
              <w:snapToGrid w:val="0"/>
              <w:spacing w:before="0" w:beforeLines="0" w:after="0" w:afterLines="0" w:line="288" w:lineRule="auto"/>
              <w:ind w:firstLine="0" w:firstLineChars="0"/>
              <w:jc w:val="center"/>
              <w:rPr>
                <w:rFonts w:ascii="宋体" w:hAnsi="宋体" w:cs="Times New Roman"/>
                <w:b/>
                <w:bCs/>
                <w:color w:val="auto"/>
                <w:sz w:val="18"/>
                <w:szCs w:val="21"/>
                <w:highlight w:val="none"/>
              </w:rPr>
            </w:pPr>
            <w:r>
              <w:rPr>
                <w:rFonts w:hint="eastAsia" w:ascii="宋体" w:hAnsi="宋体" w:cs="Times New Roman"/>
                <w:b/>
                <w:bCs/>
                <w:color w:val="auto"/>
                <w:sz w:val="18"/>
                <w:highlight w:val="none"/>
              </w:rPr>
              <w:t>选用情况</w:t>
            </w:r>
          </w:p>
        </w:tc>
      </w:tr>
      <w:tr w14:paraId="771D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noWrap w:val="0"/>
            <w:tcMar>
              <w:top w:w="113" w:type="dxa"/>
              <w:left w:w="108" w:type="dxa"/>
              <w:bottom w:w="113" w:type="dxa"/>
              <w:right w:w="108" w:type="dxa"/>
            </w:tcMar>
            <w:vAlign w:val="center"/>
          </w:tcPr>
          <w:p w14:paraId="6B4A8139">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1</w:t>
            </w:r>
          </w:p>
        </w:tc>
        <w:tc>
          <w:tcPr>
            <w:tcW w:w="820" w:type="pct"/>
            <w:vMerge w:val="restart"/>
            <w:noWrap w:val="0"/>
            <w:tcMar>
              <w:top w:w="113" w:type="dxa"/>
              <w:left w:w="108" w:type="dxa"/>
              <w:bottom w:w="113" w:type="dxa"/>
              <w:right w:w="108" w:type="dxa"/>
            </w:tcMar>
            <w:vAlign w:val="center"/>
          </w:tcPr>
          <w:p w14:paraId="4CFE5A83">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数据底座</w:t>
            </w:r>
          </w:p>
        </w:tc>
        <w:tc>
          <w:tcPr>
            <w:tcW w:w="986" w:type="pct"/>
            <w:noWrap w:val="0"/>
            <w:tcMar>
              <w:top w:w="113" w:type="dxa"/>
              <w:left w:w="108" w:type="dxa"/>
              <w:bottom w:w="113" w:type="dxa"/>
              <w:right w:w="108" w:type="dxa"/>
            </w:tcMar>
            <w:vAlign w:val="center"/>
          </w:tcPr>
          <w:p w14:paraId="5E53546D">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创建设计BIM模型</w:t>
            </w:r>
          </w:p>
        </w:tc>
        <w:tc>
          <w:tcPr>
            <w:tcW w:w="2421" w:type="pct"/>
            <w:noWrap w:val="0"/>
            <w:tcMar>
              <w:top w:w="113" w:type="dxa"/>
              <w:left w:w="108" w:type="dxa"/>
              <w:bottom w:w="113" w:type="dxa"/>
              <w:right w:w="108" w:type="dxa"/>
            </w:tcMar>
            <w:vAlign w:val="center"/>
          </w:tcPr>
          <w:p w14:paraId="36FD260C">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方案设计模型、初步设计模型、施工图BIM模型、总平面模型等。</w:t>
            </w:r>
          </w:p>
        </w:tc>
        <w:tc>
          <w:tcPr>
            <w:tcW w:w="391" w:type="pct"/>
            <w:noWrap w:val="0"/>
            <w:tcMar>
              <w:top w:w="113" w:type="dxa"/>
              <w:left w:w="108" w:type="dxa"/>
              <w:bottom w:w="113" w:type="dxa"/>
              <w:right w:w="108" w:type="dxa"/>
            </w:tcMar>
            <w:vAlign w:val="center"/>
          </w:tcPr>
          <w:p w14:paraId="473C86C3">
            <w:pPr>
              <w:spacing w:before="0" w:beforeLines="0" w:after="0" w:afterLines="0"/>
              <w:ind w:firstLine="0" w:firstLineChars="0"/>
              <w:jc w:val="center"/>
              <w:rPr>
                <w:rFonts w:ascii="宋体" w:hAnsi="宋体" w:cs="宋体"/>
                <w:color w:val="auto"/>
                <w:kern w:val="0"/>
                <w:szCs w:val="21"/>
                <w:highlight w:val="none"/>
                <w:lang w:bidi="ar"/>
              </w:rPr>
            </w:pPr>
            <w:r>
              <w:rPr>
                <w:rFonts w:hint="eastAsia" w:ascii="宋体" w:hAnsi="宋体" w:cs="Times New Roman"/>
                <w:color w:val="auto"/>
                <w:szCs w:val="21"/>
                <w:highlight w:val="none"/>
                <w:lang w:val="zh-CN"/>
              </w:rPr>
              <w:t>■</w:t>
            </w:r>
          </w:p>
        </w:tc>
      </w:tr>
      <w:tr w14:paraId="504D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noWrap w:val="0"/>
            <w:tcMar>
              <w:top w:w="113" w:type="dxa"/>
              <w:left w:w="108" w:type="dxa"/>
              <w:bottom w:w="113" w:type="dxa"/>
              <w:right w:w="108" w:type="dxa"/>
            </w:tcMar>
            <w:vAlign w:val="center"/>
          </w:tcPr>
          <w:p w14:paraId="3A919C21">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2</w:t>
            </w:r>
          </w:p>
        </w:tc>
        <w:tc>
          <w:tcPr>
            <w:tcW w:w="820" w:type="pct"/>
            <w:vMerge w:val="continue"/>
            <w:noWrap w:val="0"/>
            <w:tcMar>
              <w:top w:w="113" w:type="dxa"/>
              <w:left w:w="108" w:type="dxa"/>
              <w:bottom w:w="113" w:type="dxa"/>
              <w:right w:w="108" w:type="dxa"/>
            </w:tcMar>
            <w:vAlign w:val="center"/>
          </w:tcPr>
          <w:p w14:paraId="08D5B92C">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p>
        </w:tc>
        <w:tc>
          <w:tcPr>
            <w:tcW w:w="986" w:type="pct"/>
            <w:noWrap w:val="0"/>
            <w:tcMar>
              <w:top w:w="113" w:type="dxa"/>
              <w:left w:w="108" w:type="dxa"/>
              <w:bottom w:w="113" w:type="dxa"/>
              <w:right w:w="108" w:type="dxa"/>
            </w:tcMar>
            <w:vAlign w:val="center"/>
          </w:tcPr>
          <w:p w14:paraId="46EE4A88">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创建既有环境BIM模型</w:t>
            </w:r>
          </w:p>
        </w:tc>
        <w:tc>
          <w:tcPr>
            <w:tcW w:w="2421" w:type="pct"/>
            <w:noWrap w:val="0"/>
            <w:tcMar>
              <w:top w:w="113" w:type="dxa"/>
              <w:left w:w="108" w:type="dxa"/>
              <w:bottom w:w="113" w:type="dxa"/>
              <w:right w:w="108" w:type="dxa"/>
            </w:tcMar>
            <w:vAlign w:val="center"/>
          </w:tcPr>
          <w:p w14:paraId="7DE7141A">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构建准确的周边地下管网、地下建构筑物及设备环境BIM模型。</w:t>
            </w:r>
          </w:p>
        </w:tc>
        <w:tc>
          <w:tcPr>
            <w:tcW w:w="391" w:type="pct"/>
            <w:noWrap w:val="0"/>
            <w:tcMar>
              <w:top w:w="113" w:type="dxa"/>
              <w:left w:w="108" w:type="dxa"/>
              <w:bottom w:w="113" w:type="dxa"/>
              <w:right w:w="108" w:type="dxa"/>
            </w:tcMar>
            <w:vAlign w:val="center"/>
          </w:tcPr>
          <w:p w14:paraId="045E2B3D">
            <w:pPr>
              <w:spacing w:before="0" w:beforeLines="0" w:after="0" w:afterLines="0"/>
              <w:ind w:firstLine="0" w:firstLineChars="0"/>
              <w:jc w:val="center"/>
              <w:rPr>
                <w:rFonts w:ascii="宋体" w:hAnsi="宋体" w:cs="宋体"/>
                <w:color w:val="auto"/>
                <w:kern w:val="0"/>
                <w:szCs w:val="21"/>
                <w:highlight w:val="none"/>
                <w:lang w:bidi="ar"/>
              </w:rPr>
            </w:pPr>
            <w:r>
              <w:rPr>
                <w:rFonts w:hint="eastAsia" w:ascii="宋体" w:hAnsi="宋体" w:cs="Times New Roman"/>
                <w:color w:val="auto"/>
                <w:szCs w:val="21"/>
                <w:highlight w:val="none"/>
                <w:lang w:val="zh-CN"/>
              </w:rPr>
              <w:t>■</w:t>
            </w:r>
          </w:p>
        </w:tc>
      </w:tr>
      <w:tr w14:paraId="6C36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noWrap w:val="0"/>
            <w:tcMar>
              <w:top w:w="113" w:type="dxa"/>
              <w:left w:w="108" w:type="dxa"/>
              <w:bottom w:w="113" w:type="dxa"/>
              <w:right w:w="108" w:type="dxa"/>
            </w:tcMar>
            <w:vAlign w:val="center"/>
          </w:tcPr>
          <w:p w14:paraId="161FF881">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3</w:t>
            </w:r>
          </w:p>
        </w:tc>
        <w:tc>
          <w:tcPr>
            <w:tcW w:w="820" w:type="pct"/>
            <w:vMerge w:val="continue"/>
            <w:noWrap w:val="0"/>
            <w:tcMar>
              <w:top w:w="113" w:type="dxa"/>
              <w:left w:w="108" w:type="dxa"/>
              <w:bottom w:w="113" w:type="dxa"/>
              <w:right w:w="108" w:type="dxa"/>
            </w:tcMar>
            <w:vAlign w:val="center"/>
          </w:tcPr>
          <w:p w14:paraId="1069DF36">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p>
        </w:tc>
        <w:tc>
          <w:tcPr>
            <w:tcW w:w="986" w:type="pct"/>
            <w:noWrap w:val="0"/>
            <w:tcMar>
              <w:top w:w="113" w:type="dxa"/>
              <w:left w:w="108" w:type="dxa"/>
              <w:bottom w:w="113" w:type="dxa"/>
              <w:right w:w="108" w:type="dxa"/>
            </w:tcMar>
            <w:vAlign w:val="center"/>
          </w:tcPr>
          <w:p w14:paraId="0AD847BA">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BIM模型合模</w:t>
            </w:r>
          </w:p>
        </w:tc>
        <w:tc>
          <w:tcPr>
            <w:tcW w:w="2421" w:type="pct"/>
            <w:noWrap w:val="0"/>
            <w:tcMar>
              <w:top w:w="113" w:type="dxa"/>
              <w:left w:w="108" w:type="dxa"/>
              <w:bottom w:w="113" w:type="dxa"/>
              <w:right w:w="108" w:type="dxa"/>
            </w:tcMar>
            <w:vAlign w:val="center"/>
          </w:tcPr>
          <w:p w14:paraId="094CCC30">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坐标系一致，保证各模型之间可以准确合模。</w:t>
            </w:r>
          </w:p>
        </w:tc>
        <w:tc>
          <w:tcPr>
            <w:tcW w:w="391" w:type="pct"/>
            <w:noWrap w:val="0"/>
            <w:tcMar>
              <w:top w:w="113" w:type="dxa"/>
              <w:left w:w="108" w:type="dxa"/>
              <w:bottom w:w="113" w:type="dxa"/>
              <w:right w:w="108" w:type="dxa"/>
            </w:tcMar>
            <w:vAlign w:val="center"/>
          </w:tcPr>
          <w:p w14:paraId="0C9F52E6">
            <w:pPr>
              <w:spacing w:before="0" w:beforeLines="0" w:after="0" w:afterLines="0"/>
              <w:ind w:firstLine="0" w:firstLineChars="0"/>
              <w:jc w:val="center"/>
              <w:rPr>
                <w:rFonts w:ascii="宋体" w:hAnsi="宋体" w:cs="宋体"/>
                <w:color w:val="auto"/>
                <w:kern w:val="0"/>
                <w:szCs w:val="21"/>
                <w:highlight w:val="none"/>
                <w:lang w:val="zh-CN" w:bidi="ar"/>
              </w:rPr>
            </w:pPr>
            <w:r>
              <w:rPr>
                <w:rFonts w:hint="eastAsia" w:ascii="宋体" w:hAnsi="宋体" w:cs="Times New Roman"/>
                <w:color w:val="auto"/>
                <w:szCs w:val="21"/>
                <w:highlight w:val="none"/>
                <w:lang w:val="zh-CN"/>
              </w:rPr>
              <w:t>■</w:t>
            </w:r>
          </w:p>
        </w:tc>
      </w:tr>
      <w:tr w14:paraId="695C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noWrap w:val="0"/>
            <w:tcMar>
              <w:top w:w="113" w:type="dxa"/>
              <w:left w:w="108" w:type="dxa"/>
              <w:bottom w:w="113" w:type="dxa"/>
              <w:right w:w="108" w:type="dxa"/>
            </w:tcMar>
            <w:vAlign w:val="center"/>
          </w:tcPr>
          <w:p w14:paraId="6C549D94">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4</w:t>
            </w:r>
          </w:p>
        </w:tc>
        <w:tc>
          <w:tcPr>
            <w:tcW w:w="820" w:type="pct"/>
            <w:vMerge w:val="restart"/>
            <w:noWrap w:val="0"/>
            <w:tcMar>
              <w:top w:w="113" w:type="dxa"/>
              <w:left w:w="108" w:type="dxa"/>
              <w:bottom w:w="113" w:type="dxa"/>
              <w:right w:w="108" w:type="dxa"/>
            </w:tcMar>
            <w:vAlign w:val="center"/>
          </w:tcPr>
          <w:p w14:paraId="4F1E6091">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全地形BIM模型</w:t>
            </w:r>
            <w:r>
              <w:rPr>
                <w:rFonts w:hint="eastAsia" w:ascii="宋体" w:hAnsi="宋体" w:cs="Times New Roman"/>
                <w:color w:val="auto"/>
                <w:sz w:val="18"/>
                <w:szCs w:val="18"/>
                <w:highlight w:val="none"/>
              </w:rPr>
              <w:t>方案设计阶段应用</w:t>
            </w:r>
          </w:p>
        </w:tc>
        <w:tc>
          <w:tcPr>
            <w:tcW w:w="986" w:type="pct"/>
            <w:noWrap w:val="0"/>
            <w:tcMar>
              <w:top w:w="113" w:type="dxa"/>
              <w:left w:w="108" w:type="dxa"/>
              <w:bottom w:w="113" w:type="dxa"/>
              <w:right w:w="108" w:type="dxa"/>
            </w:tcMar>
            <w:vAlign w:val="center"/>
          </w:tcPr>
          <w:p w14:paraId="762E5424">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不良地质分析</w:t>
            </w:r>
          </w:p>
        </w:tc>
        <w:tc>
          <w:tcPr>
            <w:tcW w:w="2421" w:type="pct"/>
            <w:noWrap w:val="0"/>
            <w:tcMar>
              <w:top w:w="113" w:type="dxa"/>
              <w:left w:w="108" w:type="dxa"/>
              <w:bottom w:w="113" w:type="dxa"/>
              <w:right w:w="108" w:type="dxa"/>
            </w:tcMar>
            <w:vAlign w:val="center"/>
          </w:tcPr>
          <w:p w14:paraId="65A01661">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分析挖填重难点，规避工程风险。</w:t>
            </w:r>
          </w:p>
        </w:tc>
        <w:tc>
          <w:tcPr>
            <w:tcW w:w="391" w:type="pct"/>
            <w:noWrap w:val="0"/>
            <w:tcMar>
              <w:top w:w="113" w:type="dxa"/>
              <w:left w:w="108" w:type="dxa"/>
              <w:bottom w:w="113" w:type="dxa"/>
              <w:right w:w="108" w:type="dxa"/>
            </w:tcMar>
            <w:vAlign w:val="center"/>
          </w:tcPr>
          <w:p w14:paraId="73CB60C7">
            <w:pPr>
              <w:widowControl/>
              <w:spacing w:before="0" w:beforeLines="0" w:after="0" w:afterLines="0"/>
              <w:ind w:firstLine="0" w:firstLineChars="0"/>
              <w:jc w:val="center"/>
              <w:textAlignment w:val="center"/>
              <w:rPr>
                <w:rFonts w:ascii="宋体" w:hAnsi="宋体" w:cs="Times New Roman"/>
                <w:color w:val="auto"/>
                <w:szCs w:val="21"/>
                <w:highlight w:val="none"/>
                <w:lang w:val="zh-CN"/>
              </w:rPr>
            </w:pPr>
            <w:r>
              <w:rPr>
                <w:rFonts w:hint="eastAsia" w:ascii="宋体" w:hAnsi="宋体" w:cs="Times New Roman"/>
                <w:color w:val="auto"/>
                <w:szCs w:val="21"/>
                <w:highlight w:val="none"/>
                <w:lang w:val="zh-CN"/>
              </w:rPr>
              <w:t>■</w:t>
            </w:r>
          </w:p>
        </w:tc>
      </w:tr>
      <w:tr w14:paraId="0FF2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noWrap w:val="0"/>
            <w:tcMar>
              <w:top w:w="113" w:type="dxa"/>
              <w:left w:w="108" w:type="dxa"/>
              <w:bottom w:w="113" w:type="dxa"/>
              <w:right w:w="108" w:type="dxa"/>
            </w:tcMar>
            <w:vAlign w:val="center"/>
          </w:tcPr>
          <w:p w14:paraId="28E6EBF7">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5</w:t>
            </w:r>
          </w:p>
        </w:tc>
        <w:tc>
          <w:tcPr>
            <w:tcW w:w="820" w:type="pct"/>
            <w:vMerge w:val="continue"/>
            <w:noWrap w:val="0"/>
            <w:tcMar>
              <w:top w:w="113" w:type="dxa"/>
              <w:left w:w="108" w:type="dxa"/>
              <w:bottom w:w="113" w:type="dxa"/>
              <w:right w:w="108" w:type="dxa"/>
            </w:tcMar>
            <w:vAlign w:val="center"/>
          </w:tcPr>
          <w:p w14:paraId="5E85CEF6">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p>
        </w:tc>
        <w:tc>
          <w:tcPr>
            <w:tcW w:w="986" w:type="pct"/>
            <w:noWrap w:val="0"/>
            <w:tcMar>
              <w:top w:w="113" w:type="dxa"/>
              <w:left w:w="108" w:type="dxa"/>
              <w:bottom w:w="113" w:type="dxa"/>
              <w:right w:w="108" w:type="dxa"/>
            </w:tcMar>
            <w:vAlign w:val="center"/>
          </w:tcPr>
          <w:p w14:paraId="02DF2C11">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交通影响分析</w:t>
            </w:r>
          </w:p>
        </w:tc>
        <w:tc>
          <w:tcPr>
            <w:tcW w:w="2421" w:type="pct"/>
            <w:noWrap w:val="0"/>
            <w:tcMar>
              <w:top w:w="113" w:type="dxa"/>
              <w:left w:w="108" w:type="dxa"/>
              <w:bottom w:w="113" w:type="dxa"/>
              <w:right w:w="108" w:type="dxa"/>
            </w:tcMar>
            <w:vAlign w:val="center"/>
          </w:tcPr>
          <w:p w14:paraId="6DC81800">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控制项目对城市交通影响，分析项目临时交通成本。</w:t>
            </w:r>
          </w:p>
        </w:tc>
        <w:tc>
          <w:tcPr>
            <w:tcW w:w="391" w:type="pct"/>
            <w:noWrap w:val="0"/>
            <w:tcMar>
              <w:top w:w="113" w:type="dxa"/>
              <w:left w:w="108" w:type="dxa"/>
              <w:bottom w:w="113" w:type="dxa"/>
              <w:right w:w="108" w:type="dxa"/>
            </w:tcMar>
            <w:vAlign w:val="center"/>
          </w:tcPr>
          <w:p w14:paraId="54EF2015">
            <w:pPr>
              <w:widowControl/>
              <w:spacing w:before="0" w:beforeLines="0" w:after="0" w:afterLines="0"/>
              <w:ind w:firstLine="0" w:firstLineChars="0"/>
              <w:jc w:val="center"/>
              <w:textAlignment w:val="center"/>
              <w:rPr>
                <w:rFonts w:ascii="宋体" w:hAnsi="宋体" w:cs="宋体"/>
                <w:color w:val="auto"/>
                <w:kern w:val="0"/>
                <w:szCs w:val="21"/>
                <w:highlight w:val="none"/>
                <w:lang w:val="zh-CN" w:bidi="ar"/>
              </w:rPr>
            </w:pPr>
            <w:r>
              <w:rPr>
                <w:rFonts w:hint="eastAsia" w:ascii="宋体" w:hAnsi="宋体" w:cs="Times New Roman"/>
                <w:color w:val="auto"/>
                <w:szCs w:val="21"/>
                <w:highlight w:val="none"/>
                <w:lang w:val="zh-CN"/>
              </w:rPr>
              <w:sym w:font="Wingdings 2" w:char="00A3"/>
            </w:r>
          </w:p>
        </w:tc>
      </w:tr>
      <w:tr w14:paraId="5A1D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noWrap w:val="0"/>
            <w:tcMar>
              <w:top w:w="113" w:type="dxa"/>
              <w:left w:w="108" w:type="dxa"/>
              <w:bottom w:w="113" w:type="dxa"/>
              <w:right w:w="108" w:type="dxa"/>
            </w:tcMar>
            <w:vAlign w:val="center"/>
          </w:tcPr>
          <w:p w14:paraId="567F7129">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6</w:t>
            </w:r>
          </w:p>
        </w:tc>
        <w:tc>
          <w:tcPr>
            <w:tcW w:w="820" w:type="pct"/>
            <w:vMerge w:val="continue"/>
            <w:noWrap w:val="0"/>
            <w:tcMar>
              <w:top w:w="113" w:type="dxa"/>
              <w:left w:w="108" w:type="dxa"/>
              <w:bottom w:w="113" w:type="dxa"/>
              <w:right w:w="108" w:type="dxa"/>
            </w:tcMar>
            <w:vAlign w:val="center"/>
          </w:tcPr>
          <w:p w14:paraId="5A9A912B">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986" w:type="pct"/>
            <w:noWrap w:val="0"/>
            <w:tcMar>
              <w:top w:w="113" w:type="dxa"/>
              <w:left w:w="108" w:type="dxa"/>
              <w:bottom w:w="113" w:type="dxa"/>
              <w:right w:w="108" w:type="dxa"/>
            </w:tcMar>
            <w:vAlign w:val="center"/>
          </w:tcPr>
          <w:p w14:paraId="7E9F25A3">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市政管道绿化迁移分析</w:t>
            </w:r>
          </w:p>
        </w:tc>
        <w:tc>
          <w:tcPr>
            <w:tcW w:w="2421" w:type="pct"/>
            <w:noWrap w:val="0"/>
            <w:tcMar>
              <w:top w:w="113" w:type="dxa"/>
              <w:left w:w="108" w:type="dxa"/>
              <w:bottom w:w="113" w:type="dxa"/>
              <w:right w:w="108" w:type="dxa"/>
            </w:tcMar>
            <w:vAlign w:val="center"/>
          </w:tcPr>
          <w:p w14:paraId="630A7D40">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控制优化市政管道、市政绿化、市政设施等的迁移成本。</w:t>
            </w:r>
          </w:p>
        </w:tc>
        <w:tc>
          <w:tcPr>
            <w:tcW w:w="391" w:type="pct"/>
            <w:noWrap w:val="0"/>
            <w:tcMar>
              <w:top w:w="113" w:type="dxa"/>
              <w:left w:w="108" w:type="dxa"/>
              <w:bottom w:w="113" w:type="dxa"/>
              <w:right w:w="108" w:type="dxa"/>
            </w:tcMar>
            <w:vAlign w:val="center"/>
          </w:tcPr>
          <w:p w14:paraId="43DDB709">
            <w:pPr>
              <w:spacing w:before="0" w:beforeLines="0" w:after="0" w:afterLines="0"/>
              <w:ind w:firstLine="0" w:firstLineChars="0"/>
              <w:jc w:val="center"/>
              <w:rPr>
                <w:rFonts w:ascii="宋体" w:hAnsi="宋体" w:cs="宋体"/>
                <w:color w:val="auto"/>
                <w:kern w:val="0"/>
                <w:szCs w:val="21"/>
                <w:highlight w:val="none"/>
                <w:lang w:val="zh-CN" w:bidi="ar"/>
              </w:rPr>
            </w:pPr>
            <w:r>
              <w:rPr>
                <w:rFonts w:hint="eastAsia" w:ascii="宋体" w:hAnsi="宋体" w:cs="Times New Roman"/>
                <w:color w:val="auto"/>
                <w:szCs w:val="21"/>
                <w:highlight w:val="none"/>
                <w:lang w:val="zh-CN"/>
              </w:rPr>
              <w:t>■</w:t>
            </w:r>
          </w:p>
        </w:tc>
      </w:tr>
      <w:tr w14:paraId="71F0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noWrap w:val="0"/>
            <w:tcMar>
              <w:top w:w="113" w:type="dxa"/>
              <w:left w:w="108" w:type="dxa"/>
              <w:bottom w:w="113" w:type="dxa"/>
              <w:right w:w="108" w:type="dxa"/>
            </w:tcMar>
            <w:vAlign w:val="center"/>
          </w:tcPr>
          <w:p w14:paraId="14BA82A6">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7</w:t>
            </w:r>
          </w:p>
        </w:tc>
        <w:tc>
          <w:tcPr>
            <w:tcW w:w="820" w:type="pct"/>
            <w:vMerge w:val="continue"/>
            <w:noWrap w:val="0"/>
            <w:tcMar>
              <w:top w:w="113" w:type="dxa"/>
              <w:left w:w="108" w:type="dxa"/>
              <w:bottom w:w="113" w:type="dxa"/>
              <w:right w:w="108" w:type="dxa"/>
            </w:tcMar>
            <w:vAlign w:val="center"/>
          </w:tcPr>
          <w:p w14:paraId="3EBF96B8">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986" w:type="pct"/>
            <w:noWrap w:val="0"/>
            <w:tcMar>
              <w:top w:w="113" w:type="dxa"/>
              <w:left w:w="108" w:type="dxa"/>
              <w:bottom w:w="113" w:type="dxa"/>
              <w:right w:w="108" w:type="dxa"/>
            </w:tcMar>
            <w:vAlign w:val="center"/>
          </w:tcPr>
          <w:p w14:paraId="5DC16C5E">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土方平衡模拟分析优化</w:t>
            </w:r>
          </w:p>
        </w:tc>
        <w:tc>
          <w:tcPr>
            <w:tcW w:w="2421" w:type="pct"/>
            <w:noWrap w:val="0"/>
            <w:tcMar>
              <w:top w:w="113" w:type="dxa"/>
              <w:left w:w="108" w:type="dxa"/>
              <w:bottom w:w="113" w:type="dxa"/>
              <w:right w:w="108" w:type="dxa"/>
            </w:tcMar>
            <w:vAlign w:val="center"/>
          </w:tcPr>
          <w:p w14:paraId="1A2C9911">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根据项目设计方案，模拟分析土方平衡方案，提供优化建议。</w:t>
            </w:r>
          </w:p>
        </w:tc>
        <w:tc>
          <w:tcPr>
            <w:tcW w:w="391" w:type="pct"/>
            <w:noWrap w:val="0"/>
            <w:tcMar>
              <w:top w:w="113" w:type="dxa"/>
              <w:left w:w="108" w:type="dxa"/>
              <w:bottom w:w="113" w:type="dxa"/>
              <w:right w:w="108" w:type="dxa"/>
            </w:tcMar>
            <w:vAlign w:val="center"/>
          </w:tcPr>
          <w:p w14:paraId="4CE979D7">
            <w:pPr>
              <w:spacing w:before="0" w:beforeLines="0" w:after="0" w:afterLines="0"/>
              <w:ind w:firstLine="0" w:firstLineChars="0"/>
              <w:jc w:val="center"/>
              <w:rPr>
                <w:rFonts w:ascii="宋体" w:hAnsi="宋体" w:cs="宋体"/>
                <w:color w:val="auto"/>
                <w:kern w:val="0"/>
                <w:szCs w:val="21"/>
                <w:highlight w:val="none"/>
                <w:lang w:val="zh-CN" w:bidi="ar"/>
              </w:rPr>
            </w:pPr>
            <w:r>
              <w:rPr>
                <w:rFonts w:hint="eastAsia" w:ascii="宋体" w:hAnsi="宋体" w:cs="Times New Roman"/>
                <w:color w:val="auto"/>
                <w:szCs w:val="21"/>
                <w:highlight w:val="none"/>
                <w:lang w:val="zh-CN"/>
              </w:rPr>
              <w:t>■</w:t>
            </w:r>
          </w:p>
        </w:tc>
      </w:tr>
      <w:tr w14:paraId="5606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noWrap w:val="0"/>
            <w:tcMar>
              <w:top w:w="113" w:type="dxa"/>
              <w:left w:w="108" w:type="dxa"/>
              <w:bottom w:w="113" w:type="dxa"/>
              <w:right w:w="108" w:type="dxa"/>
            </w:tcMar>
            <w:vAlign w:val="center"/>
          </w:tcPr>
          <w:p w14:paraId="55EF872E">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8</w:t>
            </w:r>
          </w:p>
        </w:tc>
        <w:tc>
          <w:tcPr>
            <w:tcW w:w="820" w:type="pct"/>
            <w:vMerge w:val="continue"/>
            <w:noWrap w:val="0"/>
            <w:tcMar>
              <w:top w:w="113" w:type="dxa"/>
              <w:left w:w="108" w:type="dxa"/>
              <w:bottom w:w="113" w:type="dxa"/>
              <w:right w:w="108" w:type="dxa"/>
            </w:tcMar>
            <w:vAlign w:val="center"/>
          </w:tcPr>
          <w:p w14:paraId="07AAE85F">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986" w:type="pct"/>
            <w:noWrap w:val="0"/>
            <w:tcMar>
              <w:top w:w="113" w:type="dxa"/>
              <w:left w:w="108" w:type="dxa"/>
              <w:bottom w:w="113" w:type="dxa"/>
              <w:right w:w="108" w:type="dxa"/>
            </w:tcMar>
            <w:vAlign w:val="center"/>
          </w:tcPr>
          <w:p w14:paraId="43CE29A2">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土方运输存放方案模拟</w:t>
            </w:r>
          </w:p>
        </w:tc>
        <w:tc>
          <w:tcPr>
            <w:tcW w:w="2421" w:type="pct"/>
            <w:noWrap w:val="0"/>
            <w:tcMar>
              <w:top w:w="113" w:type="dxa"/>
              <w:left w:w="108" w:type="dxa"/>
              <w:bottom w:w="113" w:type="dxa"/>
              <w:right w:w="108" w:type="dxa"/>
            </w:tcMar>
            <w:vAlign w:val="center"/>
          </w:tcPr>
          <w:p w14:paraId="2F399D0E">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结合土方运输单价，根据模拟结果编制土方运输存放优化方案，减少成本。</w:t>
            </w:r>
          </w:p>
        </w:tc>
        <w:tc>
          <w:tcPr>
            <w:tcW w:w="391" w:type="pct"/>
            <w:noWrap w:val="0"/>
            <w:tcMar>
              <w:top w:w="113" w:type="dxa"/>
              <w:left w:w="108" w:type="dxa"/>
              <w:bottom w:w="113" w:type="dxa"/>
              <w:right w:w="108" w:type="dxa"/>
            </w:tcMar>
            <w:vAlign w:val="center"/>
          </w:tcPr>
          <w:p w14:paraId="33D78C71">
            <w:pPr>
              <w:spacing w:before="0" w:beforeLines="0" w:after="0" w:afterLines="0"/>
              <w:ind w:firstLine="0" w:firstLineChars="0"/>
              <w:jc w:val="center"/>
              <w:rPr>
                <w:rFonts w:ascii="宋体" w:hAnsi="宋体" w:cs="Times New Roman"/>
                <w:color w:val="auto"/>
                <w:szCs w:val="21"/>
                <w:highlight w:val="none"/>
                <w:lang w:val="zh-CN"/>
              </w:rPr>
            </w:pPr>
            <w:r>
              <w:rPr>
                <w:rFonts w:hint="eastAsia" w:ascii="宋体" w:hAnsi="宋体" w:cs="Times New Roman"/>
                <w:color w:val="auto"/>
                <w:szCs w:val="21"/>
                <w:highlight w:val="none"/>
                <w:lang w:val="zh-CN"/>
              </w:rPr>
              <w:t>■</w:t>
            </w:r>
          </w:p>
        </w:tc>
      </w:tr>
      <w:tr w14:paraId="74850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noWrap w:val="0"/>
            <w:tcMar>
              <w:top w:w="113" w:type="dxa"/>
              <w:left w:w="108" w:type="dxa"/>
              <w:bottom w:w="113" w:type="dxa"/>
              <w:right w:w="108" w:type="dxa"/>
            </w:tcMar>
            <w:vAlign w:val="center"/>
          </w:tcPr>
          <w:p w14:paraId="0354D3F1">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9</w:t>
            </w:r>
          </w:p>
        </w:tc>
        <w:tc>
          <w:tcPr>
            <w:tcW w:w="820" w:type="pct"/>
            <w:vMerge w:val="continue"/>
            <w:noWrap w:val="0"/>
            <w:tcMar>
              <w:top w:w="113" w:type="dxa"/>
              <w:left w:w="108" w:type="dxa"/>
              <w:bottom w:w="113" w:type="dxa"/>
              <w:right w:w="108" w:type="dxa"/>
            </w:tcMar>
            <w:vAlign w:val="center"/>
          </w:tcPr>
          <w:p w14:paraId="391584D7">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986" w:type="pct"/>
            <w:noWrap w:val="0"/>
            <w:tcMar>
              <w:top w:w="113" w:type="dxa"/>
              <w:left w:w="108" w:type="dxa"/>
              <w:bottom w:w="113" w:type="dxa"/>
              <w:right w:w="108" w:type="dxa"/>
            </w:tcMar>
            <w:vAlign w:val="center"/>
          </w:tcPr>
          <w:p w14:paraId="1F10D77A">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无人机等模型与设计模型对比分析应用</w:t>
            </w:r>
          </w:p>
        </w:tc>
        <w:tc>
          <w:tcPr>
            <w:tcW w:w="2421" w:type="pct"/>
            <w:noWrap w:val="0"/>
            <w:tcMar>
              <w:top w:w="113" w:type="dxa"/>
              <w:left w:w="108" w:type="dxa"/>
              <w:bottom w:w="113" w:type="dxa"/>
              <w:right w:w="108" w:type="dxa"/>
            </w:tcMar>
            <w:vAlign w:val="center"/>
          </w:tcPr>
          <w:p w14:paraId="6A7B024C">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根据设计方案和设计地形模型，对比无人机等技术得到的场地原始全地形模型与设计地形模型之间的变化，重点分析土方开挖、土方回填、市政设施设备变更等内容，直观形象展示项目设计方案对场地地形的影响。</w:t>
            </w:r>
          </w:p>
        </w:tc>
        <w:tc>
          <w:tcPr>
            <w:tcW w:w="391" w:type="pct"/>
            <w:noWrap w:val="0"/>
            <w:tcMar>
              <w:top w:w="113" w:type="dxa"/>
              <w:left w:w="108" w:type="dxa"/>
              <w:bottom w:w="113" w:type="dxa"/>
              <w:right w:w="108" w:type="dxa"/>
            </w:tcMar>
            <w:vAlign w:val="center"/>
          </w:tcPr>
          <w:p w14:paraId="78535013">
            <w:pPr>
              <w:spacing w:before="0" w:beforeLines="0" w:after="0" w:afterLines="0"/>
              <w:ind w:firstLine="0" w:firstLineChars="0"/>
              <w:jc w:val="center"/>
              <w:rPr>
                <w:rFonts w:ascii="宋体" w:hAnsi="宋体" w:cs="Times New Roman"/>
                <w:color w:val="auto"/>
                <w:szCs w:val="21"/>
                <w:highlight w:val="none"/>
                <w:lang w:val="zh-CN"/>
              </w:rPr>
            </w:pPr>
            <w:r>
              <w:rPr>
                <w:rFonts w:hint="eastAsia" w:ascii="宋体" w:hAnsi="宋体" w:cs="Times New Roman"/>
                <w:color w:val="auto"/>
                <w:szCs w:val="21"/>
                <w:highlight w:val="none"/>
                <w:lang w:val="zh-CN"/>
              </w:rPr>
              <w:sym w:font="Wingdings 2" w:char="00A3"/>
            </w:r>
          </w:p>
        </w:tc>
      </w:tr>
      <w:tr w14:paraId="0FAE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noWrap w:val="0"/>
            <w:tcMar>
              <w:top w:w="113" w:type="dxa"/>
              <w:left w:w="108" w:type="dxa"/>
              <w:bottom w:w="113" w:type="dxa"/>
              <w:right w:w="108" w:type="dxa"/>
            </w:tcMar>
            <w:vAlign w:val="center"/>
          </w:tcPr>
          <w:p w14:paraId="78D62DC8">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10</w:t>
            </w:r>
          </w:p>
        </w:tc>
        <w:tc>
          <w:tcPr>
            <w:tcW w:w="820" w:type="pct"/>
            <w:vMerge w:val="continue"/>
            <w:noWrap w:val="0"/>
            <w:tcMar>
              <w:top w:w="113" w:type="dxa"/>
              <w:left w:w="108" w:type="dxa"/>
              <w:bottom w:w="113" w:type="dxa"/>
              <w:right w:w="108" w:type="dxa"/>
            </w:tcMar>
            <w:vAlign w:val="center"/>
          </w:tcPr>
          <w:p w14:paraId="00BDBD2A">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986" w:type="pct"/>
            <w:noWrap w:val="0"/>
            <w:tcMar>
              <w:top w:w="113" w:type="dxa"/>
              <w:left w:w="108" w:type="dxa"/>
              <w:bottom w:w="113" w:type="dxa"/>
              <w:right w:w="108" w:type="dxa"/>
            </w:tcMar>
            <w:vAlign w:val="center"/>
          </w:tcPr>
          <w:p w14:paraId="3B36531F">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辅助和修正专项投资估算</w:t>
            </w:r>
          </w:p>
        </w:tc>
        <w:tc>
          <w:tcPr>
            <w:tcW w:w="2421" w:type="pct"/>
            <w:noWrap w:val="0"/>
            <w:tcMar>
              <w:top w:w="113" w:type="dxa"/>
              <w:left w:w="108" w:type="dxa"/>
              <w:bottom w:w="113" w:type="dxa"/>
              <w:right w:w="108" w:type="dxa"/>
            </w:tcMar>
            <w:vAlign w:val="center"/>
          </w:tcPr>
          <w:p w14:paraId="01997996">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根据场地分析、土方设计方案确定土方专项估算和土方工程的限额目标。</w:t>
            </w:r>
          </w:p>
        </w:tc>
        <w:tc>
          <w:tcPr>
            <w:tcW w:w="391" w:type="pct"/>
            <w:noWrap w:val="0"/>
            <w:tcMar>
              <w:top w:w="113" w:type="dxa"/>
              <w:left w:w="108" w:type="dxa"/>
              <w:bottom w:w="113" w:type="dxa"/>
              <w:right w:w="108" w:type="dxa"/>
            </w:tcMar>
            <w:vAlign w:val="center"/>
          </w:tcPr>
          <w:p w14:paraId="3DD5531A">
            <w:pPr>
              <w:spacing w:before="0" w:beforeLines="0" w:after="0" w:afterLines="0"/>
              <w:ind w:firstLine="0" w:firstLineChars="0"/>
              <w:jc w:val="center"/>
              <w:rPr>
                <w:rFonts w:ascii="宋体" w:hAnsi="宋体" w:cs="Times New Roman"/>
                <w:color w:val="auto"/>
                <w:szCs w:val="21"/>
                <w:highlight w:val="none"/>
                <w:lang w:val="zh-CN"/>
              </w:rPr>
            </w:pPr>
            <w:r>
              <w:rPr>
                <w:rFonts w:hint="eastAsia" w:ascii="宋体" w:hAnsi="宋体" w:cs="Times New Roman"/>
                <w:color w:val="auto"/>
                <w:szCs w:val="21"/>
                <w:highlight w:val="none"/>
                <w:lang w:val="zh-CN"/>
              </w:rPr>
              <w:sym w:font="Wingdings 2" w:char="00A3"/>
            </w:r>
          </w:p>
        </w:tc>
      </w:tr>
      <w:tr w14:paraId="0A72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noWrap w:val="0"/>
            <w:tcMar>
              <w:top w:w="113" w:type="dxa"/>
              <w:left w:w="108" w:type="dxa"/>
              <w:bottom w:w="113" w:type="dxa"/>
              <w:right w:w="108" w:type="dxa"/>
            </w:tcMar>
            <w:vAlign w:val="center"/>
          </w:tcPr>
          <w:p w14:paraId="2B42C1B7">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11</w:t>
            </w:r>
          </w:p>
        </w:tc>
        <w:tc>
          <w:tcPr>
            <w:tcW w:w="820" w:type="pct"/>
            <w:vMerge w:val="restart"/>
            <w:noWrap w:val="0"/>
            <w:tcMar>
              <w:top w:w="113" w:type="dxa"/>
              <w:left w:w="108" w:type="dxa"/>
              <w:bottom w:w="113" w:type="dxa"/>
              <w:right w:w="108" w:type="dxa"/>
            </w:tcMar>
            <w:vAlign w:val="center"/>
          </w:tcPr>
          <w:p w14:paraId="282137A5">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全地形BIM模型初步设计阶段应用</w:t>
            </w:r>
          </w:p>
        </w:tc>
        <w:tc>
          <w:tcPr>
            <w:tcW w:w="986" w:type="pct"/>
            <w:noWrap w:val="0"/>
            <w:tcMar>
              <w:top w:w="113" w:type="dxa"/>
              <w:left w:w="108" w:type="dxa"/>
              <w:bottom w:w="113" w:type="dxa"/>
              <w:right w:w="108" w:type="dxa"/>
            </w:tcMar>
            <w:vAlign w:val="center"/>
          </w:tcPr>
          <w:p w14:paraId="2B6CF29B">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土方工程的限额设计和优化</w:t>
            </w:r>
          </w:p>
        </w:tc>
        <w:tc>
          <w:tcPr>
            <w:tcW w:w="2421" w:type="pct"/>
            <w:noWrap w:val="0"/>
            <w:tcMar>
              <w:top w:w="113" w:type="dxa"/>
              <w:left w:w="108" w:type="dxa"/>
              <w:bottom w:w="113" w:type="dxa"/>
              <w:right w:w="108" w:type="dxa"/>
            </w:tcMar>
            <w:vAlign w:val="center"/>
          </w:tcPr>
          <w:p w14:paraId="051F121C">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在限额目标控制下，通过模型提取主要工程量测算和验证土方方案的投资控制情况并及时反馈设计，确定优化方案。</w:t>
            </w:r>
          </w:p>
        </w:tc>
        <w:tc>
          <w:tcPr>
            <w:tcW w:w="391" w:type="pct"/>
            <w:noWrap w:val="0"/>
            <w:tcMar>
              <w:top w:w="113" w:type="dxa"/>
              <w:left w:w="108" w:type="dxa"/>
              <w:bottom w:w="113" w:type="dxa"/>
              <w:right w:w="108" w:type="dxa"/>
            </w:tcMar>
            <w:vAlign w:val="center"/>
          </w:tcPr>
          <w:p w14:paraId="54F7AAD4">
            <w:pPr>
              <w:spacing w:before="0" w:beforeLines="0" w:after="0" w:afterLines="0"/>
              <w:ind w:firstLine="0" w:firstLineChars="0"/>
              <w:jc w:val="center"/>
              <w:rPr>
                <w:rFonts w:ascii="宋体" w:hAnsi="宋体" w:cs="Times New Roman"/>
                <w:color w:val="auto"/>
                <w:szCs w:val="21"/>
                <w:highlight w:val="none"/>
                <w:lang w:val="zh-CN"/>
              </w:rPr>
            </w:pPr>
            <w:r>
              <w:rPr>
                <w:rFonts w:hint="eastAsia" w:ascii="宋体" w:hAnsi="宋体" w:cs="Times New Roman"/>
                <w:color w:val="auto"/>
                <w:szCs w:val="21"/>
                <w:highlight w:val="none"/>
                <w:lang w:val="zh-CN"/>
              </w:rPr>
              <w:t>■</w:t>
            </w:r>
          </w:p>
        </w:tc>
      </w:tr>
      <w:tr w14:paraId="4084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noWrap w:val="0"/>
            <w:tcMar>
              <w:top w:w="113" w:type="dxa"/>
              <w:left w:w="108" w:type="dxa"/>
              <w:bottom w:w="113" w:type="dxa"/>
              <w:right w:w="108" w:type="dxa"/>
            </w:tcMar>
            <w:vAlign w:val="center"/>
          </w:tcPr>
          <w:p w14:paraId="4E061E9C">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12</w:t>
            </w:r>
          </w:p>
        </w:tc>
        <w:tc>
          <w:tcPr>
            <w:tcW w:w="820" w:type="pct"/>
            <w:vMerge w:val="continue"/>
            <w:noWrap w:val="0"/>
            <w:tcMar>
              <w:top w:w="113" w:type="dxa"/>
              <w:left w:w="108" w:type="dxa"/>
              <w:bottom w:w="113" w:type="dxa"/>
              <w:right w:w="108" w:type="dxa"/>
            </w:tcMar>
            <w:vAlign w:val="center"/>
          </w:tcPr>
          <w:p w14:paraId="44890480">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986" w:type="pct"/>
            <w:noWrap w:val="0"/>
            <w:tcMar>
              <w:top w:w="113" w:type="dxa"/>
              <w:left w:w="108" w:type="dxa"/>
              <w:bottom w:w="113" w:type="dxa"/>
              <w:right w:w="108" w:type="dxa"/>
            </w:tcMar>
            <w:vAlign w:val="center"/>
          </w:tcPr>
          <w:p w14:paraId="1334980D">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辅助编制工程概算书</w:t>
            </w:r>
          </w:p>
        </w:tc>
        <w:tc>
          <w:tcPr>
            <w:tcW w:w="2421" w:type="pct"/>
            <w:noWrap w:val="0"/>
            <w:tcMar>
              <w:top w:w="113" w:type="dxa"/>
              <w:left w:w="108" w:type="dxa"/>
              <w:bottom w:w="113" w:type="dxa"/>
              <w:right w:w="108" w:type="dxa"/>
            </w:tcMar>
            <w:vAlign w:val="center"/>
          </w:tcPr>
          <w:p w14:paraId="71B6E500">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提供符合应用的地形数据，用于计算土方挖填量等，根据方案优化结果，在投资限额的控制下，制定工程概算指标。</w:t>
            </w:r>
          </w:p>
        </w:tc>
        <w:tc>
          <w:tcPr>
            <w:tcW w:w="391" w:type="pct"/>
            <w:noWrap w:val="0"/>
            <w:tcMar>
              <w:top w:w="113" w:type="dxa"/>
              <w:left w:w="108" w:type="dxa"/>
              <w:bottom w:w="113" w:type="dxa"/>
              <w:right w:w="108" w:type="dxa"/>
            </w:tcMar>
            <w:vAlign w:val="center"/>
          </w:tcPr>
          <w:p w14:paraId="0424A6F5">
            <w:pPr>
              <w:spacing w:before="0" w:beforeLines="0" w:after="0" w:afterLines="0"/>
              <w:ind w:firstLine="0" w:firstLineChars="0"/>
              <w:jc w:val="center"/>
              <w:rPr>
                <w:rFonts w:ascii="宋体" w:hAnsi="宋体" w:cs="Times New Roman"/>
                <w:color w:val="auto"/>
                <w:szCs w:val="21"/>
                <w:highlight w:val="none"/>
                <w:lang w:val="zh-CN"/>
              </w:rPr>
            </w:pPr>
            <w:r>
              <w:rPr>
                <w:rFonts w:hint="eastAsia" w:ascii="宋体" w:hAnsi="宋体" w:cs="Times New Roman"/>
                <w:color w:val="auto"/>
                <w:szCs w:val="21"/>
                <w:highlight w:val="none"/>
                <w:lang w:val="zh-CN"/>
              </w:rPr>
              <w:t>■</w:t>
            </w:r>
          </w:p>
        </w:tc>
      </w:tr>
      <w:tr w14:paraId="6172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1" w:type="pct"/>
            <w:noWrap w:val="0"/>
            <w:tcMar>
              <w:top w:w="113" w:type="dxa"/>
              <w:left w:w="108" w:type="dxa"/>
              <w:bottom w:w="113" w:type="dxa"/>
              <w:right w:w="108" w:type="dxa"/>
            </w:tcMar>
            <w:vAlign w:val="center"/>
          </w:tcPr>
          <w:p w14:paraId="481131FF">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13</w:t>
            </w:r>
          </w:p>
        </w:tc>
        <w:tc>
          <w:tcPr>
            <w:tcW w:w="820" w:type="pct"/>
            <w:vMerge w:val="continue"/>
            <w:noWrap w:val="0"/>
            <w:tcMar>
              <w:top w:w="113" w:type="dxa"/>
              <w:left w:w="108" w:type="dxa"/>
              <w:bottom w:w="113" w:type="dxa"/>
              <w:right w:w="108" w:type="dxa"/>
            </w:tcMar>
            <w:vAlign w:val="center"/>
          </w:tcPr>
          <w:p w14:paraId="5C2C785C">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986" w:type="pct"/>
            <w:noWrap w:val="0"/>
            <w:tcMar>
              <w:top w:w="113" w:type="dxa"/>
              <w:left w:w="108" w:type="dxa"/>
              <w:bottom w:w="113" w:type="dxa"/>
              <w:right w:w="108" w:type="dxa"/>
            </w:tcMar>
            <w:vAlign w:val="center"/>
          </w:tcPr>
          <w:p w14:paraId="505C5941">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辅助制定及复核清单招标控制价</w:t>
            </w:r>
          </w:p>
        </w:tc>
        <w:tc>
          <w:tcPr>
            <w:tcW w:w="2421" w:type="pct"/>
            <w:noWrap w:val="0"/>
            <w:tcMar>
              <w:top w:w="113" w:type="dxa"/>
              <w:left w:w="108" w:type="dxa"/>
              <w:bottom w:w="113" w:type="dxa"/>
              <w:right w:w="108" w:type="dxa"/>
            </w:tcMar>
            <w:vAlign w:val="center"/>
          </w:tcPr>
          <w:p w14:paraId="1FC3F065">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根据施工图纸和模型复核工程量，编制控制价。</w:t>
            </w:r>
          </w:p>
        </w:tc>
        <w:tc>
          <w:tcPr>
            <w:tcW w:w="391" w:type="pct"/>
            <w:noWrap w:val="0"/>
            <w:tcMar>
              <w:top w:w="113" w:type="dxa"/>
              <w:left w:w="108" w:type="dxa"/>
              <w:bottom w:w="113" w:type="dxa"/>
              <w:right w:w="108" w:type="dxa"/>
            </w:tcMar>
            <w:vAlign w:val="center"/>
          </w:tcPr>
          <w:p w14:paraId="32F394C9">
            <w:pPr>
              <w:spacing w:before="0" w:beforeLines="0" w:after="0" w:afterLines="0"/>
              <w:ind w:firstLine="0" w:firstLineChars="0"/>
              <w:jc w:val="center"/>
              <w:rPr>
                <w:rFonts w:ascii="宋体" w:hAnsi="宋体" w:cs="Times New Roman"/>
                <w:color w:val="auto"/>
                <w:szCs w:val="21"/>
                <w:highlight w:val="none"/>
                <w:lang w:val="zh-CN"/>
              </w:rPr>
            </w:pPr>
            <w:r>
              <w:rPr>
                <w:rFonts w:hint="eastAsia" w:ascii="宋体" w:hAnsi="宋体" w:cs="Times New Roman"/>
                <w:color w:val="auto"/>
                <w:szCs w:val="21"/>
                <w:highlight w:val="none"/>
                <w:lang w:val="zh-CN"/>
              </w:rPr>
              <w:sym w:font="Wingdings 2" w:char="00A3"/>
            </w:r>
          </w:p>
        </w:tc>
      </w:tr>
    </w:tbl>
    <w:p w14:paraId="29093118">
      <w:pPr>
        <w:spacing w:before="0" w:beforeLines="0" w:after="0" w:afterLines="0" w:line="240" w:lineRule="auto"/>
        <w:ind w:firstLine="0" w:firstLineChars="0"/>
        <w:jc w:val="center"/>
        <w:rPr>
          <w:rFonts w:ascii="宋体" w:hAnsi="宋体" w:cs="Times New Roman"/>
          <w:color w:val="auto"/>
          <w:sz w:val="18"/>
          <w:szCs w:val="18"/>
          <w:highlight w:val="none"/>
          <w:lang w:val="zh-CN"/>
        </w:rPr>
      </w:pPr>
      <w:r>
        <w:rPr>
          <w:rFonts w:hint="eastAsia" w:ascii="宋体" w:hAnsi="宋体" w:cs="Times New Roman"/>
          <w:color w:val="auto"/>
          <w:sz w:val="18"/>
          <w:szCs w:val="18"/>
          <w:highlight w:val="none"/>
          <w:lang w:val="zh-CN"/>
        </w:rPr>
        <w:t>注</w:t>
      </w:r>
      <w:r>
        <w:rPr>
          <w:rFonts w:hint="eastAsia" w:ascii="宋体" w:hAnsi="宋体" w:cs="Times New Roman"/>
          <w:color w:val="auto"/>
          <w:sz w:val="18"/>
          <w:szCs w:val="18"/>
          <w:highlight w:val="none"/>
        </w:rPr>
        <w:t>1</w:t>
      </w:r>
      <w:r>
        <w:rPr>
          <w:rFonts w:hint="eastAsia" w:ascii="宋体" w:hAnsi="宋体" w:cs="Times New Roman"/>
          <w:color w:val="auto"/>
          <w:sz w:val="18"/>
          <w:szCs w:val="18"/>
          <w:highlight w:val="none"/>
          <w:lang w:val="zh-CN"/>
        </w:rPr>
        <w:t xml:space="preserve">：必选■ </w:t>
      </w:r>
      <w:r>
        <w:rPr>
          <w:rFonts w:ascii="宋体" w:hAnsi="宋体" w:cs="Times New Roman"/>
          <w:color w:val="auto"/>
          <w:sz w:val="18"/>
          <w:szCs w:val="18"/>
          <w:highlight w:val="none"/>
          <w:lang w:val="zh-CN"/>
        </w:rPr>
        <w:t xml:space="preserve"> </w:t>
      </w:r>
      <w:r>
        <w:rPr>
          <w:rFonts w:hint="eastAsia" w:ascii="宋体" w:hAnsi="宋体" w:cs="Times New Roman"/>
          <w:color w:val="auto"/>
          <w:sz w:val="18"/>
          <w:szCs w:val="18"/>
          <w:highlight w:val="none"/>
          <w:lang w:val="zh-CN"/>
        </w:rPr>
        <w:t>可选</w:t>
      </w:r>
      <w:r>
        <w:rPr>
          <w:rFonts w:hint="eastAsia" w:ascii="宋体" w:hAnsi="宋体" w:cs="Times New Roman"/>
          <w:color w:val="auto"/>
          <w:sz w:val="18"/>
          <w:szCs w:val="18"/>
          <w:highlight w:val="none"/>
          <w:lang w:val="zh-CN"/>
        </w:rPr>
        <w:sym w:font="Wingdings 2" w:char="00A3"/>
      </w:r>
    </w:p>
    <w:p w14:paraId="76A5E40F">
      <w:pPr>
        <w:pStyle w:val="4"/>
        <w:tabs>
          <w:tab w:val="left" w:pos="0"/>
        </w:tabs>
        <w:spacing w:before="120" w:after="120"/>
        <w:rPr>
          <w:color w:val="auto"/>
          <w:highlight w:val="none"/>
        </w:rPr>
      </w:pPr>
      <w:r>
        <w:rPr>
          <w:color w:val="auto"/>
          <w:highlight w:val="none"/>
        </w:rPr>
        <w:t>全地形BIM应用和成果要求应在合同中进一步明确，规范履约条件。</w:t>
      </w:r>
    </w:p>
    <w:p w14:paraId="7C243A4A">
      <w:pPr>
        <w:pStyle w:val="4"/>
        <w:tabs>
          <w:tab w:val="left" w:pos="0"/>
        </w:tabs>
        <w:spacing w:before="120" w:after="120"/>
        <w:rPr>
          <w:color w:val="auto"/>
          <w:highlight w:val="none"/>
        </w:rPr>
      </w:pPr>
      <w:r>
        <w:rPr>
          <w:color w:val="auto"/>
          <w:highlight w:val="none"/>
        </w:rPr>
        <w:t>在清表前和清表后，设计单位宜根据项目场地实际情况更新全地形BIM模型数据，提交当前阶段的全地形BIM模型。</w:t>
      </w:r>
    </w:p>
    <w:p w14:paraId="168C82C1">
      <w:pPr>
        <w:pStyle w:val="4"/>
        <w:tabs>
          <w:tab w:val="left" w:pos="0"/>
        </w:tabs>
        <w:spacing w:before="120" w:after="120"/>
        <w:rPr>
          <w:color w:val="auto"/>
          <w:highlight w:val="none"/>
        </w:rPr>
      </w:pPr>
      <w:r>
        <w:rPr>
          <w:color w:val="auto"/>
          <w:highlight w:val="none"/>
        </w:rPr>
        <w:t>设计阶段宜采用全地形BIM模型进行不良地质分析、土方挖填分析、交通影响分析、市政管道绿化迁移分析、土方平衡模拟分析优化等。</w:t>
      </w:r>
    </w:p>
    <w:p w14:paraId="3126F6B9">
      <w:pPr>
        <w:pStyle w:val="4"/>
        <w:tabs>
          <w:tab w:val="left" w:pos="0"/>
        </w:tabs>
        <w:spacing w:before="120" w:after="120"/>
        <w:rPr>
          <w:color w:val="auto"/>
          <w:highlight w:val="none"/>
        </w:rPr>
      </w:pPr>
      <w:r>
        <w:rPr>
          <w:color w:val="auto"/>
          <w:highlight w:val="none"/>
        </w:rPr>
        <w:t>不良地质分析应采用三维地质模型，提取地下工程的风险因素，在模型上进行标记识别，汇总输出风险分析报告提供给结构等专业。</w:t>
      </w:r>
    </w:p>
    <w:p w14:paraId="4080D1AE">
      <w:pPr>
        <w:pStyle w:val="4"/>
        <w:tabs>
          <w:tab w:val="left" w:pos="0"/>
        </w:tabs>
        <w:spacing w:before="120" w:after="120"/>
        <w:rPr>
          <w:color w:val="auto"/>
          <w:highlight w:val="none"/>
        </w:rPr>
      </w:pPr>
      <w:r>
        <w:rPr>
          <w:color w:val="auto"/>
          <w:highlight w:val="none"/>
        </w:rPr>
        <w:t>交通影响分析应采用既有环境BIM模型，提供多方案模型进行比对分析，为工程成本估算提供参考数据。</w:t>
      </w:r>
    </w:p>
    <w:p w14:paraId="5F6B5A89">
      <w:pPr>
        <w:pStyle w:val="4"/>
        <w:tabs>
          <w:tab w:val="left" w:pos="0"/>
        </w:tabs>
        <w:spacing w:before="120" w:after="120"/>
        <w:rPr>
          <w:color w:val="auto"/>
          <w:highlight w:val="none"/>
        </w:rPr>
      </w:pPr>
      <w:r>
        <w:rPr>
          <w:color w:val="auto"/>
          <w:highlight w:val="none"/>
        </w:rPr>
        <w:t>土方平衡模拟应以建筑方案为准，协同建筑、结构，综合考虑地基基础、土石方、边坡及基坑支护、地基处理等因素确定优化的土方平衡方案。</w:t>
      </w:r>
    </w:p>
    <w:p w14:paraId="74E367AA">
      <w:pPr>
        <w:pStyle w:val="4"/>
        <w:tabs>
          <w:tab w:val="left" w:pos="0"/>
        </w:tabs>
        <w:spacing w:before="120" w:after="120"/>
        <w:rPr>
          <w:color w:val="auto"/>
          <w:highlight w:val="none"/>
        </w:rPr>
      </w:pPr>
      <w:r>
        <w:rPr>
          <w:color w:val="auto"/>
          <w:highlight w:val="none"/>
        </w:rPr>
        <w:t>在全地形BIM模型关联土方运输和倾倒单价，结合项目的弃土地位置信息，模拟计算不同土方运输方案的成本，制定土方运输存放优化方案。</w:t>
      </w:r>
    </w:p>
    <w:p w14:paraId="6D1DF95D">
      <w:pPr>
        <w:pStyle w:val="4"/>
        <w:tabs>
          <w:tab w:val="left" w:pos="0"/>
        </w:tabs>
        <w:spacing w:before="120" w:after="120"/>
        <w:rPr>
          <w:color w:val="auto"/>
          <w:highlight w:val="none"/>
        </w:rPr>
      </w:pPr>
      <w:r>
        <w:rPr>
          <w:color w:val="auto"/>
          <w:highlight w:val="none"/>
        </w:rPr>
        <w:t>宜通过全地形BIM模型分析项目场地、土方工程等，输出分部分项的量、价，与已编制的工程估算进行对比，修正不合理的数据。</w:t>
      </w:r>
    </w:p>
    <w:p w14:paraId="70E76D87">
      <w:pPr>
        <w:pStyle w:val="4"/>
        <w:tabs>
          <w:tab w:val="left" w:pos="0"/>
        </w:tabs>
        <w:spacing w:before="120" w:after="120"/>
        <w:rPr>
          <w:color w:val="auto"/>
          <w:highlight w:val="none"/>
        </w:rPr>
      </w:pPr>
      <w:r>
        <w:rPr>
          <w:color w:val="auto"/>
          <w:highlight w:val="none"/>
        </w:rPr>
        <w:t>宜采用全地形BIM模型修正的工程估算，提取土方工程的限额目标，作为初步设计的控制指标。</w:t>
      </w:r>
    </w:p>
    <w:p w14:paraId="07CDE1FC">
      <w:pPr>
        <w:pStyle w:val="4"/>
        <w:tabs>
          <w:tab w:val="left" w:pos="0"/>
        </w:tabs>
        <w:spacing w:before="120" w:after="120"/>
        <w:rPr>
          <w:color w:val="auto"/>
          <w:highlight w:val="none"/>
        </w:rPr>
      </w:pPr>
      <w:r>
        <w:rPr>
          <w:color w:val="auto"/>
          <w:highlight w:val="none"/>
        </w:rPr>
        <w:t>采用初步设计全地形BIM模型辅助编制工程概算，用于指导优化施工图设计。</w:t>
      </w:r>
    </w:p>
    <w:p w14:paraId="0DB7BAE9">
      <w:pPr>
        <w:pStyle w:val="4"/>
        <w:tabs>
          <w:tab w:val="left" w:pos="0"/>
        </w:tabs>
        <w:spacing w:before="120" w:after="120"/>
        <w:rPr>
          <w:color w:val="auto"/>
          <w:highlight w:val="none"/>
        </w:rPr>
      </w:pPr>
      <w:r>
        <w:rPr>
          <w:color w:val="auto"/>
          <w:highlight w:val="none"/>
        </w:rPr>
        <w:t>招标阶段宜综合应用全地形BIM模型和施工图纸等信息，计算工程量，辅助确定清单价格。评标过程中，对工程量大的单价、单价与清标均价差异大的项目进行辅助核算。</w:t>
      </w:r>
    </w:p>
    <w:p w14:paraId="0E14C469">
      <w:pPr>
        <w:spacing w:before="120" w:after="120"/>
        <w:rPr>
          <w:color w:val="auto"/>
          <w:highlight w:val="none"/>
        </w:rPr>
      </w:pPr>
    </w:p>
    <w:p w14:paraId="54BC1A8F">
      <w:pPr>
        <w:pStyle w:val="3"/>
        <w:tabs>
          <w:tab w:val="left" w:pos="0"/>
        </w:tabs>
        <w:rPr>
          <w:color w:val="auto"/>
          <w:highlight w:val="none"/>
        </w:rPr>
      </w:pPr>
      <w:bookmarkStart w:id="208" w:name="_Toc24467"/>
      <w:r>
        <w:rPr>
          <w:color w:val="auto"/>
          <w:highlight w:val="none"/>
        </w:rPr>
        <w:t>施工阶段</w:t>
      </w:r>
      <w:bookmarkEnd w:id="208"/>
    </w:p>
    <w:p w14:paraId="2111992F">
      <w:pPr>
        <w:pStyle w:val="4"/>
        <w:tabs>
          <w:tab w:val="left" w:pos="0"/>
        </w:tabs>
        <w:spacing w:before="120" w:after="120"/>
        <w:rPr>
          <w:color w:val="auto"/>
          <w:highlight w:val="none"/>
        </w:rPr>
      </w:pPr>
      <w:r>
        <w:rPr>
          <w:color w:val="auto"/>
          <w:highlight w:val="none"/>
        </w:rPr>
        <w:t>施工单位进场后对设计单位提交的全地形BIM模型进行复核并以签认的形式加以确认。</w:t>
      </w:r>
    </w:p>
    <w:p w14:paraId="7B33BE9F">
      <w:pPr>
        <w:pStyle w:val="4"/>
        <w:tabs>
          <w:tab w:val="left" w:pos="0"/>
        </w:tabs>
        <w:spacing w:before="120" w:after="120"/>
        <w:rPr>
          <w:color w:val="auto"/>
          <w:highlight w:val="none"/>
        </w:rPr>
      </w:pPr>
      <w:r>
        <w:rPr>
          <w:color w:val="auto"/>
          <w:highlight w:val="none"/>
        </w:rPr>
        <w:t>施工单位应在进场后提交一次全地形BIM模型，地形BIM模型应与现场实际贴合度高。</w:t>
      </w:r>
    </w:p>
    <w:p w14:paraId="052DEC42">
      <w:pPr>
        <w:pStyle w:val="4"/>
        <w:tabs>
          <w:tab w:val="left" w:pos="0"/>
        </w:tabs>
        <w:spacing w:before="120" w:after="120"/>
        <w:rPr>
          <w:color w:val="auto"/>
          <w:highlight w:val="none"/>
        </w:rPr>
      </w:pPr>
      <w:r>
        <w:rPr>
          <w:color w:val="auto"/>
          <w:highlight w:val="none"/>
        </w:rPr>
        <w:t>施工阶段全地形BIM模型应符合表7.3.3的规定。</w:t>
      </w:r>
    </w:p>
    <w:p w14:paraId="7A2E865A">
      <w:pPr>
        <w:pStyle w:val="401"/>
        <w:rPr>
          <w:color w:val="auto"/>
          <w:highlight w:val="none"/>
        </w:rPr>
      </w:pPr>
      <w:r>
        <w:rPr>
          <w:color w:val="auto"/>
          <w:highlight w:val="none"/>
        </w:rPr>
        <w:t>表7.3.3 施工阶段全地形BIM模型要求</w:t>
      </w:r>
    </w:p>
    <w:tbl>
      <w:tblPr>
        <w:tblStyle w:val="58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1020"/>
        <w:gridCol w:w="5677"/>
      </w:tblGrid>
      <w:tr w14:paraId="0331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72" w:type="pct"/>
            <w:noWrap w:val="0"/>
            <w:tcMar>
              <w:top w:w="113" w:type="dxa"/>
              <w:left w:w="108" w:type="dxa"/>
              <w:bottom w:w="113" w:type="dxa"/>
              <w:right w:w="108" w:type="dxa"/>
            </w:tcMar>
            <w:vAlign w:val="bottom"/>
          </w:tcPr>
          <w:p w14:paraId="7AA57E21">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模型单元</w:t>
            </w:r>
          </w:p>
        </w:tc>
        <w:tc>
          <w:tcPr>
            <w:tcW w:w="598" w:type="pct"/>
            <w:noWrap w:val="0"/>
            <w:tcMar>
              <w:top w:w="113" w:type="dxa"/>
              <w:left w:w="108" w:type="dxa"/>
              <w:bottom w:w="113" w:type="dxa"/>
              <w:right w:w="108" w:type="dxa"/>
            </w:tcMar>
            <w:vAlign w:val="bottom"/>
          </w:tcPr>
          <w:p w14:paraId="1E87362A">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表达精度</w:t>
            </w:r>
          </w:p>
        </w:tc>
        <w:tc>
          <w:tcPr>
            <w:tcW w:w="3329" w:type="pct"/>
            <w:noWrap w:val="0"/>
            <w:tcMar>
              <w:top w:w="113" w:type="dxa"/>
              <w:left w:w="108" w:type="dxa"/>
              <w:bottom w:w="113" w:type="dxa"/>
              <w:right w:w="108" w:type="dxa"/>
            </w:tcMar>
            <w:vAlign w:val="bottom"/>
          </w:tcPr>
          <w:p w14:paraId="5468924F">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具体要求</w:t>
            </w:r>
          </w:p>
        </w:tc>
      </w:tr>
      <w:tr w14:paraId="1D5C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72" w:type="pct"/>
            <w:noWrap w:val="0"/>
            <w:tcMar>
              <w:top w:w="113" w:type="dxa"/>
              <w:left w:w="108" w:type="dxa"/>
              <w:bottom w:w="113" w:type="dxa"/>
              <w:right w:w="108" w:type="dxa"/>
            </w:tcMar>
            <w:vAlign w:val="bottom"/>
          </w:tcPr>
          <w:p w14:paraId="57B6A0AD">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三维地质模型</w:t>
            </w:r>
          </w:p>
        </w:tc>
        <w:tc>
          <w:tcPr>
            <w:tcW w:w="598" w:type="pct"/>
            <w:noWrap w:val="0"/>
            <w:tcMar>
              <w:top w:w="113" w:type="dxa"/>
              <w:left w:w="108" w:type="dxa"/>
              <w:bottom w:w="113" w:type="dxa"/>
              <w:right w:w="108" w:type="dxa"/>
            </w:tcMar>
            <w:vAlign w:val="bottom"/>
          </w:tcPr>
          <w:p w14:paraId="214D2CBA">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LOD400</w:t>
            </w:r>
          </w:p>
        </w:tc>
        <w:tc>
          <w:tcPr>
            <w:tcW w:w="3329" w:type="pct"/>
            <w:noWrap w:val="0"/>
            <w:tcMar>
              <w:top w:w="113" w:type="dxa"/>
              <w:left w:w="108" w:type="dxa"/>
              <w:bottom w:w="113" w:type="dxa"/>
              <w:right w:w="108" w:type="dxa"/>
            </w:tcMar>
            <w:vAlign w:val="bottom"/>
          </w:tcPr>
          <w:p w14:paraId="772C139F">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模型坐标系与项目坐标系一致（统一采用广州2000坐标），准确反映地勘及超前钻等地质勘探信息.</w:t>
            </w:r>
          </w:p>
        </w:tc>
      </w:tr>
      <w:tr w14:paraId="4110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72" w:type="pct"/>
            <w:noWrap w:val="0"/>
            <w:tcMar>
              <w:top w:w="113" w:type="dxa"/>
              <w:left w:w="108" w:type="dxa"/>
              <w:bottom w:w="113" w:type="dxa"/>
              <w:right w:w="108" w:type="dxa"/>
            </w:tcMar>
            <w:vAlign w:val="bottom"/>
          </w:tcPr>
          <w:p w14:paraId="5A568475">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三维地形模型</w:t>
            </w:r>
          </w:p>
        </w:tc>
        <w:tc>
          <w:tcPr>
            <w:tcW w:w="598" w:type="pct"/>
            <w:noWrap w:val="0"/>
            <w:tcMar>
              <w:top w:w="113" w:type="dxa"/>
              <w:left w:w="108" w:type="dxa"/>
              <w:bottom w:w="113" w:type="dxa"/>
              <w:right w:w="108" w:type="dxa"/>
            </w:tcMar>
            <w:vAlign w:val="bottom"/>
          </w:tcPr>
          <w:p w14:paraId="471F26CA">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LOD400</w:t>
            </w:r>
          </w:p>
        </w:tc>
        <w:tc>
          <w:tcPr>
            <w:tcW w:w="3329" w:type="pct"/>
            <w:noWrap w:val="0"/>
            <w:tcMar>
              <w:top w:w="113" w:type="dxa"/>
              <w:left w:w="108" w:type="dxa"/>
              <w:bottom w:w="113" w:type="dxa"/>
              <w:right w:w="108" w:type="dxa"/>
            </w:tcMar>
            <w:vAlign w:val="bottom"/>
          </w:tcPr>
          <w:p w14:paraId="1098ABC8">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模型坐标系与项目坐标系一致，准确表达施工过程及施工后的地形信息，地形模型建模精度应不低于3cm。</w:t>
            </w:r>
          </w:p>
        </w:tc>
      </w:tr>
      <w:tr w14:paraId="1FEF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72" w:type="pct"/>
            <w:noWrap w:val="0"/>
            <w:tcMar>
              <w:top w:w="113" w:type="dxa"/>
              <w:left w:w="108" w:type="dxa"/>
              <w:bottom w:w="113" w:type="dxa"/>
              <w:right w:w="108" w:type="dxa"/>
            </w:tcMar>
            <w:vAlign w:val="bottom"/>
          </w:tcPr>
          <w:p w14:paraId="61E3B07F">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倾斜摄影测量模型</w:t>
            </w:r>
          </w:p>
        </w:tc>
        <w:tc>
          <w:tcPr>
            <w:tcW w:w="598" w:type="pct"/>
            <w:noWrap w:val="0"/>
            <w:tcMar>
              <w:top w:w="113" w:type="dxa"/>
              <w:left w:w="108" w:type="dxa"/>
              <w:bottom w:w="113" w:type="dxa"/>
              <w:right w:w="108" w:type="dxa"/>
            </w:tcMar>
            <w:vAlign w:val="bottom"/>
          </w:tcPr>
          <w:p w14:paraId="538FCFC0">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LOD400</w:t>
            </w:r>
          </w:p>
        </w:tc>
        <w:tc>
          <w:tcPr>
            <w:tcW w:w="3329" w:type="pct"/>
            <w:noWrap w:val="0"/>
            <w:tcMar>
              <w:top w:w="113" w:type="dxa"/>
              <w:left w:w="108" w:type="dxa"/>
              <w:bottom w:w="113" w:type="dxa"/>
              <w:right w:w="108" w:type="dxa"/>
            </w:tcMar>
            <w:vAlign w:val="bottom"/>
          </w:tcPr>
          <w:p w14:paraId="3A3F157E">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ascii="宋体" w:hAnsi="宋体" w:cs="Times New Roman"/>
                <w:color w:val="auto"/>
                <w:sz w:val="18"/>
                <w:highlight w:val="none"/>
              </w:rPr>
              <w:t>倾斜摄影地貌模型</w:t>
            </w:r>
            <w:r>
              <w:rPr>
                <w:rFonts w:hint="eastAsia" w:ascii="宋体" w:hAnsi="宋体" w:cs="Times New Roman"/>
                <w:color w:val="auto"/>
                <w:sz w:val="18"/>
                <w:highlight w:val="none"/>
              </w:rPr>
              <w:t>应准确表达场地现状，随施工过程更新模型内容。模型相对精度</w:t>
            </w:r>
            <w:r>
              <w:rPr>
                <w:rFonts w:ascii="宋体" w:hAnsi="宋体" w:cs="Times New Roman"/>
                <w:color w:val="auto"/>
                <w:sz w:val="18"/>
                <w:highlight w:val="none"/>
              </w:rPr>
              <w:t>应</w:t>
            </w:r>
            <w:r>
              <w:rPr>
                <w:rFonts w:hint="eastAsia" w:ascii="宋体" w:hAnsi="宋体" w:cs="Times New Roman"/>
                <w:color w:val="auto"/>
                <w:sz w:val="18"/>
                <w:highlight w:val="none"/>
              </w:rPr>
              <w:t>不低于3</w:t>
            </w:r>
            <w:r>
              <w:rPr>
                <w:rFonts w:ascii="宋体" w:hAnsi="宋体" w:cs="Times New Roman"/>
                <w:color w:val="auto"/>
                <w:sz w:val="18"/>
                <w:highlight w:val="none"/>
              </w:rPr>
              <w:t>cm，</w:t>
            </w:r>
            <w:r>
              <w:rPr>
                <w:rFonts w:hint="eastAsia" w:ascii="宋体" w:hAnsi="宋体" w:cs="Times New Roman"/>
                <w:color w:val="auto"/>
                <w:sz w:val="18"/>
                <w:highlight w:val="none"/>
              </w:rPr>
              <w:t>绝对精度不低于5</w:t>
            </w:r>
            <w:r>
              <w:rPr>
                <w:rFonts w:ascii="宋体" w:hAnsi="宋体" w:cs="Times New Roman"/>
                <w:color w:val="auto"/>
                <w:sz w:val="18"/>
                <w:highlight w:val="none"/>
              </w:rPr>
              <w:t>cm，坐标系与高程应与项目统一。</w:t>
            </w:r>
            <w:r>
              <w:rPr>
                <w:rFonts w:hint="eastAsia" w:ascii="宋体" w:hAnsi="宋体" w:cs="Times New Roman"/>
                <w:color w:val="auto"/>
                <w:sz w:val="18"/>
                <w:highlight w:val="none"/>
              </w:rPr>
              <w:t>现场地形发生较大变化时应在1个月内提交更新的倾斜摄影测量模型。</w:t>
            </w:r>
          </w:p>
        </w:tc>
      </w:tr>
      <w:tr w14:paraId="4D42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72" w:type="pct"/>
            <w:noWrap w:val="0"/>
            <w:tcMar>
              <w:top w:w="113" w:type="dxa"/>
              <w:left w:w="108" w:type="dxa"/>
              <w:bottom w:w="113" w:type="dxa"/>
              <w:right w:w="108" w:type="dxa"/>
            </w:tcMar>
            <w:vAlign w:val="bottom"/>
          </w:tcPr>
          <w:p w14:paraId="213245A4">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施工BIM模型</w:t>
            </w:r>
          </w:p>
        </w:tc>
        <w:tc>
          <w:tcPr>
            <w:tcW w:w="598" w:type="pct"/>
            <w:noWrap w:val="0"/>
            <w:tcMar>
              <w:top w:w="113" w:type="dxa"/>
              <w:left w:w="108" w:type="dxa"/>
              <w:bottom w:w="113" w:type="dxa"/>
              <w:right w:w="108" w:type="dxa"/>
            </w:tcMar>
            <w:vAlign w:val="bottom"/>
          </w:tcPr>
          <w:p w14:paraId="6D79EB71">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LOD400</w:t>
            </w:r>
          </w:p>
        </w:tc>
        <w:tc>
          <w:tcPr>
            <w:tcW w:w="3329" w:type="pct"/>
            <w:noWrap w:val="0"/>
            <w:tcMar>
              <w:top w:w="113" w:type="dxa"/>
              <w:left w:w="108" w:type="dxa"/>
              <w:bottom w:w="113" w:type="dxa"/>
              <w:right w:w="108" w:type="dxa"/>
            </w:tcMar>
            <w:vAlign w:val="bottom"/>
          </w:tcPr>
          <w:p w14:paraId="346E2D14">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模型坐标系与项目坐标系一致。各专业施工BIM模型应满足施工阶段建模标准要求。</w:t>
            </w:r>
          </w:p>
        </w:tc>
      </w:tr>
      <w:tr w14:paraId="0D56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72" w:type="pct"/>
            <w:noWrap w:val="0"/>
            <w:tcMar>
              <w:top w:w="113" w:type="dxa"/>
              <w:left w:w="108" w:type="dxa"/>
              <w:bottom w:w="113" w:type="dxa"/>
              <w:right w:w="108" w:type="dxa"/>
            </w:tcMar>
            <w:vAlign w:val="bottom"/>
          </w:tcPr>
          <w:p w14:paraId="3376F6FE">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既有环境BIM模型</w:t>
            </w:r>
          </w:p>
        </w:tc>
        <w:tc>
          <w:tcPr>
            <w:tcW w:w="598" w:type="pct"/>
            <w:noWrap w:val="0"/>
            <w:tcMar>
              <w:top w:w="113" w:type="dxa"/>
              <w:left w:w="108" w:type="dxa"/>
              <w:bottom w:w="113" w:type="dxa"/>
              <w:right w:w="108" w:type="dxa"/>
            </w:tcMar>
            <w:vAlign w:val="bottom"/>
          </w:tcPr>
          <w:p w14:paraId="54C57C30">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LOD400</w:t>
            </w:r>
          </w:p>
        </w:tc>
        <w:tc>
          <w:tcPr>
            <w:tcW w:w="3329" w:type="pct"/>
            <w:noWrap w:val="0"/>
            <w:tcMar>
              <w:top w:w="113" w:type="dxa"/>
              <w:left w:w="108" w:type="dxa"/>
              <w:bottom w:w="113" w:type="dxa"/>
              <w:right w:w="108" w:type="dxa"/>
            </w:tcMar>
            <w:vAlign w:val="bottom"/>
          </w:tcPr>
          <w:p w14:paraId="1943803D">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模型坐标系与项目坐标系一致，模型应准确表达施工过程及施工后的现状地形、道路、场地范围、周边建筑、周边市政管网、地下构筑物等内容。模型精度不低于5cm。</w:t>
            </w:r>
          </w:p>
        </w:tc>
      </w:tr>
      <w:tr w14:paraId="7129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072" w:type="pct"/>
            <w:noWrap w:val="0"/>
            <w:tcMar>
              <w:top w:w="113" w:type="dxa"/>
              <w:left w:w="108" w:type="dxa"/>
              <w:bottom w:w="113" w:type="dxa"/>
              <w:right w:w="108" w:type="dxa"/>
            </w:tcMar>
            <w:vAlign w:val="bottom"/>
          </w:tcPr>
          <w:p w14:paraId="26523A47">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施工场地布置模型</w:t>
            </w:r>
          </w:p>
        </w:tc>
        <w:tc>
          <w:tcPr>
            <w:tcW w:w="598" w:type="pct"/>
            <w:noWrap w:val="0"/>
            <w:tcMar>
              <w:top w:w="113" w:type="dxa"/>
              <w:left w:w="108" w:type="dxa"/>
              <w:bottom w:w="113" w:type="dxa"/>
              <w:right w:w="108" w:type="dxa"/>
            </w:tcMar>
            <w:vAlign w:val="bottom"/>
          </w:tcPr>
          <w:p w14:paraId="0903BB0E">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LOD400</w:t>
            </w:r>
          </w:p>
        </w:tc>
        <w:tc>
          <w:tcPr>
            <w:tcW w:w="3329" w:type="pct"/>
            <w:noWrap w:val="0"/>
            <w:tcMar>
              <w:top w:w="113" w:type="dxa"/>
              <w:left w:w="108" w:type="dxa"/>
              <w:bottom w:w="113" w:type="dxa"/>
              <w:right w:w="108" w:type="dxa"/>
            </w:tcMar>
            <w:vAlign w:val="bottom"/>
          </w:tcPr>
          <w:p w14:paraId="3927FA5B">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施工</w:t>
            </w:r>
            <w:r>
              <w:rPr>
                <w:rFonts w:ascii="宋体" w:hAnsi="宋体" w:cs="Times New Roman"/>
                <w:color w:val="auto"/>
                <w:sz w:val="18"/>
                <w:highlight w:val="none"/>
              </w:rPr>
              <w:t>场地模型应</w:t>
            </w:r>
            <w:r>
              <w:rPr>
                <w:rFonts w:hint="eastAsia" w:ascii="宋体" w:hAnsi="宋体" w:cs="Times New Roman"/>
                <w:color w:val="auto"/>
                <w:sz w:val="18"/>
                <w:highlight w:val="none"/>
              </w:rPr>
              <w:t>准确表达施工过程中场地现状，包括生活区、材料堆场、出入口、临时道路、施工面等。建模精度不低于5cm。现场布置发生较大变化时应在1个月内提交更新的场地模型。</w:t>
            </w:r>
          </w:p>
        </w:tc>
      </w:tr>
    </w:tbl>
    <w:p w14:paraId="5DDAD819">
      <w:pPr>
        <w:spacing w:before="120" w:after="120"/>
        <w:rPr>
          <w:color w:val="auto"/>
          <w:highlight w:val="none"/>
        </w:rPr>
      </w:pPr>
    </w:p>
    <w:p w14:paraId="608FB0DC">
      <w:pPr>
        <w:pStyle w:val="4"/>
        <w:tabs>
          <w:tab w:val="left" w:pos="0"/>
        </w:tabs>
        <w:spacing w:before="120" w:after="120"/>
        <w:rPr>
          <w:color w:val="auto"/>
          <w:highlight w:val="none"/>
        </w:rPr>
      </w:pPr>
      <w:r>
        <w:rPr>
          <w:color w:val="auto"/>
          <w:highlight w:val="none"/>
        </w:rPr>
        <w:t>施工深化阶段全地形BIM应用项目应符合表7.3.4的要求。</w:t>
      </w:r>
    </w:p>
    <w:p w14:paraId="0BD46942">
      <w:pPr>
        <w:pStyle w:val="401"/>
        <w:rPr>
          <w:color w:val="auto"/>
          <w:highlight w:val="none"/>
        </w:rPr>
      </w:pPr>
      <w:r>
        <w:rPr>
          <w:color w:val="auto"/>
          <w:highlight w:val="none"/>
        </w:rPr>
        <w:t>表7.3.4  施工阶段全地形BIM应用项目及控制表</w:t>
      </w:r>
    </w:p>
    <w:tbl>
      <w:tblPr>
        <w:tblStyle w:val="5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120"/>
        <w:gridCol w:w="1751"/>
        <w:gridCol w:w="4130"/>
        <w:gridCol w:w="741"/>
      </w:tblGrid>
      <w:tr w14:paraId="1F41C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noWrap w:val="0"/>
            <w:tcMar>
              <w:top w:w="113" w:type="dxa"/>
              <w:left w:w="108" w:type="dxa"/>
              <w:bottom w:w="113" w:type="dxa"/>
              <w:right w:w="108" w:type="dxa"/>
            </w:tcMar>
            <w:vAlign w:val="center"/>
          </w:tcPr>
          <w:p w14:paraId="20B1201D">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序号</w:t>
            </w:r>
          </w:p>
        </w:tc>
        <w:tc>
          <w:tcPr>
            <w:tcW w:w="657" w:type="pct"/>
            <w:noWrap w:val="0"/>
            <w:tcMar>
              <w:top w:w="113" w:type="dxa"/>
              <w:left w:w="108" w:type="dxa"/>
              <w:bottom w:w="113" w:type="dxa"/>
              <w:right w:w="108" w:type="dxa"/>
            </w:tcMar>
            <w:vAlign w:val="center"/>
          </w:tcPr>
          <w:p w14:paraId="27ABCA90">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应用类别</w:t>
            </w:r>
          </w:p>
        </w:tc>
        <w:tc>
          <w:tcPr>
            <w:tcW w:w="1027" w:type="pct"/>
            <w:noWrap w:val="0"/>
            <w:tcMar>
              <w:top w:w="113" w:type="dxa"/>
              <w:left w:w="108" w:type="dxa"/>
              <w:bottom w:w="113" w:type="dxa"/>
              <w:right w:w="108" w:type="dxa"/>
            </w:tcMar>
            <w:vAlign w:val="center"/>
          </w:tcPr>
          <w:p w14:paraId="79FA8321">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应用点</w:t>
            </w:r>
          </w:p>
        </w:tc>
        <w:tc>
          <w:tcPr>
            <w:tcW w:w="2422" w:type="pct"/>
            <w:noWrap w:val="0"/>
            <w:tcMar>
              <w:top w:w="113" w:type="dxa"/>
              <w:left w:w="108" w:type="dxa"/>
              <w:bottom w:w="113" w:type="dxa"/>
              <w:right w:w="108" w:type="dxa"/>
            </w:tcMar>
            <w:vAlign w:val="center"/>
          </w:tcPr>
          <w:p w14:paraId="484BFA43">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应用要求</w:t>
            </w:r>
          </w:p>
        </w:tc>
        <w:tc>
          <w:tcPr>
            <w:tcW w:w="434" w:type="pct"/>
            <w:noWrap w:val="0"/>
            <w:tcMar>
              <w:top w:w="113" w:type="dxa"/>
              <w:left w:w="108" w:type="dxa"/>
              <w:bottom w:w="113" w:type="dxa"/>
              <w:right w:w="108" w:type="dxa"/>
            </w:tcMar>
            <w:vAlign w:val="center"/>
          </w:tcPr>
          <w:p w14:paraId="5C773D56">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选用情况</w:t>
            </w:r>
          </w:p>
        </w:tc>
      </w:tr>
      <w:tr w14:paraId="1CDD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noWrap w:val="0"/>
            <w:tcMar>
              <w:top w:w="113" w:type="dxa"/>
              <w:left w:w="108" w:type="dxa"/>
              <w:bottom w:w="113" w:type="dxa"/>
              <w:right w:w="108" w:type="dxa"/>
            </w:tcMar>
            <w:vAlign w:val="center"/>
          </w:tcPr>
          <w:p w14:paraId="4BE100F3">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1</w:t>
            </w:r>
          </w:p>
        </w:tc>
        <w:tc>
          <w:tcPr>
            <w:tcW w:w="657" w:type="pct"/>
            <w:vMerge w:val="restart"/>
            <w:noWrap w:val="0"/>
            <w:tcMar>
              <w:top w:w="113" w:type="dxa"/>
              <w:left w:w="108" w:type="dxa"/>
              <w:bottom w:w="113" w:type="dxa"/>
              <w:right w:w="108" w:type="dxa"/>
            </w:tcMar>
            <w:vAlign w:val="center"/>
          </w:tcPr>
          <w:p w14:paraId="3EA88C72">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数据底座</w:t>
            </w:r>
          </w:p>
        </w:tc>
        <w:tc>
          <w:tcPr>
            <w:tcW w:w="1027" w:type="pct"/>
            <w:noWrap w:val="0"/>
            <w:tcMar>
              <w:top w:w="113" w:type="dxa"/>
              <w:left w:w="108" w:type="dxa"/>
              <w:bottom w:w="113" w:type="dxa"/>
              <w:right w:w="108" w:type="dxa"/>
            </w:tcMar>
            <w:vAlign w:val="center"/>
          </w:tcPr>
          <w:p w14:paraId="272B61AC">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创建施工深化BIM模型</w:t>
            </w:r>
          </w:p>
        </w:tc>
        <w:tc>
          <w:tcPr>
            <w:tcW w:w="2422" w:type="pct"/>
            <w:noWrap w:val="0"/>
            <w:tcMar>
              <w:top w:w="113" w:type="dxa"/>
              <w:left w:w="108" w:type="dxa"/>
              <w:bottom w:w="113" w:type="dxa"/>
              <w:right w:w="108" w:type="dxa"/>
            </w:tcMar>
            <w:vAlign w:val="center"/>
          </w:tcPr>
          <w:p w14:paraId="726388AF">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项目施工深化基本要求。</w:t>
            </w:r>
          </w:p>
        </w:tc>
        <w:tc>
          <w:tcPr>
            <w:tcW w:w="434" w:type="pct"/>
            <w:noWrap w:val="0"/>
            <w:tcMar>
              <w:top w:w="113" w:type="dxa"/>
              <w:left w:w="108" w:type="dxa"/>
              <w:bottom w:w="113" w:type="dxa"/>
              <w:right w:w="108" w:type="dxa"/>
            </w:tcMar>
            <w:vAlign w:val="center"/>
          </w:tcPr>
          <w:p w14:paraId="598DF3F6">
            <w:pPr>
              <w:widowControl/>
              <w:spacing w:before="0" w:beforeLines="0" w:after="0" w:afterLines="0"/>
              <w:ind w:firstLine="0" w:firstLineChars="0"/>
              <w:jc w:val="center"/>
              <w:textAlignment w:val="center"/>
              <w:rPr>
                <w:rFonts w:ascii="宋体" w:hAnsi="宋体" w:cs="宋体"/>
                <w:color w:val="auto"/>
                <w:kern w:val="0"/>
                <w:sz w:val="18"/>
                <w:szCs w:val="18"/>
                <w:highlight w:val="none"/>
                <w:lang w:bidi="ar"/>
              </w:rPr>
            </w:pPr>
            <w:r>
              <w:rPr>
                <w:rFonts w:hint="eastAsia" w:ascii="宋体" w:hAnsi="宋体" w:cs="Times New Roman"/>
                <w:color w:val="auto"/>
                <w:sz w:val="24"/>
                <w:highlight w:val="none"/>
                <w:lang w:val="zh-CN"/>
              </w:rPr>
              <w:t>■</w:t>
            </w:r>
          </w:p>
        </w:tc>
      </w:tr>
      <w:tr w14:paraId="6C1A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noWrap w:val="0"/>
            <w:tcMar>
              <w:top w:w="113" w:type="dxa"/>
              <w:left w:w="108" w:type="dxa"/>
              <w:bottom w:w="113" w:type="dxa"/>
              <w:right w:w="108" w:type="dxa"/>
            </w:tcMar>
            <w:vAlign w:val="center"/>
          </w:tcPr>
          <w:p w14:paraId="1EEB5FFC">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2</w:t>
            </w:r>
          </w:p>
        </w:tc>
        <w:tc>
          <w:tcPr>
            <w:tcW w:w="657" w:type="pct"/>
            <w:vMerge w:val="continue"/>
            <w:noWrap w:val="0"/>
            <w:tcMar>
              <w:top w:w="113" w:type="dxa"/>
              <w:left w:w="108" w:type="dxa"/>
              <w:bottom w:w="113" w:type="dxa"/>
              <w:right w:w="108" w:type="dxa"/>
            </w:tcMar>
            <w:vAlign w:val="center"/>
          </w:tcPr>
          <w:p w14:paraId="547AB0C8">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1027" w:type="pct"/>
            <w:noWrap w:val="0"/>
            <w:tcMar>
              <w:top w:w="113" w:type="dxa"/>
              <w:left w:w="108" w:type="dxa"/>
              <w:bottom w:w="113" w:type="dxa"/>
              <w:right w:w="108" w:type="dxa"/>
            </w:tcMar>
            <w:vAlign w:val="center"/>
          </w:tcPr>
          <w:p w14:paraId="1AF9B952">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创建施工场地布置模型</w:t>
            </w:r>
          </w:p>
        </w:tc>
        <w:tc>
          <w:tcPr>
            <w:tcW w:w="2422" w:type="pct"/>
            <w:noWrap w:val="0"/>
            <w:tcMar>
              <w:top w:w="113" w:type="dxa"/>
              <w:left w:w="108" w:type="dxa"/>
              <w:bottom w:w="113" w:type="dxa"/>
              <w:right w:w="108" w:type="dxa"/>
            </w:tcMar>
            <w:vAlign w:val="center"/>
          </w:tcPr>
          <w:p w14:paraId="437CD6BD">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场地小，采用BIM优化场地布置。</w:t>
            </w:r>
          </w:p>
        </w:tc>
        <w:tc>
          <w:tcPr>
            <w:tcW w:w="434" w:type="pct"/>
            <w:noWrap w:val="0"/>
            <w:tcMar>
              <w:top w:w="113" w:type="dxa"/>
              <w:left w:w="108" w:type="dxa"/>
              <w:bottom w:w="113" w:type="dxa"/>
              <w:right w:w="108" w:type="dxa"/>
            </w:tcMar>
            <w:vAlign w:val="center"/>
          </w:tcPr>
          <w:p w14:paraId="559FDB58">
            <w:pPr>
              <w:spacing w:before="0" w:beforeLines="0" w:after="0" w:afterLines="0"/>
              <w:ind w:firstLine="0" w:firstLineChars="0"/>
              <w:jc w:val="center"/>
              <w:rPr>
                <w:rFonts w:ascii="宋体" w:hAnsi="宋体" w:cs="宋体"/>
                <w:color w:val="auto"/>
                <w:kern w:val="0"/>
                <w:sz w:val="18"/>
                <w:szCs w:val="18"/>
                <w:highlight w:val="none"/>
                <w:lang w:bidi="ar"/>
              </w:rPr>
            </w:pPr>
            <w:r>
              <w:rPr>
                <w:rFonts w:hint="eastAsia" w:ascii="宋体" w:hAnsi="宋体" w:cs="Times New Roman"/>
                <w:color w:val="auto"/>
                <w:sz w:val="24"/>
                <w:highlight w:val="none"/>
                <w:lang w:val="zh-CN"/>
              </w:rPr>
              <w:t>■</w:t>
            </w:r>
          </w:p>
        </w:tc>
      </w:tr>
      <w:tr w14:paraId="38E4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noWrap w:val="0"/>
            <w:tcMar>
              <w:top w:w="113" w:type="dxa"/>
              <w:left w:w="108" w:type="dxa"/>
              <w:bottom w:w="113" w:type="dxa"/>
              <w:right w:w="108" w:type="dxa"/>
            </w:tcMar>
            <w:vAlign w:val="center"/>
          </w:tcPr>
          <w:p w14:paraId="5A1B29D1">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3</w:t>
            </w:r>
          </w:p>
        </w:tc>
        <w:tc>
          <w:tcPr>
            <w:tcW w:w="657" w:type="pct"/>
            <w:vMerge w:val="continue"/>
            <w:noWrap w:val="0"/>
            <w:tcMar>
              <w:top w:w="113" w:type="dxa"/>
              <w:left w:w="108" w:type="dxa"/>
              <w:bottom w:w="113" w:type="dxa"/>
              <w:right w:w="108" w:type="dxa"/>
            </w:tcMar>
            <w:vAlign w:val="center"/>
          </w:tcPr>
          <w:p w14:paraId="51D87DD0">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1027" w:type="pct"/>
            <w:noWrap w:val="0"/>
            <w:tcMar>
              <w:top w:w="113" w:type="dxa"/>
              <w:left w:w="108" w:type="dxa"/>
              <w:bottom w:w="113" w:type="dxa"/>
              <w:right w:w="108" w:type="dxa"/>
            </w:tcMar>
            <w:vAlign w:val="center"/>
          </w:tcPr>
          <w:p w14:paraId="4F2F193B">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BIM模型合模</w:t>
            </w:r>
          </w:p>
        </w:tc>
        <w:tc>
          <w:tcPr>
            <w:tcW w:w="2422" w:type="pct"/>
            <w:noWrap w:val="0"/>
            <w:tcMar>
              <w:top w:w="113" w:type="dxa"/>
              <w:left w:w="108" w:type="dxa"/>
              <w:bottom w:w="113" w:type="dxa"/>
              <w:right w:w="108" w:type="dxa"/>
            </w:tcMar>
            <w:vAlign w:val="center"/>
          </w:tcPr>
          <w:p w14:paraId="3B9D2E8F">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满足数据底座合模要求。</w:t>
            </w:r>
          </w:p>
        </w:tc>
        <w:tc>
          <w:tcPr>
            <w:tcW w:w="434" w:type="pct"/>
            <w:noWrap w:val="0"/>
            <w:tcMar>
              <w:top w:w="113" w:type="dxa"/>
              <w:left w:w="108" w:type="dxa"/>
              <w:bottom w:w="113" w:type="dxa"/>
              <w:right w:w="108" w:type="dxa"/>
            </w:tcMar>
            <w:vAlign w:val="center"/>
          </w:tcPr>
          <w:p w14:paraId="7CB26370">
            <w:pPr>
              <w:spacing w:before="0" w:beforeLines="0" w:after="0" w:afterLines="0"/>
              <w:ind w:firstLine="0" w:firstLineChars="0"/>
              <w:jc w:val="center"/>
              <w:rPr>
                <w:rFonts w:ascii="宋体" w:hAnsi="宋体" w:cs="Times New Roman"/>
                <w:color w:val="auto"/>
                <w:sz w:val="24"/>
                <w:highlight w:val="none"/>
                <w:lang w:val="zh-CN"/>
              </w:rPr>
            </w:pPr>
            <w:r>
              <w:rPr>
                <w:rFonts w:hint="eastAsia" w:ascii="宋体" w:hAnsi="宋体" w:cs="Times New Roman"/>
                <w:color w:val="auto"/>
                <w:sz w:val="24"/>
                <w:highlight w:val="none"/>
                <w:lang w:val="zh-CN"/>
              </w:rPr>
              <w:t>■</w:t>
            </w:r>
          </w:p>
        </w:tc>
      </w:tr>
      <w:tr w14:paraId="76FFF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noWrap w:val="0"/>
            <w:tcMar>
              <w:top w:w="113" w:type="dxa"/>
              <w:left w:w="108" w:type="dxa"/>
              <w:bottom w:w="113" w:type="dxa"/>
              <w:right w:w="108" w:type="dxa"/>
            </w:tcMar>
            <w:vAlign w:val="center"/>
          </w:tcPr>
          <w:p w14:paraId="5612A090">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4</w:t>
            </w:r>
          </w:p>
        </w:tc>
        <w:tc>
          <w:tcPr>
            <w:tcW w:w="657" w:type="pct"/>
            <w:vMerge w:val="continue"/>
            <w:noWrap w:val="0"/>
            <w:tcMar>
              <w:top w:w="113" w:type="dxa"/>
              <w:left w:w="108" w:type="dxa"/>
              <w:bottom w:w="113" w:type="dxa"/>
              <w:right w:w="108" w:type="dxa"/>
            </w:tcMar>
            <w:vAlign w:val="center"/>
          </w:tcPr>
          <w:p w14:paraId="0370A04B">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1027" w:type="pct"/>
            <w:noWrap w:val="0"/>
            <w:tcMar>
              <w:top w:w="113" w:type="dxa"/>
              <w:left w:w="108" w:type="dxa"/>
              <w:bottom w:w="113" w:type="dxa"/>
              <w:right w:w="108" w:type="dxa"/>
            </w:tcMar>
            <w:vAlign w:val="center"/>
          </w:tcPr>
          <w:p w14:paraId="33A34C21">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创建倾斜摄影测量模型</w:t>
            </w:r>
          </w:p>
        </w:tc>
        <w:tc>
          <w:tcPr>
            <w:tcW w:w="2422" w:type="pct"/>
            <w:noWrap w:val="0"/>
            <w:tcMar>
              <w:top w:w="113" w:type="dxa"/>
              <w:left w:w="108" w:type="dxa"/>
              <w:bottom w:w="113" w:type="dxa"/>
              <w:right w:w="108" w:type="dxa"/>
            </w:tcMar>
            <w:vAlign w:val="center"/>
          </w:tcPr>
          <w:p w14:paraId="340F17B6">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施工阶段，现场地形可能发生较大变化。</w:t>
            </w:r>
          </w:p>
        </w:tc>
        <w:tc>
          <w:tcPr>
            <w:tcW w:w="434" w:type="pct"/>
            <w:noWrap w:val="0"/>
            <w:tcMar>
              <w:top w:w="113" w:type="dxa"/>
              <w:left w:w="108" w:type="dxa"/>
              <w:bottom w:w="113" w:type="dxa"/>
              <w:right w:w="108" w:type="dxa"/>
            </w:tcMar>
            <w:vAlign w:val="center"/>
          </w:tcPr>
          <w:p w14:paraId="728829B5">
            <w:pPr>
              <w:widowControl/>
              <w:spacing w:before="0" w:beforeLines="0" w:after="0" w:afterLines="0"/>
              <w:ind w:firstLine="0" w:firstLineChars="0"/>
              <w:jc w:val="center"/>
              <w:textAlignment w:val="center"/>
              <w:rPr>
                <w:rFonts w:ascii="宋体" w:hAnsi="宋体" w:cs="宋体"/>
                <w:color w:val="auto"/>
                <w:kern w:val="0"/>
                <w:sz w:val="18"/>
                <w:szCs w:val="18"/>
                <w:highlight w:val="none"/>
                <w:lang w:val="zh-CN" w:bidi="ar"/>
              </w:rPr>
            </w:pPr>
            <w:r>
              <w:rPr>
                <w:rFonts w:hint="eastAsia" w:ascii="宋体" w:hAnsi="宋体" w:cs="Times New Roman"/>
                <w:color w:val="auto"/>
                <w:sz w:val="24"/>
                <w:highlight w:val="none"/>
                <w:lang w:val="zh-CN"/>
              </w:rPr>
              <w:sym w:font="Wingdings 2" w:char="00A3"/>
            </w:r>
          </w:p>
        </w:tc>
      </w:tr>
      <w:tr w14:paraId="2928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noWrap w:val="0"/>
            <w:tcMar>
              <w:top w:w="113" w:type="dxa"/>
              <w:left w:w="108" w:type="dxa"/>
              <w:bottom w:w="113" w:type="dxa"/>
              <w:right w:w="108" w:type="dxa"/>
            </w:tcMar>
            <w:vAlign w:val="center"/>
          </w:tcPr>
          <w:p w14:paraId="56FB85EE">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4</w:t>
            </w:r>
          </w:p>
        </w:tc>
        <w:tc>
          <w:tcPr>
            <w:tcW w:w="657" w:type="pct"/>
            <w:vMerge w:val="restart"/>
            <w:noWrap w:val="0"/>
            <w:tcMar>
              <w:top w:w="113" w:type="dxa"/>
              <w:left w:w="108" w:type="dxa"/>
              <w:bottom w:w="113" w:type="dxa"/>
              <w:right w:w="108" w:type="dxa"/>
            </w:tcMar>
            <w:vAlign w:val="center"/>
          </w:tcPr>
          <w:p w14:paraId="257207B6">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全地形BIM</w:t>
            </w:r>
          </w:p>
          <w:p w14:paraId="37F873A3">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模型应用</w:t>
            </w:r>
          </w:p>
        </w:tc>
        <w:tc>
          <w:tcPr>
            <w:tcW w:w="1027" w:type="pct"/>
            <w:noWrap w:val="0"/>
            <w:tcMar>
              <w:top w:w="113" w:type="dxa"/>
              <w:left w:w="108" w:type="dxa"/>
              <w:bottom w:w="113" w:type="dxa"/>
              <w:right w:w="108" w:type="dxa"/>
            </w:tcMar>
            <w:vAlign w:val="center"/>
          </w:tcPr>
          <w:p w14:paraId="2A8718A6">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基坑开挖方案分析</w:t>
            </w:r>
          </w:p>
        </w:tc>
        <w:tc>
          <w:tcPr>
            <w:tcW w:w="2422" w:type="pct"/>
            <w:noWrap w:val="0"/>
            <w:tcMar>
              <w:top w:w="113" w:type="dxa"/>
              <w:left w:w="108" w:type="dxa"/>
              <w:bottom w:w="113" w:type="dxa"/>
              <w:right w:w="108" w:type="dxa"/>
            </w:tcMar>
            <w:vAlign w:val="center"/>
          </w:tcPr>
          <w:p w14:paraId="6146598F">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优化基坑开挖，提升开挖效率，控制开挖成本。</w:t>
            </w:r>
          </w:p>
        </w:tc>
        <w:tc>
          <w:tcPr>
            <w:tcW w:w="434" w:type="pct"/>
            <w:noWrap w:val="0"/>
            <w:tcMar>
              <w:top w:w="113" w:type="dxa"/>
              <w:left w:w="108" w:type="dxa"/>
              <w:bottom w:w="113" w:type="dxa"/>
              <w:right w:w="108" w:type="dxa"/>
            </w:tcMar>
            <w:vAlign w:val="center"/>
          </w:tcPr>
          <w:p w14:paraId="02926DFF">
            <w:pPr>
              <w:widowControl/>
              <w:spacing w:before="0" w:beforeLines="0" w:after="0" w:afterLines="0"/>
              <w:ind w:firstLine="0" w:firstLineChars="0"/>
              <w:jc w:val="center"/>
              <w:textAlignment w:val="center"/>
              <w:rPr>
                <w:rFonts w:ascii="宋体" w:hAnsi="宋体" w:cs="宋体"/>
                <w:color w:val="auto"/>
                <w:kern w:val="0"/>
                <w:sz w:val="18"/>
                <w:szCs w:val="18"/>
                <w:highlight w:val="none"/>
                <w:lang w:val="zh-CN" w:bidi="ar"/>
              </w:rPr>
            </w:pPr>
            <w:r>
              <w:rPr>
                <w:rFonts w:hint="eastAsia" w:ascii="宋体" w:hAnsi="宋体" w:cs="Times New Roman"/>
                <w:color w:val="auto"/>
                <w:sz w:val="24"/>
                <w:highlight w:val="none"/>
                <w:lang w:val="zh-CN"/>
              </w:rPr>
              <w:t>■</w:t>
            </w:r>
          </w:p>
        </w:tc>
      </w:tr>
      <w:tr w14:paraId="6BF3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noWrap w:val="0"/>
            <w:tcMar>
              <w:top w:w="113" w:type="dxa"/>
              <w:left w:w="108" w:type="dxa"/>
              <w:bottom w:w="113" w:type="dxa"/>
              <w:right w:w="108" w:type="dxa"/>
            </w:tcMar>
            <w:vAlign w:val="center"/>
          </w:tcPr>
          <w:p w14:paraId="074DD0C6">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5</w:t>
            </w:r>
          </w:p>
        </w:tc>
        <w:tc>
          <w:tcPr>
            <w:tcW w:w="657" w:type="pct"/>
            <w:vMerge w:val="continue"/>
            <w:noWrap w:val="0"/>
            <w:tcMar>
              <w:top w:w="113" w:type="dxa"/>
              <w:left w:w="108" w:type="dxa"/>
              <w:bottom w:w="113" w:type="dxa"/>
              <w:right w:w="108" w:type="dxa"/>
            </w:tcMar>
            <w:vAlign w:val="center"/>
          </w:tcPr>
          <w:p w14:paraId="4A0DBF43">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1027" w:type="pct"/>
            <w:noWrap w:val="0"/>
            <w:tcMar>
              <w:top w:w="113" w:type="dxa"/>
              <w:left w:w="108" w:type="dxa"/>
              <w:bottom w:w="113" w:type="dxa"/>
              <w:right w:w="108" w:type="dxa"/>
            </w:tcMar>
            <w:vAlign w:val="center"/>
          </w:tcPr>
          <w:p w14:paraId="19E43C03">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土石方量平衡</w:t>
            </w:r>
          </w:p>
        </w:tc>
        <w:tc>
          <w:tcPr>
            <w:tcW w:w="2422" w:type="pct"/>
            <w:noWrap w:val="0"/>
            <w:tcMar>
              <w:top w:w="113" w:type="dxa"/>
              <w:left w:w="108" w:type="dxa"/>
              <w:bottom w:w="113" w:type="dxa"/>
              <w:right w:w="108" w:type="dxa"/>
            </w:tcMar>
            <w:vAlign w:val="center"/>
          </w:tcPr>
          <w:p w14:paraId="72BE3D2D">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精确计算不同方案的挖填方量，优化挖填方案，控制成本。</w:t>
            </w:r>
          </w:p>
        </w:tc>
        <w:tc>
          <w:tcPr>
            <w:tcW w:w="434" w:type="pct"/>
            <w:noWrap w:val="0"/>
            <w:tcMar>
              <w:top w:w="113" w:type="dxa"/>
              <w:left w:w="108" w:type="dxa"/>
              <w:bottom w:w="113" w:type="dxa"/>
              <w:right w:w="108" w:type="dxa"/>
            </w:tcMar>
            <w:vAlign w:val="center"/>
          </w:tcPr>
          <w:p w14:paraId="1DD4303F">
            <w:pPr>
              <w:spacing w:before="0" w:beforeLines="0" w:after="0" w:afterLines="0"/>
              <w:ind w:firstLine="0" w:firstLineChars="0"/>
              <w:jc w:val="center"/>
              <w:rPr>
                <w:rFonts w:ascii="宋体" w:hAnsi="宋体" w:cs="宋体"/>
                <w:color w:val="auto"/>
                <w:kern w:val="0"/>
                <w:sz w:val="18"/>
                <w:szCs w:val="18"/>
                <w:highlight w:val="none"/>
                <w:lang w:val="zh-CN" w:bidi="ar"/>
              </w:rPr>
            </w:pPr>
            <w:r>
              <w:rPr>
                <w:rFonts w:hint="eastAsia" w:ascii="宋体" w:hAnsi="宋体" w:cs="Times New Roman"/>
                <w:color w:val="auto"/>
                <w:sz w:val="24"/>
                <w:highlight w:val="none"/>
                <w:lang w:val="zh-CN"/>
              </w:rPr>
              <w:t>■</w:t>
            </w:r>
          </w:p>
        </w:tc>
      </w:tr>
      <w:tr w14:paraId="4785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noWrap w:val="0"/>
            <w:tcMar>
              <w:top w:w="113" w:type="dxa"/>
              <w:left w:w="108" w:type="dxa"/>
              <w:bottom w:w="113" w:type="dxa"/>
              <w:right w:w="108" w:type="dxa"/>
            </w:tcMar>
            <w:vAlign w:val="center"/>
          </w:tcPr>
          <w:p w14:paraId="1B2F4506">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6</w:t>
            </w:r>
          </w:p>
        </w:tc>
        <w:tc>
          <w:tcPr>
            <w:tcW w:w="657" w:type="pct"/>
            <w:vMerge w:val="continue"/>
            <w:noWrap w:val="0"/>
            <w:tcMar>
              <w:top w:w="113" w:type="dxa"/>
              <w:left w:w="108" w:type="dxa"/>
              <w:bottom w:w="113" w:type="dxa"/>
              <w:right w:w="108" w:type="dxa"/>
            </w:tcMar>
            <w:vAlign w:val="center"/>
          </w:tcPr>
          <w:p w14:paraId="56149D35">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1027" w:type="pct"/>
            <w:noWrap w:val="0"/>
            <w:tcMar>
              <w:top w:w="113" w:type="dxa"/>
              <w:left w:w="108" w:type="dxa"/>
              <w:bottom w:w="113" w:type="dxa"/>
              <w:right w:w="108" w:type="dxa"/>
            </w:tcMar>
            <w:vAlign w:val="center"/>
          </w:tcPr>
          <w:p w14:paraId="69B0FA06">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施工场地布置优化</w:t>
            </w:r>
          </w:p>
        </w:tc>
        <w:tc>
          <w:tcPr>
            <w:tcW w:w="2422" w:type="pct"/>
            <w:noWrap w:val="0"/>
            <w:tcMar>
              <w:top w:w="113" w:type="dxa"/>
              <w:left w:w="108" w:type="dxa"/>
              <w:bottom w:w="113" w:type="dxa"/>
              <w:right w:w="108" w:type="dxa"/>
            </w:tcMar>
            <w:vAlign w:val="center"/>
          </w:tcPr>
          <w:p w14:paraId="49A421BD">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采用BIM优化场地布置，提升场地使用效率。</w:t>
            </w:r>
          </w:p>
        </w:tc>
        <w:tc>
          <w:tcPr>
            <w:tcW w:w="434" w:type="pct"/>
            <w:noWrap w:val="0"/>
            <w:tcMar>
              <w:top w:w="113" w:type="dxa"/>
              <w:left w:w="108" w:type="dxa"/>
              <w:bottom w:w="113" w:type="dxa"/>
              <w:right w:w="108" w:type="dxa"/>
            </w:tcMar>
            <w:vAlign w:val="center"/>
          </w:tcPr>
          <w:p w14:paraId="0BD7869F">
            <w:pPr>
              <w:spacing w:before="0" w:beforeLines="0" w:after="0" w:afterLines="0"/>
              <w:ind w:firstLine="0" w:firstLineChars="0"/>
              <w:jc w:val="center"/>
              <w:rPr>
                <w:rFonts w:ascii="宋体" w:hAnsi="宋体" w:cs="Times New Roman"/>
                <w:color w:val="auto"/>
                <w:sz w:val="24"/>
                <w:highlight w:val="none"/>
                <w:lang w:val="zh-CN"/>
              </w:rPr>
            </w:pPr>
            <w:r>
              <w:rPr>
                <w:rFonts w:hint="eastAsia" w:ascii="宋体" w:hAnsi="宋体" w:cs="Times New Roman"/>
                <w:color w:val="auto"/>
                <w:sz w:val="24"/>
                <w:highlight w:val="none"/>
                <w:lang w:val="zh-CN"/>
              </w:rPr>
              <w:t>■</w:t>
            </w:r>
          </w:p>
        </w:tc>
      </w:tr>
      <w:tr w14:paraId="3BAC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noWrap w:val="0"/>
            <w:tcMar>
              <w:top w:w="113" w:type="dxa"/>
              <w:left w:w="108" w:type="dxa"/>
              <w:bottom w:w="113" w:type="dxa"/>
              <w:right w:w="108" w:type="dxa"/>
            </w:tcMar>
            <w:vAlign w:val="center"/>
          </w:tcPr>
          <w:p w14:paraId="44350D15">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7</w:t>
            </w:r>
          </w:p>
        </w:tc>
        <w:tc>
          <w:tcPr>
            <w:tcW w:w="657" w:type="pct"/>
            <w:vMerge w:val="continue"/>
            <w:noWrap w:val="0"/>
            <w:tcMar>
              <w:top w:w="113" w:type="dxa"/>
              <w:left w:w="108" w:type="dxa"/>
              <w:bottom w:w="113" w:type="dxa"/>
              <w:right w:w="108" w:type="dxa"/>
            </w:tcMar>
            <w:vAlign w:val="center"/>
          </w:tcPr>
          <w:p w14:paraId="2BBCED1A">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1027" w:type="pct"/>
            <w:noWrap w:val="0"/>
            <w:tcMar>
              <w:top w:w="113" w:type="dxa"/>
              <w:left w:w="108" w:type="dxa"/>
              <w:bottom w:w="113" w:type="dxa"/>
              <w:right w:w="108" w:type="dxa"/>
            </w:tcMar>
            <w:vAlign w:val="center"/>
          </w:tcPr>
          <w:p w14:paraId="0BCF34AB">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材料堆场管理</w:t>
            </w:r>
          </w:p>
        </w:tc>
        <w:tc>
          <w:tcPr>
            <w:tcW w:w="2422" w:type="pct"/>
            <w:noWrap w:val="0"/>
            <w:tcMar>
              <w:top w:w="113" w:type="dxa"/>
              <w:left w:w="108" w:type="dxa"/>
              <w:bottom w:w="113" w:type="dxa"/>
              <w:right w:w="108" w:type="dxa"/>
            </w:tcMar>
            <w:vAlign w:val="center"/>
          </w:tcPr>
          <w:p w14:paraId="1C4C0E85">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利用项目全地形模型进行材料堆放管理。</w:t>
            </w:r>
          </w:p>
        </w:tc>
        <w:tc>
          <w:tcPr>
            <w:tcW w:w="434" w:type="pct"/>
            <w:noWrap w:val="0"/>
            <w:tcMar>
              <w:top w:w="113" w:type="dxa"/>
              <w:left w:w="108" w:type="dxa"/>
              <w:bottom w:w="113" w:type="dxa"/>
              <w:right w:w="108" w:type="dxa"/>
            </w:tcMar>
            <w:vAlign w:val="center"/>
          </w:tcPr>
          <w:p w14:paraId="399960CB">
            <w:pPr>
              <w:widowControl/>
              <w:spacing w:before="0" w:beforeLines="0" w:after="0" w:afterLines="0"/>
              <w:ind w:firstLine="0" w:firstLineChars="0"/>
              <w:jc w:val="center"/>
              <w:textAlignment w:val="center"/>
              <w:rPr>
                <w:rFonts w:ascii="宋体" w:hAnsi="宋体" w:cs="宋体"/>
                <w:color w:val="auto"/>
                <w:kern w:val="0"/>
                <w:sz w:val="18"/>
                <w:szCs w:val="18"/>
                <w:highlight w:val="none"/>
                <w:lang w:val="zh-CN" w:bidi="ar"/>
              </w:rPr>
            </w:pPr>
            <w:r>
              <w:rPr>
                <w:rFonts w:hint="eastAsia" w:ascii="宋体" w:hAnsi="宋体" w:cs="Times New Roman"/>
                <w:color w:val="auto"/>
                <w:sz w:val="24"/>
                <w:highlight w:val="none"/>
                <w:lang w:val="zh-CN"/>
              </w:rPr>
              <w:sym w:font="Wingdings 2" w:char="00A3"/>
            </w:r>
          </w:p>
        </w:tc>
      </w:tr>
      <w:tr w14:paraId="4110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noWrap w:val="0"/>
            <w:tcMar>
              <w:top w:w="113" w:type="dxa"/>
              <w:left w:w="108" w:type="dxa"/>
              <w:bottom w:w="113" w:type="dxa"/>
              <w:right w:w="108" w:type="dxa"/>
            </w:tcMar>
            <w:vAlign w:val="center"/>
          </w:tcPr>
          <w:p w14:paraId="440DB0B9">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8</w:t>
            </w:r>
          </w:p>
        </w:tc>
        <w:tc>
          <w:tcPr>
            <w:tcW w:w="657" w:type="pct"/>
            <w:vMerge w:val="continue"/>
            <w:noWrap w:val="0"/>
            <w:tcMar>
              <w:top w:w="113" w:type="dxa"/>
              <w:left w:w="108" w:type="dxa"/>
              <w:bottom w:w="113" w:type="dxa"/>
              <w:right w:w="108" w:type="dxa"/>
            </w:tcMar>
            <w:vAlign w:val="center"/>
          </w:tcPr>
          <w:p w14:paraId="3EEBB735">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1027" w:type="pct"/>
            <w:noWrap w:val="0"/>
            <w:tcMar>
              <w:top w:w="113" w:type="dxa"/>
              <w:left w:w="108" w:type="dxa"/>
              <w:bottom w:w="113" w:type="dxa"/>
              <w:right w:w="108" w:type="dxa"/>
            </w:tcMar>
            <w:vAlign w:val="center"/>
          </w:tcPr>
          <w:p w14:paraId="0AB3B826">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辅助成本分析和管理</w:t>
            </w:r>
          </w:p>
        </w:tc>
        <w:tc>
          <w:tcPr>
            <w:tcW w:w="2422" w:type="pct"/>
            <w:noWrap w:val="0"/>
            <w:tcMar>
              <w:top w:w="113" w:type="dxa"/>
              <w:left w:w="108" w:type="dxa"/>
              <w:bottom w:w="113" w:type="dxa"/>
              <w:right w:w="108" w:type="dxa"/>
            </w:tcMar>
            <w:vAlign w:val="center"/>
          </w:tcPr>
          <w:p w14:paraId="73EF1912">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利用全地形BIM模型和工程信息，提高成本计算的准确度，与概算进行比对是否超概算，对土方工程施工等方案优化提出具体要求。</w:t>
            </w:r>
          </w:p>
        </w:tc>
        <w:tc>
          <w:tcPr>
            <w:tcW w:w="434" w:type="pct"/>
            <w:noWrap w:val="0"/>
            <w:tcMar>
              <w:top w:w="113" w:type="dxa"/>
              <w:left w:w="108" w:type="dxa"/>
              <w:bottom w:w="113" w:type="dxa"/>
              <w:right w:w="108" w:type="dxa"/>
            </w:tcMar>
            <w:vAlign w:val="center"/>
          </w:tcPr>
          <w:p w14:paraId="7E10AA1F">
            <w:pPr>
              <w:spacing w:before="0" w:beforeLines="0" w:after="0" w:afterLines="0"/>
              <w:ind w:firstLine="0" w:firstLineChars="0"/>
              <w:jc w:val="center"/>
              <w:rPr>
                <w:rFonts w:ascii="宋体" w:hAnsi="宋体" w:cs="宋体"/>
                <w:color w:val="auto"/>
                <w:kern w:val="0"/>
                <w:sz w:val="18"/>
                <w:szCs w:val="18"/>
                <w:highlight w:val="none"/>
                <w:lang w:val="zh-CN" w:bidi="ar"/>
              </w:rPr>
            </w:pPr>
            <w:r>
              <w:rPr>
                <w:rFonts w:hint="eastAsia" w:ascii="宋体" w:hAnsi="宋体" w:cs="Times New Roman"/>
                <w:color w:val="auto"/>
                <w:sz w:val="24"/>
                <w:highlight w:val="none"/>
                <w:lang w:val="zh-CN"/>
              </w:rPr>
              <w:t>■</w:t>
            </w:r>
          </w:p>
        </w:tc>
      </w:tr>
    </w:tbl>
    <w:p w14:paraId="4D092DF8">
      <w:pPr>
        <w:spacing w:before="0" w:beforeLines="0" w:after="0" w:afterLines="0" w:line="240" w:lineRule="auto"/>
        <w:ind w:firstLine="0" w:firstLineChars="0"/>
        <w:jc w:val="center"/>
        <w:rPr>
          <w:rFonts w:ascii="宋体" w:hAnsi="宋体" w:cs="Times New Roman"/>
          <w:color w:val="auto"/>
          <w:sz w:val="18"/>
          <w:szCs w:val="18"/>
          <w:highlight w:val="none"/>
          <w:lang w:val="zh-CN"/>
        </w:rPr>
      </w:pPr>
      <w:r>
        <w:rPr>
          <w:rFonts w:hint="eastAsia" w:ascii="宋体" w:hAnsi="宋体" w:cs="Times New Roman"/>
          <w:color w:val="auto"/>
          <w:sz w:val="18"/>
          <w:szCs w:val="18"/>
          <w:highlight w:val="none"/>
          <w:lang w:val="zh-CN"/>
        </w:rPr>
        <w:t>注</w:t>
      </w:r>
      <w:r>
        <w:rPr>
          <w:rFonts w:hint="eastAsia" w:ascii="宋体" w:hAnsi="宋体" w:cs="Times New Roman"/>
          <w:color w:val="auto"/>
          <w:sz w:val="18"/>
          <w:szCs w:val="18"/>
          <w:highlight w:val="none"/>
        </w:rPr>
        <w:t>1</w:t>
      </w:r>
      <w:r>
        <w:rPr>
          <w:rFonts w:hint="eastAsia" w:ascii="宋体" w:hAnsi="宋体" w:cs="Times New Roman"/>
          <w:color w:val="auto"/>
          <w:sz w:val="18"/>
          <w:szCs w:val="18"/>
          <w:highlight w:val="none"/>
          <w:lang w:val="zh-CN"/>
        </w:rPr>
        <w:t xml:space="preserve">：必选■ </w:t>
      </w:r>
      <w:r>
        <w:rPr>
          <w:rFonts w:ascii="宋体" w:hAnsi="宋体" w:cs="Times New Roman"/>
          <w:color w:val="auto"/>
          <w:sz w:val="18"/>
          <w:szCs w:val="18"/>
          <w:highlight w:val="none"/>
          <w:lang w:val="zh-CN"/>
        </w:rPr>
        <w:t xml:space="preserve"> </w:t>
      </w:r>
      <w:r>
        <w:rPr>
          <w:rFonts w:hint="eastAsia" w:ascii="宋体" w:hAnsi="宋体" w:cs="Times New Roman"/>
          <w:color w:val="auto"/>
          <w:sz w:val="18"/>
          <w:szCs w:val="18"/>
          <w:highlight w:val="none"/>
          <w:lang w:val="zh-CN"/>
        </w:rPr>
        <w:t>可选</w:t>
      </w:r>
      <w:r>
        <w:rPr>
          <w:rFonts w:hint="eastAsia" w:ascii="宋体" w:hAnsi="宋体" w:cs="Times New Roman"/>
          <w:color w:val="auto"/>
          <w:sz w:val="18"/>
          <w:szCs w:val="18"/>
          <w:highlight w:val="none"/>
          <w:lang w:val="zh-CN"/>
        </w:rPr>
        <w:sym w:font="Wingdings 2" w:char="00A3"/>
      </w:r>
    </w:p>
    <w:p w14:paraId="09E4215E">
      <w:pPr>
        <w:pStyle w:val="4"/>
        <w:tabs>
          <w:tab w:val="left" w:pos="0"/>
        </w:tabs>
        <w:spacing w:before="120" w:after="120"/>
        <w:rPr>
          <w:color w:val="auto"/>
          <w:highlight w:val="none"/>
        </w:rPr>
      </w:pPr>
      <w:r>
        <w:rPr>
          <w:color w:val="auto"/>
          <w:highlight w:val="none"/>
        </w:rPr>
        <w:t>基坑开挖方案分析、土石方量平衡、施工场地布置优化等宜应用施工全地形BIM模型。</w:t>
      </w:r>
    </w:p>
    <w:p w14:paraId="590588D0">
      <w:pPr>
        <w:pStyle w:val="4"/>
        <w:tabs>
          <w:tab w:val="left" w:pos="0"/>
        </w:tabs>
        <w:spacing w:before="120" w:after="120"/>
        <w:rPr>
          <w:color w:val="auto"/>
          <w:highlight w:val="none"/>
        </w:rPr>
      </w:pPr>
      <w:r>
        <w:rPr>
          <w:color w:val="auto"/>
          <w:highlight w:val="none"/>
        </w:rPr>
        <w:t>施工单位应根据项目实际需求应用全地形数据底座辅助施工管理，材料管理、成本管理等。</w:t>
      </w:r>
    </w:p>
    <w:p w14:paraId="1805DE61">
      <w:pPr>
        <w:pStyle w:val="4"/>
        <w:tabs>
          <w:tab w:val="left" w:pos="0"/>
        </w:tabs>
        <w:spacing w:before="120" w:after="120"/>
        <w:rPr>
          <w:color w:val="auto"/>
          <w:highlight w:val="none"/>
        </w:rPr>
      </w:pPr>
      <w:r>
        <w:rPr>
          <w:color w:val="auto"/>
          <w:highlight w:val="none"/>
        </w:rPr>
        <w:t>施工单位应建立全地形数据的变更管理机制，及时更新全地形BIM模型，确保施工过程中各阶段的全地形BIM模型数据准确性和可靠性。当现场地形发生较大变化时，施工单位应根据场地施工最新现状和应用需求更新全地形BIM模型。</w:t>
      </w:r>
    </w:p>
    <w:p w14:paraId="4D8C2500">
      <w:pPr>
        <w:pStyle w:val="4"/>
        <w:tabs>
          <w:tab w:val="left" w:pos="0"/>
        </w:tabs>
        <w:spacing w:before="120" w:after="120"/>
        <w:rPr>
          <w:color w:val="auto"/>
          <w:highlight w:val="none"/>
        </w:rPr>
      </w:pPr>
      <w:r>
        <w:rPr>
          <w:color w:val="auto"/>
          <w:highlight w:val="none"/>
        </w:rPr>
        <w:t>在施工阶段，施工单位应加强对全地形BIM应用成果的管理和维护，确保数据的准确性和完整性。施工单位还应制定全地形BIM应用成果的备份和恢复方案，以确保数据的安全性和可靠性。</w:t>
      </w:r>
    </w:p>
    <w:p w14:paraId="2F582CFB">
      <w:pPr>
        <w:spacing w:before="120" w:after="120"/>
        <w:rPr>
          <w:color w:val="auto"/>
          <w:highlight w:val="none"/>
        </w:rPr>
      </w:pPr>
    </w:p>
    <w:p w14:paraId="21BF8C50">
      <w:pPr>
        <w:pStyle w:val="3"/>
        <w:tabs>
          <w:tab w:val="left" w:pos="0"/>
        </w:tabs>
        <w:rPr>
          <w:color w:val="auto"/>
          <w:highlight w:val="none"/>
        </w:rPr>
      </w:pPr>
      <w:bookmarkStart w:id="209" w:name="_Toc17479"/>
      <w:r>
        <w:rPr>
          <w:color w:val="auto"/>
          <w:highlight w:val="none"/>
        </w:rPr>
        <w:t>竣工阶段</w:t>
      </w:r>
      <w:bookmarkEnd w:id="209"/>
    </w:p>
    <w:p w14:paraId="60CFC4E6">
      <w:pPr>
        <w:pStyle w:val="4"/>
        <w:tabs>
          <w:tab w:val="left" w:pos="0"/>
        </w:tabs>
        <w:spacing w:before="120" w:after="120"/>
        <w:rPr>
          <w:color w:val="auto"/>
          <w:highlight w:val="none"/>
        </w:rPr>
      </w:pPr>
      <w:r>
        <w:rPr>
          <w:color w:val="auto"/>
          <w:highlight w:val="none"/>
        </w:rPr>
        <w:t>竣工阶段，施工单位应根据竣工交付要求，对施工全过程中全地形数据底座的各类数据进行收集、整合，完成数据交付。</w:t>
      </w:r>
    </w:p>
    <w:p w14:paraId="42D0DC51">
      <w:pPr>
        <w:pStyle w:val="4"/>
        <w:tabs>
          <w:tab w:val="left" w:pos="0"/>
        </w:tabs>
        <w:spacing w:before="120" w:after="120"/>
        <w:rPr>
          <w:color w:val="auto"/>
          <w:highlight w:val="none"/>
        </w:rPr>
      </w:pPr>
      <w:r>
        <w:rPr>
          <w:color w:val="auto"/>
          <w:highlight w:val="none"/>
        </w:rPr>
        <w:t>竣工阶段全地形BIM应用成果应符合表7.4.2的要求。</w:t>
      </w:r>
    </w:p>
    <w:p w14:paraId="0256AA29">
      <w:pPr>
        <w:pStyle w:val="401"/>
        <w:rPr>
          <w:color w:val="auto"/>
          <w:highlight w:val="none"/>
        </w:rPr>
      </w:pPr>
      <w:r>
        <w:rPr>
          <w:color w:val="auto"/>
          <w:highlight w:val="none"/>
        </w:rPr>
        <w:t>表7.4.2  竣工交付阶段全地形BIM应用成果交付表</w:t>
      </w:r>
    </w:p>
    <w:tbl>
      <w:tblPr>
        <w:tblStyle w:val="5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237"/>
        <w:gridCol w:w="2064"/>
        <w:gridCol w:w="3821"/>
        <w:gridCol w:w="720"/>
      </w:tblGrid>
      <w:tr w14:paraId="6784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pct"/>
            <w:noWrap w:val="0"/>
            <w:tcMar>
              <w:top w:w="113" w:type="dxa"/>
              <w:left w:w="108" w:type="dxa"/>
              <w:bottom w:w="113" w:type="dxa"/>
              <w:right w:w="108" w:type="dxa"/>
            </w:tcMar>
            <w:vAlign w:val="center"/>
          </w:tcPr>
          <w:p w14:paraId="68BBED39">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序号</w:t>
            </w:r>
          </w:p>
        </w:tc>
        <w:tc>
          <w:tcPr>
            <w:tcW w:w="725" w:type="pct"/>
            <w:noWrap w:val="0"/>
            <w:tcMar>
              <w:top w:w="113" w:type="dxa"/>
              <w:left w:w="108" w:type="dxa"/>
              <w:bottom w:w="113" w:type="dxa"/>
              <w:right w:w="108" w:type="dxa"/>
            </w:tcMar>
            <w:vAlign w:val="center"/>
          </w:tcPr>
          <w:p w14:paraId="29A85F74">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应用类别</w:t>
            </w:r>
          </w:p>
        </w:tc>
        <w:tc>
          <w:tcPr>
            <w:tcW w:w="1210" w:type="pct"/>
            <w:noWrap w:val="0"/>
            <w:tcMar>
              <w:top w:w="113" w:type="dxa"/>
              <w:left w:w="108" w:type="dxa"/>
              <w:bottom w:w="113" w:type="dxa"/>
              <w:right w:w="108" w:type="dxa"/>
            </w:tcMar>
            <w:vAlign w:val="center"/>
          </w:tcPr>
          <w:p w14:paraId="5446A752">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应用点/交付项</w:t>
            </w:r>
          </w:p>
        </w:tc>
        <w:tc>
          <w:tcPr>
            <w:tcW w:w="2240" w:type="pct"/>
            <w:noWrap w:val="0"/>
            <w:tcMar>
              <w:top w:w="113" w:type="dxa"/>
              <w:left w:w="108" w:type="dxa"/>
              <w:bottom w:w="113" w:type="dxa"/>
              <w:right w:w="108" w:type="dxa"/>
            </w:tcMar>
            <w:vAlign w:val="center"/>
          </w:tcPr>
          <w:p w14:paraId="26BF079F">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应用/交付要求</w:t>
            </w:r>
          </w:p>
        </w:tc>
        <w:tc>
          <w:tcPr>
            <w:tcW w:w="422" w:type="pct"/>
            <w:noWrap w:val="0"/>
            <w:tcMar>
              <w:top w:w="113" w:type="dxa"/>
              <w:left w:w="108" w:type="dxa"/>
              <w:bottom w:w="113" w:type="dxa"/>
              <w:right w:w="108" w:type="dxa"/>
            </w:tcMar>
            <w:vAlign w:val="center"/>
          </w:tcPr>
          <w:p w14:paraId="66B7A156">
            <w:pPr>
              <w:adjustRightInd w:val="0"/>
              <w:snapToGrid w:val="0"/>
              <w:spacing w:before="0" w:beforeLines="0" w:after="0" w:afterLines="0" w:line="288" w:lineRule="auto"/>
              <w:ind w:firstLine="0" w:firstLineChars="0"/>
              <w:jc w:val="center"/>
              <w:rPr>
                <w:rFonts w:ascii="宋体" w:hAnsi="宋体" w:cs="Times New Roman"/>
                <w:b/>
                <w:bCs/>
                <w:color w:val="auto"/>
                <w:sz w:val="18"/>
                <w:highlight w:val="none"/>
              </w:rPr>
            </w:pPr>
            <w:r>
              <w:rPr>
                <w:rFonts w:hint="eastAsia" w:ascii="宋体" w:hAnsi="宋体" w:cs="Times New Roman"/>
                <w:b/>
                <w:bCs/>
                <w:color w:val="auto"/>
                <w:sz w:val="18"/>
                <w:highlight w:val="none"/>
              </w:rPr>
              <w:t>选用情况</w:t>
            </w:r>
          </w:p>
        </w:tc>
      </w:tr>
      <w:tr w14:paraId="49A5B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pct"/>
            <w:noWrap w:val="0"/>
            <w:tcMar>
              <w:top w:w="113" w:type="dxa"/>
              <w:left w:w="108" w:type="dxa"/>
              <w:bottom w:w="113" w:type="dxa"/>
              <w:right w:w="108" w:type="dxa"/>
            </w:tcMar>
            <w:vAlign w:val="center"/>
          </w:tcPr>
          <w:p w14:paraId="62F5B86D">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1</w:t>
            </w:r>
          </w:p>
        </w:tc>
        <w:tc>
          <w:tcPr>
            <w:tcW w:w="725" w:type="pct"/>
            <w:vMerge w:val="restart"/>
            <w:noWrap w:val="0"/>
            <w:tcMar>
              <w:top w:w="113" w:type="dxa"/>
              <w:left w:w="108" w:type="dxa"/>
              <w:bottom w:w="113" w:type="dxa"/>
              <w:right w:w="108" w:type="dxa"/>
            </w:tcMar>
            <w:vAlign w:val="center"/>
          </w:tcPr>
          <w:p w14:paraId="4B3AFB24">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数据底座</w:t>
            </w:r>
          </w:p>
        </w:tc>
        <w:tc>
          <w:tcPr>
            <w:tcW w:w="1210" w:type="pct"/>
            <w:noWrap w:val="0"/>
            <w:tcMar>
              <w:top w:w="113" w:type="dxa"/>
              <w:left w:w="108" w:type="dxa"/>
              <w:bottom w:w="113" w:type="dxa"/>
              <w:right w:w="108" w:type="dxa"/>
            </w:tcMar>
            <w:vAlign w:val="center"/>
          </w:tcPr>
          <w:p w14:paraId="5BC66226">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地质模型</w:t>
            </w:r>
          </w:p>
        </w:tc>
        <w:tc>
          <w:tcPr>
            <w:tcW w:w="2240" w:type="pct"/>
            <w:noWrap w:val="0"/>
            <w:tcMar>
              <w:top w:w="113" w:type="dxa"/>
              <w:left w:w="108" w:type="dxa"/>
              <w:bottom w:w="113" w:type="dxa"/>
              <w:right w:w="108" w:type="dxa"/>
            </w:tcMar>
            <w:vAlign w:val="center"/>
          </w:tcPr>
          <w:p w14:paraId="6C4F53C2">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根据地质勘察和后续施工情况，准确反映项目地质分布。</w:t>
            </w:r>
          </w:p>
        </w:tc>
        <w:tc>
          <w:tcPr>
            <w:tcW w:w="422" w:type="pct"/>
            <w:noWrap w:val="0"/>
            <w:tcMar>
              <w:top w:w="113" w:type="dxa"/>
              <w:left w:w="108" w:type="dxa"/>
              <w:bottom w:w="113" w:type="dxa"/>
              <w:right w:w="108" w:type="dxa"/>
            </w:tcMar>
            <w:vAlign w:val="center"/>
          </w:tcPr>
          <w:p w14:paraId="37EBAAF3">
            <w:pPr>
              <w:spacing w:before="0" w:beforeLines="0" w:after="0" w:afterLines="0"/>
              <w:ind w:firstLine="0" w:firstLineChars="0"/>
              <w:jc w:val="center"/>
              <w:rPr>
                <w:rFonts w:ascii="宋体" w:hAnsi="宋体" w:cs="宋体"/>
                <w:color w:val="auto"/>
                <w:kern w:val="0"/>
                <w:sz w:val="18"/>
                <w:szCs w:val="18"/>
                <w:highlight w:val="none"/>
                <w:lang w:bidi="ar"/>
              </w:rPr>
            </w:pPr>
            <w:r>
              <w:rPr>
                <w:rFonts w:hint="eastAsia" w:ascii="宋体" w:hAnsi="宋体" w:cs="Times New Roman"/>
                <w:color w:val="auto"/>
                <w:sz w:val="24"/>
                <w:highlight w:val="none"/>
                <w:lang w:val="zh-CN"/>
              </w:rPr>
              <w:t>■</w:t>
            </w:r>
          </w:p>
        </w:tc>
      </w:tr>
      <w:tr w14:paraId="71E7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pct"/>
            <w:noWrap w:val="0"/>
            <w:tcMar>
              <w:top w:w="113" w:type="dxa"/>
              <w:left w:w="108" w:type="dxa"/>
              <w:bottom w:w="113" w:type="dxa"/>
              <w:right w:w="108" w:type="dxa"/>
            </w:tcMar>
            <w:vAlign w:val="center"/>
          </w:tcPr>
          <w:p w14:paraId="0E24FB65">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2</w:t>
            </w:r>
          </w:p>
        </w:tc>
        <w:tc>
          <w:tcPr>
            <w:tcW w:w="725" w:type="pct"/>
            <w:vMerge w:val="continue"/>
            <w:noWrap w:val="0"/>
            <w:tcMar>
              <w:top w:w="113" w:type="dxa"/>
              <w:left w:w="108" w:type="dxa"/>
              <w:bottom w:w="113" w:type="dxa"/>
              <w:right w:w="108" w:type="dxa"/>
            </w:tcMar>
            <w:vAlign w:val="center"/>
          </w:tcPr>
          <w:p w14:paraId="444760CE">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1210" w:type="pct"/>
            <w:noWrap w:val="0"/>
            <w:tcMar>
              <w:top w:w="113" w:type="dxa"/>
              <w:left w:w="108" w:type="dxa"/>
              <w:bottom w:w="113" w:type="dxa"/>
              <w:right w:w="108" w:type="dxa"/>
            </w:tcMar>
            <w:vAlign w:val="center"/>
          </w:tcPr>
          <w:p w14:paraId="65267F75">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现状地形模型</w:t>
            </w:r>
          </w:p>
        </w:tc>
        <w:tc>
          <w:tcPr>
            <w:tcW w:w="2240" w:type="pct"/>
            <w:noWrap w:val="0"/>
            <w:tcMar>
              <w:top w:w="113" w:type="dxa"/>
              <w:left w:w="108" w:type="dxa"/>
              <w:bottom w:w="113" w:type="dxa"/>
              <w:right w:w="108" w:type="dxa"/>
            </w:tcMar>
            <w:vAlign w:val="center"/>
          </w:tcPr>
          <w:p w14:paraId="42DD0334">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竣工交付时项目现状地形。</w:t>
            </w:r>
          </w:p>
        </w:tc>
        <w:tc>
          <w:tcPr>
            <w:tcW w:w="422" w:type="pct"/>
            <w:noWrap w:val="0"/>
            <w:tcMar>
              <w:top w:w="113" w:type="dxa"/>
              <w:left w:w="108" w:type="dxa"/>
              <w:bottom w:w="113" w:type="dxa"/>
              <w:right w:w="108" w:type="dxa"/>
            </w:tcMar>
            <w:vAlign w:val="center"/>
          </w:tcPr>
          <w:p w14:paraId="20125E82">
            <w:pPr>
              <w:spacing w:before="0" w:beforeLines="0" w:after="0" w:afterLines="0"/>
              <w:ind w:firstLine="0" w:firstLineChars="0"/>
              <w:jc w:val="center"/>
              <w:rPr>
                <w:rFonts w:ascii="宋体" w:hAnsi="宋体" w:cs="宋体"/>
                <w:color w:val="auto"/>
                <w:kern w:val="0"/>
                <w:sz w:val="18"/>
                <w:szCs w:val="18"/>
                <w:highlight w:val="none"/>
                <w:lang w:bidi="ar"/>
              </w:rPr>
            </w:pPr>
            <w:r>
              <w:rPr>
                <w:rFonts w:hint="eastAsia" w:ascii="宋体" w:hAnsi="宋体" w:cs="Times New Roman"/>
                <w:color w:val="auto"/>
                <w:sz w:val="24"/>
                <w:highlight w:val="none"/>
                <w:lang w:val="zh-CN"/>
              </w:rPr>
              <w:t>■</w:t>
            </w:r>
          </w:p>
        </w:tc>
      </w:tr>
      <w:tr w14:paraId="1694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pct"/>
            <w:noWrap w:val="0"/>
            <w:tcMar>
              <w:top w:w="113" w:type="dxa"/>
              <w:left w:w="108" w:type="dxa"/>
              <w:bottom w:w="113" w:type="dxa"/>
              <w:right w:w="108" w:type="dxa"/>
            </w:tcMar>
            <w:vAlign w:val="center"/>
          </w:tcPr>
          <w:p w14:paraId="21825707">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3</w:t>
            </w:r>
          </w:p>
        </w:tc>
        <w:tc>
          <w:tcPr>
            <w:tcW w:w="725" w:type="pct"/>
            <w:vMerge w:val="continue"/>
            <w:noWrap w:val="0"/>
            <w:tcMar>
              <w:top w:w="113" w:type="dxa"/>
              <w:left w:w="108" w:type="dxa"/>
              <w:bottom w:w="113" w:type="dxa"/>
              <w:right w:w="108" w:type="dxa"/>
            </w:tcMar>
            <w:vAlign w:val="center"/>
          </w:tcPr>
          <w:p w14:paraId="72204276">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1210" w:type="pct"/>
            <w:noWrap w:val="0"/>
            <w:tcMar>
              <w:top w:w="113" w:type="dxa"/>
              <w:left w:w="108" w:type="dxa"/>
              <w:bottom w:w="113" w:type="dxa"/>
              <w:right w:w="108" w:type="dxa"/>
            </w:tcMar>
            <w:vAlign w:val="center"/>
          </w:tcPr>
          <w:p w14:paraId="34C0321F">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倾斜摄影测量模型</w:t>
            </w:r>
          </w:p>
        </w:tc>
        <w:tc>
          <w:tcPr>
            <w:tcW w:w="2240" w:type="pct"/>
            <w:noWrap w:val="0"/>
            <w:tcMar>
              <w:top w:w="113" w:type="dxa"/>
              <w:left w:w="108" w:type="dxa"/>
              <w:bottom w:w="113" w:type="dxa"/>
              <w:right w:w="108" w:type="dxa"/>
            </w:tcMar>
            <w:vAlign w:val="center"/>
          </w:tcPr>
          <w:p w14:paraId="4ED1DE40">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建设全过程所有的倾斜摄影模型以及反映竣工现状的倾斜摄影测量模型。</w:t>
            </w:r>
          </w:p>
        </w:tc>
        <w:tc>
          <w:tcPr>
            <w:tcW w:w="422" w:type="pct"/>
            <w:noWrap w:val="0"/>
            <w:tcMar>
              <w:top w:w="113" w:type="dxa"/>
              <w:left w:w="108" w:type="dxa"/>
              <w:bottom w:w="113" w:type="dxa"/>
              <w:right w:w="108" w:type="dxa"/>
            </w:tcMar>
            <w:vAlign w:val="center"/>
          </w:tcPr>
          <w:p w14:paraId="27784209">
            <w:pPr>
              <w:spacing w:before="0" w:beforeLines="0" w:after="0" w:afterLines="0"/>
              <w:ind w:firstLine="0" w:firstLineChars="0"/>
              <w:jc w:val="center"/>
              <w:rPr>
                <w:rFonts w:ascii="宋体" w:hAnsi="宋体" w:cs="宋体"/>
                <w:color w:val="auto"/>
                <w:kern w:val="0"/>
                <w:sz w:val="18"/>
                <w:szCs w:val="18"/>
                <w:highlight w:val="none"/>
                <w:lang w:val="zh-CN" w:bidi="ar"/>
              </w:rPr>
            </w:pPr>
            <w:r>
              <w:rPr>
                <w:rFonts w:hint="eastAsia" w:ascii="宋体" w:hAnsi="宋体" w:cs="Times New Roman"/>
                <w:color w:val="auto"/>
                <w:sz w:val="24"/>
                <w:highlight w:val="none"/>
                <w:lang w:val="zh-CN"/>
              </w:rPr>
              <w:t>■</w:t>
            </w:r>
          </w:p>
        </w:tc>
      </w:tr>
      <w:tr w14:paraId="0EBE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pct"/>
            <w:noWrap w:val="0"/>
            <w:tcMar>
              <w:top w:w="113" w:type="dxa"/>
              <w:left w:w="108" w:type="dxa"/>
              <w:bottom w:w="113" w:type="dxa"/>
              <w:right w:w="108" w:type="dxa"/>
            </w:tcMar>
            <w:vAlign w:val="center"/>
          </w:tcPr>
          <w:p w14:paraId="4F1B6FD7">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4</w:t>
            </w:r>
          </w:p>
        </w:tc>
        <w:tc>
          <w:tcPr>
            <w:tcW w:w="725" w:type="pct"/>
            <w:vMerge w:val="continue"/>
            <w:noWrap w:val="0"/>
            <w:tcMar>
              <w:top w:w="113" w:type="dxa"/>
              <w:left w:w="108" w:type="dxa"/>
              <w:bottom w:w="113" w:type="dxa"/>
              <w:right w:w="108" w:type="dxa"/>
            </w:tcMar>
            <w:vAlign w:val="center"/>
          </w:tcPr>
          <w:p w14:paraId="103E3BF9">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1210" w:type="pct"/>
            <w:noWrap w:val="0"/>
            <w:tcMar>
              <w:top w:w="113" w:type="dxa"/>
              <w:left w:w="108" w:type="dxa"/>
              <w:bottom w:w="113" w:type="dxa"/>
              <w:right w:w="108" w:type="dxa"/>
            </w:tcMar>
            <w:vAlign w:val="center"/>
          </w:tcPr>
          <w:p w14:paraId="6C508D56">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各阶段BIM模型</w:t>
            </w:r>
          </w:p>
        </w:tc>
        <w:tc>
          <w:tcPr>
            <w:tcW w:w="2240" w:type="pct"/>
            <w:noWrap w:val="0"/>
            <w:tcMar>
              <w:top w:w="113" w:type="dxa"/>
              <w:left w:w="108" w:type="dxa"/>
              <w:bottom w:w="113" w:type="dxa"/>
              <w:right w:w="108" w:type="dxa"/>
            </w:tcMar>
            <w:vAlign w:val="center"/>
          </w:tcPr>
          <w:p w14:paraId="14D31ACF">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各阶段交付的BIM模型，含场地布置模型。</w:t>
            </w:r>
          </w:p>
        </w:tc>
        <w:tc>
          <w:tcPr>
            <w:tcW w:w="422" w:type="pct"/>
            <w:noWrap w:val="0"/>
            <w:tcMar>
              <w:top w:w="113" w:type="dxa"/>
              <w:left w:w="108" w:type="dxa"/>
              <w:bottom w:w="113" w:type="dxa"/>
              <w:right w:w="108" w:type="dxa"/>
            </w:tcMar>
            <w:vAlign w:val="center"/>
          </w:tcPr>
          <w:p w14:paraId="652211DE">
            <w:pPr>
              <w:spacing w:before="0" w:beforeLines="0" w:after="0" w:afterLines="0"/>
              <w:ind w:firstLine="0" w:firstLineChars="0"/>
              <w:jc w:val="center"/>
              <w:rPr>
                <w:rFonts w:ascii="宋体" w:hAnsi="宋体" w:cs="宋体"/>
                <w:color w:val="auto"/>
                <w:kern w:val="0"/>
                <w:sz w:val="18"/>
                <w:szCs w:val="18"/>
                <w:highlight w:val="none"/>
                <w:lang w:val="zh-CN" w:bidi="ar"/>
              </w:rPr>
            </w:pPr>
            <w:r>
              <w:rPr>
                <w:rFonts w:hint="eastAsia" w:ascii="宋体" w:hAnsi="宋体" w:cs="Times New Roman"/>
                <w:color w:val="auto"/>
                <w:sz w:val="24"/>
                <w:highlight w:val="none"/>
                <w:lang w:val="zh-CN"/>
              </w:rPr>
              <w:t>■</w:t>
            </w:r>
          </w:p>
        </w:tc>
      </w:tr>
      <w:tr w14:paraId="26A07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pct"/>
            <w:noWrap w:val="0"/>
            <w:tcMar>
              <w:top w:w="113" w:type="dxa"/>
              <w:left w:w="108" w:type="dxa"/>
              <w:bottom w:w="113" w:type="dxa"/>
              <w:right w:w="108" w:type="dxa"/>
            </w:tcMar>
            <w:vAlign w:val="center"/>
          </w:tcPr>
          <w:p w14:paraId="65E549D6">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5</w:t>
            </w:r>
          </w:p>
        </w:tc>
        <w:tc>
          <w:tcPr>
            <w:tcW w:w="725" w:type="pct"/>
            <w:vMerge w:val="continue"/>
            <w:noWrap w:val="0"/>
            <w:tcMar>
              <w:top w:w="113" w:type="dxa"/>
              <w:left w:w="108" w:type="dxa"/>
              <w:bottom w:w="113" w:type="dxa"/>
              <w:right w:w="108" w:type="dxa"/>
            </w:tcMar>
            <w:vAlign w:val="center"/>
          </w:tcPr>
          <w:p w14:paraId="07A4CC8E">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1210" w:type="pct"/>
            <w:noWrap w:val="0"/>
            <w:tcMar>
              <w:top w:w="113" w:type="dxa"/>
              <w:left w:w="108" w:type="dxa"/>
              <w:bottom w:w="113" w:type="dxa"/>
              <w:right w:w="108" w:type="dxa"/>
            </w:tcMar>
            <w:vAlign w:val="center"/>
          </w:tcPr>
          <w:p w14:paraId="492BE22E">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既有环境模型</w:t>
            </w:r>
          </w:p>
        </w:tc>
        <w:tc>
          <w:tcPr>
            <w:tcW w:w="2240" w:type="pct"/>
            <w:noWrap w:val="0"/>
            <w:tcMar>
              <w:top w:w="113" w:type="dxa"/>
              <w:left w:w="108" w:type="dxa"/>
              <w:bottom w:w="113" w:type="dxa"/>
              <w:right w:w="108" w:type="dxa"/>
            </w:tcMar>
            <w:vAlign w:val="center"/>
          </w:tcPr>
          <w:p w14:paraId="0E4F4BD7">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反映竣工时项目周边市政管网、地下建构筑物及设备环境等。</w:t>
            </w:r>
          </w:p>
        </w:tc>
        <w:tc>
          <w:tcPr>
            <w:tcW w:w="422" w:type="pct"/>
            <w:noWrap w:val="0"/>
            <w:tcMar>
              <w:top w:w="113" w:type="dxa"/>
              <w:left w:w="108" w:type="dxa"/>
              <w:bottom w:w="113" w:type="dxa"/>
              <w:right w:w="108" w:type="dxa"/>
            </w:tcMar>
            <w:vAlign w:val="center"/>
          </w:tcPr>
          <w:p w14:paraId="39C3F38A">
            <w:pPr>
              <w:spacing w:before="0" w:beforeLines="0" w:after="0" w:afterLines="0"/>
              <w:ind w:firstLine="0" w:firstLineChars="0"/>
              <w:jc w:val="center"/>
              <w:rPr>
                <w:rFonts w:ascii="宋体" w:hAnsi="宋体" w:cs="宋体"/>
                <w:color w:val="auto"/>
                <w:kern w:val="0"/>
                <w:sz w:val="18"/>
                <w:szCs w:val="18"/>
                <w:highlight w:val="none"/>
                <w:lang w:val="zh-CN" w:bidi="ar"/>
              </w:rPr>
            </w:pPr>
            <w:r>
              <w:rPr>
                <w:rFonts w:hint="eastAsia" w:ascii="宋体" w:hAnsi="宋体" w:cs="Times New Roman"/>
                <w:color w:val="auto"/>
                <w:sz w:val="24"/>
                <w:highlight w:val="none"/>
                <w:lang w:val="zh-CN"/>
              </w:rPr>
              <w:t>■</w:t>
            </w:r>
          </w:p>
        </w:tc>
      </w:tr>
      <w:tr w14:paraId="1855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pct"/>
            <w:noWrap w:val="0"/>
            <w:tcMar>
              <w:top w:w="113" w:type="dxa"/>
              <w:left w:w="108" w:type="dxa"/>
              <w:bottom w:w="113" w:type="dxa"/>
              <w:right w:w="108" w:type="dxa"/>
            </w:tcMar>
            <w:vAlign w:val="center"/>
          </w:tcPr>
          <w:p w14:paraId="45F0ABB3">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6</w:t>
            </w:r>
          </w:p>
        </w:tc>
        <w:tc>
          <w:tcPr>
            <w:tcW w:w="725" w:type="pct"/>
            <w:vMerge w:val="continue"/>
            <w:noWrap w:val="0"/>
            <w:tcMar>
              <w:top w:w="113" w:type="dxa"/>
              <w:left w:w="108" w:type="dxa"/>
              <w:bottom w:w="113" w:type="dxa"/>
              <w:right w:w="108" w:type="dxa"/>
            </w:tcMar>
            <w:vAlign w:val="center"/>
          </w:tcPr>
          <w:p w14:paraId="10D71FFE">
            <w:pPr>
              <w:adjustRightInd w:val="0"/>
              <w:snapToGrid w:val="0"/>
              <w:spacing w:before="0" w:beforeLines="0" w:after="0" w:afterLines="0" w:line="288" w:lineRule="auto"/>
              <w:ind w:firstLine="0" w:firstLineChars="0"/>
              <w:rPr>
                <w:rFonts w:ascii="宋体" w:hAnsi="宋体" w:cs="Times New Roman"/>
                <w:color w:val="auto"/>
                <w:sz w:val="18"/>
                <w:highlight w:val="none"/>
              </w:rPr>
            </w:pPr>
          </w:p>
        </w:tc>
        <w:tc>
          <w:tcPr>
            <w:tcW w:w="1210" w:type="pct"/>
            <w:noWrap w:val="0"/>
            <w:tcMar>
              <w:top w:w="113" w:type="dxa"/>
              <w:left w:w="108" w:type="dxa"/>
              <w:bottom w:w="113" w:type="dxa"/>
              <w:right w:w="108" w:type="dxa"/>
            </w:tcMar>
            <w:vAlign w:val="center"/>
          </w:tcPr>
          <w:p w14:paraId="243D1116">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BIM模型合模</w:t>
            </w:r>
          </w:p>
        </w:tc>
        <w:tc>
          <w:tcPr>
            <w:tcW w:w="2240" w:type="pct"/>
            <w:noWrap w:val="0"/>
            <w:tcMar>
              <w:top w:w="113" w:type="dxa"/>
              <w:left w:w="108" w:type="dxa"/>
              <w:bottom w:w="113" w:type="dxa"/>
              <w:right w:w="108" w:type="dxa"/>
            </w:tcMar>
            <w:vAlign w:val="center"/>
          </w:tcPr>
          <w:p w14:paraId="612885CF">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各模型坐标系与现场一致，坐标和数据格式满足合模要求。</w:t>
            </w:r>
          </w:p>
        </w:tc>
        <w:tc>
          <w:tcPr>
            <w:tcW w:w="422" w:type="pct"/>
            <w:noWrap w:val="0"/>
            <w:tcMar>
              <w:top w:w="113" w:type="dxa"/>
              <w:left w:w="108" w:type="dxa"/>
              <w:bottom w:w="113" w:type="dxa"/>
              <w:right w:w="108" w:type="dxa"/>
            </w:tcMar>
            <w:vAlign w:val="center"/>
          </w:tcPr>
          <w:p w14:paraId="1C69647A">
            <w:pPr>
              <w:spacing w:before="0" w:beforeLines="0" w:after="0" w:afterLines="0"/>
              <w:ind w:firstLine="0" w:firstLineChars="0"/>
              <w:jc w:val="center"/>
              <w:rPr>
                <w:rFonts w:ascii="宋体" w:hAnsi="宋体" w:cs="宋体"/>
                <w:color w:val="auto"/>
                <w:kern w:val="0"/>
                <w:sz w:val="18"/>
                <w:szCs w:val="18"/>
                <w:highlight w:val="none"/>
                <w:lang w:val="zh-CN" w:bidi="ar"/>
              </w:rPr>
            </w:pPr>
            <w:r>
              <w:rPr>
                <w:rFonts w:hint="eastAsia" w:ascii="宋体" w:hAnsi="宋体" w:cs="Times New Roman"/>
                <w:color w:val="auto"/>
                <w:sz w:val="24"/>
                <w:highlight w:val="none"/>
                <w:lang w:val="zh-CN"/>
              </w:rPr>
              <w:t>■</w:t>
            </w:r>
          </w:p>
        </w:tc>
      </w:tr>
      <w:tr w14:paraId="2463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pct"/>
            <w:noWrap w:val="0"/>
            <w:tcMar>
              <w:top w:w="113" w:type="dxa"/>
              <w:left w:w="108" w:type="dxa"/>
              <w:bottom w:w="113" w:type="dxa"/>
              <w:right w:w="108" w:type="dxa"/>
            </w:tcMar>
            <w:vAlign w:val="center"/>
          </w:tcPr>
          <w:p w14:paraId="0FB1C197">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7</w:t>
            </w:r>
          </w:p>
        </w:tc>
        <w:tc>
          <w:tcPr>
            <w:tcW w:w="725" w:type="pct"/>
            <w:noWrap w:val="0"/>
            <w:tcMar>
              <w:top w:w="113" w:type="dxa"/>
              <w:left w:w="108" w:type="dxa"/>
              <w:bottom w:w="113" w:type="dxa"/>
              <w:right w:w="108" w:type="dxa"/>
            </w:tcMar>
            <w:vAlign w:val="center"/>
          </w:tcPr>
          <w:p w14:paraId="3E4A8876">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地形地质模型应用成果</w:t>
            </w:r>
          </w:p>
        </w:tc>
        <w:tc>
          <w:tcPr>
            <w:tcW w:w="1210" w:type="pct"/>
            <w:noWrap w:val="0"/>
            <w:tcMar>
              <w:top w:w="113" w:type="dxa"/>
              <w:left w:w="108" w:type="dxa"/>
              <w:bottom w:w="113" w:type="dxa"/>
              <w:right w:w="108" w:type="dxa"/>
            </w:tcMar>
            <w:vAlign w:val="center"/>
          </w:tcPr>
          <w:p w14:paraId="5FAE6A3C">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各专项分析应用报告</w:t>
            </w:r>
          </w:p>
        </w:tc>
        <w:tc>
          <w:tcPr>
            <w:tcW w:w="2240" w:type="pct"/>
            <w:noWrap w:val="0"/>
            <w:tcMar>
              <w:top w:w="113" w:type="dxa"/>
              <w:left w:w="108" w:type="dxa"/>
              <w:bottom w:w="113" w:type="dxa"/>
              <w:right w:w="108" w:type="dxa"/>
            </w:tcMar>
            <w:vAlign w:val="center"/>
          </w:tcPr>
          <w:p w14:paraId="4A005E9A">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整合专项应用分析报告。</w:t>
            </w:r>
          </w:p>
        </w:tc>
        <w:tc>
          <w:tcPr>
            <w:tcW w:w="422" w:type="pct"/>
            <w:noWrap w:val="0"/>
            <w:tcMar>
              <w:top w:w="113" w:type="dxa"/>
              <w:left w:w="108" w:type="dxa"/>
              <w:bottom w:w="113" w:type="dxa"/>
              <w:right w:w="108" w:type="dxa"/>
            </w:tcMar>
            <w:vAlign w:val="center"/>
          </w:tcPr>
          <w:p w14:paraId="28EC3A6A">
            <w:pPr>
              <w:spacing w:before="0" w:beforeLines="0" w:after="0" w:afterLines="0"/>
              <w:ind w:firstLine="0" w:firstLineChars="0"/>
              <w:jc w:val="center"/>
              <w:rPr>
                <w:rFonts w:ascii="宋体" w:hAnsi="宋体" w:cs="宋体"/>
                <w:color w:val="auto"/>
                <w:kern w:val="0"/>
                <w:sz w:val="18"/>
                <w:szCs w:val="18"/>
                <w:highlight w:val="none"/>
                <w:lang w:val="zh-CN" w:bidi="ar"/>
              </w:rPr>
            </w:pPr>
            <w:r>
              <w:rPr>
                <w:rFonts w:hint="eastAsia" w:ascii="宋体" w:hAnsi="宋体" w:cs="Times New Roman"/>
                <w:color w:val="auto"/>
                <w:sz w:val="24"/>
                <w:highlight w:val="none"/>
                <w:lang w:val="zh-CN"/>
              </w:rPr>
              <w:sym w:font="Wingdings 2" w:char="00A3"/>
            </w:r>
          </w:p>
        </w:tc>
      </w:tr>
      <w:tr w14:paraId="061D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pct"/>
            <w:noWrap w:val="0"/>
            <w:tcMar>
              <w:top w:w="113" w:type="dxa"/>
              <w:left w:w="108" w:type="dxa"/>
              <w:bottom w:w="113" w:type="dxa"/>
              <w:right w:w="108" w:type="dxa"/>
            </w:tcMar>
            <w:vAlign w:val="center"/>
          </w:tcPr>
          <w:p w14:paraId="3CCAFAA9">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8</w:t>
            </w:r>
          </w:p>
        </w:tc>
        <w:tc>
          <w:tcPr>
            <w:tcW w:w="725" w:type="pct"/>
            <w:noWrap w:val="0"/>
            <w:tcMar>
              <w:top w:w="113" w:type="dxa"/>
              <w:left w:w="108" w:type="dxa"/>
              <w:bottom w:w="113" w:type="dxa"/>
              <w:right w:w="108" w:type="dxa"/>
            </w:tcMar>
            <w:vAlign w:val="center"/>
          </w:tcPr>
          <w:p w14:paraId="4908FE66">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全地形BIM</w:t>
            </w:r>
          </w:p>
          <w:p w14:paraId="24066E44">
            <w:pPr>
              <w:adjustRightInd w:val="0"/>
              <w:snapToGrid w:val="0"/>
              <w:spacing w:before="0" w:beforeLines="0" w:after="0" w:afterLines="0" w:line="288" w:lineRule="auto"/>
              <w:ind w:firstLine="0" w:firstLineChars="0"/>
              <w:jc w:val="center"/>
              <w:rPr>
                <w:rFonts w:ascii="宋体" w:hAnsi="宋体" w:cs="Times New Roman"/>
                <w:color w:val="auto"/>
                <w:sz w:val="18"/>
                <w:highlight w:val="none"/>
              </w:rPr>
            </w:pPr>
            <w:r>
              <w:rPr>
                <w:rFonts w:hint="eastAsia" w:ascii="宋体" w:hAnsi="宋体" w:cs="Times New Roman"/>
                <w:color w:val="auto"/>
                <w:sz w:val="18"/>
                <w:highlight w:val="none"/>
              </w:rPr>
              <w:t>模型应用</w:t>
            </w:r>
          </w:p>
        </w:tc>
        <w:tc>
          <w:tcPr>
            <w:tcW w:w="1210" w:type="pct"/>
            <w:noWrap w:val="0"/>
            <w:tcMar>
              <w:top w:w="113" w:type="dxa"/>
              <w:left w:w="108" w:type="dxa"/>
              <w:bottom w:w="113" w:type="dxa"/>
              <w:right w:w="108" w:type="dxa"/>
            </w:tcMar>
            <w:vAlign w:val="center"/>
          </w:tcPr>
          <w:p w14:paraId="32DB9FB5">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土方结算资料复核</w:t>
            </w:r>
          </w:p>
        </w:tc>
        <w:tc>
          <w:tcPr>
            <w:tcW w:w="2240" w:type="pct"/>
            <w:noWrap w:val="0"/>
            <w:tcMar>
              <w:top w:w="113" w:type="dxa"/>
              <w:left w:w="108" w:type="dxa"/>
              <w:bottom w:w="113" w:type="dxa"/>
              <w:right w:w="108" w:type="dxa"/>
            </w:tcMar>
            <w:vAlign w:val="center"/>
          </w:tcPr>
          <w:p w14:paraId="2CB623C0">
            <w:pPr>
              <w:adjustRightInd w:val="0"/>
              <w:snapToGrid w:val="0"/>
              <w:spacing w:before="0" w:beforeLines="0" w:after="0" w:afterLines="0" w:line="288" w:lineRule="auto"/>
              <w:ind w:firstLine="0" w:firstLineChars="0"/>
              <w:rPr>
                <w:rFonts w:ascii="宋体" w:hAnsi="宋体" w:cs="Times New Roman"/>
                <w:color w:val="auto"/>
                <w:sz w:val="18"/>
                <w:highlight w:val="none"/>
              </w:rPr>
            </w:pPr>
            <w:r>
              <w:rPr>
                <w:rFonts w:hint="eastAsia" w:ascii="宋体" w:hAnsi="宋体" w:cs="Times New Roman"/>
                <w:color w:val="auto"/>
                <w:sz w:val="18"/>
                <w:highlight w:val="none"/>
              </w:rPr>
              <w:t>利用模型对土方工程结算资料的相关数据进行审核，供造价方按照合同约定计算工程结算造价。</w:t>
            </w:r>
          </w:p>
        </w:tc>
        <w:tc>
          <w:tcPr>
            <w:tcW w:w="422" w:type="pct"/>
            <w:noWrap w:val="0"/>
            <w:tcMar>
              <w:top w:w="113" w:type="dxa"/>
              <w:left w:w="108" w:type="dxa"/>
              <w:bottom w:w="113" w:type="dxa"/>
              <w:right w:w="108" w:type="dxa"/>
            </w:tcMar>
            <w:vAlign w:val="center"/>
          </w:tcPr>
          <w:p w14:paraId="00214BF7">
            <w:pPr>
              <w:spacing w:before="0" w:beforeLines="0" w:after="0" w:afterLines="0"/>
              <w:ind w:firstLine="0" w:firstLineChars="0"/>
              <w:jc w:val="center"/>
              <w:rPr>
                <w:rFonts w:ascii="宋体" w:hAnsi="宋体" w:cs="Times New Roman"/>
                <w:color w:val="auto"/>
                <w:sz w:val="24"/>
                <w:highlight w:val="none"/>
                <w:lang w:val="zh-CN"/>
              </w:rPr>
            </w:pPr>
            <w:r>
              <w:rPr>
                <w:rFonts w:hint="eastAsia" w:ascii="宋体" w:hAnsi="宋体" w:cs="Times New Roman"/>
                <w:color w:val="auto"/>
                <w:sz w:val="24"/>
                <w:highlight w:val="none"/>
                <w:lang w:val="zh-CN"/>
              </w:rPr>
              <w:sym w:font="Wingdings 2" w:char="00A3"/>
            </w:r>
          </w:p>
        </w:tc>
      </w:tr>
    </w:tbl>
    <w:p w14:paraId="1B10203A">
      <w:pPr>
        <w:spacing w:before="0" w:beforeLines="0" w:after="0" w:afterLines="0" w:line="240" w:lineRule="auto"/>
        <w:ind w:firstLine="0" w:firstLineChars="0"/>
        <w:jc w:val="center"/>
        <w:rPr>
          <w:rFonts w:ascii="宋体" w:hAnsi="宋体" w:cs="Times New Roman"/>
          <w:color w:val="auto"/>
          <w:sz w:val="18"/>
          <w:szCs w:val="18"/>
          <w:highlight w:val="none"/>
          <w:lang w:val="zh-CN"/>
        </w:rPr>
      </w:pPr>
      <w:r>
        <w:rPr>
          <w:rFonts w:hint="eastAsia" w:ascii="宋体" w:hAnsi="宋体" w:cs="Times New Roman"/>
          <w:color w:val="auto"/>
          <w:sz w:val="18"/>
          <w:szCs w:val="18"/>
          <w:highlight w:val="none"/>
          <w:lang w:val="zh-CN"/>
        </w:rPr>
        <w:t>注</w:t>
      </w:r>
      <w:r>
        <w:rPr>
          <w:rFonts w:hint="eastAsia" w:ascii="宋体" w:hAnsi="宋体" w:cs="Times New Roman"/>
          <w:color w:val="auto"/>
          <w:sz w:val="18"/>
          <w:szCs w:val="18"/>
          <w:highlight w:val="none"/>
        </w:rPr>
        <w:t>1</w:t>
      </w:r>
      <w:r>
        <w:rPr>
          <w:rFonts w:hint="eastAsia" w:ascii="宋体" w:hAnsi="宋体" w:cs="Times New Roman"/>
          <w:color w:val="auto"/>
          <w:sz w:val="18"/>
          <w:szCs w:val="18"/>
          <w:highlight w:val="none"/>
          <w:lang w:val="zh-CN"/>
        </w:rPr>
        <w:t xml:space="preserve">：必选■ </w:t>
      </w:r>
      <w:r>
        <w:rPr>
          <w:rFonts w:ascii="宋体" w:hAnsi="宋体" w:cs="Times New Roman"/>
          <w:color w:val="auto"/>
          <w:sz w:val="18"/>
          <w:szCs w:val="18"/>
          <w:highlight w:val="none"/>
          <w:lang w:val="zh-CN"/>
        </w:rPr>
        <w:t xml:space="preserve"> </w:t>
      </w:r>
      <w:r>
        <w:rPr>
          <w:rFonts w:hint="eastAsia" w:ascii="宋体" w:hAnsi="宋体" w:cs="Times New Roman"/>
          <w:color w:val="auto"/>
          <w:sz w:val="18"/>
          <w:szCs w:val="18"/>
          <w:highlight w:val="none"/>
          <w:lang w:val="zh-CN"/>
        </w:rPr>
        <w:t>可选</w:t>
      </w:r>
      <w:r>
        <w:rPr>
          <w:rFonts w:hint="eastAsia" w:ascii="宋体" w:hAnsi="宋体" w:cs="Times New Roman"/>
          <w:color w:val="auto"/>
          <w:sz w:val="18"/>
          <w:szCs w:val="18"/>
          <w:highlight w:val="none"/>
          <w:lang w:val="zh-CN"/>
        </w:rPr>
        <w:sym w:font="Wingdings 2" w:char="00A3"/>
      </w:r>
    </w:p>
    <w:p w14:paraId="093F1795">
      <w:pPr>
        <w:pStyle w:val="4"/>
        <w:tabs>
          <w:tab w:val="left" w:pos="0"/>
        </w:tabs>
        <w:spacing w:before="120" w:after="120"/>
        <w:rPr>
          <w:color w:val="auto"/>
          <w:highlight w:val="none"/>
        </w:rPr>
      </w:pPr>
      <w:r>
        <w:rPr>
          <w:color w:val="auto"/>
          <w:highlight w:val="none"/>
        </w:rPr>
        <w:t>在竣工阶段，施工单位还应按照项目合同要求提交竣工图、竣工报告等相关文件，并对全地形BIM数据进行验收，确保交付数据的质量和准确性。</w:t>
      </w:r>
    </w:p>
    <w:p w14:paraId="2DFE022B">
      <w:pPr>
        <w:pStyle w:val="4"/>
        <w:tabs>
          <w:tab w:val="left" w:pos="0"/>
        </w:tabs>
        <w:spacing w:before="120" w:after="120"/>
        <w:rPr>
          <w:color w:val="auto"/>
          <w:highlight w:val="none"/>
        </w:rPr>
      </w:pPr>
      <w:r>
        <w:rPr>
          <w:color w:val="auto"/>
          <w:highlight w:val="none"/>
        </w:rPr>
        <w:t>应对全地形BIM应用成果进行检查验收，确保交付数据符合合同要求并能满足项目的使用和管理需要。对于不符合要求的数据，应及时进行整改和修复。</w:t>
      </w:r>
    </w:p>
    <w:p w14:paraId="17C52B9A">
      <w:pPr>
        <w:pStyle w:val="4"/>
        <w:tabs>
          <w:tab w:val="left" w:pos="0"/>
        </w:tabs>
        <w:spacing w:before="120" w:after="120"/>
        <w:rPr>
          <w:color w:val="auto"/>
          <w:highlight w:val="none"/>
        </w:rPr>
      </w:pPr>
      <w:r>
        <w:rPr>
          <w:color w:val="auto"/>
          <w:highlight w:val="none"/>
        </w:rPr>
        <w:t>竣工全地形BIM模型提取土方工程量数据，可作为工程结算造价的参考，审核结算资料的合理性。</w:t>
      </w:r>
    </w:p>
    <w:p w14:paraId="1A839F74">
      <w:pPr>
        <w:pStyle w:val="4"/>
        <w:tabs>
          <w:tab w:val="left" w:pos="0"/>
        </w:tabs>
        <w:spacing w:before="120" w:after="120"/>
        <w:rPr>
          <w:color w:val="auto"/>
          <w:highlight w:val="none"/>
        </w:rPr>
      </w:pPr>
      <w:r>
        <w:rPr>
          <w:color w:val="auto"/>
          <w:highlight w:val="none"/>
        </w:rPr>
        <w:t>建设单位应加强对相关单位的监督和管理，确保施工单位按照合同要求进行数据收集、整合和交付，并对不合格行为进行惩罚和要求整改。</w:t>
      </w:r>
    </w:p>
    <w:p w14:paraId="53CD771D">
      <w:pPr>
        <w:keepNext/>
        <w:keepLines/>
        <w:numPr>
          <w:ilvl w:val="0"/>
          <w:numId w:val="0"/>
        </w:numPr>
        <w:spacing w:before="720" w:beforeLines="300" w:after="240" w:afterLines="100"/>
        <w:jc w:val="center"/>
        <w:outlineLvl w:val="0"/>
        <w:rPr>
          <w:rFonts w:eastAsia="黑体" w:cs="Times New Roman"/>
          <w:bCs/>
          <w:color w:val="auto"/>
          <w:kern w:val="44"/>
          <w:sz w:val="28"/>
          <w:szCs w:val="44"/>
          <w:highlight w:val="none"/>
        </w:rPr>
        <w:sectPr>
          <w:pgSz w:w="11910" w:h="16840"/>
          <w:pgMar w:top="1440" w:right="1800" w:bottom="1440" w:left="1800" w:header="907" w:footer="973" w:gutter="0"/>
          <w:pgNumType w:fmt="numberInDash"/>
          <w:cols w:space="720" w:num="1"/>
        </w:sectPr>
      </w:pPr>
      <w:bookmarkStart w:id="210" w:name="_Toc8514"/>
      <w:bookmarkStart w:id="211" w:name="_Toc140219104"/>
      <w:bookmarkStart w:id="212" w:name="_Toc8932"/>
      <w:bookmarkStart w:id="213" w:name="_Toc16925"/>
      <w:bookmarkStart w:id="214" w:name="_Toc8339"/>
      <w:bookmarkStart w:id="215" w:name="_Toc31029"/>
      <w:bookmarkStart w:id="216" w:name="_Toc28121"/>
      <w:bookmarkStart w:id="217" w:name="_Toc19413"/>
      <w:bookmarkStart w:id="218" w:name="_Toc28424"/>
      <w:bookmarkStart w:id="219" w:name="_Toc27591"/>
      <w:bookmarkStart w:id="220" w:name="_Toc22349"/>
      <w:bookmarkStart w:id="221" w:name="_Toc28429"/>
      <w:bookmarkStart w:id="222" w:name="_Toc18963"/>
      <w:bookmarkStart w:id="223" w:name="_Toc20753"/>
      <w:bookmarkStart w:id="224" w:name="_Toc19045"/>
      <w:bookmarkStart w:id="225" w:name="_Toc4869"/>
      <w:bookmarkStart w:id="226" w:name="_Toc31"/>
      <w:bookmarkStart w:id="227" w:name="_Toc23495"/>
      <w:bookmarkStart w:id="228" w:name="_Toc23768"/>
      <w:bookmarkStart w:id="229" w:name="_Toc27905"/>
      <w:bookmarkStart w:id="230" w:name="_Toc3438"/>
      <w:bookmarkStart w:id="231" w:name="_Toc8116"/>
      <w:bookmarkStart w:id="232" w:name="_Toc25111"/>
    </w:p>
    <w:p w14:paraId="39D84F4A">
      <w:pPr>
        <w:keepNext/>
        <w:keepLines/>
        <w:numPr>
          <w:ilvl w:val="0"/>
          <w:numId w:val="0"/>
        </w:numPr>
        <w:spacing w:before="720" w:beforeLines="300" w:after="240" w:afterLines="100"/>
        <w:jc w:val="center"/>
        <w:outlineLvl w:val="0"/>
        <w:rPr>
          <w:rFonts w:eastAsia="黑体" w:cs="Times New Roman"/>
          <w:bCs/>
          <w:color w:val="auto"/>
          <w:kern w:val="44"/>
          <w:sz w:val="28"/>
          <w:szCs w:val="44"/>
          <w:highlight w:val="none"/>
        </w:rPr>
      </w:pPr>
      <w:bookmarkStart w:id="233" w:name="_Toc5091"/>
      <w:r>
        <w:rPr>
          <w:rFonts w:eastAsia="黑体" w:cs="Times New Roman"/>
          <w:bCs/>
          <w:color w:val="auto"/>
          <w:kern w:val="44"/>
          <w:sz w:val="28"/>
          <w:szCs w:val="44"/>
          <w:highlight w:val="none"/>
        </w:rPr>
        <w:t>附表</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1638C596">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234" w:name="_Toc12174"/>
      <w:bookmarkStart w:id="235" w:name="_Toc15350"/>
      <w:bookmarkStart w:id="236" w:name="_Toc14433"/>
      <w:bookmarkStart w:id="237" w:name="_Toc20526"/>
      <w:bookmarkStart w:id="238" w:name="_Toc5886"/>
      <w:bookmarkStart w:id="239" w:name="_Toc25041"/>
      <w:bookmarkStart w:id="240" w:name="_Toc19465"/>
      <w:bookmarkStart w:id="241" w:name="_Toc19219"/>
      <w:bookmarkStart w:id="242" w:name="_Toc8429"/>
      <w:bookmarkStart w:id="243" w:name="_Toc25849"/>
      <w:bookmarkStart w:id="244" w:name="_Toc32553"/>
      <w:bookmarkStart w:id="245" w:name="_Toc24960"/>
      <w:bookmarkStart w:id="246" w:name="_Toc11093"/>
      <w:bookmarkStart w:id="247" w:name="_Toc1676"/>
      <w:bookmarkStart w:id="248" w:name="_Toc20862"/>
      <w:bookmarkStart w:id="249" w:name="_Toc26779"/>
      <w:bookmarkStart w:id="250" w:name="_Toc4542"/>
      <w:bookmarkStart w:id="251" w:name="_Toc15604"/>
      <w:bookmarkStart w:id="252" w:name="_Toc31983"/>
      <w:bookmarkStart w:id="253" w:name="_Toc423"/>
      <w:bookmarkStart w:id="254" w:name="_Toc140219105"/>
      <w:bookmarkStart w:id="255" w:name="_Toc2420"/>
      <w:r>
        <w:rPr>
          <w:rFonts w:eastAsia="黑体" w:cs="Times New Roman"/>
          <w:bCs/>
          <w:color w:val="auto"/>
          <w:sz w:val="24"/>
          <w:highlight w:val="none"/>
        </w:rPr>
        <w:t>附表1  BIM项目工作职责分配表</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tbl>
      <w:tblPr>
        <w:tblStyle w:val="519"/>
        <w:tblW w:w="4999" w:type="pct"/>
        <w:jc w:val="center"/>
        <w:tblLayout w:type="autofit"/>
        <w:tblCellMar>
          <w:top w:w="0" w:type="dxa"/>
          <w:left w:w="0" w:type="dxa"/>
          <w:bottom w:w="0" w:type="dxa"/>
          <w:right w:w="0" w:type="dxa"/>
        </w:tblCellMar>
      </w:tblPr>
      <w:tblGrid>
        <w:gridCol w:w="913"/>
        <w:gridCol w:w="2468"/>
        <w:gridCol w:w="884"/>
        <w:gridCol w:w="876"/>
        <w:gridCol w:w="753"/>
        <w:gridCol w:w="729"/>
        <w:gridCol w:w="647"/>
        <w:gridCol w:w="626"/>
        <w:gridCol w:w="638"/>
      </w:tblGrid>
      <w:tr w14:paraId="530EA8D8">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78A3394">
            <w:pPr>
              <w:pStyle w:val="561"/>
              <w:widowControl w:val="0"/>
              <w:spacing w:before="120" w:after="120" w:line="240" w:lineRule="auto"/>
              <w:ind w:left="31"/>
              <w:rPr>
                <w:color w:val="auto"/>
                <w:highlight w:val="none"/>
                <w:lang w:eastAsia="en-US"/>
              </w:rPr>
            </w:pPr>
            <w:r>
              <w:rPr>
                <w:color w:val="auto"/>
                <w:highlight w:val="none"/>
                <w:lang w:eastAsia="en-US"/>
              </w:rPr>
              <w:t>标注:</w:t>
            </w:r>
          </w:p>
        </w:tc>
        <w:tc>
          <w:tcPr>
            <w:tcW w:w="4464" w:type="pct"/>
            <w:gridSpan w:val="8"/>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8E3B4BF">
            <w:pPr>
              <w:pStyle w:val="561"/>
              <w:widowControl w:val="0"/>
              <w:spacing w:before="120" w:after="120" w:line="240" w:lineRule="auto"/>
              <w:ind w:left="31"/>
              <w:rPr>
                <w:color w:val="auto"/>
                <w:highlight w:val="none"/>
                <w:lang w:eastAsia="en-US"/>
              </w:rPr>
            </w:pPr>
            <w:r>
              <w:rPr>
                <w:color w:val="auto"/>
                <w:highlight w:val="none"/>
                <w:lang w:eastAsia="en-US"/>
              </w:rPr>
              <w:t>P=执行主要责任</w:t>
            </w:r>
          </w:p>
        </w:tc>
      </w:tr>
      <w:tr w14:paraId="33D00669">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640FDBB">
            <w:pPr>
              <w:pStyle w:val="561"/>
              <w:widowControl w:val="0"/>
              <w:spacing w:before="120" w:after="120" w:line="240" w:lineRule="auto"/>
              <w:ind w:left="31"/>
              <w:rPr>
                <w:color w:val="auto"/>
                <w:highlight w:val="none"/>
                <w:lang w:eastAsia="en-US"/>
              </w:rPr>
            </w:pPr>
          </w:p>
        </w:tc>
        <w:tc>
          <w:tcPr>
            <w:tcW w:w="4464" w:type="pct"/>
            <w:gridSpan w:val="8"/>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CA09331">
            <w:pPr>
              <w:pStyle w:val="561"/>
              <w:widowControl w:val="0"/>
              <w:spacing w:before="120" w:after="120" w:line="240" w:lineRule="auto"/>
              <w:ind w:left="31"/>
              <w:rPr>
                <w:color w:val="auto"/>
                <w:highlight w:val="none"/>
                <w:lang w:eastAsia="en-US"/>
              </w:rPr>
            </w:pPr>
            <w:r>
              <w:rPr>
                <w:color w:val="auto"/>
                <w:highlight w:val="none"/>
                <w:lang w:eastAsia="en-US"/>
              </w:rPr>
              <w:t>S=协办次要责任</w:t>
            </w:r>
          </w:p>
        </w:tc>
      </w:tr>
      <w:tr w14:paraId="6A54C3DC">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239C501">
            <w:pPr>
              <w:pStyle w:val="561"/>
              <w:widowControl w:val="0"/>
              <w:spacing w:before="120" w:after="120" w:line="240" w:lineRule="auto"/>
              <w:ind w:left="31"/>
              <w:rPr>
                <w:color w:val="auto"/>
                <w:highlight w:val="none"/>
                <w:lang w:eastAsia="en-US"/>
              </w:rPr>
            </w:pPr>
          </w:p>
        </w:tc>
        <w:tc>
          <w:tcPr>
            <w:tcW w:w="4464" w:type="pct"/>
            <w:gridSpan w:val="8"/>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946C5C3">
            <w:pPr>
              <w:pStyle w:val="561"/>
              <w:widowControl w:val="0"/>
              <w:spacing w:before="120" w:after="120" w:line="240" w:lineRule="auto"/>
              <w:ind w:left="31"/>
              <w:rPr>
                <w:color w:val="auto"/>
                <w:highlight w:val="none"/>
                <w:lang w:eastAsia="en-US"/>
              </w:rPr>
            </w:pPr>
            <w:r>
              <w:rPr>
                <w:color w:val="auto"/>
                <w:highlight w:val="none"/>
                <w:lang w:eastAsia="en-US"/>
              </w:rPr>
              <w:t>R=审核</w:t>
            </w:r>
          </w:p>
        </w:tc>
      </w:tr>
      <w:tr w14:paraId="51F8F4EE">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303818E">
            <w:pPr>
              <w:pStyle w:val="561"/>
              <w:widowControl w:val="0"/>
              <w:spacing w:before="120" w:after="120" w:line="240" w:lineRule="auto"/>
              <w:ind w:left="31"/>
              <w:rPr>
                <w:color w:val="auto"/>
                <w:highlight w:val="none"/>
                <w:lang w:eastAsia="en-US"/>
              </w:rPr>
            </w:pPr>
          </w:p>
        </w:tc>
        <w:tc>
          <w:tcPr>
            <w:tcW w:w="4464" w:type="pct"/>
            <w:gridSpan w:val="8"/>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FEC7947">
            <w:pPr>
              <w:pStyle w:val="561"/>
              <w:widowControl w:val="0"/>
              <w:spacing w:before="120" w:after="120" w:line="240" w:lineRule="auto"/>
              <w:ind w:left="31"/>
              <w:rPr>
                <w:color w:val="auto"/>
                <w:highlight w:val="none"/>
                <w:lang w:eastAsia="en-US"/>
              </w:rPr>
            </w:pPr>
            <w:r>
              <w:rPr>
                <w:color w:val="auto"/>
                <w:highlight w:val="none"/>
                <w:lang w:eastAsia="en-US"/>
              </w:rPr>
              <w:t>I=建模</w:t>
            </w:r>
          </w:p>
        </w:tc>
      </w:tr>
      <w:tr w14:paraId="00C7F0ED">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96F8E8E">
            <w:pPr>
              <w:pStyle w:val="561"/>
              <w:widowControl w:val="0"/>
              <w:spacing w:before="120" w:after="120" w:line="240" w:lineRule="auto"/>
              <w:ind w:left="31"/>
              <w:rPr>
                <w:color w:val="auto"/>
                <w:highlight w:val="none"/>
                <w:lang w:eastAsia="en-US"/>
              </w:rPr>
            </w:pPr>
          </w:p>
        </w:tc>
        <w:tc>
          <w:tcPr>
            <w:tcW w:w="4464" w:type="pct"/>
            <w:gridSpan w:val="8"/>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FE5C042">
            <w:pPr>
              <w:pStyle w:val="561"/>
              <w:widowControl w:val="0"/>
              <w:spacing w:before="120" w:after="120" w:line="240" w:lineRule="auto"/>
              <w:ind w:left="31"/>
              <w:rPr>
                <w:color w:val="auto"/>
                <w:highlight w:val="none"/>
                <w:lang w:eastAsia="en-US"/>
              </w:rPr>
            </w:pPr>
            <w:r>
              <w:rPr>
                <w:color w:val="auto"/>
                <w:highlight w:val="none"/>
                <w:lang w:eastAsia="en-US"/>
              </w:rPr>
              <w:t>O=应用</w:t>
            </w:r>
          </w:p>
        </w:tc>
      </w:tr>
      <w:tr w14:paraId="5692613C">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8565035">
            <w:pPr>
              <w:pStyle w:val="561"/>
              <w:widowControl w:val="0"/>
              <w:spacing w:before="120" w:after="120" w:line="240" w:lineRule="auto"/>
              <w:ind w:left="31"/>
              <w:rPr>
                <w:color w:val="auto"/>
                <w:highlight w:val="none"/>
                <w:lang w:eastAsia="en-US"/>
              </w:rPr>
            </w:pPr>
          </w:p>
        </w:tc>
        <w:tc>
          <w:tcPr>
            <w:tcW w:w="4464" w:type="pct"/>
            <w:gridSpan w:val="8"/>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3D6599F">
            <w:pPr>
              <w:pStyle w:val="561"/>
              <w:widowControl w:val="0"/>
              <w:spacing w:before="120" w:after="120" w:line="240" w:lineRule="auto"/>
              <w:ind w:left="31"/>
              <w:rPr>
                <w:color w:val="auto"/>
                <w:highlight w:val="none"/>
                <w:lang w:eastAsia="en-US"/>
              </w:rPr>
            </w:pPr>
            <w:r>
              <w:rPr>
                <w:color w:val="auto"/>
                <w:highlight w:val="none"/>
                <w:lang w:eastAsia="en-US"/>
              </w:rPr>
              <w:t>A=需要时参与</w:t>
            </w:r>
          </w:p>
        </w:tc>
      </w:tr>
      <w:tr w14:paraId="0A953292">
        <w:tblPrEx>
          <w:tblCellMar>
            <w:top w:w="0" w:type="dxa"/>
            <w:left w:w="0" w:type="dxa"/>
            <w:bottom w:w="0" w:type="dxa"/>
            <w:right w:w="0" w:type="dxa"/>
          </w:tblCellMar>
        </w:tblPrEx>
        <w:trPr>
          <w:trHeight w:val="454" w:hRule="atLeast"/>
          <w:jc w:val="center"/>
        </w:trPr>
        <w:tc>
          <w:tcPr>
            <w:tcW w:w="535"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28759CA7">
            <w:pPr>
              <w:pStyle w:val="561"/>
              <w:widowControl w:val="0"/>
              <w:spacing w:before="120" w:after="120" w:line="240" w:lineRule="auto"/>
              <w:ind w:left="31"/>
              <w:rPr>
                <w:color w:val="auto"/>
                <w:highlight w:val="none"/>
                <w:lang w:eastAsia="en-US"/>
              </w:rPr>
            </w:pPr>
            <w:r>
              <w:rPr>
                <w:color w:val="auto"/>
                <w:highlight w:val="none"/>
                <w:lang w:eastAsia="en-US"/>
              </w:rPr>
              <w:t>1</w:t>
            </w:r>
          </w:p>
        </w:tc>
        <w:tc>
          <w:tcPr>
            <w:tcW w:w="1446"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4D7ABFB2">
            <w:pPr>
              <w:pStyle w:val="561"/>
              <w:widowControl w:val="0"/>
              <w:spacing w:before="120" w:after="120" w:line="240" w:lineRule="auto"/>
              <w:ind w:left="31"/>
              <w:rPr>
                <w:color w:val="auto"/>
                <w:highlight w:val="none"/>
                <w:lang w:eastAsia="en-US"/>
              </w:rPr>
            </w:pPr>
            <w:r>
              <w:rPr>
                <w:color w:val="auto"/>
                <w:highlight w:val="none"/>
                <w:lang w:eastAsia="en-US"/>
              </w:rPr>
              <w:t>BIM前期准备</w:t>
            </w:r>
          </w:p>
        </w:tc>
        <w:tc>
          <w:tcPr>
            <w:tcW w:w="1031" w:type="pct"/>
            <w:gridSpan w:val="2"/>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F39F9B4">
            <w:pPr>
              <w:pStyle w:val="561"/>
              <w:widowControl w:val="0"/>
              <w:spacing w:before="120" w:after="120" w:line="240" w:lineRule="auto"/>
              <w:ind w:left="31"/>
              <w:rPr>
                <w:color w:val="auto"/>
                <w:highlight w:val="none"/>
                <w:lang w:eastAsia="en-US"/>
              </w:rPr>
            </w:pPr>
            <w:r>
              <w:rPr>
                <w:color w:val="auto"/>
                <w:highlight w:val="none"/>
                <w:lang w:eastAsia="en-US"/>
              </w:rPr>
              <w:t>甲方</w:t>
            </w:r>
          </w:p>
        </w:tc>
        <w:tc>
          <w:tcPr>
            <w:tcW w:w="1986" w:type="pct"/>
            <w:gridSpan w:val="5"/>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8DEB6FF">
            <w:pPr>
              <w:pStyle w:val="561"/>
              <w:widowControl w:val="0"/>
              <w:spacing w:before="120" w:after="120" w:line="240" w:lineRule="auto"/>
              <w:ind w:left="31"/>
              <w:rPr>
                <w:color w:val="auto"/>
                <w:highlight w:val="none"/>
                <w:lang w:eastAsia="en-US"/>
              </w:rPr>
            </w:pPr>
            <w:r>
              <w:rPr>
                <w:color w:val="auto"/>
                <w:highlight w:val="none"/>
                <w:lang w:eastAsia="en-US"/>
              </w:rPr>
              <w:t>参与方</w:t>
            </w:r>
          </w:p>
        </w:tc>
      </w:tr>
      <w:tr w14:paraId="71AADE22">
        <w:tblPrEx>
          <w:tblCellMar>
            <w:top w:w="0" w:type="dxa"/>
            <w:left w:w="0" w:type="dxa"/>
            <w:bottom w:w="0" w:type="dxa"/>
            <w:right w:w="0" w:type="dxa"/>
          </w:tblCellMar>
        </w:tblPrEx>
        <w:trPr>
          <w:trHeight w:val="454" w:hRule="atLeast"/>
          <w:jc w:val="center"/>
        </w:trPr>
        <w:tc>
          <w:tcPr>
            <w:tcW w:w="535"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0DA4009">
            <w:pPr>
              <w:pStyle w:val="561"/>
              <w:widowControl w:val="0"/>
              <w:spacing w:before="120" w:after="120" w:line="240" w:lineRule="auto"/>
              <w:ind w:left="31"/>
              <w:rPr>
                <w:color w:val="auto"/>
                <w:highlight w:val="none"/>
                <w:lang w:eastAsia="en-US"/>
              </w:rPr>
            </w:pPr>
          </w:p>
        </w:tc>
        <w:tc>
          <w:tcPr>
            <w:tcW w:w="1446"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0A8C6D5">
            <w:pPr>
              <w:pStyle w:val="561"/>
              <w:widowControl w:val="0"/>
              <w:spacing w:before="120" w:after="120" w:line="240" w:lineRule="auto"/>
              <w:ind w:left="31"/>
              <w:rPr>
                <w:color w:val="auto"/>
                <w:highlight w:val="none"/>
                <w:lang w:eastAsia="en-US"/>
              </w:rPr>
            </w:pP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753527D">
            <w:pPr>
              <w:pStyle w:val="561"/>
              <w:widowControl w:val="0"/>
              <w:spacing w:before="120" w:after="120"/>
              <w:ind w:left="31"/>
              <w:rPr>
                <w:color w:val="auto"/>
                <w:highlight w:val="none"/>
                <w:lang w:eastAsia="en-US"/>
              </w:rPr>
            </w:pPr>
            <w:r>
              <w:rPr>
                <w:rFonts w:hint="eastAsia"/>
                <w:color w:val="auto"/>
                <w:highlight w:val="none"/>
                <w:lang w:eastAsia="en-US"/>
              </w:rPr>
              <w:t>代建局前期工作部</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96D6DFA">
            <w:pPr>
              <w:pStyle w:val="561"/>
              <w:widowControl w:val="0"/>
              <w:spacing w:before="120" w:after="120"/>
              <w:ind w:left="31" w:right="1"/>
              <w:rPr>
                <w:color w:val="auto"/>
                <w:highlight w:val="none"/>
                <w:lang w:eastAsia="en-US"/>
              </w:rPr>
            </w:pPr>
            <w:r>
              <w:rPr>
                <w:rFonts w:hint="eastAsia"/>
                <w:color w:val="auto"/>
                <w:highlight w:val="none"/>
                <w:lang w:eastAsia="en-US"/>
              </w:rPr>
              <w:t>代建局</w:t>
            </w:r>
            <w:r>
              <w:rPr>
                <w:color w:val="auto"/>
                <w:highlight w:val="none"/>
                <w:lang w:eastAsia="en-US"/>
              </w:rPr>
              <w:t>BIM</w:t>
            </w:r>
            <w:r>
              <w:rPr>
                <w:rFonts w:hint="eastAsia"/>
                <w:color w:val="auto"/>
                <w:highlight w:val="none"/>
                <w:lang w:eastAsia="en-US"/>
              </w:rPr>
              <w:t>技术应用管理领导小组</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CF468FB">
            <w:pPr>
              <w:pStyle w:val="561"/>
              <w:widowControl w:val="0"/>
              <w:spacing w:before="120" w:after="120"/>
              <w:ind w:left="31" w:right="1"/>
              <w:rPr>
                <w:color w:val="auto"/>
                <w:highlight w:val="none"/>
                <w:lang w:eastAsia="en-US"/>
              </w:rPr>
            </w:pPr>
            <w:r>
              <w:rPr>
                <w:color w:val="auto"/>
                <w:highlight w:val="none"/>
                <w:lang w:eastAsia="en-US"/>
              </w:rPr>
              <w:t>BIM</w:t>
            </w:r>
          </w:p>
          <w:p w14:paraId="16B39C68">
            <w:pPr>
              <w:pStyle w:val="561"/>
              <w:widowControl w:val="0"/>
              <w:spacing w:before="120" w:after="120" w:line="240" w:lineRule="auto"/>
              <w:ind w:left="31"/>
              <w:rPr>
                <w:color w:val="auto"/>
                <w:highlight w:val="none"/>
                <w:lang w:eastAsia="en-US"/>
              </w:rPr>
            </w:pPr>
            <w:r>
              <w:rPr>
                <w:color w:val="auto"/>
                <w:highlight w:val="none"/>
                <w:lang w:eastAsia="en-US"/>
              </w:rPr>
              <w:t>总协调</w:t>
            </w: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057704A">
            <w:pPr>
              <w:pStyle w:val="561"/>
              <w:widowControl w:val="0"/>
              <w:spacing w:before="120" w:after="120" w:line="240" w:lineRule="auto"/>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F3BB255">
            <w:pPr>
              <w:pStyle w:val="561"/>
              <w:widowControl w:val="0"/>
              <w:spacing w:before="120" w:after="120" w:line="240" w:lineRule="auto"/>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7E55972">
            <w:pPr>
              <w:pStyle w:val="561"/>
              <w:widowControl w:val="0"/>
              <w:spacing w:before="120" w:after="120" w:line="240" w:lineRule="auto"/>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1838676">
            <w:pPr>
              <w:pStyle w:val="561"/>
              <w:widowControl w:val="0"/>
              <w:spacing w:before="120" w:after="120" w:line="240" w:lineRule="auto"/>
              <w:ind w:left="31"/>
              <w:rPr>
                <w:color w:val="auto"/>
                <w:highlight w:val="none"/>
                <w:lang w:eastAsia="en-US"/>
              </w:rPr>
            </w:pPr>
          </w:p>
        </w:tc>
      </w:tr>
      <w:tr w14:paraId="6FA412E4">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31CD639">
            <w:pPr>
              <w:pStyle w:val="561"/>
              <w:widowControl w:val="0"/>
              <w:spacing w:before="120" w:after="120" w:line="240" w:lineRule="auto"/>
              <w:ind w:left="31"/>
              <w:rPr>
                <w:color w:val="auto"/>
                <w:highlight w:val="none"/>
                <w:lang w:eastAsia="en-US"/>
              </w:rPr>
            </w:pPr>
            <w:r>
              <w:rPr>
                <w:color w:val="auto"/>
                <w:highlight w:val="none"/>
                <w:lang w:eastAsia="en-US"/>
              </w:rPr>
              <w:t>1.1</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97E8BB9">
            <w:pPr>
              <w:pStyle w:val="561"/>
              <w:widowControl w:val="0"/>
              <w:spacing w:before="120" w:after="120" w:line="240" w:lineRule="auto"/>
              <w:ind w:left="31"/>
              <w:rPr>
                <w:color w:val="auto"/>
                <w:highlight w:val="none"/>
                <w:lang w:eastAsia="en-US"/>
              </w:rPr>
            </w:pPr>
            <w:r>
              <w:rPr>
                <w:color w:val="auto"/>
                <w:highlight w:val="none"/>
                <w:lang w:eastAsia="en-US"/>
              </w:rPr>
              <w:t>BIM项目实施可行性分析</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FA72968">
            <w:pPr>
              <w:pStyle w:val="561"/>
              <w:widowControl w:val="0"/>
              <w:spacing w:before="120" w:after="120" w:line="240" w:lineRule="auto"/>
              <w:ind w:left="31"/>
              <w:rPr>
                <w:color w:val="auto"/>
                <w:highlight w:val="none"/>
                <w:lang w:eastAsia="en-US"/>
              </w:rPr>
            </w:pPr>
            <w:r>
              <w:rPr>
                <w:color w:val="auto"/>
                <w:highlight w:val="none"/>
                <w:lang w:eastAsia="en-US"/>
              </w:rPr>
              <w:t>P</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3ADF46B">
            <w:pPr>
              <w:pStyle w:val="561"/>
              <w:widowControl w:val="0"/>
              <w:spacing w:before="120" w:after="120"/>
              <w:ind w:left="31"/>
              <w:rPr>
                <w:color w:val="auto"/>
                <w:highlight w:val="none"/>
                <w:lang w:eastAsia="en-US"/>
              </w:rPr>
            </w:pP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32DFA81">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E765153">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ECB9E2C">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7BA6970">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E2BA1D3">
            <w:pPr>
              <w:pStyle w:val="561"/>
              <w:widowControl w:val="0"/>
              <w:spacing w:before="120" w:after="120" w:line="240" w:lineRule="auto"/>
              <w:ind w:left="31"/>
              <w:rPr>
                <w:color w:val="auto"/>
                <w:highlight w:val="none"/>
                <w:lang w:eastAsia="en-US"/>
              </w:rPr>
            </w:pPr>
          </w:p>
        </w:tc>
      </w:tr>
      <w:tr w14:paraId="5D7623E6">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9945108">
            <w:pPr>
              <w:pStyle w:val="561"/>
              <w:widowControl w:val="0"/>
              <w:spacing w:before="120" w:after="120" w:line="240" w:lineRule="auto"/>
              <w:ind w:left="31"/>
              <w:rPr>
                <w:color w:val="auto"/>
                <w:highlight w:val="none"/>
                <w:lang w:eastAsia="en-US"/>
              </w:rPr>
            </w:pPr>
            <w:r>
              <w:rPr>
                <w:color w:val="auto"/>
                <w:highlight w:val="none"/>
                <w:lang w:eastAsia="en-US"/>
              </w:rPr>
              <w:t>1.2</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9EDC653">
            <w:pPr>
              <w:pStyle w:val="561"/>
              <w:widowControl w:val="0"/>
              <w:spacing w:before="120" w:after="120" w:line="240" w:lineRule="auto"/>
              <w:ind w:left="31"/>
              <w:rPr>
                <w:color w:val="auto"/>
                <w:highlight w:val="none"/>
                <w:lang w:eastAsia="en-US"/>
              </w:rPr>
            </w:pPr>
            <w:r>
              <w:rPr>
                <w:rFonts w:hint="eastAsia"/>
                <w:color w:val="auto"/>
                <w:highlight w:val="none"/>
                <w:lang w:eastAsia="en-US"/>
              </w:rPr>
              <w:t>落实B</w:t>
            </w:r>
            <w:r>
              <w:rPr>
                <w:color w:val="auto"/>
                <w:highlight w:val="none"/>
                <w:lang w:eastAsia="en-US"/>
              </w:rPr>
              <w:t>IM</w:t>
            </w:r>
            <w:r>
              <w:rPr>
                <w:rFonts w:hint="eastAsia"/>
                <w:color w:val="auto"/>
                <w:highlight w:val="none"/>
                <w:lang w:eastAsia="en-US"/>
              </w:rPr>
              <w:t>资金情况</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5669883">
            <w:pPr>
              <w:pStyle w:val="561"/>
              <w:widowControl w:val="0"/>
              <w:spacing w:before="120" w:after="120" w:line="240" w:lineRule="auto"/>
              <w:ind w:left="31"/>
              <w:rPr>
                <w:color w:val="auto"/>
                <w:highlight w:val="none"/>
                <w:lang w:eastAsia="en-US"/>
              </w:rPr>
            </w:pPr>
            <w:r>
              <w:rPr>
                <w:color w:val="auto"/>
                <w:highlight w:val="none"/>
                <w:lang w:eastAsia="en-US"/>
              </w:rPr>
              <w:t>P</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82D2E15">
            <w:pPr>
              <w:pStyle w:val="561"/>
              <w:widowControl w:val="0"/>
              <w:spacing w:before="120" w:after="120"/>
              <w:ind w:left="31"/>
              <w:rPr>
                <w:color w:val="auto"/>
                <w:highlight w:val="none"/>
                <w:lang w:eastAsia="en-US"/>
              </w:rPr>
            </w:pP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34A8893">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62FE8D0">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7B44739">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26FFC10">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4B24924">
            <w:pPr>
              <w:pStyle w:val="561"/>
              <w:widowControl w:val="0"/>
              <w:spacing w:before="120" w:after="120" w:line="240" w:lineRule="auto"/>
              <w:ind w:left="31"/>
              <w:rPr>
                <w:color w:val="auto"/>
                <w:highlight w:val="none"/>
                <w:lang w:eastAsia="en-US"/>
              </w:rPr>
            </w:pPr>
          </w:p>
        </w:tc>
      </w:tr>
      <w:tr w14:paraId="0029C3BE">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002B7F2">
            <w:pPr>
              <w:pStyle w:val="561"/>
              <w:widowControl w:val="0"/>
              <w:spacing w:before="120" w:after="120" w:line="240" w:lineRule="auto"/>
              <w:ind w:left="31"/>
              <w:rPr>
                <w:color w:val="auto"/>
                <w:highlight w:val="none"/>
                <w:lang w:eastAsia="en-US"/>
              </w:rPr>
            </w:pPr>
            <w:r>
              <w:rPr>
                <w:color w:val="auto"/>
                <w:highlight w:val="none"/>
                <w:lang w:eastAsia="en-US"/>
              </w:rPr>
              <w:t>1.3</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FB76DF7">
            <w:pPr>
              <w:pStyle w:val="561"/>
              <w:widowControl w:val="0"/>
              <w:spacing w:before="120" w:after="120" w:line="240" w:lineRule="auto"/>
              <w:ind w:left="31"/>
              <w:rPr>
                <w:color w:val="auto"/>
                <w:highlight w:val="none"/>
                <w:lang w:eastAsia="en-US"/>
              </w:rPr>
            </w:pPr>
            <w:r>
              <w:rPr>
                <w:color w:val="auto"/>
                <w:highlight w:val="none"/>
                <w:lang w:eastAsia="en-US"/>
              </w:rPr>
              <w:t>制定BIM实施目标</w:t>
            </w:r>
          </w:p>
        </w:tc>
        <w:tc>
          <w:tcPr>
            <w:tcW w:w="1031" w:type="pct"/>
            <w:gridSpan w:val="2"/>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1CD3934">
            <w:pPr>
              <w:pStyle w:val="561"/>
              <w:widowControl w:val="0"/>
              <w:spacing w:before="120" w:after="120"/>
              <w:ind w:left="31"/>
              <w:rPr>
                <w:color w:val="auto"/>
                <w:highlight w:val="none"/>
                <w:lang w:eastAsia="en-US"/>
              </w:rPr>
            </w:pPr>
            <w:r>
              <w:rPr>
                <w:rFonts w:hint="eastAsia"/>
                <w:color w:val="auto"/>
                <w:highlight w:val="none"/>
                <w:lang w:eastAsia="en-US"/>
              </w:rPr>
              <w:t>P</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4F28363">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364C34E">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2551A31">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C5C10E1">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0FF68E4">
            <w:pPr>
              <w:pStyle w:val="561"/>
              <w:widowControl w:val="0"/>
              <w:spacing w:before="120" w:after="120" w:line="240" w:lineRule="auto"/>
              <w:ind w:left="31"/>
              <w:rPr>
                <w:color w:val="auto"/>
                <w:highlight w:val="none"/>
                <w:lang w:eastAsia="en-US"/>
              </w:rPr>
            </w:pPr>
          </w:p>
        </w:tc>
      </w:tr>
      <w:tr w14:paraId="1B3C9A54">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F307D1C">
            <w:pPr>
              <w:pStyle w:val="561"/>
              <w:widowControl w:val="0"/>
              <w:spacing w:before="120" w:after="120" w:line="240" w:lineRule="auto"/>
              <w:ind w:left="31"/>
              <w:rPr>
                <w:color w:val="auto"/>
                <w:highlight w:val="none"/>
                <w:lang w:eastAsia="en-US"/>
              </w:rPr>
            </w:pPr>
            <w:r>
              <w:rPr>
                <w:color w:val="auto"/>
                <w:highlight w:val="none"/>
                <w:lang w:eastAsia="en-US"/>
              </w:rPr>
              <w:t>1.4</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0AF622D">
            <w:pPr>
              <w:pStyle w:val="561"/>
              <w:widowControl w:val="0"/>
              <w:spacing w:before="120" w:after="120" w:line="240" w:lineRule="auto"/>
              <w:ind w:left="31"/>
              <w:rPr>
                <w:color w:val="auto"/>
                <w:highlight w:val="none"/>
                <w:lang w:eastAsia="en-US"/>
              </w:rPr>
            </w:pPr>
            <w:r>
              <w:rPr>
                <w:color w:val="auto"/>
                <w:highlight w:val="none"/>
                <w:lang w:eastAsia="en-US"/>
              </w:rPr>
              <w:t>确定BIM组织方式</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EC723C9">
            <w:pPr>
              <w:pStyle w:val="561"/>
              <w:widowControl w:val="0"/>
              <w:spacing w:before="120" w:after="120" w:line="240" w:lineRule="auto"/>
              <w:ind w:left="31"/>
              <w:rPr>
                <w:color w:val="auto"/>
                <w:highlight w:val="none"/>
                <w:lang w:eastAsia="en-US"/>
              </w:rPr>
            </w:pPr>
            <w:r>
              <w:rPr>
                <w:color w:val="auto"/>
                <w:highlight w:val="none"/>
                <w:lang w:eastAsia="en-US"/>
              </w:rPr>
              <w:t>P</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1CA0517">
            <w:pPr>
              <w:pStyle w:val="561"/>
              <w:widowControl w:val="0"/>
              <w:spacing w:before="120" w:after="120"/>
              <w:ind w:left="31"/>
              <w:rPr>
                <w:color w:val="auto"/>
                <w:highlight w:val="none"/>
                <w:lang w:eastAsia="en-US"/>
              </w:rPr>
            </w:pP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43EDB25">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F984448">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5DBB760">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CD01C5E">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AE7BDB2">
            <w:pPr>
              <w:pStyle w:val="561"/>
              <w:widowControl w:val="0"/>
              <w:spacing w:before="120" w:after="120" w:line="240" w:lineRule="auto"/>
              <w:ind w:left="31"/>
              <w:rPr>
                <w:color w:val="auto"/>
                <w:highlight w:val="none"/>
                <w:lang w:eastAsia="en-US"/>
              </w:rPr>
            </w:pPr>
          </w:p>
        </w:tc>
      </w:tr>
      <w:tr w14:paraId="0F22A7D9">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91C9562">
            <w:pPr>
              <w:pStyle w:val="561"/>
              <w:widowControl w:val="0"/>
              <w:spacing w:before="120" w:after="120" w:line="240" w:lineRule="auto"/>
              <w:ind w:left="31"/>
              <w:rPr>
                <w:color w:val="auto"/>
                <w:highlight w:val="none"/>
                <w:lang w:eastAsia="en-US"/>
              </w:rPr>
            </w:pPr>
            <w:r>
              <w:rPr>
                <w:color w:val="auto"/>
                <w:highlight w:val="none"/>
                <w:lang w:eastAsia="en-US"/>
              </w:rPr>
              <w:t>1.5</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39826C9">
            <w:pPr>
              <w:pStyle w:val="561"/>
              <w:widowControl w:val="0"/>
              <w:spacing w:before="120" w:after="120" w:line="240" w:lineRule="auto"/>
              <w:ind w:left="31"/>
              <w:rPr>
                <w:color w:val="auto"/>
                <w:highlight w:val="none"/>
                <w:lang w:eastAsia="en-US"/>
              </w:rPr>
            </w:pPr>
            <w:r>
              <w:rPr>
                <w:color w:val="auto"/>
                <w:highlight w:val="none"/>
                <w:lang w:eastAsia="en-US"/>
              </w:rPr>
              <w:t>确定相关单位职责</w:t>
            </w:r>
          </w:p>
        </w:tc>
        <w:tc>
          <w:tcPr>
            <w:tcW w:w="1031" w:type="pct"/>
            <w:gridSpan w:val="2"/>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B4290B8">
            <w:pPr>
              <w:pStyle w:val="561"/>
              <w:widowControl w:val="0"/>
              <w:spacing w:before="120" w:after="120"/>
              <w:ind w:left="31"/>
              <w:rPr>
                <w:color w:val="auto"/>
                <w:highlight w:val="none"/>
                <w:lang w:eastAsia="en-US"/>
              </w:rPr>
            </w:pPr>
            <w:r>
              <w:rPr>
                <w:color w:val="auto"/>
                <w:highlight w:val="none"/>
                <w:lang w:eastAsia="en-US"/>
              </w:rPr>
              <w:t>P</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B6F4515">
            <w:pPr>
              <w:pStyle w:val="561"/>
              <w:widowControl w:val="0"/>
              <w:spacing w:before="120" w:after="120"/>
              <w:ind w:left="31"/>
              <w:rPr>
                <w:color w:val="auto"/>
                <w:highlight w:val="none"/>
                <w:lang w:eastAsia="en-US"/>
              </w:rPr>
            </w:pPr>
            <w:r>
              <w:rPr>
                <w:rFonts w:hint="eastAsia"/>
                <w:color w:val="auto"/>
                <w:highlight w:val="none"/>
                <w:lang w:eastAsia="en-US"/>
              </w:rPr>
              <w:t>S</w:t>
            </w: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490DC78">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8DC2CF2">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ACE20AB">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410688A">
            <w:pPr>
              <w:pStyle w:val="561"/>
              <w:widowControl w:val="0"/>
              <w:spacing w:before="120" w:after="120" w:line="240" w:lineRule="auto"/>
              <w:ind w:left="31"/>
              <w:rPr>
                <w:color w:val="auto"/>
                <w:highlight w:val="none"/>
                <w:lang w:eastAsia="en-US"/>
              </w:rPr>
            </w:pPr>
          </w:p>
        </w:tc>
      </w:tr>
      <w:tr w14:paraId="5D7D798C">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18C4546">
            <w:pPr>
              <w:pStyle w:val="561"/>
              <w:widowControl w:val="0"/>
              <w:spacing w:before="120" w:after="120" w:line="240" w:lineRule="auto"/>
              <w:ind w:left="31"/>
              <w:rPr>
                <w:color w:val="auto"/>
                <w:highlight w:val="none"/>
                <w:lang w:eastAsia="en-US"/>
              </w:rPr>
            </w:pPr>
            <w:r>
              <w:rPr>
                <w:color w:val="auto"/>
                <w:highlight w:val="none"/>
                <w:lang w:eastAsia="en-US"/>
              </w:rPr>
              <w:t>1.6</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AE698DA">
            <w:pPr>
              <w:pStyle w:val="561"/>
              <w:widowControl w:val="0"/>
              <w:spacing w:before="120" w:after="120" w:line="240" w:lineRule="auto"/>
              <w:ind w:left="31"/>
              <w:rPr>
                <w:color w:val="auto"/>
                <w:highlight w:val="none"/>
                <w:lang w:eastAsia="en-US"/>
              </w:rPr>
            </w:pPr>
            <w:r>
              <w:rPr>
                <w:color w:val="auto"/>
                <w:highlight w:val="none"/>
                <w:lang w:eastAsia="en-US"/>
              </w:rPr>
              <w:t>确定BIM实施大纲</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502D7AF">
            <w:pPr>
              <w:pStyle w:val="561"/>
              <w:widowControl w:val="0"/>
              <w:spacing w:before="120" w:after="120" w:line="240" w:lineRule="auto"/>
              <w:ind w:left="31"/>
              <w:rPr>
                <w:color w:val="auto"/>
                <w:highlight w:val="none"/>
                <w:lang w:eastAsia="en-US"/>
              </w:rPr>
            </w:pP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4A103CD">
            <w:pPr>
              <w:pStyle w:val="561"/>
              <w:widowControl w:val="0"/>
              <w:spacing w:before="120" w:after="120"/>
              <w:ind w:left="31"/>
              <w:rPr>
                <w:color w:val="auto"/>
                <w:highlight w:val="none"/>
                <w:lang w:eastAsia="en-US"/>
              </w:rPr>
            </w:pPr>
            <w:r>
              <w:rPr>
                <w:color w:val="auto"/>
                <w:highlight w:val="none"/>
                <w:lang w:eastAsia="en-US"/>
              </w:rPr>
              <w:t>R</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0104B94">
            <w:pPr>
              <w:pStyle w:val="561"/>
              <w:widowControl w:val="0"/>
              <w:spacing w:before="120" w:after="120"/>
              <w:ind w:left="31"/>
              <w:rPr>
                <w:color w:val="auto"/>
                <w:highlight w:val="none"/>
                <w:lang w:eastAsia="en-US"/>
              </w:rPr>
            </w:pPr>
            <w:r>
              <w:rPr>
                <w:color w:val="auto"/>
                <w:highlight w:val="none"/>
                <w:lang w:eastAsia="en-US"/>
              </w:rPr>
              <w:t>P</w:t>
            </w: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E34F903">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2B29404">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3CF64B0">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F51A473">
            <w:pPr>
              <w:pStyle w:val="561"/>
              <w:widowControl w:val="0"/>
              <w:spacing w:before="120" w:after="120" w:line="240" w:lineRule="auto"/>
              <w:ind w:left="31"/>
              <w:rPr>
                <w:color w:val="auto"/>
                <w:highlight w:val="none"/>
                <w:lang w:eastAsia="en-US"/>
              </w:rPr>
            </w:pPr>
          </w:p>
        </w:tc>
      </w:tr>
      <w:tr w14:paraId="79D2FAE2">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CE64293">
            <w:pPr>
              <w:pStyle w:val="561"/>
              <w:widowControl w:val="0"/>
              <w:spacing w:before="120" w:after="120" w:line="240" w:lineRule="auto"/>
              <w:ind w:left="31"/>
              <w:rPr>
                <w:color w:val="auto"/>
                <w:highlight w:val="none"/>
                <w:lang w:eastAsia="en-US"/>
              </w:rPr>
            </w:pPr>
            <w:r>
              <w:rPr>
                <w:color w:val="auto"/>
                <w:highlight w:val="none"/>
                <w:lang w:eastAsia="en-US"/>
              </w:rPr>
              <w:t>1.7</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1701D36">
            <w:pPr>
              <w:pStyle w:val="561"/>
              <w:widowControl w:val="0"/>
              <w:spacing w:before="120" w:after="120" w:line="240" w:lineRule="auto"/>
              <w:ind w:left="31"/>
              <w:rPr>
                <w:color w:val="auto"/>
                <w:highlight w:val="none"/>
                <w:lang w:eastAsia="en-US"/>
              </w:rPr>
            </w:pPr>
            <w:r>
              <w:rPr>
                <w:color w:val="auto"/>
                <w:highlight w:val="none"/>
                <w:lang w:eastAsia="en-US"/>
              </w:rPr>
              <w:t>制定BIM实施总体计划</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D8CA4B4">
            <w:pPr>
              <w:pStyle w:val="561"/>
              <w:widowControl w:val="0"/>
              <w:spacing w:before="120" w:after="120" w:line="240" w:lineRule="auto"/>
              <w:ind w:left="31"/>
              <w:rPr>
                <w:color w:val="auto"/>
                <w:highlight w:val="none"/>
                <w:lang w:eastAsia="en-US"/>
              </w:rPr>
            </w:pP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6FFC667">
            <w:pPr>
              <w:pStyle w:val="561"/>
              <w:widowControl w:val="0"/>
              <w:spacing w:before="120" w:after="120"/>
              <w:ind w:left="31"/>
              <w:rPr>
                <w:color w:val="auto"/>
                <w:highlight w:val="none"/>
                <w:lang w:eastAsia="en-US"/>
              </w:rPr>
            </w:pPr>
            <w:r>
              <w:rPr>
                <w:color w:val="auto"/>
                <w:highlight w:val="none"/>
                <w:lang w:eastAsia="en-US"/>
              </w:rPr>
              <w:t>R</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431DFBA">
            <w:pPr>
              <w:pStyle w:val="561"/>
              <w:widowControl w:val="0"/>
              <w:spacing w:before="120" w:after="120"/>
              <w:ind w:left="31"/>
              <w:rPr>
                <w:color w:val="auto"/>
                <w:highlight w:val="none"/>
                <w:lang w:eastAsia="en-US"/>
              </w:rPr>
            </w:pPr>
            <w:r>
              <w:rPr>
                <w:color w:val="auto"/>
                <w:highlight w:val="none"/>
                <w:lang w:eastAsia="en-US"/>
              </w:rPr>
              <w:t>P</w:t>
            </w: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2D48FB7">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0969DA7">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8EF39AB">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B22F036">
            <w:pPr>
              <w:pStyle w:val="561"/>
              <w:widowControl w:val="0"/>
              <w:spacing w:before="120" w:after="120" w:line="240" w:lineRule="auto"/>
              <w:ind w:left="31"/>
              <w:rPr>
                <w:color w:val="auto"/>
                <w:highlight w:val="none"/>
                <w:lang w:eastAsia="en-US"/>
              </w:rPr>
            </w:pPr>
          </w:p>
        </w:tc>
      </w:tr>
      <w:tr w14:paraId="11D78698">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0E5C6D1">
            <w:pPr>
              <w:pStyle w:val="561"/>
              <w:widowControl w:val="0"/>
              <w:spacing w:before="120" w:after="120" w:line="240" w:lineRule="auto"/>
              <w:ind w:left="31"/>
              <w:rPr>
                <w:color w:val="auto"/>
                <w:highlight w:val="none"/>
                <w:lang w:eastAsia="en-US"/>
              </w:rPr>
            </w:pPr>
            <w:r>
              <w:rPr>
                <w:color w:val="auto"/>
                <w:highlight w:val="none"/>
                <w:lang w:eastAsia="en-US"/>
              </w:rPr>
              <w:t>1.8</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1318CAA">
            <w:pPr>
              <w:pStyle w:val="561"/>
              <w:widowControl w:val="0"/>
              <w:spacing w:before="120" w:after="120" w:line="240" w:lineRule="auto"/>
              <w:ind w:left="31"/>
              <w:rPr>
                <w:color w:val="auto"/>
                <w:highlight w:val="none"/>
                <w:lang w:eastAsia="en-US"/>
              </w:rPr>
            </w:pPr>
            <w:r>
              <w:rPr>
                <w:color w:val="auto"/>
                <w:highlight w:val="none"/>
                <w:lang w:eastAsia="en-US"/>
              </w:rPr>
              <w:t>开通项目协同平台</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14D4355">
            <w:pPr>
              <w:pStyle w:val="561"/>
              <w:widowControl w:val="0"/>
              <w:spacing w:before="120" w:after="120" w:line="240" w:lineRule="auto"/>
              <w:ind w:left="31"/>
              <w:rPr>
                <w:color w:val="auto"/>
                <w:highlight w:val="none"/>
                <w:lang w:eastAsia="en-US"/>
              </w:rPr>
            </w:pP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3E2E402">
            <w:pPr>
              <w:pStyle w:val="561"/>
              <w:widowControl w:val="0"/>
              <w:spacing w:before="120" w:after="120"/>
              <w:ind w:left="31"/>
              <w:rPr>
                <w:color w:val="auto"/>
                <w:highlight w:val="none"/>
                <w:lang w:eastAsia="en-US"/>
              </w:rPr>
            </w:pPr>
            <w:r>
              <w:rPr>
                <w:color w:val="auto"/>
                <w:highlight w:val="none"/>
                <w:lang w:eastAsia="en-US"/>
              </w:rPr>
              <w:t>P</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B39E808">
            <w:pPr>
              <w:pStyle w:val="561"/>
              <w:widowControl w:val="0"/>
              <w:spacing w:before="120" w:after="120"/>
              <w:ind w:left="31"/>
              <w:rPr>
                <w:color w:val="auto"/>
                <w:highlight w:val="none"/>
                <w:lang w:eastAsia="en-US"/>
              </w:rPr>
            </w:pPr>
            <w:r>
              <w:rPr>
                <w:color w:val="auto"/>
                <w:highlight w:val="none"/>
                <w:lang w:eastAsia="en-US"/>
              </w:rPr>
              <w:t>S</w:t>
            </w: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343D7F1">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D203B75">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283908C">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556534D">
            <w:pPr>
              <w:pStyle w:val="561"/>
              <w:widowControl w:val="0"/>
              <w:spacing w:before="120" w:after="120" w:line="240" w:lineRule="auto"/>
              <w:ind w:left="31"/>
              <w:rPr>
                <w:color w:val="auto"/>
                <w:highlight w:val="none"/>
                <w:lang w:eastAsia="en-US"/>
              </w:rPr>
            </w:pPr>
          </w:p>
        </w:tc>
      </w:tr>
      <w:tr w14:paraId="2F2EF06F">
        <w:tblPrEx>
          <w:tblCellMar>
            <w:top w:w="0" w:type="dxa"/>
            <w:left w:w="0" w:type="dxa"/>
            <w:bottom w:w="0" w:type="dxa"/>
            <w:right w:w="0" w:type="dxa"/>
          </w:tblCellMar>
        </w:tblPrEx>
        <w:trPr>
          <w:trHeight w:val="454" w:hRule="atLeast"/>
          <w:jc w:val="center"/>
        </w:trPr>
        <w:tc>
          <w:tcPr>
            <w:tcW w:w="535"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19A025C7">
            <w:pPr>
              <w:pStyle w:val="561"/>
              <w:widowControl w:val="0"/>
              <w:spacing w:before="120" w:after="120" w:line="240" w:lineRule="auto"/>
              <w:ind w:left="31"/>
              <w:rPr>
                <w:color w:val="auto"/>
                <w:highlight w:val="none"/>
                <w:lang w:eastAsia="en-US"/>
              </w:rPr>
            </w:pPr>
            <w:r>
              <w:rPr>
                <w:color w:val="auto"/>
                <w:highlight w:val="none"/>
                <w:lang w:eastAsia="en-US"/>
              </w:rPr>
              <w:t>2</w:t>
            </w:r>
          </w:p>
        </w:tc>
        <w:tc>
          <w:tcPr>
            <w:tcW w:w="1446"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19D12A65">
            <w:pPr>
              <w:pStyle w:val="561"/>
              <w:widowControl w:val="0"/>
              <w:spacing w:before="120" w:after="120" w:line="240" w:lineRule="auto"/>
              <w:ind w:left="31"/>
              <w:rPr>
                <w:color w:val="auto"/>
                <w:highlight w:val="none"/>
                <w:lang w:eastAsia="en-US"/>
              </w:rPr>
            </w:pPr>
            <w:r>
              <w:rPr>
                <w:color w:val="auto"/>
                <w:highlight w:val="none"/>
                <w:lang w:eastAsia="en-US"/>
              </w:rPr>
              <w:t>BIM设计阶段</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6995B72">
            <w:pPr>
              <w:pStyle w:val="561"/>
              <w:widowControl w:val="0"/>
              <w:spacing w:before="120" w:after="120" w:line="240" w:lineRule="auto"/>
              <w:ind w:left="31"/>
              <w:rPr>
                <w:color w:val="auto"/>
                <w:highlight w:val="none"/>
                <w:lang w:eastAsia="en-US"/>
              </w:rPr>
            </w:pPr>
            <w:r>
              <w:rPr>
                <w:color w:val="auto"/>
                <w:highlight w:val="none"/>
                <w:lang w:eastAsia="en-US"/>
              </w:rPr>
              <w:t>甲方</w:t>
            </w:r>
          </w:p>
        </w:tc>
        <w:tc>
          <w:tcPr>
            <w:tcW w:w="2499" w:type="pct"/>
            <w:gridSpan w:val="6"/>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45C4988">
            <w:pPr>
              <w:pStyle w:val="561"/>
              <w:widowControl w:val="0"/>
              <w:spacing w:before="120" w:after="120" w:line="240" w:lineRule="auto"/>
              <w:ind w:left="31"/>
              <w:rPr>
                <w:color w:val="auto"/>
                <w:highlight w:val="none"/>
                <w:lang w:eastAsia="en-US"/>
              </w:rPr>
            </w:pPr>
            <w:r>
              <w:rPr>
                <w:color w:val="auto"/>
                <w:highlight w:val="none"/>
                <w:lang w:eastAsia="en-US"/>
              </w:rPr>
              <w:t>参与方</w:t>
            </w:r>
          </w:p>
        </w:tc>
      </w:tr>
      <w:tr w14:paraId="5F210264">
        <w:tblPrEx>
          <w:tblCellMar>
            <w:top w:w="0" w:type="dxa"/>
            <w:left w:w="0" w:type="dxa"/>
            <w:bottom w:w="0" w:type="dxa"/>
            <w:right w:w="0" w:type="dxa"/>
          </w:tblCellMar>
        </w:tblPrEx>
        <w:trPr>
          <w:trHeight w:val="454" w:hRule="atLeast"/>
          <w:jc w:val="center"/>
        </w:trPr>
        <w:tc>
          <w:tcPr>
            <w:tcW w:w="535"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C607473">
            <w:pPr>
              <w:pStyle w:val="561"/>
              <w:widowControl w:val="0"/>
              <w:spacing w:before="120" w:after="120" w:line="240" w:lineRule="auto"/>
              <w:ind w:left="31"/>
              <w:rPr>
                <w:color w:val="auto"/>
                <w:highlight w:val="none"/>
                <w:lang w:eastAsia="en-US"/>
              </w:rPr>
            </w:pPr>
          </w:p>
        </w:tc>
        <w:tc>
          <w:tcPr>
            <w:tcW w:w="1446"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EF3B3EB">
            <w:pPr>
              <w:pStyle w:val="561"/>
              <w:widowControl w:val="0"/>
              <w:spacing w:before="120" w:after="120" w:line="240" w:lineRule="auto"/>
              <w:ind w:left="31"/>
              <w:rPr>
                <w:color w:val="auto"/>
                <w:highlight w:val="none"/>
                <w:lang w:eastAsia="en-US"/>
              </w:rPr>
            </w:pP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EE7E8E1">
            <w:pPr>
              <w:pStyle w:val="561"/>
              <w:widowControl w:val="0"/>
              <w:spacing w:before="120" w:after="120"/>
              <w:ind w:left="31"/>
              <w:rPr>
                <w:color w:val="auto"/>
                <w:highlight w:val="none"/>
                <w:lang w:eastAsia="en-US"/>
              </w:rPr>
            </w:pPr>
            <w:r>
              <w:rPr>
                <w:rFonts w:hint="eastAsia"/>
                <w:color w:val="auto"/>
                <w:highlight w:val="none"/>
                <w:lang w:eastAsia="en-US"/>
              </w:rPr>
              <w:t>代建局前期工作部、</w:t>
            </w:r>
          </w:p>
          <w:p w14:paraId="2C9ED57D">
            <w:pPr>
              <w:pStyle w:val="561"/>
              <w:widowControl w:val="0"/>
              <w:spacing w:before="120" w:after="120"/>
              <w:ind w:left="31"/>
              <w:rPr>
                <w:color w:val="auto"/>
                <w:highlight w:val="none"/>
                <w:lang w:eastAsia="en-US"/>
              </w:rPr>
            </w:pPr>
            <w:r>
              <w:rPr>
                <w:color w:val="auto"/>
                <w:highlight w:val="none"/>
                <w:lang w:eastAsia="en-US"/>
              </w:rPr>
              <w:t>BIM总协调</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359DEC5">
            <w:pPr>
              <w:pStyle w:val="561"/>
              <w:widowControl w:val="0"/>
              <w:spacing w:before="120" w:after="120"/>
              <w:ind w:left="31"/>
              <w:rPr>
                <w:color w:val="auto"/>
                <w:highlight w:val="none"/>
                <w:lang w:eastAsia="en-US"/>
              </w:rPr>
            </w:pPr>
            <w:r>
              <w:rPr>
                <w:color w:val="auto"/>
                <w:highlight w:val="none"/>
                <w:lang w:eastAsia="en-US"/>
              </w:rPr>
              <w:t>设计</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43FD10E">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48561E9">
            <w:pPr>
              <w:pStyle w:val="561"/>
              <w:widowControl w:val="0"/>
              <w:spacing w:before="120" w:after="120" w:line="240" w:lineRule="auto"/>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7759877">
            <w:pPr>
              <w:pStyle w:val="561"/>
              <w:widowControl w:val="0"/>
              <w:spacing w:before="120" w:after="120" w:line="240" w:lineRule="auto"/>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7290935">
            <w:pPr>
              <w:pStyle w:val="561"/>
              <w:widowControl w:val="0"/>
              <w:spacing w:before="120" w:after="120" w:line="240" w:lineRule="auto"/>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A666536">
            <w:pPr>
              <w:pStyle w:val="561"/>
              <w:widowControl w:val="0"/>
              <w:spacing w:before="120" w:after="120" w:line="240" w:lineRule="auto"/>
              <w:ind w:left="31"/>
              <w:rPr>
                <w:color w:val="auto"/>
                <w:highlight w:val="none"/>
                <w:lang w:eastAsia="en-US"/>
              </w:rPr>
            </w:pPr>
          </w:p>
        </w:tc>
      </w:tr>
      <w:tr w14:paraId="58F2523D">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5211107">
            <w:pPr>
              <w:pStyle w:val="561"/>
              <w:widowControl w:val="0"/>
              <w:spacing w:before="120" w:after="120" w:line="240" w:lineRule="auto"/>
              <w:ind w:left="31"/>
              <w:rPr>
                <w:color w:val="auto"/>
                <w:highlight w:val="none"/>
                <w:lang w:eastAsia="en-US"/>
              </w:rPr>
            </w:pPr>
            <w:r>
              <w:rPr>
                <w:color w:val="auto"/>
                <w:highlight w:val="none"/>
                <w:lang w:eastAsia="en-US"/>
              </w:rPr>
              <w:t>2.1</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9568C34">
            <w:pPr>
              <w:pStyle w:val="561"/>
              <w:widowControl w:val="0"/>
              <w:spacing w:before="120" w:after="120" w:line="240" w:lineRule="auto"/>
              <w:ind w:left="31"/>
              <w:rPr>
                <w:color w:val="auto"/>
                <w:highlight w:val="none"/>
                <w:lang w:eastAsia="en-US"/>
              </w:rPr>
            </w:pPr>
            <w:r>
              <w:rPr>
                <w:color w:val="auto"/>
                <w:highlight w:val="none"/>
                <w:lang w:eastAsia="en-US"/>
              </w:rPr>
              <w:t>制定设计阶段实施细则</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1570DCD">
            <w:pPr>
              <w:pStyle w:val="561"/>
              <w:widowControl w:val="0"/>
              <w:spacing w:before="120" w:after="120" w:line="240" w:lineRule="auto"/>
              <w:ind w:left="31"/>
              <w:rPr>
                <w:color w:val="auto"/>
                <w:highlight w:val="none"/>
                <w:lang w:eastAsia="en-US"/>
              </w:rPr>
            </w:pPr>
            <w:r>
              <w:rPr>
                <w:color w:val="auto"/>
                <w:highlight w:val="none"/>
                <w:lang w:eastAsia="en-US"/>
              </w:rPr>
              <w:t>P</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2805410">
            <w:pPr>
              <w:pStyle w:val="561"/>
              <w:widowControl w:val="0"/>
              <w:spacing w:before="120" w:after="120"/>
              <w:ind w:left="31"/>
              <w:rPr>
                <w:color w:val="auto"/>
                <w:highlight w:val="none"/>
                <w:lang w:eastAsia="en-US"/>
              </w:rPr>
            </w:pPr>
            <w:r>
              <w:rPr>
                <w:color w:val="auto"/>
                <w:highlight w:val="none"/>
                <w:lang w:eastAsia="en-US"/>
              </w:rPr>
              <w:t>S</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ADDFD0C">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0E5C83A">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9C0C26F">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8FB47BB">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011E03D">
            <w:pPr>
              <w:pStyle w:val="561"/>
              <w:widowControl w:val="0"/>
              <w:spacing w:before="120" w:after="120"/>
              <w:ind w:left="31"/>
              <w:rPr>
                <w:color w:val="auto"/>
                <w:highlight w:val="none"/>
                <w:lang w:eastAsia="en-US"/>
              </w:rPr>
            </w:pPr>
          </w:p>
        </w:tc>
      </w:tr>
      <w:tr w14:paraId="3133D085">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8B2966B">
            <w:pPr>
              <w:pStyle w:val="561"/>
              <w:widowControl w:val="0"/>
              <w:spacing w:before="120" w:after="120" w:line="240" w:lineRule="auto"/>
              <w:ind w:left="31"/>
              <w:rPr>
                <w:color w:val="auto"/>
                <w:highlight w:val="none"/>
                <w:lang w:eastAsia="en-US"/>
              </w:rPr>
            </w:pPr>
            <w:r>
              <w:rPr>
                <w:color w:val="auto"/>
                <w:highlight w:val="none"/>
                <w:lang w:eastAsia="en-US"/>
              </w:rPr>
              <w:t>2.2</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A6688AA">
            <w:pPr>
              <w:pStyle w:val="561"/>
              <w:widowControl w:val="0"/>
              <w:spacing w:before="120" w:after="120" w:line="240" w:lineRule="auto"/>
              <w:ind w:left="31"/>
              <w:rPr>
                <w:color w:val="auto"/>
                <w:highlight w:val="none"/>
                <w:lang w:eastAsia="en-US"/>
              </w:rPr>
            </w:pPr>
            <w:r>
              <w:rPr>
                <w:color w:val="auto"/>
                <w:highlight w:val="none"/>
                <w:lang w:eastAsia="en-US"/>
              </w:rPr>
              <w:t>分配设计协同权限</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36E18CE">
            <w:pPr>
              <w:pStyle w:val="561"/>
              <w:widowControl w:val="0"/>
              <w:spacing w:before="120" w:after="120" w:line="240" w:lineRule="auto"/>
              <w:ind w:left="31"/>
              <w:rPr>
                <w:color w:val="auto"/>
                <w:highlight w:val="none"/>
                <w:lang w:eastAsia="en-US"/>
              </w:rPr>
            </w:pPr>
            <w:r>
              <w:rPr>
                <w:color w:val="auto"/>
                <w:highlight w:val="none"/>
                <w:lang w:eastAsia="en-US"/>
              </w:rPr>
              <w:t>P</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5D1F945">
            <w:pPr>
              <w:pStyle w:val="561"/>
              <w:widowControl w:val="0"/>
              <w:spacing w:before="120" w:after="120"/>
              <w:ind w:left="31"/>
              <w:rPr>
                <w:color w:val="auto"/>
                <w:highlight w:val="none"/>
                <w:lang w:eastAsia="en-US"/>
              </w:rPr>
            </w:pPr>
            <w:r>
              <w:rPr>
                <w:color w:val="auto"/>
                <w:highlight w:val="none"/>
                <w:lang w:eastAsia="en-US"/>
              </w:rPr>
              <w:t>A</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8698814">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B3B1FC3">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97AE7BD">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923C841">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DA88AD8">
            <w:pPr>
              <w:pStyle w:val="561"/>
              <w:widowControl w:val="0"/>
              <w:spacing w:before="120" w:after="120"/>
              <w:ind w:left="31"/>
              <w:rPr>
                <w:color w:val="auto"/>
                <w:highlight w:val="none"/>
                <w:lang w:eastAsia="en-US"/>
              </w:rPr>
            </w:pPr>
          </w:p>
        </w:tc>
      </w:tr>
      <w:tr w14:paraId="19E7D44B">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5F6F8FA">
            <w:pPr>
              <w:pStyle w:val="561"/>
              <w:widowControl w:val="0"/>
              <w:spacing w:before="120" w:after="120" w:line="240" w:lineRule="auto"/>
              <w:ind w:left="31"/>
              <w:rPr>
                <w:color w:val="auto"/>
                <w:highlight w:val="none"/>
                <w:lang w:eastAsia="en-US"/>
              </w:rPr>
            </w:pPr>
            <w:r>
              <w:rPr>
                <w:color w:val="auto"/>
                <w:highlight w:val="none"/>
                <w:lang w:eastAsia="en-US"/>
              </w:rPr>
              <w:t>2.3</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CAAE277">
            <w:pPr>
              <w:pStyle w:val="561"/>
              <w:widowControl w:val="0"/>
              <w:spacing w:before="120" w:after="120" w:line="240" w:lineRule="auto"/>
              <w:ind w:left="31"/>
              <w:rPr>
                <w:color w:val="auto"/>
                <w:highlight w:val="none"/>
                <w:lang w:eastAsia="en-US"/>
              </w:rPr>
            </w:pPr>
            <w:r>
              <w:rPr>
                <w:color w:val="auto"/>
                <w:highlight w:val="none"/>
                <w:lang w:eastAsia="en-US"/>
              </w:rPr>
              <w:t>搭建方案模型</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F3ABC77">
            <w:pPr>
              <w:pStyle w:val="561"/>
              <w:widowControl w:val="0"/>
              <w:spacing w:before="120" w:after="120" w:line="240" w:lineRule="auto"/>
              <w:ind w:left="31"/>
              <w:rPr>
                <w:color w:val="auto"/>
                <w:highlight w:val="none"/>
                <w:lang w:eastAsia="en-US"/>
              </w:rPr>
            </w:pPr>
            <w:r>
              <w:rPr>
                <w:color w:val="auto"/>
                <w:highlight w:val="none"/>
                <w:lang w:eastAsia="en-US"/>
              </w:rPr>
              <w:t>R</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0C33225">
            <w:pPr>
              <w:pStyle w:val="561"/>
              <w:widowControl w:val="0"/>
              <w:spacing w:before="120" w:after="120"/>
              <w:ind w:left="31"/>
              <w:rPr>
                <w:color w:val="auto"/>
                <w:highlight w:val="none"/>
                <w:lang w:eastAsia="en-US"/>
              </w:rPr>
            </w:pPr>
            <w:r>
              <w:rPr>
                <w:color w:val="auto"/>
                <w:highlight w:val="none"/>
                <w:lang w:eastAsia="en-US"/>
              </w:rPr>
              <w:t>P/I</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63F8303">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D0BA33B">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2DE1BC6">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17F983E">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56DC25F">
            <w:pPr>
              <w:pStyle w:val="561"/>
              <w:widowControl w:val="0"/>
              <w:spacing w:before="120" w:after="120"/>
              <w:ind w:left="31"/>
              <w:rPr>
                <w:color w:val="auto"/>
                <w:highlight w:val="none"/>
                <w:lang w:eastAsia="en-US"/>
              </w:rPr>
            </w:pPr>
          </w:p>
        </w:tc>
      </w:tr>
      <w:tr w14:paraId="42BB9E22">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62BDACE">
            <w:pPr>
              <w:pStyle w:val="561"/>
              <w:widowControl w:val="0"/>
              <w:spacing w:before="120" w:after="120" w:line="240" w:lineRule="auto"/>
              <w:ind w:left="31"/>
              <w:rPr>
                <w:color w:val="auto"/>
                <w:highlight w:val="none"/>
                <w:lang w:eastAsia="en-US"/>
              </w:rPr>
            </w:pPr>
            <w:r>
              <w:rPr>
                <w:color w:val="auto"/>
                <w:highlight w:val="none"/>
                <w:lang w:eastAsia="en-US"/>
              </w:rPr>
              <w:t>2.4</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CC550DC">
            <w:pPr>
              <w:pStyle w:val="561"/>
              <w:widowControl w:val="0"/>
              <w:spacing w:before="120" w:after="120" w:line="240" w:lineRule="auto"/>
              <w:ind w:left="31"/>
              <w:rPr>
                <w:color w:val="auto"/>
                <w:highlight w:val="none"/>
                <w:lang w:eastAsia="en-US"/>
              </w:rPr>
            </w:pPr>
            <w:r>
              <w:rPr>
                <w:color w:val="auto"/>
                <w:highlight w:val="none"/>
                <w:lang w:eastAsia="en-US"/>
              </w:rPr>
              <w:t>方案BIM分析及应用</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898938F">
            <w:pPr>
              <w:pStyle w:val="561"/>
              <w:widowControl w:val="0"/>
              <w:spacing w:before="120" w:after="120" w:line="240" w:lineRule="auto"/>
              <w:ind w:left="31"/>
              <w:rPr>
                <w:color w:val="auto"/>
                <w:highlight w:val="none"/>
                <w:lang w:eastAsia="en-US"/>
              </w:rPr>
            </w:pPr>
            <w:r>
              <w:rPr>
                <w:color w:val="auto"/>
                <w:highlight w:val="none"/>
                <w:lang w:eastAsia="en-US"/>
              </w:rPr>
              <w:t>S</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AED3E11">
            <w:pPr>
              <w:pStyle w:val="561"/>
              <w:widowControl w:val="0"/>
              <w:spacing w:before="120" w:after="120"/>
              <w:ind w:left="31"/>
              <w:rPr>
                <w:color w:val="auto"/>
                <w:highlight w:val="none"/>
                <w:lang w:eastAsia="en-US"/>
              </w:rPr>
            </w:pPr>
            <w:r>
              <w:rPr>
                <w:color w:val="auto"/>
                <w:highlight w:val="none"/>
                <w:lang w:eastAsia="en-US"/>
              </w:rPr>
              <w:t>P/O</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F0B8661">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5EB04CA">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C9CC04A">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508C904">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50B5F9D">
            <w:pPr>
              <w:pStyle w:val="561"/>
              <w:widowControl w:val="0"/>
              <w:spacing w:before="120" w:after="120"/>
              <w:ind w:left="31"/>
              <w:rPr>
                <w:color w:val="auto"/>
                <w:highlight w:val="none"/>
                <w:lang w:eastAsia="en-US"/>
              </w:rPr>
            </w:pPr>
          </w:p>
        </w:tc>
      </w:tr>
      <w:tr w14:paraId="4A9F7362">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4FA07FF">
            <w:pPr>
              <w:pStyle w:val="561"/>
              <w:widowControl w:val="0"/>
              <w:spacing w:before="120" w:after="120" w:line="240" w:lineRule="auto"/>
              <w:ind w:left="31"/>
              <w:rPr>
                <w:color w:val="auto"/>
                <w:highlight w:val="none"/>
                <w:lang w:eastAsia="en-US"/>
              </w:rPr>
            </w:pPr>
            <w:r>
              <w:rPr>
                <w:color w:val="auto"/>
                <w:highlight w:val="none"/>
                <w:lang w:eastAsia="en-US"/>
              </w:rPr>
              <w:t>2.5</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C21DA56">
            <w:pPr>
              <w:pStyle w:val="561"/>
              <w:widowControl w:val="0"/>
              <w:spacing w:before="120" w:after="120" w:line="240" w:lineRule="auto"/>
              <w:ind w:left="31"/>
              <w:rPr>
                <w:color w:val="auto"/>
                <w:highlight w:val="none"/>
                <w:lang w:eastAsia="en-US"/>
              </w:rPr>
            </w:pPr>
            <w:r>
              <w:rPr>
                <w:color w:val="auto"/>
                <w:highlight w:val="none"/>
                <w:lang w:eastAsia="en-US"/>
              </w:rPr>
              <w:t>提交方案成果</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35A69D7">
            <w:pPr>
              <w:pStyle w:val="561"/>
              <w:widowControl w:val="0"/>
              <w:spacing w:before="120" w:after="120" w:line="240" w:lineRule="auto"/>
              <w:ind w:left="31"/>
              <w:rPr>
                <w:color w:val="auto"/>
                <w:highlight w:val="none"/>
                <w:lang w:eastAsia="en-US"/>
              </w:rPr>
            </w:pPr>
            <w:r>
              <w:rPr>
                <w:color w:val="auto"/>
                <w:highlight w:val="none"/>
                <w:lang w:eastAsia="en-US"/>
              </w:rPr>
              <w:t>R</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D2C9B74">
            <w:pPr>
              <w:pStyle w:val="561"/>
              <w:widowControl w:val="0"/>
              <w:spacing w:before="120" w:after="120"/>
              <w:ind w:left="31"/>
              <w:rPr>
                <w:color w:val="auto"/>
                <w:highlight w:val="none"/>
                <w:lang w:eastAsia="en-US"/>
              </w:rPr>
            </w:pPr>
            <w:r>
              <w:rPr>
                <w:color w:val="auto"/>
                <w:highlight w:val="none"/>
                <w:lang w:eastAsia="en-US"/>
              </w:rPr>
              <w:t>P</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4DBE88C">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7BAE75A">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5E63E03">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2372FCC">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0C55AA5">
            <w:pPr>
              <w:pStyle w:val="561"/>
              <w:widowControl w:val="0"/>
              <w:spacing w:before="120" w:after="120"/>
              <w:ind w:left="31"/>
              <w:rPr>
                <w:color w:val="auto"/>
                <w:highlight w:val="none"/>
                <w:lang w:eastAsia="en-US"/>
              </w:rPr>
            </w:pPr>
          </w:p>
        </w:tc>
      </w:tr>
      <w:tr w14:paraId="0857D707">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555298F">
            <w:pPr>
              <w:pStyle w:val="561"/>
              <w:widowControl w:val="0"/>
              <w:spacing w:before="120" w:after="120" w:line="240" w:lineRule="auto"/>
              <w:ind w:left="31"/>
              <w:rPr>
                <w:color w:val="auto"/>
                <w:highlight w:val="none"/>
                <w:lang w:eastAsia="en-US"/>
              </w:rPr>
            </w:pPr>
            <w:r>
              <w:rPr>
                <w:color w:val="auto"/>
                <w:highlight w:val="none"/>
                <w:lang w:eastAsia="en-US"/>
              </w:rPr>
              <w:t>2.6</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1AE6AC6">
            <w:pPr>
              <w:pStyle w:val="561"/>
              <w:widowControl w:val="0"/>
              <w:spacing w:before="120" w:after="120" w:line="240" w:lineRule="auto"/>
              <w:ind w:left="31"/>
              <w:rPr>
                <w:color w:val="auto"/>
                <w:highlight w:val="none"/>
                <w:lang w:eastAsia="en-US"/>
              </w:rPr>
            </w:pPr>
            <w:r>
              <w:rPr>
                <w:color w:val="auto"/>
                <w:highlight w:val="none"/>
                <w:lang w:eastAsia="en-US"/>
              </w:rPr>
              <w:t>初设阶段模型</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4F8FC48">
            <w:pPr>
              <w:pStyle w:val="561"/>
              <w:widowControl w:val="0"/>
              <w:spacing w:before="120" w:after="120" w:line="240" w:lineRule="auto"/>
              <w:ind w:left="31"/>
              <w:rPr>
                <w:color w:val="auto"/>
                <w:highlight w:val="none"/>
                <w:lang w:eastAsia="en-US"/>
              </w:rPr>
            </w:pPr>
            <w:r>
              <w:rPr>
                <w:color w:val="auto"/>
                <w:highlight w:val="none"/>
                <w:lang w:eastAsia="en-US"/>
              </w:rPr>
              <w:t>R</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7E775C4">
            <w:pPr>
              <w:pStyle w:val="561"/>
              <w:widowControl w:val="0"/>
              <w:spacing w:before="120" w:after="120"/>
              <w:ind w:left="31"/>
              <w:rPr>
                <w:color w:val="auto"/>
                <w:highlight w:val="none"/>
                <w:lang w:eastAsia="en-US"/>
              </w:rPr>
            </w:pPr>
            <w:r>
              <w:rPr>
                <w:color w:val="auto"/>
                <w:highlight w:val="none"/>
                <w:lang w:eastAsia="en-US"/>
              </w:rPr>
              <w:t>P/I</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01CD97C">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57DE356">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E36D85D">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7F144C0">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BA89506">
            <w:pPr>
              <w:pStyle w:val="561"/>
              <w:widowControl w:val="0"/>
              <w:spacing w:before="120" w:after="120"/>
              <w:ind w:left="31"/>
              <w:rPr>
                <w:color w:val="auto"/>
                <w:highlight w:val="none"/>
                <w:lang w:eastAsia="en-US"/>
              </w:rPr>
            </w:pPr>
          </w:p>
        </w:tc>
      </w:tr>
      <w:tr w14:paraId="2BFFCEB5">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BCD4CD2">
            <w:pPr>
              <w:pStyle w:val="561"/>
              <w:widowControl w:val="0"/>
              <w:spacing w:before="120" w:after="120" w:line="240" w:lineRule="auto"/>
              <w:ind w:left="31"/>
              <w:rPr>
                <w:color w:val="auto"/>
                <w:highlight w:val="none"/>
                <w:lang w:eastAsia="en-US"/>
              </w:rPr>
            </w:pPr>
            <w:r>
              <w:rPr>
                <w:color w:val="auto"/>
                <w:highlight w:val="none"/>
                <w:lang w:eastAsia="en-US"/>
              </w:rPr>
              <w:t>2.7</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9D7255E">
            <w:pPr>
              <w:pStyle w:val="561"/>
              <w:widowControl w:val="0"/>
              <w:spacing w:before="120" w:after="120" w:line="240" w:lineRule="auto"/>
              <w:ind w:left="31"/>
              <w:rPr>
                <w:color w:val="auto"/>
                <w:highlight w:val="none"/>
                <w:lang w:eastAsia="en-US"/>
              </w:rPr>
            </w:pPr>
            <w:r>
              <w:rPr>
                <w:color w:val="auto"/>
                <w:highlight w:val="none"/>
                <w:lang w:eastAsia="en-US"/>
              </w:rPr>
              <w:t>初步设计BIM分析及应用</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2461EC5">
            <w:pPr>
              <w:pStyle w:val="561"/>
              <w:widowControl w:val="0"/>
              <w:spacing w:before="120" w:after="120" w:line="240" w:lineRule="auto"/>
              <w:ind w:left="31"/>
              <w:rPr>
                <w:color w:val="auto"/>
                <w:highlight w:val="none"/>
                <w:lang w:eastAsia="en-US"/>
              </w:rPr>
            </w:pPr>
            <w:r>
              <w:rPr>
                <w:color w:val="auto"/>
                <w:highlight w:val="none"/>
                <w:lang w:eastAsia="en-US"/>
              </w:rPr>
              <w:t>S</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330F765">
            <w:pPr>
              <w:pStyle w:val="561"/>
              <w:widowControl w:val="0"/>
              <w:spacing w:before="120" w:after="120"/>
              <w:ind w:left="31"/>
              <w:rPr>
                <w:color w:val="auto"/>
                <w:highlight w:val="none"/>
                <w:lang w:eastAsia="en-US"/>
              </w:rPr>
            </w:pPr>
            <w:r>
              <w:rPr>
                <w:color w:val="auto"/>
                <w:highlight w:val="none"/>
                <w:lang w:eastAsia="en-US"/>
              </w:rPr>
              <w:t>P/O</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1744A7C">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E3EB90F">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A96C469">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31F2B98">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0AAE0E0">
            <w:pPr>
              <w:pStyle w:val="561"/>
              <w:widowControl w:val="0"/>
              <w:spacing w:before="120" w:after="120"/>
              <w:ind w:left="31"/>
              <w:rPr>
                <w:color w:val="auto"/>
                <w:highlight w:val="none"/>
                <w:lang w:eastAsia="en-US"/>
              </w:rPr>
            </w:pPr>
          </w:p>
        </w:tc>
      </w:tr>
      <w:tr w14:paraId="00CFA377">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78459D9">
            <w:pPr>
              <w:pStyle w:val="561"/>
              <w:widowControl w:val="0"/>
              <w:spacing w:before="120" w:after="120" w:line="240" w:lineRule="auto"/>
              <w:ind w:left="31"/>
              <w:rPr>
                <w:color w:val="auto"/>
                <w:highlight w:val="none"/>
                <w:lang w:eastAsia="en-US"/>
              </w:rPr>
            </w:pPr>
            <w:r>
              <w:rPr>
                <w:color w:val="auto"/>
                <w:highlight w:val="none"/>
                <w:lang w:eastAsia="en-US"/>
              </w:rPr>
              <w:t>2.8</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3D0DFEE">
            <w:pPr>
              <w:pStyle w:val="561"/>
              <w:widowControl w:val="0"/>
              <w:spacing w:before="120" w:after="120" w:line="240" w:lineRule="auto"/>
              <w:ind w:left="31"/>
              <w:rPr>
                <w:color w:val="auto"/>
                <w:highlight w:val="none"/>
                <w:lang w:eastAsia="en-US"/>
              </w:rPr>
            </w:pPr>
            <w:r>
              <w:rPr>
                <w:color w:val="auto"/>
                <w:highlight w:val="none"/>
                <w:lang w:eastAsia="en-US"/>
              </w:rPr>
              <w:t>提交初步设计成果</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F8A2EB6">
            <w:pPr>
              <w:pStyle w:val="561"/>
              <w:widowControl w:val="0"/>
              <w:spacing w:before="120" w:after="120" w:line="240" w:lineRule="auto"/>
              <w:ind w:left="31"/>
              <w:rPr>
                <w:color w:val="auto"/>
                <w:highlight w:val="none"/>
                <w:lang w:eastAsia="en-US"/>
              </w:rPr>
            </w:pPr>
            <w:r>
              <w:rPr>
                <w:color w:val="auto"/>
                <w:highlight w:val="none"/>
                <w:lang w:eastAsia="en-US"/>
              </w:rPr>
              <w:t>R</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B16B2F5">
            <w:pPr>
              <w:pStyle w:val="561"/>
              <w:widowControl w:val="0"/>
              <w:spacing w:before="120" w:after="120"/>
              <w:ind w:left="31"/>
              <w:rPr>
                <w:color w:val="auto"/>
                <w:highlight w:val="none"/>
                <w:lang w:eastAsia="en-US"/>
              </w:rPr>
            </w:pPr>
            <w:r>
              <w:rPr>
                <w:color w:val="auto"/>
                <w:highlight w:val="none"/>
                <w:lang w:eastAsia="en-US"/>
              </w:rPr>
              <w:t>P</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67536BB">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8F87030">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EAA0B5E">
            <w:pPr>
              <w:pStyle w:val="561"/>
              <w:widowControl w:val="0"/>
              <w:spacing w:before="120" w:after="120" w:line="240" w:lineRule="auto"/>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9430199">
            <w:pPr>
              <w:pStyle w:val="561"/>
              <w:widowControl w:val="0"/>
              <w:spacing w:before="120" w:after="120" w:line="240" w:lineRule="auto"/>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EDC21B2">
            <w:pPr>
              <w:pStyle w:val="561"/>
              <w:widowControl w:val="0"/>
              <w:spacing w:before="120" w:after="120" w:line="240" w:lineRule="auto"/>
              <w:ind w:left="31"/>
              <w:rPr>
                <w:color w:val="auto"/>
                <w:highlight w:val="none"/>
                <w:lang w:eastAsia="en-US"/>
              </w:rPr>
            </w:pPr>
          </w:p>
        </w:tc>
      </w:tr>
      <w:tr w14:paraId="7330C439">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01D5549">
            <w:pPr>
              <w:pStyle w:val="561"/>
              <w:widowControl w:val="0"/>
              <w:spacing w:before="120" w:after="120" w:line="240" w:lineRule="auto"/>
              <w:ind w:left="31"/>
              <w:rPr>
                <w:color w:val="auto"/>
                <w:highlight w:val="none"/>
                <w:lang w:eastAsia="en-US"/>
              </w:rPr>
            </w:pPr>
            <w:r>
              <w:rPr>
                <w:color w:val="auto"/>
                <w:highlight w:val="none"/>
                <w:lang w:eastAsia="en-US"/>
              </w:rPr>
              <w:t>2.9</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6A532B3">
            <w:pPr>
              <w:pStyle w:val="561"/>
              <w:widowControl w:val="0"/>
              <w:spacing w:before="120" w:after="120" w:line="240" w:lineRule="auto"/>
              <w:ind w:left="31"/>
              <w:rPr>
                <w:color w:val="auto"/>
                <w:highlight w:val="none"/>
                <w:lang w:eastAsia="en-US"/>
              </w:rPr>
            </w:pPr>
            <w:r>
              <w:rPr>
                <w:color w:val="auto"/>
                <w:highlight w:val="none"/>
                <w:lang w:eastAsia="en-US"/>
              </w:rPr>
              <w:t>施工图模型</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A9917BF">
            <w:pPr>
              <w:pStyle w:val="561"/>
              <w:widowControl w:val="0"/>
              <w:spacing w:before="120" w:after="120" w:line="240" w:lineRule="auto"/>
              <w:ind w:left="31"/>
              <w:rPr>
                <w:color w:val="auto"/>
                <w:highlight w:val="none"/>
                <w:lang w:eastAsia="en-US"/>
              </w:rPr>
            </w:pPr>
            <w:r>
              <w:rPr>
                <w:color w:val="auto"/>
                <w:highlight w:val="none"/>
                <w:lang w:eastAsia="en-US"/>
              </w:rPr>
              <w:t>R</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8CDCE8A">
            <w:pPr>
              <w:pStyle w:val="561"/>
              <w:widowControl w:val="0"/>
              <w:spacing w:before="120" w:after="120"/>
              <w:ind w:left="31"/>
              <w:rPr>
                <w:color w:val="auto"/>
                <w:highlight w:val="none"/>
                <w:lang w:eastAsia="en-US"/>
              </w:rPr>
            </w:pPr>
            <w:r>
              <w:rPr>
                <w:color w:val="auto"/>
                <w:highlight w:val="none"/>
                <w:lang w:eastAsia="en-US"/>
              </w:rPr>
              <w:t>P/I</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E5C8492">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1A4F629">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51D0C2E">
            <w:pPr>
              <w:pStyle w:val="561"/>
              <w:widowControl w:val="0"/>
              <w:spacing w:before="120" w:after="120" w:line="240" w:lineRule="auto"/>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B51A636">
            <w:pPr>
              <w:pStyle w:val="561"/>
              <w:widowControl w:val="0"/>
              <w:spacing w:before="120" w:after="120" w:line="240" w:lineRule="auto"/>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C0EF972">
            <w:pPr>
              <w:pStyle w:val="561"/>
              <w:widowControl w:val="0"/>
              <w:spacing w:before="120" w:after="120" w:line="240" w:lineRule="auto"/>
              <w:ind w:left="31"/>
              <w:rPr>
                <w:color w:val="auto"/>
                <w:highlight w:val="none"/>
                <w:lang w:eastAsia="en-US"/>
              </w:rPr>
            </w:pPr>
          </w:p>
        </w:tc>
      </w:tr>
      <w:tr w14:paraId="35F3BE25">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EA3CE14">
            <w:pPr>
              <w:pStyle w:val="561"/>
              <w:widowControl w:val="0"/>
              <w:spacing w:before="120" w:after="120" w:line="240" w:lineRule="auto"/>
              <w:ind w:left="31"/>
              <w:rPr>
                <w:color w:val="auto"/>
                <w:highlight w:val="none"/>
                <w:lang w:eastAsia="en-US"/>
              </w:rPr>
            </w:pPr>
            <w:r>
              <w:rPr>
                <w:color w:val="auto"/>
                <w:highlight w:val="none"/>
                <w:lang w:eastAsia="en-US"/>
              </w:rPr>
              <w:t>2.10</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6CD0D5B">
            <w:pPr>
              <w:pStyle w:val="561"/>
              <w:widowControl w:val="0"/>
              <w:spacing w:before="120" w:after="120" w:line="240" w:lineRule="auto"/>
              <w:ind w:left="31"/>
              <w:rPr>
                <w:color w:val="auto"/>
                <w:highlight w:val="none"/>
                <w:lang w:eastAsia="en-US"/>
              </w:rPr>
            </w:pPr>
            <w:r>
              <w:rPr>
                <w:color w:val="auto"/>
                <w:highlight w:val="none"/>
                <w:lang w:eastAsia="en-US"/>
              </w:rPr>
              <w:t>设计信息录入</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B8D26BF">
            <w:pPr>
              <w:pStyle w:val="561"/>
              <w:widowControl w:val="0"/>
              <w:spacing w:before="120" w:after="120" w:line="240" w:lineRule="auto"/>
              <w:ind w:left="31"/>
              <w:rPr>
                <w:color w:val="auto"/>
                <w:highlight w:val="none"/>
                <w:lang w:eastAsia="en-US"/>
              </w:rPr>
            </w:pPr>
            <w:r>
              <w:rPr>
                <w:color w:val="auto"/>
                <w:highlight w:val="none"/>
                <w:lang w:eastAsia="en-US"/>
              </w:rPr>
              <w:t>R</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991920B">
            <w:pPr>
              <w:pStyle w:val="561"/>
              <w:widowControl w:val="0"/>
              <w:spacing w:before="120" w:after="120"/>
              <w:ind w:left="31"/>
              <w:rPr>
                <w:color w:val="auto"/>
                <w:highlight w:val="none"/>
                <w:lang w:eastAsia="en-US"/>
              </w:rPr>
            </w:pPr>
            <w:r>
              <w:rPr>
                <w:color w:val="auto"/>
                <w:highlight w:val="none"/>
                <w:lang w:eastAsia="en-US"/>
              </w:rPr>
              <w:t>P/I</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3DDA7FE">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E2B2827">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CA3C4DF">
            <w:pPr>
              <w:pStyle w:val="561"/>
              <w:widowControl w:val="0"/>
              <w:spacing w:before="120" w:after="120" w:line="240" w:lineRule="auto"/>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D32DAC7">
            <w:pPr>
              <w:pStyle w:val="561"/>
              <w:widowControl w:val="0"/>
              <w:spacing w:before="120" w:after="120" w:line="240" w:lineRule="auto"/>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9DC672E">
            <w:pPr>
              <w:pStyle w:val="561"/>
              <w:widowControl w:val="0"/>
              <w:spacing w:before="120" w:after="120" w:line="240" w:lineRule="auto"/>
              <w:ind w:left="31"/>
              <w:rPr>
                <w:color w:val="auto"/>
                <w:highlight w:val="none"/>
                <w:lang w:eastAsia="en-US"/>
              </w:rPr>
            </w:pPr>
          </w:p>
        </w:tc>
      </w:tr>
      <w:tr w14:paraId="434CC2C5">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3FADA41">
            <w:pPr>
              <w:pStyle w:val="561"/>
              <w:widowControl w:val="0"/>
              <w:spacing w:before="120" w:after="120" w:line="240" w:lineRule="auto"/>
              <w:ind w:left="31"/>
              <w:rPr>
                <w:color w:val="auto"/>
                <w:highlight w:val="none"/>
                <w:lang w:eastAsia="en-US"/>
              </w:rPr>
            </w:pPr>
            <w:r>
              <w:rPr>
                <w:color w:val="auto"/>
                <w:highlight w:val="none"/>
                <w:lang w:eastAsia="en-US"/>
              </w:rPr>
              <w:t>2.11</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46A1B94">
            <w:pPr>
              <w:pStyle w:val="561"/>
              <w:widowControl w:val="0"/>
              <w:spacing w:before="120" w:after="120" w:line="240" w:lineRule="auto"/>
              <w:ind w:left="31"/>
              <w:rPr>
                <w:color w:val="auto"/>
                <w:highlight w:val="none"/>
                <w:lang w:eastAsia="en-US"/>
              </w:rPr>
            </w:pPr>
            <w:r>
              <w:rPr>
                <w:color w:val="auto"/>
                <w:highlight w:val="none"/>
                <w:lang w:eastAsia="en-US"/>
              </w:rPr>
              <w:t>提交施工图成果</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8FE10D5">
            <w:pPr>
              <w:pStyle w:val="561"/>
              <w:widowControl w:val="0"/>
              <w:spacing w:before="120" w:after="120" w:line="240" w:lineRule="auto"/>
              <w:ind w:left="31"/>
              <w:rPr>
                <w:color w:val="auto"/>
                <w:highlight w:val="none"/>
                <w:lang w:eastAsia="en-US"/>
              </w:rPr>
            </w:pPr>
            <w:r>
              <w:rPr>
                <w:color w:val="auto"/>
                <w:highlight w:val="none"/>
                <w:lang w:eastAsia="en-US"/>
              </w:rPr>
              <w:t>R</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D6C4614">
            <w:pPr>
              <w:pStyle w:val="561"/>
              <w:widowControl w:val="0"/>
              <w:spacing w:before="120" w:after="120"/>
              <w:ind w:left="31"/>
              <w:rPr>
                <w:color w:val="auto"/>
                <w:highlight w:val="none"/>
                <w:lang w:eastAsia="en-US"/>
              </w:rPr>
            </w:pPr>
            <w:r>
              <w:rPr>
                <w:color w:val="auto"/>
                <w:highlight w:val="none"/>
                <w:lang w:eastAsia="en-US"/>
              </w:rPr>
              <w:t>P</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12FA5E2">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00BE266">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963391B">
            <w:pPr>
              <w:pStyle w:val="561"/>
              <w:widowControl w:val="0"/>
              <w:spacing w:before="120" w:after="120" w:line="240" w:lineRule="auto"/>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5DD3185">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25CFC28">
            <w:pPr>
              <w:pStyle w:val="561"/>
              <w:widowControl w:val="0"/>
              <w:spacing w:before="120" w:after="120" w:line="240" w:lineRule="auto"/>
              <w:ind w:left="31"/>
              <w:rPr>
                <w:color w:val="auto"/>
                <w:highlight w:val="none"/>
                <w:lang w:eastAsia="en-US"/>
              </w:rPr>
            </w:pPr>
          </w:p>
        </w:tc>
      </w:tr>
      <w:tr w14:paraId="46F917EE">
        <w:tblPrEx>
          <w:tblCellMar>
            <w:top w:w="0" w:type="dxa"/>
            <w:left w:w="0" w:type="dxa"/>
            <w:bottom w:w="0" w:type="dxa"/>
            <w:right w:w="0" w:type="dxa"/>
          </w:tblCellMar>
        </w:tblPrEx>
        <w:trPr>
          <w:trHeight w:val="454" w:hRule="atLeast"/>
          <w:jc w:val="center"/>
        </w:trPr>
        <w:tc>
          <w:tcPr>
            <w:tcW w:w="535"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3750A2DF">
            <w:pPr>
              <w:pStyle w:val="561"/>
              <w:widowControl w:val="0"/>
              <w:spacing w:before="120" w:after="120" w:line="240" w:lineRule="auto"/>
              <w:ind w:left="31"/>
              <w:rPr>
                <w:color w:val="auto"/>
                <w:highlight w:val="none"/>
                <w:lang w:eastAsia="en-US"/>
              </w:rPr>
            </w:pPr>
            <w:r>
              <w:rPr>
                <w:color w:val="auto"/>
                <w:highlight w:val="none"/>
                <w:lang w:eastAsia="en-US"/>
              </w:rPr>
              <w:t>3</w:t>
            </w:r>
          </w:p>
        </w:tc>
        <w:tc>
          <w:tcPr>
            <w:tcW w:w="1446"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322BF132">
            <w:pPr>
              <w:pStyle w:val="561"/>
              <w:widowControl w:val="0"/>
              <w:spacing w:before="120" w:after="120" w:line="240" w:lineRule="auto"/>
              <w:ind w:left="31"/>
              <w:rPr>
                <w:color w:val="auto"/>
                <w:highlight w:val="none"/>
                <w:lang w:eastAsia="en-US"/>
              </w:rPr>
            </w:pPr>
            <w:r>
              <w:rPr>
                <w:color w:val="auto"/>
                <w:highlight w:val="none"/>
                <w:lang w:eastAsia="en-US"/>
              </w:rPr>
              <w:t>BIM施工阶段</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0AFF6AB">
            <w:pPr>
              <w:pStyle w:val="561"/>
              <w:widowControl w:val="0"/>
              <w:spacing w:before="120" w:after="120" w:line="240" w:lineRule="auto"/>
              <w:ind w:left="31"/>
              <w:rPr>
                <w:color w:val="auto"/>
                <w:highlight w:val="none"/>
                <w:lang w:eastAsia="en-US"/>
              </w:rPr>
            </w:pPr>
            <w:r>
              <w:rPr>
                <w:color w:val="auto"/>
                <w:highlight w:val="none"/>
                <w:lang w:eastAsia="en-US"/>
              </w:rPr>
              <w:t>甲方</w:t>
            </w:r>
          </w:p>
        </w:tc>
        <w:tc>
          <w:tcPr>
            <w:tcW w:w="2499" w:type="pct"/>
            <w:gridSpan w:val="6"/>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E3213A3">
            <w:pPr>
              <w:pStyle w:val="561"/>
              <w:widowControl w:val="0"/>
              <w:spacing w:before="120" w:after="120" w:line="240" w:lineRule="auto"/>
              <w:ind w:left="31"/>
              <w:rPr>
                <w:color w:val="auto"/>
                <w:highlight w:val="none"/>
                <w:lang w:eastAsia="en-US"/>
              </w:rPr>
            </w:pPr>
            <w:r>
              <w:rPr>
                <w:color w:val="auto"/>
                <w:highlight w:val="none"/>
                <w:lang w:eastAsia="en-US"/>
              </w:rPr>
              <w:t>参与方</w:t>
            </w:r>
          </w:p>
        </w:tc>
      </w:tr>
      <w:tr w14:paraId="3BF7A763">
        <w:tblPrEx>
          <w:tblCellMar>
            <w:top w:w="0" w:type="dxa"/>
            <w:left w:w="0" w:type="dxa"/>
            <w:bottom w:w="0" w:type="dxa"/>
            <w:right w:w="0" w:type="dxa"/>
          </w:tblCellMar>
        </w:tblPrEx>
        <w:trPr>
          <w:trHeight w:val="454" w:hRule="atLeast"/>
          <w:jc w:val="center"/>
        </w:trPr>
        <w:tc>
          <w:tcPr>
            <w:tcW w:w="535"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853FB42">
            <w:pPr>
              <w:pStyle w:val="561"/>
              <w:widowControl w:val="0"/>
              <w:spacing w:before="120" w:after="120" w:line="240" w:lineRule="auto"/>
              <w:ind w:left="31"/>
              <w:rPr>
                <w:color w:val="auto"/>
                <w:highlight w:val="none"/>
                <w:lang w:eastAsia="en-US"/>
              </w:rPr>
            </w:pPr>
          </w:p>
        </w:tc>
        <w:tc>
          <w:tcPr>
            <w:tcW w:w="1446"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64E5363">
            <w:pPr>
              <w:pStyle w:val="561"/>
              <w:widowControl w:val="0"/>
              <w:spacing w:before="120" w:after="120" w:line="240" w:lineRule="auto"/>
              <w:ind w:left="31"/>
              <w:rPr>
                <w:color w:val="auto"/>
                <w:highlight w:val="none"/>
                <w:lang w:eastAsia="en-US"/>
              </w:rPr>
            </w:pP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015A6F4">
            <w:pPr>
              <w:pStyle w:val="561"/>
              <w:widowControl w:val="0"/>
              <w:spacing w:before="120" w:after="120"/>
              <w:ind w:left="31"/>
              <w:rPr>
                <w:color w:val="auto"/>
                <w:highlight w:val="none"/>
                <w:lang w:eastAsia="en-US"/>
              </w:rPr>
            </w:pPr>
            <w:r>
              <w:rPr>
                <w:rFonts w:hint="eastAsia"/>
                <w:color w:val="auto"/>
                <w:highlight w:val="none"/>
                <w:lang w:eastAsia="en-US"/>
              </w:rPr>
              <w:t>代建局项目建设管理部、</w:t>
            </w:r>
          </w:p>
          <w:p w14:paraId="10B5CEED">
            <w:pPr>
              <w:pStyle w:val="561"/>
              <w:widowControl w:val="0"/>
              <w:spacing w:before="120" w:after="120"/>
              <w:ind w:left="31"/>
              <w:rPr>
                <w:color w:val="auto"/>
                <w:highlight w:val="none"/>
                <w:lang w:eastAsia="en-US"/>
              </w:rPr>
            </w:pPr>
            <w:r>
              <w:rPr>
                <w:color w:val="auto"/>
                <w:highlight w:val="none"/>
                <w:lang w:eastAsia="en-US"/>
              </w:rPr>
              <w:t>BIM总协调</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9D5A4DD">
            <w:pPr>
              <w:pStyle w:val="561"/>
              <w:widowControl w:val="0"/>
              <w:spacing w:before="120" w:after="120"/>
              <w:ind w:left="31"/>
              <w:rPr>
                <w:color w:val="auto"/>
                <w:highlight w:val="none"/>
                <w:lang w:eastAsia="en-US"/>
              </w:rPr>
            </w:pPr>
            <w:r>
              <w:rPr>
                <w:color w:val="auto"/>
                <w:highlight w:val="none"/>
                <w:lang w:eastAsia="en-US"/>
              </w:rPr>
              <w:t>设计</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D152921">
            <w:pPr>
              <w:pStyle w:val="561"/>
              <w:widowControl w:val="0"/>
              <w:spacing w:before="120" w:after="120"/>
              <w:ind w:left="31"/>
              <w:rPr>
                <w:color w:val="auto"/>
                <w:highlight w:val="none"/>
                <w:lang w:eastAsia="en-US"/>
              </w:rPr>
            </w:pPr>
            <w:r>
              <w:rPr>
                <w:color w:val="auto"/>
                <w:highlight w:val="none"/>
                <w:lang w:eastAsia="en-US"/>
              </w:rPr>
              <w:t>监理</w:t>
            </w: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8410C90">
            <w:pPr>
              <w:pStyle w:val="561"/>
              <w:widowControl w:val="0"/>
              <w:spacing w:before="120" w:after="120"/>
              <w:ind w:left="31"/>
              <w:rPr>
                <w:color w:val="auto"/>
                <w:highlight w:val="none"/>
                <w:lang w:eastAsia="en-US"/>
              </w:rPr>
            </w:pPr>
            <w:r>
              <w:rPr>
                <w:color w:val="auto"/>
                <w:highlight w:val="none"/>
                <w:lang w:eastAsia="en-US"/>
              </w:rPr>
              <w:t>总包</w:t>
            </w: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196CA1C">
            <w:pPr>
              <w:pStyle w:val="561"/>
              <w:widowControl w:val="0"/>
              <w:spacing w:before="120" w:after="120"/>
              <w:ind w:left="31"/>
              <w:rPr>
                <w:color w:val="auto"/>
                <w:highlight w:val="none"/>
                <w:lang w:eastAsia="en-US"/>
              </w:rPr>
            </w:pPr>
            <w:r>
              <w:rPr>
                <w:color w:val="auto"/>
                <w:highlight w:val="none"/>
                <w:lang w:eastAsia="en-US"/>
              </w:rPr>
              <w:t>分包</w:t>
            </w: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ECF1EC5">
            <w:pPr>
              <w:pStyle w:val="561"/>
              <w:widowControl w:val="0"/>
              <w:spacing w:before="120" w:after="120"/>
              <w:ind w:left="31"/>
              <w:rPr>
                <w:color w:val="auto"/>
                <w:highlight w:val="none"/>
                <w:lang w:eastAsia="en-US"/>
              </w:rPr>
            </w:pPr>
            <w:r>
              <w:rPr>
                <w:color w:val="auto"/>
                <w:highlight w:val="none"/>
                <w:lang w:eastAsia="en-US"/>
              </w:rPr>
              <w:t>厂家</w:t>
            </w: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56CF7AC">
            <w:pPr>
              <w:pStyle w:val="561"/>
              <w:widowControl w:val="0"/>
              <w:spacing w:before="120" w:after="120"/>
              <w:ind w:left="31"/>
              <w:rPr>
                <w:color w:val="auto"/>
                <w:highlight w:val="none"/>
                <w:lang w:eastAsia="en-US"/>
              </w:rPr>
            </w:pPr>
            <w:r>
              <w:rPr>
                <w:color w:val="auto"/>
                <w:highlight w:val="none"/>
                <w:lang w:eastAsia="en-US"/>
              </w:rPr>
              <w:t>造价</w:t>
            </w:r>
          </w:p>
        </w:tc>
      </w:tr>
      <w:tr w14:paraId="6F3AB3F8">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7B5AA5D">
            <w:pPr>
              <w:pStyle w:val="561"/>
              <w:widowControl w:val="0"/>
              <w:spacing w:before="120" w:after="120" w:line="240" w:lineRule="auto"/>
              <w:ind w:left="31"/>
              <w:rPr>
                <w:color w:val="auto"/>
                <w:highlight w:val="none"/>
                <w:lang w:eastAsia="en-US"/>
              </w:rPr>
            </w:pPr>
            <w:r>
              <w:rPr>
                <w:color w:val="auto"/>
                <w:highlight w:val="none"/>
                <w:lang w:eastAsia="en-US"/>
              </w:rPr>
              <w:t>3.1</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93A6F7D">
            <w:pPr>
              <w:pStyle w:val="561"/>
              <w:widowControl w:val="0"/>
              <w:spacing w:before="120" w:after="120" w:line="240" w:lineRule="auto"/>
              <w:ind w:left="31"/>
              <w:rPr>
                <w:color w:val="auto"/>
                <w:highlight w:val="none"/>
                <w:lang w:eastAsia="en-US"/>
              </w:rPr>
            </w:pPr>
            <w:r>
              <w:rPr>
                <w:color w:val="auto"/>
                <w:highlight w:val="none"/>
                <w:lang w:eastAsia="en-US"/>
              </w:rPr>
              <w:t>制定施工阶段实施细则</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14DFCFA">
            <w:pPr>
              <w:pStyle w:val="561"/>
              <w:widowControl w:val="0"/>
              <w:spacing w:before="120" w:after="120" w:line="240" w:lineRule="auto"/>
              <w:ind w:left="31"/>
              <w:rPr>
                <w:color w:val="auto"/>
                <w:highlight w:val="none"/>
                <w:lang w:eastAsia="en-US"/>
              </w:rPr>
            </w:pPr>
            <w:r>
              <w:rPr>
                <w:color w:val="auto"/>
                <w:highlight w:val="none"/>
                <w:lang w:eastAsia="en-US"/>
              </w:rPr>
              <w:t>P</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14BC460">
            <w:pPr>
              <w:pStyle w:val="561"/>
              <w:widowControl w:val="0"/>
              <w:spacing w:before="120" w:after="120"/>
              <w:ind w:left="31"/>
              <w:rPr>
                <w:color w:val="auto"/>
                <w:highlight w:val="none"/>
                <w:lang w:eastAsia="en-US"/>
              </w:rPr>
            </w:pP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4AD1FD7">
            <w:pPr>
              <w:pStyle w:val="561"/>
              <w:widowControl w:val="0"/>
              <w:spacing w:before="120" w:after="120"/>
              <w:ind w:left="31"/>
              <w:rPr>
                <w:color w:val="auto"/>
                <w:highlight w:val="none"/>
                <w:lang w:eastAsia="en-US"/>
              </w:rPr>
            </w:pPr>
            <w:r>
              <w:rPr>
                <w:color w:val="auto"/>
                <w:highlight w:val="none"/>
                <w:lang w:eastAsia="en-US"/>
              </w:rPr>
              <w:t>R</w:t>
            </w: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A29C3F2">
            <w:pPr>
              <w:pStyle w:val="561"/>
              <w:widowControl w:val="0"/>
              <w:spacing w:before="120" w:after="120"/>
              <w:ind w:left="31"/>
              <w:rPr>
                <w:color w:val="auto"/>
                <w:highlight w:val="none"/>
                <w:lang w:eastAsia="en-US"/>
              </w:rPr>
            </w:pPr>
            <w:r>
              <w:rPr>
                <w:color w:val="auto"/>
                <w:highlight w:val="none"/>
                <w:lang w:eastAsia="en-US"/>
              </w:rPr>
              <w:t>S</w:t>
            </w: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C23950C">
            <w:pPr>
              <w:pStyle w:val="561"/>
              <w:widowControl w:val="0"/>
              <w:spacing w:before="120" w:after="120"/>
              <w:ind w:left="31"/>
              <w:rPr>
                <w:color w:val="auto"/>
                <w:highlight w:val="none"/>
                <w:lang w:eastAsia="en-US"/>
              </w:rPr>
            </w:pPr>
            <w:r>
              <w:rPr>
                <w:color w:val="auto"/>
                <w:highlight w:val="none"/>
                <w:lang w:eastAsia="en-US"/>
              </w:rPr>
              <w:t>S</w:t>
            </w: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79280C1">
            <w:pPr>
              <w:pStyle w:val="561"/>
              <w:widowControl w:val="0"/>
              <w:spacing w:before="120" w:after="120"/>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00A16D3">
            <w:pPr>
              <w:pStyle w:val="561"/>
              <w:widowControl w:val="0"/>
              <w:spacing w:before="120" w:after="120"/>
              <w:ind w:left="31"/>
              <w:rPr>
                <w:color w:val="auto"/>
                <w:highlight w:val="none"/>
                <w:lang w:eastAsia="en-US"/>
              </w:rPr>
            </w:pPr>
          </w:p>
        </w:tc>
      </w:tr>
      <w:tr w14:paraId="3FAA90C9">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9578CEC">
            <w:pPr>
              <w:pStyle w:val="561"/>
              <w:widowControl w:val="0"/>
              <w:spacing w:before="120" w:after="120" w:line="240" w:lineRule="auto"/>
              <w:ind w:left="31"/>
              <w:rPr>
                <w:color w:val="auto"/>
                <w:highlight w:val="none"/>
                <w:lang w:eastAsia="en-US"/>
              </w:rPr>
            </w:pPr>
            <w:r>
              <w:rPr>
                <w:color w:val="auto"/>
                <w:highlight w:val="none"/>
                <w:lang w:eastAsia="en-US"/>
              </w:rPr>
              <w:t>3.2</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D4CB2D2">
            <w:pPr>
              <w:pStyle w:val="561"/>
              <w:widowControl w:val="0"/>
              <w:spacing w:before="120" w:after="120" w:line="240" w:lineRule="auto"/>
              <w:ind w:left="31"/>
              <w:rPr>
                <w:color w:val="auto"/>
                <w:highlight w:val="none"/>
                <w:lang w:eastAsia="en-US"/>
              </w:rPr>
            </w:pPr>
            <w:r>
              <w:rPr>
                <w:color w:val="auto"/>
                <w:highlight w:val="none"/>
                <w:lang w:eastAsia="en-US"/>
              </w:rPr>
              <w:t>分配施工阶段协同权限</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A8E7317">
            <w:pPr>
              <w:pStyle w:val="561"/>
              <w:widowControl w:val="0"/>
              <w:spacing w:before="120" w:after="120" w:line="240" w:lineRule="auto"/>
              <w:ind w:left="31"/>
              <w:rPr>
                <w:color w:val="auto"/>
                <w:highlight w:val="none"/>
                <w:lang w:eastAsia="en-US"/>
              </w:rPr>
            </w:pPr>
            <w:r>
              <w:rPr>
                <w:color w:val="auto"/>
                <w:highlight w:val="none"/>
                <w:lang w:eastAsia="en-US"/>
              </w:rPr>
              <w:t>P</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C10B7B9">
            <w:pPr>
              <w:pStyle w:val="561"/>
              <w:widowControl w:val="0"/>
              <w:spacing w:before="120" w:after="120"/>
              <w:ind w:left="31"/>
              <w:rPr>
                <w:color w:val="auto"/>
                <w:highlight w:val="none"/>
                <w:lang w:eastAsia="en-US"/>
              </w:rPr>
            </w:pP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00CDC54">
            <w:pPr>
              <w:pStyle w:val="561"/>
              <w:widowControl w:val="0"/>
              <w:spacing w:before="120" w:after="120"/>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2DCF3AA">
            <w:pPr>
              <w:pStyle w:val="561"/>
              <w:widowControl w:val="0"/>
              <w:spacing w:before="120" w:after="120"/>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98BDE3D">
            <w:pPr>
              <w:pStyle w:val="561"/>
              <w:widowControl w:val="0"/>
              <w:spacing w:before="120" w:after="120"/>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C8B68C3">
            <w:pPr>
              <w:pStyle w:val="561"/>
              <w:widowControl w:val="0"/>
              <w:spacing w:before="120" w:after="120"/>
              <w:ind w:left="31"/>
              <w:rPr>
                <w:color w:val="auto"/>
                <w:highlight w:val="none"/>
                <w:lang w:eastAsia="en-US"/>
              </w:rPr>
            </w:pPr>
            <w:r>
              <w:rPr>
                <w:color w:val="auto"/>
                <w:highlight w:val="none"/>
                <w:lang w:eastAsia="en-US"/>
              </w:rPr>
              <w:t>A</w:t>
            </w: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CABB472">
            <w:pPr>
              <w:pStyle w:val="561"/>
              <w:widowControl w:val="0"/>
              <w:spacing w:before="120" w:after="120"/>
              <w:ind w:left="31"/>
              <w:rPr>
                <w:color w:val="auto"/>
                <w:highlight w:val="none"/>
                <w:lang w:eastAsia="en-US"/>
              </w:rPr>
            </w:pPr>
          </w:p>
        </w:tc>
      </w:tr>
      <w:tr w14:paraId="5C2FEF0B">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298BD21">
            <w:pPr>
              <w:pStyle w:val="561"/>
              <w:widowControl w:val="0"/>
              <w:spacing w:before="120" w:after="120" w:line="240" w:lineRule="auto"/>
              <w:ind w:left="31"/>
              <w:rPr>
                <w:color w:val="auto"/>
                <w:highlight w:val="none"/>
                <w:lang w:eastAsia="en-US"/>
              </w:rPr>
            </w:pPr>
            <w:r>
              <w:rPr>
                <w:color w:val="auto"/>
                <w:highlight w:val="none"/>
                <w:lang w:eastAsia="en-US"/>
              </w:rPr>
              <w:t>3.2</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7AB0C96">
            <w:pPr>
              <w:pStyle w:val="561"/>
              <w:widowControl w:val="0"/>
              <w:spacing w:before="120" w:after="120" w:line="240" w:lineRule="auto"/>
              <w:ind w:left="31"/>
              <w:rPr>
                <w:color w:val="auto"/>
                <w:highlight w:val="none"/>
                <w:lang w:eastAsia="en-US"/>
              </w:rPr>
            </w:pPr>
            <w:r>
              <w:rPr>
                <w:color w:val="auto"/>
                <w:highlight w:val="none"/>
                <w:lang w:eastAsia="en-US"/>
              </w:rPr>
              <w:t>施工图模型审查交底</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F28FA6A">
            <w:pPr>
              <w:pStyle w:val="561"/>
              <w:widowControl w:val="0"/>
              <w:spacing w:before="120" w:after="120" w:line="240" w:lineRule="auto"/>
              <w:ind w:left="31"/>
              <w:rPr>
                <w:color w:val="auto"/>
                <w:highlight w:val="none"/>
                <w:lang w:eastAsia="en-US"/>
              </w:rPr>
            </w:pPr>
            <w:r>
              <w:rPr>
                <w:color w:val="auto"/>
                <w:highlight w:val="none"/>
                <w:lang w:eastAsia="en-US"/>
              </w:rPr>
              <w:t>S</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7D5184A">
            <w:pPr>
              <w:pStyle w:val="561"/>
              <w:widowControl w:val="0"/>
              <w:spacing w:before="120" w:after="120"/>
              <w:ind w:left="31"/>
              <w:rPr>
                <w:color w:val="auto"/>
                <w:highlight w:val="none"/>
                <w:lang w:eastAsia="en-US"/>
              </w:rPr>
            </w:pPr>
            <w:r>
              <w:rPr>
                <w:color w:val="auto"/>
                <w:highlight w:val="none"/>
                <w:lang w:eastAsia="en-US"/>
              </w:rPr>
              <w:t>P</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15F593B">
            <w:pPr>
              <w:pStyle w:val="561"/>
              <w:widowControl w:val="0"/>
              <w:spacing w:before="120" w:after="120"/>
              <w:ind w:left="31"/>
              <w:rPr>
                <w:color w:val="auto"/>
                <w:highlight w:val="none"/>
                <w:lang w:eastAsia="en-US"/>
              </w:rPr>
            </w:pPr>
            <w:r>
              <w:rPr>
                <w:color w:val="auto"/>
                <w:highlight w:val="none"/>
                <w:lang w:eastAsia="en-US"/>
              </w:rPr>
              <w:t>R</w:t>
            </w: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495328D">
            <w:pPr>
              <w:pStyle w:val="561"/>
              <w:widowControl w:val="0"/>
              <w:spacing w:before="120" w:after="120"/>
              <w:ind w:left="31"/>
              <w:rPr>
                <w:color w:val="auto"/>
                <w:highlight w:val="none"/>
                <w:lang w:eastAsia="en-US"/>
              </w:rPr>
            </w:pPr>
            <w:r>
              <w:rPr>
                <w:color w:val="auto"/>
                <w:highlight w:val="none"/>
                <w:lang w:eastAsia="en-US"/>
              </w:rPr>
              <w:t>R</w:t>
            </w: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2F9DD6F">
            <w:pPr>
              <w:pStyle w:val="561"/>
              <w:widowControl w:val="0"/>
              <w:spacing w:before="120" w:after="120"/>
              <w:ind w:left="31"/>
              <w:rPr>
                <w:color w:val="auto"/>
                <w:highlight w:val="none"/>
                <w:lang w:eastAsia="en-US"/>
              </w:rPr>
            </w:pPr>
            <w:r>
              <w:rPr>
                <w:color w:val="auto"/>
                <w:highlight w:val="none"/>
                <w:lang w:eastAsia="en-US"/>
              </w:rPr>
              <w:t>S</w:t>
            </w: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22BB8A6">
            <w:pPr>
              <w:pStyle w:val="561"/>
              <w:widowControl w:val="0"/>
              <w:spacing w:before="120" w:after="120"/>
              <w:ind w:left="31"/>
              <w:rPr>
                <w:color w:val="auto"/>
                <w:highlight w:val="none"/>
                <w:lang w:eastAsia="en-US"/>
              </w:rPr>
            </w:pPr>
            <w:r>
              <w:rPr>
                <w:color w:val="auto"/>
                <w:highlight w:val="none"/>
                <w:lang w:eastAsia="en-US"/>
              </w:rPr>
              <w:t>A</w:t>
            </w: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92864EA">
            <w:pPr>
              <w:pStyle w:val="561"/>
              <w:widowControl w:val="0"/>
              <w:spacing w:before="120" w:after="120"/>
              <w:ind w:left="31"/>
              <w:rPr>
                <w:color w:val="auto"/>
                <w:highlight w:val="none"/>
                <w:lang w:eastAsia="en-US"/>
              </w:rPr>
            </w:pPr>
            <w:r>
              <w:rPr>
                <w:color w:val="auto"/>
                <w:highlight w:val="none"/>
                <w:lang w:eastAsia="en-US"/>
              </w:rPr>
              <w:t>R</w:t>
            </w:r>
          </w:p>
        </w:tc>
      </w:tr>
      <w:tr w14:paraId="6108D388">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EE3024E">
            <w:pPr>
              <w:pStyle w:val="561"/>
              <w:widowControl w:val="0"/>
              <w:spacing w:before="120" w:after="120" w:line="240" w:lineRule="auto"/>
              <w:ind w:left="31"/>
              <w:rPr>
                <w:color w:val="auto"/>
                <w:highlight w:val="none"/>
                <w:lang w:eastAsia="en-US"/>
              </w:rPr>
            </w:pPr>
            <w:r>
              <w:rPr>
                <w:color w:val="auto"/>
                <w:highlight w:val="none"/>
                <w:lang w:eastAsia="en-US"/>
              </w:rPr>
              <w:t>3.3</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E1DF8C5">
            <w:pPr>
              <w:pStyle w:val="561"/>
              <w:widowControl w:val="0"/>
              <w:spacing w:before="120" w:after="120" w:line="240" w:lineRule="auto"/>
              <w:ind w:left="31"/>
              <w:rPr>
                <w:color w:val="auto"/>
                <w:highlight w:val="none"/>
                <w:lang w:eastAsia="en-US"/>
              </w:rPr>
            </w:pPr>
            <w:r>
              <w:rPr>
                <w:color w:val="auto"/>
                <w:highlight w:val="none"/>
                <w:lang w:eastAsia="en-US"/>
              </w:rPr>
              <w:t>施工深化设计模型</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DB2D742">
            <w:pPr>
              <w:pStyle w:val="561"/>
              <w:widowControl w:val="0"/>
              <w:spacing w:before="120" w:after="120" w:line="240" w:lineRule="auto"/>
              <w:ind w:left="31"/>
              <w:rPr>
                <w:color w:val="auto"/>
                <w:highlight w:val="none"/>
                <w:lang w:eastAsia="en-US"/>
              </w:rPr>
            </w:pPr>
            <w:r>
              <w:rPr>
                <w:color w:val="auto"/>
                <w:highlight w:val="none"/>
                <w:lang w:eastAsia="en-US"/>
              </w:rPr>
              <w:t>S</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504EC4B">
            <w:pPr>
              <w:pStyle w:val="561"/>
              <w:widowControl w:val="0"/>
              <w:spacing w:before="120" w:after="120"/>
              <w:ind w:left="31"/>
              <w:rPr>
                <w:color w:val="auto"/>
                <w:highlight w:val="none"/>
                <w:lang w:eastAsia="en-US"/>
              </w:rPr>
            </w:pPr>
            <w:r>
              <w:rPr>
                <w:color w:val="auto"/>
                <w:highlight w:val="none"/>
                <w:lang w:eastAsia="en-US"/>
              </w:rPr>
              <w:t>S</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DD7C590">
            <w:pPr>
              <w:pStyle w:val="561"/>
              <w:widowControl w:val="0"/>
              <w:spacing w:before="120" w:after="120"/>
              <w:ind w:left="31"/>
              <w:rPr>
                <w:color w:val="auto"/>
                <w:highlight w:val="none"/>
                <w:lang w:eastAsia="en-US"/>
              </w:rPr>
            </w:pPr>
            <w:r>
              <w:rPr>
                <w:color w:val="auto"/>
                <w:highlight w:val="none"/>
                <w:lang w:eastAsia="en-US"/>
              </w:rPr>
              <w:t>R</w:t>
            </w: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517AE3A">
            <w:pPr>
              <w:pStyle w:val="561"/>
              <w:widowControl w:val="0"/>
              <w:spacing w:before="120" w:after="120"/>
              <w:ind w:left="31"/>
              <w:rPr>
                <w:color w:val="auto"/>
                <w:highlight w:val="none"/>
                <w:lang w:eastAsia="en-US"/>
              </w:rPr>
            </w:pPr>
            <w:r>
              <w:rPr>
                <w:color w:val="auto"/>
                <w:highlight w:val="none"/>
                <w:lang w:eastAsia="en-US"/>
              </w:rPr>
              <w:t>P/I</w:t>
            </w: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8AD5AF6">
            <w:pPr>
              <w:pStyle w:val="561"/>
              <w:widowControl w:val="0"/>
              <w:spacing w:before="120" w:after="120"/>
              <w:ind w:left="31"/>
              <w:rPr>
                <w:color w:val="auto"/>
                <w:highlight w:val="none"/>
                <w:lang w:eastAsia="en-US"/>
              </w:rPr>
            </w:pPr>
            <w:r>
              <w:rPr>
                <w:color w:val="auto"/>
                <w:highlight w:val="none"/>
                <w:lang w:eastAsia="en-US"/>
              </w:rPr>
              <w:t>S/I</w:t>
            </w: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897128B">
            <w:pPr>
              <w:pStyle w:val="561"/>
              <w:widowControl w:val="0"/>
              <w:spacing w:before="120" w:after="120"/>
              <w:ind w:left="31"/>
              <w:rPr>
                <w:color w:val="auto"/>
                <w:highlight w:val="none"/>
                <w:lang w:eastAsia="en-US"/>
              </w:rPr>
            </w:pPr>
            <w:r>
              <w:rPr>
                <w:color w:val="auto"/>
                <w:highlight w:val="none"/>
                <w:lang w:eastAsia="en-US"/>
              </w:rPr>
              <w:t>A</w:t>
            </w: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126A53E">
            <w:pPr>
              <w:pStyle w:val="561"/>
              <w:widowControl w:val="0"/>
              <w:spacing w:before="120" w:after="120"/>
              <w:ind w:left="31"/>
              <w:rPr>
                <w:color w:val="auto"/>
                <w:highlight w:val="none"/>
                <w:lang w:eastAsia="en-US"/>
              </w:rPr>
            </w:pPr>
            <w:r>
              <w:rPr>
                <w:color w:val="auto"/>
                <w:highlight w:val="none"/>
                <w:lang w:eastAsia="en-US"/>
              </w:rPr>
              <w:t>R</w:t>
            </w:r>
          </w:p>
        </w:tc>
      </w:tr>
      <w:tr w14:paraId="19B8806A">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28EED90">
            <w:pPr>
              <w:pStyle w:val="561"/>
              <w:widowControl w:val="0"/>
              <w:spacing w:before="120" w:after="120" w:line="240" w:lineRule="auto"/>
              <w:ind w:left="31"/>
              <w:rPr>
                <w:color w:val="auto"/>
                <w:highlight w:val="none"/>
                <w:lang w:eastAsia="en-US"/>
              </w:rPr>
            </w:pPr>
            <w:r>
              <w:rPr>
                <w:rFonts w:ascii="Times New Roman" w:hAnsi="Times New Roman" w:cs="Times New Roman"/>
                <w:color w:val="auto"/>
                <w:highlight w:val="none"/>
                <w:lang w:eastAsia="en-US"/>
              </w:rPr>
              <w:t>3.4</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CDA55E5">
            <w:pPr>
              <w:pStyle w:val="561"/>
              <w:widowControl w:val="0"/>
              <w:spacing w:before="120" w:after="120" w:line="240" w:lineRule="auto"/>
              <w:ind w:left="31"/>
              <w:rPr>
                <w:color w:val="auto"/>
                <w:highlight w:val="none"/>
                <w:lang w:eastAsia="en-US"/>
              </w:rPr>
            </w:pPr>
            <w:r>
              <w:rPr>
                <w:rFonts w:ascii="Times New Roman" w:hAnsi="Times New Roman" w:cs="Times New Roman"/>
                <w:color w:val="auto"/>
                <w:szCs w:val="24"/>
                <w:highlight w:val="none"/>
                <w:lang w:eastAsia="en-US"/>
              </w:rPr>
              <w:t>BIM施工管理及技术应用</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ED30D5B">
            <w:pPr>
              <w:pStyle w:val="561"/>
              <w:widowControl w:val="0"/>
              <w:spacing w:before="120" w:after="120" w:line="240" w:lineRule="auto"/>
              <w:ind w:left="31"/>
              <w:rPr>
                <w:color w:val="auto"/>
                <w:highlight w:val="none"/>
                <w:lang w:eastAsia="en-US"/>
              </w:rPr>
            </w:pPr>
            <w:r>
              <w:rPr>
                <w:rFonts w:ascii="Times New Roman" w:hAnsi="Times New Roman" w:cs="Times New Roman"/>
                <w:color w:val="auto"/>
                <w:highlight w:val="none"/>
                <w:lang w:eastAsia="en-US"/>
              </w:rPr>
              <w:t>S</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4250917">
            <w:pPr>
              <w:pStyle w:val="561"/>
              <w:widowControl w:val="0"/>
              <w:spacing w:before="120" w:after="120"/>
              <w:ind w:left="31"/>
              <w:rPr>
                <w:color w:val="auto"/>
                <w:highlight w:val="none"/>
                <w:lang w:eastAsia="en-US"/>
              </w:rPr>
            </w:pP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B1F53C1">
            <w:pPr>
              <w:pStyle w:val="561"/>
              <w:widowControl w:val="0"/>
              <w:spacing w:before="120" w:after="120"/>
              <w:ind w:left="31"/>
              <w:rPr>
                <w:color w:val="auto"/>
                <w:highlight w:val="none"/>
                <w:lang w:eastAsia="en-US"/>
              </w:rPr>
            </w:pPr>
            <w:r>
              <w:rPr>
                <w:color w:val="auto"/>
                <w:highlight w:val="none"/>
                <w:lang w:eastAsia="en-US"/>
              </w:rPr>
              <w:t>R</w:t>
            </w: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A1AB5EE">
            <w:pPr>
              <w:pStyle w:val="561"/>
              <w:widowControl w:val="0"/>
              <w:spacing w:before="120" w:after="120"/>
              <w:ind w:left="31"/>
              <w:rPr>
                <w:color w:val="auto"/>
                <w:highlight w:val="none"/>
                <w:lang w:eastAsia="en-US"/>
              </w:rPr>
            </w:pPr>
            <w:r>
              <w:rPr>
                <w:color w:val="auto"/>
                <w:highlight w:val="none"/>
                <w:lang w:eastAsia="en-US"/>
              </w:rPr>
              <w:t>O</w:t>
            </w: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9DD42D0">
            <w:pPr>
              <w:pStyle w:val="561"/>
              <w:widowControl w:val="0"/>
              <w:spacing w:before="120" w:after="120"/>
              <w:ind w:left="31"/>
              <w:rPr>
                <w:color w:val="auto"/>
                <w:highlight w:val="none"/>
                <w:lang w:eastAsia="en-US"/>
              </w:rPr>
            </w:pPr>
            <w:r>
              <w:rPr>
                <w:color w:val="auto"/>
                <w:highlight w:val="none"/>
                <w:lang w:eastAsia="en-US"/>
              </w:rPr>
              <w:t>O</w:t>
            </w: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BE763C9">
            <w:pPr>
              <w:pStyle w:val="561"/>
              <w:widowControl w:val="0"/>
              <w:spacing w:before="120" w:after="120"/>
              <w:ind w:left="31"/>
              <w:rPr>
                <w:color w:val="auto"/>
                <w:highlight w:val="none"/>
                <w:lang w:eastAsia="en-US"/>
              </w:rPr>
            </w:pPr>
            <w:r>
              <w:rPr>
                <w:color w:val="auto"/>
                <w:highlight w:val="none"/>
                <w:lang w:eastAsia="en-US"/>
              </w:rPr>
              <w:t>A</w:t>
            </w: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C4B6871">
            <w:pPr>
              <w:pStyle w:val="561"/>
              <w:widowControl w:val="0"/>
              <w:spacing w:before="120" w:after="120"/>
              <w:ind w:left="31"/>
              <w:rPr>
                <w:color w:val="auto"/>
                <w:highlight w:val="none"/>
                <w:lang w:eastAsia="en-US"/>
              </w:rPr>
            </w:pPr>
          </w:p>
        </w:tc>
      </w:tr>
      <w:tr w14:paraId="74C22252">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88CC3FA">
            <w:pPr>
              <w:pStyle w:val="561"/>
              <w:widowControl w:val="0"/>
              <w:spacing w:before="120" w:after="120" w:line="240" w:lineRule="auto"/>
              <w:ind w:left="31"/>
              <w:rPr>
                <w:color w:val="auto"/>
                <w:highlight w:val="none"/>
                <w:lang w:eastAsia="en-US"/>
              </w:rPr>
            </w:pPr>
            <w:r>
              <w:rPr>
                <w:rFonts w:ascii="Times New Roman" w:hAnsi="Times New Roman" w:cs="Times New Roman"/>
                <w:color w:val="auto"/>
                <w:highlight w:val="none"/>
                <w:lang w:eastAsia="en-US"/>
              </w:rPr>
              <w:t>3.5</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00E5D55">
            <w:pPr>
              <w:pStyle w:val="561"/>
              <w:widowControl w:val="0"/>
              <w:spacing w:before="120" w:after="120" w:line="240" w:lineRule="auto"/>
              <w:ind w:left="31"/>
              <w:rPr>
                <w:color w:val="auto"/>
                <w:highlight w:val="none"/>
                <w:lang w:eastAsia="en-US"/>
              </w:rPr>
            </w:pPr>
            <w:r>
              <w:rPr>
                <w:rFonts w:ascii="Times New Roman" w:hAnsi="Times New Roman" w:cs="Times New Roman"/>
                <w:color w:val="auto"/>
                <w:szCs w:val="24"/>
                <w:highlight w:val="none"/>
                <w:lang w:eastAsia="en-US"/>
              </w:rPr>
              <w:t>BIM模型变更及调整</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A7D59DF">
            <w:pPr>
              <w:pStyle w:val="561"/>
              <w:widowControl w:val="0"/>
              <w:spacing w:before="120" w:after="120" w:line="240" w:lineRule="auto"/>
              <w:ind w:left="31"/>
              <w:rPr>
                <w:color w:val="auto"/>
                <w:highlight w:val="none"/>
                <w:lang w:eastAsia="en-US"/>
              </w:rPr>
            </w:pPr>
            <w:r>
              <w:rPr>
                <w:rFonts w:ascii="Times New Roman" w:hAnsi="Times New Roman" w:cs="Times New Roman"/>
                <w:color w:val="auto"/>
                <w:highlight w:val="none"/>
                <w:lang w:eastAsia="en-US"/>
              </w:rPr>
              <w:t>R</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5C77540">
            <w:pPr>
              <w:pStyle w:val="561"/>
              <w:widowControl w:val="0"/>
              <w:spacing w:before="120" w:after="120"/>
              <w:ind w:left="31"/>
              <w:rPr>
                <w:color w:val="auto"/>
                <w:highlight w:val="none"/>
                <w:lang w:eastAsia="en-US"/>
              </w:rPr>
            </w:pPr>
            <w:r>
              <w:rPr>
                <w:color w:val="auto"/>
                <w:highlight w:val="none"/>
                <w:lang w:eastAsia="en-US"/>
              </w:rPr>
              <w:t>R</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D56701A">
            <w:pPr>
              <w:pStyle w:val="561"/>
              <w:widowControl w:val="0"/>
              <w:spacing w:before="120" w:after="120"/>
              <w:ind w:left="31"/>
              <w:rPr>
                <w:color w:val="auto"/>
                <w:highlight w:val="none"/>
                <w:lang w:eastAsia="en-US"/>
              </w:rPr>
            </w:pPr>
            <w:r>
              <w:rPr>
                <w:color w:val="auto"/>
                <w:highlight w:val="none"/>
                <w:lang w:eastAsia="en-US"/>
              </w:rPr>
              <w:t>R</w:t>
            </w: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15AA050">
            <w:pPr>
              <w:pStyle w:val="561"/>
              <w:widowControl w:val="0"/>
              <w:spacing w:before="120" w:after="120"/>
              <w:ind w:left="31"/>
              <w:rPr>
                <w:color w:val="auto"/>
                <w:highlight w:val="none"/>
                <w:lang w:eastAsia="en-US"/>
              </w:rPr>
            </w:pPr>
            <w:r>
              <w:rPr>
                <w:color w:val="auto"/>
                <w:highlight w:val="none"/>
                <w:lang w:eastAsia="en-US"/>
              </w:rPr>
              <w:t>P/I</w:t>
            </w: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1CCE3BD">
            <w:pPr>
              <w:pStyle w:val="561"/>
              <w:widowControl w:val="0"/>
              <w:spacing w:before="120" w:after="120"/>
              <w:ind w:left="31"/>
              <w:rPr>
                <w:color w:val="auto"/>
                <w:highlight w:val="none"/>
                <w:lang w:eastAsia="en-US"/>
              </w:rPr>
            </w:pPr>
            <w:r>
              <w:rPr>
                <w:color w:val="auto"/>
                <w:highlight w:val="none"/>
                <w:lang w:eastAsia="en-US"/>
              </w:rPr>
              <w:t>S/I</w:t>
            </w: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A09E100">
            <w:pPr>
              <w:pStyle w:val="561"/>
              <w:widowControl w:val="0"/>
              <w:spacing w:before="120" w:after="120"/>
              <w:ind w:left="31"/>
              <w:rPr>
                <w:color w:val="auto"/>
                <w:highlight w:val="none"/>
                <w:lang w:eastAsia="en-US"/>
              </w:rPr>
            </w:pPr>
            <w:r>
              <w:rPr>
                <w:color w:val="auto"/>
                <w:highlight w:val="none"/>
                <w:lang w:eastAsia="en-US"/>
              </w:rPr>
              <w:t>A</w:t>
            </w: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2F5D6A5">
            <w:pPr>
              <w:pStyle w:val="561"/>
              <w:widowControl w:val="0"/>
              <w:spacing w:before="120" w:after="120"/>
              <w:ind w:left="31"/>
              <w:rPr>
                <w:color w:val="auto"/>
                <w:highlight w:val="none"/>
                <w:lang w:eastAsia="en-US"/>
              </w:rPr>
            </w:pPr>
            <w:r>
              <w:rPr>
                <w:color w:val="auto"/>
                <w:highlight w:val="none"/>
                <w:lang w:eastAsia="en-US"/>
              </w:rPr>
              <w:t>R</w:t>
            </w:r>
          </w:p>
        </w:tc>
      </w:tr>
      <w:tr w14:paraId="43588BDB">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86D161A">
            <w:pPr>
              <w:pStyle w:val="561"/>
              <w:widowControl w:val="0"/>
              <w:spacing w:before="120" w:after="120" w:line="240" w:lineRule="auto"/>
              <w:ind w:left="31"/>
              <w:rPr>
                <w:color w:val="auto"/>
                <w:highlight w:val="none"/>
                <w:lang w:eastAsia="en-US"/>
              </w:rPr>
            </w:pPr>
            <w:r>
              <w:rPr>
                <w:rFonts w:ascii="Times New Roman" w:hAnsi="Times New Roman" w:cs="Times New Roman"/>
                <w:color w:val="auto"/>
                <w:highlight w:val="none"/>
                <w:lang w:eastAsia="en-US"/>
              </w:rPr>
              <w:t>3.6</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EADBB24">
            <w:pPr>
              <w:pStyle w:val="561"/>
              <w:widowControl w:val="0"/>
              <w:spacing w:before="120" w:after="120" w:line="240" w:lineRule="auto"/>
              <w:ind w:left="31"/>
              <w:rPr>
                <w:color w:val="auto"/>
                <w:highlight w:val="none"/>
                <w:lang w:eastAsia="en-US"/>
              </w:rPr>
            </w:pPr>
            <w:r>
              <w:rPr>
                <w:rFonts w:ascii="Times New Roman" w:hAnsi="Times New Roman" w:cs="Times New Roman"/>
                <w:color w:val="auto"/>
                <w:szCs w:val="24"/>
                <w:highlight w:val="none"/>
                <w:lang w:eastAsia="en-US"/>
              </w:rPr>
              <w:t>施工阶段信息添加</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C19C931">
            <w:pPr>
              <w:pStyle w:val="561"/>
              <w:widowControl w:val="0"/>
              <w:spacing w:before="120" w:after="120" w:line="240" w:lineRule="auto"/>
              <w:ind w:left="31"/>
              <w:rPr>
                <w:color w:val="auto"/>
                <w:highlight w:val="none"/>
                <w:lang w:eastAsia="en-US"/>
              </w:rPr>
            </w:pPr>
            <w:r>
              <w:rPr>
                <w:rFonts w:ascii="Times New Roman" w:hAnsi="Times New Roman" w:cs="Times New Roman"/>
                <w:color w:val="auto"/>
                <w:highlight w:val="none"/>
                <w:lang w:eastAsia="en-US"/>
              </w:rPr>
              <w:t>R</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E36233F">
            <w:pPr>
              <w:pStyle w:val="561"/>
              <w:widowControl w:val="0"/>
              <w:spacing w:before="120" w:after="120"/>
              <w:ind w:left="31"/>
              <w:rPr>
                <w:color w:val="auto"/>
                <w:highlight w:val="none"/>
                <w:lang w:eastAsia="en-US"/>
              </w:rPr>
            </w:pP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D38C4AD">
            <w:pPr>
              <w:pStyle w:val="561"/>
              <w:widowControl w:val="0"/>
              <w:spacing w:before="120" w:after="120"/>
              <w:ind w:left="31"/>
              <w:rPr>
                <w:color w:val="auto"/>
                <w:highlight w:val="none"/>
                <w:lang w:eastAsia="en-US"/>
              </w:rPr>
            </w:pPr>
            <w:r>
              <w:rPr>
                <w:color w:val="auto"/>
                <w:highlight w:val="none"/>
                <w:lang w:eastAsia="en-US"/>
              </w:rPr>
              <w:t>R</w:t>
            </w: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65CF3E6">
            <w:pPr>
              <w:pStyle w:val="561"/>
              <w:widowControl w:val="0"/>
              <w:spacing w:before="120" w:after="120"/>
              <w:ind w:left="31"/>
              <w:rPr>
                <w:color w:val="auto"/>
                <w:highlight w:val="none"/>
                <w:lang w:eastAsia="en-US"/>
              </w:rPr>
            </w:pPr>
            <w:r>
              <w:rPr>
                <w:color w:val="auto"/>
                <w:highlight w:val="none"/>
                <w:lang w:eastAsia="en-US"/>
              </w:rPr>
              <w:t>P/I</w:t>
            </w: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4473D45">
            <w:pPr>
              <w:pStyle w:val="561"/>
              <w:widowControl w:val="0"/>
              <w:spacing w:before="120" w:after="120"/>
              <w:ind w:left="31"/>
              <w:rPr>
                <w:color w:val="auto"/>
                <w:highlight w:val="none"/>
                <w:lang w:eastAsia="en-US"/>
              </w:rPr>
            </w:pPr>
            <w:r>
              <w:rPr>
                <w:color w:val="auto"/>
                <w:highlight w:val="none"/>
                <w:lang w:eastAsia="en-US"/>
              </w:rPr>
              <w:t>S/I</w:t>
            </w: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5548A69">
            <w:pPr>
              <w:pStyle w:val="561"/>
              <w:widowControl w:val="0"/>
              <w:spacing w:before="120" w:after="120"/>
              <w:ind w:left="31"/>
              <w:rPr>
                <w:color w:val="auto"/>
                <w:highlight w:val="none"/>
                <w:lang w:eastAsia="en-US"/>
              </w:rPr>
            </w:pPr>
            <w:r>
              <w:rPr>
                <w:color w:val="auto"/>
                <w:highlight w:val="none"/>
                <w:lang w:eastAsia="en-US"/>
              </w:rPr>
              <w:t>A</w:t>
            </w: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A98BE15">
            <w:pPr>
              <w:pStyle w:val="561"/>
              <w:widowControl w:val="0"/>
              <w:spacing w:before="120" w:after="120"/>
              <w:ind w:left="31"/>
              <w:rPr>
                <w:color w:val="auto"/>
                <w:highlight w:val="none"/>
                <w:lang w:eastAsia="en-US"/>
              </w:rPr>
            </w:pPr>
          </w:p>
        </w:tc>
      </w:tr>
      <w:tr w14:paraId="2DA05E63">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56D4807">
            <w:pPr>
              <w:pStyle w:val="561"/>
              <w:widowControl w:val="0"/>
              <w:spacing w:before="120" w:after="120" w:line="240" w:lineRule="auto"/>
              <w:ind w:left="31"/>
              <w:rPr>
                <w:color w:val="auto"/>
                <w:highlight w:val="none"/>
                <w:lang w:eastAsia="en-US"/>
              </w:rPr>
            </w:pPr>
            <w:r>
              <w:rPr>
                <w:rFonts w:ascii="Times New Roman" w:hAnsi="Times New Roman" w:cs="Times New Roman"/>
                <w:color w:val="auto"/>
                <w:highlight w:val="none"/>
                <w:lang w:eastAsia="en-US"/>
              </w:rPr>
              <w:t>3.7</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3250179">
            <w:pPr>
              <w:pStyle w:val="561"/>
              <w:widowControl w:val="0"/>
              <w:spacing w:before="120" w:after="120" w:line="240" w:lineRule="auto"/>
              <w:ind w:left="31"/>
              <w:rPr>
                <w:color w:val="auto"/>
                <w:highlight w:val="none"/>
                <w:lang w:eastAsia="en-US"/>
              </w:rPr>
            </w:pPr>
            <w:r>
              <w:rPr>
                <w:rFonts w:ascii="Times New Roman" w:hAnsi="Times New Roman" w:cs="Times New Roman"/>
                <w:color w:val="auto"/>
                <w:szCs w:val="24"/>
                <w:highlight w:val="none"/>
                <w:lang w:eastAsia="en-US"/>
              </w:rPr>
              <w:t>完成竣工模型</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99F55F1">
            <w:pPr>
              <w:pStyle w:val="561"/>
              <w:widowControl w:val="0"/>
              <w:spacing w:before="120" w:after="120" w:line="240" w:lineRule="auto"/>
              <w:ind w:left="31"/>
              <w:rPr>
                <w:color w:val="auto"/>
                <w:highlight w:val="none"/>
                <w:lang w:eastAsia="en-US"/>
              </w:rPr>
            </w:pPr>
            <w:r>
              <w:rPr>
                <w:rFonts w:ascii="Times New Roman" w:hAnsi="Times New Roman" w:cs="Times New Roman"/>
                <w:color w:val="auto"/>
                <w:highlight w:val="none"/>
                <w:lang w:eastAsia="en-US"/>
              </w:rPr>
              <w:t>R</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05F00C3">
            <w:pPr>
              <w:pStyle w:val="561"/>
              <w:widowControl w:val="0"/>
              <w:spacing w:before="120" w:after="120"/>
              <w:ind w:left="31"/>
              <w:rPr>
                <w:color w:val="auto"/>
                <w:highlight w:val="none"/>
                <w:lang w:eastAsia="en-US"/>
              </w:rPr>
            </w:pPr>
            <w:r>
              <w:rPr>
                <w:color w:val="auto"/>
                <w:highlight w:val="none"/>
                <w:lang w:eastAsia="en-US"/>
              </w:rPr>
              <w:t>S</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299469E">
            <w:pPr>
              <w:pStyle w:val="561"/>
              <w:widowControl w:val="0"/>
              <w:spacing w:before="120" w:after="120"/>
              <w:ind w:left="31"/>
              <w:rPr>
                <w:color w:val="auto"/>
                <w:highlight w:val="none"/>
                <w:lang w:eastAsia="en-US"/>
              </w:rPr>
            </w:pPr>
            <w:r>
              <w:rPr>
                <w:color w:val="auto"/>
                <w:highlight w:val="none"/>
                <w:lang w:eastAsia="en-US"/>
              </w:rPr>
              <w:t>R</w:t>
            </w: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AA886EE">
            <w:pPr>
              <w:pStyle w:val="561"/>
              <w:widowControl w:val="0"/>
              <w:spacing w:before="120" w:after="120"/>
              <w:ind w:left="31"/>
              <w:rPr>
                <w:color w:val="auto"/>
                <w:highlight w:val="none"/>
                <w:lang w:eastAsia="en-US"/>
              </w:rPr>
            </w:pPr>
            <w:r>
              <w:rPr>
                <w:color w:val="auto"/>
                <w:highlight w:val="none"/>
                <w:lang w:eastAsia="en-US"/>
              </w:rPr>
              <w:t>P</w:t>
            </w: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A64BD6D">
            <w:pPr>
              <w:pStyle w:val="561"/>
              <w:widowControl w:val="0"/>
              <w:spacing w:before="120" w:after="120"/>
              <w:ind w:left="31"/>
              <w:rPr>
                <w:color w:val="auto"/>
                <w:highlight w:val="none"/>
                <w:lang w:eastAsia="en-US"/>
              </w:rPr>
            </w:pPr>
            <w:r>
              <w:rPr>
                <w:color w:val="auto"/>
                <w:highlight w:val="none"/>
                <w:lang w:eastAsia="en-US"/>
              </w:rPr>
              <w:t>P</w:t>
            </w: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2485DEB">
            <w:pPr>
              <w:pStyle w:val="561"/>
              <w:widowControl w:val="0"/>
              <w:spacing w:before="120" w:after="120"/>
              <w:ind w:left="31"/>
              <w:rPr>
                <w:color w:val="auto"/>
                <w:highlight w:val="none"/>
                <w:lang w:eastAsia="en-US"/>
              </w:rPr>
            </w:pPr>
            <w:r>
              <w:rPr>
                <w:color w:val="auto"/>
                <w:highlight w:val="none"/>
                <w:lang w:eastAsia="en-US"/>
              </w:rPr>
              <w:t>A</w:t>
            </w: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1DACED0">
            <w:pPr>
              <w:pStyle w:val="561"/>
              <w:widowControl w:val="0"/>
              <w:spacing w:before="120" w:after="120"/>
              <w:ind w:left="31"/>
              <w:rPr>
                <w:color w:val="auto"/>
                <w:highlight w:val="none"/>
                <w:lang w:eastAsia="en-US"/>
              </w:rPr>
            </w:pPr>
          </w:p>
        </w:tc>
      </w:tr>
      <w:tr w14:paraId="79B7E7A1">
        <w:tblPrEx>
          <w:tblCellMar>
            <w:top w:w="0" w:type="dxa"/>
            <w:left w:w="0" w:type="dxa"/>
            <w:bottom w:w="0" w:type="dxa"/>
            <w:right w:w="0" w:type="dxa"/>
          </w:tblCellMar>
        </w:tblPrEx>
        <w:trPr>
          <w:trHeight w:val="454" w:hRule="atLeast"/>
          <w:jc w:val="center"/>
        </w:trPr>
        <w:tc>
          <w:tcPr>
            <w:tcW w:w="535"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59E274B2">
            <w:pPr>
              <w:pStyle w:val="561"/>
              <w:widowControl w:val="0"/>
              <w:spacing w:before="120" w:after="120" w:line="240" w:lineRule="auto"/>
              <w:ind w:left="31"/>
              <w:rPr>
                <w:color w:val="auto"/>
                <w:highlight w:val="none"/>
                <w:lang w:eastAsia="en-US"/>
              </w:rPr>
            </w:pPr>
            <w:r>
              <w:rPr>
                <w:rFonts w:ascii="Times New Roman" w:hAnsi="Times New Roman" w:cs="Times New Roman"/>
                <w:color w:val="auto"/>
                <w:highlight w:val="none"/>
                <w:lang w:eastAsia="en-US"/>
              </w:rPr>
              <w:t>4</w:t>
            </w:r>
          </w:p>
        </w:tc>
        <w:tc>
          <w:tcPr>
            <w:tcW w:w="1446" w:type="pct"/>
            <w:vMerge w:val="restart"/>
            <w:tcBorders>
              <w:top w:val="single" w:color="000000" w:sz="4" w:space="0"/>
              <w:left w:val="single" w:color="000000" w:sz="4" w:space="0"/>
              <w:right w:val="single" w:color="000000" w:sz="4" w:space="0"/>
            </w:tcBorders>
            <w:noWrap w:val="0"/>
            <w:tcMar>
              <w:top w:w="113" w:type="dxa"/>
              <w:left w:w="113" w:type="dxa"/>
              <w:bottom w:w="113" w:type="dxa"/>
              <w:right w:w="113" w:type="dxa"/>
            </w:tcMar>
            <w:vAlign w:val="center"/>
          </w:tcPr>
          <w:p w14:paraId="17903901">
            <w:pPr>
              <w:pStyle w:val="561"/>
              <w:widowControl w:val="0"/>
              <w:spacing w:before="120" w:after="120" w:line="240" w:lineRule="auto"/>
              <w:ind w:left="31"/>
              <w:rPr>
                <w:color w:val="auto"/>
                <w:highlight w:val="none"/>
                <w:lang w:eastAsia="en-US"/>
              </w:rPr>
            </w:pPr>
            <w:r>
              <w:rPr>
                <w:rFonts w:ascii="Times New Roman" w:hAnsi="Times New Roman" w:cs="Times New Roman"/>
                <w:color w:val="auto"/>
                <w:szCs w:val="24"/>
                <w:highlight w:val="none"/>
                <w:lang w:eastAsia="en-US"/>
              </w:rPr>
              <w:t>运维阶段</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2B55395">
            <w:pPr>
              <w:pStyle w:val="561"/>
              <w:widowControl w:val="0"/>
              <w:spacing w:before="120" w:after="120" w:line="240" w:lineRule="auto"/>
              <w:ind w:left="31"/>
              <w:rPr>
                <w:color w:val="auto"/>
                <w:highlight w:val="none"/>
                <w:lang w:eastAsia="en-US"/>
              </w:rPr>
            </w:pPr>
            <w:r>
              <w:rPr>
                <w:rFonts w:ascii="Times New Roman" w:hAnsi="Times New Roman" w:cs="Times New Roman"/>
                <w:color w:val="auto"/>
                <w:szCs w:val="24"/>
                <w:highlight w:val="none"/>
                <w:lang w:eastAsia="en-US"/>
              </w:rPr>
              <w:t>甲方</w:t>
            </w:r>
          </w:p>
        </w:tc>
        <w:tc>
          <w:tcPr>
            <w:tcW w:w="2499" w:type="pct"/>
            <w:gridSpan w:val="6"/>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FB636FF">
            <w:pPr>
              <w:pStyle w:val="561"/>
              <w:widowControl w:val="0"/>
              <w:spacing w:before="120" w:after="120" w:line="240" w:lineRule="auto"/>
              <w:ind w:left="31"/>
              <w:rPr>
                <w:color w:val="auto"/>
                <w:highlight w:val="none"/>
                <w:lang w:eastAsia="en-US"/>
              </w:rPr>
            </w:pPr>
            <w:r>
              <w:rPr>
                <w:rFonts w:ascii="Times New Roman" w:hAnsi="Times New Roman" w:cs="Times New Roman"/>
                <w:color w:val="auto"/>
                <w:szCs w:val="24"/>
                <w:highlight w:val="none"/>
                <w:lang w:eastAsia="en-US"/>
              </w:rPr>
              <w:t>参与方</w:t>
            </w:r>
          </w:p>
        </w:tc>
      </w:tr>
      <w:tr w14:paraId="776D4800">
        <w:tblPrEx>
          <w:tblCellMar>
            <w:top w:w="0" w:type="dxa"/>
            <w:left w:w="0" w:type="dxa"/>
            <w:bottom w:w="0" w:type="dxa"/>
            <w:right w:w="0" w:type="dxa"/>
          </w:tblCellMar>
        </w:tblPrEx>
        <w:trPr>
          <w:trHeight w:val="454" w:hRule="atLeast"/>
          <w:jc w:val="center"/>
        </w:trPr>
        <w:tc>
          <w:tcPr>
            <w:tcW w:w="535"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1A06618">
            <w:pPr>
              <w:pStyle w:val="561"/>
              <w:widowControl w:val="0"/>
              <w:spacing w:before="120" w:after="120" w:line="240" w:lineRule="auto"/>
              <w:ind w:left="31"/>
              <w:rPr>
                <w:color w:val="auto"/>
                <w:highlight w:val="none"/>
                <w:lang w:eastAsia="en-US"/>
              </w:rPr>
            </w:pPr>
          </w:p>
        </w:tc>
        <w:tc>
          <w:tcPr>
            <w:tcW w:w="1446" w:type="pct"/>
            <w:vMerge w:val="continue"/>
            <w:tcBorders>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4D0F368">
            <w:pPr>
              <w:pStyle w:val="561"/>
              <w:widowControl w:val="0"/>
              <w:spacing w:before="120" w:after="120" w:line="240" w:lineRule="auto"/>
              <w:ind w:left="31"/>
              <w:rPr>
                <w:color w:val="auto"/>
                <w:highlight w:val="none"/>
                <w:lang w:eastAsia="en-US"/>
              </w:rPr>
            </w:pP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7398A6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代建局项目建设管理部、</w:t>
            </w:r>
          </w:p>
          <w:p w14:paraId="7FD8B78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运营方</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AC35A0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BIM</w:t>
            </w:r>
          </w:p>
          <w:p w14:paraId="5CC545B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总协调</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D8E9C86">
            <w:pPr>
              <w:pStyle w:val="561"/>
              <w:widowControl w:val="0"/>
              <w:spacing w:before="120" w:after="120" w:line="240" w:lineRule="auto"/>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88E7D6A">
            <w:pPr>
              <w:pStyle w:val="561"/>
              <w:widowControl w:val="0"/>
              <w:spacing w:before="120" w:after="120" w:line="240" w:lineRule="auto"/>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FD7C21A">
            <w:pPr>
              <w:pStyle w:val="561"/>
              <w:widowControl w:val="0"/>
              <w:spacing w:before="120" w:after="120" w:line="240" w:lineRule="auto"/>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87B8F90">
            <w:pPr>
              <w:pStyle w:val="561"/>
              <w:widowControl w:val="0"/>
              <w:spacing w:before="120" w:after="120" w:line="240" w:lineRule="auto"/>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9D3C55E">
            <w:pPr>
              <w:pStyle w:val="561"/>
              <w:widowControl w:val="0"/>
              <w:spacing w:before="120" w:after="120" w:line="240" w:lineRule="auto"/>
              <w:ind w:left="31"/>
              <w:rPr>
                <w:color w:val="auto"/>
                <w:highlight w:val="none"/>
                <w:lang w:eastAsia="en-US"/>
              </w:rPr>
            </w:pPr>
          </w:p>
        </w:tc>
      </w:tr>
      <w:tr w14:paraId="2E899F7E">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D61678D">
            <w:pPr>
              <w:pStyle w:val="561"/>
              <w:widowControl w:val="0"/>
              <w:spacing w:before="120" w:after="120" w:line="240" w:lineRule="auto"/>
              <w:ind w:left="31"/>
              <w:rPr>
                <w:color w:val="auto"/>
                <w:highlight w:val="none"/>
                <w:lang w:eastAsia="en-US"/>
              </w:rPr>
            </w:pPr>
            <w:r>
              <w:rPr>
                <w:rFonts w:ascii="Times New Roman" w:hAnsi="Times New Roman" w:cs="Times New Roman"/>
                <w:color w:val="auto"/>
                <w:highlight w:val="none"/>
                <w:lang w:eastAsia="en-US"/>
              </w:rPr>
              <w:t>4.1</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6C4EE452">
            <w:pPr>
              <w:pStyle w:val="561"/>
              <w:widowControl w:val="0"/>
              <w:spacing w:before="120" w:after="120" w:line="240" w:lineRule="auto"/>
              <w:ind w:left="31"/>
              <w:rPr>
                <w:color w:val="auto"/>
                <w:highlight w:val="none"/>
                <w:lang w:eastAsia="en-US"/>
              </w:rPr>
            </w:pPr>
            <w:r>
              <w:rPr>
                <w:rFonts w:ascii="Times New Roman" w:hAnsi="Times New Roman" w:cs="Times New Roman"/>
                <w:color w:val="auto"/>
                <w:szCs w:val="24"/>
                <w:highlight w:val="none"/>
                <w:lang w:eastAsia="en-US"/>
              </w:rPr>
              <w:t>搭建运维平台</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410AAA4">
            <w:pPr>
              <w:pStyle w:val="561"/>
              <w:widowControl w:val="0"/>
              <w:spacing w:before="120" w:after="120"/>
              <w:ind w:left="31"/>
              <w:rPr>
                <w:color w:val="auto"/>
                <w:highlight w:val="none"/>
                <w:lang w:eastAsia="en-US"/>
              </w:rPr>
            </w:pPr>
            <w:r>
              <w:rPr>
                <w:color w:val="auto"/>
                <w:highlight w:val="none"/>
                <w:lang w:eastAsia="en-US"/>
              </w:rPr>
              <w:t>P</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114E2841">
            <w:pPr>
              <w:pStyle w:val="561"/>
              <w:widowControl w:val="0"/>
              <w:spacing w:before="120" w:after="120"/>
              <w:ind w:left="31"/>
              <w:rPr>
                <w:color w:val="auto"/>
                <w:highlight w:val="none"/>
                <w:lang w:eastAsia="en-US"/>
              </w:rPr>
            </w:pPr>
            <w:r>
              <w:rPr>
                <w:color w:val="auto"/>
                <w:highlight w:val="none"/>
                <w:lang w:eastAsia="en-US"/>
              </w:rPr>
              <w:t>S</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F57DCE6">
            <w:pPr>
              <w:pStyle w:val="561"/>
              <w:widowControl w:val="0"/>
              <w:spacing w:before="120" w:after="120" w:line="240" w:lineRule="auto"/>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D3FACC1">
            <w:pPr>
              <w:pStyle w:val="561"/>
              <w:widowControl w:val="0"/>
              <w:spacing w:before="120" w:after="120" w:line="240" w:lineRule="auto"/>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BD81CAC">
            <w:pPr>
              <w:pStyle w:val="561"/>
              <w:widowControl w:val="0"/>
              <w:spacing w:before="120" w:after="120" w:line="240" w:lineRule="auto"/>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B37A911">
            <w:pPr>
              <w:pStyle w:val="561"/>
              <w:widowControl w:val="0"/>
              <w:spacing w:before="120" w:after="120" w:line="240" w:lineRule="auto"/>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23905539">
            <w:pPr>
              <w:pStyle w:val="561"/>
              <w:widowControl w:val="0"/>
              <w:spacing w:before="120" w:after="120" w:line="240" w:lineRule="auto"/>
              <w:ind w:left="31"/>
              <w:rPr>
                <w:color w:val="auto"/>
                <w:highlight w:val="none"/>
                <w:lang w:eastAsia="en-US"/>
              </w:rPr>
            </w:pPr>
          </w:p>
        </w:tc>
      </w:tr>
      <w:tr w14:paraId="54336F4F">
        <w:tblPrEx>
          <w:tblCellMar>
            <w:top w:w="0" w:type="dxa"/>
            <w:left w:w="0" w:type="dxa"/>
            <w:bottom w:w="0" w:type="dxa"/>
            <w:right w:w="0" w:type="dxa"/>
          </w:tblCellMar>
        </w:tblPrEx>
        <w:trPr>
          <w:trHeight w:val="454" w:hRule="atLeast"/>
          <w:jc w:val="center"/>
        </w:trPr>
        <w:tc>
          <w:tcPr>
            <w:tcW w:w="535"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4D3119B">
            <w:pPr>
              <w:pStyle w:val="561"/>
              <w:widowControl w:val="0"/>
              <w:spacing w:before="120" w:after="120" w:line="240" w:lineRule="auto"/>
              <w:ind w:left="31"/>
              <w:rPr>
                <w:color w:val="auto"/>
                <w:highlight w:val="none"/>
                <w:lang w:eastAsia="en-US"/>
              </w:rPr>
            </w:pPr>
            <w:r>
              <w:rPr>
                <w:rFonts w:ascii="Times New Roman" w:hAnsi="Times New Roman" w:cs="Times New Roman"/>
                <w:color w:val="auto"/>
                <w:highlight w:val="none"/>
                <w:lang w:eastAsia="en-US"/>
              </w:rPr>
              <w:t>4.2</w:t>
            </w:r>
          </w:p>
        </w:tc>
        <w:tc>
          <w:tcPr>
            <w:tcW w:w="1446"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4088ADA">
            <w:pPr>
              <w:pStyle w:val="561"/>
              <w:widowControl w:val="0"/>
              <w:spacing w:before="120" w:after="120" w:line="240" w:lineRule="auto"/>
              <w:ind w:left="31"/>
              <w:rPr>
                <w:color w:val="auto"/>
                <w:highlight w:val="none"/>
                <w:lang w:eastAsia="en-US"/>
              </w:rPr>
            </w:pPr>
            <w:r>
              <w:rPr>
                <w:rFonts w:ascii="Times New Roman" w:hAnsi="Times New Roman" w:cs="Times New Roman"/>
                <w:color w:val="auto"/>
                <w:szCs w:val="24"/>
                <w:highlight w:val="none"/>
                <w:lang w:eastAsia="en-US"/>
              </w:rPr>
              <w:t>交付竣工运维模型</w:t>
            </w:r>
          </w:p>
        </w:tc>
        <w:tc>
          <w:tcPr>
            <w:tcW w:w="518"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4005D677">
            <w:pPr>
              <w:pStyle w:val="561"/>
              <w:widowControl w:val="0"/>
              <w:spacing w:before="120" w:after="120"/>
              <w:ind w:left="31"/>
              <w:rPr>
                <w:color w:val="auto"/>
                <w:highlight w:val="none"/>
                <w:lang w:eastAsia="en-US"/>
              </w:rPr>
            </w:pPr>
            <w:r>
              <w:rPr>
                <w:color w:val="auto"/>
                <w:highlight w:val="none"/>
                <w:lang w:eastAsia="en-US"/>
              </w:rPr>
              <w:t>O</w:t>
            </w:r>
          </w:p>
        </w:tc>
        <w:tc>
          <w:tcPr>
            <w:tcW w:w="512"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552D4C9">
            <w:pPr>
              <w:pStyle w:val="561"/>
              <w:widowControl w:val="0"/>
              <w:spacing w:before="120" w:after="120"/>
              <w:ind w:left="31"/>
              <w:rPr>
                <w:color w:val="auto"/>
                <w:highlight w:val="none"/>
                <w:lang w:eastAsia="en-US"/>
              </w:rPr>
            </w:pPr>
            <w:r>
              <w:rPr>
                <w:color w:val="auto"/>
                <w:highlight w:val="none"/>
                <w:lang w:eastAsia="en-US"/>
              </w:rPr>
              <w:t>P</w:t>
            </w:r>
          </w:p>
        </w:tc>
        <w:tc>
          <w:tcPr>
            <w:tcW w:w="44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3C891C7F">
            <w:pPr>
              <w:pStyle w:val="561"/>
              <w:widowControl w:val="0"/>
              <w:spacing w:before="120" w:after="120" w:line="240" w:lineRule="auto"/>
              <w:ind w:left="31"/>
              <w:rPr>
                <w:color w:val="auto"/>
                <w:highlight w:val="none"/>
                <w:lang w:eastAsia="en-US"/>
              </w:rPr>
            </w:pPr>
          </w:p>
        </w:tc>
        <w:tc>
          <w:tcPr>
            <w:tcW w:w="42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DE25FFA">
            <w:pPr>
              <w:pStyle w:val="561"/>
              <w:widowControl w:val="0"/>
              <w:spacing w:before="120" w:after="120" w:line="240" w:lineRule="auto"/>
              <w:ind w:left="31"/>
              <w:rPr>
                <w:color w:val="auto"/>
                <w:highlight w:val="none"/>
                <w:lang w:eastAsia="en-US"/>
              </w:rPr>
            </w:pPr>
          </w:p>
        </w:tc>
        <w:tc>
          <w:tcPr>
            <w:tcW w:w="379"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742C2301">
            <w:pPr>
              <w:pStyle w:val="561"/>
              <w:widowControl w:val="0"/>
              <w:spacing w:before="120" w:after="120" w:line="240" w:lineRule="auto"/>
              <w:ind w:left="31"/>
              <w:rPr>
                <w:color w:val="auto"/>
                <w:highlight w:val="none"/>
                <w:lang w:eastAsia="en-US"/>
              </w:rPr>
            </w:pPr>
          </w:p>
        </w:tc>
        <w:tc>
          <w:tcPr>
            <w:tcW w:w="367"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0BEC05BE">
            <w:pPr>
              <w:pStyle w:val="561"/>
              <w:widowControl w:val="0"/>
              <w:spacing w:before="120" w:after="120" w:line="240" w:lineRule="auto"/>
              <w:ind w:left="31"/>
              <w:rPr>
                <w:color w:val="auto"/>
                <w:highlight w:val="none"/>
                <w:lang w:eastAsia="en-US"/>
              </w:rPr>
            </w:pPr>
          </w:p>
        </w:tc>
        <w:tc>
          <w:tcPr>
            <w:tcW w:w="371" w:type="pct"/>
            <w:tcBorders>
              <w:top w:val="single" w:color="000000" w:sz="4" w:space="0"/>
              <w:left w:val="single" w:color="000000" w:sz="4" w:space="0"/>
              <w:bottom w:val="single" w:color="000000" w:sz="4" w:space="0"/>
              <w:right w:val="single" w:color="000000" w:sz="4" w:space="0"/>
            </w:tcBorders>
            <w:noWrap w:val="0"/>
            <w:tcMar>
              <w:top w:w="113" w:type="dxa"/>
              <w:left w:w="113" w:type="dxa"/>
              <w:bottom w:w="113" w:type="dxa"/>
              <w:right w:w="113" w:type="dxa"/>
            </w:tcMar>
            <w:vAlign w:val="center"/>
          </w:tcPr>
          <w:p w14:paraId="52AC0C38">
            <w:pPr>
              <w:pStyle w:val="561"/>
              <w:widowControl w:val="0"/>
              <w:spacing w:before="120" w:after="120" w:line="240" w:lineRule="auto"/>
              <w:ind w:left="31"/>
              <w:rPr>
                <w:color w:val="auto"/>
                <w:highlight w:val="none"/>
                <w:lang w:eastAsia="en-US"/>
              </w:rPr>
            </w:pPr>
          </w:p>
        </w:tc>
      </w:tr>
    </w:tbl>
    <w:p w14:paraId="1AC2C7F5">
      <w:pPr>
        <w:pStyle w:val="584"/>
        <w:spacing w:before="120" w:after="120" w:line="336" w:lineRule="auto"/>
        <w:ind w:left="232" w:firstLine="540"/>
        <w:rPr>
          <w:color w:val="auto"/>
          <w:sz w:val="18"/>
          <w:szCs w:val="18"/>
          <w:highlight w:val="none"/>
        </w:rPr>
      </w:pPr>
      <w:r>
        <w:rPr>
          <w:color w:val="auto"/>
          <w:sz w:val="18"/>
          <w:szCs w:val="18"/>
          <w:highlight w:val="none"/>
        </w:rPr>
        <w:t>注：《BIM工作职责分配表》根据项目实际情况，由项目的BIM总协调方做出调整，并提交代建局</w:t>
      </w:r>
      <w:r>
        <w:rPr>
          <w:rFonts w:hint="eastAsia"/>
          <w:color w:val="auto"/>
          <w:sz w:val="18"/>
          <w:szCs w:val="18"/>
          <w:highlight w:val="none"/>
        </w:rPr>
        <w:t>BIM技术应用管理领导小组</w:t>
      </w:r>
      <w:r>
        <w:rPr>
          <w:color w:val="auto"/>
          <w:sz w:val="18"/>
          <w:szCs w:val="18"/>
          <w:highlight w:val="none"/>
        </w:rPr>
        <w:t>审核通过。</w:t>
      </w:r>
    </w:p>
    <w:p w14:paraId="7DC98AA0">
      <w:pPr>
        <w:spacing w:before="120" w:after="120" w:line="336" w:lineRule="auto"/>
        <w:ind w:left="232" w:firstLine="480" w:firstLineChars="0"/>
        <w:rPr>
          <w:rFonts w:cs="Times New Roman"/>
          <w:color w:val="auto"/>
          <w:highlight w:val="none"/>
        </w:rPr>
      </w:pPr>
    </w:p>
    <w:p w14:paraId="05F52E94">
      <w:pPr>
        <w:spacing w:before="120" w:after="120" w:line="336" w:lineRule="auto"/>
        <w:rPr>
          <w:color w:val="auto"/>
          <w:highlight w:val="none"/>
        </w:rPr>
        <w:sectPr>
          <w:pgSz w:w="11910" w:h="16840"/>
          <w:pgMar w:top="1440" w:right="1800" w:bottom="1440" w:left="1800" w:header="907" w:footer="973" w:gutter="0"/>
          <w:pgNumType w:fmt="numberInDash"/>
          <w:cols w:space="720" w:num="1"/>
        </w:sectPr>
      </w:pPr>
    </w:p>
    <w:p w14:paraId="31FEDBF6">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256" w:name="_bookmark42"/>
      <w:bookmarkEnd w:id="256"/>
      <w:bookmarkStart w:id="257" w:name="_Toc29242"/>
      <w:bookmarkStart w:id="258" w:name="_Toc25899"/>
      <w:bookmarkStart w:id="259" w:name="_Toc28669"/>
      <w:bookmarkStart w:id="260" w:name="_Toc27619"/>
      <w:bookmarkStart w:id="261" w:name="_Toc5089"/>
      <w:bookmarkStart w:id="262" w:name="_Toc13721"/>
      <w:bookmarkStart w:id="263" w:name="_Toc24288"/>
      <w:bookmarkStart w:id="264" w:name="_Toc13335"/>
      <w:bookmarkStart w:id="265" w:name="_Toc5991"/>
      <w:bookmarkStart w:id="266" w:name="_Toc31413"/>
      <w:bookmarkStart w:id="267" w:name="_Toc8987"/>
      <w:bookmarkStart w:id="268" w:name="_Toc31088"/>
      <w:bookmarkStart w:id="269" w:name="_Toc27826"/>
      <w:bookmarkStart w:id="270" w:name="_Toc30119"/>
      <w:bookmarkStart w:id="271" w:name="_Toc14602"/>
      <w:bookmarkStart w:id="272" w:name="_Toc12676"/>
      <w:bookmarkStart w:id="273" w:name="_Toc4605"/>
      <w:bookmarkStart w:id="274" w:name="_Toc22569"/>
      <w:bookmarkStart w:id="275" w:name="_Toc140219106"/>
      <w:bookmarkStart w:id="276" w:name="_Toc3664"/>
      <w:bookmarkStart w:id="277" w:name="_Toc722"/>
      <w:bookmarkStart w:id="278" w:name="_Toc2350"/>
      <w:r>
        <w:rPr>
          <w:rFonts w:eastAsia="黑体" w:cs="Times New Roman"/>
          <w:bCs/>
          <w:color w:val="auto"/>
          <w:sz w:val="24"/>
          <w:highlight w:val="none"/>
        </w:rPr>
        <w:t>附表2  各阶段BIM实施总计划样表</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52B2504B">
      <w:pPr>
        <w:spacing w:before="120" w:after="120"/>
        <w:jc w:val="center"/>
        <w:rPr>
          <w:rFonts w:ascii="宋体" w:hAnsi="宋体" w:eastAsia="黑体" w:cs="Times New Roman"/>
          <w:color w:val="auto"/>
          <w:szCs w:val="20"/>
          <w:highlight w:val="none"/>
        </w:rPr>
      </w:pPr>
      <w:r>
        <w:rPr>
          <w:rFonts w:ascii="宋体" w:hAnsi="宋体" w:eastAsia="黑体" w:cs="Times New Roman"/>
          <w:color w:val="auto"/>
          <w:szCs w:val="20"/>
          <w:highlight w:val="none"/>
        </w:rPr>
        <w:t>附表2-1  设计阶段BIM实施计划样表</w:t>
      </w:r>
    </w:p>
    <w:tbl>
      <w:tblPr>
        <w:tblStyle w:val="519"/>
        <w:tblW w:w="4998" w:type="pct"/>
        <w:tblInd w:w="0" w:type="dxa"/>
        <w:tblLayout w:type="autofit"/>
        <w:tblCellMar>
          <w:top w:w="0" w:type="dxa"/>
          <w:left w:w="0" w:type="dxa"/>
          <w:bottom w:w="0" w:type="dxa"/>
          <w:right w:w="0" w:type="dxa"/>
        </w:tblCellMar>
      </w:tblPr>
      <w:tblGrid>
        <w:gridCol w:w="742"/>
        <w:gridCol w:w="641"/>
        <w:gridCol w:w="727"/>
        <w:gridCol w:w="1026"/>
        <w:gridCol w:w="839"/>
        <w:gridCol w:w="839"/>
        <w:gridCol w:w="839"/>
        <w:gridCol w:w="890"/>
        <w:gridCol w:w="839"/>
        <w:gridCol w:w="839"/>
        <w:gridCol w:w="839"/>
        <w:gridCol w:w="858"/>
        <w:gridCol w:w="839"/>
        <w:gridCol w:w="839"/>
        <w:gridCol w:w="839"/>
        <w:gridCol w:w="914"/>
      </w:tblGrid>
      <w:tr w14:paraId="1402FAC9">
        <w:tblPrEx>
          <w:tblCellMar>
            <w:top w:w="0" w:type="dxa"/>
            <w:left w:w="0" w:type="dxa"/>
            <w:bottom w:w="0" w:type="dxa"/>
            <w:right w:w="0" w:type="dxa"/>
          </w:tblCellMar>
        </w:tblPrEx>
        <w:trPr>
          <w:trHeight w:val="340" w:hRule="atLeast"/>
        </w:trPr>
        <w:tc>
          <w:tcPr>
            <w:tcW w:w="278" w:type="pct"/>
            <w:vMerge w:val="restar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3C5E47E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项目阶段</w:t>
            </w:r>
          </w:p>
        </w:tc>
        <w:tc>
          <w:tcPr>
            <w:tcW w:w="240" w:type="pct"/>
            <w:vMerge w:val="restar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4B4C0747">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实施</w:t>
            </w:r>
          </w:p>
          <w:p w14:paraId="3DA5348A">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单位</w:t>
            </w:r>
          </w:p>
        </w:tc>
        <w:tc>
          <w:tcPr>
            <w:tcW w:w="272" w:type="pct"/>
            <w:vMerge w:val="restar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7E0E8FB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BIM</w:t>
            </w:r>
          </w:p>
          <w:p w14:paraId="6A19E09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模型深度</w:t>
            </w:r>
          </w:p>
        </w:tc>
        <w:tc>
          <w:tcPr>
            <w:tcW w:w="384" w:type="pct"/>
            <w:vMerge w:val="restar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2E3D1567">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工作范围</w:t>
            </w:r>
          </w:p>
        </w:tc>
        <w:tc>
          <w:tcPr>
            <w:tcW w:w="1275" w:type="pct"/>
            <w:gridSpan w:val="4"/>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73BBAC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w:t>
            </w:r>
            <w:r>
              <w:rPr>
                <w:rFonts w:hint="eastAsia"/>
                <w:color w:val="auto"/>
                <w:highlight w:val="none"/>
                <w:lang w:val="en-US" w:eastAsia="en-US"/>
              </w:rPr>
              <w:t>设计</w:t>
            </w:r>
            <w:r>
              <w:rPr>
                <w:rFonts w:ascii="Times New Roman" w:hAnsi="Times New Roman" w:cs="Times New Roman"/>
                <w:color w:val="auto"/>
                <w:szCs w:val="24"/>
                <w:highlight w:val="none"/>
                <w:lang w:eastAsia="en-US"/>
              </w:rPr>
              <w:t>阶段</w:t>
            </w:r>
          </w:p>
        </w:tc>
        <w:tc>
          <w:tcPr>
            <w:tcW w:w="1263" w:type="pct"/>
            <w:gridSpan w:val="4"/>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7D031EF">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hint="eastAsia"/>
                <w:color w:val="auto"/>
                <w:highlight w:val="none"/>
                <w:lang w:val="en-US" w:eastAsia="en-US"/>
              </w:rPr>
              <w:t>初步设计</w:t>
            </w:r>
            <w:r>
              <w:rPr>
                <w:rFonts w:ascii="Times New Roman" w:hAnsi="Times New Roman" w:cs="Times New Roman"/>
                <w:color w:val="auto"/>
                <w:szCs w:val="24"/>
                <w:highlight w:val="none"/>
                <w:lang w:eastAsia="en-US"/>
              </w:rPr>
              <w:t>阶段</w:t>
            </w:r>
          </w:p>
        </w:tc>
        <w:tc>
          <w:tcPr>
            <w:tcW w:w="1284" w:type="pct"/>
            <w:gridSpan w:val="4"/>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9754E0A">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w:t>
            </w:r>
            <w:r>
              <w:rPr>
                <w:rFonts w:hint="eastAsia"/>
                <w:color w:val="auto"/>
                <w:highlight w:val="none"/>
                <w:lang w:val="en-US" w:eastAsia="en-US"/>
              </w:rPr>
              <w:t>设计</w:t>
            </w:r>
            <w:r>
              <w:rPr>
                <w:rFonts w:ascii="Times New Roman" w:hAnsi="Times New Roman" w:cs="Times New Roman"/>
                <w:color w:val="auto"/>
                <w:szCs w:val="24"/>
                <w:highlight w:val="none"/>
                <w:lang w:eastAsia="en-US"/>
              </w:rPr>
              <w:t>阶段</w:t>
            </w:r>
          </w:p>
        </w:tc>
      </w:tr>
      <w:tr w14:paraId="44B94831">
        <w:tblPrEx>
          <w:tblCellMar>
            <w:top w:w="0" w:type="dxa"/>
            <w:left w:w="0" w:type="dxa"/>
            <w:bottom w:w="0" w:type="dxa"/>
            <w:right w:w="0" w:type="dxa"/>
          </w:tblCellMar>
        </w:tblPrEx>
        <w:trPr>
          <w:trHeight w:val="340" w:hRule="atLeast"/>
        </w:trPr>
        <w:tc>
          <w:tcPr>
            <w:tcW w:w="278" w:type="pct"/>
            <w:vMerge w:val="continue"/>
            <w:tcBorders>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C44DF36">
            <w:pPr>
              <w:pStyle w:val="561"/>
              <w:widowControl w:val="0"/>
              <w:spacing w:before="120" w:after="120" w:line="240" w:lineRule="auto"/>
              <w:ind w:left="31"/>
              <w:rPr>
                <w:rFonts w:ascii="Times New Roman" w:hAnsi="Times New Roman" w:cs="Times New Roman"/>
                <w:color w:val="auto"/>
                <w:szCs w:val="24"/>
                <w:highlight w:val="none"/>
                <w:lang w:eastAsia="en-US"/>
              </w:rPr>
            </w:pPr>
          </w:p>
        </w:tc>
        <w:tc>
          <w:tcPr>
            <w:tcW w:w="240" w:type="pct"/>
            <w:vMerge w:val="continue"/>
            <w:tcBorders>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7BE76B4">
            <w:pPr>
              <w:pStyle w:val="561"/>
              <w:widowControl w:val="0"/>
              <w:spacing w:before="120" w:after="120" w:line="240" w:lineRule="auto"/>
              <w:ind w:left="31"/>
              <w:rPr>
                <w:rFonts w:ascii="Times New Roman" w:hAnsi="Times New Roman" w:cs="Times New Roman"/>
                <w:color w:val="auto"/>
                <w:szCs w:val="24"/>
                <w:highlight w:val="none"/>
                <w:lang w:eastAsia="en-US"/>
              </w:rPr>
            </w:pPr>
          </w:p>
        </w:tc>
        <w:tc>
          <w:tcPr>
            <w:tcW w:w="272" w:type="pct"/>
            <w:vMerge w:val="continue"/>
            <w:tcBorders>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9A24D39">
            <w:pPr>
              <w:pStyle w:val="561"/>
              <w:widowControl w:val="0"/>
              <w:spacing w:before="120" w:after="120" w:line="240" w:lineRule="auto"/>
              <w:ind w:left="31"/>
              <w:rPr>
                <w:rFonts w:ascii="Times New Roman" w:hAnsi="Times New Roman" w:cs="Times New Roman"/>
                <w:color w:val="auto"/>
                <w:szCs w:val="24"/>
                <w:highlight w:val="none"/>
                <w:lang w:eastAsia="en-US"/>
              </w:rPr>
            </w:pPr>
          </w:p>
        </w:tc>
        <w:tc>
          <w:tcPr>
            <w:tcW w:w="384" w:type="pct"/>
            <w:vMerge w:val="continue"/>
            <w:tcBorders>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B264544">
            <w:pPr>
              <w:pStyle w:val="561"/>
              <w:widowControl w:val="0"/>
              <w:spacing w:before="120" w:after="120" w:line="240" w:lineRule="auto"/>
              <w:ind w:left="31"/>
              <w:rPr>
                <w:rFonts w:ascii="Times New Roman" w:hAnsi="Times New Roman" w:cs="Times New Roman"/>
                <w:color w:val="auto"/>
                <w:szCs w:val="24"/>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FBFEA5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预计开始时间</w:t>
            </w: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006710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预计结束时间</w:t>
            </w: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33C417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预计完成耗时（工作日）</w:t>
            </w:r>
          </w:p>
        </w:tc>
        <w:tc>
          <w:tcPr>
            <w:tcW w:w="330"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D64A4E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完成内容</w:t>
            </w: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B6B658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预计开始时间</w:t>
            </w: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9383F3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预计结束时间</w:t>
            </w: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8C99050">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预计完成耗时（工作日）</w:t>
            </w:r>
          </w:p>
        </w:tc>
        <w:tc>
          <w:tcPr>
            <w:tcW w:w="3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543E409">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完成内容</w:t>
            </w: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65B28DF">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预计开始时间</w:t>
            </w: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678E51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预计结束时间</w:t>
            </w: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1C12E6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预计完成耗时（工作日）</w:t>
            </w:r>
          </w:p>
        </w:tc>
        <w:tc>
          <w:tcPr>
            <w:tcW w:w="339"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45F2E1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完成内容</w:t>
            </w:r>
          </w:p>
        </w:tc>
      </w:tr>
      <w:tr w14:paraId="2BE5405E">
        <w:tblPrEx>
          <w:tblCellMar>
            <w:top w:w="0" w:type="dxa"/>
            <w:left w:w="0" w:type="dxa"/>
            <w:bottom w:w="0" w:type="dxa"/>
            <w:right w:w="0" w:type="dxa"/>
          </w:tblCellMar>
        </w:tblPrEx>
        <w:trPr>
          <w:trHeight w:val="340" w:hRule="atLeast"/>
        </w:trPr>
        <w:tc>
          <w:tcPr>
            <w:tcW w:w="27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D4C31C3">
            <w:pPr>
              <w:pStyle w:val="561"/>
              <w:widowControl w:val="0"/>
              <w:spacing w:before="120" w:after="120" w:line="240" w:lineRule="auto"/>
              <w:ind w:left="31"/>
              <w:rPr>
                <w:color w:val="auto"/>
                <w:highlight w:val="none"/>
                <w:lang w:eastAsia="en-US"/>
              </w:rPr>
            </w:pPr>
          </w:p>
        </w:tc>
        <w:tc>
          <w:tcPr>
            <w:tcW w:w="240"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2FEFE0E">
            <w:pPr>
              <w:pStyle w:val="561"/>
              <w:widowControl w:val="0"/>
              <w:spacing w:before="120" w:after="120" w:line="240" w:lineRule="auto"/>
              <w:ind w:left="31"/>
              <w:rPr>
                <w:color w:val="auto"/>
                <w:highlight w:val="none"/>
                <w:lang w:eastAsia="en-US"/>
              </w:rPr>
            </w:pPr>
          </w:p>
        </w:tc>
        <w:tc>
          <w:tcPr>
            <w:tcW w:w="272"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86D442F">
            <w:pPr>
              <w:pStyle w:val="561"/>
              <w:widowControl w:val="0"/>
              <w:spacing w:before="120" w:after="120" w:line="240" w:lineRule="auto"/>
              <w:ind w:left="31"/>
              <w:rPr>
                <w:color w:val="auto"/>
                <w:highlight w:val="none"/>
                <w:lang w:eastAsia="en-US"/>
              </w:rPr>
            </w:pPr>
          </w:p>
        </w:tc>
        <w:tc>
          <w:tcPr>
            <w:tcW w:w="38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8B6B068">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D5FACC2">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6804FFF">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0F4F5E4">
            <w:pPr>
              <w:pStyle w:val="561"/>
              <w:widowControl w:val="0"/>
              <w:spacing w:before="120" w:after="120" w:line="240" w:lineRule="auto"/>
              <w:ind w:left="31"/>
              <w:rPr>
                <w:color w:val="auto"/>
                <w:highlight w:val="none"/>
                <w:lang w:eastAsia="en-US"/>
              </w:rPr>
            </w:pPr>
          </w:p>
        </w:tc>
        <w:tc>
          <w:tcPr>
            <w:tcW w:w="330"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7C7A117">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3550A2E">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B638D02">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DF4CBB0">
            <w:pPr>
              <w:pStyle w:val="561"/>
              <w:widowControl w:val="0"/>
              <w:spacing w:before="120" w:after="120" w:line="240" w:lineRule="auto"/>
              <w:ind w:left="31"/>
              <w:rPr>
                <w:color w:val="auto"/>
                <w:highlight w:val="none"/>
                <w:lang w:eastAsia="en-US"/>
              </w:rPr>
            </w:pPr>
          </w:p>
        </w:tc>
        <w:tc>
          <w:tcPr>
            <w:tcW w:w="3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13E791B">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C97795A">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2EE211D">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1F8AED1">
            <w:pPr>
              <w:pStyle w:val="561"/>
              <w:widowControl w:val="0"/>
              <w:spacing w:before="120" w:after="120" w:line="240" w:lineRule="auto"/>
              <w:ind w:left="31"/>
              <w:rPr>
                <w:color w:val="auto"/>
                <w:highlight w:val="none"/>
                <w:lang w:eastAsia="en-US"/>
              </w:rPr>
            </w:pPr>
          </w:p>
        </w:tc>
        <w:tc>
          <w:tcPr>
            <w:tcW w:w="339"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39F782C">
            <w:pPr>
              <w:pStyle w:val="561"/>
              <w:widowControl w:val="0"/>
              <w:spacing w:before="120" w:after="120" w:line="240" w:lineRule="auto"/>
              <w:ind w:left="31"/>
              <w:rPr>
                <w:color w:val="auto"/>
                <w:highlight w:val="none"/>
                <w:lang w:eastAsia="en-US"/>
              </w:rPr>
            </w:pPr>
          </w:p>
        </w:tc>
      </w:tr>
      <w:tr w14:paraId="457E6F52">
        <w:tblPrEx>
          <w:tblCellMar>
            <w:top w:w="0" w:type="dxa"/>
            <w:left w:w="0" w:type="dxa"/>
            <w:bottom w:w="0" w:type="dxa"/>
            <w:right w:w="0" w:type="dxa"/>
          </w:tblCellMar>
        </w:tblPrEx>
        <w:trPr>
          <w:trHeight w:val="340" w:hRule="atLeast"/>
        </w:trPr>
        <w:tc>
          <w:tcPr>
            <w:tcW w:w="27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2101589">
            <w:pPr>
              <w:pStyle w:val="561"/>
              <w:widowControl w:val="0"/>
              <w:spacing w:before="120" w:after="120" w:line="240" w:lineRule="auto"/>
              <w:ind w:left="31"/>
              <w:rPr>
                <w:color w:val="auto"/>
                <w:highlight w:val="none"/>
                <w:lang w:eastAsia="en-US"/>
              </w:rPr>
            </w:pPr>
          </w:p>
        </w:tc>
        <w:tc>
          <w:tcPr>
            <w:tcW w:w="240"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9D266CE">
            <w:pPr>
              <w:pStyle w:val="561"/>
              <w:widowControl w:val="0"/>
              <w:spacing w:before="120" w:after="120" w:line="240" w:lineRule="auto"/>
              <w:ind w:left="31"/>
              <w:rPr>
                <w:color w:val="auto"/>
                <w:highlight w:val="none"/>
                <w:lang w:eastAsia="en-US"/>
              </w:rPr>
            </w:pPr>
          </w:p>
        </w:tc>
        <w:tc>
          <w:tcPr>
            <w:tcW w:w="272"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1AC2386">
            <w:pPr>
              <w:pStyle w:val="561"/>
              <w:widowControl w:val="0"/>
              <w:spacing w:before="120" w:after="120" w:line="240" w:lineRule="auto"/>
              <w:ind w:left="31"/>
              <w:rPr>
                <w:color w:val="auto"/>
                <w:highlight w:val="none"/>
                <w:lang w:eastAsia="en-US"/>
              </w:rPr>
            </w:pPr>
          </w:p>
        </w:tc>
        <w:tc>
          <w:tcPr>
            <w:tcW w:w="38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3F660B6">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7F1D3D9">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9F56980">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57A856F">
            <w:pPr>
              <w:pStyle w:val="561"/>
              <w:widowControl w:val="0"/>
              <w:spacing w:before="120" w:after="120" w:line="240" w:lineRule="auto"/>
              <w:ind w:left="31"/>
              <w:rPr>
                <w:color w:val="auto"/>
                <w:highlight w:val="none"/>
                <w:lang w:eastAsia="en-US"/>
              </w:rPr>
            </w:pPr>
          </w:p>
        </w:tc>
        <w:tc>
          <w:tcPr>
            <w:tcW w:w="330"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C6918EC">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BB5D2D0">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6080DCA">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77380E3">
            <w:pPr>
              <w:pStyle w:val="561"/>
              <w:widowControl w:val="0"/>
              <w:spacing w:before="120" w:after="120" w:line="240" w:lineRule="auto"/>
              <w:ind w:left="31"/>
              <w:rPr>
                <w:color w:val="auto"/>
                <w:highlight w:val="none"/>
                <w:lang w:eastAsia="en-US"/>
              </w:rPr>
            </w:pPr>
          </w:p>
        </w:tc>
        <w:tc>
          <w:tcPr>
            <w:tcW w:w="3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C14FB89">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E9F2441">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B7B5806">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FDBCBBC">
            <w:pPr>
              <w:pStyle w:val="561"/>
              <w:widowControl w:val="0"/>
              <w:spacing w:before="120" w:after="120" w:line="240" w:lineRule="auto"/>
              <w:ind w:left="31"/>
              <w:rPr>
                <w:color w:val="auto"/>
                <w:highlight w:val="none"/>
                <w:lang w:eastAsia="en-US"/>
              </w:rPr>
            </w:pPr>
          </w:p>
        </w:tc>
        <w:tc>
          <w:tcPr>
            <w:tcW w:w="339"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E8CE7C1">
            <w:pPr>
              <w:pStyle w:val="561"/>
              <w:widowControl w:val="0"/>
              <w:spacing w:before="120" w:after="120" w:line="240" w:lineRule="auto"/>
              <w:ind w:left="31"/>
              <w:rPr>
                <w:color w:val="auto"/>
                <w:highlight w:val="none"/>
                <w:lang w:eastAsia="en-US"/>
              </w:rPr>
            </w:pPr>
          </w:p>
        </w:tc>
      </w:tr>
    </w:tbl>
    <w:p w14:paraId="2FAB149C">
      <w:pPr>
        <w:spacing w:before="120" w:after="120"/>
        <w:ind w:firstLine="360" w:firstLineChars="0"/>
        <w:jc w:val="center"/>
        <w:rPr>
          <w:rFonts w:ascii="黑体" w:hAnsi="黑体" w:eastAsia="黑体" w:cs="黑体"/>
          <w:color w:val="auto"/>
          <w:sz w:val="18"/>
          <w:szCs w:val="18"/>
          <w:highlight w:val="none"/>
        </w:rPr>
      </w:pPr>
    </w:p>
    <w:p w14:paraId="2DB59172">
      <w:pPr>
        <w:spacing w:before="120" w:after="120"/>
        <w:jc w:val="center"/>
        <w:rPr>
          <w:rFonts w:ascii="宋体" w:hAnsi="宋体" w:eastAsia="黑体" w:cs="Times New Roman"/>
          <w:color w:val="auto"/>
          <w:szCs w:val="20"/>
          <w:highlight w:val="none"/>
        </w:rPr>
      </w:pPr>
      <w:r>
        <w:rPr>
          <w:rFonts w:ascii="宋体" w:hAnsi="宋体" w:eastAsia="黑体" w:cs="Times New Roman"/>
          <w:color w:val="auto"/>
          <w:szCs w:val="20"/>
          <w:highlight w:val="none"/>
        </w:rPr>
        <w:t>附表2-2  施工阶段BIM实施计划样表</w:t>
      </w:r>
    </w:p>
    <w:tbl>
      <w:tblPr>
        <w:tblStyle w:val="519"/>
        <w:tblW w:w="4998" w:type="pct"/>
        <w:tblInd w:w="0" w:type="dxa"/>
        <w:tblLayout w:type="autofit"/>
        <w:tblCellMar>
          <w:top w:w="0" w:type="dxa"/>
          <w:left w:w="0" w:type="dxa"/>
          <w:bottom w:w="0" w:type="dxa"/>
          <w:right w:w="0" w:type="dxa"/>
        </w:tblCellMar>
      </w:tblPr>
      <w:tblGrid>
        <w:gridCol w:w="742"/>
        <w:gridCol w:w="641"/>
        <w:gridCol w:w="727"/>
        <w:gridCol w:w="1026"/>
        <w:gridCol w:w="839"/>
        <w:gridCol w:w="839"/>
        <w:gridCol w:w="839"/>
        <w:gridCol w:w="890"/>
        <w:gridCol w:w="839"/>
        <w:gridCol w:w="839"/>
        <w:gridCol w:w="839"/>
        <w:gridCol w:w="858"/>
        <w:gridCol w:w="839"/>
        <w:gridCol w:w="839"/>
        <w:gridCol w:w="839"/>
        <w:gridCol w:w="914"/>
      </w:tblGrid>
      <w:tr w14:paraId="61C4BACA">
        <w:tblPrEx>
          <w:tblCellMar>
            <w:top w:w="0" w:type="dxa"/>
            <w:left w:w="0" w:type="dxa"/>
            <w:bottom w:w="0" w:type="dxa"/>
            <w:right w:w="0" w:type="dxa"/>
          </w:tblCellMar>
        </w:tblPrEx>
        <w:trPr>
          <w:trHeight w:val="340" w:hRule="atLeast"/>
        </w:trPr>
        <w:tc>
          <w:tcPr>
            <w:tcW w:w="278" w:type="pct"/>
            <w:vMerge w:val="restar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014A2744">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项目阶段</w:t>
            </w:r>
          </w:p>
        </w:tc>
        <w:tc>
          <w:tcPr>
            <w:tcW w:w="240" w:type="pct"/>
            <w:vMerge w:val="restar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042CDDA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实施</w:t>
            </w:r>
          </w:p>
          <w:p w14:paraId="5700744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单位</w:t>
            </w:r>
          </w:p>
        </w:tc>
        <w:tc>
          <w:tcPr>
            <w:tcW w:w="272" w:type="pct"/>
            <w:vMerge w:val="restar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3A47AE6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BIM模型</w:t>
            </w:r>
          </w:p>
          <w:p w14:paraId="6596224F">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深度</w:t>
            </w:r>
          </w:p>
        </w:tc>
        <w:tc>
          <w:tcPr>
            <w:tcW w:w="384" w:type="pct"/>
            <w:vMerge w:val="restar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61B9A81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工作范围</w:t>
            </w:r>
          </w:p>
        </w:tc>
        <w:tc>
          <w:tcPr>
            <w:tcW w:w="1275" w:type="pct"/>
            <w:gridSpan w:val="4"/>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0BB7DD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hint="eastAsia"/>
                <w:color w:val="auto"/>
                <w:highlight w:val="none"/>
                <w:lang w:val="en-US" w:eastAsia="en-US"/>
              </w:rPr>
              <w:t>施工准备</w:t>
            </w:r>
            <w:r>
              <w:rPr>
                <w:rFonts w:ascii="Times New Roman" w:hAnsi="Times New Roman" w:cs="Times New Roman"/>
                <w:color w:val="auto"/>
                <w:szCs w:val="24"/>
                <w:highlight w:val="none"/>
                <w:lang w:eastAsia="en-US"/>
              </w:rPr>
              <w:t>阶段</w:t>
            </w:r>
          </w:p>
        </w:tc>
        <w:tc>
          <w:tcPr>
            <w:tcW w:w="1263" w:type="pct"/>
            <w:gridSpan w:val="4"/>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E5A58A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hint="eastAsia"/>
                <w:color w:val="auto"/>
                <w:highlight w:val="none"/>
                <w:lang w:val="en-US" w:eastAsia="en-US"/>
              </w:rPr>
              <w:t>施工过程</w:t>
            </w:r>
            <w:r>
              <w:rPr>
                <w:rFonts w:ascii="Times New Roman" w:hAnsi="Times New Roman" w:cs="Times New Roman"/>
                <w:color w:val="auto"/>
                <w:szCs w:val="24"/>
                <w:highlight w:val="none"/>
                <w:lang w:eastAsia="en-US"/>
              </w:rPr>
              <w:t>阶段</w:t>
            </w:r>
          </w:p>
        </w:tc>
        <w:tc>
          <w:tcPr>
            <w:tcW w:w="1284" w:type="pct"/>
            <w:gridSpan w:val="4"/>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8B41290">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竣工阶段</w:t>
            </w:r>
          </w:p>
        </w:tc>
      </w:tr>
      <w:tr w14:paraId="0BA4F138">
        <w:tblPrEx>
          <w:tblCellMar>
            <w:top w:w="0" w:type="dxa"/>
            <w:left w:w="0" w:type="dxa"/>
            <w:bottom w:w="0" w:type="dxa"/>
            <w:right w:w="0" w:type="dxa"/>
          </w:tblCellMar>
        </w:tblPrEx>
        <w:trPr>
          <w:trHeight w:val="340" w:hRule="atLeast"/>
        </w:trPr>
        <w:tc>
          <w:tcPr>
            <w:tcW w:w="278" w:type="pct"/>
            <w:vMerge w:val="continue"/>
            <w:tcBorders>
              <w:left w:val="single" w:color="000000" w:sz="4" w:space="0"/>
              <w:right w:val="single" w:color="000000" w:sz="4" w:space="0"/>
            </w:tcBorders>
            <w:noWrap w:val="0"/>
            <w:tcMar>
              <w:top w:w="57" w:type="dxa"/>
              <w:left w:w="57" w:type="dxa"/>
              <w:bottom w:w="57" w:type="dxa"/>
              <w:right w:w="57" w:type="dxa"/>
            </w:tcMar>
            <w:vAlign w:val="center"/>
          </w:tcPr>
          <w:p w14:paraId="52572FCE">
            <w:pPr>
              <w:pStyle w:val="561"/>
              <w:widowControl w:val="0"/>
              <w:spacing w:before="120" w:after="120" w:line="240" w:lineRule="auto"/>
              <w:ind w:left="31"/>
              <w:rPr>
                <w:rFonts w:ascii="Times New Roman" w:hAnsi="Times New Roman" w:cs="Times New Roman"/>
                <w:color w:val="auto"/>
                <w:szCs w:val="24"/>
                <w:highlight w:val="none"/>
                <w:lang w:eastAsia="en-US"/>
              </w:rPr>
            </w:pPr>
          </w:p>
        </w:tc>
        <w:tc>
          <w:tcPr>
            <w:tcW w:w="240" w:type="pct"/>
            <w:vMerge w:val="continue"/>
            <w:tcBorders>
              <w:left w:val="single" w:color="000000" w:sz="4" w:space="0"/>
              <w:right w:val="single" w:color="000000" w:sz="4" w:space="0"/>
            </w:tcBorders>
            <w:noWrap w:val="0"/>
            <w:tcMar>
              <w:top w:w="57" w:type="dxa"/>
              <w:left w:w="57" w:type="dxa"/>
              <w:bottom w:w="57" w:type="dxa"/>
              <w:right w:w="57" w:type="dxa"/>
            </w:tcMar>
            <w:vAlign w:val="center"/>
          </w:tcPr>
          <w:p w14:paraId="6E698789">
            <w:pPr>
              <w:pStyle w:val="561"/>
              <w:widowControl w:val="0"/>
              <w:spacing w:before="120" w:after="120" w:line="240" w:lineRule="auto"/>
              <w:ind w:left="31"/>
              <w:rPr>
                <w:rFonts w:ascii="Times New Roman" w:hAnsi="Times New Roman" w:cs="Times New Roman"/>
                <w:color w:val="auto"/>
                <w:szCs w:val="24"/>
                <w:highlight w:val="none"/>
                <w:lang w:eastAsia="en-US"/>
              </w:rPr>
            </w:pPr>
          </w:p>
        </w:tc>
        <w:tc>
          <w:tcPr>
            <w:tcW w:w="272" w:type="pct"/>
            <w:vMerge w:val="continue"/>
            <w:tcBorders>
              <w:left w:val="single" w:color="000000" w:sz="4" w:space="0"/>
              <w:right w:val="single" w:color="000000" w:sz="4" w:space="0"/>
            </w:tcBorders>
            <w:noWrap w:val="0"/>
            <w:tcMar>
              <w:top w:w="57" w:type="dxa"/>
              <w:left w:w="57" w:type="dxa"/>
              <w:bottom w:w="57" w:type="dxa"/>
              <w:right w:w="57" w:type="dxa"/>
            </w:tcMar>
            <w:vAlign w:val="center"/>
          </w:tcPr>
          <w:p w14:paraId="1FFE1FA8">
            <w:pPr>
              <w:pStyle w:val="561"/>
              <w:widowControl w:val="0"/>
              <w:spacing w:before="120" w:after="120"/>
              <w:ind w:left="31"/>
              <w:rPr>
                <w:rFonts w:ascii="Times New Roman" w:hAnsi="Times New Roman" w:cs="Times New Roman"/>
                <w:color w:val="auto"/>
                <w:kern w:val="2"/>
                <w:szCs w:val="24"/>
                <w:highlight w:val="none"/>
                <w:lang w:eastAsia="en-US"/>
              </w:rPr>
            </w:pPr>
          </w:p>
        </w:tc>
        <w:tc>
          <w:tcPr>
            <w:tcW w:w="384" w:type="pct"/>
            <w:vMerge w:val="continue"/>
            <w:tcBorders>
              <w:left w:val="single" w:color="000000" w:sz="4" w:space="0"/>
              <w:right w:val="single" w:color="000000" w:sz="4" w:space="0"/>
            </w:tcBorders>
            <w:noWrap w:val="0"/>
            <w:tcMar>
              <w:top w:w="57" w:type="dxa"/>
              <w:left w:w="57" w:type="dxa"/>
              <w:bottom w:w="57" w:type="dxa"/>
              <w:right w:w="57" w:type="dxa"/>
            </w:tcMar>
            <w:vAlign w:val="center"/>
          </w:tcPr>
          <w:p w14:paraId="66874016">
            <w:pPr>
              <w:pStyle w:val="561"/>
              <w:widowControl w:val="0"/>
              <w:spacing w:before="120" w:after="120" w:line="240" w:lineRule="auto"/>
              <w:ind w:left="31"/>
              <w:rPr>
                <w:rFonts w:ascii="Times New Roman" w:hAnsi="Times New Roman" w:cs="Times New Roman"/>
                <w:color w:val="auto"/>
                <w:szCs w:val="24"/>
                <w:highlight w:val="none"/>
                <w:lang w:eastAsia="en-US"/>
              </w:rPr>
            </w:pPr>
          </w:p>
        </w:tc>
        <w:tc>
          <w:tcPr>
            <w:tcW w:w="314"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27F959F9">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预计开始时间</w:t>
            </w:r>
          </w:p>
        </w:tc>
        <w:tc>
          <w:tcPr>
            <w:tcW w:w="314"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1A89953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预计结束时间</w:t>
            </w:r>
          </w:p>
        </w:tc>
        <w:tc>
          <w:tcPr>
            <w:tcW w:w="314"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54D1FFD6">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预计完成耗时（工作日）</w:t>
            </w:r>
          </w:p>
        </w:tc>
        <w:tc>
          <w:tcPr>
            <w:tcW w:w="330"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3A8972EA">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完成内容</w:t>
            </w:r>
          </w:p>
        </w:tc>
        <w:tc>
          <w:tcPr>
            <w:tcW w:w="314"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3319CA8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预计开始时间</w:t>
            </w:r>
          </w:p>
        </w:tc>
        <w:tc>
          <w:tcPr>
            <w:tcW w:w="314"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7795E85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预计结束时间</w:t>
            </w:r>
          </w:p>
        </w:tc>
        <w:tc>
          <w:tcPr>
            <w:tcW w:w="314"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449441E6">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预计完成耗时（工作日）</w:t>
            </w:r>
          </w:p>
        </w:tc>
        <w:tc>
          <w:tcPr>
            <w:tcW w:w="318"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5957EB0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完成内容</w:t>
            </w:r>
          </w:p>
        </w:tc>
        <w:tc>
          <w:tcPr>
            <w:tcW w:w="314"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0BDC438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预计开始时间</w:t>
            </w:r>
          </w:p>
        </w:tc>
        <w:tc>
          <w:tcPr>
            <w:tcW w:w="314"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744F64B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预计结束时间</w:t>
            </w:r>
          </w:p>
        </w:tc>
        <w:tc>
          <w:tcPr>
            <w:tcW w:w="314"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17C1E36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预计完成耗时（工作日）</w:t>
            </w:r>
          </w:p>
        </w:tc>
        <w:tc>
          <w:tcPr>
            <w:tcW w:w="339"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400F2227">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完成内容</w:t>
            </w:r>
          </w:p>
        </w:tc>
      </w:tr>
      <w:tr w14:paraId="43C17C9B">
        <w:tblPrEx>
          <w:tblCellMar>
            <w:top w:w="0" w:type="dxa"/>
            <w:left w:w="0" w:type="dxa"/>
            <w:bottom w:w="0" w:type="dxa"/>
            <w:right w:w="0" w:type="dxa"/>
          </w:tblCellMar>
        </w:tblPrEx>
        <w:trPr>
          <w:trHeight w:val="340" w:hRule="atLeast"/>
        </w:trPr>
        <w:tc>
          <w:tcPr>
            <w:tcW w:w="27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8D6CD1D">
            <w:pPr>
              <w:pStyle w:val="561"/>
              <w:widowControl w:val="0"/>
              <w:spacing w:before="120" w:after="120" w:line="240" w:lineRule="auto"/>
              <w:ind w:left="31"/>
              <w:rPr>
                <w:color w:val="auto"/>
                <w:highlight w:val="none"/>
                <w:lang w:eastAsia="en-US"/>
              </w:rPr>
            </w:pPr>
          </w:p>
        </w:tc>
        <w:tc>
          <w:tcPr>
            <w:tcW w:w="240"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084C1DD">
            <w:pPr>
              <w:pStyle w:val="561"/>
              <w:widowControl w:val="0"/>
              <w:spacing w:before="120" w:after="120" w:line="240" w:lineRule="auto"/>
              <w:ind w:left="31"/>
              <w:rPr>
                <w:color w:val="auto"/>
                <w:highlight w:val="none"/>
                <w:lang w:eastAsia="en-US"/>
              </w:rPr>
            </w:pPr>
          </w:p>
        </w:tc>
        <w:tc>
          <w:tcPr>
            <w:tcW w:w="272"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30C12A6">
            <w:pPr>
              <w:pStyle w:val="561"/>
              <w:widowControl w:val="0"/>
              <w:spacing w:before="120" w:after="120" w:line="240" w:lineRule="auto"/>
              <w:ind w:left="31"/>
              <w:rPr>
                <w:color w:val="auto"/>
                <w:highlight w:val="none"/>
                <w:lang w:eastAsia="en-US"/>
              </w:rPr>
            </w:pPr>
          </w:p>
        </w:tc>
        <w:tc>
          <w:tcPr>
            <w:tcW w:w="38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243269F">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7AE3577">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AC7D812">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0E4916F">
            <w:pPr>
              <w:pStyle w:val="561"/>
              <w:widowControl w:val="0"/>
              <w:spacing w:before="120" w:after="120" w:line="240" w:lineRule="auto"/>
              <w:ind w:left="31"/>
              <w:rPr>
                <w:color w:val="auto"/>
                <w:highlight w:val="none"/>
                <w:lang w:eastAsia="en-US"/>
              </w:rPr>
            </w:pPr>
          </w:p>
        </w:tc>
        <w:tc>
          <w:tcPr>
            <w:tcW w:w="330"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5E04885">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AF8455A">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5F784CA">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83D4B1D">
            <w:pPr>
              <w:pStyle w:val="561"/>
              <w:widowControl w:val="0"/>
              <w:spacing w:before="120" w:after="120" w:line="240" w:lineRule="auto"/>
              <w:ind w:left="31"/>
              <w:rPr>
                <w:color w:val="auto"/>
                <w:highlight w:val="none"/>
                <w:lang w:eastAsia="en-US"/>
              </w:rPr>
            </w:pPr>
          </w:p>
        </w:tc>
        <w:tc>
          <w:tcPr>
            <w:tcW w:w="3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6741E4A">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9C95999">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4F68F30">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B1598DB">
            <w:pPr>
              <w:pStyle w:val="561"/>
              <w:widowControl w:val="0"/>
              <w:spacing w:before="120" w:after="120" w:line="240" w:lineRule="auto"/>
              <w:ind w:left="31"/>
              <w:rPr>
                <w:color w:val="auto"/>
                <w:highlight w:val="none"/>
                <w:lang w:eastAsia="en-US"/>
              </w:rPr>
            </w:pPr>
          </w:p>
        </w:tc>
        <w:tc>
          <w:tcPr>
            <w:tcW w:w="339"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BC7C688">
            <w:pPr>
              <w:pStyle w:val="561"/>
              <w:widowControl w:val="0"/>
              <w:spacing w:before="120" w:after="120" w:line="240" w:lineRule="auto"/>
              <w:ind w:left="31"/>
              <w:rPr>
                <w:color w:val="auto"/>
                <w:highlight w:val="none"/>
                <w:lang w:eastAsia="en-US"/>
              </w:rPr>
            </w:pPr>
          </w:p>
        </w:tc>
      </w:tr>
      <w:tr w14:paraId="7E7CA142">
        <w:tblPrEx>
          <w:tblCellMar>
            <w:top w:w="0" w:type="dxa"/>
            <w:left w:w="0" w:type="dxa"/>
            <w:bottom w:w="0" w:type="dxa"/>
            <w:right w:w="0" w:type="dxa"/>
          </w:tblCellMar>
        </w:tblPrEx>
        <w:trPr>
          <w:trHeight w:val="340" w:hRule="atLeast"/>
        </w:trPr>
        <w:tc>
          <w:tcPr>
            <w:tcW w:w="27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58D5F90">
            <w:pPr>
              <w:pStyle w:val="561"/>
              <w:widowControl w:val="0"/>
              <w:spacing w:before="120" w:after="120" w:line="240" w:lineRule="auto"/>
              <w:ind w:left="31"/>
              <w:rPr>
                <w:color w:val="auto"/>
                <w:highlight w:val="none"/>
                <w:lang w:eastAsia="en-US"/>
              </w:rPr>
            </w:pPr>
          </w:p>
        </w:tc>
        <w:tc>
          <w:tcPr>
            <w:tcW w:w="240"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654D7DC">
            <w:pPr>
              <w:pStyle w:val="561"/>
              <w:widowControl w:val="0"/>
              <w:spacing w:before="120" w:after="120" w:line="240" w:lineRule="auto"/>
              <w:ind w:left="31"/>
              <w:rPr>
                <w:color w:val="auto"/>
                <w:highlight w:val="none"/>
                <w:lang w:eastAsia="en-US"/>
              </w:rPr>
            </w:pPr>
          </w:p>
        </w:tc>
        <w:tc>
          <w:tcPr>
            <w:tcW w:w="272"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696CC4F">
            <w:pPr>
              <w:pStyle w:val="561"/>
              <w:widowControl w:val="0"/>
              <w:spacing w:before="120" w:after="120" w:line="240" w:lineRule="auto"/>
              <w:ind w:left="31"/>
              <w:rPr>
                <w:color w:val="auto"/>
                <w:highlight w:val="none"/>
                <w:lang w:eastAsia="en-US"/>
              </w:rPr>
            </w:pPr>
          </w:p>
        </w:tc>
        <w:tc>
          <w:tcPr>
            <w:tcW w:w="38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9CE75B2">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C2380CC">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7A6B0E7">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6D72B60">
            <w:pPr>
              <w:pStyle w:val="561"/>
              <w:widowControl w:val="0"/>
              <w:spacing w:before="120" w:after="120" w:line="240" w:lineRule="auto"/>
              <w:ind w:left="31"/>
              <w:rPr>
                <w:color w:val="auto"/>
                <w:highlight w:val="none"/>
                <w:lang w:eastAsia="en-US"/>
              </w:rPr>
            </w:pPr>
          </w:p>
        </w:tc>
        <w:tc>
          <w:tcPr>
            <w:tcW w:w="330"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7A44B9C">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A2E6187">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310AB20">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98190D9">
            <w:pPr>
              <w:pStyle w:val="561"/>
              <w:widowControl w:val="0"/>
              <w:spacing w:before="120" w:after="120" w:line="240" w:lineRule="auto"/>
              <w:ind w:left="31"/>
              <w:rPr>
                <w:color w:val="auto"/>
                <w:highlight w:val="none"/>
                <w:lang w:eastAsia="en-US"/>
              </w:rPr>
            </w:pPr>
          </w:p>
        </w:tc>
        <w:tc>
          <w:tcPr>
            <w:tcW w:w="3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80BAD2D">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958676D">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BF13192">
            <w:pPr>
              <w:pStyle w:val="561"/>
              <w:widowControl w:val="0"/>
              <w:spacing w:before="120" w:after="120" w:line="240" w:lineRule="auto"/>
              <w:ind w:left="31"/>
              <w:rPr>
                <w:color w:val="auto"/>
                <w:highlight w:val="none"/>
                <w:lang w:eastAsia="en-US"/>
              </w:rPr>
            </w:pPr>
          </w:p>
        </w:tc>
        <w:tc>
          <w:tcPr>
            <w:tcW w:w="314"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D23BC35">
            <w:pPr>
              <w:pStyle w:val="561"/>
              <w:widowControl w:val="0"/>
              <w:spacing w:before="120" w:after="120" w:line="240" w:lineRule="auto"/>
              <w:ind w:left="31"/>
              <w:rPr>
                <w:color w:val="auto"/>
                <w:highlight w:val="none"/>
                <w:lang w:eastAsia="en-US"/>
              </w:rPr>
            </w:pPr>
          </w:p>
        </w:tc>
        <w:tc>
          <w:tcPr>
            <w:tcW w:w="339"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26A3799">
            <w:pPr>
              <w:pStyle w:val="561"/>
              <w:widowControl w:val="0"/>
              <w:spacing w:before="120" w:after="120" w:line="240" w:lineRule="auto"/>
              <w:ind w:left="31"/>
              <w:rPr>
                <w:color w:val="auto"/>
                <w:highlight w:val="none"/>
                <w:lang w:eastAsia="en-US"/>
              </w:rPr>
            </w:pPr>
          </w:p>
        </w:tc>
      </w:tr>
    </w:tbl>
    <w:p w14:paraId="093ADFDC">
      <w:pPr>
        <w:spacing w:before="120" w:after="120"/>
        <w:rPr>
          <w:color w:val="auto"/>
          <w:highlight w:val="none"/>
        </w:rPr>
        <w:sectPr>
          <w:pgSz w:w="16840" w:h="11910" w:orient="landscape"/>
          <w:pgMar w:top="1440" w:right="1800" w:bottom="1440" w:left="1800" w:header="907" w:footer="953" w:gutter="0"/>
          <w:pgNumType w:fmt="numberInDash"/>
          <w:cols w:space="720" w:num="1"/>
        </w:sectPr>
      </w:pPr>
    </w:p>
    <w:p w14:paraId="5A42C39E">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279" w:name="_bookmark43"/>
      <w:bookmarkEnd w:id="279"/>
      <w:bookmarkStart w:id="280" w:name="_Toc28661"/>
      <w:bookmarkStart w:id="281" w:name="_Toc15785"/>
      <w:bookmarkStart w:id="282" w:name="_Toc23870"/>
      <w:bookmarkStart w:id="283" w:name="_Toc7858"/>
      <w:bookmarkStart w:id="284" w:name="_Toc10216"/>
      <w:bookmarkStart w:id="285" w:name="_Toc18398"/>
      <w:bookmarkStart w:id="286" w:name="_Toc16738"/>
      <w:bookmarkStart w:id="287" w:name="_Toc21448"/>
      <w:bookmarkStart w:id="288" w:name="_Toc8299"/>
      <w:bookmarkStart w:id="289" w:name="_Toc31370"/>
      <w:bookmarkStart w:id="290" w:name="_Toc25665"/>
      <w:bookmarkStart w:id="291" w:name="_Toc15264"/>
      <w:bookmarkStart w:id="292" w:name="_Toc18567"/>
      <w:bookmarkStart w:id="293" w:name="_Toc7046"/>
      <w:bookmarkStart w:id="294" w:name="_Toc4743"/>
      <w:bookmarkStart w:id="295" w:name="_Toc13725"/>
      <w:bookmarkStart w:id="296" w:name="_Toc2965"/>
      <w:bookmarkStart w:id="297" w:name="_Toc8580"/>
      <w:bookmarkStart w:id="298" w:name="_Toc29793"/>
      <w:bookmarkStart w:id="299" w:name="_Toc3083"/>
      <w:bookmarkStart w:id="300" w:name="_Toc140219107"/>
      <w:bookmarkStart w:id="301" w:name="_Toc31258"/>
      <w:r>
        <w:rPr>
          <w:rFonts w:eastAsia="黑体" w:cs="Times New Roman"/>
          <w:bCs/>
          <w:color w:val="auto"/>
          <w:sz w:val="24"/>
          <w:highlight w:val="none"/>
        </w:rPr>
        <w:t>附表3  各阶段BIM</w:t>
      </w:r>
      <w:r>
        <w:rPr>
          <w:rFonts w:hint="eastAsia" w:eastAsia="黑体" w:cs="Times New Roman"/>
          <w:bCs/>
          <w:color w:val="auto"/>
          <w:sz w:val="24"/>
          <w:highlight w:val="none"/>
        </w:rPr>
        <w:t>模型精度</w:t>
      </w:r>
      <w:r>
        <w:rPr>
          <w:rFonts w:eastAsia="黑体" w:cs="Times New Roman"/>
          <w:bCs/>
          <w:color w:val="auto"/>
          <w:sz w:val="24"/>
          <w:highlight w:val="none"/>
        </w:rPr>
        <w:t>要求</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4948064A">
      <w:pPr>
        <w:pStyle w:val="584"/>
        <w:spacing w:before="120" w:after="120"/>
        <w:ind w:firstLine="420" w:firstLineChars="200"/>
        <w:rPr>
          <w:color w:val="auto"/>
          <w:highlight w:val="none"/>
        </w:rPr>
      </w:pPr>
      <w:bookmarkStart w:id="302" w:name="_Toc3669"/>
      <w:r>
        <w:rPr>
          <w:color w:val="auto"/>
          <w:highlight w:val="none"/>
        </w:rPr>
        <w:t>1  建筑专业</w:t>
      </w:r>
      <w:bookmarkEnd w:id="302"/>
    </w:p>
    <w:tbl>
      <w:tblPr>
        <w:tblStyle w:val="519"/>
        <w:tblW w:w="4999" w:type="pct"/>
        <w:tblInd w:w="0" w:type="dxa"/>
        <w:tblLayout w:type="autofit"/>
        <w:tblCellMar>
          <w:top w:w="0" w:type="dxa"/>
          <w:left w:w="0" w:type="dxa"/>
          <w:bottom w:w="0" w:type="dxa"/>
          <w:right w:w="0" w:type="dxa"/>
        </w:tblCellMar>
      </w:tblPr>
      <w:tblGrid>
        <w:gridCol w:w="1100"/>
        <w:gridCol w:w="510"/>
        <w:gridCol w:w="1205"/>
        <w:gridCol w:w="2187"/>
        <w:gridCol w:w="2187"/>
        <w:gridCol w:w="2187"/>
        <w:gridCol w:w="2187"/>
        <w:gridCol w:w="1788"/>
      </w:tblGrid>
      <w:tr w14:paraId="227E939E">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A137E9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4561CD32">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4781C9A6">
            <w:pPr>
              <w:pStyle w:val="561"/>
              <w:widowControl w:val="0"/>
              <w:spacing w:before="120" w:after="120" w:line="240" w:lineRule="auto"/>
              <w:ind w:left="31"/>
              <w:rPr>
                <w:rFonts w:ascii="Times New Roman" w:hAnsi="Times New Roman" w:cs="Times New Roman"/>
                <w:color w:val="auto"/>
                <w:szCs w:val="24"/>
                <w:highlight w:val="none"/>
                <w:lang w:eastAsia="en-US"/>
              </w:rPr>
            </w:pPr>
          </w:p>
          <w:p w14:paraId="682D161E">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6670C1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287B8B">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EB2F6C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82C50EB">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907C6C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4D1110A7">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1BB73E4B">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70265A61">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E096A6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132714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E0B9864">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1AEDE27">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ADE9670">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6C72C304">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354D9FD9">
            <w:pPr>
              <w:pStyle w:val="561"/>
              <w:widowControl w:val="0"/>
              <w:spacing w:before="120" w:after="120"/>
              <w:ind w:left="31" w:right="4"/>
              <w:rPr>
                <w:color w:val="auto"/>
                <w:highlight w:val="none"/>
                <w:lang w:eastAsia="en-US"/>
              </w:rPr>
            </w:pPr>
            <w:r>
              <w:rPr>
                <w:color w:val="auto"/>
                <w:highlight w:val="none"/>
                <w:lang w:eastAsia="en-US"/>
              </w:rPr>
              <w:t>建筑</w:t>
            </w: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E9B6D37">
            <w:pPr>
              <w:pStyle w:val="561"/>
              <w:widowControl w:val="0"/>
              <w:spacing w:before="120" w:after="120" w:line="240" w:lineRule="auto"/>
              <w:ind w:left="31"/>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C24F6D7">
            <w:pPr>
              <w:pStyle w:val="561"/>
              <w:widowControl w:val="0"/>
              <w:spacing w:before="120" w:after="120" w:line="240" w:lineRule="auto"/>
              <w:ind w:left="31"/>
              <w:rPr>
                <w:color w:val="auto"/>
                <w:highlight w:val="none"/>
                <w:lang w:eastAsia="en-US"/>
              </w:rPr>
            </w:pPr>
            <w:r>
              <w:rPr>
                <w:color w:val="auto"/>
                <w:highlight w:val="none"/>
                <w:lang w:eastAsia="en-US"/>
              </w:rPr>
              <w:t>阳台</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47DBE79">
            <w:pPr>
              <w:pStyle w:val="561"/>
              <w:widowControl w:val="0"/>
              <w:spacing w:before="120" w:after="120" w:line="240" w:lineRule="auto"/>
              <w:ind w:left="31"/>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309534E">
            <w:pPr>
              <w:pStyle w:val="561"/>
              <w:widowControl w:val="0"/>
              <w:spacing w:before="120" w:after="120" w:line="240" w:lineRule="auto"/>
              <w:ind w:left="31"/>
              <w:rPr>
                <w:color w:val="auto"/>
                <w:highlight w:val="none"/>
                <w:lang w:eastAsia="en-US"/>
              </w:rPr>
            </w:pPr>
            <w:r>
              <w:rPr>
                <w:color w:val="auto"/>
                <w:highlight w:val="none"/>
                <w:lang w:eastAsia="en-US"/>
              </w:rPr>
              <w:t>阳台的形状，大概尺寸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56CAA54">
            <w:pPr>
              <w:pStyle w:val="561"/>
              <w:widowControl w:val="0"/>
              <w:spacing w:before="120" w:after="120" w:line="240" w:lineRule="auto"/>
              <w:ind w:left="31"/>
              <w:rPr>
                <w:color w:val="auto"/>
                <w:highlight w:val="none"/>
                <w:lang w:eastAsia="en-US"/>
              </w:rPr>
            </w:pPr>
            <w:r>
              <w:rPr>
                <w:color w:val="auto"/>
                <w:highlight w:val="none"/>
                <w:lang w:eastAsia="en-US"/>
              </w:rPr>
              <w:t>精确尺寸的模型实体，包含形状、方位和材质信息。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5B2AA86">
            <w:pPr>
              <w:pStyle w:val="561"/>
              <w:widowControl w:val="0"/>
              <w:spacing w:before="120" w:after="120" w:line="240" w:lineRule="auto"/>
              <w:ind w:left="31"/>
              <w:rPr>
                <w:color w:val="auto"/>
                <w:highlight w:val="none"/>
                <w:lang w:eastAsia="en-US"/>
              </w:rPr>
            </w:pPr>
            <w:r>
              <w:rPr>
                <w:color w:val="auto"/>
                <w:highlight w:val="none"/>
                <w:lang w:eastAsia="en-US"/>
              </w:rPr>
              <w:t>实际尺寸的模型实体，包含形状、方位和材质信息。</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ED4122F">
            <w:pPr>
              <w:pStyle w:val="561"/>
              <w:widowControl w:val="0"/>
              <w:spacing w:before="120" w:after="120" w:line="240" w:lineRule="auto"/>
              <w:ind w:left="31"/>
              <w:rPr>
                <w:color w:val="auto"/>
                <w:highlight w:val="none"/>
                <w:lang w:eastAsia="en-US"/>
              </w:rPr>
            </w:pPr>
            <w:r>
              <w:rPr>
                <w:color w:val="auto"/>
                <w:highlight w:val="none"/>
                <w:lang w:eastAsia="en-US"/>
              </w:rPr>
              <w:t>实际安装的阳台模型</w:t>
            </w:r>
          </w:p>
        </w:tc>
      </w:tr>
      <w:tr w14:paraId="718C3BAB">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E8F99ED">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79C032D">
            <w:pPr>
              <w:pStyle w:val="561"/>
              <w:widowControl w:val="0"/>
              <w:spacing w:before="120" w:after="120" w:line="240" w:lineRule="auto"/>
              <w:ind w:left="31"/>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B33ABFA">
            <w:pPr>
              <w:pStyle w:val="561"/>
              <w:widowControl w:val="0"/>
              <w:spacing w:before="120" w:after="120"/>
              <w:ind w:left="31"/>
              <w:rPr>
                <w:color w:val="auto"/>
                <w:highlight w:val="none"/>
                <w:lang w:eastAsia="en-US"/>
              </w:rPr>
            </w:pPr>
            <w:r>
              <w:rPr>
                <w:color w:val="auto"/>
                <w:highlight w:val="none"/>
                <w:lang w:eastAsia="en-US"/>
              </w:rPr>
              <w:t>空调机位</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9359CF5">
            <w:pPr>
              <w:pStyle w:val="561"/>
              <w:widowControl w:val="0"/>
              <w:spacing w:before="120" w:after="120" w:line="240" w:lineRule="auto"/>
              <w:ind w:left="31"/>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74681A5">
            <w:pPr>
              <w:pStyle w:val="561"/>
              <w:widowControl w:val="0"/>
              <w:spacing w:before="120" w:after="120" w:line="240" w:lineRule="auto"/>
              <w:ind w:left="31"/>
              <w:rPr>
                <w:color w:val="auto"/>
                <w:highlight w:val="none"/>
                <w:lang w:eastAsia="en-US"/>
              </w:rPr>
            </w:pPr>
            <w:r>
              <w:rPr>
                <w:color w:val="auto"/>
                <w:highlight w:val="none"/>
                <w:lang w:eastAsia="en-US"/>
              </w:rPr>
              <w:t>基本形状、大概尺寸、方位</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D572316">
            <w:pPr>
              <w:pStyle w:val="561"/>
              <w:widowControl w:val="0"/>
              <w:spacing w:before="120" w:after="120" w:line="240" w:lineRule="auto"/>
              <w:ind w:left="31"/>
              <w:rPr>
                <w:color w:val="auto"/>
                <w:highlight w:val="none"/>
                <w:lang w:eastAsia="en-US"/>
              </w:rPr>
            </w:pPr>
            <w:r>
              <w:rPr>
                <w:color w:val="auto"/>
                <w:highlight w:val="none"/>
                <w:lang w:eastAsia="en-US"/>
              </w:rPr>
              <w:t>精确尺寸的模型实体，包含形状、方位和材质信息。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4A9D4E">
            <w:pPr>
              <w:pStyle w:val="561"/>
              <w:widowControl w:val="0"/>
              <w:spacing w:before="120" w:after="120" w:line="240" w:lineRule="auto"/>
              <w:ind w:left="31"/>
              <w:rPr>
                <w:color w:val="auto"/>
                <w:highlight w:val="none"/>
                <w:lang w:eastAsia="en-US"/>
              </w:rPr>
            </w:pPr>
            <w:r>
              <w:rPr>
                <w:color w:val="auto"/>
                <w:highlight w:val="none"/>
                <w:lang w:eastAsia="en-US"/>
              </w:rPr>
              <w:t>实际尺寸的模型实体，包含形状、方位和材质信息。</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AE8C38A">
            <w:pPr>
              <w:pStyle w:val="561"/>
              <w:widowControl w:val="0"/>
              <w:spacing w:before="120" w:after="120"/>
              <w:ind w:left="31"/>
              <w:rPr>
                <w:color w:val="auto"/>
                <w:highlight w:val="none"/>
                <w:lang w:eastAsia="en-US"/>
              </w:rPr>
            </w:pPr>
            <w:r>
              <w:rPr>
                <w:color w:val="auto"/>
                <w:highlight w:val="none"/>
                <w:lang w:eastAsia="en-US"/>
              </w:rPr>
              <w:t>实际安装的模型</w:t>
            </w:r>
          </w:p>
        </w:tc>
      </w:tr>
      <w:tr w14:paraId="1E72F421">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7BD8A1A0">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255FDA9">
            <w:pPr>
              <w:pStyle w:val="561"/>
              <w:widowControl w:val="0"/>
              <w:spacing w:before="120" w:after="120" w:line="240" w:lineRule="auto"/>
              <w:ind w:left="31"/>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80B5DF">
            <w:pPr>
              <w:pStyle w:val="561"/>
              <w:widowControl w:val="0"/>
              <w:spacing w:before="120" w:after="120"/>
              <w:ind w:left="31"/>
              <w:rPr>
                <w:color w:val="auto"/>
                <w:highlight w:val="none"/>
                <w:lang w:eastAsia="en-US"/>
              </w:rPr>
            </w:pPr>
            <w:r>
              <w:rPr>
                <w:color w:val="auto"/>
                <w:highlight w:val="none"/>
                <w:lang w:eastAsia="en-US"/>
              </w:rPr>
              <w:t>空调百叶</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41EA1B5">
            <w:pPr>
              <w:pStyle w:val="561"/>
              <w:widowControl w:val="0"/>
              <w:spacing w:before="120" w:after="120" w:line="240" w:lineRule="auto"/>
              <w:ind w:left="31"/>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1F3AE03">
            <w:pPr>
              <w:pStyle w:val="561"/>
              <w:widowControl w:val="0"/>
              <w:spacing w:before="120" w:after="120" w:line="240" w:lineRule="auto"/>
              <w:ind w:left="31"/>
              <w:rPr>
                <w:color w:val="auto"/>
                <w:highlight w:val="none"/>
                <w:lang w:eastAsia="en-US"/>
              </w:rPr>
            </w:pPr>
            <w:r>
              <w:rPr>
                <w:color w:val="auto"/>
                <w:highlight w:val="none"/>
                <w:lang w:eastAsia="en-US"/>
              </w:rPr>
              <w:t>基本形状、大概尺寸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E53970E">
            <w:pPr>
              <w:pStyle w:val="561"/>
              <w:widowControl w:val="0"/>
              <w:spacing w:before="120" w:after="120" w:line="240" w:lineRule="auto"/>
              <w:ind w:left="31"/>
              <w:rPr>
                <w:color w:val="auto"/>
                <w:highlight w:val="none"/>
                <w:lang w:eastAsia="en-US"/>
              </w:rPr>
            </w:pPr>
            <w:r>
              <w:rPr>
                <w:color w:val="auto"/>
                <w:highlight w:val="none"/>
                <w:lang w:eastAsia="en-US"/>
              </w:rPr>
              <w:t>精确尺寸的模型实体，包含形状、方位和材质信息。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1FAACDB">
            <w:pPr>
              <w:pStyle w:val="561"/>
              <w:widowControl w:val="0"/>
              <w:spacing w:before="120" w:after="120" w:line="240" w:lineRule="auto"/>
              <w:ind w:left="31"/>
              <w:rPr>
                <w:color w:val="auto"/>
                <w:highlight w:val="none"/>
                <w:lang w:eastAsia="en-US"/>
              </w:rPr>
            </w:pPr>
            <w:r>
              <w:rPr>
                <w:color w:val="auto"/>
                <w:highlight w:val="none"/>
                <w:lang w:eastAsia="en-US"/>
              </w:rPr>
              <w:t>实际尺寸的模型实体，包含形状、方位和材质信息。</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AB5043C">
            <w:pPr>
              <w:pStyle w:val="561"/>
              <w:widowControl w:val="0"/>
              <w:spacing w:before="120" w:after="120"/>
              <w:ind w:left="31"/>
              <w:rPr>
                <w:color w:val="auto"/>
                <w:highlight w:val="none"/>
                <w:lang w:eastAsia="en-US"/>
              </w:rPr>
            </w:pPr>
            <w:r>
              <w:rPr>
                <w:color w:val="auto"/>
                <w:highlight w:val="none"/>
                <w:lang w:eastAsia="en-US"/>
              </w:rPr>
              <w:t>实际安装的模型</w:t>
            </w:r>
          </w:p>
        </w:tc>
      </w:tr>
      <w:tr w14:paraId="6A93DA47">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7E976EE2">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2BA4BF8">
            <w:pPr>
              <w:pStyle w:val="561"/>
              <w:widowControl w:val="0"/>
              <w:spacing w:before="120" w:after="120" w:line="240" w:lineRule="auto"/>
              <w:ind w:left="31"/>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0CBC8DA">
            <w:pPr>
              <w:pStyle w:val="561"/>
              <w:widowControl w:val="0"/>
              <w:spacing w:before="120" w:after="120"/>
              <w:ind w:left="31"/>
              <w:rPr>
                <w:color w:val="auto"/>
                <w:highlight w:val="none"/>
                <w:lang w:eastAsia="en-US"/>
              </w:rPr>
            </w:pPr>
            <w:r>
              <w:rPr>
                <w:color w:val="auto"/>
                <w:highlight w:val="none"/>
                <w:lang w:eastAsia="en-US"/>
              </w:rPr>
              <w:t>窗百叶</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30E8D7A">
            <w:pPr>
              <w:pStyle w:val="561"/>
              <w:widowControl w:val="0"/>
              <w:spacing w:before="120" w:after="120" w:line="240" w:lineRule="auto"/>
              <w:ind w:left="31"/>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DCF0378">
            <w:pPr>
              <w:pStyle w:val="561"/>
              <w:widowControl w:val="0"/>
              <w:spacing w:before="120" w:after="120" w:line="240" w:lineRule="auto"/>
              <w:ind w:left="31"/>
              <w:rPr>
                <w:color w:val="auto"/>
                <w:highlight w:val="none"/>
                <w:lang w:eastAsia="en-US"/>
              </w:rPr>
            </w:pPr>
            <w:r>
              <w:rPr>
                <w:color w:val="auto"/>
                <w:highlight w:val="none"/>
                <w:lang w:eastAsia="en-US"/>
              </w:rPr>
              <w:t>基本形状、大概尺寸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EDBEC1">
            <w:pPr>
              <w:pStyle w:val="561"/>
              <w:widowControl w:val="0"/>
              <w:spacing w:before="120" w:after="120" w:line="240" w:lineRule="auto"/>
              <w:ind w:left="31"/>
              <w:rPr>
                <w:color w:val="auto"/>
                <w:highlight w:val="none"/>
                <w:lang w:eastAsia="en-US"/>
              </w:rPr>
            </w:pPr>
            <w:r>
              <w:rPr>
                <w:color w:val="auto"/>
                <w:highlight w:val="none"/>
                <w:lang w:eastAsia="en-US"/>
              </w:rPr>
              <w:t>精确尺寸的模型实体，包含形状、方位和材质信息。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67F21EE">
            <w:pPr>
              <w:pStyle w:val="561"/>
              <w:widowControl w:val="0"/>
              <w:spacing w:before="120" w:after="120" w:line="240" w:lineRule="auto"/>
              <w:ind w:left="31"/>
              <w:rPr>
                <w:color w:val="auto"/>
                <w:highlight w:val="none"/>
                <w:lang w:eastAsia="en-US"/>
              </w:rPr>
            </w:pPr>
            <w:r>
              <w:rPr>
                <w:color w:val="auto"/>
                <w:highlight w:val="none"/>
                <w:lang w:eastAsia="en-US"/>
              </w:rPr>
              <w:t>实际尺寸的模型实体，包含形状、方位和材质信息。</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45F7B70">
            <w:pPr>
              <w:pStyle w:val="561"/>
              <w:widowControl w:val="0"/>
              <w:spacing w:before="120" w:after="120" w:line="272" w:lineRule="exact"/>
              <w:ind w:left="31" w:right="454"/>
              <w:rPr>
                <w:color w:val="auto"/>
                <w:highlight w:val="none"/>
                <w:lang w:eastAsia="en-US"/>
              </w:rPr>
            </w:pPr>
            <w:r>
              <w:rPr>
                <w:color w:val="auto"/>
                <w:highlight w:val="none"/>
                <w:lang w:eastAsia="en-US"/>
              </w:rPr>
              <w:t>实际安装的窗百叶模型</w:t>
            </w:r>
          </w:p>
        </w:tc>
      </w:tr>
      <w:tr w14:paraId="0C8033CB">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732CF95">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7AEBA3D">
            <w:pPr>
              <w:pStyle w:val="561"/>
              <w:widowControl w:val="0"/>
              <w:spacing w:before="120" w:after="120" w:line="240" w:lineRule="auto"/>
              <w:ind w:left="31"/>
              <w:rPr>
                <w:color w:val="auto"/>
                <w:highlight w:val="none"/>
                <w:lang w:eastAsia="en-US"/>
              </w:rPr>
            </w:pPr>
            <w:r>
              <w:rPr>
                <w:color w:val="auto"/>
                <w:highlight w:val="none"/>
                <w:lang w:eastAsia="en-US"/>
              </w:rPr>
              <w:t>005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E45CD04">
            <w:pPr>
              <w:pStyle w:val="561"/>
              <w:widowControl w:val="0"/>
              <w:spacing w:before="120" w:after="120"/>
              <w:ind w:left="31" w:right="2"/>
              <w:rPr>
                <w:color w:val="auto"/>
                <w:highlight w:val="none"/>
                <w:lang w:eastAsia="en-US"/>
              </w:rPr>
            </w:pPr>
            <w:r>
              <w:rPr>
                <w:color w:val="auto"/>
                <w:highlight w:val="none"/>
                <w:lang w:eastAsia="en-US"/>
              </w:rPr>
              <w:t>雨篷</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FCA1DB4">
            <w:pPr>
              <w:pStyle w:val="561"/>
              <w:widowControl w:val="0"/>
              <w:spacing w:before="120" w:after="120" w:line="240" w:lineRule="auto"/>
              <w:ind w:left="31"/>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A6C7299">
            <w:pPr>
              <w:pStyle w:val="561"/>
              <w:widowControl w:val="0"/>
              <w:spacing w:before="120" w:after="120" w:line="240" w:lineRule="auto"/>
              <w:ind w:left="31"/>
              <w:rPr>
                <w:color w:val="auto"/>
                <w:highlight w:val="none"/>
                <w:lang w:eastAsia="en-US"/>
              </w:rPr>
            </w:pPr>
            <w:r>
              <w:rPr>
                <w:color w:val="auto"/>
                <w:highlight w:val="none"/>
                <w:lang w:eastAsia="en-US"/>
              </w:rPr>
              <w:t>基本形状、大概尺寸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1C296EC">
            <w:pPr>
              <w:pStyle w:val="561"/>
              <w:widowControl w:val="0"/>
              <w:spacing w:before="120" w:after="120" w:line="240" w:lineRule="auto"/>
              <w:ind w:left="31"/>
              <w:rPr>
                <w:color w:val="auto"/>
                <w:highlight w:val="none"/>
                <w:lang w:eastAsia="en-US"/>
              </w:rPr>
            </w:pPr>
            <w:r>
              <w:rPr>
                <w:color w:val="auto"/>
                <w:highlight w:val="none"/>
                <w:lang w:eastAsia="en-US"/>
              </w:rPr>
              <w:t>精确尺寸的模型实体，包含形状、方位和材质信息。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3A0C88B">
            <w:pPr>
              <w:pStyle w:val="561"/>
              <w:widowControl w:val="0"/>
              <w:spacing w:before="120" w:after="120" w:line="240" w:lineRule="auto"/>
              <w:ind w:left="31"/>
              <w:rPr>
                <w:color w:val="auto"/>
                <w:highlight w:val="none"/>
                <w:lang w:eastAsia="en-US"/>
              </w:rPr>
            </w:pPr>
            <w:r>
              <w:rPr>
                <w:color w:val="auto"/>
                <w:highlight w:val="none"/>
                <w:lang w:eastAsia="en-US"/>
              </w:rPr>
              <w:t>实际尺寸的模型实体，包含形状、方位和材质信息。</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210B34B">
            <w:pPr>
              <w:pStyle w:val="561"/>
              <w:widowControl w:val="0"/>
              <w:spacing w:before="120" w:after="120" w:line="272" w:lineRule="exact"/>
              <w:ind w:left="766" w:right="140" w:hanging="735"/>
              <w:rPr>
                <w:color w:val="auto"/>
                <w:highlight w:val="none"/>
                <w:lang w:eastAsia="en-US"/>
              </w:rPr>
            </w:pPr>
            <w:r>
              <w:rPr>
                <w:color w:val="auto"/>
                <w:highlight w:val="none"/>
                <w:lang w:eastAsia="en-US"/>
              </w:rPr>
              <w:t>实际安装的雨棚模型</w:t>
            </w:r>
          </w:p>
        </w:tc>
      </w:tr>
      <w:tr w14:paraId="7A083A32">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6BF76A4E">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C4E2472">
            <w:pPr>
              <w:pStyle w:val="561"/>
              <w:widowControl w:val="0"/>
              <w:spacing w:before="120" w:after="120" w:line="240" w:lineRule="auto"/>
              <w:ind w:left="31"/>
              <w:rPr>
                <w:color w:val="auto"/>
                <w:highlight w:val="none"/>
                <w:lang w:eastAsia="en-US"/>
              </w:rPr>
            </w:pPr>
            <w:r>
              <w:rPr>
                <w:color w:val="auto"/>
                <w:highlight w:val="none"/>
                <w:lang w:eastAsia="en-US"/>
              </w:rPr>
              <w:t>006</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1D3E106">
            <w:pPr>
              <w:pStyle w:val="561"/>
              <w:widowControl w:val="0"/>
              <w:spacing w:before="120" w:after="120"/>
              <w:ind w:left="31" w:right="2"/>
              <w:rPr>
                <w:color w:val="auto"/>
                <w:highlight w:val="none"/>
                <w:lang w:eastAsia="en-US"/>
              </w:rPr>
            </w:pPr>
            <w:r>
              <w:rPr>
                <w:color w:val="auto"/>
                <w:highlight w:val="none"/>
                <w:lang w:eastAsia="en-US"/>
              </w:rPr>
              <w:t>檐沟</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4AD870A">
            <w:pPr>
              <w:pStyle w:val="561"/>
              <w:widowControl w:val="0"/>
              <w:spacing w:before="120" w:after="120" w:line="240" w:lineRule="auto"/>
              <w:ind w:left="31"/>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9E0D484">
            <w:pPr>
              <w:pStyle w:val="561"/>
              <w:widowControl w:val="0"/>
              <w:spacing w:before="120" w:after="120" w:line="240" w:lineRule="auto"/>
              <w:ind w:left="31"/>
              <w:rPr>
                <w:color w:val="auto"/>
                <w:highlight w:val="none"/>
                <w:lang w:eastAsia="en-US"/>
              </w:rPr>
            </w:pPr>
            <w:r>
              <w:rPr>
                <w:color w:val="auto"/>
                <w:highlight w:val="none"/>
                <w:lang w:eastAsia="en-US"/>
              </w:rPr>
              <w:t>基本形状、大概尺寸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4288260">
            <w:pPr>
              <w:pStyle w:val="561"/>
              <w:widowControl w:val="0"/>
              <w:spacing w:before="120" w:after="120" w:line="240" w:lineRule="auto"/>
              <w:ind w:left="31"/>
              <w:rPr>
                <w:color w:val="auto"/>
                <w:highlight w:val="none"/>
                <w:lang w:eastAsia="en-US"/>
              </w:rPr>
            </w:pPr>
            <w:r>
              <w:rPr>
                <w:color w:val="auto"/>
                <w:highlight w:val="none"/>
                <w:lang w:eastAsia="en-US"/>
              </w:rPr>
              <w:t>精确尺寸的模型实体，包含形状、方位和材质信息。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F5882AF">
            <w:pPr>
              <w:pStyle w:val="561"/>
              <w:widowControl w:val="0"/>
              <w:spacing w:before="120" w:after="120" w:line="240" w:lineRule="auto"/>
              <w:ind w:left="31"/>
              <w:rPr>
                <w:color w:val="auto"/>
                <w:highlight w:val="none"/>
                <w:lang w:eastAsia="en-US"/>
              </w:rPr>
            </w:pPr>
            <w:r>
              <w:rPr>
                <w:color w:val="auto"/>
                <w:highlight w:val="none"/>
                <w:lang w:eastAsia="en-US"/>
              </w:rPr>
              <w:t>实际尺寸的模型实体，包含形状、方位和材质信息。</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D0EED2B">
            <w:pPr>
              <w:pStyle w:val="561"/>
              <w:widowControl w:val="0"/>
              <w:spacing w:before="120" w:after="120"/>
              <w:ind w:left="31"/>
              <w:rPr>
                <w:color w:val="auto"/>
                <w:highlight w:val="none"/>
                <w:lang w:eastAsia="en-US"/>
              </w:rPr>
            </w:pPr>
            <w:r>
              <w:rPr>
                <w:color w:val="auto"/>
                <w:highlight w:val="none"/>
                <w:lang w:eastAsia="en-US"/>
              </w:rPr>
              <w:t>实际安装的模型</w:t>
            </w:r>
          </w:p>
        </w:tc>
      </w:tr>
      <w:tr w14:paraId="4228C699">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2786DF7">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E4A539A">
            <w:pPr>
              <w:pStyle w:val="561"/>
              <w:widowControl w:val="0"/>
              <w:spacing w:before="120" w:after="120" w:line="240" w:lineRule="auto"/>
              <w:ind w:left="31"/>
              <w:rPr>
                <w:color w:val="auto"/>
                <w:highlight w:val="none"/>
                <w:lang w:eastAsia="en-US"/>
              </w:rPr>
            </w:pPr>
            <w:r>
              <w:rPr>
                <w:color w:val="auto"/>
                <w:highlight w:val="none"/>
                <w:lang w:eastAsia="en-US"/>
              </w:rPr>
              <w:t>007</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8C1DBAB">
            <w:pPr>
              <w:pStyle w:val="561"/>
              <w:widowControl w:val="0"/>
              <w:spacing w:before="120" w:after="120" w:line="240" w:lineRule="auto"/>
              <w:ind w:left="31"/>
              <w:rPr>
                <w:color w:val="auto"/>
                <w:highlight w:val="none"/>
                <w:lang w:eastAsia="en-US"/>
              </w:rPr>
            </w:pPr>
            <w:r>
              <w:rPr>
                <w:color w:val="auto"/>
                <w:highlight w:val="none"/>
                <w:lang w:eastAsia="en-US"/>
              </w:rPr>
              <w:t>外立面幕墙</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B16A417">
            <w:pPr>
              <w:pStyle w:val="561"/>
              <w:widowControl w:val="0"/>
              <w:spacing w:before="120" w:after="120" w:line="240" w:lineRule="auto"/>
              <w:ind w:left="31"/>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FCFE72">
            <w:pPr>
              <w:pStyle w:val="561"/>
              <w:widowControl w:val="0"/>
              <w:spacing w:before="120" w:after="120" w:line="240" w:lineRule="auto"/>
              <w:ind w:left="31"/>
              <w:rPr>
                <w:color w:val="auto"/>
                <w:highlight w:val="none"/>
                <w:lang w:eastAsia="en-US"/>
              </w:rPr>
            </w:pPr>
            <w:r>
              <w:rPr>
                <w:color w:val="auto"/>
                <w:highlight w:val="none"/>
                <w:lang w:eastAsia="en-US"/>
              </w:rPr>
              <w:t>基本形状、大概尺寸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4BCB3D">
            <w:pPr>
              <w:pStyle w:val="561"/>
              <w:widowControl w:val="0"/>
              <w:spacing w:before="120" w:after="120" w:line="240" w:lineRule="auto"/>
              <w:ind w:left="31"/>
              <w:rPr>
                <w:color w:val="auto"/>
                <w:highlight w:val="none"/>
                <w:lang w:eastAsia="en-US"/>
              </w:rPr>
            </w:pPr>
            <w:r>
              <w:rPr>
                <w:color w:val="auto"/>
                <w:highlight w:val="none"/>
                <w:lang w:eastAsia="en-US"/>
              </w:rPr>
              <w:t>精确尺寸的模型实体，包含形状、方位和材质信息。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BDDD228">
            <w:pPr>
              <w:pStyle w:val="561"/>
              <w:widowControl w:val="0"/>
              <w:spacing w:before="120" w:after="120" w:line="240" w:lineRule="auto"/>
              <w:ind w:left="31"/>
              <w:rPr>
                <w:color w:val="auto"/>
                <w:highlight w:val="none"/>
                <w:lang w:eastAsia="en-US"/>
              </w:rPr>
            </w:pPr>
            <w:r>
              <w:rPr>
                <w:color w:val="auto"/>
                <w:highlight w:val="none"/>
                <w:lang w:eastAsia="en-US"/>
              </w:rPr>
              <w:t>实际尺寸的模型实体，包含形状、方位和材质信息。</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11CEA6E">
            <w:pPr>
              <w:pStyle w:val="561"/>
              <w:widowControl w:val="0"/>
              <w:spacing w:before="120" w:after="120" w:line="240" w:lineRule="auto"/>
              <w:ind w:left="31"/>
              <w:rPr>
                <w:color w:val="auto"/>
                <w:highlight w:val="none"/>
                <w:lang w:eastAsia="en-US"/>
              </w:rPr>
            </w:pPr>
            <w:r>
              <w:rPr>
                <w:color w:val="auto"/>
                <w:highlight w:val="none"/>
                <w:lang w:eastAsia="en-US"/>
              </w:rPr>
              <w:t>基本形状、大概尺寸</w:t>
            </w:r>
          </w:p>
        </w:tc>
      </w:tr>
      <w:tr w14:paraId="1CBA8BDB">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604F8D40">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1051D20">
            <w:pPr>
              <w:pStyle w:val="561"/>
              <w:widowControl w:val="0"/>
              <w:spacing w:before="120" w:after="120" w:line="240" w:lineRule="auto"/>
              <w:ind w:left="31"/>
              <w:rPr>
                <w:color w:val="auto"/>
                <w:highlight w:val="none"/>
                <w:lang w:eastAsia="en-US"/>
              </w:rPr>
            </w:pPr>
            <w:r>
              <w:rPr>
                <w:color w:val="auto"/>
                <w:highlight w:val="none"/>
                <w:lang w:eastAsia="en-US"/>
              </w:rPr>
              <w:t>008</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B346EA8">
            <w:pPr>
              <w:pStyle w:val="561"/>
              <w:widowControl w:val="0"/>
              <w:spacing w:before="120" w:after="120" w:line="240" w:lineRule="auto"/>
              <w:ind w:left="31"/>
              <w:rPr>
                <w:color w:val="auto"/>
                <w:highlight w:val="none"/>
                <w:lang w:eastAsia="en-US"/>
              </w:rPr>
            </w:pPr>
            <w:r>
              <w:rPr>
                <w:color w:val="auto"/>
                <w:highlight w:val="none"/>
                <w:lang w:eastAsia="en-US"/>
              </w:rPr>
              <w:t>墙体</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0BA955C">
            <w:pPr>
              <w:pStyle w:val="561"/>
              <w:widowControl w:val="0"/>
              <w:spacing w:before="120" w:after="120" w:line="240" w:lineRule="auto"/>
              <w:ind w:left="31"/>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AE0495D">
            <w:pPr>
              <w:pStyle w:val="561"/>
              <w:widowControl w:val="0"/>
              <w:spacing w:before="120" w:after="120" w:line="240" w:lineRule="auto"/>
              <w:ind w:left="31"/>
              <w:rPr>
                <w:color w:val="auto"/>
                <w:highlight w:val="none"/>
                <w:lang w:eastAsia="en-US"/>
              </w:rPr>
            </w:pPr>
            <w:r>
              <w:rPr>
                <w:color w:val="auto"/>
                <w:highlight w:val="none"/>
                <w:lang w:eastAsia="en-US"/>
              </w:rPr>
              <w:t>一块通用的墙，给一个一</w:t>
            </w:r>
          </w:p>
          <w:p w14:paraId="0CE63B94">
            <w:pPr>
              <w:pStyle w:val="561"/>
              <w:widowControl w:val="0"/>
              <w:spacing w:before="120" w:after="120" w:line="240" w:lineRule="auto"/>
              <w:ind w:left="31"/>
              <w:rPr>
                <w:color w:val="auto"/>
                <w:highlight w:val="none"/>
                <w:lang w:eastAsia="en-US"/>
              </w:rPr>
            </w:pPr>
            <w:r>
              <w:rPr>
                <w:color w:val="auto"/>
                <w:highlight w:val="none"/>
                <w:lang w:eastAsia="en-US"/>
              </w:rPr>
              <w:t>般的厚度，其他特性有一个取值范围；</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69B5E71">
            <w:pPr>
              <w:pStyle w:val="561"/>
              <w:widowControl w:val="0"/>
              <w:spacing w:before="120" w:after="120" w:line="240" w:lineRule="auto"/>
              <w:ind w:left="31"/>
              <w:rPr>
                <w:color w:val="auto"/>
                <w:highlight w:val="none"/>
                <w:lang w:eastAsia="en-US"/>
              </w:rPr>
            </w:pPr>
            <w:r>
              <w:rPr>
                <w:color w:val="auto"/>
                <w:highlight w:val="none"/>
                <w:lang w:eastAsia="en-US"/>
              </w:rPr>
              <w:t>模型已包括墙体类型和精确厚度，其他诸如成本、STC特性已经确定；</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1D31F75">
            <w:pPr>
              <w:pStyle w:val="561"/>
              <w:widowControl w:val="0"/>
              <w:spacing w:before="120" w:after="120" w:line="240" w:lineRule="auto"/>
              <w:ind w:left="31"/>
              <w:rPr>
                <w:color w:val="auto"/>
                <w:highlight w:val="none"/>
                <w:lang w:eastAsia="en-US"/>
              </w:rPr>
            </w:pPr>
            <w:r>
              <w:rPr>
                <w:color w:val="auto"/>
                <w:highlight w:val="none"/>
                <w:lang w:eastAsia="en-US"/>
              </w:rPr>
              <w:t>模型已包括墙体类型和精确厚度，其他诸如成本、STC特性已经确定；</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ED29893">
            <w:pPr>
              <w:pStyle w:val="561"/>
              <w:widowControl w:val="0"/>
              <w:spacing w:before="120" w:after="120" w:line="240" w:lineRule="auto"/>
              <w:ind w:left="31"/>
              <w:rPr>
                <w:color w:val="auto"/>
                <w:highlight w:val="none"/>
                <w:lang w:eastAsia="en-US"/>
              </w:rPr>
            </w:pPr>
            <w:r>
              <w:rPr>
                <w:color w:val="auto"/>
                <w:highlight w:val="none"/>
                <w:lang w:eastAsia="en-US"/>
              </w:rPr>
              <w:t>实际安装的墙体模型</w:t>
            </w:r>
          </w:p>
        </w:tc>
      </w:tr>
      <w:tr w14:paraId="3D3EE6D1">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6E9B83B">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3F7EA36">
            <w:pPr>
              <w:pStyle w:val="561"/>
              <w:widowControl w:val="0"/>
              <w:spacing w:before="120" w:after="120" w:line="240" w:lineRule="auto"/>
              <w:ind w:left="31"/>
              <w:rPr>
                <w:color w:val="auto"/>
                <w:highlight w:val="none"/>
                <w:lang w:eastAsia="en-US"/>
              </w:rPr>
            </w:pPr>
            <w:r>
              <w:rPr>
                <w:color w:val="auto"/>
                <w:highlight w:val="none"/>
                <w:lang w:eastAsia="en-US"/>
              </w:rPr>
              <w:t>009</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3D17AB5">
            <w:pPr>
              <w:pStyle w:val="561"/>
              <w:widowControl w:val="0"/>
              <w:spacing w:before="120" w:after="120" w:line="240" w:lineRule="auto"/>
              <w:ind w:left="31"/>
              <w:rPr>
                <w:color w:val="auto"/>
                <w:highlight w:val="none"/>
                <w:lang w:eastAsia="en-US"/>
              </w:rPr>
            </w:pPr>
            <w:r>
              <w:rPr>
                <w:color w:val="auto"/>
                <w:highlight w:val="none"/>
                <w:lang w:eastAsia="en-US"/>
              </w:rPr>
              <w:t>楼板</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091F02E">
            <w:pPr>
              <w:pStyle w:val="561"/>
              <w:widowControl w:val="0"/>
              <w:spacing w:before="120" w:after="120" w:line="240" w:lineRule="auto"/>
              <w:ind w:left="31"/>
              <w:rPr>
                <w:color w:val="auto"/>
                <w:highlight w:val="none"/>
                <w:lang w:eastAsia="en-US"/>
              </w:rPr>
            </w:pPr>
            <w:r>
              <w:rPr>
                <w:color w:val="auto"/>
                <w:highlight w:val="none"/>
                <w:lang w:eastAsia="en-US"/>
              </w:rPr>
              <w:t>非几何数据，仅线、面积、体积区域。</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1A56A23">
            <w:pPr>
              <w:pStyle w:val="561"/>
              <w:widowControl w:val="0"/>
              <w:spacing w:before="120" w:after="120" w:line="240" w:lineRule="auto"/>
              <w:ind w:left="31"/>
              <w:rPr>
                <w:color w:val="auto"/>
                <w:highlight w:val="none"/>
                <w:lang w:eastAsia="en-US"/>
              </w:rPr>
            </w:pPr>
            <w:r>
              <w:rPr>
                <w:color w:val="auto"/>
                <w:highlight w:val="none"/>
                <w:lang w:eastAsia="en-US"/>
              </w:rPr>
              <w:t>一块完整的模型，一般的厚度已确定</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8E753B4">
            <w:pPr>
              <w:pStyle w:val="561"/>
              <w:widowControl w:val="0"/>
              <w:spacing w:before="120" w:after="120" w:line="240" w:lineRule="auto"/>
              <w:ind w:left="31"/>
              <w:rPr>
                <w:color w:val="auto"/>
                <w:highlight w:val="none"/>
                <w:lang w:eastAsia="en-US"/>
              </w:rPr>
            </w:pPr>
            <w:r>
              <w:rPr>
                <w:color w:val="auto"/>
                <w:highlight w:val="none"/>
                <w:lang w:eastAsia="en-US"/>
              </w:rPr>
              <w:t>楼板的类型、精确厚度</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3EA16E1">
            <w:pPr>
              <w:pStyle w:val="561"/>
              <w:widowControl w:val="0"/>
              <w:spacing w:before="120" w:after="120" w:line="240" w:lineRule="auto"/>
              <w:ind w:left="31"/>
              <w:rPr>
                <w:color w:val="auto"/>
                <w:highlight w:val="none"/>
                <w:lang w:eastAsia="en-US"/>
              </w:rPr>
            </w:pPr>
            <w:r>
              <w:rPr>
                <w:color w:val="auto"/>
                <w:highlight w:val="none"/>
                <w:lang w:eastAsia="en-US"/>
              </w:rPr>
              <w:t>楼板的类型、精确厚度</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716CA53">
            <w:pPr>
              <w:pStyle w:val="561"/>
              <w:widowControl w:val="0"/>
              <w:spacing w:before="120" w:after="120" w:line="240" w:lineRule="auto"/>
              <w:ind w:left="31"/>
              <w:rPr>
                <w:color w:val="auto"/>
                <w:highlight w:val="none"/>
                <w:lang w:eastAsia="en-US"/>
              </w:rPr>
            </w:pPr>
            <w:r>
              <w:rPr>
                <w:color w:val="auto"/>
                <w:highlight w:val="none"/>
                <w:lang w:eastAsia="en-US"/>
              </w:rPr>
              <w:t>实际安装的楼板模型</w:t>
            </w:r>
          </w:p>
        </w:tc>
      </w:tr>
      <w:tr w14:paraId="6BE9C002">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462212B">
            <w:pPr>
              <w:pStyle w:val="561"/>
              <w:widowControl w:val="0"/>
              <w:spacing w:before="120" w:after="120"/>
              <w:ind w:left="31"/>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B40F9BA">
            <w:pPr>
              <w:pStyle w:val="561"/>
              <w:widowControl w:val="0"/>
              <w:spacing w:before="120" w:after="120" w:line="240" w:lineRule="auto"/>
              <w:ind w:left="31"/>
              <w:rPr>
                <w:color w:val="auto"/>
                <w:highlight w:val="none"/>
                <w:lang w:eastAsia="en-US"/>
              </w:rPr>
            </w:pPr>
            <w:r>
              <w:rPr>
                <w:color w:val="auto"/>
                <w:highlight w:val="none"/>
                <w:lang w:eastAsia="en-US"/>
              </w:rPr>
              <w:t>010</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187CFB4">
            <w:pPr>
              <w:pStyle w:val="561"/>
              <w:widowControl w:val="0"/>
              <w:spacing w:before="120" w:after="120" w:line="240" w:lineRule="auto"/>
              <w:ind w:left="31"/>
              <w:rPr>
                <w:color w:val="auto"/>
                <w:highlight w:val="none"/>
                <w:lang w:eastAsia="en-US"/>
              </w:rPr>
            </w:pPr>
            <w:r>
              <w:rPr>
                <w:color w:val="auto"/>
                <w:highlight w:val="none"/>
                <w:lang w:eastAsia="en-US"/>
              </w:rPr>
              <w:t>屋顶</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5B4CE8">
            <w:pPr>
              <w:pStyle w:val="561"/>
              <w:widowControl w:val="0"/>
              <w:spacing w:before="120" w:after="120" w:line="240" w:lineRule="auto"/>
              <w:ind w:left="31"/>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37522A6">
            <w:pPr>
              <w:pStyle w:val="561"/>
              <w:widowControl w:val="0"/>
              <w:spacing w:before="120" w:after="120" w:line="240" w:lineRule="auto"/>
              <w:ind w:left="31"/>
              <w:rPr>
                <w:color w:val="auto"/>
                <w:highlight w:val="none"/>
                <w:lang w:eastAsia="en-US"/>
              </w:rPr>
            </w:pPr>
            <w:r>
              <w:rPr>
                <w:color w:val="auto"/>
                <w:highlight w:val="none"/>
                <w:lang w:eastAsia="en-US"/>
              </w:rPr>
              <w:t>屋顶的大致3D模型以及形状尺寸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53F31E7">
            <w:pPr>
              <w:pStyle w:val="561"/>
              <w:widowControl w:val="0"/>
              <w:spacing w:before="120" w:after="120" w:line="240" w:lineRule="auto"/>
              <w:ind w:left="31"/>
              <w:rPr>
                <w:color w:val="auto"/>
                <w:highlight w:val="none"/>
                <w:lang w:eastAsia="en-US"/>
              </w:rPr>
            </w:pPr>
            <w:r>
              <w:rPr>
                <w:color w:val="auto"/>
                <w:highlight w:val="none"/>
                <w:lang w:eastAsia="en-US"/>
              </w:rPr>
              <w:t>屋顶的类型以及其他特性</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A1CF30E">
            <w:pPr>
              <w:pStyle w:val="561"/>
              <w:widowControl w:val="0"/>
              <w:spacing w:before="120" w:after="120" w:line="240" w:lineRule="auto"/>
              <w:ind w:left="31"/>
              <w:rPr>
                <w:color w:val="auto"/>
                <w:highlight w:val="none"/>
                <w:lang w:eastAsia="en-US"/>
              </w:rPr>
            </w:pPr>
            <w:r>
              <w:rPr>
                <w:color w:val="auto"/>
                <w:highlight w:val="none"/>
                <w:lang w:eastAsia="en-US"/>
              </w:rPr>
              <w:t>屋顶的类型以及其他特性</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5AA251B">
            <w:pPr>
              <w:pStyle w:val="561"/>
              <w:widowControl w:val="0"/>
              <w:spacing w:before="120" w:after="120" w:line="240" w:lineRule="auto"/>
              <w:ind w:left="31"/>
              <w:rPr>
                <w:color w:val="auto"/>
                <w:highlight w:val="none"/>
                <w:lang w:eastAsia="en-US"/>
              </w:rPr>
            </w:pPr>
            <w:r>
              <w:rPr>
                <w:color w:val="auto"/>
                <w:highlight w:val="none"/>
                <w:lang w:eastAsia="en-US"/>
              </w:rPr>
              <w:t>实际安装的屋顶模型</w:t>
            </w:r>
          </w:p>
        </w:tc>
      </w:tr>
      <w:tr w14:paraId="78C031E4">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FA1F043">
            <w:pPr>
              <w:pStyle w:val="561"/>
              <w:widowControl w:val="0"/>
              <w:spacing w:before="120" w:after="120"/>
              <w:ind w:left="31"/>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2356371">
            <w:pPr>
              <w:pStyle w:val="561"/>
              <w:widowControl w:val="0"/>
              <w:spacing w:before="120" w:after="120" w:line="240" w:lineRule="auto"/>
              <w:ind w:left="31"/>
              <w:rPr>
                <w:color w:val="auto"/>
                <w:highlight w:val="none"/>
                <w:lang w:eastAsia="en-US"/>
              </w:rPr>
            </w:pPr>
            <w:r>
              <w:rPr>
                <w:color w:val="auto"/>
                <w:highlight w:val="none"/>
                <w:lang w:eastAsia="en-US"/>
              </w:rPr>
              <w:t>011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EC805E3">
            <w:pPr>
              <w:pStyle w:val="561"/>
              <w:widowControl w:val="0"/>
              <w:spacing w:before="120" w:after="120" w:line="240" w:lineRule="auto"/>
              <w:ind w:left="31"/>
              <w:rPr>
                <w:color w:val="auto"/>
                <w:highlight w:val="none"/>
                <w:lang w:eastAsia="en-US"/>
              </w:rPr>
            </w:pPr>
            <w:r>
              <w:rPr>
                <w:color w:val="auto"/>
                <w:highlight w:val="none"/>
                <w:lang w:eastAsia="en-US"/>
              </w:rPr>
              <w:t>门</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96E7A51">
            <w:pPr>
              <w:pStyle w:val="561"/>
              <w:widowControl w:val="0"/>
              <w:spacing w:before="120" w:after="120" w:line="240" w:lineRule="auto"/>
              <w:ind w:left="31"/>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2015BAA">
            <w:pPr>
              <w:pStyle w:val="561"/>
              <w:widowControl w:val="0"/>
              <w:spacing w:before="120" w:after="120" w:line="240" w:lineRule="auto"/>
              <w:ind w:left="31"/>
              <w:rPr>
                <w:color w:val="auto"/>
                <w:highlight w:val="none"/>
                <w:lang w:eastAsia="en-US"/>
              </w:rPr>
            </w:pPr>
            <w:r>
              <w:rPr>
                <w:color w:val="auto"/>
                <w:highlight w:val="none"/>
                <w:lang w:eastAsia="en-US"/>
              </w:rPr>
              <w:t>门的形状以及尺寸，大致</w:t>
            </w:r>
          </w:p>
          <w:p w14:paraId="2866904E">
            <w:pPr>
              <w:pStyle w:val="561"/>
              <w:widowControl w:val="0"/>
              <w:spacing w:before="120" w:after="120" w:line="240" w:lineRule="auto"/>
              <w:ind w:left="31"/>
              <w:rPr>
                <w:color w:val="auto"/>
                <w:highlight w:val="none"/>
                <w:lang w:eastAsia="en-US"/>
              </w:rPr>
            </w:pPr>
            <w:r>
              <w:rPr>
                <w:color w:val="auto"/>
                <w:highlight w:val="none"/>
                <w:lang w:eastAsia="en-US"/>
              </w:rPr>
              <w:t>3D模型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61C6992">
            <w:pPr>
              <w:pStyle w:val="561"/>
              <w:widowControl w:val="0"/>
              <w:spacing w:before="120" w:after="120" w:line="240" w:lineRule="auto"/>
              <w:ind w:left="31"/>
              <w:rPr>
                <w:color w:val="auto"/>
                <w:highlight w:val="none"/>
                <w:lang w:eastAsia="en-US"/>
              </w:rPr>
            </w:pPr>
            <w:r>
              <w:rPr>
                <w:color w:val="auto"/>
                <w:highlight w:val="none"/>
                <w:lang w:eastAsia="en-US"/>
              </w:rPr>
              <w:t>门的精确尺寸、类型的确定</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AD18667">
            <w:pPr>
              <w:pStyle w:val="561"/>
              <w:widowControl w:val="0"/>
              <w:spacing w:before="120" w:after="120" w:line="240" w:lineRule="auto"/>
              <w:ind w:left="31"/>
              <w:rPr>
                <w:color w:val="auto"/>
                <w:highlight w:val="none"/>
                <w:lang w:eastAsia="en-US"/>
              </w:rPr>
            </w:pPr>
            <w:r>
              <w:rPr>
                <w:color w:val="auto"/>
                <w:highlight w:val="none"/>
                <w:lang w:eastAsia="en-US"/>
              </w:rPr>
              <w:t>门的实际尺寸、类型的确定</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79F7984">
            <w:pPr>
              <w:pStyle w:val="561"/>
              <w:widowControl w:val="0"/>
              <w:spacing w:before="120" w:after="120" w:line="240" w:lineRule="auto"/>
              <w:ind w:left="31"/>
              <w:rPr>
                <w:color w:val="auto"/>
                <w:highlight w:val="none"/>
                <w:lang w:eastAsia="en-US"/>
              </w:rPr>
            </w:pPr>
            <w:r>
              <w:rPr>
                <w:color w:val="auto"/>
                <w:highlight w:val="none"/>
                <w:lang w:eastAsia="en-US"/>
              </w:rPr>
              <w:t>实际安装的门窗模型</w:t>
            </w:r>
          </w:p>
        </w:tc>
      </w:tr>
      <w:tr w14:paraId="0821785D">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453A26C">
            <w:pPr>
              <w:pStyle w:val="561"/>
              <w:widowControl w:val="0"/>
              <w:spacing w:before="120" w:after="120"/>
              <w:ind w:left="31"/>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31027D">
            <w:pPr>
              <w:pStyle w:val="561"/>
              <w:widowControl w:val="0"/>
              <w:spacing w:before="120" w:after="120" w:line="240" w:lineRule="auto"/>
              <w:ind w:left="31"/>
              <w:rPr>
                <w:color w:val="auto"/>
                <w:highlight w:val="none"/>
                <w:lang w:eastAsia="en-US"/>
              </w:rPr>
            </w:pPr>
            <w:r>
              <w:rPr>
                <w:color w:val="auto"/>
                <w:highlight w:val="none"/>
                <w:lang w:eastAsia="en-US"/>
              </w:rPr>
              <w:t>012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DF42042">
            <w:pPr>
              <w:pStyle w:val="561"/>
              <w:widowControl w:val="0"/>
              <w:spacing w:before="120" w:after="120" w:line="240" w:lineRule="auto"/>
              <w:ind w:left="31"/>
              <w:rPr>
                <w:color w:val="auto"/>
                <w:highlight w:val="none"/>
                <w:lang w:eastAsia="en-US"/>
              </w:rPr>
            </w:pPr>
            <w:r>
              <w:rPr>
                <w:color w:val="auto"/>
                <w:highlight w:val="none"/>
                <w:lang w:eastAsia="en-US"/>
              </w:rPr>
              <w:t>窗</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15E0267">
            <w:pPr>
              <w:pStyle w:val="561"/>
              <w:widowControl w:val="0"/>
              <w:spacing w:before="120" w:after="120" w:line="240" w:lineRule="auto"/>
              <w:ind w:left="31"/>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657D7AA">
            <w:pPr>
              <w:pStyle w:val="561"/>
              <w:widowControl w:val="0"/>
              <w:spacing w:before="120" w:after="120" w:line="240" w:lineRule="auto"/>
              <w:ind w:left="31"/>
              <w:rPr>
                <w:color w:val="auto"/>
                <w:highlight w:val="none"/>
                <w:lang w:eastAsia="en-US"/>
              </w:rPr>
            </w:pPr>
            <w:r>
              <w:rPr>
                <w:color w:val="auto"/>
                <w:highlight w:val="none"/>
                <w:lang w:eastAsia="en-US"/>
              </w:rPr>
              <w:t>窗的形状以及尺寸，大致</w:t>
            </w:r>
          </w:p>
          <w:p w14:paraId="26C68416">
            <w:pPr>
              <w:pStyle w:val="561"/>
              <w:widowControl w:val="0"/>
              <w:spacing w:before="120" w:after="120" w:line="240" w:lineRule="auto"/>
              <w:ind w:left="31"/>
              <w:rPr>
                <w:color w:val="auto"/>
                <w:highlight w:val="none"/>
                <w:lang w:eastAsia="en-US"/>
              </w:rPr>
            </w:pPr>
            <w:r>
              <w:rPr>
                <w:color w:val="auto"/>
                <w:highlight w:val="none"/>
                <w:lang w:eastAsia="en-US"/>
              </w:rPr>
              <w:t>3D模型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7E5D943">
            <w:pPr>
              <w:pStyle w:val="561"/>
              <w:widowControl w:val="0"/>
              <w:spacing w:before="120" w:after="120" w:line="240" w:lineRule="auto"/>
              <w:ind w:left="31"/>
              <w:rPr>
                <w:color w:val="auto"/>
                <w:highlight w:val="none"/>
                <w:lang w:eastAsia="en-US"/>
              </w:rPr>
            </w:pPr>
            <w:r>
              <w:rPr>
                <w:color w:val="auto"/>
                <w:highlight w:val="none"/>
                <w:lang w:eastAsia="en-US"/>
              </w:rPr>
              <w:t>窗的精确尺寸、类型的确定</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30DF450">
            <w:pPr>
              <w:pStyle w:val="561"/>
              <w:widowControl w:val="0"/>
              <w:spacing w:before="120" w:after="120" w:line="240" w:lineRule="auto"/>
              <w:ind w:left="31"/>
              <w:rPr>
                <w:color w:val="auto"/>
                <w:highlight w:val="none"/>
                <w:lang w:eastAsia="en-US"/>
              </w:rPr>
            </w:pPr>
            <w:r>
              <w:rPr>
                <w:color w:val="auto"/>
                <w:highlight w:val="none"/>
                <w:lang w:eastAsia="en-US"/>
              </w:rPr>
              <w:t>窗的实际尺寸、类型的确定</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D9F1D56">
            <w:pPr>
              <w:pStyle w:val="561"/>
              <w:widowControl w:val="0"/>
              <w:spacing w:before="120" w:after="120" w:line="240" w:lineRule="auto"/>
              <w:ind w:left="31"/>
              <w:rPr>
                <w:color w:val="auto"/>
                <w:highlight w:val="none"/>
                <w:lang w:eastAsia="en-US"/>
              </w:rPr>
            </w:pPr>
            <w:r>
              <w:rPr>
                <w:color w:val="auto"/>
                <w:highlight w:val="none"/>
                <w:lang w:eastAsia="en-US"/>
              </w:rPr>
              <w:t>实际安装的门窗模型</w:t>
            </w:r>
          </w:p>
        </w:tc>
      </w:tr>
      <w:tr w14:paraId="41AE14EE">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CE984AD">
            <w:pPr>
              <w:pStyle w:val="561"/>
              <w:widowControl w:val="0"/>
              <w:spacing w:before="120" w:after="120"/>
              <w:ind w:left="31"/>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A6A8EB0">
            <w:pPr>
              <w:pStyle w:val="561"/>
              <w:widowControl w:val="0"/>
              <w:spacing w:before="120" w:after="120" w:line="240" w:lineRule="auto"/>
              <w:ind w:left="31"/>
              <w:rPr>
                <w:color w:val="auto"/>
                <w:highlight w:val="none"/>
                <w:lang w:eastAsia="en-US"/>
              </w:rPr>
            </w:pPr>
            <w:r>
              <w:rPr>
                <w:color w:val="auto"/>
                <w:highlight w:val="none"/>
                <w:lang w:eastAsia="en-US"/>
              </w:rPr>
              <w:t>013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A5692CD">
            <w:pPr>
              <w:pStyle w:val="561"/>
              <w:widowControl w:val="0"/>
              <w:spacing w:before="120" w:after="120" w:line="240" w:lineRule="auto"/>
              <w:ind w:left="31"/>
              <w:rPr>
                <w:color w:val="auto"/>
                <w:highlight w:val="none"/>
                <w:lang w:eastAsia="en-US"/>
              </w:rPr>
            </w:pPr>
            <w:r>
              <w:rPr>
                <w:color w:val="auto"/>
                <w:highlight w:val="none"/>
                <w:lang w:eastAsia="en-US"/>
              </w:rPr>
              <w:t>天花板</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7B05539">
            <w:pPr>
              <w:pStyle w:val="561"/>
              <w:widowControl w:val="0"/>
              <w:spacing w:before="120" w:after="120" w:line="240" w:lineRule="auto"/>
              <w:ind w:left="31"/>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F57C83E">
            <w:pPr>
              <w:pStyle w:val="561"/>
              <w:widowControl w:val="0"/>
              <w:spacing w:before="120" w:after="120" w:line="240" w:lineRule="auto"/>
              <w:ind w:left="31"/>
              <w:rPr>
                <w:color w:val="auto"/>
                <w:highlight w:val="none"/>
                <w:lang w:eastAsia="en-US"/>
              </w:rPr>
            </w:pPr>
            <w:r>
              <w:rPr>
                <w:color w:val="auto"/>
                <w:highlight w:val="none"/>
                <w:lang w:eastAsia="en-US"/>
              </w:rPr>
              <w:t>基本形状、大概尺寸的模型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9CD3B11">
            <w:pPr>
              <w:pStyle w:val="561"/>
              <w:widowControl w:val="0"/>
              <w:spacing w:before="120" w:after="120" w:line="240" w:lineRule="auto"/>
              <w:ind w:left="31"/>
              <w:rPr>
                <w:color w:val="auto"/>
                <w:highlight w:val="none"/>
                <w:lang w:eastAsia="en-US"/>
              </w:rPr>
            </w:pPr>
            <w:r>
              <w:rPr>
                <w:color w:val="auto"/>
                <w:highlight w:val="none"/>
                <w:lang w:eastAsia="en-US"/>
              </w:rPr>
              <w:t>材质类型、天花板的精确厚度</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3BBE4EF">
            <w:pPr>
              <w:pStyle w:val="561"/>
              <w:widowControl w:val="0"/>
              <w:spacing w:before="120" w:after="120" w:line="240" w:lineRule="auto"/>
              <w:ind w:left="31"/>
              <w:rPr>
                <w:color w:val="auto"/>
                <w:highlight w:val="none"/>
                <w:lang w:eastAsia="en-US"/>
              </w:rPr>
            </w:pPr>
            <w:r>
              <w:rPr>
                <w:color w:val="auto"/>
                <w:highlight w:val="none"/>
                <w:lang w:eastAsia="en-US"/>
              </w:rPr>
              <w:t>材质类型、天花板的精确厚度</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02C5775">
            <w:pPr>
              <w:pStyle w:val="561"/>
              <w:widowControl w:val="0"/>
              <w:spacing w:before="120" w:after="120" w:line="240" w:lineRule="auto"/>
              <w:ind w:left="31"/>
              <w:rPr>
                <w:color w:val="auto"/>
                <w:highlight w:val="none"/>
                <w:lang w:eastAsia="en-US"/>
              </w:rPr>
            </w:pPr>
            <w:r>
              <w:rPr>
                <w:color w:val="auto"/>
                <w:highlight w:val="none"/>
                <w:lang w:eastAsia="en-US"/>
              </w:rPr>
              <w:t>实际安装的天花板模型</w:t>
            </w:r>
          </w:p>
        </w:tc>
      </w:tr>
      <w:tr w14:paraId="5BECB7AB">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3B306A0">
            <w:pPr>
              <w:pStyle w:val="561"/>
              <w:widowControl w:val="0"/>
              <w:spacing w:before="120" w:after="120"/>
              <w:ind w:left="31"/>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4D9F389">
            <w:pPr>
              <w:pStyle w:val="561"/>
              <w:widowControl w:val="0"/>
              <w:spacing w:before="120" w:after="120" w:line="240" w:lineRule="auto"/>
              <w:ind w:left="31"/>
              <w:rPr>
                <w:color w:val="auto"/>
                <w:highlight w:val="none"/>
                <w:lang w:eastAsia="en-US"/>
              </w:rPr>
            </w:pPr>
            <w:r>
              <w:rPr>
                <w:color w:val="auto"/>
                <w:highlight w:val="none"/>
                <w:lang w:eastAsia="en-US"/>
              </w:rPr>
              <w:t>014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C1B59C1">
            <w:pPr>
              <w:pStyle w:val="561"/>
              <w:widowControl w:val="0"/>
              <w:spacing w:before="120" w:after="120" w:line="240" w:lineRule="auto"/>
              <w:ind w:left="31"/>
              <w:rPr>
                <w:color w:val="auto"/>
                <w:highlight w:val="none"/>
                <w:lang w:eastAsia="en-US"/>
              </w:rPr>
            </w:pPr>
            <w:r>
              <w:rPr>
                <w:color w:val="auto"/>
                <w:highlight w:val="none"/>
                <w:lang w:eastAsia="en-US"/>
              </w:rPr>
              <w:t>扶手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2346319">
            <w:pPr>
              <w:pStyle w:val="561"/>
              <w:widowControl w:val="0"/>
              <w:spacing w:before="120" w:after="120" w:line="240" w:lineRule="auto"/>
              <w:ind w:left="31"/>
              <w:rPr>
                <w:color w:val="auto"/>
                <w:highlight w:val="none"/>
                <w:lang w:eastAsia="en-US"/>
              </w:rPr>
            </w:pPr>
            <w:r>
              <w:rPr>
                <w:color w:val="auto"/>
                <w:highlight w:val="none"/>
                <w:lang w:eastAsia="en-US"/>
              </w:rPr>
              <w:t>非几何数据，仅线。</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1EAD6D4">
            <w:pPr>
              <w:pStyle w:val="561"/>
              <w:widowControl w:val="0"/>
              <w:spacing w:before="120" w:after="120" w:line="240" w:lineRule="auto"/>
              <w:ind w:left="31"/>
              <w:rPr>
                <w:color w:val="auto"/>
                <w:highlight w:val="none"/>
                <w:lang w:eastAsia="en-US"/>
              </w:rPr>
            </w:pPr>
            <w:r>
              <w:rPr>
                <w:color w:val="auto"/>
                <w:highlight w:val="none"/>
                <w:lang w:eastAsia="en-US"/>
              </w:rPr>
              <w:t>大致形状、大概尺寸的模型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DB591A0">
            <w:pPr>
              <w:pStyle w:val="561"/>
              <w:widowControl w:val="0"/>
              <w:spacing w:before="120" w:after="120" w:line="240" w:lineRule="auto"/>
              <w:ind w:left="31"/>
              <w:rPr>
                <w:color w:val="auto"/>
                <w:highlight w:val="none"/>
                <w:lang w:eastAsia="en-US"/>
              </w:rPr>
            </w:pPr>
            <w:r>
              <w:rPr>
                <w:color w:val="auto"/>
                <w:highlight w:val="none"/>
                <w:lang w:eastAsia="en-US"/>
              </w:rPr>
              <w:t>扶手的材质选定</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1FCF93D">
            <w:pPr>
              <w:pStyle w:val="561"/>
              <w:widowControl w:val="0"/>
              <w:spacing w:before="120" w:after="120" w:line="240" w:lineRule="auto"/>
              <w:ind w:left="31"/>
              <w:rPr>
                <w:color w:val="auto"/>
                <w:highlight w:val="none"/>
                <w:lang w:eastAsia="en-US"/>
              </w:rPr>
            </w:pPr>
            <w:r>
              <w:rPr>
                <w:color w:val="auto"/>
                <w:highlight w:val="none"/>
                <w:lang w:eastAsia="en-US"/>
              </w:rPr>
              <w:t>扶手的材质选定</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C793E7D">
            <w:pPr>
              <w:pStyle w:val="561"/>
              <w:widowControl w:val="0"/>
              <w:spacing w:before="120" w:after="120" w:line="240" w:lineRule="auto"/>
              <w:ind w:left="31"/>
              <w:rPr>
                <w:color w:val="auto"/>
                <w:highlight w:val="none"/>
                <w:lang w:eastAsia="en-US"/>
              </w:rPr>
            </w:pPr>
            <w:r>
              <w:rPr>
                <w:color w:val="auto"/>
                <w:highlight w:val="none"/>
                <w:lang w:eastAsia="en-US"/>
              </w:rPr>
              <w:t>实际安装的扶手模型</w:t>
            </w:r>
          </w:p>
        </w:tc>
      </w:tr>
      <w:tr w14:paraId="13A06C3E">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8EDB237">
            <w:pPr>
              <w:pStyle w:val="561"/>
              <w:widowControl w:val="0"/>
              <w:spacing w:before="120" w:after="120"/>
              <w:ind w:left="31"/>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2CD6741">
            <w:pPr>
              <w:pStyle w:val="561"/>
              <w:widowControl w:val="0"/>
              <w:spacing w:before="120" w:after="120" w:line="240" w:lineRule="auto"/>
              <w:ind w:left="31"/>
              <w:rPr>
                <w:color w:val="auto"/>
                <w:highlight w:val="none"/>
                <w:lang w:eastAsia="en-US"/>
              </w:rPr>
            </w:pPr>
            <w:r>
              <w:rPr>
                <w:color w:val="auto"/>
                <w:highlight w:val="none"/>
                <w:lang w:eastAsia="en-US"/>
              </w:rPr>
              <w:t>015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DEB2A9C">
            <w:pPr>
              <w:pStyle w:val="561"/>
              <w:widowControl w:val="0"/>
              <w:spacing w:before="120" w:after="120" w:line="240" w:lineRule="auto"/>
              <w:ind w:left="31"/>
              <w:rPr>
                <w:color w:val="auto"/>
                <w:highlight w:val="none"/>
                <w:lang w:eastAsia="en-US"/>
              </w:rPr>
            </w:pPr>
            <w:r>
              <w:rPr>
                <w:color w:val="auto"/>
                <w:highlight w:val="none"/>
                <w:lang w:eastAsia="en-US"/>
              </w:rPr>
              <w:t>坡道</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D8D9BD1">
            <w:pPr>
              <w:pStyle w:val="561"/>
              <w:widowControl w:val="0"/>
              <w:spacing w:before="120" w:after="120" w:line="240" w:lineRule="auto"/>
              <w:ind w:left="31"/>
              <w:rPr>
                <w:color w:val="auto"/>
                <w:highlight w:val="none"/>
                <w:lang w:eastAsia="en-US"/>
              </w:rPr>
            </w:pPr>
            <w:r>
              <w:rPr>
                <w:color w:val="auto"/>
                <w:highlight w:val="none"/>
                <w:lang w:eastAsia="en-US"/>
              </w:rPr>
              <w:t>非几何数据，仅线。</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C2833F0">
            <w:pPr>
              <w:pStyle w:val="561"/>
              <w:widowControl w:val="0"/>
              <w:spacing w:before="120" w:after="120" w:line="240" w:lineRule="auto"/>
              <w:ind w:left="31"/>
              <w:rPr>
                <w:color w:val="auto"/>
                <w:highlight w:val="none"/>
                <w:lang w:eastAsia="en-US"/>
              </w:rPr>
            </w:pPr>
            <w:r>
              <w:rPr>
                <w:color w:val="auto"/>
                <w:highlight w:val="none"/>
                <w:lang w:eastAsia="en-US"/>
              </w:rPr>
              <w:t>大致形状、大概尺寸的模型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4E4D00F">
            <w:pPr>
              <w:pStyle w:val="561"/>
              <w:widowControl w:val="0"/>
              <w:spacing w:before="120" w:after="120" w:line="240" w:lineRule="auto"/>
              <w:ind w:left="31"/>
              <w:rPr>
                <w:color w:val="auto"/>
                <w:highlight w:val="none"/>
                <w:lang w:eastAsia="en-US"/>
              </w:rPr>
            </w:pPr>
            <w:r>
              <w:rPr>
                <w:color w:val="auto"/>
                <w:highlight w:val="none"/>
                <w:lang w:eastAsia="en-US"/>
              </w:rPr>
              <w:t>坡道的精确厚度、坡度的精确程度</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0F2A53B">
            <w:pPr>
              <w:pStyle w:val="561"/>
              <w:widowControl w:val="0"/>
              <w:spacing w:before="120" w:after="120" w:line="240" w:lineRule="auto"/>
              <w:ind w:left="31"/>
              <w:rPr>
                <w:color w:val="auto"/>
                <w:highlight w:val="none"/>
                <w:lang w:eastAsia="en-US"/>
              </w:rPr>
            </w:pPr>
            <w:r>
              <w:rPr>
                <w:color w:val="auto"/>
                <w:highlight w:val="none"/>
                <w:lang w:eastAsia="en-US"/>
              </w:rPr>
              <w:t>坡道的精确厚度、坡度的精确程度</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A204E4F">
            <w:pPr>
              <w:pStyle w:val="561"/>
              <w:widowControl w:val="0"/>
              <w:spacing w:before="120" w:after="120" w:line="240" w:lineRule="auto"/>
              <w:ind w:left="31"/>
              <w:rPr>
                <w:color w:val="auto"/>
                <w:highlight w:val="none"/>
                <w:lang w:eastAsia="en-US"/>
              </w:rPr>
            </w:pPr>
            <w:r>
              <w:rPr>
                <w:color w:val="auto"/>
                <w:highlight w:val="none"/>
                <w:lang w:eastAsia="en-US"/>
              </w:rPr>
              <w:t>实际安装的坡道模型</w:t>
            </w:r>
          </w:p>
        </w:tc>
      </w:tr>
      <w:tr w14:paraId="4534E2F6">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8A796E0">
            <w:pPr>
              <w:pStyle w:val="561"/>
              <w:widowControl w:val="0"/>
              <w:spacing w:before="120" w:after="120"/>
              <w:ind w:left="31"/>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9155640">
            <w:pPr>
              <w:pStyle w:val="561"/>
              <w:widowControl w:val="0"/>
              <w:spacing w:before="120" w:after="120" w:line="240" w:lineRule="auto"/>
              <w:ind w:left="31"/>
              <w:rPr>
                <w:color w:val="auto"/>
                <w:highlight w:val="none"/>
                <w:lang w:eastAsia="en-US"/>
              </w:rPr>
            </w:pPr>
            <w:r>
              <w:rPr>
                <w:color w:val="auto"/>
                <w:highlight w:val="none"/>
                <w:lang w:eastAsia="en-US"/>
              </w:rPr>
              <w:t>016</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7254253">
            <w:pPr>
              <w:pStyle w:val="561"/>
              <w:widowControl w:val="0"/>
              <w:spacing w:before="120" w:after="120" w:line="240" w:lineRule="auto"/>
              <w:ind w:left="31"/>
              <w:rPr>
                <w:color w:val="auto"/>
                <w:highlight w:val="none"/>
                <w:lang w:eastAsia="en-US"/>
              </w:rPr>
            </w:pPr>
            <w:r>
              <w:rPr>
                <w:color w:val="auto"/>
                <w:highlight w:val="none"/>
                <w:lang w:eastAsia="en-US"/>
              </w:rPr>
              <w:t>楼梯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F78A23B">
            <w:pPr>
              <w:pStyle w:val="561"/>
              <w:widowControl w:val="0"/>
              <w:spacing w:before="120" w:after="120" w:line="240" w:lineRule="auto"/>
              <w:ind w:left="31"/>
              <w:rPr>
                <w:color w:val="auto"/>
                <w:highlight w:val="none"/>
                <w:lang w:eastAsia="en-US"/>
              </w:rPr>
            </w:pPr>
            <w:r>
              <w:rPr>
                <w:color w:val="auto"/>
                <w:highlight w:val="none"/>
                <w:lang w:eastAsia="en-US"/>
              </w:rPr>
              <w:t>非几何数据，仅线。</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0A7D9FA">
            <w:pPr>
              <w:pStyle w:val="561"/>
              <w:widowControl w:val="0"/>
              <w:spacing w:before="120" w:after="120" w:line="240" w:lineRule="auto"/>
              <w:ind w:left="31"/>
              <w:rPr>
                <w:color w:val="auto"/>
                <w:highlight w:val="none"/>
                <w:lang w:eastAsia="en-US"/>
              </w:rPr>
            </w:pPr>
            <w:r>
              <w:rPr>
                <w:color w:val="auto"/>
                <w:highlight w:val="none"/>
                <w:lang w:eastAsia="en-US"/>
              </w:rPr>
              <w:t>大致形状、大概尺寸的模型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1C8210">
            <w:pPr>
              <w:pStyle w:val="561"/>
              <w:widowControl w:val="0"/>
              <w:spacing w:before="120" w:after="120" w:line="240" w:lineRule="auto"/>
              <w:ind w:left="31"/>
              <w:rPr>
                <w:color w:val="auto"/>
                <w:highlight w:val="none"/>
                <w:lang w:eastAsia="en-US"/>
              </w:rPr>
            </w:pPr>
            <w:r>
              <w:rPr>
                <w:color w:val="auto"/>
                <w:highlight w:val="none"/>
                <w:lang w:eastAsia="en-US"/>
              </w:rPr>
              <w:t>楼梯踏步的精确厚度、台阶的精确程度</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FE6D133">
            <w:pPr>
              <w:pStyle w:val="561"/>
              <w:widowControl w:val="0"/>
              <w:spacing w:before="120" w:after="120" w:line="240" w:lineRule="auto"/>
              <w:ind w:left="31"/>
              <w:rPr>
                <w:color w:val="auto"/>
                <w:highlight w:val="none"/>
                <w:lang w:eastAsia="en-US"/>
              </w:rPr>
            </w:pPr>
            <w:r>
              <w:rPr>
                <w:color w:val="auto"/>
                <w:highlight w:val="none"/>
                <w:lang w:eastAsia="en-US"/>
              </w:rPr>
              <w:t>楼梯踏步的精确厚度、台阶的精确程度</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C3D28B">
            <w:pPr>
              <w:pStyle w:val="561"/>
              <w:widowControl w:val="0"/>
              <w:spacing w:before="120" w:after="120" w:line="240" w:lineRule="auto"/>
              <w:ind w:left="31"/>
              <w:rPr>
                <w:color w:val="auto"/>
                <w:highlight w:val="none"/>
                <w:lang w:eastAsia="en-US"/>
              </w:rPr>
            </w:pPr>
            <w:r>
              <w:rPr>
                <w:color w:val="auto"/>
                <w:highlight w:val="none"/>
                <w:lang w:eastAsia="en-US"/>
              </w:rPr>
              <w:t>实际安装的楼梯模型</w:t>
            </w:r>
          </w:p>
        </w:tc>
      </w:tr>
      <w:tr w14:paraId="0447EFD8">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60712CA">
            <w:pPr>
              <w:pStyle w:val="561"/>
              <w:widowControl w:val="0"/>
              <w:spacing w:before="120" w:after="120"/>
              <w:ind w:left="31"/>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3BDCA56">
            <w:pPr>
              <w:pStyle w:val="561"/>
              <w:widowControl w:val="0"/>
              <w:spacing w:before="120" w:after="120" w:line="240" w:lineRule="auto"/>
              <w:ind w:left="31"/>
              <w:rPr>
                <w:color w:val="auto"/>
                <w:highlight w:val="none"/>
                <w:lang w:eastAsia="en-US"/>
              </w:rPr>
            </w:pPr>
            <w:r>
              <w:rPr>
                <w:color w:val="auto"/>
                <w:highlight w:val="none"/>
                <w:lang w:eastAsia="en-US"/>
              </w:rPr>
              <w:t>017</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9A4EE0C">
            <w:pPr>
              <w:pStyle w:val="561"/>
              <w:widowControl w:val="0"/>
              <w:spacing w:before="120" w:after="120" w:line="240" w:lineRule="auto"/>
              <w:ind w:left="31"/>
              <w:rPr>
                <w:color w:val="auto"/>
                <w:highlight w:val="none"/>
                <w:lang w:eastAsia="en-US"/>
              </w:rPr>
            </w:pPr>
            <w:r>
              <w:rPr>
                <w:color w:val="auto"/>
                <w:highlight w:val="none"/>
                <w:lang w:eastAsia="en-US"/>
              </w:rPr>
              <w:t>红线</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6F35B3E">
            <w:pPr>
              <w:pStyle w:val="561"/>
              <w:widowControl w:val="0"/>
              <w:spacing w:before="120" w:after="120" w:line="240" w:lineRule="auto"/>
              <w:ind w:left="31"/>
              <w:rPr>
                <w:color w:val="auto"/>
                <w:highlight w:val="none"/>
                <w:lang w:eastAsia="en-US"/>
              </w:rPr>
            </w:pPr>
            <w:r>
              <w:rPr>
                <w:color w:val="auto"/>
                <w:highlight w:val="none"/>
                <w:lang w:eastAsia="en-US"/>
              </w:rPr>
              <w:t>非几何数据，仅线。</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A92BE0F">
            <w:pPr>
              <w:pStyle w:val="561"/>
              <w:widowControl w:val="0"/>
              <w:spacing w:before="120" w:after="120" w:line="240" w:lineRule="auto"/>
              <w:ind w:left="31"/>
              <w:rPr>
                <w:color w:val="auto"/>
                <w:highlight w:val="none"/>
                <w:lang w:eastAsia="en-US"/>
              </w:rPr>
            </w:pPr>
            <w:r>
              <w:rPr>
                <w:color w:val="auto"/>
                <w:highlight w:val="none"/>
                <w:lang w:eastAsia="en-US"/>
              </w:rPr>
              <w:t>具体形状、具体尺寸的模型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116E903">
            <w:pPr>
              <w:pStyle w:val="561"/>
              <w:widowControl w:val="0"/>
              <w:spacing w:before="120" w:after="120" w:line="240" w:lineRule="auto"/>
              <w:ind w:left="31"/>
              <w:rPr>
                <w:color w:val="auto"/>
                <w:highlight w:val="none"/>
                <w:lang w:eastAsia="en-US"/>
              </w:rPr>
            </w:pPr>
            <w:r>
              <w:rPr>
                <w:color w:val="auto"/>
                <w:highlight w:val="none"/>
                <w:lang w:eastAsia="en-US"/>
              </w:rPr>
              <w:t>具体形状、具体尺寸的模型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985FBF5">
            <w:pPr>
              <w:pStyle w:val="561"/>
              <w:widowControl w:val="0"/>
              <w:spacing w:before="120" w:after="120" w:line="240" w:lineRule="auto"/>
              <w:ind w:left="31"/>
              <w:rPr>
                <w:color w:val="auto"/>
                <w:highlight w:val="none"/>
                <w:lang w:eastAsia="en-US"/>
              </w:rPr>
            </w:pPr>
            <w:r>
              <w:rPr>
                <w:color w:val="auto"/>
                <w:highlight w:val="none"/>
                <w:lang w:eastAsia="en-US"/>
              </w:rPr>
              <w:t>具体形状、具体尺寸的模型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2E1214D">
            <w:pPr>
              <w:pStyle w:val="561"/>
              <w:widowControl w:val="0"/>
              <w:spacing w:before="120" w:after="120" w:line="240" w:lineRule="auto"/>
              <w:ind w:left="31"/>
              <w:rPr>
                <w:color w:val="auto"/>
                <w:highlight w:val="none"/>
                <w:lang w:eastAsia="en-US"/>
              </w:rPr>
            </w:pPr>
            <w:r>
              <w:rPr>
                <w:color w:val="auto"/>
                <w:highlight w:val="none"/>
                <w:lang w:eastAsia="en-US"/>
              </w:rPr>
              <w:t>实际安装的坡道模型</w:t>
            </w:r>
          </w:p>
        </w:tc>
      </w:tr>
      <w:tr w14:paraId="37B3EE4E">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575F85DE">
            <w:pPr>
              <w:pStyle w:val="561"/>
              <w:widowControl w:val="0"/>
              <w:spacing w:before="120" w:after="120"/>
              <w:ind w:left="31"/>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F865A3C">
            <w:pPr>
              <w:pStyle w:val="561"/>
              <w:widowControl w:val="0"/>
              <w:spacing w:before="120" w:after="120" w:line="240" w:lineRule="auto"/>
              <w:ind w:left="31"/>
              <w:rPr>
                <w:color w:val="auto"/>
                <w:highlight w:val="none"/>
                <w:lang w:eastAsia="en-US"/>
              </w:rPr>
            </w:pPr>
            <w:r>
              <w:rPr>
                <w:rFonts w:hint="eastAsia"/>
                <w:color w:val="auto"/>
                <w:highlight w:val="none"/>
                <w:lang w:eastAsia="en-US"/>
              </w:rPr>
              <w:t>注：上述模型精度要求仅作参考，具体精度内容应参考相关合同、行业标准、地方标准的要求。</w:t>
            </w:r>
          </w:p>
        </w:tc>
      </w:tr>
    </w:tbl>
    <w:p w14:paraId="190E97B7">
      <w:pPr>
        <w:spacing w:before="120" w:after="120" w:line="272" w:lineRule="exact"/>
        <w:rPr>
          <w:rFonts w:ascii="宋体" w:hAnsi="宋体" w:cs="宋体"/>
          <w:color w:val="auto"/>
          <w:szCs w:val="21"/>
          <w:highlight w:val="none"/>
        </w:rPr>
        <w:sectPr>
          <w:pgSz w:w="16840" w:h="11910" w:orient="landscape"/>
          <w:pgMar w:top="1440" w:right="1800" w:bottom="1440" w:left="1800" w:header="907" w:footer="953" w:gutter="0"/>
          <w:pgNumType w:fmt="numberInDash"/>
          <w:cols w:space="720" w:num="1"/>
        </w:sectPr>
      </w:pPr>
    </w:p>
    <w:p w14:paraId="2C34EF3D">
      <w:pPr>
        <w:pStyle w:val="584"/>
        <w:spacing w:before="120" w:after="120"/>
        <w:ind w:firstLine="420" w:firstLineChars="200"/>
        <w:rPr>
          <w:color w:val="auto"/>
          <w:highlight w:val="none"/>
        </w:rPr>
      </w:pPr>
      <w:bookmarkStart w:id="303" w:name="_Toc29075"/>
      <w:r>
        <w:rPr>
          <w:color w:val="auto"/>
          <w:highlight w:val="none"/>
        </w:rPr>
        <w:t>2  结构专业</w:t>
      </w:r>
      <w:bookmarkEnd w:id="303"/>
    </w:p>
    <w:tbl>
      <w:tblPr>
        <w:tblStyle w:val="519"/>
        <w:tblW w:w="4999" w:type="pct"/>
        <w:tblInd w:w="0" w:type="dxa"/>
        <w:tblLayout w:type="autofit"/>
        <w:tblCellMar>
          <w:top w:w="0" w:type="dxa"/>
          <w:left w:w="0" w:type="dxa"/>
          <w:bottom w:w="0" w:type="dxa"/>
          <w:right w:w="0" w:type="dxa"/>
        </w:tblCellMar>
      </w:tblPr>
      <w:tblGrid>
        <w:gridCol w:w="1100"/>
        <w:gridCol w:w="510"/>
        <w:gridCol w:w="1205"/>
        <w:gridCol w:w="2187"/>
        <w:gridCol w:w="2187"/>
        <w:gridCol w:w="2187"/>
        <w:gridCol w:w="2187"/>
        <w:gridCol w:w="1788"/>
      </w:tblGrid>
      <w:tr w14:paraId="2F04A076">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C751AB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303D811F">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20C5D03A">
            <w:pPr>
              <w:pStyle w:val="561"/>
              <w:widowControl w:val="0"/>
              <w:spacing w:before="120" w:after="120" w:line="240" w:lineRule="auto"/>
              <w:ind w:left="31"/>
              <w:rPr>
                <w:rFonts w:ascii="Times New Roman" w:hAnsi="Times New Roman" w:cs="Times New Roman"/>
                <w:color w:val="auto"/>
                <w:szCs w:val="24"/>
                <w:highlight w:val="none"/>
                <w:lang w:eastAsia="en-US"/>
              </w:rPr>
            </w:pPr>
          </w:p>
          <w:p w14:paraId="3B0CE702">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470D71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1F6617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703CC09">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BF8D749">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9AFDCE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34276E1B">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75345966">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62EFC306">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7AD7BC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EBE1E4B">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1BBB01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ED4E1B9">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032687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5B943FD5">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27F27182">
            <w:pPr>
              <w:pStyle w:val="561"/>
              <w:widowControl w:val="0"/>
              <w:spacing w:before="120" w:after="120"/>
              <w:ind w:left="31" w:right="4"/>
              <w:rPr>
                <w:color w:val="auto"/>
                <w:highlight w:val="none"/>
                <w:lang w:eastAsia="en-US"/>
              </w:rPr>
            </w:pPr>
            <w:r>
              <w:rPr>
                <w:rFonts w:hint="eastAsia"/>
                <w:color w:val="auto"/>
                <w:highlight w:val="none"/>
                <w:lang w:eastAsia="en-US"/>
              </w:rPr>
              <w:t>结构</w:t>
            </w: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0CFA06B">
            <w:pPr>
              <w:pStyle w:val="561"/>
              <w:widowControl w:val="0"/>
              <w:spacing w:before="120" w:after="120" w:line="240" w:lineRule="auto"/>
              <w:ind w:left="31"/>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9F31AA5">
            <w:pPr>
              <w:pStyle w:val="561"/>
              <w:widowControl w:val="0"/>
              <w:spacing w:before="120" w:after="120" w:line="240" w:lineRule="auto"/>
              <w:ind w:left="31"/>
              <w:rPr>
                <w:color w:val="auto"/>
                <w:highlight w:val="none"/>
                <w:lang w:eastAsia="en-US"/>
              </w:rPr>
            </w:pPr>
            <w:r>
              <w:rPr>
                <w:color w:val="auto"/>
                <w:highlight w:val="none"/>
                <w:lang w:eastAsia="en-US"/>
              </w:rPr>
              <w:t>混凝土结构柱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4022A8E">
            <w:pPr>
              <w:pStyle w:val="561"/>
              <w:widowControl w:val="0"/>
              <w:spacing w:before="120" w:after="120" w:line="240" w:lineRule="auto"/>
              <w:ind w:left="31"/>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62F1C34">
            <w:pPr>
              <w:pStyle w:val="561"/>
              <w:widowControl w:val="0"/>
              <w:spacing w:before="120" w:after="120" w:line="240" w:lineRule="auto"/>
              <w:ind w:left="31"/>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AFEAE52">
            <w:pPr>
              <w:pStyle w:val="561"/>
              <w:widowControl w:val="0"/>
              <w:spacing w:before="120" w:after="120" w:line="240" w:lineRule="auto"/>
              <w:ind w:left="31"/>
              <w:rPr>
                <w:color w:val="auto"/>
                <w:highlight w:val="none"/>
                <w:lang w:eastAsia="en-US"/>
              </w:rPr>
            </w:pPr>
            <w:r>
              <w:rPr>
                <w:color w:val="auto"/>
                <w:highlight w:val="none"/>
                <w:lang w:eastAsia="en-US"/>
              </w:rPr>
              <w:t>材质与类型，精确尺寸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7D2C8C3">
            <w:pPr>
              <w:pStyle w:val="561"/>
              <w:widowControl w:val="0"/>
              <w:spacing w:before="120" w:after="120" w:line="240" w:lineRule="auto"/>
              <w:ind w:left="31"/>
              <w:rPr>
                <w:color w:val="auto"/>
                <w:highlight w:val="none"/>
                <w:lang w:eastAsia="en-US"/>
              </w:rPr>
            </w:pPr>
            <w:r>
              <w:rPr>
                <w:color w:val="auto"/>
                <w:highlight w:val="none"/>
                <w:lang w:eastAsia="en-US"/>
              </w:rPr>
              <w:t>材质与类型，实际尺寸</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7648AA4">
            <w:pPr>
              <w:pStyle w:val="561"/>
              <w:widowControl w:val="0"/>
              <w:spacing w:before="120" w:after="120" w:line="240" w:lineRule="auto"/>
              <w:ind w:left="31"/>
              <w:rPr>
                <w:color w:val="auto"/>
                <w:highlight w:val="none"/>
                <w:lang w:eastAsia="en-US"/>
              </w:rPr>
            </w:pPr>
            <w:r>
              <w:rPr>
                <w:color w:val="auto"/>
                <w:highlight w:val="none"/>
                <w:lang w:eastAsia="en-US"/>
              </w:rPr>
              <w:t>实际安装的柱模型</w:t>
            </w:r>
          </w:p>
        </w:tc>
      </w:tr>
      <w:tr w14:paraId="3B4A74B9">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6A4415A8">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35E8709">
            <w:pPr>
              <w:pStyle w:val="561"/>
              <w:widowControl w:val="0"/>
              <w:spacing w:before="120" w:after="120" w:line="240" w:lineRule="auto"/>
              <w:ind w:left="31"/>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610B7D0">
            <w:pPr>
              <w:pStyle w:val="561"/>
              <w:widowControl w:val="0"/>
              <w:spacing w:before="120" w:after="120"/>
              <w:ind w:left="31"/>
              <w:rPr>
                <w:color w:val="auto"/>
                <w:highlight w:val="none"/>
                <w:lang w:eastAsia="en-US"/>
              </w:rPr>
            </w:pPr>
            <w:r>
              <w:rPr>
                <w:color w:val="auto"/>
                <w:highlight w:val="none"/>
                <w:lang w:eastAsia="en-US"/>
              </w:rPr>
              <w:t>混凝土结构梁</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877A01C">
            <w:pPr>
              <w:pStyle w:val="561"/>
              <w:widowControl w:val="0"/>
              <w:spacing w:before="120" w:after="120" w:line="240" w:lineRule="auto"/>
              <w:ind w:left="31"/>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979C7E5">
            <w:pPr>
              <w:pStyle w:val="561"/>
              <w:widowControl w:val="0"/>
              <w:spacing w:before="120" w:after="120" w:line="240" w:lineRule="auto"/>
              <w:ind w:left="31"/>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3C65054">
            <w:pPr>
              <w:pStyle w:val="561"/>
              <w:widowControl w:val="0"/>
              <w:spacing w:before="120" w:after="120" w:line="240" w:lineRule="auto"/>
              <w:ind w:left="31"/>
              <w:rPr>
                <w:color w:val="auto"/>
                <w:highlight w:val="none"/>
                <w:lang w:eastAsia="en-US"/>
              </w:rPr>
            </w:pPr>
            <w:r>
              <w:rPr>
                <w:color w:val="auto"/>
                <w:highlight w:val="none"/>
                <w:lang w:eastAsia="en-US"/>
              </w:rPr>
              <w:t>材质与类型，精确尺寸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61DDB2">
            <w:pPr>
              <w:pStyle w:val="561"/>
              <w:widowControl w:val="0"/>
              <w:spacing w:before="120" w:after="120" w:line="240" w:lineRule="auto"/>
              <w:ind w:left="31"/>
              <w:rPr>
                <w:color w:val="auto"/>
                <w:highlight w:val="none"/>
                <w:lang w:eastAsia="en-US"/>
              </w:rPr>
            </w:pPr>
            <w:r>
              <w:rPr>
                <w:color w:val="auto"/>
                <w:highlight w:val="none"/>
                <w:lang w:eastAsia="en-US"/>
              </w:rPr>
              <w:t>材质与类型，实际尺寸</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BE76574">
            <w:pPr>
              <w:pStyle w:val="561"/>
              <w:widowControl w:val="0"/>
              <w:spacing w:before="120" w:after="120" w:line="240" w:lineRule="auto"/>
              <w:ind w:left="31"/>
              <w:rPr>
                <w:color w:val="auto"/>
                <w:highlight w:val="none"/>
                <w:lang w:eastAsia="en-US"/>
              </w:rPr>
            </w:pPr>
            <w:r>
              <w:rPr>
                <w:color w:val="auto"/>
                <w:highlight w:val="none"/>
                <w:lang w:eastAsia="en-US"/>
              </w:rPr>
              <w:t>实际安装的梁模型</w:t>
            </w:r>
          </w:p>
        </w:tc>
      </w:tr>
      <w:tr w14:paraId="69259AB0">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7C0B1363">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00CBD1">
            <w:pPr>
              <w:pStyle w:val="561"/>
              <w:widowControl w:val="0"/>
              <w:spacing w:before="120" w:after="120" w:line="240" w:lineRule="auto"/>
              <w:ind w:left="31"/>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BDEF24A">
            <w:pPr>
              <w:pStyle w:val="561"/>
              <w:widowControl w:val="0"/>
              <w:spacing w:before="120" w:after="120"/>
              <w:ind w:left="31"/>
              <w:rPr>
                <w:color w:val="auto"/>
                <w:highlight w:val="none"/>
                <w:lang w:eastAsia="en-US"/>
              </w:rPr>
            </w:pPr>
            <w:r>
              <w:rPr>
                <w:color w:val="auto"/>
                <w:highlight w:val="none"/>
                <w:lang w:eastAsia="en-US"/>
              </w:rPr>
              <w:t>预留洞</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0B226D">
            <w:pPr>
              <w:pStyle w:val="561"/>
              <w:widowControl w:val="0"/>
              <w:spacing w:before="120" w:after="120" w:line="240" w:lineRule="auto"/>
              <w:ind w:left="31"/>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0ABCFB">
            <w:pPr>
              <w:pStyle w:val="561"/>
              <w:widowControl w:val="0"/>
              <w:spacing w:before="120" w:after="120" w:line="240" w:lineRule="auto"/>
              <w:ind w:left="31"/>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A3DA8FB">
            <w:pPr>
              <w:pStyle w:val="561"/>
              <w:widowControl w:val="0"/>
              <w:spacing w:before="120" w:after="120" w:line="240" w:lineRule="auto"/>
              <w:ind w:left="31"/>
              <w:rPr>
                <w:color w:val="auto"/>
                <w:highlight w:val="none"/>
                <w:lang w:eastAsia="en-US"/>
              </w:rPr>
            </w:pPr>
            <w:r>
              <w:rPr>
                <w:color w:val="auto"/>
                <w:highlight w:val="none"/>
                <w:lang w:eastAsia="en-US"/>
              </w:rPr>
              <w:t>精确尺寸，标高信息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1D0179C">
            <w:pPr>
              <w:pStyle w:val="561"/>
              <w:widowControl w:val="0"/>
              <w:spacing w:before="120" w:after="120" w:line="240" w:lineRule="auto"/>
              <w:ind w:left="31"/>
              <w:rPr>
                <w:color w:val="auto"/>
                <w:highlight w:val="none"/>
                <w:lang w:eastAsia="en-US"/>
              </w:rPr>
            </w:pPr>
            <w:r>
              <w:rPr>
                <w:color w:val="auto"/>
                <w:highlight w:val="none"/>
                <w:lang w:eastAsia="en-US"/>
              </w:rPr>
              <w:t>实际尺寸，标高信息</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3EDCF33">
            <w:pPr>
              <w:pStyle w:val="561"/>
              <w:widowControl w:val="0"/>
              <w:spacing w:before="120" w:after="120" w:line="240" w:lineRule="auto"/>
              <w:ind w:left="31"/>
              <w:rPr>
                <w:color w:val="auto"/>
                <w:highlight w:val="none"/>
                <w:lang w:eastAsia="en-US"/>
              </w:rPr>
            </w:pPr>
            <w:r>
              <w:rPr>
                <w:color w:val="auto"/>
                <w:highlight w:val="none"/>
                <w:lang w:eastAsia="en-US"/>
              </w:rPr>
              <w:t>实际预留洞口</w:t>
            </w:r>
          </w:p>
        </w:tc>
      </w:tr>
      <w:tr w14:paraId="53B9E117">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15A5EE1">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C95B8D3">
            <w:pPr>
              <w:pStyle w:val="561"/>
              <w:widowControl w:val="0"/>
              <w:spacing w:before="120" w:after="120" w:line="240" w:lineRule="auto"/>
              <w:ind w:left="31"/>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ED260F8">
            <w:pPr>
              <w:pStyle w:val="561"/>
              <w:widowControl w:val="0"/>
              <w:spacing w:before="120" w:after="120"/>
              <w:ind w:left="31"/>
              <w:rPr>
                <w:color w:val="auto"/>
                <w:highlight w:val="none"/>
                <w:lang w:eastAsia="en-US"/>
              </w:rPr>
            </w:pPr>
            <w:r>
              <w:rPr>
                <w:color w:val="auto"/>
                <w:highlight w:val="none"/>
                <w:lang w:eastAsia="en-US"/>
              </w:rPr>
              <w:t>剪力墙</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8BE9844">
            <w:pPr>
              <w:pStyle w:val="561"/>
              <w:widowControl w:val="0"/>
              <w:spacing w:before="120" w:after="120" w:line="240" w:lineRule="auto"/>
              <w:ind w:left="31"/>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C5033B">
            <w:pPr>
              <w:pStyle w:val="561"/>
              <w:widowControl w:val="0"/>
              <w:spacing w:before="120" w:after="120" w:line="240" w:lineRule="auto"/>
              <w:ind w:left="31"/>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06029C0">
            <w:pPr>
              <w:pStyle w:val="561"/>
              <w:widowControl w:val="0"/>
              <w:spacing w:before="120" w:after="120" w:line="240" w:lineRule="auto"/>
              <w:ind w:left="31"/>
              <w:rPr>
                <w:color w:val="auto"/>
                <w:highlight w:val="none"/>
                <w:lang w:eastAsia="en-US"/>
              </w:rPr>
            </w:pPr>
            <w:r>
              <w:rPr>
                <w:color w:val="auto"/>
                <w:highlight w:val="none"/>
                <w:lang w:eastAsia="en-US"/>
              </w:rPr>
              <w:t>墙体的类型、精确厚度、尺寸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ABDB5B">
            <w:pPr>
              <w:pStyle w:val="561"/>
              <w:widowControl w:val="0"/>
              <w:spacing w:before="120" w:after="120" w:line="240" w:lineRule="auto"/>
              <w:ind w:left="31"/>
              <w:rPr>
                <w:color w:val="auto"/>
                <w:highlight w:val="none"/>
                <w:lang w:eastAsia="en-US"/>
              </w:rPr>
            </w:pPr>
            <w:r>
              <w:rPr>
                <w:color w:val="auto"/>
                <w:highlight w:val="none"/>
                <w:lang w:eastAsia="en-US"/>
              </w:rPr>
              <w:t>墙体的类型、实际厚度、尺寸</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15A2F5B">
            <w:pPr>
              <w:pStyle w:val="561"/>
              <w:widowControl w:val="0"/>
              <w:spacing w:before="120" w:after="120" w:line="240" w:lineRule="auto"/>
              <w:ind w:left="31"/>
              <w:rPr>
                <w:color w:val="auto"/>
                <w:highlight w:val="none"/>
                <w:lang w:eastAsia="en-US"/>
              </w:rPr>
            </w:pPr>
            <w:r>
              <w:rPr>
                <w:color w:val="auto"/>
                <w:highlight w:val="none"/>
                <w:lang w:eastAsia="en-US"/>
              </w:rPr>
              <w:t>实际安装的墙体模型</w:t>
            </w:r>
          </w:p>
        </w:tc>
      </w:tr>
      <w:tr w14:paraId="0B109416">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99EC4CA">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E8C195F">
            <w:pPr>
              <w:pStyle w:val="561"/>
              <w:widowControl w:val="0"/>
              <w:spacing w:before="120" w:after="120" w:line="240" w:lineRule="auto"/>
              <w:ind w:left="31"/>
              <w:rPr>
                <w:color w:val="auto"/>
                <w:highlight w:val="none"/>
                <w:lang w:eastAsia="en-US"/>
              </w:rPr>
            </w:pPr>
            <w:r>
              <w:rPr>
                <w:color w:val="auto"/>
                <w:highlight w:val="none"/>
                <w:lang w:eastAsia="en-US"/>
              </w:rPr>
              <w:t>005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8E5537B">
            <w:pPr>
              <w:pStyle w:val="561"/>
              <w:widowControl w:val="0"/>
              <w:spacing w:before="120" w:after="120"/>
              <w:ind w:left="31" w:right="2"/>
              <w:rPr>
                <w:color w:val="auto"/>
                <w:highlight w:val="none"/>
                <w:lang w:eastAsia="en-US"/>
              </w:rPr>
            </w:pPr>
            <w:r>
              <w:rPr>
                <w:color w:val="auto"/>
                <w:highlight w:val="none"/>
                <w:lang w:eastAsia="en-US"/>
              </w:rPr>
              <w:t>楼梯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B4ED22D">
            <w:pPr>
              <w:pStyle w:val="561"/>
              <w:widowControl w:val="0"/>
              <w:spacing w:before="120" w:after="120" w:line="240" w:lineRule="auto"/>
              <w:ind w:left="31"/>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5F5AFC5">
            <w:pPr>
              <w:pStyle w:val="561"/>
              <w:widowControl w:val="0"/>
              <w:spacing w:before="120" w:after="120" w:line="240" w:lineRule="auto"/>
              <w:ind w:left="31"/>
              <w:rPr>
                <w:color w:val="auto"/>
                <w:highlight w:val="none"/>
                <w:lang w:eastAsia="en-US"/>
              </w:rPr>
            </w:pPr>
            <w:r>
              <w:rPr>
                <w:color w:val="auto"/>
                <w:highlight w:val="none"/>
                <w:lang w:eastAsia="en-US"/>
              </w:rPr>
              <w:t>楼梯的基本尺寸、形状</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ED2C7B3">
            <w:pPr>
              <w:pStyle w:val="561"/>
              <w:widowControl w:val="0"/>
              <w:spacing w:before="120" w:after="120" w:line="240" w:lineRule="auto"/>
              <w:ind w:left="31"/>
              <w:rPr>
                <w:color w:val="auto"/>
                <w:highlight w:val="none"/>
                <w:lang w:eastAsia="en-US"/>
              </w:rPr>
            </w:pPr>
            <w:r>
              <w:rPr>
                <w:color w:val="auto"/>
                <w:highlight w:val="none"/>
                <w:lang w:eastAsia="en-US"/>
              </w:rPr>
              <w:t>楼梯的类型、精确厚度、具体形状</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C2281C8">
            <w:pPr>
              <w:pStyle w:val="561"/>
              <w:widowControl w:val="0"/>
              <w:spacing w:before="120" w:after="120" w:line="240" w:lineRule="auto"/>
              <w:ind w:left="31"/>
              <w:rPr>
                <w:color w:val="auto"/>
                <w:highlight w:val="none"/>
                <w:lang w:eastAsia="en-US"/>
              </w:rPr>
            </w:pPr>
            <w:r>
              <w:rPr>
                <w:color w:val="auto"/>
                <w:highlight w:val="none"/>
                <w:lang w:eastAsia="en-US"/>
              </w:rPr>
              <w:t>楼梯的类型、实际厚度、具体形状</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59A273">
            <w:pPr>
              <w:pStyle w:val="561"/>
              <w:widowControl w:val="0"/>
              <w:spacing w:before="120" w:after="120" w:line="240" w:lineRule="auto"/>
              <w:ind w:left="31"/>
              <w:rPr>
                <w:color w:val="auto"/>
                <w:highlight w:val="none"/>
                <w:lang w:eastAsia="en-US"/>
              </w:rPr>
            </w:pPr>
            <w:r>
              <w:rPr>
                <w:color w:val="auto"/>
                <w:highlight w:val="none"/>
                <w:lang w:eastAsia="en-US"/>
              </w:rPr>
              <w:t>实际安装的楼梯模型</w:t>
            </w:r>
          </w:p>
        </w:tc>
      </w:tr>
      <w:tr w14:paraId="0034CB88">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15A87CC">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846EF87">
            <w:pPr>
              <w:pStyle w:val="561"/>
              <w:widowControl w:val="0"/>
              <w:spacing w:before="120" w:after="120" w:line="240" w:lineRule="auto"/>
              <w:ind w:left="31"/>
              <w:rPr>
                <w:color w:val="auto"/>
                <w:highlight w:val="none"/>
                <w:lang w:eastAsia="en-US"/>
              </w:rPr>
            </w:pPr>
            <w:r>
              <w:rPr>
                <w:color w:val="auto"/>
                <w:highlight w:val="none"/>
                <w:lang w:eastAsia="en-US"/>
              </w:rPr>
              <w:t>006</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A3B9AD3">
            <w:pPr>
              <w:pStyle w:val="561"/>
              <w:widowControl w:val="0"/>
              <w:spacing w:before="120" w:after="120"/>
              <w:ind w:left="31" w:right="2"/>
              <w:rPr>
                <w:color w:val="auto"/>
                <w:highlight w:val="none"/>
                <w:lang w:eastAsia="en-US"/>
              </w:rPr>
            </w:pPr>
            <w:r>
              <w:rPr>
                <w:color w:val="auto"/>
                <w:highlight w:val="none"/>
                <w:lang w:eastAsia="en-US"/>
              </w:rPr>
              <w:t>楼板</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1284EAC">
            <w:pPr>
              <w:pStyle w:val="561"/>
              <w:widowControl w:val="0"/>
              <w:spacing w:before="120" w:after="120" w:line="240" w:lineRule="auto"/>
              <w:ind w:left="31"/>
              <w:rPr>
                <w:color w:val="auto"/>
                <w:highlight w:val="none"/>
                <w:lang w:eastAsia="en-US"/>
              </w:rPr>
            </w:pPr>
            <w:r>
              <w:rPr>
                <w:color w:val="auto"/>
                <w:highlight w:val="none"/>
                <w:lang w:eastAsia="en-US"/>
              </w:rPr>
              <w:t>无模型，成本或其他性能系可按单位楼面面积的某个数</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30D10B8">
            <w:pPr>
              <w:pStyle w:val="561"/>
              <w:widowControl w:val="0"/>
              <w:spacing w:before="120" w:after="120" w:line="240" w:lineRule="auto"/>
              <w:ind w:left="31"/>
              <w:rPr>
                <w:color w:val="auto"/>
                <w:highlight w:val="none"/>
                <w:lang w:eastAsia="en-US"/>
              </w:rPr>
            </w:pPr>
            <w:r>
              <w:rPr>
                <w:color w:val="auto"/>
                <w:highlight w:val="none"/>
                <w:lang w:eastAsia="en-US"/>
              </w:rPr>
              <w:t>大致厚度</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AA1CCC5">
            <w:pPr>
              <w:pStyle w:val="561"/>
              <w:widowControl w:val="0"/>
              <w:spacing w:before="120" w:after="120" w:line="240" w:lineRule="auto"/>
              <w:ind w:left="31"/>
              <w:rPr>
                <w:color w:val="auto"/>
                <w:highlight w:val="none"/>
                <w:lang w:eastAsia="en-US"/>
              </w:rPr>
            </w:pPr>
            <w:r>
              <w:rPr>
                <w:color w:val="auto"/>
                <w:highlight w:val="none"/>
                <w:lang w:eastAsia="en-US"/>
              </w:rPr>
              <w:t>精确厚度、楼板类型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A317909">
            <w:pPr>
              <w:pStyle w:val="561"/>
              <w:widowControl w:val="0"/>
              <w:spacing w:before="120" w:after="120" w:line="240" w:lineRule="auto"/>
              <w:ind w:left="31"/>
              <w:rPr>
                <w:color w:val="auto"/>
                <w:highlight w:val="none"/>
                <w:lang w:eastAsia="en-US"/>
              </w:rPr>
            </w:pPr>
            <w:r>
              <w:rPr>
                <w:color w:val="auto"/>
                <w:highlight w:val="none"/>
                <w:lang w:eastAsia="en-US"/>
              </w:rPr>
              <w:t>实际厚度、楼板类型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79F6965">
            <w:pPr>
              <w:pStyle w:val="561"/>
              <w:widowControl w:val="0"/>
              <w:spacing w:before="120" w:after="120" w:line="240" w:lineRule="auto"/>
              <w:ind w:left="31"/>
              <w:rPr>
                <w:color w:val="auto"/>
                <w:highlight w:val="none"/>
                <w:lang w:eastAsia="en-US"/>
              </w:rPr>
            </w:pPr>
            <w:r>
              <w:rPr>
                <w:color w:val="auto"/>
                <w:highlight w:val="none"/>
                <w:lang w:eastAsia="en-US"/>
              </w:rPr>
              <w:t>实际安装的楼板模型</w:t>
            </w:r>
          </w:p>
        </w:tc>
      </w:tr>
      <w:tr w14:paraId="5DAAAA64">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7C474593">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8667DA1">
            <w:pPr>
              <w:pStyle w:val="561"/>
              <w:widowControl w:val="0"/>
              <w:spacing w:before="120" w:after="120" w:line="240" w:lineRule="auto"/>
              <w:ind w:left="31"/>
              <w:rPr>
                <w:color w:val="auto"/>
                <w:highlight w:val="none"/>
                <w:lang w:eastAsia="en-US"/>
              </w:rPr>
            </w:pPr>
            <w:r>
              <w:rPr>
                <w:rFonts w:hint="eastAsia"/>
                <w:color w:val="auto"/>
                <w:highlight w:val="none"/>
                <w:lang w:eastAsia="en-US"/>
              </w:rPr>
              <w:t>007</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F01733D">
            <w:pPr>
              <w:pStyle w:val="561"/>
              <w:widowControl w:val="0"/>
              <w:spacing w:before="120" w:after="120" w:line="240" w:lineRule="auto"/>
              <w:ind w:left="31"/>
              <w:rPr>
                <w:color w:val="auto"/>
                <w:highlight w:val="none"/>
                <w:lang w:eastAsia="en-US"/>
              </w:rPr>
            </w:pPr>
            <w:r>
              <w:rPr>
                <w:rFonts w:hint="eastAsia"/>
                <w:color w:val="auto"/>
                <w:highlight w:val="none"/>
                <w:lang w:eastAsia="en-US"/>
              </w:rPr>
              <w:t>钢结构</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AB2D44">
            <w:pPr>
              <w:pStyle w:val="561"/>
              <w:widowControl w:val="0"/>
              <w:spacing w:before="120" w:after="120" w:line="240" w:lineRule="auto"/>
              <w:ind w:left="31"/>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BE06E31">
            <w:pPr>
              <w:pStyle w:val="561"/>
              <w:widowControl w:val="0"/>
              <w:spacing w:before="120" w:after="120" w:line="240" w:lineRule="auto"/>
              <w:ind w:left="31"/>
              <w:rPr>
                <w:color w:val="auto"/>
                <w:highlight w:val="none"/>
                <w:lang w:eastAsia="en-US"/>
              </w:rPr>
            </w:pPr>
            <w:r>
              <w:rPr>
                <w:color w:val="auto"/>
                <w:highlight w:val="none"/>
                <w:lang w:eastAsia="en-US"/>
              </w:rPr>
              <w:t>大致形状，尺寸，位置</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E4A1712">
            <w:pPr>
              <w:pStyle w:val="561"/>
              <w:widowControl w:val="0"/>
              <w:spacing w:before="120" w:after="120" w:line="240" w:lineRule="auto"/>
              <w:ind w:left="31"/>
              <w:rPr>
                <w:color w:val="auto"/>
                <w:highlight w:val="none"/>
                <w:lang w:eastAsia="en-US"/>
              </w:rPr>
            </w:pPr>
            <w:r>
              <w:rPr>
                <w:color w:val="auto"/>
                <w:highlight w:val="none"/>
                <w:lang w:eastAsia="en-US"/>
              </w:rPr>
              <w:t>精确形状、尺寸、坐标位置</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B429897">
            <w:pPr>
              <w:pStyle w:val="561"/>
              <w:widowControl w:val="0"/>
              <w:spacing w:before="120" w:after="120" w:line="240" w:lineRule="auto"/>
              <w:ind w:left="31"/>
              <w:rPr>
                <w:color w:val="auto"/>
                <w:highlight w:val="none"/>
                <w:lang w:eastAsia="en-US"/>
              </w:rPr>
            </w:pPr>
            <w:r>
              <w:rPr>
                <w:color w:val="auto"/>
                <w:highlight w:val="none"/>
                <w:lang w:eastAsia="en-US"/>
              </w:rPr>
              <w:t>实际形状、尺寸、坐标位置</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B94E572">
            <w:pPr>
              <w:pStyle w:val="561"/>
              <w:widowControl w:val="0"/>
              <w:spacing w:before="120" w:after="120" w:line="240" w:lineRule="auto"/>
              <w:ind w:left="31"/>
              <w:rPr>
                <w:color w:val="auto"/>
                <w:highlight w:val="none"/>
                <w:lang w:eastAsia="en-US"/>
              </w:rPr>
            </w:pPr>
            <w:r>
              <w:rPr>
                <w:color w:val="auto"/>
                <w:highlight w:val="none"/>
                <w:lang w:eastAsia="en-US"/>
              </w:rPr>
              <w:t>实际安装的模型</w:t>
            </w:r>
          </w:p>
        </w:tc>
      </w:tr>
      <w:tr w14:paraId="24CEEE1C">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E508B4C">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2186620">
            <w:pPr>
              <w:pStyle w:val="561"/>
              <w:widowControl w:val="0"/>
              <w:spacing w:before="120" w:after="120" w:line="240" w:lineRule="auto"/>
              <w:ind w:left="31"/>
              <w:rPr>
                <w:color w:val="auto"/>
                <w:highlight w:val="none"/>
                <w:lang w:eastAsia="en-US"/>
              </w:rPr>
            </w:pPr>
            <w:r>
              <w:rPr>
                <w:color w:val="auto"/>
                <w:highlight w:val="none"/>
                <w:lang w:eastAsia="en-US"/>
              </w:rPr>
              <w:t>00</w:t>
            </w:r>
            <w:r>
              <w:rPr>
                <w:rFonts w:hint="eastAsia"/>
                <w:color w:val="auto"/>
                <w:highlight w:val="none"/>
                <w:lang w:eastAsia="en-US"/>
              </w:rPr>
              <w:t>8</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EBA7A38">
            <w:pPr>
              <w:pStyle w:val="561"/>
              <w:widowControl w:val="0"/>
              <w:spacing w:before="120" w:after="120" w:line="240" w:lineRule="auto"/>
              <w:ind w:left="31"/>
              <w:rPr>
                <w:color w:val="auto"/>
                <w:highlight w:val="none"/>
                <w:lang w:eastAsia="en-US"/>
              </w:rPr>
            </w:pPr>
            <w:r>
              <w:rPr>
                <w:color w:val="auto"/>
                <w:highlight w:val="none"/>
                <w:lang w:eastAsia="en-US"/>
              </w:rPr>
              <w:t>钢节点连接样式</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2FD20CA">
            <w:pPr>
              <w:pStyle w:val="561"/>
              <w:widowControl w:val="0"/>
              <w:spacing w:before="120" w:after="120" w:line="240" w:lineRule="auto"/>
              <w:ind w:left="31"/>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511E606">
            <w:pPr>
              <w:pStyle w:val="561"/>
              <w:widowControl w:val="0"/>
              <w:spacing w:before="120" w:after="120" w:line="240" w:lineRule="auto"/>
              <w:ind w:left="31"/>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985EEFB">
            <w:pPr>
              <w:pStyle w:val="561"/>
              <w:widowControl w:val="0"/>
              <w:spacing w:before="120" w:after="120" w:line="240" w:lineRule="auto"/>
              <w:ind w:left="31"/>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36B64C3">
            <w:pPr>
              <w:pStyle w:val="561"/>
              <w:widowControl w:val="0"/>
              <w:spacing w:before="120" w:after="120" w:line="240" w:lineRule="auto"/>
              <w:ind w:left="31"/>
              <w:rPr>
                <w:color w:val="auto"/>
                <w:highlight w:val="none"/>
                <w:lang w:eastAsia="en-US"/>
              </w:rPr>
            </w:pPr>
            <w:r>
              <w:rPr>
                <w:color w:val="auto"/>
                <w:highlight w:val="none"/>
                <w:lang w:eastAsia="en-US"/>
              </w:rPr>
              <w:t>无模型，成本或其他性能系可按单位楼面面积的某个数值计入</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4AC838">
            <w:pPr>
              <w:pStyle w:val="561"/>
              <w:widowControl w:val="0"/>
              <w:spacing w:before="120" w:after="120" w:line="240" w:lineRule="exact"/>
              <w:ind w:left="31" w:right="1"/>
              <w:rPr>
                <w:color w:val="auto"/>
                <w:highlight w:val="none"/>
                <w:lang w:eastAsia="en-US"/>
              </w:rPr>
            </w:pPr>
            <w:r>
              <w:rPr>
                <w:color w:val="auto"/>
                <w:highlight w:val="none"/>
                <w:lang w:eastAsia="en-US"/>
              </w:rPr>
              <w:t>无模型，成本或其</w:t>
            </w:r>
          </w:p>
          <w:p w14:paraId="627FCAD7">
            <w:pPr>
              <w:pStyle w:val="561"/>
              <w:widowControl w:val="0"/>
              <w:spacing w:before="120" w:after="120" w:line="240" w:lineRule="auto"/>
              <w:ind w:left="31"/>
              <w:rPr>
                <w:color w:val="auto"/>
                <w:highlight w:val="none"/>
                <w:lang w:eastAsia="en-US"/>
              </w:rPr>
            </w:pPr>
            <w:r>
              <w:rPr>
                <w:color w:val="auto"/>
                <w:highlight w:val="none"/>
                <w:lang w:eastAsia="en-US"/>
              </w:rPr>
              <w:t>他性能系可按单位楼面面积的某个数值计入</w:t>
            </w:r>
          </w:p>
        </w:tc>
      </w:tr>
      <w:tr w14:paraId="4402413A">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24557A8">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CA8DA94">
            <w:pPr>
              <w:pStyle w:val="561"/>
              <w:widowControl w:val="0"/>
              <w:spacing w:before="120" w:after="120" w:line="240" w:lineRule="auto"/>
              <w:ind w:left="31"/>
              <w:rPr>
                <w:color w:val="auto"/>
                <w:highlight w:val="none"/>
                <w:lang w:eastAsia="en-US"/>
              </w:rPr>
            </w:pPr>
            <w:r>
              <w:rPr>
                <w:color w:val="auto"/>
                <w:highlight w:val="none"/>
                <w:lang w:eastAsia="en-US"/>
              </w:rPr>
              <w:t>00</w:t>
            </w:r>
            <w:r>
              <w:rPr>
                <w:rFonts w:hint="eastAsia"/>
                <w:color w:val="auto"/>
                <w:highlight w:val="none"/>
                <w:lang w:eastAsia="en-US"/>
              </w:rPr>
              <w:t>9</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609A6F1">
            <w:pPr>
              <w:pStyle w:val="561"/>
              <w:widowControl w:val="0"/>
              <w:spacing w:before="120" w:after="120" w:line="240" w:lineRule="auto"/>
              <w:ind w:left="31"/>
              <w:rPr>
                <w:color w:val="auto"/>
                <w:highlight w:val="none"/>
                <w:lang w:eastAsia="en-US"/>
              </w:rPr>
            </w:pPr>
            <w:r>
              <w:rPr>
                <w:color w:val="auto"/>
                <w:highlight w:val="none"/>
                <w:lang w:eastAsia="en-US"/>
              </w:rPr>
              <w:t>基坑</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E0EE272">
            <w:pPr>
              <w:pStyle w:val="561"/>
              <w:widowControl w:val="0"/>
              <w:spacing w:before="120" w:after="120" w:line="240" w:lineRule="auto"/>
              <w:ind w:left="31"/>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DCBACE">
            <w:pPr>
              <w:pStyle w:val="561"/>
              <w:widowControl w:val="0"/>
              <w:spacing w:before="120" w:after="120" w:line="240" w:lineRule="auto"/>
              <w:ind w:left="31"/>
              <w:rPr>
                <w:color w:val="auto"/>
                <w:highlight w:val="none"/>
                <w:lang w:eastAsia="en-US"/>
              </w:rPr>
            </w:pPr>
            <w:r>
              <w:rPr>
                <w:color w:val="auto"/>
                <w:highlight w:val="none"/>
                <w:lang w:eastAsia="en-US"/>
              </w:rPr>
              <w:t>大致形状，尺寸，位置</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6C99507">
            <w:pPr>
              <w:pStyle w:val="561"/>
              <w:widowControl w:val="0"/>
              <w:spacing w:before="120" w:after="120" w:line="240" w:lineRule="auto"/>
              <w:ind w:left="31"/>
              <w:rPr>
                <w:color w:val="auto"/>
                <w:highlight w:val="none"/>
                <w:lang w:eastAsia="en-US"/>
              </w:rPr>
            </w:pPr>
            <w:r>
              <w:rPr>
                <w:color w:val="auto"/>
                <w:highlight w:val="none"/>
                <w:lang w:eastAsia="en-US"/>
              </w:rPr>
              <w:t>精确形状、尺寸、坐标位置</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D6F37FE">
            <w:pPr>
              <w:pStyle w:val="561"/>
              <w:widowControl w:val="0"/>
              <w:spacing w:before="120" w:after="120" w:line="240" w:lineRule="auto"/>
              <w:ind w:left="31"/>
              <w:rPr>
                <w:color w:val="auto"/>
                <w:highlight w:val="none"/>
                <w:lang w:eastAsia="en-US"/>
              </w:rPr>
            </w:pPr>
            <w:r>
              <w:rPr>
                <w:color w:val="auto"/>
                <w:highlight w:val="none"/>
                <w:lang w:eastAsia="en-US"/>
              </w:rPr>
              <w:t>实际形状、尺寸、坐标位置</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ABA27F1">
            <w:pPr>
              <w:pStyle w:val="561"/>
              <w:widowControl w:val="0"/>
              <w:spacing w:before="120" w:after="120" w:line="240" w:lineRule="auto"/>
              <w:ind w:left="31"/>
              <w:rPr>
                <w:color w:val="auto"/>
                <w:highlight w:val="none"/>
                <w:lang w:eastAsia="en-US"/>
              </w:rPr>
            </w:pPr>
            <w:r>
              <w:rPr>
                <w:color w:val="auto"/>
                <w:highlight w:val="none"/>
                <w:lang w:eastAsia="en-US"/>
              </w:rPr>
              <w:t>实际安装的模型</w:t>
            </w:r>
          </w:p>
        </w:tc>
      </w:tr>
      <w:tr w14:paraId="6E54556B">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342CFD2A">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DD72572">
            <w:pPr>
              <w:pStyle w:val="561"/>
              <w:widowControl w:val="0"/>
              <w:spacing w:before="120" w:after="120" w:line="240" w:lineRule="auto"/>
              <w:ind w:left="31"/>
              <w:rPr>
                <w:color w:val="auto"/>
                <w:highlight w:val="none"/>
                <w:lang w:eastAsia="en-US"/>
              </w:rPr>
            </w:pPr>
            <w:r>
              <w:rPr>
                <w:rFonts w:hint="eastAsia"/>
                <w:color w:val="auto"/>
                <w:highlight w:val="none"/>
                <w:lang w:eastAsia="en-US"/>
              </w:rPr>
              <w:t>注：上述模型精度要求仅作参考，具体精度内容应参考相关合同、行业标准、地方标准的要求。</w:t>
            </w:r>
          </w:p>
        </w:tc>
      </w:tr>
    </w:tbl>
    <w:p w14:paraId="037DD386">
      <w:pPr>
        <w:spacing w:before="120" w:after="120"/>
        <w:ind w:firstLine="260"/>
        <w:rPr>
          <w:rFonts w:ascii="宋体" w:hAnsi="宋体" w:cs="宋体"/>
          <w:color w:val="auto"/>
          <w:sz w:val="13"/>
          <w:szCs w:val="13"/>
          <w:highlight w:val="none"/>
        </w:rPr>
        <w:sectPr>
          <w:pgSz w:w="16840" w:h="11910" w:orient="landscape"/>
          <w:pgMar w:top="1440" w:right="1800" w:bottom="1440" w:left="1800" w:header="907" w:footer="953" w:gutter="0"/>
          <w:pgNumType w:fmt="numberInDash"/>
          <w:cols w:space="720" w:num="1"/>
        </w:sectPr>
      </w:pPr>
    </w:p>
    <w:p w14:paraId="20588D23">
      <w:pPr>
        <w:pStyle w:val="584"/>
        <w:spacing w:before="120" w:after="120"/>
        <w:ind w:firstLine="420" w:firstLineChars="200"/>
        <w:rPr>
          <w:color w:val="auto"/>
          <w:highlight w:val="none"/>
        </w:rPr>
      </w:pPr>
      <w:bookmarkStart w:id="304" w:name="_Toc32150"/>
      <w:r>
        <w:rPr>
          <w:color w:val="auto"/>
          <w:highlight w:val="none"/>
        </w:rPr>
        <w:t>3  暖通专业</w:t>
      </w:r>
      <w:bookmarkEnd w:id="304"/>
    </w:p>
    <w:tbl>
      <w:tblPr>
        <w:tblStyle w:val="519"/>
        <w:tblW w:w="4999" w:type="pct"/>
        <w:tblInd w:w="0" w:type="dxa"/>
        <w:tblLayout w:type="autofit"/>
        <w:tblCellMar>
          <w:top w:w="0" w:type="dxa"/>
          <w:left w:w="0" w:type="dxa"/>
          <w:bottom w:w="0" w:type="dxa"/>
          <w:right w:w="0" w:type="dxa"/>
        </w:tblCellMar>
      </w:tblPr>
      <w:tblGrid>
        <w:gridCol w:w="1100"/>
        <w:gridCol w:w="510"/>
        <w:gridCol w:w="1205"/>
        <w:gridCol w:w="2187"/>
        <w:gridCol w:w="2187"/>
        <w:gridCol w:w="2187"/>
        <w:gridCol w:w="2187"/>
        <w:gridCol w:w="1788"/>
      </w:tblGrid>
      <w:tr w14:paraId="3298F304">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FBB407">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28587486">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2F41020E">
            <w:pPr>
              <w:pStyle w:val="561"/>
              <w:widowControl w:val="0"/>
              <w:spacing w:before="120" w:after="120" w:line="240" w:lineRule="auto"/>
              <w:ind w:left="31"/>
              <w:rPr>
                <w:rFonts w:ascii="Times New Roman" w:hAnsi="Times New Roman" w:cs="Times New Roman"/>
                <w:color w:val="auto"/>
                <w:szCs w:val="24"/>
                <w:highlight w:val="none"/>
                <w:lang w:eastAsia="en-US"/>
              </w:rPr>
            </w:pPr>
          </w:p>
          <w:p w14:paraId="7473DD5C">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99617A0">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CC4F67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412F83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7484C47">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7F1A90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219F13B1">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5DE79E4E">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0E157DB5">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05CB0C4">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1C4C71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17C6A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CD85FF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8C31C84">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1E8B843B">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0ECF4D98">
            <w:pPr>
              <w:pStyle w:val="561"/>
              <w:widowControl w:val="0"/>
              <w:spacing w:before="120" w:after="120"/>
              <w:ind w:left="31" w:right="4"/>
              <w:rPr>
                <w:color w:val="auto"/>
                <w:highlight w:val="none"/>
                <w:lang w:eastAsia="en-US"/>
              </w:rPr>
            </w:pPr>
            <w:r>
              <w:rPr>
                <w:rFonts w:hint="eastAsia"/>
                <w:color w:val="auto"/>
                <w:highlight w:val="none"/>
                <w:lang w:eastAsia="en-US"/>
              </w:rPr>
              <w:t>暖通</w:t>
            </w: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A834FF6">
            <w:pPr>
              <w:pStyle w:val="561"/>
              <w:widowControl w:val="0"/>
              <w:spacing w:before="120" w:after="120"/>
              <w:ind w:left="31" w:right="4"/>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1632E17">
            <w:pPr>
              <w:pStyle w:val="561"/>
              <w:widowControl w:val="0"/>
              <w:spacing w:before="120" w:after="120"/>
              <w:ind w:left="31" w:right="4"/>
              <w:rPr>
                <w:color w:val="auto"/>
                <w:highlight w:val="none"/>
                <w:lang w:eastAsia="en-US"/>
              </w:rPr>
            </w:pPr>
            <w:r>
              <w:rPr>
                <w:color w:val="auto"/>
                <w:highlight w:val="none"/>
                <w:lang w:eastAsia="en-US"/>
              </w:rPr>
              <w:t>冷热源设备</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15B25FA">
            <w:pPr>
              <w:pStyle w:val="561"/>
              <w:widowControl w:val="0"/>
              <w:spacing w:before="120" w:after="120" w:line="239" w:lineRule="exact"/>
              <w:ind w:left="31"/>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78CFCF5">
            <w:pPr>
              <w:pStyle w:val="561"/>
              <w:widowControl w:val="0"/>
              <w:spacing w:before="120" w:after="120"/>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F1E2C87">
            <w:pPr>
              <w:pStyle w:val="561"/>
              <w:widowControl w:val="0"/>
              <w:spacing w:before="120" w:after="120"/>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A2D25BE">
            <w:pPr>
              <w:pStyle w:val="561"/>
              <w:widowControl w:val="0"/>
              <w:spacing w:before="120" w:after="120"/>
              <w:ind w:left="31" w:right="4"/>
              <w:rPr>
                <w:color w:val="auto"/>
                <w:highlight w:val="none"/>
                <w:lang w:eastAsia="en-US"/>
              </w:rPr>
            </w:pPr>
            <w:r>
              <w:rPr>
                <w:color w:val="auto"/>
                <w:highlight w:val="none"/>
                <w:lang w:eastAsia="en-US"/>
              </w:rPr>
              <w:t>具体形状、精确尺寸、设备编号、位置、用途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D5282BD">
            <w:pPr>
              <w:pStyle w:val="561"/>
              <w:widowControl w:val="0"/>
              <w:spacing w:before="120" w:after="120" w:line="239" w:lineRule="exact"/>
              <w:ind w:left="31"/>
              <w:rPr>
                <w:color w:val="auto"/>
                <w:highlight w:val="none"/>
                <w:lang w:eastAsia="en-US"/>
              </w:rPr>
            </w:pPr>
            <w:r>
              <w:rPr>
                <w:color w:val="auto"/>
                <w:highlight w:val="none"/>
                <w:lang w:eastAsia="en-US"/>
              </w:rPr>
              <w:t>设备型号、精确尺寸、编号、位置、用途</w:t>
            </w:r>
          </w:p>
        </w:tc>
      </w:tr>
      <w:tr w14:paraId="564004CC">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CE29CAC">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57313F2">
            <w:pPr>
              <w:pStyle w:val="561"/>
              <w:widowControl w:val="0"/>
              <w:spacing w:before="120" w:after="120"/>
              <w:ind w:left="31" w:right="4"/>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810CE19">
            <w:pPr>
              <w:pStyle w:val="561"/>
              <w:widowControl w:val="0"/>
              <w:spacing w:before="120" w:after="120"/>
              <w:ind w:left="31" w:right="4"/>
              <w:rPr>
                <w:color w:val="auto"/>
                <w:highlight w:val="none"/>
                <w:lang w:eastAsia="en-US"/>
              </w:rPr>
            </w:pPr>
            <w:r>
              <w:rPr>
                <w:color w:val="auto"/>
                <w:highlight w:val="none"/>
                <w:lang w:eastAsia="en-US"/>
              </w:rPr>
              <w:t>空调设备</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EE87EA4">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5D3259D">
            <w:pPr>
              <w:pStyle w:val="561"/>
              <w:widowControl w:val="0"/>
              <w:spacing w:before="120" w:after="120"/>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A979B4A">
            <w:pPr>
              <w:pStyle w:val="561"/>
              <w:widowControl w:val="0"/>
              <w:spacing w:before="120" w:after="120"/>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4831AF">
            <w:pPr>
              <w:pStyle w:val="561"/>
              <w:widowControl w:val="0"/>
              <w:spacing w:before="120" w:after="120"/>
              <w:ind w:left="31" w:right="4"/>
              <w:rPr>
                <w:color w:val="auto"/>
                <w:highlight w:val="none"/>
                <w:lang w:eastAsia="en-US"/>
              </w:rPr>
            </w:pPr>
            <w:r>
              <w:rPr>
                <w:color w:val="auto"/>
                <w:highlight w:val="none"/>
                <w:lang w:eastAsia="en-US"/>
              </w:rPr>
              <w:t>具体形状、精确尺寸、设备编号、位置、用途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058E1CE">
            <w:pPr>
              <w:pStyle w:val="561"/>
              <w:widowControl w:val="0"/>
              <w:spacing w:before="120" w:after="120" w:line="239" w:lineRule="exact"/>
              <w:ind w:left="31"/>
              <w:rPr>
                <w:color w:val="auto"/>
                <w:highlight w:val="none"/>
                <w:lang w:eastAsia="en-US"/>
              </w:rPr>
            </w:pPr>
            <w:r>
              <w:rPr>
                <w:color w:val="auto"/>
                <w:highlight w:val="none"/>
                <w:lang w:eastAsia="en-US"/>
              </w:rPr>
              <w:t>设备型号、精确尺寸、编号、位置、用途</w:t>
            </w:r>
          </w:p>
        </w:tc>
      </w:tr>
      <w:tr w14:paraId="1E423106">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5C05217">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C5F17C1">
            <w:pPr>
              <w:pStyle w:val="561"/>
              <w:widowControl w:val="0"/>
              <w:spacing w:before="120" w:after="120"/>
              <w:ind w:left="31" w:right="4"/>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91830D">
            <w:pPr>
              <w:pStyle w:val="561"/>
              <w:widowControl w:val="0"/>
              <w:spacing w:before="120" w:after="120"/>
              <w:ind w:left="31" w:right="4"/>
              <w:rPr>
                <w:color w:val="auto"/>
                <w:highlight w:val="none"/>
                <w:lang w:eastAsia="en-US"/>
              </w:rPr>
            </w:pPr>
            <w:r>
              <w:rPr>
                <w:color w:val="auto"/>
                <w:highlight w:val="none"/>
                <w:lang w:eastAsia="en-US"/>
              </w:rPr>
              <w:t>风机</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C175E5">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CE83165">
            <w:pPr>
              <w:pStyle w:val="561"/>
              <w:widowControl w:val="0"/>
              <w:spacing w:before="120" w:after="120"/>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EE5163D">
            <w:pPr>
              <w:pStyle w:val="561"/>
              <w:widowControl w:val="0"/>
              <w:spacing w:before="120" w:after="120"/>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7DF4CA1">
            <w:pPr>
              <w:pStyle w:val="561"/>
              <w:widowControl w:val="0"/>
              <w:spacing w:before="120" w:after="120"/>
              <w:ind w:left="31" w:right="4"/>
              <w:rPr>
                <w:color w:val="auto"/>
                <w:highlight w:val="none"/>
                <w:lang w:eastAsia="en-US"/>
              </w:rPr>
            </w:pPr>
            <w:r>
              <w:rPr>
                <w:color w:val="auto"/>
                <w:highlight w:val="none"/>
                <w:lang w:eastAsia="en-US"/>
              </w:rPr>
              <w:t>具体形状、精确尺寸、设备编号、位置、用途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E2A61FC">
            <w:pPr>
              <w:pStyle w:val="561"/>
              <w:widowControl w:val="0"/>
              <w:spacing w:before="120" w:after="120" w:line="239" w:lineRule="exact"/>
              <w:ind w:left="31"/>
              <w:rPr>
                <w:color w:val="auto"/>
                <w:highlight w:val="none"/>
                <w:lang w:eastAsia="en-US"/>
              </w:rPr>
            </w:pPr>
            <w:r>
              <w:rPr>
                <w:color w:val="auto"/>
                <w:highlight w:val="none"/>
                <w:lang w:eastAsia="en-US"/>
              </w:rPr>
              <w:t>设备型号、精确尺寸、编号、位置、用途</w:t>
            </w:r>
          </w:p>
        </w:tc>
      </w:tr>
      <w:tr w14:paraId="50D0D352">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D6F1BE9">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0D7010">
            <w:pPr>
              <w:pStyle w:val="561"/>
              <w:widowControl w:val="0"/>
              <w:spacing w:before="120" w:after="120" w:line="240" w:lineRule="auto"/>
              <w:ind w:left="31" w:right="4"/>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AE84BCA">
            <w:pPr>
              <w:pStyle w:val="561"/>
              <w:widowControl w:val="0"/>
              <w:spacing w:before="120" w:after="120"/>
              <w:ind w:left="31" w:right="4"/>
              <w:rPr>
                <w:color w:val="auto"/>
                <w:highlight w:val="none"/>
                <w:lang w:eastAsia="en-US"/>
              </w:rPr>
            </w:pPr>
            <w:r>
              <w:rPr>
                <w:color w:val="auto"/>
                <w:highlight w:val="none"/>
                <w:lang w:eastAsia="en-US"/>
              </w:rPr>
              <w:t>风机盘管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EE7FBA0">
            <w:pPr>
              <w:pStyle w:val="561"/>
              <w:widowControl w:val="0"/>
              <w:spacing w:before="120" w:after="120" w:line="238" w:lineRule="exact"/>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D7C3D57">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53C2295">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D9C451D">
            <w:pPr>
              <w:pStyle w:val="561"/>
              <w:widowControl w:val="0"/>
              <w:spacing w:before="120" w:after="120" w:line="240" w:lineRule="auto"/>
              <w:ind w:left="31" w:right="4"/>
              <w:rPr>
                <w:color w:val="auto"/>
                <w:highlight w:val="none"/>
                <w:lang w:eastAsia="en-US"/>
              </w:rPr>
            </w:pPr>
            <w:r>
              <w:rPr>
                <w:color w:val="auto"/>
                <w:highlight w:val="none"/>
                <w:lang w:eastAsia="en-US"/>
              </w:rPr>
              <w:t>具体形状、精确尺寸、设备编号、位置、用途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CD97526">
            <w:pPr>
              <w:pStyle w:val="561"/>
              <w:widowControl w:val="0"/>
              <w:spacing w:before="120" w:after="120" w:line="239" w:lineRule="exact"/>
              <w:ind w:left="31"/>
              <w:rPr>
                <w:color w:val="auto"/>
                <w:highlight w:val="none"/>
                <w:lang w:eastAsia="en-US"/>
              </w:rPr>
            </w:pPr>
            <w:r>
              <w:rPr>
                <w:color w:val="auto"/>
                <w:highlight w:val="none"/>
                <w:lang w:eastAsia="en-US"/>
              </w:rPr>
              <w:t>设备型号、精确尺寸、编号、位置、用途</w:t>
            </w:r>
          </w:p>
        </w:tc>
      </w:tr>
      <w:tr w14:paraId="7B6D8F39">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409489F">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9A0DB41">
            <w:pPr>
              <w:pStyle w:val="561"/>
              <w:widowControl w:val="0"/>
              <w:spacing w:before="120" w:after="120" w:line="240" w:lineRule="auto"/>
              <w:ind w:left="31" w:right="4"/>
              <w:rPr>
                <w:color w:val="auto"/>
                <w:highlight w:val="none"/>
                <w:lang w:eastAsia="en-US"/>
              </w:rPr>
            </w:pPr>
            <w:r>
              <w:rPr>
                <w:color w:val="auto"/>
                <w:highlight w:val="none"/>
                <w:lang w:eastAsia="en-US"/>
              </w:rPr>
              <w:t>005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EC33FD3">
            <w:pPr>
              <w:pStyle w:val="561"/>
              <w:widowControl w:val="0"/>
              <w:spacing w:before="120" w:after="120"/>
              <w:ind w:left="31" w:right="4"/>
              <w:rPr>
                <w:color w:val="auto"/>
                <w:highlight w:val="none"/>
                <w:lang w:eastAsia="en-US"/>
              </w:rPr>
            </w:pPr>
            <w:r>
              <w:rPr>
                <w:color w:val="auto"/>
                <w:highlight w:val="none"/>
                <w:lang w:eastAsia="en-US"/>
              </w:rPr>
              <w:t>新风风管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6C6AA0D">
            <w:pPr>
              <w:pStyle w:val="561"/>
              <w:widowControl w:val="0"/>
              <w:spacing w:before="120" w:after="120" w:line="239" w:lineRule="exact"/>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1025016">
            <w:pPr>
              <w:pStyle w:val="561"/>
              <w:widowControl w:val="0"/>
              <w:spacing w:before="120" w:after="120" w:line="240" w:lineRule="auto"/>
              <w:ind w:left="31" w:right="4"/>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3EA7FD9">
            <w:pPr>
              <w:pStyle w:val="561"/>
              <w:widowControl w:val="0"/>
              <w:spacing w:before="120" w:after="120" w:line="240" w:lineRule="auto"/>
              <w:ind w:left="31" w:right="4"/>
              <w:rPr>
                <w:color w:val="auto"/>
                <w:highlight w:val="none"/>
                <w:lang w:eastAsia="en-US"/>
              </w:rPr>
            </w:pPr>
            <w:r>
              <w:rPr>
                <w:color w:val="auto"/>
                <w:highlight w:val="none"/>
                <w:lang w:eastAsia="en-US"/>
              </w:rPr>
              <w:t>具有精确尺寸、定位、管材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FF65F58">
            <w:pPr>
              <w:pStyle w:val="561"/>
              <w:widowControl w:val="0"/>
              <w:spacing w:before="120" w:after="120" w:line="240" w:lineRule="auto"/>
              <w:ind w:left="31" w:right="4"/>
              <w:rPr>
                <w:color w:val="auto"/>
                <w:highlight w:val="none"/>
                <w:lang w:eastAsia="en-US"/>
              </w:rPr>
            </w:pPr>
            <w:r>
              <w:rPr>
                <w:color w:val="auto"/>
                <w:highlight w:val="none"/>
                <w:lang w:eastAsia="en-US"/>
              </w:rPr>
              <w:t>具有实际尺寸、位置、管材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0E2A97D">
            <w:pPr>
              <w:pStyle w:val="561"/>
              <w:widowControl w:val="0"/>
              <w:spacing w:before="120" w:after="120" w:line="239" w:lineRule="exact"/>
              <w:ind w:left="31"/>
              <w:rPr>
                <w:color w:val="auto"/>
                <w:highlight w:val="none"/>
                <w:lang w:eastAsia="en-US"/>
              </w:rPr>
            </w:pPr>
            <w:r>
              <w:rPr>
                <w:color w:val="auto"/>
                <w:highlight w:val="none"/>
                <w:lang w:eastAsia="en-US"/>
              </w:rPr>
              <w:t>精确尺寸，管材，连接件最终尺寸</w:t>
            </w:r>
          </w:p>
        </w:tc>
      </w:tr>
      <w:tr w14:paraId="7D36CD70">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CC1A7F4">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530C3C8">
            <w:pPr>
              <w:pStyle w:val="561"/>
              <w:widowControl w:val="0"/>
              <w:spacing w:before="120" w:after="120" w:line="240" w:lineRule="auto"/>
              <w:ind w:left="31" w:right="4"/>
              <w:rPr>
                <w:color w:val="auto"/>
                <w:highlight w:val="none"/>
                <w:lang w:eastAsia="en-US"/>
              </w:rPr>
            </w:pPr>
            <w:r>
              <w:rPr>
                <w:color w:val="auto"/>
                <w:highlight w:val="none"/>
                <w:lang w:eastAsia="en-US"/>
              </w:rPr>
              <w:t>006</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3E67C38">
            <w:pPr>
              <w:pStyle w:val="561"/>
              <w:widowControl w:val="0"/>
              <w:spacing w:before="120" w:after="120"/>
              <w:ind w:left="31" w:right="4"/>
              <w:rPr>
                <w:color w:val="auto"/>
                <w:highlight w:val="none"/>
                <w:lang w:eastAsia="en-US"/>
              </w:rPr>
            </w:pPr>
            <w:r>
              <w:rPr>
                <w:color w:val="auto"/>
                <w:highlight w:val="none"/>
                <w:lang w:eastAsia="en-US"/>
              </w:rPr>
              <w:t>回风风管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4F5D169">
            <w:pPr>
              <w:pStyle w:val="561"/>
              <w:widowControl w:val="0"/>
              <w:spacing w:before="120" w:after="120" w:line="239" w:lineRule="exact"/>
              <w:ind w:left="31" w:right="4"/>
              <w:rPr>
                <w:color w:val="auto"/>
                <w:highlight w:val="none"/>
                <w:lang w:eastAsia="en-US"/>
              </w:rPr>
            </w:pPr>
            <w:r>
              <w:rPr>
                <w:color w:val="auto"/>
                <w:highlight w:val="none"/>
                <w:lang w:eastAsia="en-US"/>
              </w:rPr>
              <w:t>无模型，成本或其他性</w:t>
            </w:r>
          </w:p>
          <w:p w14:paraId="3C98C2AE">
            <w:pPr>
              <w:pStyle w:val="561"/>
              <w:widowControl w:val="0"/>
              <w:spacing w:before="120" w:after="120" w:line="240" w:lineRule="auto"/>
              <w:ind w:left="31" w:right="4"/>
              <w:rPr>
                <w:color w:val="auto"/>
                <w:highlight w:val="none"/>
                <w:lang w:eastAsia="en-US"/>
              </w:rPr>
            </w:pPr>
            <w:r>
              <w:rPr>
                <w:color w:val="auto"/>
                <w:highlight w:val="none"/>
                <w:lang w:eastAsia="en-US"/>
              </w:rPr>
              <w:t>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2B58009">
            <w:pPr>
              <w:pStyle w:val="561"/>
              <w:widowControl w:val="0"/>
              <w:spacing w:before="120" w:after="120" w:line="240" w:lineRule="auto"/>
              <w:ind w:left="31" w:right="4"/>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08DFCDF">
            <w:pPr>
              <w:pStyle w:val="561"/>
              <w:widowControl w:val="0"/>
              <w:spacing w:before="120" w:after="120" w:line="240" w:lineRule="auto"/>
              <w:ind w:left="31" w:right="4"/>
              <w:rPr>
                <w:color w:val="auto"/>
                <w:highlight w:val="none"/>
                <w:lang w:eastAsia="en-US"/>
              </w:rPr>
            </w:pPr>
            <w:r>
              <w:rPr>
                <w:color w:val="auto"/>
                <w:highlight w:val="none"/>
                <w:lang w:eastAsia="en-US"/>
              </w:rPr>
              <w:t>具有精确尺寸、定位、管材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DB036D0">
            <w:pPr>
              <w:pStyle w:val="561"/>
              <w:widowControl w:val="0"/>
              <w:spacing w:before="120" w:after="120" w:line="240" w:lineRule="auto"/>
              <w:ind w:left="31" w:right="4"/>
              <w:rPr>
                <w:color w:val="auto"/>
                <w:highlight w:val="none"/>
                <w:lang w:eastAsia="en-US"/>
              </w:rPr>
            </w:pPr>
            <w:r>
              <w:rPr>
                <w:color w:val="auto"/>
                <w:highlight w:val="none"/>
                <w:lang w:eastAsia="en-US"/>
              </w:rPr>
              <w:t>具有实际尺寸、位置、管材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059914">
            <w:pPr>
              <w:pStyle w:val="561"/>
              <w:widowControl w:val="0"/>
              <w:spacing w:before="120" w:after="120" w:line="239" w:lineRule="exact"/>
              <w:ind w:left="31"/>
              <w:rPr>
                <w:color w:val="auto"/>
                <w:highlight w:val="none"/>
                <w:lang w:eastAsia="en-US"/>
              </w:rPr>
            </w:pPr>
            <w:r>
              <w:rPr>
                <w:color w:val="auto"/>
                <w:highlight w:val="none"/>
                <w:lang w:eastAsia="en-US"/>
              </w:rPr>
              <w:t>精确尺寸，管材，连接件最终尺寸</w:t>
            </w:r>
          </w:p>
        </w:tc>
      </w:tr>
      <w:tr w14:paraId="2302F662">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780760E">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65ED576">
            <w:pPr>
              <w:pStyle w:val="561"/>
              <w:widowControl w:val="0"/>
              <w:spacing w:before="120" w:after="120" w:line="240" w:lineRule="auto"/>
              <w:ind w:left="31" w:right="4"/>
              <w:rPr>
                <w:color w:val="auto"/>
                <w:highlight w:val="none"/>
                <w:lang w:eastAsia="en-US"/>
              </w:rPr>
            </w:pPr>
            <w:r>
              <w:rPr>
                <w:color w:val="auto"/>
                <w:highlight w:val="none"/>
                <w:lang w:eastAsia="en-US"/>
              </w:rPr>
              <w:t>007</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8469661">
            <w:pPr>
              <w:pStyle w:val="561"/>
              <w:widowControl w:val="0"/>
              <w:spacing w:before="120" w:after="120" w:line="240" w:lineRule="auto"/>
              <w:ind w:left="31" w:right="4"/>
              <w:rPr>
                <w:color w:val="auto"/>
                <w:highlight w:val="none"/>
                <w:lang w:eastAsia="en-US"/>
              </w:rPr>
            </w:pPr>
            <w:r>
              <w:rPr>
                <w:color w:val="auto"/>
                <w:highlight w:val="none"/>
                <w:lang w:eastAsia="en-US"/>
              </w:rPr>
              <w:t>排风排烟风管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2E2BA70">
            <w:pPr>
              <w:pStyle w:val="561"/>
              <w:widowControl w:val="0"/>
              <w:spacing w:before="120" w:after="120" w:line="240" w:lineRule="exact"/>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485D0F5">
            <w:pPr>
              <w:pStyle w:val="561"/>
              <w:widowControl w:val="0"/>
              <w:spacing w:before="120" w:after="120" w:line="240" w:lineRule="auto"/>
              <w:ind w:left="31" w:right="4"/>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54097C2">
            <w:pPr>
              <w:pStyle w:val="561"/>
              <w:widowControl w:val="0"/>
              <w:spacing w:before="120" w:after="120" w:line="240" w:lineRule="auto"/>
              <w:ind w:left="31" w:right="4"/>
              <w:rPr>
                <w:color w:val="auto"/>
                <w:highlight w:val="none"/>
                <w:lang w:eastAsia="en-US"/>
              </w:rPr>
            </w:pPr>
            <w:r>
              <w:rPr>
                <w:color w:val="auto"/>
                <w:highlight w:val="none"/>
                <w:lang w:eastAsia="en-US"/>
              </w:rPr>
              <w:t>具有精确尺寸、定位、管材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1878081">
            <w:pPr>
              <w:pStyle w:val="561"/>
              <w:widowControl w:val="0"/>
              <w:spacing w:before="120" w:after="120" w:line="240" w:lineRule="auto"/>
              <w:ind w:left="31" w:right="4"/>
              <w:rPr>
                <w:color w:val="auto"/>
                <w:highlight w:val="none"/>
                <w:lang w:eastAsia="en-US"/>
              </w:rPr>
            </w:pPr>
            <w:r>
              <w:rPr>
                <w:color w:val="auto"/>
                <w:highlight w:val="none"/>
                <w:lang w:eastAsia="en-US"/>
              </w:rPr>
              <w:t>具有实际尺寸、位置、管材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F2E574D">
            <w:pPr>
              <w:pStyle w:val="561"/>
              <w:widowControl w:val="0"/>
              <w:spacing w:before="120" w:after="120" w:line="239" w:lineRule="exact"/>
              <w:ind w:left="31"/>
              <w:rPr>
                <w:color w:val="auto"/>
                <w:highlight w:val="none"/>
                <w:lang w:eastAsia="en-US"/>
              </w:rPr>
            </w:pPr>
            <w:r>
              <w:rPr>
                <w:color w:val="auto"/>
                <w:highlight w:val="none"/>
                <w:lang w:eastAsia="en-US"/>
              </w:rPr>
              <w:t>精确尺寸，管材，连接件最终尺寸</w:t>
            </w:r>
          </w:p>
        </w:tc>
      </w:tr>
      <w:tr w14:paraId="6AA7418E">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2A42430">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9053C92">
            <w:pPr>
              <w:pStyle w:val="561"/>
              <w:widowControl w:val="0"/>
              <w:spacing w:before="120" w:after="120" w:line="240" w:lineRule="auto"/>
              <w:ind w:left="31" w:right="4"/>
              <w:rPr>
                <w:color w:val="auto"/>
                <w:highlight w:val="none"/>
                <w:lang w:eastAsia="en-US"/>
              </w:rPr>
            </w:pPr>
            <w:r>
              <w:rPr>
                <w:color w:val="auto"/>
                <w:highlight w:val="none"/>
                <w:lang w:eastAsia="en-US"/>
              </w:rPr>
              <w:t>008</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CCD0FF">
            <w:pPr>
              <w:pStyle w:val="561"/>
              <w:widowControl w:val="0"/>
              <w:spacing w:before="120" w:after="120" w:line="240" w:lineRule="auto"/>
              <w:ind w:left="31" w:right="4"/>
              <w:rPr>
                <w:color w:val="auto"/>
                <w:highlight w:val="none"/>
                <w:lang w:eastAsia="en-US"/>
              </w:rPr>
            </w:pPr>
            <w:r>
              <w:rPr>
                <w:color w:val="auto"/>
                <w:highlight w:val="none"/>
                <w:lang w:eastAsia="en-US"/>
              </w:rPr>
              <w:t>冷热媒水管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C6372D5">
            <w:pPr>
              <w:pStyle w:val="561"/>
              <w:widowControl w:val="0"/>
              <w:spacing w:before="120" w:after="120" w:line="239" w:lineRule="exact"/>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5F67600">
            <w:pPr>
              <w:pStyle w:val="561"/>
              <w:widowControl w:val="0"/>
              <w:spacing w:before="120" w:after="120" w:line="240" w:lineRule="auto"/>
              <w:ind w:left="31" w:right="4"/>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3791D11">
            <w:pPr>
              <w:pStyle w:val="561"/>
              <w:widowControl w:val="0"/>
              <w:spacing w:before="120" w:after="120" w:line="240" w:lineRule="auto"/>
              <w:ind w:left="31" w:right="4"/>
              <w:rPr>
                <w:color w:val="auto"/>
                <w:highlight w:val="none"/>
                <w:lang w:eastAsia="en-US"/>
              </w:rPr>
            </w:pPr>
            <w:r>
              <w:rPr>
                <w:color w:val="auto"/>
                <w:highlight w:val="none"/>
                <w:lang w:eastAsia="en-US"/>
              </w:rPr>
              <w:t>具有精确尺寸、定位、管材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9F35A9F">
            <w:pPr>
              <w:pStyle w:val="561"/>
              <w:widowControl w:val="0"/>
              <w:spacing w:before="120" w:after="120" w:line="240" w:lineRule="auto"/>
              <w:ind w:left="31" w:right="4"/>
              <w:rPr>
                <w:color w:val="auto"/>
                <w:highlight w:val="none"/>
                <w:lang w:eastAsia="en-US"/>
              </w:rPr>
            </w:pPr>
            <w:r>
              <w:rPr>
                <w:color w:val="auto"/>
                <w:highlight w:val="none"/>
                <w:lang w:eastAsia="en-US"/>
              </w:rPr>
              <w:t>具有实际尺寸、位置、管材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CBF117E">
            <w:pPr>
              <w:pStyle w:val="561"/>
              <w:widowControl w:val="0"/>
              <w:spacing w:before="120" w:after="120" w:line="239" w:lineRule="exact"/>
              <w:ind w:left="31"/>
              <w:rPr>
                <w:color w:val="auto"/>
                <w:highlight w:val="none"/>
                <w:lang w:eastAsia="en-US"/>
              </w:rPr>
            </w:pPr>
            <w:r>
              <w:rPr>
                <w:color w:val="auto"/>
                <w:highlight w:val="none"/>
                <w:lang w:eastAsia="en-US"/>
              </w:rPr>
              <w:t>精确尺寸，管材，连接件最终尺寸</w:t>
            </w:r>
          </w:p>
        </w:tc>
      </w:tr>
      <w:tr w14:paraId="12019C75">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6FF8A5DF">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0F9878E">
            <w:pPr>
              <w:pStyle w:val="561"/>
              <w:widowControl w:val="0"/>
              <w:spacing w:before="120" w:after="120" w:line="240" w:lineRule="auto"/>
              <w:ind w:left="31" w:right="4"/>
              <w:rPr>
                <w:color w:val="auto"/>
                <w:highlight w:val="none"/>
                <w:lang w:eastAsia="en-US"/>
              </w:rPr>
            </w:pPr>
            <w:r>
              <w:rPr>
                <w:color w:val="auto"/>
                <w:highlight w:val="none"/>
                <w:lang w:eastAsia="en-US"/>
              </w:rPr>
              <w:t>009</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544CF02">
            <w:pPr>
              <w:pStyle w:val="561"/>
              <w:widowControl w:val="0"/>
              <w:spacing w:before="120" w:after="120" w:line="240" w:lineRule="auto"/>
              <w:ind w:left="31" w:right="4"/>
              <w:rPr>
                <w:color w:val="auto"/>
                <w:highlight w:val="none"/>
                <w:lang w:eastAsia="en-US"/>
              </w:rPr>
            </w:pPr>
            <w:r>
              <w:rPr>
                <w:color w:val="auto"/>
                <w:highlight w:val="none"/>
                <w:lang w:eastAsia="en-US"/>
              </w:rPr>
              <w:t>水泵</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5CAA911">
            <w:pPr>
              <w:pStyle w:val="561"/>
              <w:widowControl w:val="0"/>
              <w:spacing w:before="120" w:after="120" w:line="240" w:lineRule="exact"/>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00ED6B">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A58C8D0">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62CB7C3">
            <w:pPr>
              <w:pStyle w:val="561"/>
              <w:widowControl w:val="0"/>
              <w:spacing w:before="120" w:after="120" w:line="240" w:lineRule="auto"/>
              <w:ind w:left="31" w:right="4"/>
              <w:rPr>
                <w:color w:val="auto"/>
                <w:highlight w:val="none"/>
                <w:lang w:eastAsia="en-US"/>
              </w:rPr>
            </w:pPr>
            <w:r>
              <w:rPr>
                <w:color w:val="auto"/>
                <w:highlight w:val="none"/>
                <w:lang w:eastAsia="en-US"/>
              </w:rPr>
              <w:t>具体形状、精确尺寸、设备编号、位置、用途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E2B206F">
            <w:pPr>
              <w:pStyle w:val="561"/>
              <w:widowControl w:val="0"/>
              <w:spacing w:before="120" w:after="120" w:line="240" w:lineRule="exact"/>
              <w:ind w:left="31" w:right="4"/>
              <w:rPr>
                <w:color w:val="auto"/>
                <w:highlight w:val="none"/>
                <w:lang w:eastAsia="en-US"/>
              </w:rPr>
            </w:pPr>
            <w:r>
              <w:rPr>
                <w:color w:val="auto"/>
                <w:highlight w:val="none"/>
                <w:lang w:eastAsia="en-US"/>
              </w:rPr>
              <w:t>设备型号、精确尺寸、编号、位置、用途</w:t>
            </w:r>
          </w:p>
        </w:tc>
      </w:tr>
      <w:tr w14:paraId="35092C85">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D9ACE49">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B9DCC7B">
            <w:pPr>
              <w:pStyle w:val="561"/>
              <w:widowControl w:val="0"/>
              <w:spacing w:before="120" w:after="120" w:line="240" w:lineRule="auto"/>
              <w:ind w:left="31" w:right="4"/>
              <w:rPr>
                <w:color w:val="auto"/>
                <w:highlight w:val="none"/>
                <w:lang w:eastAsia="en-US"/>
              </w:rPr>
            </w:pPr>
            <w:r>
              <w:rPr>
                <w:color w:val="auto"/>
                <w:highlight w:val="none"/>
                <w:lang w:eastAsia="en-US"/>
              </w:rPr>
              <w:t>010</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A60668C">
            <w:pPr>
              <w:pStyle w:val="561"/>
              <w:widowControl w:val="0"/>
              <w:spacing w:before="120" w:after="120" w:line="240" w:lineRule="auto"/>
              <w:ind w:left="31" w:right="4"/>
              <w:rPr>
                <w:color w:val="auto"/>
                <w:highlight w:val="none"/>
                <w:lang w:eastAsia="en-US"/>
              </w:rPr>
            </w:pPr>
            <w:r>
              <w:rPr>
                <w:color w:val="auto"/>
                <w:highlight w:val="none"/>
                <w:lang w:eastAsia="en-US"/>
              </w:rPr>
              <w:t>排烟阀、防火阀</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C5210DD">
            <w:pPr>
              <w:pStyle w:val="561"/>
              <w:widowControl w:val="0"/>
              <w:spacing w:before="120" w:after="120" w:line="239" w:lineRule="exact"/>
              <w:ind w:left="87" w:hanging="56"/>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EAB1EEA">
            <w:pPr>
              <w:pStyle w:val="561"/>
              <w:widowControl w:val="0"/>
              <w:spacing w:before="120" w:after="120" w:line="240" w:lineRule="auto"/>
              <w:ind w:left="31" w:right="4"/>
              <w:rPr>
                <w:color w:val="auto"/>
                <w:highlight w:val="none"/>
                <w:lang w:eastAsia="en-US"/>
              </w:rPr>
            </w:pPr>
            <w:r>
              <w:rPr>
                <w:color w:val="auto"/>
                <w:highlight w:val="none"/>
                <w:lang w:eastAsia="en-US"/>
              </w:rPr>
              <w:t>类似形状</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C0C97EC">
            <w:pPr>
              <w:pStyle w:val="561"/>
              <w:widowControl w:val="0"/>
              <w:spacing w:before="120" w:after="120" w:line="240" w:lineRule="auto"/>
              <w:ind w:left="31" w:right="4"/>
              <w:rPr>
                <w:color w:val="auto"/>
                <w:highlight w:val="none"/>
                <w:lang w:eastAsia="en-US"/>
              </w:rPr>
            </w:pPr>
            <w:r>
              <w:rPr>
                <w:color w:val="auto"/>
                <w:highlight w:val="none"/>
                <w:lang w:eastAsia="en-US"/>
              </w:rPr>
              <w:t>具体规格形状，阀门类型，用途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D9FBA5">
            <w:pPr>
              <w:pStyle w:val="561"/>
              <w:widowControl w:val="0"/>
              <w:spacing w:before="120" w:after="120" w:line="240" w:lineRule="auto"/>
              <w:ind w:left="31" w:right="4"/>
              <w:rPr>
                <w:color w:val="auto"/>
                <w:highlight w:val="none"/>
                <w:lang w:eastAsia="en-US"/>
              </w:rPr>
            </w:pPr>
            <w:r>
              <w:rPr>
                <w:color w:val="auto"/>
                <w:highlight w:val="none"/>
                <w:lang w:eastAsia="en-US"/>
              </w:rPr>
              <w:t>具体规格形状，阀门类型，用途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C546B9A">
            <w:pPr>
              <w:pStyle w:val="561"/>
              <w:widowControl w:val="0"/>
              <w:spacing w:before="120" w:after="120" w:line="240" w:lineRule="exact"/>
              <w:ind w:left="31" w:right="4"/>
              <w:rPr>
                <w:color w:val="auto"/>
                <w:highlight w:val="none"/>
                <w:lang w:eastAsia="en-US"/>
              </w:rPr>
            </w:pPr>
            <w:r>
              <w:rPr>
                <w:color w:val="auto"/>
                <w:highlight w:val="none"/>
                <w:lang w:eastAsia="en-US"/>
              </w:rPr>
              <w:t>厂家、型号、编号、位置</w:t>
            </w:r>
          </w:p>
        </w:tc>
      </w:tr>
      <w:tr w14:paraId="79623AE0">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83C984B">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8F0047B">
            <w:pPr>
              <w:pStyle w:val="561"/>
              <w:widowControl w:val="0"/>
              <w:spacing w:before="120" w:after="120" w:line="240" w:lineRule="auto"/>
              <w:ind w:left="31" w:right="4"/>
              <w:rPr>
                <w:color w:val="auto"/>
                <w:highlight w:val="none"/>
                <w:lang w:eastAsia="en-US"/>
              </w:rPr>
            </w:pPr>
            <w:r>
              <w:rPr>
                <w:color w:val="auto"/>
                <w:highlight w:val="none"/>
                <w:lang w:eastAsia="en-US"/>
              </w:rPr>
              <w:t>011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8FD910">
            <w:pPr>
              <w:pStyle w:val="561"/>
              <w:widowControl w:val="0"/>
              <w:spacing w:before="120" w:after="120" w:line="240" w:lineRule="auto"/>
              <w:ind w:left="31" w:right="4"/>
              <w:rPr>
                <w:color w:val="auto"/>
                <w:highlight w:val="none"/>
                <w:lang w:eastAsia="en-US"/>
              </w:rPr>
            </w:pPr>
            <w:r>
              <w:rPr>
                <w:color w:val="auto"/>
                <w:highlight w:val="none"/>
                <w:lang w:eastAsia="en-US"/>
              </w:rPr>
              <w:t>各类阀门</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B2C99C">
            <w:pPr>
              <w:pStyle w:val="561"/>
              <w:widowControl w:val="0"/>
              <w:spacing w:before="120" w:after="120" w:line="240" w:lineRule="exact"/>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79622F">
            <w:pPr>
              <w:pStyle w:val="561"/>
              <w:widowControl w:val="0"/>
              <w:spacing w:before="120" w:after="120" w:line="240" w:lineRule="auto"/>
              <w:ind w:left="31" w:right="4"/>
              <w:rPr>
                <w:color w:val="auto"/>
                <w:highlight w:val="none"/>
                <w:lang w:eastAsia="en-US"/>
              </w:rPr>
            </w:pPr>
            <w:r>
              <w:rPr>
                <w:color w:val="auto"/>
                <w:highlight w:val="none"/>
                <w:lang w:eastAsia="en-US"/>
              </w:rPr>
              <w:t>类似形状</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E0C8D1A">
            <w:pPr>
              <w:pStyle w:val="561"/>
              <w:widowControl w:val="0"/>
              <w:spacing w:before="120" w:after="120" w:line="240" w:lineRule="auto"/>
              <w:ind w:left="31" w:right="4"/>
              <w:rPr>
                <w:color w:val="auto"/>
                <w:highlight w:val="none"/>
                <w:lang w:eastAsia="en-US"/>
              </w:rPr>
            </w:pPr>
            <w:r>
              <w:rPr>
                <w:color w:val="auto"/>
                <w:highlight w:val="none"/>
                <w:lang w:eastAsia="en-US"/>
              </w:rPr>
              <w:t>具体规格形状，阀门类型，用途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1D0493F">
            <w:pPr>
              <w:pStyle w:val="561"/>
              <w:widowControl w:val="0"/>
              <w:spacing w:before="120" w:after="120" w:line="240" w:lineRule="auto"/>
              <w:ind w:left="31" w:right="4"/>
              <w:rPr>
                <w:color w:val="auto"/>
                <w:highlight w:val="none"/>
                <w:lang w:eastAsia="en-US"/>
              </w:rPr>
            </w:pPr>
            <w:r>
              <w:rPr>
                <w:color w:val="auto"/>
                <w:highlight w:val="none"/>
                <w:lang w:eastAsia="en-US"/>
              </w:rPr>
              <w:t>具体规格形状，阀门类型，用途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1C5115">
            <w:pPr>
              <w:pStyle w:val="561"/>
              <w:widowControl w:val="0"/>
              <w:spacing w:before="120" w:after="120" w:line="240" w:lineRule="exact"/>
              <w:ind w:left="31" w:right="4"/>
              <w:rPr>
                <w:color w:val="auto"/>
                <w:highlight w:val="none"/>
                <w:lang w:eastAsia="en-US"/>
              </w:rPr>
            </w:pPr>
            <w:r>
              <w:rPr>
                <w:color w:val="auto"/>
                <w:highlight w:val="none"/>
                <w:lang w:eastAsia="en-US"/>
              </w:rPr>
              <w:t>厂家、型号、编号、位置</w:t>
            </w:r>
          </w:p>
        </w:tc>
      </w:tr>
      <w:tr w14:paraId="7A98D1C3">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7487F1D9">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5DD16C8">
            <w:pPr>
              <w:pStyle w:val="561"/>
              <w:widowControl w:val="0"/>
              <w:spacing w:before="120" w:after="120" w:line="240" w:lineRule="auto"/>
              <w:ind w:left="31" w:right="4"/>
              <w:rPr>
                <w:color w:val="auto"/>
                <w:highlight w:val="none"/>
                <w:lang w:eastAsia="en-US"/>
              </w:rPr>
            </w:pPr>
            <w:r>
              <w:rPr>
                <w:color w:val="auto"/>
                <w:highlight w:val="none"/>
                <w:lang w:eastAsia="en-US"/>
              </w:rPr>
              <w:t>012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7168B86">
            <w:pPr>
              <w:pStyle w:val="561"/>
              <w:widowControl w:val="0"/>
              <w:spacing w:before="120" w:after="120" w:line="240" w:lineRule="auto"/>
              <w:ind w:left="31" w:right="4"/>
              <w:rPr>
                <w:color w:val="auto"/>
                <w:highlight w:val="none"/>
                <w:lang w:eastAsia="en-US"/>
              </w:rPr>
            </w:pPr>
            <w:r>
              <w:rPr>
                <w:color w:val="auto"/>
                <w:highlight w:val="none"/>
                <w:lang w:eastAsia="en-US"/>
              </w:rPr>
              <w:t>散流器</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5071A7">
            <w:pPr>
              <w:pStyle w:val="561"/>
              <w:widowControl w:val="0"/>
              <w:spacing w:before="120" w:after="120" w:line="240" w:lineRule="exact"/>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8ED4405">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D405FE3">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B62E601">
            <w:pPr>
              <w:pStyle w:val="561"/>
              <w:widowControl w:val="0"/>
              <w:spacing w:before="120" w:after="120" w:line="240" w:lineRule="auto"/>
              <w:ind w:left="31" w:right="4"/>
              <w:rPr>
                <w:color w:val="auto"/>
                <w:highlight w:val="none"/>
                <w:lang w:eastAsia="en-US"/>
              </w:rPr>
            </w:pPr>
            <w:r>
              <w:rPr>
                <w:color w:val="auto"/>
                <w:highlight w:val="none"/>
                <w:lang w:eastAsia="en-US"/>
              </w:rPr>
              <w:t>具体形状、精确尺寸、设备编号、位置、用途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B7708BA">
            <w:pPr>
              <w:pStyle w:val="561"/>
              <w:widowControl w:val="0"/>
              <w:spacing w:before="120" w:after="120" w:line="239" w:lineRule="exact"/>
              <w:ind w:left="31"/>
              <w:rPr>
                <w:color w:val="auto"/>
                <w:highlight w:val="none"/>
                <w:lang w:eastAsia="en-US"/>
              </w:rPr>
            </w:pPr>
            <w:r>
              <w:rPr>
                <w:color w:val="auto"/>
                <w:highlight w:val="none"/>
                <w:lang w:eastAsia="en-US"/>
              </w:rPr>
              <w:t>设备型号、精确尺寸、编号、位置、用途</w:t>
            </w:r>
          </w:p>
        </w:tc>
      </w:tr>
      <w:tr w14:paraId="7A655ACF">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5CFD1984">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1C5577C">
            <w:pPr>
              <w:pStyle w:val="561"/>
              <w:widowControl w:val="0"/>
              <w:spacing w:before="120" w:after="120" w:line="240" w:lineRule="auto"/>
              <w:ind w:left="31" w:right="4"/>
              <w:rPr>
                <w:color w:val="auto"/>
                <w:highlight w:val="none"/>
                <w:lang w:eastAsia="en-US"/>
              </w:rPr>
            </w:pPr>
            <w:r>
              <w:rPr>
                <w:color w:val="auto"/>
                <w:highlight w:val="none"/>
                <w:lang w:eastAsia="en-US"/>
              </w:rPr>
              <w:t>013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35781B0">
            <w:pPr>
              <w:pStyle w:val="561"/>
              <w:widowControl w:val="0"/>
              <w:spacing w:before="120" w:after="120" w:line="240" w:lineRule="auto"/>
              <w:ind w:left="31" w:right="4"/>
              <w:rPr>
                <w:color w:val="auto"/>
                <w:highlight w:val="none"/>
                <w:lang w:eastAsia="en-US"/>
              </w:rPr>
            </w:pPr>
            <w:r>
              <w:rPr>
                <w:color w:val="auto"/>
                <w:highlight w:val="none"/>
                <w:lang w:eastAsia="en-US"/>
              </w:rPr>
              <w:t>排风口</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4D0219F">
            <w:pPr>
              <w:pStyle w:val="561"/>
              <w:widowControl w:val="0"/>
              <w:spacing w:before="120" w:after="120" w:line="240" w:lineRule="exact"/>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1F876DE">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BEAB1B2">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F5B8678">
            <w:pPr>
              <w:pStyle w:val="561"/>
              <w:widowControl w:val="0"/>
              <w:spacing w:before="120" w:after="120" w:line="240" w:lineRule="auto"/>
              <w:ind w:left="31" w:right="4"/>
              <w:rPr>
                <w:color w:val="auto"/>
                <w:highlight w:val="none"/>
                <w:lang w:eastAsia="en-US"/>
              </w:rPr>
            </w:pPr>
            <w:r>
              <w:rPr>
                <w:color w:val="auto"/>
                <w:highlight w:val="none"/>
                <w:lang w:eastAsia="en-US"/>
              </w:rPr>
              <w:t>具体形状、精确尺寸、设备编号、位置、用途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A87CF2B">
            <w:pPr>
              <w:pStyle w:val="561"/>
              <w:widowControl w:val="0"/>
              <w:spacing w:before="120" w:after="120" w:line="240" w:lineRule="exact"/>
              <w:ind w:left="31"/>
              <w:rPr>
                <w:color w:val="auto"/>
                <w:highlight w:val="none"/>
                <w:lang w:eastAsia="en-US"/>
              </w:rPr>
            </w:pPr>
            <w:r>
              <w:rPr>
                <w:color w:val="auto"/>
                <w:highlight w:val="none"/>
                <w:lang w:eastAsia="en-US"/>
              </w:rPr>
              <w:t>设备型号、精确尺寸、编号、位置、用途</w:t>
            </w:r>
          </w:p>
        </w:tc>
      </w:tr>
      <w:tr w14:paraId="087CA8C7">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A69F596">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D05B373">
            <w:pPr>
              <w:pStyle w:val="561"/>
              <w:widowControl w:val="0"/>
              <w:spacing w:before="120" w:after="120" w:line="240" w:lineRule="auto"/>
              <w:ind w:left="31" w:right="4"/>
              <w:rPr>
                <w:color w:val="auto"/>
                <w:highlight w:val="none"/>
                <w:lang w:eastAsia="en-US"/>
              </w:rPr>
            </w:pPr>
            <w:r>
              <w:rPr>
                <w:color w:val="auto"/>
                <w:highlight w:val="none"/>
                <w:lang w:eastAsia="en-US"/>
              </w:rPr>
              <w:t>014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D1557F6">
            <w:pPr>
              <w:pStyle w:val="561"/>
              <w:widowControl w:val="0"/>
              <w:spacing w:before="120" w:after="120" w:line="240" w:lineRule="auto"/>
              <w:ind w:left="31" w:right="4"/>
              <w:rPr>
                <w:color w:val="auto"/>
                <w:highlight w:val="none"/>
                <w:lang w:eastAsia="en-US"/>
              </w:rPr>
            </w:pPr>
            <w:r>
              <w:rPr>
                <w:color w:val="auto"/>
                <w:highlight w:val="none"/>
                <w:lang w:eastAsia="en-US"/>
              </w:rPr>
              <w:t>回风口</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AE3681">
            <w:pPr>
              <w:pStyle w:val="561"/>
              <w:widowControl w:val="0"/>
              <w:spacing w:before="120" w:after="120" w:line="240" w:lineRule="exact"/>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9C390B1">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79499C8">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932D03">
            <w:pPr>
              <w:pStyle w:val="561"/>
              <w:widowControl w:val="0"/>
              <w:spacing w:before="120" w:after="120" w:line="240" w:lineRule="auto"/>
              <w:ind w:left="31" w:right="4"/>
              <w:rPr>
                <w:color w:val="auto"/>
                <w:highlight w:val="none"/>
                <w:lang w:eastAsia="en-US"/>
              </w:rPr>
            </w:pPr>
            <w:r>
              <w:rPr>
                <w:color w:val="auto"/>
                <w:highlight w:val="none"/>
                <w:lang w:eastAsia="en-US"/>
              </w:rPr>
              <w:t>具体形状、精确尺寸、设备编号、位置、用途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FDB2CC7">
            <w:pPr>
              <w:pStyle w:val="561"/>
              <w:widowControl w:val="0"/>
              <w:spacing w:before="120" w:after="120" w:line="240" w:lineRule="exact"/>
              <w:ind w:left="31"/>
              <w:rPr>
                <w:color w:val="auto"/>
                <w:highlight w:val="none"/>
                <w:lang w:eastAsia="en-US"/>
              </w:rPr>
            </w:pPr>
            <w:r>
              <w:rPr>
                <w:color w:val="auto"/>
                <w:highlight w:val="none"/>
                <w:lang w:eastAsia="en-US"/>
              </w:rPr>
              <w:t>设备型号、精确尺寸、编号、位置、用途</w:t>
            </w:r>
          </w:p>
        </w:tc>
      </w:tr>
      <w:tr w14:paraId="47311DF1">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5356DAEB">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14B7CBF">
            <w:pPr>
              <w:pStyle w:val="561"/>
              <w:widowControl w:val="0"/>
              <w:spacing w:before="120" w:after="120" w:line="240" w:lineRule="auto"/>
              <w:ind w:left="31" w:right="4"/>
              <w:rPr>
                <w:color w:val="auto"/>
                <w:highlight w:val="none"/>
                <w:lang w:eastAsia="en-US"/>
              </w:rPr>
            </w:pPr>
            <w:r>
              <w:rPr>
                <w:color w:val="auto"/>
                <w:highlight w:val="none"/>
                <w:lang w:eastAsia="en-US"/>
              </w:rPr>
              <w:t>015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6055541">
            <w:pPr>
              <w:pStyle w:val="561"/>
              <w:widowControl w:val="0"/>
              <w:spacing w:before="120" w:after="120" w:line="240" w:lineRule="auto"/>
              <w:ind w:left="31" w:right="4"/>
              <w:rPr>
                <w:color w:val="auto"/>
                <w:highlight w:val="none"/>
                <w:lang w:eastAsia="en-US"/>
              </w:rPr>
            </w:pPr>
            <w:r>
              <w:rPr>
                <w:color w:val="auto"/>
                <w:highlight w:val="none"/>
                <w:lang w:eastAsia="en-US"/>
              </w:rPr>
              <w:t>静压箱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FF23EED">
            <w:pPr>
              <w:pStyle w:val="561"/>
              <w:widowControl w:val="0"/>
              <w:spacing w:before="120" w:after="120" w:line="240" w:lineRule="exact"/>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DB54A8C">
            <w:pPr>
              <w:pStyle w:val="561"/>
              <w:widowControl w:val="0"/>
              <w:spacing w:before="120" w:after="120" w:line="240" w:lineRule="exact"/>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219796C">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171EA1E">
            <w:pPr>
              <w:pStyle w:val="561"/>
              <w:widowControl w:val="0"/>
              <w:spacing w:before="120" w:after="120" w:line="240" w:lineRule="auto"/>
              <w:ind w:left="31" w:right="4"/>
              <w:rPr>
                <w:color w:val="auto"/>
                <w:highlight w:val="none"/>
                <w:lang w:eastAsia="en-US"/>
              </w:rPr>
            </w:pPr>
            <w:r>
              <w:rPr>
                <w:color w:val="auto"/>
                <w:highlight w:val="none"/>
                <w:lang w:eastAsia="en-US"/>
              </w:rPr>
              <w:t>具体形状、精确尺寸、设备编号、位置、用途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2C937E6">
            <w:pPr>
              <w:pStyle w:val="561"/>
              <w:widowControl w:val="0"/>
              <w:spacing w:before="120" w:after="120" w:line="239" w:lineRule="exact"/>
              <w:ind w:left="31"/>
              <w:rPr>
                <w:color w:val="auto"/>
                <w:highlight w:val="none"/>
                <w:lang w:eastAsia="en-US"/>
              </w:rPr>
            </w:pPr>
            <w:r>
              <w:rPr>
                <w:color w:val="auto"/>
                <w:highlight w:val="none"/>
                <w:lang w:eastAsia="en-US"/>
              </w:rPr>
              <w:t>设备型号、精确尺</w:t>
            </w:r>
          </w:p>
          <w:p w14:paraId="1AD7C83C">
            <w:pPr>
              <w:pStyle w:val="561"/>
              <w:widowControl w:val="0"/>
              <w:spacing w:before="120" w:after="120" w:line="240" w:lineRule="exact"/>
              <w:ind w:left="31" w:right="4"/>
              <w:rPr>
                <w:color w:val="auto"/>
                <w:highlight w:val="none"/>
                <w:lang w:eastAsia="en-US"/>
              </w:rPr>
            </w:pPr>
            <w:r>
              <w:rPr>
                <w:color w:val="auto"/>
                <w:highlight w:val="none"/>
                <w:lang w:eastAsia="en-US"/>
              </w:rPr>
              <w:t>寸、编号、位置、用途</w:t>
            </w:r>
          </w:p>
        </w:tc>
      </w:tr>
      <w:tr w14:paraId="35705A15">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0949B4B9">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BE871DD">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注：上述模型精度要求仅作参考，具体精度内容应参考相关合同、行业标准、地方标准的要求。</w:t>
            </w:r>
          </w:p>
        </w:tc>
      </w:tr>
    </w:tbl>
    <w:p w14:paraId="729AF606">
      <w:pPr>
        <w:spacing w:before="120" w:after="120"/>
        <w:rPr>
          <w:rFonts w:ascii="宋体" w:hAnsi="宋体" w:cs="宋体"/>
          <w:color w:val="auto"/>
          <w:szCs w:val="21"/>
          <w:highlight w:val="none"/>
        </w:rPr>
        <w:sectPr>
          <w:pgSz w:w="16840" w:h="11910" w:orient="landscape"/>
          <w:pgMar w:top="1440" w:right="1800" w:bottom="1440" w:left="1800" w:header="907" w:footer="953" w:gutter="0"/>
          <w:pgNumType w:fmt="numberInDash"/>
          <w:cols w:space="720" w:num="1"/>
        </w:sectPr>
      </w:pPr>
    </w:p>
    <w:p w14:paraId="7489DE3A">
      <w:pPr>
        <w:pStyle w:val="584"/>
        <w:spacing w:before="120" w:after="120"/>
        <w:ind w:firstLine="420" w:firstLineChars="200"/>
        <w:rPr>
          <w:color w:val="auto"/>
          <w:highlight w:val="none"/>
        </w:rPr>
      </w:pPr>
      <w:bookmarkStart w:id="305" w:name="_Toc32395"/>
      <w:r>
        <w:rPr>
          <w:rFonts w:eastAsia="Times New Roman"/>
          <w:color w:val="auto"/>
          <w:highlight w:val="none"/>
        </w:rPr>
        <w:t xml:space="preserve">4  </w:t>
      </w:r>
      <w:r>
        <w:rPr>
          <w:color w:val="auto"/>
          <w:highlight w:val="none"/>
        </w:rPr>
        <w:t>给排水专业</w:t>
      </w:r>
      <w:bookmarkEnd w:id="305"/>
    </w:p>
    <w:tbl>
      <w:tblPr>
        <w:tblStyle w:val="519"/>
        <w:tblW w:w="4999" w:type="pct"/>
        <w:tblInd w:w="0" w:type="dxa"/>
        <w:tblLayout w:type="autofit"/>
        <w:tblCellMar>
          <w:top w:w="0" w:type="dxa"/>
          <w:left w:w="0" w:type="dxa"/>
          <w:bottom w:w="0" w:type="dxa"/>
          <w:right w:w="0" w:type="dxa"/>
        </w:tblCellMar>
      </w:tblPr>
      <w:tblGrid>
        <w:gridCol w:w="1100"/>
        <w:gridCol w:w="510"/>
        <w:gridCol w:w="1205"/>
        <w:gridCol w:w="2187"/>
        <w:gridCol w:w="2187"/>
        <w:gridCol w:w="2187"/>
        <w:gridCol w:w="2187"/>
        <w:gridCol w:w="1788"/>
      </w:tblGrid>
      <w:tr w14:paraId="0343E7C7">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328A83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11047C67">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58850C99">
            <w:pPr>
              <w:pStyle w:val="561"/>
              <w:widowControl w:val="0"/>
              <w:spacing w:before="120" w:after="120" w:line="240" w:lineRule="auto"/>
              <w:ind w:left="31"/>
              <w:rPr>
                <w:rFonts w:ascii="Times New Roman" w:hAnsi="Times New Roman" w:cs="Times New Roman"/>
                <w:color w:val="auto"/>
                <w:szCs w:val="24"/>
                <w:highlight w:val="none"/>
                <w:lang w:eastAsia="en-US"/>
              </w:rPr>
            </w:pPr>
          </w:p>
          <w:p w14:paraId="773C894B">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58BD466">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A83DC7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1BF29A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69584A">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FF1F7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127E2DBB">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2A97E65B">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178B3F77">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CE929F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798121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D947680">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F8EE9A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E265239">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026980E5">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59DB6EF7">
            <w:pPr>
              <w:pStyle w:val="561"/>
              <w:widowControl w:val="0"/>
              <w:spacing w:before="120" w:after="120"/>
              <w:ind w:left="31" w:right="4"/>
              <w:rPr>
                <w:color w:val="auto"/>
                <w:highlight w:val="none"/>
                <w:lang w:eastAsia="en-US"/>
              </w:rPr>
            </w:pPr>
            <w:r>
              <w:rPr>
                <w:rFonts w:hint="eastAsia"/>
                <w:color w:val="auto"/>
                <w:highlight w:val="none"/>
                <w:lang w:eastAsia="en-US"/>
              </w:rPr>
              <w:t>给排水</w:t>
            </w: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D39B0FA">
            <w:pPr>
              <w:pStyle w:val="561"/>
              <w:widowControl w:val="0"/>
              <w:spacing w:before="120" w:after="120"/>
              <w:ind w:left="31" w:right="4"/>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D3F755F">
            <w:pPr>
              <w:pStyle w:val="561"/>
              <w:widowControl w:val="0"/>
              <w:spacing w:before="120" w:after="120"/>
              <w:ind w:left="31" w:right="4"/>
              <w:rPr>
                <w:color w:val="auto"/>
                <w:highlight w:val="none"/>
                <w:lang w:eastAsia="en-US"/>
              </w:rPr>
            </w:pPr>
            <w:r>
              <w:rPr>
                <w:color w:val="auto"/>
                <w:highlight w:val="none"/>
                <w:lang w:eastAsia="en-US"/>
              </w:rPr>
              <w:t>给水主管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560EA7">
            <w:pPr>
              <w:pStyle w:val="561"/>
              <w:widowControl w:val="0"/>
              <w:spacing w:before="120" w:after="120" w:line="239" w:lineRule="exact"/>
              <w:ind w:left="31"/>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712612D">
            <w:pPr>
              <w:pStyle w:val="561"/>
              <w:widowControl w:val="0"/>
              <w:spacing w:before="120" w:after="120"/>
              <w:ind w:left="31" w:right="4"/>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0F6BC22">
            <w:pPr>
              <w:pStyle w:val="561"/>
              <w:widowControl w:val="0"/>
              <w:spacing w:before="120" w:after="120"/>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204065C">
            <w:pPr>
              <w:pStyle w:val="561"/>
              <w:widowControl w:val="0"/>
              <w:spacing w:before="120" w:after="120"/>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64CA0E5">
            <w:pPr>
              <w:pStyle w:val="561"/>
              <w:widowControl w:val="0"/>
              <w:spacing w:before="120" w:after="120" w:line="239" w:lineRule="exact"/>
              <w:ind w:left="31"/>
              <w:rPr>
                <w:color w:val="auto"/>
                <w:highlight w:val="none"/>
                <w:lang w:eastAsia="en-US"/>
              </w:rPr>
            </w:pPr>
            <w:r>
              <w:rPr>
                <w:color w:val="auto"/>
                <w:highlight w:val="none"/>
                <w:lang w:eastAsia="en-US"/>
              </w:rPr>
              <w:t>实际尺寸，管材，连接件最终尺寸</w:t>
            </w:r>
          </w:p>
        </w:tc>
      </w:tr>
      <w:tr w14:paraId="71DF1668">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5F1D54C9">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F941199">
            <w:pPr>
              <w:pStyle w:val="561"/>
              <w:widowControl w:val="0"/>
              <w:spacing w:before="120" w:after="120"/>
              <w:ind w:left="31" w:right="4"/>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F023AF6">
            <w:pPr>
              <w:pStyle w:val="561"/>
              <w:widowControl w:val="0"/>
              <w:spacing w:before="120" w:after="120"/>
              <w:ind w:left="31" w:right="4"/>
              <w:rPr>
                <w:color w:val="auto"/>
                <w:highlight w:val="none"/>
                <w:lang w:eastAsia="en-US"/>
              </w:rPr>
            </w:pPr>
            <w:r>
              <w:rPr>
                <w:color w:val="auto"/>
                <w:highlight w:val="none"/>
                <w:lang w:eastAsia="en-US"/>
              </w:rPr>
              <w:t>污水管及管道坡度</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39F4B29">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E69FF97">
            <w:pPr>
              <w:pStyle w:val="561"/>
              <w:widowControl w:val="0"/>
              <w:spacing w:before="120" w:after="120"/>
              <w:ind w:left="31" w:right="4"/>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D5376B6">
            <w:pPr>
              <w:pStyle w:val="561"/>
              <w:widowControl w:val="0"/>
              <w:spacing w:before="120" w:after="120"/>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971921C">
            <w:pPr>
              <w:pStyle w:val="561"/>
              <w:widowControl w:val="0"/>
              <w:spacing w:before="120" w:after="120"/>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13CAC79">
            <w:pPr>
              <w:pStyle w:val="561"/>
              <w:widowControl w:val="0"/>
              <w:spacing w:before="120" w:after="120" w:line="239" w:lineRule="exact"/>
              <w:ind w:left="31"/>
              <w:rPr>
                <w:color w:val="auto"/>
                <w:highlight w:val="none"/>
                <w:lang w:eastAsia="en-US"/>
              </w:rPr>
            </w:pPr>
            <w:r>
              <w:rPr>
                <w:color w:val="auto"/>
                <w:highlight w:val="none"/>
                <w:lang w:eastAsia="en-US"/>
              </w:rPr>
              <w:t>实际尺寸，管材，连接件最终尺寸</w:t>
            </w:r>
          </w:p>
        </w:tc>
      </w:tr>
      <w:tr w14:paraId="7E1CA11D">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1B2416A">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3683B32">
            <w:pPr>
              <w:pStyle w:val="561"/>
              <w:widowControl w:val="0"/>
              <w:spacing w:before="120" w:after="120"/>
              <w:ind w:left="31" w:right="4"/>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A3D71AC">
            <w:pPr>
              <w:pStyle w:val="561"/>
              <w:widowControl w:val="0"/>
              <w:spacing w:before="120" w:after="120"/>
              <w:ind w:left="31" w:right="4"/>
              <w:rPr>
                <w:color w:val="auto"/>
                <w:highlight w:val="none"/>
                <w:lang w:eastAsia="en-US"/>
              </w:rPr>
            </w:pPr>
            <w:r>
              <w:rPr>
                <w:color w:val="auto"/>
                <w:highlight w:val="none"/>
                <w:lang w:eastAsia="en-US"/>
              </w:rPr>
              <w:t>雨水管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F88A883">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DC9AF94">
            <w:pPr>
              <w:pStyle w:val="561"/>
              <w:widowControl w:val="0"/>
              <w:spacing w:before="120" w:after="120"/>
              <w:ind w:left="31" w:right="4"/>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5911552">
            <w:pPr>
              <w:pStyle w:val="561"/>
              <w:widowControl w:val="0"/>
              <w:spacing w:before="120" w:after="120"/>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C4C7AC9">
            <w:pPr>
              <w:pStyle w:val="561"/>
              <w:widowControl w:val="0"/>
              <w:spacing w:before="120" w:after="120"/>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06F8BE1">
            <w:pPr>
              <w:pStyle w:val="561"/>
              <w:widowControl w:val="0"/>
              <w:spacing w:before="120" w:after="120" w:line="239" w:lineRule="exact"/>
              <w:ind w:left="31"/>
              <w:rPr>
                <w:color w:val="auto"/>
                <w:highlight w:val="none"/>
                <w:lang w:eastAsia="en-US"/>
              </w:rPr>
            </w:pPr>
            <w:r>
              <w:rPr>
                <w:color w:val="auto"/>
                <w:highlight w:val="none"/>
                <w:lang w:eastAsia="en-US"/>
              </w:rPr>
              <w:t>实际尺寸，管材，连接件最终尺寸</w:t>
            </w:r>
          </w:p>
        </w:tc>
      </w:tr>
      <w:tr w14:paraId="14B2E6F1">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759C7CBD">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91E3806">
            <w:pPr>
              <w:pStyle w:val="561"/>
              <w:widowControl w:val="0"/>
              <w:spacing w:before="120" w:after="120" w:line="240" w:lineRule="auto"/>
              <w:ind w:left="31" w:right="4"/>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A0AA013">
            <w:pPr>
              <w:pStyle w:val="561"/>
              <w:widowControl w:val="0"/>
              <w:spacing w:before="120" w:after="120"/>
              <w:ind w:left="31" w:right="4"/>
              <w:rPr>
                <w:color w:val="auto"/>
                <w:highlight w:val="none"/>
                <w:lang w:eastAsia="en-US"/>
              </w:rPr>
            </w:pPr>
            <w:r>
              <w:rPr>
                <w:color w:val="auto"/>
                <w:highlight w:val="none"/>
                <w:lang w:eastAsia="en-US"/>
              </w:rPr>
              <w:t>煤气管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7719AA1">
            <w:pPr>
              <w:pStyle w:val="561"/>
              <w:widowControl w:val="0"/>
              <w:spacing w:before="120" w:after="120" w:line="238" w:lineRule="exact"/>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F6F698F">
            <w:pPr>
              <w:pStyle w:val="561"/>
              <w:widowControl w:val="0"/>
              <w:spacing w:before="120" w:after="120" w:line="240" w:lineRule="auto"/>
              <w:ind w:left="31" w:right="4"/>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47574B3">
            <w:pPr>
              <w:pStyle w:val="561"/>
              <w:widowControl w:val="0"/>
              <w:spacing w:before="120" w:after="120" w:line="240" w:lineRule="auto"/>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995D84">
            <w:pPr>
              <w:pStyle w:val="561"/>
              <w:widowControl w:val="0"/>
              <w:spacing w:before="120" w:after="120" w:line="240" w:lineRule="auto"/>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C70C8DA">
            <w:pPr>
              <w:pStyle w:val="561"/>
              <w:widowControl w:val="0"/>
              <w:spacing w:before="120" w:after="120" w:line="239" w:lineRule="exact"/>
              <w:ind w:left="31"/>
              <w:rPr>
                <w:color w:val="auto"/>
                <w:highlight w:val="none"/>
                <w:lang w:eastAsia="en-US"/>
              </w:rPr>
            </w:pPr>
            <w:r>
              <w:rPr>
                <w:color w:val="auto"/>
                <w:highlight w:val="none"/>
                <w:lang w:eastAsia="en-US"/>
              </w:rPr>
              <w:t>实际尺寸，管材，连接件最终尺寸</w:t>
            </w:r>
          </w:p>
        </w:tc>
      </w:tr>
      <w:tr w14:paraId="32B9D8DB">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AE04B5A">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2F98EEE">
            <w:pPr>
              <w:pStyle w:val="561"/>
              <w:widowControl w:val="0"/>
              <w:spacing w:before="120" w:after="120" w:line="240" w:lineRule="auto"/>
              <w:ind w:left="31" w:right="4"/>
              <w:rPr>
                <w:color w:val="auto"/>
                <w:highlight w:val="none"/>
                <w:lang w:eastAsia="en-US"/>
              </w:rPr>
            </w:pPr>
            <w:r>
              <w:rPr>
                <w:color w:val="auto"/>
                <w:highlight w:val="none"/>
                <w:lang w:eastAsia="en-US"/>
              </w:rPr>
              <w:t>005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A40CAF5">
            <w:pPr>
              <w:pStyle w:val="561"/>
              <w:widowControl w:val="0"/>
              <w:spacing w:before="120" w:after="120"/>
              <w:ind w:left="31" w:right="4"/>
              <w:rPr>
                <w:color w:val="auto"/>
                <w:highlight w:val="none"/>
                <w:lang w:eastAsia="en-US"/>
              </w:rPr>
            </w:pPr>
            <w:r>
              <w:rPr>
                <w:color w:val="auto"/>
                <w:highlight w:val="none"/>
                <w:lang w:eastAsia="en-US"/>
              </w:rPr>
              <w:t>热力管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A93FF5A">
            <w:pPr>
              <w:pStyle w:val="561"/>
              <w:widowControl w:val="0"/>
              <w:spacing w:before="120" w:after="120" w:line="239" w:lineRule="exact"/>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871CC74">
            <w:pPr>
              <w:pStyle w:val="561"/>
              <w:widowControl w:val="0"/>
              <w:spacing w:before="120" w:after="120" w:line="240" w:lineRule="auto"/>
              <w:ind w:left="31" w:right="4"/>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683603">
            <w:pPr>
              <w:pStyle w:val="561"/>
              <w:widowControl w:val="0"/>
              <w:spacing w:before="120" w:after="120" w:line="240" w:lineRule="auto"/>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DCE91A2">
            <w:pPr>
              <w:pStyle w:val="561"/>
              <w:widowControl w:val="0"/>
              <w:spacing w:before="120" w:after="120" w:line="240" w:lineRule="auto"/>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449953A">
            <w:pPr>
              <w:pStyle w:val="561"/>
              <w:widowControl w:val="0"/>
              <w:spacing w:before="120" w:after="120" w:line="239" w:lineRule="exact"/>
              <w:ind w:left="31"/>
              <w:rPr>
                <w:color w:val="auto"/>
                <w:highlight w:val="none"/>
                <w:lang w:eastAsia="en-US"/>
              </w:rPr>
            </w:pPr>
            <w:r>
              <w:rPr>
                <w:color w:val="auto"/>
                <w:highlight w:val="none"/>
                <w:lang w:eastAsia="en-US"/>
              </w:rPr>
              <w:t>实际尺寸，管材，连接件最终尺寸</w:t>
            </w:r>
          </w:p>
        </w:tc>
      </w:tr>
      <w:tr w14:paraId="57E145D6">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FBF66B0">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BE8A7D4">
            <w:pPr>
              <w:pStyle w:val="561"/>
              <w:widowControl w:val="0"/>
              <w:spacing w:before="120" w:after="120" w:line="240" w:lineRule="auto"/>
              <w:ind w:left="31" w:right="4"/>
              <w:rPr>
                <w:color w:val="auto"/>
                <w:highlight w:val="none"/>
                <w:lang w:eastAsia="en-US"/>
              </w:rPr>
            </w:pPr>
            <w:r>
              <w:rPr>
                <w:color w:val="auto"/>
                <w:highlight w:val="none"/>
                <w:lang w:eastAsia="en-US"/>
              </w:rPr>
              <w:t>006</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6D0A9E">
            <w:pPr>
              <w:pStyle w:val="561"/>
              <w:widowControl w:val="0"/>
              <w:spacing w:before="120" w:after="120"/>
              <w:ind w:left="31" w:right="4"/>
              <w:rPr>
                <w:color w:val="auto"/>
                <w:highlight w:val="none"/>
                <w:lang w:eastAsia="en-US"/>
              </w:rPr>
            </w:pPr>
            <w:r>
              <w:rPr>
                <w:color w:val="auto"/>
                <w:highlight w:val="none"/>
                <w:lang w:eastAsia="en-US"/>
              </w:rPr>
              <w:t>消防水管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71568B8">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60A3480">
            <w:pPr>
              <w:pStyle w:val="561"/>
              <w:widowControl w:val="0"/>
              <w:spacing w:before="120" w:after="120" w:line="240" w:lineRule="auto"/>
              <w:ind w:left="31" w:right="4"/>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EB9E28B">
            <w:pPr>
              <w:pStyle w:val="561"/>
              <w:widowControl w:val="0"/>
              <w:spacing w:before="120" w:after="120" w:line="240" w:lineRule="auto"/>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D067FFD">
            <w:pPr>
              <w:pStyle w:val="561"/>
              <w:widowControl w:val="0"/>
              <w:spacing w:before="120" w:after="120" w:line="240" w:lineRule="auto"/>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5666363">
            <w:pPr>
              <w:pStyle w:val="561"/>
              <w:widowControl w:val="0"/>
              <w:spacing w:before="120" w:after="120" w:line="239" w:lineRule="exact"/>
              <w:ind w:left="31"/>
              <w:rPr>
                <w:color w:val="auto"/>
                <w:highlight w:val="none"/>
                <w:lang w:eastAsia="en-US"/>
              </w:rPr>
            </w:pPr>
            <w:r>
              <w:rPr>
                <w:color w:val="auto"/>
                <w:highlight w:val="none"/>
                <w:lang w:eastAsia="en-US"/>
              </w:rPr>
              <w:t>实际尺寸，管材，连接件最终尺寸</w:t>
            </w:r>
          </w:p>
        </w:tc>
      </w:tr>
      <w:tr w14:paraId="2309A51C">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5C5F7619">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761DEC6">
            <w:pPr>
              <w:pStyle w:val="561"/>
              <w:widowControl w:val="0"/>
              <w:spacing w:before="120" w:after="120" w:line="240" w:lineRule="auto"/>
              <w:ind w:left="31" w:right="4"/>
              <w:rPr>
                <w:color w:val="auto"/>
                <w:highlight w:val="none"/>
                <w:lang w:eastAsia="en-US"/>
              </w:rPr>
            </w:pPr>
            <w:r>
              <w:rPr>
                <w:color w:val="auto"/>
                <w:highlight w:val="none"/>
                <w:lang w:eastAsia="en-US"/>
              </w:rPr>
              <w:t>007</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74FDEFB">
            <w:pPr>
              <w:pStyle w:val="561"/>
              <w:widowControl w:val="0"/>
              <w:spacing w:before="120" w:after="120" w:line="240" w:lineRule="auto"/>
              <w:ind w:left="31" w:right="4"/>
              <w:rPr>
                <w:color w:val="auto"/>
                <w:highlight w:val="none"/>
                <w:lang w:eastAsia="en-US"/>
              </w:rPr>
            </w:pPr>
            <w:r>
              <w:rPr>
                <w:color w:val="auto"/>
                <w:highlight w:val="none"/>
                <w:lang w:eastAsia="en-US"/>
              </w:rPr>
              <w:t>给排水泵及消防泵</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C1E13D8">
            <w:pPr>
              <w:pStyle w:val="561"/>
              <w:widowControl w:val="0"/>
              <w:spacing w:before="120" w:after="120" w:line="240" w:lineRule="exact"/>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60D2732">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165E1C2">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68C63A9">
            <w:pPr>
              <w:pStyle w:val="561"/>
              <w:widowControl w:val="0"/>
              <w:spacing w:before="120" w:after="120" w:line="240" w:lineRule="auto"/>
              <w:ind w:left="31" w:right="4"/>
              <w:rPr>
                <w:color w:val="auto"/>
                <w:highlight w:val="none"/>
                <w:lang w:eastAsia="en-US"/>
              </w:rPr>
            </w:pPr>
            <w:r>
              <w:rPr>
                <w:color w:val="auto"/>
                <w:highlight w:val="none"/>
                <w:lang w:eastAsia="en-US"/>
              </w:rPr>
              <w:t>形状、实际尺寸、设备编号、位置、用途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B5F4E3">
            <w:pPr>
              <w:pStyle w:val="561"/>
              <w:widowControl w:val="0"/>
              <w:spacing w:before="120" w:after="120" w:line="240" w:lineRule="exact"/>
              <w:ind w:left="31"/>
              <w:rPr>
                <w:color w:val="auto"/>
                <w:highlight w:val="none"/>
                <w:lang w:eastAsia="en-US"/>
              </w:rPr>
            </w:pPr>
            <w:r>
              <w:rPr>
                <w:color w:val="auto"/>
                <w:highlight w:val="none"/>
                <w:lang w:eastAsia="en-US"/>
              </w:rPr>
              <w:t>设备型号、实际尺寸、编号、位置、用途</w:t>
            </w:r>
          </w:p>
        </w:tc>
      </w:tr>
      <w:tr w14:paraId="3721BD52">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1B1685B">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9C3B19A">
            <w:pPr>
              <w:pStyle w:val="561"/>
              <w:widowControl w:val="0"/>
              <w:spacing w:before="120" w:after="120" w:line="240" w:lineRule="auto"/>
              <w:ind w:left="31" w:right="4"/>
              <w:rPr>
                <w:color w:val="auto"/>
                <w:highlight w:val="none"/>
                <w:lang w:eastAsia="en-US"/>
              </w:rPr>
            </w:pPr>
            <w:r>
              <w:rPr>
                <w:color w:val="auto"/>
                <w:highlight w:val="none"/>
                <w:lang w:eastAsia="en-US"/>
              </w:rPr>
              <w:t>008</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3A5E4BD">
            <w:pPr>
              <w:pStyle w:val="561"/>
              <w:widowControl w:val="0"/>
              <w:spacing w:before="120" w:after="120" w:line="240" w:lineRule="auto"/>
              <w:ind w:left="31" w:right="4"/>
              <w:rPr>
                <w:color w:val="auto"/>
                <w:highlight w:val="none"/>
                <w:lang w:eastAsia="en-US"/>
              </w:rPr>
            </w:pPr>
            <w:r>
              <w:rPr>
                <w:color w:val="auto"/>
                <w:highlight w:val="none"/>
                <w:lang w:eastAsia="en-US"/>
              </w:rPr>
              <w:t>水箱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166E639">
            <w:pPr>
              <w:pStyle w:val="561"/>
              <w:widowControl w:val="0"/>
              <w:spacing w:before="120" w:after="120" w:line="239" w:lineRule="exact"/>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0FDA8E1">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3A8C5E9">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FE4F2E">
            <w:pPr>
              <w:pStyle w:val="561"/>
              <w:widowControl w:val="0"/>
              <w:spacing w:before="120" w:after="120" w:line="240" w:lineRule="auto"/>
              <w:ind w:left="31" w:right="4"/>
              <w:rPr>
                <w:color w:val="auto"/>
                <w:highlight w:val="none"/>
                <w:lang w:eastAsia="en-US"/>
              </w:rPr>
            </w:pPr>
            <w:r>
              <w:rPr>
                <w:color w:val="auto"/>
                <w:highlight w:val="none"/>
                <w:lang w:eastAsia="en-US"/>
              </w:rPr>
              <w:t>形状、实际尺寸、设备编号、位置、用途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8DF71D6">
            <w:pPr>
              <w:pStyle w:val="561"/>
              <w:widowControl w:val="0"/>
              <w:spacing w:before="120" w:after="120" w:line="239" w:lineRule="exact"/>
              <w:ind w:left="31"/>
              <w:rPr>
                <w:color w:val="auto"/>
                <w:highlight w:val="none"/>
                <w:lang w:eastAsia="en-US"/>
              </w:rPr>
            </w:pPr>
            <w:r>
              <w:rPr>
                <w:color w:val="auto"/>
                <w:highlight w:val="none"/>
                <w:lang w:eastAsia="en-US"/>
              </w:rPr>
              <w:t>设备型号、实际尺寸、编号、位置、用途</w:t>
            </w:r>
          </w:p>
        </w:tc>
      </w:tr>
      <w:tr w14:paraId="2A0DED75">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D432E7A">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C32A509">
            <w:pPr>
              <w:pStyle w:val="561"/>
              <w:widowControl w:val="0"/>
              <w:spacing w:before="120" w:after="120" w:line="240" w:lineRule="auto"/>
              <w:ind w:left="31" w:right="4"/>
              <w:rPr>
                <w:color w:val="auto"/>
                <w:highlight w:val="none"/>
                <w:lang w:eastAsia="en-US"/>
              </w:rPr>
            </w:pPr>
            <w:r>
              <w:rPr>
                <w:color w:val="auto"/>
                <w:highlight w:val="none"/>
                <w:lang w:eastAsia="en-US"/>
              </w:rPr>
              <w:t>009</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F861DAD">
            <w:pPr>
              <w:pStyle w:val="561"/>
              <w:widowControl w:val="0"/>
              <w:spacing w:before="120" w:after="120" w:line="240" w:lineRule="auto"/>
              <w:ind w:left="31" w:right="4"/>
              <w:rPr>
                <w:color w:val="auto"/>
                <w:highlight w:val="none"/>
                <w:lang w:eastAsia="en-US"/>
              </w:rPr>
            </w:pPr>
            <w:r>
              <w:rPr>
                <w:color w:val="auto"/>
                <w:highlight w:val="none"/>
                <w:lang w:eastAsia="en-US"/>
              </w:rPr>
              <w:t>喷淋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1A25508">
            <w:pPr>
              <w:pStyle w:val="561"/>
              <w:widowControl w:val="0"/>
              <w:spacing w:before="120" w:after="120" w:line="240" w:lineRule="exact"/>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17049D6">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F013028">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0685FCC">
            <w:pPr>
              <w:pStyle w:val="561"/>
              <w:widowControl w:val="0"/>
              <w:spacing w:before="120" w:after="120" w:line="240" w:lineRule="auto"/>
              <w:ind w:left="31" w:right="4"/>
              <w:rPr>
                <w:color w:val="auto"/>
                <w:highlight w:val="none"/>
                <w:lang w:eastAsia="en-US"/>
              </w:rPr>
            </w:pPr>
            <w:r>
              <w:rPr>
                <w:color w:val="auto"/>
                <w:highlight w:val="none"/>
                <w:lang w:eastAsia="en-US"/>
              </w:rPr>
              <w:t>形状、实际尺寸、设备编号、位置、用途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4EA264A">
            <w:pPr>
              <w:pStyle w:val="561"/>
              <w:widowControl w:val="0"/>
              <w:spacing w:before="120" w:after="120" w:line="240" w:lineRule="exact"/>
              <w:ind w:left="31" w:right="4"/>
              <w:rPr>
                <w:color w:val="auto"/>
                <w:highlight w:val="none"/>
                <w:lang w:eastAsia="en-US"/>
              </w:rPr>
            </w:pPr>
            <w:r>
              <w:rPr>
                <w:color w:val="auto"/>
                <w:highlight w:val="none"/>
                <w:lang w:eastAsia="en-US"/>
              </w:rPr>
              <w:t>设备型号、实际尺寸、编号、位置、用途</w:t>
            </w:r>
          </w:p>
        </w:tc>
      </w:tr>
      <w:tr w14:paraId="7A105E06">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3121A91">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CFB1C4B">
            <w:pPr>
              <w:pStyle w:val="561"/>
              <w:widowControl w:val="0"/>
              <w:spacing w:before="120" w:after="120" w:line="240" w:lineRule="auto"/>
              <w:ind w:left="31" w:right="4"/>
              <w:rPr>
                <w:color w:val="auto"/>
                <w:highlight w:val="none"/>
                <w:lang w:eastAsia="en-US"/>
              </w:rPr>
            </w:pPr>
            <w:r>
              <w:rPr>
                <w:color w:val="auto"/>
                <w:highlight w:val="none"/>
                <w:lang w:eastAsia="en-US"/>
              </w:rPr>
              <w:t>010</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5635208">
            <w:pPr>
              <w:pStyle w:val="561"/>
              <w:widowControl w:val="0"/>
              <w:spacing w:before="120" w:after="120" w:line="240" w:lineRule="auto"/>
              <w:ind w:left="31" w:right="4"/>
              <w:rPr>
                <w:color w:val="auto"/>
                <w:highlight w:val="none"/>
                <w:lang w:eastAsia="en-US"/>
              </w:rPr>
            </w:pPr>
            <w:r>
              <w:rPr>
                <w:color w:val="auto"/>
                <w:highlight w:val="none"/>
                <w:lang w:eastAsia="en-US"/>
              </w:rPr>
              <w:t>消火栓</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36BA14">
            <w:pPr>
              <w:pStyle w:val="561"/>
              <w:widowControl w:val="0"/>
              <w:spacing w:before="120" w:after="120" w:line="239" w:lineRule="exact"/>
              <w:ind w:left="87" w:hanging="56"/>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0294FC3">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53638CC">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BD59E9F">
            <w:pPr>
              <w:pStyle w:val="561"/>
              <w:widowControl w:val="0"/>
              <w:spacing w:before="120" w:after="120" w:line="240" w:lineRule="auto"/>
              <w:ind w:left="31" w:right="4"/>
              <w:rPr>
                <w:color w:val="auto"/>
                <w:highlight w:val="none"/>
                <w:lang w:eastAsia="en-US"/>
              </w:rPr>
            </w:pPr>
            <w:r>
              <w:rPr>
                <w:color w:val="auto"/>
                <w:highlight w:val="none"/>
                <w:lang w:eastAsia="en-US"/>
              </w:rPr>
              <w:t>形状、实际尺寸、设备编号、位置、用途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2161B8">
            <w:pPr>
              <w:pStyle w:val="561"/>
              <w:widowControl w:val="0"/>
              <w:spacing w:before="120" w:after="120" w:line="240" w:lineRule="exact"/>
              <w:ind w:left="31" w:right="4"/>
              <w:rPr>
                <w:color w:val="auto"/>
                <w:highlight w:val="none"/>
                <w:lang w:eastAsia="en-US"/>
              </w:rPr>
            </w:pPr>
            <w:r>
              <w:rPr>
                <w:color w:val="auto"/>
                <w:highlight w:val="none"/>
                <w:lang w:eastAsia="en-US"/>
              </w:rPr>
              <w:t>设备型号、实际尺寸、编号、位置、用途</w:t>
            </w:r>
          </w:p>
        </w:tc>
      </w:tr>
      <w:tr w14:paraId="70FB84F1">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7A106035">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E6838E7">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注：上述模型精度要求仅作参考，具体精度内容应参考相关合同、行业标准、地方标准的要求。</w:t>
            </w:r>
          </w:p>
        </w:tc>
      </w:tr>
    </w:tbl>
    <w:p w14:paraId="6B9051E1">
      <w:pPr>
        <w:spacing w:before="120" w:after="120" w:line="272" w:lineRule="exact"/>
        <w:rPr>
          <w:rFonts w:ascii="宋体" w:hAnsi="宋体" w:cs="宋体"/>
          <w:color w:val="auto"/>
          <w:szCs w:val="21"/>
          <w:highlight w:val="none"/>
        </w:rPr>
        <w:sectPr>
          <w:pgSz w:w="16840" w:h="11910" w:orient="landscape"/>
          <w:pgMar w:top="1440" w:right="1800" w:bottom="1440" w:left="1800" w:header="907" w:footer="953" w:gutter="0"/>
          <w:pgNumType w:fmt="numberInDash"/>
          <w:cols w:space="720" w:num="1"/>
        </w:sectPr>
      </w:pPr>
    </w:p>
    <w:p w14:paraId="7E823BF6">
      <w:pPr>
        <w:pStyle w:val="584"/>
        <w:spacing w:before="120" w:after="120"/>
        <w:ind w:firstLine="420" w:firstLineChars="200"/>
        <w:rPr>
          <w:color w:val="auto"/>
          <w:highlight w:val="none"/>
        </w:rPr>
      </w:pPr>
      <w:bookmarkStart w:id="306" w:name="_Toc31269"/>
      <w:r>
        <w:rPr>
          <w:rFonts w:eastAsia="Times New Roman"/>
          <w:color w:val="auto"/>
          <w:highlight w:val="none"/>
        </w:rPr>
        <w:t xml:space="preserve">5  </w:t>
      </w:r>
      <w:r>
        <w:rPr>
          <w:color w:val="auto"/>
          <w:highlight w:val="none"/>
        </w:rPr>
        <w:t>电气专业</w:t>
      </w:r>
      <w:bookmarkEnd w:id="306"/>
    </w:p>
    <w:tbl>
      <w:tblPr>
        <w:tblStyle w:val="519"/>
        <w:tblW w:w="4999" w:type="pct"/>
        <w:tblInd w:w="0" w:type="dxa"/>
        <w:tblLayout w:type="autofit"/>
        <w:tblCellMar>
          <w:top w:w="0" w:type="dxa"/>
          <w:left w:w="0" w:type="dxa"/>
          <w:bottom w:w="0" w:type="dxa"/>
          <w:right w:w="0" w:type="dxa"/>
        </w:tblCellMar>
      </w:tblPr>
      <w:tblGrid>
        <w:gridCol w:w="1100"/>
        <w:gridCol w:w="510"/>
        <w:gridCol w:w="1205"/>
        <w:gridCol w:w="2187"/>
        <w:gridCol w:w="2187"/>
        <w:gridCol w:w="2187"/>
        <w:gridCol w:w="2187"/>
        <w:gridCol w:w="1788"/>
      </w:tblGrid>
      <w:tr w14:paraId="49E864AA">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85A3DD4">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1B100CCD">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16D57B2B">
            <w:pPr>
              <w:pStyle w:val="561"/>
              <w:widowControl w:val="0"/>
              <w:spacing w:before="120" w:after="120" w:line="240" w:lineRule="auto"/>
              <w:ind w:left="31"/>
              <w:rPr>
                <w:rFonts w:ascii="Times New Roman" w:hAnsi="Times New Roman" w:cs="Times New Roman"/>
                <w:color w:val="auto"/>
                <w:szCs w:val="24"/>
                <w:highlight w:val="none"/>
                <w:lang w:eastAsia="en-US"/>
              </w:rPr>
            </w:pPr>
          </w:p>
          <w:p w14:paraId="2E0554B5">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63D14E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04BB689">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A6815C4">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CCFDDB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E3E57B7">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3C973164">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3D0E98DD">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2BD8C178">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B20445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0D4951A">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38F8E8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952B66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C3CDDA0">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02E95516">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7E4DAC78">
            <w:pPr>
              <w:pStyle w:val="561"/>
              <w:widowControl w:val="0"/>
              <w:spacing w:before="120" w:after="120"/>
              <w:ind w:left="31" w:right="4"/>
              <w:rPr>
                <w:color w:val="auto"/>
                <w:highlight w:val="none"/>
                <w:lang w:eastAsia="en-US"/>
              </w:rPr>
            </w:pPr>
            <w:r>
              <w:rPr>
                <w:rFonts w:hint="eastAsia"/>
                <w:color w:val="auto"/>
                <w:highlight w:val="none"/>
                <w:lang w:eastAsia="en-US"/>
              </w:rPr>
              <w:t>电气</w:t>
            </w: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7A863E6">
            <w:pPr>
              <w:pStyle w:val="561"/>
              <w:widowControl w:val="0"/>
              <w:spacing w:before="120" w:after="120"/>
              <w:ind w:left="31" w:right="4"/>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AEAAB08">
            <w:pPr>
              <w:pStyle w:val="561"/>
              <w:widowControl w:val="0"/>
              <w:spacing w:before="120" w:after="120" w:line="240" w:lineRule="auto"/>
              <w:ind w:left="31" w:right="4"/>
              <w:rPr>
                <w:color w:val="auto"/>
                <w:highlight w:val="none"/>
                <w:lang w:eastAsia="en-US"/>
              </w:rPr>
            </w:pPr>
            <w:r>
              <w:rPr>
                <w:color w:val="auto"/>
                <w:highlight w:val="none"/>
                <w:lang w:eastAsia="en-US"/>
              </w:rPr>
              <w:t>强电线槽</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05C37B6">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5687E75">
            <w:pPr>
              <w:pStyle w:val="561"/>
              <w:widowControl w:val="0"/>
              <w:spacing w:before="120" w:after="120" w:line="240" w:lineRule="auto"/>
              <w:ind w:left="31" w:right="4"/>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ADA55D6">
            <w:pPr>
              <w:pStyle w:val="561"/>
              <w:widowControl w:val="0"/>
              <w:spacing w:before="120" w:after="120" w:line="240" w:lineRule="auto"/>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EF2D021">
            <w:pPr>
              <w:pStyle w:val="561"/>
              <w:widowControl w:val="0"/>
              <w:spacing w:before="120" w:after="120" w:line="240" w:lineRule="auto"/>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E688E1">
            <w:pPr>
              <w:pStyle w:val="561"/>
              <w:widowControl w:val="0"/>
              <w:spacing w:before="120" w:after="120" w:line="240" w:lineRule="auto"/>
              <w:ind w:left="31" w:right="4"/>
              <w:rPr>
                <w:color w:val="auto"/>
                <w:highlight w:val="none"/>
                <w:lang w:eastAsia="en-US"/>
              </w:rPr>
            </w:pPr>
            <w:r>
              <w:rPr>
                <w:color w:val="auto"/>
                <w:highlight w:val="none"/>
                <w:lang w:eastAsia="en-US"/>
              </w:rPr>
              <w:t>实际尺寸，管材，连接件最终尺寸</w:t>
            </w:r>
          </w:p>
        </w:tc>
      </w:tr>
      <w:tr w14:paraId="65353B5C">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E38CAD4">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9164969">
            <w:pPr>
              <w:pStyle w:val="561"/>
              <w:widowControl w:val="0"/>
              <w:spacing w:before="120" w:after="120"/>
              <w:ind w:left="31" w:right="4"/>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1C38557">
            <w:pPr>
              <w:pStyle w:val="561"/>
              <w:widowControl w:val="0"/>
              <w:spacing w:before="120" w:after="120" w:line="240" w:lineRule="auto"/>
              <w:ind w:left="31" w:right="4"/>
              <w:rPr>
                <w:color w:val="auto"/>
                <w:highlight w:val="none"/>
                <w:lang w:eastAsia="en-US"/>
              </w:rPr>
            </w:pPr>
            <w:r>
              <w:rPr>
                <w:color w:val="auto"/>
                <w:highlight w:val="none"/>
                <w:lang w:eastAsia="en-US"/>
              </w:rPr>
              <w:t>变压器</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F0FD89D">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EB1F5B5">
            <w:pPr>
              <w:pStyle w:val="561"/>
              <w:widowControl w:val="0"/>
              <w:spacing w:before="120" w:after="120"/>
              <w:ind w:left="31" w:right="4"/>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B2ECF95">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w:t>
            </w:r>
          </w:p>
          <w:p w14:paraId="174F10A4">
            <w:pPr>
              <w:pStyle w:val="561"/>
              <w:widowControl w:val="0"/>
              <w:spacing w:before="120" w:after="120" w:line="240" w:lineRule="auto"/>
              <w:ind w:left="31" w:right="4"/>
              <w:rPr>
                <w:color w:val="auto"/>
                <w:highlight w:val="none"/>
                <w:lang w:eastAsia="en-US"/>
              </w:rPr>
            </w:pPr>
            <w:r>
              <w:rPr>
                <w:color w:val="auto"/>
                <w:highlight w:val="none"/>
                <w:lang w:eastAsia="en-US"/>
              </w:rPr>
              <w:t>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070004">
            <w:pPr>
              <w:pStyle w:val="561"/>
              <w:widowControl w:val="0"/>
              <w:spacing w:before="120" w:after="120"/>
              <w:ind w:left="31" w:right="4"/>
              <w:rPr>
                <w:color w:val="auto"/>
                <w:highlight w:val="none"/>
                <w:lang w:eastAsia="en-US"/>
              </w:rPr>
            </w:pPr>
            <w:r>
              <w:rPr>
                <w:color w:val="auto"/>
                <w:highlight w:val="none"/>
                <w:lang w:eastAsia="en-US"/>
              </w:rPr>
              <w:t>实际尺寸、容量、型号</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608A3A6">
            <w:pPr>
              <w:pStyle w:val="561"/>
              <w:widowControl w:val="0"/>
              <w:spacing w:before="120" w:after="120" w:line="240" w:lineRule="auto"/>
              <w:ind w:left="31" w:right="4"/>
              <w:rPr>
                <w:color w:val="auto"/>
                <w:highlight w:val="none"/>
                <w:lang w:eastAsia="en-US"/>
              </w:rPr>
            </w:pPr>
            <w:r>
              <w:rPr>
                <w:color w:val="auto"/>
                <w:highlight w:val="none"/>
                <w:lang w:eastAsia="en-US"/>
              </w:rPr>
              <w:t>实际尺寸、容量、型号</w:t>
            </w:r>
          </w:p>
        </w:tc>
      </w:tr>
      <w:tr w14:paraId="4FADB3F7">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CA111EA">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4625AFA">
            <w:pPr>
              <w:pStyle w:val="561"/>
              <w:widowControl w:val="0"/>
              <w:spacing w:before="120" w:after="120"/>
              <w:ind w:left="31" w:right="4"/>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0993CF6">
            <w:pPr>
              <w:pStyle w:val="561"/>
              <w:widowControl w:val="0"/>
              <w:spacing w:before="120" w:after="120" w:line="240" w:lineRule="auto"/>
              <w:ind w:left="31" w:right="4"/>
              <w:rPr>
                <w:color w:val="auto"/>
                <w:highlight w:val="none"/>
                <w:lang w:eastAsia="en-US"/>
              </w:rPr>
            </w:pPr>
            <w:r>
              <w:rPr>
                <w:color w:val="auto"/>
                <w:highlight w:val="none"/>
                <w:lang w:eastAsia="en-US"/>
              </w:rPr>
              <w:t>配电箱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43FDCF8">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3F19A73">
            <w:pPr>
              <w:pStyle w:val="561"/>
              <w:widowControl w:val="0"/>
              <w:spacing w:before="120" w:after="120" w:line="240" w:lineRule="auto"/>
              <w:ind w:left="31" w:right="4"/>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C3AE334">
            <w:pPr>
              <w:pStyle w:val="561"/>
              <w:widowControl w:val="0"/>
              <w:spacing w:before="120" w:after="120" w:line="240" w:lineRule="auto"/>
              <w:ind w:left="31" w:right="4"/>
              <w:rPr>
                <w:color w:val="auto"/>
                <w:highlight w:val="none"/>
                <w:lang w:eastAsia="en-US"/>
              </w:rPr>
            </w:pPr>
            <w:r>
              <w:rPr>
                <w:color w:val="auto"/>
                <w:highlight w:val="none"/>
                <w:lang w:eastAsia="en-US"/>
              </w:rPr>
              <w:t>大致尺寸、位置、用途、编号</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64BDBAB">
            <w:pPr>
              <w:pStyle w:val="561"/>
              <w:widowControl w:val="0"/>
              <w:spacing w:before="120" w:after="120" w:line="240" w:lineRule="auto"/>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299B426">
            <w:pPr>
              <w:pStyle w:val="561"/>
              <w:widowControl w:val="0"/>
              <w:spacing w:before="120" w:after="120" w:line="240" w:lineRule="auto"/>
              <w:ind w:left="31" w:right="4"/>
              <w:rPr>
                <w:color w:val="auto"/>
                <w:highlight w:val="none"/>
                <w:lang w:eastAsia="en-US"/>
              </w:rPr>
            </w:pPr>
            <w:r>
              <w:rPr>
                <w:color w:val="auto"/>
                <w:highlight w:val="none"/>
                <w:lang w:eastAsia="en-US"/>
              </w:rPr>
              <w:t>设备型号、实际尺寸、编号、位置、用途</w:t>
            </w:r>
          </w:p>
        </w:tc>
      </w:tr>
      <w:tr w14:paraId="401F024A">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6AE71AF8">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FDBFA4B">
            <w:pPr>
              <w:pStyle w:val="561"/>
              <w:widowControl w:val="0"/>
              <w:spacing w:before="120" w:after="120" w:line="240" w:lineRule="auto"/>
              <w:ind w:left="31" w:right="4"/>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3561D23">
            <w:pPr>
              <w:pStyle w:val="561"/>
              <w:widowControl w:val="0"/>
              <w:spacing w:before="120" w:after="120" w:line="240" w:lineRule="auto"/>
              <w:ind w:left="31" w:right="4"/>
              <w:rPr>
                <w:color w:val="auto"/>
                <w:highlight w:val="none"/>
                <w:lang w:eastAsia="en-US"/>
              </w:rPr>
            </w:pPr>
            <w:r>
              <w:rPr>
                <w:color w:val="auto"/>
                <w:highlight w:val="none"/>
                <w:lang w:eastAsia="en-US"/>
              </w:rPr>
              <w:t>控制柜</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FE620FE">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2DD06D6">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w:t>
            </w:r>
          </w:p>
          <w:p w14:paraId="555F39E3">
            <w:pPr>
              <w:pStyle w:val="561"/>
              <w:widowControl w:val="0"/>
              <w:spacing w:before="120" w:after="120" w:line="240" w:lineRule="auto"/>
              <w:ind w:left="31" w:right="4"/>
              <w:rPr>
                <w:color w:val="auto"/>
                <w:highlight w:val="none"/>
                <w:lang w:eastAsia="en-US"/>
              </w:rPr>
            </w:pPr>
            <w:r>
              <w:rPr>
                <w:color w:val="auto"/>
                <w:highlight w:val="none"/>
                <w:lang w:eastAsia="en-US"/>
              </w:rPr>
              <w:t>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AAFCB6A">
            <w:pPr>
              <w:pStyle w:val="561"/>
              <w:widowControl w:val="0"/>
              <w:spacing w:before="120" w:after="120" w:line="240" w:lineRule="auto"/>
              <w:ind w:left="31" w:right="4"/>
              <w:rPr>
                <w:color w:val="auto"/>
                <w:highlight w:val="none"/>
                <w:lang w:eastAsia="en-US"/>
              </w:rPr>
            </w:pPr>
            <w:r>
              <w:rPr>
                <w:color w:val="auto"/>
                <w:highlight w:val="none"/>
                <w:lang w:eastAsia="en-US"/>
              </w:rPr>
              <w:t>大致尺寸、位置、用途、编号</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CDBF65D">
            <w:pPr>
              <w:pStyle w:val="561"/>
              <w:widowControl w:val="0"/>
              <w:spacing w:before="120" w:after="120" w:line="240" w:lineRule="auto"/>
              <w:ind w:left="31" w:right="4"/>
              <w:rPr>
                <w:color w:val="auto"/>
                <w:highlight w:val="none"/>
                <w:lang w:eastAsia="en-US"/>
              </w:rPr>
            </w:pPr>
            <w:r>
              <w:rPr>
                <w:color w:val="auto"/>
                <w:highlight w:val="none"/>
                <w:lang w:eastAsia="en-US"/>
              </w:rPr>
              <w:t>实际尺寸、位置、用途、编号</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C3DFD90">
            <w:pPr>
              <w:pStyle w:val="561"/>
              <w:widowControl w:val="0"/>
              <w:spacing w:before="120" w:after="120" w:line="240" w:lineRule="auto"/>
              <w:ind w:left="31" w:right="4"/>
              <w:rPr>
                <w:color w:val="auto"/>
                <w:highlight w:val="none"/>
                <w:lang w:eastAsia="en-US"/>
              </w:rPr>
            </w:pPr>
            <w:r>
              <w:rPr>
                <w:color w:val="auto"/>
                <w:highlight w:val="none"/>
                <w:lang w:eastAsia="en-US"/>
              </w:rPr>
              <w:t>设备型号、实际尺寸、编号、位置、用途</w:t>
            </w:r>
          </w:p>
        </w:tc>
      </w:tr>
      <w:tr w14:paraId="0093A252">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7B5F565">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2F5DCFD">
            <w:pPr>
              <w:pStyle w:val="561"/>
              <w:widowControl w:val="0"/>
              <w:spacing w:before="120" w:after="120" w:line="240" w:lineRule="auto"/>
              <w:ind w:left="31" w:right="4"/>
              <w:rPr>
                <w:color w:val="auto"/>
                <w:highlight w:val="none"/>
                <w:lang w:eastAsia="en-US"/>
              </w:rPr>
            </w:pPr>
            <w:r>
              <w:rPr>
                <w:color w:val="auto"/>
                <w:highlight w:val="none"/>
                <w:lang w:eastAsia="en-US"/>
              </w:rPr>
              <w:t>005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BE22D7">
            <w:pPr>
              <w:pStyle w:val="561"/>
              <w:widowControl w:val="0"/>
              <w:spacing w:before="120" w:after="120" w:line="240" w:lineRule="auto"/>
              <w:ind w:left="31" w:right="4"/>
              <w:rPr>
                <w:color w:val="auto"/>
                <w:highlight w:val="none"/>
                <w:lang w:eastAsia="en-US"/>
              </w:rPr>
            </w:pPr>
            <w:r>
              <w:rPr>
                <w:color w:val="auto"/>
                <w:highlight w:val="none"/>
                <w:lang w:eastAsia="en-US"/>
              </w:rPr>
              <w:t>灯具</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2283E4B">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4649D3">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w:t>
            </w:r>
          </w:p>
          <w:p w14:paraId="136ACEA8">
            <w:pPr>
              <w:pStyle w:val="561"/>
              <w:widowControl w:val="0"/>
              <w:spacing w:before="120" w:after="120" w:line="240" w:lineRule="auto"/>
              <w:ind w:left="31" w:right="4"/>
              <w:rPr>
                <w:color w:val="auto"/>
                <w:highlight w:val="none"/>
                <w:lang w:eastAsia="en-US"/>
              </w:rPr>
            </w:pPr>
            <w:r>
              <w:rPr>
                <w:color w:val="auto"/>
                <w:highlight w:val="none"/>
                <w:lang w:eastAsia="en-US"/>
              </w:rPr>
              <w:t>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8D203AD">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w:t>
            </w:r>
          </w:p>
          <w:p w14:paraId="61039961">
            <w:pPr>
              <w:pStyle w:val="561"/>
              <w:widowControl w:val="0"/>
              <w:spacing w:before="120" w:after="120" w:line="240" w:lineRule="auto"/>
              <w:ind w:left="31" w:right="4"/>
              <w:rPr>
                <w:color w:val="auto"/>
                <w:highlight w:val="none"/>
                <w:lang w:eastAsia="en-US"/>
              </w:rPr>
            </w:pPr>
            <w:r>
              <w:rPr>
                <w:color w:val="auto"/>
                <w:highlight w:val="none"/>
                <w:lang w:eastAsia="en-US"/>
              </w:rPr>
              <w:t>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DD91FE2">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A47E237">
            <w:pPr>
              <w:pStyle w:val="561"/>
              <w:widowControl w:val="0"/>
              <w:spacing w:before="120" w:after="120" w:line="240" w:lineRule="auto"/>
              <w:ind w:left="31" w:right="4"/>
              <w:rPr>
                <w:color w:val="auto"/>
                <w:highlight w:val="none"/>
                <w:lang w:eastAsia="en-US"/>
              </w:rPr>
            </w:pPr>
            <w:r>
              <w:rPr>
                <w:color w:val="auto"/>
                <w:highlight w:val="none"/>
                <w:lang w:eastAsia="en-US"/>
              </w:rPr>
              <w:t>设备型号、实际尺寸、编号、位置、用途</w:t>
            </w:r>
          </w:p>
        </w:tc>
      </w:tr>
      <w:tr w14:paraId="14224EAA">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56690469">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9C6431C">
            <w:pPr>
              <w:pStyle w:val="561"/>
              <w:widowControl w:val="0"/>
              <w:spacing w:before="120" w:after="120" w:line="240" w:lineRule="auto"/>
              <w:ind w:left="31" w:right="4"/>
              <w:rPr>
                <w:color w:val="auto"/>
                <w:highlight w:val="none"/>
                <w:lang w:eastAsia="en-US"/>
              </w:rPr>
            </w:pPr>
            <w:r>
              <w:rPr>
                <w:color w:val="auto"/>
                <w:highlight w:val="none"/>
                <w:lang w:eastAsia="en-US"/>
              </w:rPr>
              <w:t>006</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8A09EEA">
            <w:pPr>
              <w:pStyle w:val="561"/>
              <w:widowControl w:val="0"/>
              <w:spacing w:before="120" w:after="120" w:line="240" w:lineRule="auto"/>
              <w:ind w:left="31" w:right="4"/>
              <w:rPr>
                <w:color w:val="auto"/>
                <w:highlight w:val="none"/>
                <w:lang w:eastAsia="en-US"/>
              </w:rPr>
            </w:pPr>
            <w:r>
              <w:rPr>
                <w:color w:val="auto"/>
                <w:highlight w:val="none"/>
                <w:lang w:eastAsia="en-US"/>
              </w:rPr>
              <w:t>插座</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05F0830">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820A8EA">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w:t>
            </w:r>
          </w:p>
          <w:p w14:paraId="3D6501DF">
            <w:pPr>
              <w:pStyle w:val="561"/>
              <w:widowControl w:val="0"/>
              <w:spacing w:before="120" w:after="120" w:line="240" w:lineRule="auto"/>
              <w:ind w:left="31" w:right="4"/>
              <w:rPr>
                <w:color w:val="auto"/>
                <w:highlight w:val="none"/>
                <w:lang w:eastAsia="en-US"/>
              </w:rPr>
            </w:pPr>
            <w:r>
              <w:rPr>
                <w:color w:val="auto"/>
                <w:highlight w:val="none"/>
                <w:lang w:eastAsia="en-US"/>
              </w:rPr>
              <w:t>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1B9B538">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w:t>
            </w:r>
          </w:p>
          <w:p w14:paraId="6038849F">
            <w:pPr>
              <w:pStyle w:val="561"/>
              <w:widowControl w:val="0"/>
              <w:spacing w:before="120" w:after="120" w:line="240" w:lineRule="auto"/>
              <w:ind w:left="31" w:right="4"/>
              <w:rPr>
                <w:color w:val="auto"/>
                <w:highlight w:val="none"/>
                <w:lang w:eastAsia="en-US"/>
              </w:rPr>
            </w:pPr>
            <w:r>
              <w:rPr>
                <w:color w:val="auto"/>
                <w:highlight w:val="none"/>
                <w:lang w:eastAsia="en-US"/>
              </w:rPr>
              <w:t>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9EBA993">
            <w:pPr>
              <w:pStyle w:val="561"/>
              <w:widowControl w:val="0"/>
              <w:spacing w:before="120" w:after="120" w:line="240" w:lineRule="auto"/>
              <w:ind w:left="31" w:right="4"/>
              <w:rPr>
                <w:color w:val="auto"/>
                <w:highlight w:val="none"/>
                <w:lang w:eastAsia="en-US"/>
              </w:rPr>
            </w:pPr>
            <w:r>
              <w:rPr>
                <w:color w:val="auto"/>
                <w:highlight w:val="none"/>
                <w:lang w:eastAsia="en-US"/>
              </w:rPr>
              <w:t>精确尺寸、设备编号、位置、用途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4B620A4">
            <w:pPr>
              <w:pStyle w:val="561"/>
              <w:widowControl w:val="0"/>
              <w:spacing w:before="120" w:after="120" w:line="240" w:lineRule="auto"/>
              <w:ind w:left="31" w:right="4"/>
              <w:rPr>
                <w:color w:val="auto"/>
                <w:highlight w:val="none"/>
                <w:lang w:eastAsia="en-US"/>
              </w:rPr>
            </w:pPr>
            <w:r>
              <w:rPr>
                <w:color w:val="auto"/>
                <w:highlight w:val="none"/>
                <w:lang w:eastAsia="en-US"/>
              </w:rPr>
              <w:t>设备型号、实际尺</w:t>
            </w:r>
          </w:p>
          <w:p w14:paraId="52B5B950">
            <w:pPr>
              <w:pStyle w:val="561"/>
              <w:widowControl w:val="0"/>
              <w:spacing w:before="120" w:after="120" w:line="240" w:lineRule="auto"/>
              <w:ind w:left="31" w:right="4"/>
              <w:rPr>
                <w:color w:val="auto"/>
                <w:highlight w:val="none"/>
                <w:lang w:eastAsia="en-US"/>
              </w:rPr>
            </w:pPr>
            <w:r>
              <w:rPr>
                <w:color w:val="auto"/>
                <w:highlight w:val="none"/>
                <w:lang w:eastAsia="en-US"/>
              </w:rPr>
              <w:t>寸、编号、位置、用途</w:t>
            </w:r>
          </w:p>
        </w:tc>
      </w:tr>
      <w:tr w14:paraId="4B9DB26F">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48371C4">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974B947">
            <w:pPr>
              <w:pStyle w:val="561"/>
              <w:widowControl w:val="0"/>
              <w:spacing w:before="120" w:after="120" w:line="240" w:lineRule="auto"/>
              <w:ind w:left="31" w:right="4"/>
              <w:rPr>
                <w:color w:val="auto"/>
                <w:highlight w:val="none"/>
                <w:lang w:eastAsia="en-US"/>
              </w:rPr>
            </w:pPr>
            <w:r>
              <w:rPr>
                <w:color w:val="auto"/>
                <w:highlight w:val="none"/>
                <w:lang w:eastAsia="en-US"/>
              </w:rPr>
              <w:t>007</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D31FBBE">
            <w:pPr>
              <w:pStyle w:val="561"/>
              <w:widowControl w:val="0"/>
              <w:spacing w:before="120" w:after="120" w:line="240" w:lineRule="auto"/>
              <w:ind w:left="31" w:right="4"/>
              <w:rPr>
                <w:color w:val="auto"/>
                <w:highlight w:val="none"/>
                <w:lang w:eastAsia="en-US"/>
              </w:rPr>
            </w:pPr>
            <w:r>
              <w:rPr>
                <w:color w:val="auto"/>
                <w:highlight w:val="none"/>
                <w:lang w:eastAsia="en-US"/>
              </w:rPr>
              <w:t>弱电线槽</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9ED563E">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F9C6B91">
            <w:pPr>
              <w:pStyle w:val="561"/>
              <w:widowControl w:val="0"/>
              <w:spacing w:before="120" w:after="120" w:line="240" w:lineRule="auto"/>
              <w:ind w:left="31" w:right="4"/>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2B11274">
            <w:pPr>
              <w:pStyle w:val="561"/>
              <w:widowControl w:val="0"/>
              <w:spacing w:before="120" w:after="120" w:line="240" w:lineRule="auto"/>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E25EEF0">
            <w:pPr>
              <w:pStyle w:val="561"/>
              <w:widowControl w:val="0"/>
              <w:spacing w:before="120" w:after="120" w:line="240" w:lineRule="auto"/>
              <w:ind w:left="31" w:right="4"/>
              <w:rPr>
                <w:color w:val="auto"/>
                <w:highlight w:val="none"/>
                <w:lang w:eastAsia="en-US"/>
              </w:rPr>
            </w:pPr>
            <w:r>
              <w:rPr>
                <w:color w:val="auto"/>
                <w:highlight w:val="none"/>
                <w:lang w:eastAsia="en-US"/>
              </w:rPr>
              <w:t>精确尺寸、管材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B904EED">
            <w:pPr>
              <w:pStyle w:val="561"/>
              <w:widowControl w:val="0"/>
              <w:spacing w:before="120" w:after="120" w:line="240" w:lineRule="auto"/>
              <w:ind w:left="31" w:right="4"/>
              <w:rPr>
                <w:color w:val="auto"/>
                <w:highlight w:val="none"/>
                <w:lang w:eastAsia="en-US"/>
              </w:rPr>
            </w:pPr>
            <w:r>
              <w:rPr>
                <w:color w:val="auto"/>
                <w:highlight w:val="none"/>
                <w:lang w:eastAsia="en-US"/>
              </w:rPr>
              <w:t>实际尺寸，管材，连接件最终尺寸</w:t>
            </w:r>
          </w:p>
        </w:tc>
      </w:tr>
      <w:tr w14:paraId="6C49B9CE">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6734676E">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547A20F">
            <w:pPr>
              <w:pStyle w:val="561"/>
              <w:widowControl w:val="0"/>
              <w:spacing w:before="120" w:after="120" w:line="240" w:lineRule="auto"/>
              <w:ind w:left="31" w:right="4"/>
              <w:rPr>
                <w:color w:val="auto"/>
                <w:highlight w:val="none"/>
                <w:lang w:eastAsia="en-US"/>
              </w:rPr>
            </w:pPr>
            <w:r>
              <w:rPr>
                <w:color w:val="auto"/>
                <w:highlight w:val="none"/>
                <w:lang w:eastAsia="en-US"/>
              </w:rPr>
              <w:t>008</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46C9B5A">
            <w:pPr>
              <w:pStyle w:val="561"/>
              <w:widowControl w:val="0"/>
              <w:spacing w:before="120" w:after="120" w:line="240" w:lineRule="auto"/>
              <w:ind w:left="31" w:right="4"/>
              <w:rPr>
                <w:color w:val="auto"/>
                <w:highlight w:val="none"/>
                <w:lang w:eastAsia="en-US"/>
              </w:rPr>
            </w:pPr>
            <w:r>
              <w:rPr>
                <w:color w:val="auto"/>
                <w:highlight w:val="none"/>
                <w:lang w:eastAsia="en-US"/>
              </w:rPr>
              <w:t>音箱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D86265C">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8B2847D">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9686BA9">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DB50D6D">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3C2468D">
            <w:pPr>
              <w:pStyle w:val="561"/>
              <w:widowControl w:val="0"/>
              <w:spacing w:before="120" w:after="120" w:line="240" w:lineRule="auto"/>
              <w:ind w:left="31" w:right="4"/>
              <w:rPr>
                <w:color w:val="auto"/>
                <w:highlight w:val="none"/>
                <w:lang w:eastAsia="en-US"/>
              </w:rPr>
            </w:pPr>
            <w:r>
              <w:rPr>
                <w:color w:val="auto"/>
                <w:highlight w:val="none"/>
                <w:lang w:eastAsia="en-US"/>
              </w:rPr>
              <w:t>设备型号、实际尺寸、编号、位置、用途</w:t>
            </w:r>
          </w:p>
        </w:tc>
      </w:tr>
      <w:tr w14:paraId="47FDF7F0">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D836377">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8AD7B01">
            <w:pPr>
              <w:pStyle w:val="561"/>
              <w:widowControl w:val="0"/>
              <w:spacing w:before="120" w:after="120" w:line="240" w:lineRule="auto"/>
              <w:ind w:left="31" w:right="4"/>
              <w:rPr>
                <w:color w:val="auto"/>
                <w:highlight w:val="none"/>
                <w:lang w:eastAsia="en-US"/>
              </w:rPr>
            </w:pPr>
            <w:r>
              <w:rPr>
                <w:color w:val="auto"/>
                <w:highlight w:val="none"/>
                <w:lang w:eastAsia="en-US"/>
              </w:rPr>
              <w:t>009</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549317E">
            <w:pPr>
              <w:pStyle w:val="561"/>
              <w:widowControl w:val="0"/>
              <w:spacing w:before="120" w:after="120" w:line="240" w:lineRule="auto"/>
              <w:ind w:left="31" w:right="4"/>
              <w:rPr>
                <w:color w:val="auto"/>
                <w:highlight w:val="none"/>
                <w:lang w:eastAsia="en-US"/>
              </w:rPr>
            </w:pPr>
            <w:r>
              <w:rPr>
                <w:color w:val="auto"/>
                <w:highlight w:val="none"/>
                <w:lang w:eastAsia="en-US"/>
              </w:rPr>
              <w:t>信息点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8E0A0C8">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1FF2806">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AE42404">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w:t>
            </w:r>
          </w:p>
          <w:p w14:paraId="114552D6">
            <w:pPr>
              <w:pStyle w:val="561"/>
              <w:widowControl w:val="0"/>
              <w:spacing w:before="120" w:after="120" w:line="240" w:lineRule="auto"/>
              <w:ind w:left="31" w:right="4"/>
              <w:rPr>
                <w:color w:val="auto"/>
                <w:highlight w:val="none"/>
                <w:lang w:eastAsia="en-US"/>
              </w:rPr>
            </w:pPr>
            <w:r>
              <w:rPr>
                <w:color w:val="auto"/>
                <w:highlight w:val="none"/>
                <w:lang w:eastAsia="en-US"/>
              </w:rPr>
              <w:t>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9B4D754">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65ACBA5">
            <w:pPr>
              <w:pStyle w:val="561"/>
              <w:widowControl w:val="0"/>
              <w:spacing w:before="120" w:after="120" w:line="240" w:lineRule="auto"/>
              <w:ind w:left="31" w:right="4"/>
              <w:rPr>
                <w:color w:val="auto"/>
                <w:highlight w:val="none"/>
                <w:lang w:eastAsia="en-US"/>
              </w:rPr>
            </w:pPr>
            <w:r>
              <w:rPr>
                <w:color w:val="auto"/>
                <w:highlight w:val="none"/>
                <w:lang w:eastAsia="en-US"/>
              </w:rPr>
              <w:t>设备型号、实际尺寸、编号、位置、用途</w:t>
            </w:r>
          </w:p>
        </w:tc>
      </w:tr>
      <w:tr w14:paraId="7F4559D4">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2FD72C3">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05A62B">
            <w:pPr>
              <w:pStyle w:val="561"/>
              <w:widowControl w:val="0"/>
              <w:spacing w:before="120" w:after="120" w:line="240" w:lineRule="auto"/>
              <w:ind w:left="31" w:right="4"/>
              <w:rPr>
                <w:color w:val="auto"/>
                <w:highlight w:val="none"/>
                <w:lang w:eastAsia="en-US"/>
              </w:rPr>
            </w:pPr>
            <w:r>
              <w:rPr>
                <w:color w:val="auto"/>
                <w:highlight w:val="none"/>
                <w:lang w:eastAsia="en-US"/>
              </w:rPr>
              <w:t>010</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16D51B4">
            <w:pPr>
              <w:pStyle w:val="561"/>
              <w:widowControl w:val="0"/>
              <w:spacing w:before="120" w:after="120" w:line="240" w:lineRule="auto"/>
              <w:ind w:left="31" w:right="4"/>
              <w:rPr>
                <w:color w:val="auto"/>
                <w:highlight w:val="none"/>
                <w:lang w:eastAsia="en-US"/>
              </w:rPr>
            </w:pPr>
            <w:r>
              <w:rPr>
                <w:color w:val="auto"/>
                <w:highlight w:val="none"/>
                <w:lang w:eastAsia="en-US"/>
              </w:rPr>
              <w:t>强电线槽</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3E08C4A">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8BCD321">
            <w:pPr>
              <w:pStyle w:val="561"/>
              <w:widowControl w:val="0"/>
              <w:spacing w:before="120" w:after="120" w:line="240" w:lineRule="auto"/>
              <w:ind w:left="31" w:right="4"/>
              <w:rPr>
                <w:color w:val="auto"/>
                <w:highlight w:val="none"/>
                <w:lang w:eastAsia="en-US"/>
              </w:rPr>
            </w:pPr>
            <w:r>
              <w:rPr>
                <w:color w:val="auto"/>
                <w:highlight w:val="none"/>
                <w:lang w:eastAsia="en-US"/>
              </w:rPr>
              <w:t>大概尺寸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4CC0C06">
            <w:pPr>
              <w:pStyle w:val="561"/>
              <w:widowControl w:val="0"/>
              <w:spacing w:before="120" w:after="120" w:line="240" w:lineRule="auto"/>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4C61E0">
            <w:pPr>
              <w:pStyle w:val="561"/>
              <w:widowControl w:val="0"/>
              <w:spacing w:before="120" w:after="120" w:line="240" w:lineRule="auto"/>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E7774C4">
            <w:pPr>
              <w:pStyle w:val="561"/>
              <w:widowControl w:val="0"/>
              <w:spacing w:before="120" w:after="120" w:line="240" w:lineRule="auto"/>
              <w:ind w:left="31" w:right="4"/>
              <w:rPr>
                <w:color w:val="auto"/>
                <w:highlight w:val="none"/>
                <w:lang w:eastAsia="en-US"/>
              </w:rPr>
            </w:pPr>
            <w:r>
              <w:rPr>
                <w:color w:val="auto"/>
                <w:highlight w:val="none"/>
                <w:lang w:eastAsia="en-US"/>
              </w:rPr>
              <w:t>实际尺寸，管材，连接件最终尺寸</w:t>
            </w:r>
          </w:p>
        </w:tc>
      </w:tr>
      <w:tr w14:paraId="6D795533">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3314207">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E27BC5">
            <w:pPr>
              <w:pStyle w:val="561"/>
              <w:widowControl w:val="0"/>
              <w:spacing w:before="120" w:after="120" w:line="240" w:lineRule="auto"/>
              <w:ind w:left="31" w:right="4"/>
              <w:rPr>
                <w:color w:val="auto"/>
                <w:highlight w:val="none"/>
                <w:lang w:eastAsia="en-US"/>
              </w:rPr>
            </w:pPr>
            <w:r>
              <w:rPr>
                <w:color w:val="auto"/>
                <w:highlight w:val="none"/>
                <w:lang w:eastAsia="en-US"/>
              </w:rPr>
              <w:t>011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B5CAE11">
            <w:pPr>
              <w:pStyle w:val="561"/>
              <w:widowControl w:val="0"/>
              <w:spacing w:before="120" w:after="120" w:line="240" w:lineRule="auto"/>
              <w:ind w:left="31" w:right="4"/>
              <w:rPr>
                <w:color w:val="auto"/>
                <w:highlight w:val="none"/>
                <w:lang w:eastAsia="en-US"/>
              </w:rPr>
            </w:pPr>
            <w:r>
              <w:rPr>
                <w:color w:val="auto"/>
                <w:highlight w:val="none"/>
                <w:lang w:eastAsia="en-US"/>
              </w:rPr>
              <w:t>摄像机</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B17EB85">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DB247E">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ED74CCD">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86D79A5">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581085B">
            <w:pPr>
              <w:pStyle w:val="561"/>
              <w:widowControl w:val="0"/>
              <w:spacing w:before="120" w:after="120" w:line="240" w:lineRule="auto"/>
              <w:ind w:left="31" w:right="4"/>
              <w:rPr>
                <w:color w:val="auto"/>
                <w:highlight w:val="none"/>
                <w:lang w:eastAsia="en-US"/>
              </w:rPr>
            </w:pPr>
            <w:r>
              <w:rPr>
                <w:color w:val="auto"/>
                <w:highlight w:val="none"/>
                <w:lang w:eastAsia="en-US"/>
              </w:rPr>
              <w:t>设备型号、精确尺寸、编号、位置、用途</w:t>
            </w:r>
          </w:p>
        </w:tc>
      </w:tr>
      <w:tr w14:paraId="76A4C5E0">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A4F95BB">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14AD662">
            <w:pPr>
              <w:pStyle w:val="561"/>
              <w:widowControl w:val="0"/>
              <w:spacing w:before="120" w:after="120" w:line="240" w:lineRule="auto"/>
              <w:ind w:left="31" w:right="4"/>
              <w:rPr>
                <w:color w:val="auto"/>
                <w:highlight w:val="none"/>
                <w:lang w:eastAsia="en-US"/>
              </w:rPr>
            </w:pPr>
            <w:r>
              <w:rPr>
                <w:color w:val="auto"/>
                <w:highlight w:val="none"/>
                <w:lang w:eastAsia="en-US"/>
              </w:rPr>
              <w:t>012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C8DD2D6">
            <w:pPr>
              <w:pStyle w:val="561"/>
              <w:widowControl w:val="0"/>
              <w:spacing w:before="120" w:after="120" w:line="240" w:lineRule="auto"/>
              <w:ind w:left="31" w:right="4"/>
              <w:rPr>
                <w:color w:val="auto"/>
                <w:highlight w:val="none"/>
                <w:lang w:eastAsia="en-US"/>
              </w:rPr>
            </w:pPr>
            <w:r>
              <w:rPr>
                <w:color w:val="auto"/>
                <w:highlight w:val="none"/>
                <w:lang w:eastAsia="en-US"/>
              </w:rPr>
              <w:t>探测器</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6CB0944">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77CD72F">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6A95C44">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1264D33">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F36D8CF">
            <w:pPr>
              <w:pStyle w:val="561"/>
              <w:widowControl w:val="0"/>
              <w:spacing w:before="120" w:after="120" w:line="240" w:lineRule="auto"/>
              <w:ind w:left="31" w:right="4"/>
              <w:rPr>
                <w:color w:val="auto"/>
                <w:highlight w:val="none"/>
                <w:lang w:eastAsia="en-US"/>
              </w:rPr>
            </w:pPr>
            <w:r>
              <w:rPr>
                <w:color w:val="auto"/>
                <w:highlight w:val="none"/>
                <w:lang w:eastAsia="en-US"/>
              </w:rPr>
              <w:t>设备型号、精确尺寸、编号、位置、用途</w:t>
            </w:r>
          </w:p>
        </w:tc>
      </w:tr>
      <w:tr w14:paraId="6D264ABF">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66A7104">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7B30CB0">
            <w:pPr>
              <w:pStyle w:val="561"/>
              <w:widowControl w:val="0"/>
              <w:spacing w:before="120" w:after="120" w:line="240" w:lineRule="auto"/>
              <w:ind w:left="31" w:right="4"/>
              <w:rPr>
                <w:color w:val="auto"/>
                <w:highlight w:val="none"/>
                <w:lang w:eastAsia="en-US"/>
              </w:rPr>
            </w:pPr>
            <w:r>
              <w:rPr>
                <w:color w:val="auto"/>
                <w:highlight w:val="none"/>
                <w:lang w:eastAsia="en-US"/>
              </w:rPr>
              <w:t>013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3E1338B">
            <w:pPr>
              <w:pStyle w:val="561"/>
              <w:widowControl w:val="0"/>
              <w:spacing w:before="120" w:after="120" w:line="240" w:lineRule="auto"/>
              <w:ind w:left="31" w:right="4"/>
              <w:rPr>
                <w:color w:val="auto"/>
                <w:highlight w:val="none"/>
                <w:lang w:eastAsia="en-US"/>
              </w:rPr>
            </w:pPr>
            <w:r>
              <w:rPr>
                <w:color w:val="auto"/>
                <w:highlight w:val="none"/>
                <w:lang w:eastAsia="en-US"/>
              </w:rPr>
              <w:t>接线箱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79C3661">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7D793EF">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E3AD142">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5CE5F5C">
            <w:pPr>
              <w:pStyle w:val="561"/>
              <w:widowControl w:val="0"/>
              <w:spacing w:before="120" w:after="120" w:line="240" w:lineRule="auto"/>
              <w:ind w:left="31" w:right="4"/>
              <w:rPr>
                <w:color w:val="auto"/>
                <w:highlight w:val="none"/>
                <w:lang w:eastAsia="en-US"/>
              </w:rPr>
            </w:pPr>
            <w:r>
              <w:rPr>
                <w:color w:val="auto"/>
                <w:highlight w:val="none"/>
                <w:lang w:eastAsia="en-US"/>
              </w:rPr>
              <w:t>具有精确尺寸、位置、用途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425E119">
            <w:pPr>
              <w:pStyle w:val="561"/>
              <w:widowControl w:val="0"/>
              <w:spacing w:before="120" w:after="120" w:line="240" w:lineRule="auto"/>
              <w:ind w:left="31" w:right="4"/>
              <w:rPr>
                <w:color w:val="auto"/>
                <w:highlight w:val="none"/>
                <w:lang w:eastAsia="en-US"/>
              </w:rPr>
            </w:pPr>
            <w:r>
              <w:rPr>
                <w:color w:val="auto"/>
                <w:highlight w:val="none"/>
                <w:lang w:eastAsia="en-US"/>
              </w:rPr>
              <w:t>设备型号、精确尺寸、编号、位置、用途</w:t>
            </w:r>
          </w:p>
        </w:tc>
      </w:tr>
      <w:tr w14:paraId="109E2C88">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58F9DDC3">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18539F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注：上述模型精度要求仅作参考，具体精度内容应参考相关合同、行业标准、地方标准的要求。</w:t>
            </w:r>
          </w:p>
        </w:tc>
      </w:tr>
    </w:tbl>
    <w:p w14:paraId="49C9D69E">
      <w:pPr>
        <w:spacing w:before="120" w:after="120" w:line="272" w:lineRule="exact"/>
        <w:rPr>
          <w:rFonts w:ascii="宋体" w:hAnsi="宋体" w:cs="宋体"/>
          <w:color w:val="auto"/>
          <w:szCs w:val="21"/>
          <w:highlight w:val="none"/>
        </w:rPr>
        <w:sectPr>
          <w:pgSz w:w="16840" w:h="11910" w:orient="landscape"/>
          <w:pgMar w:top="1440" w:right="1800" w:bottom="1440" w:left="1800" w:header="907" w:footer="953" w:gutter="0"/>
          <w:pgNumType w:fmt="numberInDash"/>
          <w:cols w:space="720" w:num="1"/>
        </w:sectPr>
      </w:pPr>
    </w:p>
    <w:p w14:paraId="4B03152B">
      <w:pPr>
        <w:spacing w:before="120" w:after="120" w:line="312" w:lineRule="auto"/>
        <w:ind w:firstLine="0" w:firstLineChars="0"/>
        <w:rPr>
          <w:rFonts w:eastAsia="Times New Roman" w:cs="Times New Roman"/>
          <w:color w:val="auto"/>
          <w:sz w:val="7"/>
          <w:szCs w:val="7"/>
          <w:highlight w:val="none"/>
        </w:rPr>
      </w:pPr>
    </w:p>
    <w:p w14:paraId="4354B306">
      <w:pPr>
        <w:pStyle w:val="584"/>
        <w:spacing w:before="120" w:after="120"/>
        <w:ind w:firstLine="420" w:firstLineChars="200"/>
        <w:rPr>
          <w:color w:val="auto"/>
          <w:highlight w:val="none"/>
        </w:rPr>
      </w:pPr>
      <w:bookmarkStart w:id="307" w:name="_Toc919"/>
      <w:r>
        <w:rPr>
          <w:color w:val="auto"/>
          <w:highlight w:val="none"/>
        </w:rPr>
        <w:t>6  室外管线专业</w:t>
      </w:r>
      <w:bookmarkEnd w:id="307"/>
    </w:p>
    <w:tbl>
      <w:tblPr>
        <w:tblStyle w:val="519"/>
        <w:tblW w:w="4999" w:type="pct"/>
        <w:tblInd w:w="0" w:type="dxa"/>
        <w:tblLayout w:type="autofit"/>
        <w:tblCellMar>
          <w:top w:w="0" w:type="dxa"/>
          <w:left w:w="0" w:type="dxa"/>
          <w:bottom w:w="0" w:type="dxa"/>
          <w:right w:w="0" w:type="dxa"/>
        </w:tblCellMar>
      </w:tblPr>
      <w:tblGrid>
        <w:gridCol w:w="1100"/>
        <w:gridCol w:w="510"/>
        <w:gridCol w:w="1205"/>
        <w:gridCol w:w="2187"/>
        <w:gridCol w:w="2187"/>
        <w:gridCol w:w="2187"/>
        <w:gridCol w:w="2187"/>
        <w:gridCol w:w="1788"/>
      </w:tblGrid>
      <w:tr w14:paraId="4DD6B968">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127652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6A075628">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1ED56B51">
            <w:pPr>
              <w:pStyle w:val="561"/>
              <w:widowControl w:val="0"/>
              <w:spacing w:before="120" w:after="120" w:line="240" w:lineRule="auto"/>
              <w:ind w:left="31"/>
              <w:rPr>
                <w:rFonts w:ascii="Times New Roman" w:hAnsi="Times New Roman" w:cs="Times New Roman"/>
                <w:color w:val="auto"/>
                <w:szCs w:val="24"/>
                <w:highlight w:val="none"/>
                <w:lang w:eastAsia="en-US"/>
              </w:rPr>
            </w:pPr>
          </w:p>
          <w:p w14:paraId="6C0A76E5">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A4F8CF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20229A4">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CF797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34874E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7BA8FA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727FC805">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6DE1AF5A">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32973C1F">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F01642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648881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F50BE40">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105B24B">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13B4E89">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7CCE1F54">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34BF9749">
            <w:pPr>
              <w:pStyle w:val="561"/>
              <w:widowControl w:val="0"/>
              <w:spacing w:before="120" w:after="120"/>
              <w:ind w:left="31" w:right="4"/>
              <w:rPr>
                <w:color w:val="auto"/>
                <w:highlight w:val="none"/>
                <w:lang w:eastAsia="en-US"/>
              </w:rPr>
            </w:pPr>
            <w:r>
              <w:rPr>
                <w:rFonts w:hint="eastAsia"/>
                <w:color w:val="auto"/>
                <w:highlight w:val="none"/>
                <w:lang w:eastAsia="en-US"/>
              </w:rPr>
              <w:t>室外管线</w:t>
            </w: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F8333A4">
            <w:pPr>
              <w:pStyle w:val="561"/>
              <w:widowControl w:val="0"/>
              <w:spacing w:before="120" w:after="120"/>
              <w:ind w:left="31" w:right="4"/>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6043E26">
            <w:pPr>
              <w:pStyle w:val="561"/>
              <w:widowControl w:val="0"/>
              <w:spacing w:before="120" w:after="120"/>
              <w:ind w:left="31" w:right="4"/>
              <w:rPr>
                <w:color w:val="auto"/>
                <w:highlight w:val="none"/>
                <w:lang w:eastAsia="en-US"/>
              </w:rPr>
            </w:pPr>
            <w:r>
              <w:rPr>
                <w:color w:val="auto"/>
                <w:highlight w:val="none"/>
                <w:lang w:eastAsia="en-US"/>
              </w:rPr>
              <w:t>市政给水</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4CF24AE">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C46FDA1">
            <w:pPr>
              <w:pStyle w:val="561"/>
              <w:widowControl w:val="0"/>
              <w:spacing w:before="120" w:after="120"/>
              <w:ind w:left="31" w:right="4"/>
              <w:rPr>
                <w:color w:val="auto"/>
                <w:highlight w:val="none"/>
                <w:lang w:eastAsia="en-US"/>
              </w:rPr>
            </w:pPr>
            <w:r>
              <w:rPr>
                <w:color w:val="auto"/>
                <w:highlight w:val="none"/>
                <w:lang w:eastAsia="en-US"/>
              </w:rPr>
              <w:t>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1503AD9">
            <w:pPr>
              <w:pStyle w:val="561"/>
              <w:widowControl w:val="0"/>
              <w:spacing w:before="120" w:after="120"/>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FF8BAAE">
            <w:pPr>
              <w:pStyle w:val="561"/>
              <w:widowControl w:val="0"/>
              <w:spacing w:before="120" w:after="120"/>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3A69602">
            <w:pPr>
              <w:pStyle w:val="561"/>
              <w:widowControl w:val="0"/>
              <w:spacing w:before="120" w:after="120"/>
              <w:ind w:left="31" w:right="4"/>
              <w:rPr>
                <w:color w:val="auto"/>
                <w:highlight w:val="none"/>
                <w:lang w:eastAsia="en-US"/>
              </w:rPr>
            </w:pPr>
            <w:r>
              <w:rPr>
                <w:color w:val="auto"/>
                <w:highlight w:val="none"/>
                <w:lang w:eastAsia="en-US"/>
              </w:rPr>
              <w:t>实际尺寸，管材，连接件最终尺寸，以及节点计入详细模型</w:t>
            </w:r>
          </w:p>
        </w:tc>
      </w:tr>
      <w:tr w14:paraId="5D817227">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C5D265B">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3AAE34E">
            <w:pPr>
              <w:pStyle w:val="561"/>
              <w:widowControl w:val="0"/>
              <w:spacing w:before="120" w:after="120"/>
              <w:ind w:left="31" w:right="4"/>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0201EB8">
            <w:pPr>
              <w:pStyle w:val="561"/>
              <w:widowControl w:val="0"/>
              <w:spacing w:before="120" w:after="120"/>
              <w:ind w:left="31" w:right="4"/>
              <w:rPr>
                <w:color w:val="auto"/>
                <w:highlight w:val="none"/>
                <w:lang w:eastAsia="en-US"/>
              </w:rPr>
            </w:pPr>
            <w:r>
              <w:rPr>
                <w:color w:val="auto"/>
                <w:highlight w:val="none"/>
                <w:lang w:eastAsia="en-US"/>
              </w:rPr>
              <w:t>市政排水</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B5EB5A">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FC5799">
            <w:pPr>
              <w:pStyle w:val="561"/>
              <w:widowControl w:val="0"/>
              <w:spacing w:before="120" w:after="120"/>
              <w:ind w:left="31" w:right="4"/>
              <w:rPr>
                <w:color w:val="auto"/>
                <w:highlight w:val="none"/>
                <w:lang w:eastAsia="en-US"/>
              </w:rPr>
            </w:pPr>
            <w:r>
              <w:rPr>
                <w:color w:val="auto"/>
                <w:highlight w:val="none"/>
                <w:lang w:eastAsia="en-US"/>
              </w:rPr>
              <w:t>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BFBBB08">
            <w:pPr>
              <w:pStyle w:val="561"/>
              <w:widowControl w:val="0"/>
              <w:spacing w:before="120" w:after="120"/>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F9BC769">
            <w:pPr>
              <w:pStyle w:val="561"/>
              <w:widowControl w:val="0"/>
              <w:spacing w:before="120" w:after="120"/>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D59EDA5">
            <w:pPr>
              <w:pStyle w:val="561"/>
              <w:widowControl w:val="0"/>
              <w:spacing w:before="120" w:after="120"/>
              <w:ind w:left="31" w:right="4"/>
              <w:rPr>
                <w:color w:val="auto"/>
                <w:highlight w:val="none"/>
                <w:lang w:eastAsia="en-US"/>
              </w:rPr>
            </w:pPr>
            <w:r>
              <w:rPr>
                <w:color w:val="auto"/>
                <w:highlight w:val="none"/>
                <w:lang w:eastAsia="en-US"/>
              </w:rPr>
              <w:t>实际尺寸，管材，连接件最终尺寸，以及节点计入详细模型</w:t>
            </w:r>
          </w:p>
        </w:tc>
      </w:tr>
      <w:tr w14:paraId="7EED2D0C">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7FEAC6F">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A306E1F">
            <w:pPr>
              <w:pStyle w:val="561"/>
              <w:widowControl w:val="0"/>
              <w:spacing w:before="120" w:after="120"/>
              <w:ind w:left="31" w:right="4"/>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F794FE5">
            <w:pPr>
              <w:pStyle w:val="561"/>
              <w:widowControl w:val="0"/>
              <w:spacing w:before="120" w:after="120"/>
              <w:ind w:left="31" w:right="4"/>
              <w:rPr>
                <w:color w:val="auto"/>
                <w:highlight w:val="none"/>
                <w:lang w:eastAsia="en-US"/>
              </w:rPr>
            </w:pPr>
            <w:r>
              <w:rPr>
                <w:color w:val="auto"/>
                <w:highlight w:val="none"/>
                <w:lang w:eastAsia="en-US"/>
              </w:rPr>
              <w:t>市政供电</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D9B3839">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C568605">
            <w:pPr>
              <w:pStyle w:val="561"/>
              <w:widowControl w:val="0"/>
              <w:spacing w:before="120" w:after="120"/>
              <w:ind w:left="31" w:right="4"/>
              <w:rPr>
                <w:color w:val="auto"/>
                <w:highlight w:val="none"/>
                <w:lang w:eastAsia="en-US"/>
              </w:rPr>
            </w:pPr>
            <w:r>
              <w:rPr>
                <w:color w:val="auto"/>
                <w:highlight w:val="none"/>
                <w:lang w:eastAsia="en-US"/>
              </w:rPr>
              <w:t>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157662A">
            <w:pPr>
              <w:pStyle w:val="561"/>
              <w:widowControl w:val="0"/>
              <w:spacing w:before="120" w:after="120"/>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BE8BD8B">
            <w:pPr>
              <w:pStyle w:val="561"/>
              <w:widowControl w:val="0"/>
              <w:spacing w:before="120" w:after="120"/>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F97238C">
            <w:pPr>
              <w:pStyle w:val="561"/>
              <w:widowControl w:val="0"/>
              <w:spacing w:before="120" w:after="120"/>
              <w:ind w:left="31" w:right="4"/>
              <w:rPr>
                <w:color w:val="auto"/>
                <w:highlight w:val="none"/>
                <w:lang w:eastAsia="en-US"/>
              </w:rPr>
            </w:pPr>
            <w:r>
              <w:rPr>
                <w:color w:val="auto"/>
                <w:highlight w:val="none"/>
                <w:lang w:eastAsia="en-US"/>
              </w:rPr>
              <w:t>实际尺寸，管材，连接件最终尺寸，以及节点计入详细模型</w:t>
            </w:r>
          </w:p>
        </w:tc>
      </w:tr>
      <w:tr w14:paraId="10174A92">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71CF63C6">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739F252">
            <w:pPr>
              <w:pStyle w:val="561"/>
              <w:widowControl w:val="0"/>
              <w:spacing w:before="120" w:after="120" w:line="240" w:lineRule="auto"/>
              <w:ind w:left="31" w:right="4"/>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F886174">
            <w:pPr>
              <w:pStyle w:val="561"/>
              <w:widowControl w:val="0"/>
              <w:spacing w:before="120" w:after="120"/>
              <w:ind w:left="31" w:right="4"/>
              <w:rPr>
                <w:color w:val="auto"/>
                <w:highlight w:val="none"/>
                <w:lang w:eastAsia="en-US"/>
              </w:rPr>
            </w:pPr>
            <w:r>
              <w:rPr>
                <w:color w:val="auto"/>
                <w:highlight w:val="none"/>
                <w:lang w:eastAsia="en-US"/>
              </w:rPr>
              <w:t>市政通讯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E520D20">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DA80704">
            <w:pPr>
              <w:pStyle w:val="561"/>
              <w:widowControl w:val="0"/>
              <w:spacing w:before="120" w:after="120"/>
              <w:ind w:left="31" w:right="4"/>
              <w:rPr>
                <w:color w:val="auto"/>
                <w:highlight w:val="none"/>
                <w:lang w:eastAsia="en-US"/>
              </w:rPr>
            </w:pPr>
            <w:r>
              <w:rPr>
                <w:color w:val="auto"/>
                <w:highlight w:val="none"/>
                <w:lang w:eastAsia="en-US"/>
              </w:rPr>
              <w:t>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FE12FD7">
            <w:pPr>
              <w:pStyle w:val="561"/>
              <w:widowControl w:val="0"/>
              <w:spacing w:before="120" w:after="120"/>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34879EF">
            <w:pPr>
              <w:pStyle w:val="561"/>
              <w:widowControl w:val="0"/>
              <w:spacing w:before="120" w:after="120"/>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21A64C8">
            <w:pPr>
              <w:pStyle w:val="561"/>
              <w:widowControl w:val="0"/>
              <w:spacing w:before="120" w:after="120"/>
              <w:ind w:left="31" w:right="4"/>
              <w:rPr>
                <w:color w:val="auto"/>
                <w:highlight w:val="none"/>
                <w:lang w:eastAsia="en-US"/>
              </w:rPr>
            </w:pPr>
            <w:r>
              <w:rPr>
                <w:color w:val="auto"/>
                <w:highlight w:val="none"/>
                <w:lang w:eastAsia="en-US"/>
              </w:rPr>
              <w:t>实际尺寸，管材，连接件最终尺寸，以及节点计入详细模型</w:t>
            </w:r>
          </w:p>
        </w:tc>
      </w:tr>
      <w:tr w14:paraId="21186FB3">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5E9069C6">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E3919E8">
            <w:pPr>
              <w:pStyle w:val="561"/>
              <w:widowControl w:val="0"/>
              <w:spacing w:before="120" w:after="120" w:line="240" w:lineRule="auto"/>
              <w:ind w:left="31" w:right="4"/>
              <w:rPr>
                <w:color w:val="auto"/>
                <w:highlight w:val="none"/>
                <w:lang w:eastAsia="en-US"/>
              </w:rPr>
            </w:pPr>
            <w:r>
              <w:rPr>
                <w:color w:val="auto"/>
                <w:highlight w:val="none"/>
                <w:lang w:eastAsia="en-US"/>
              </w:rPr>
              <w:t>005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B7F578D">
            <w:pPr>
              <w:pStyle w:val="561"/>
              <w:widowControl w:val="0"/>
              <w:spacing w:before="120" w:after="120"/>
              <w:ind w:left="31" w:right="4"/>
              <w:rPr>
                <w:color w:val="auto"/>
                <w:highlight w:val="none"/>
                <w:lang w:eastAsia="en-US"/>
              </w:rPr>
            </w:pPr>
            <w:r>
              <w:rPr>
                <w:color w:val="auto"/>
                <w:highlight w:val="none"/>
                <w:lang w:eastAsia="en-US"/>
              </w:rPr>
              <w:t>市政燃气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7350539">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2E9A5DF">
            <w:pPr>
              <w:pStyle w:val="561"/>
              <w:widowControl w:val="0"/>
              <w:spacing w:before="120" w:after="120"/>
              <w:ind w:left="31" w:right="4"/>
              <w:rPr>
                <w:color w:val="auto"/>
                <w:highlight w:val="none"/>
                <w:lang w:eastAsia="en-US"/>
              </w:rPr>
            </w:pPr>
            <w:r>
              <w:rPr>
                <w:color w:val="auto"/>
                <w:highlight w:val="none"/>
                <w:lang w:eastAsia="en-US"/>
              </w:rPr>
              <w:t>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0267498">
            <w:pPr>
              <w:pStyle w:val="561"/>
              <w:widowControl w:val="0"/>
              <w:spacing w:before="120" w:after="120"/>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B961CC">
            <w:pPr>
              <w:pStyle w:val="561"/>
              <w:widowControl w:val="0"/>
              <w:spacing w:before="120" w:after="120"/>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8858DF">
            <w:pPr>
              <w:pStyle w:val="561"/>
              <w:widowControl w:val="0"/>
              <w:spacing w:before="120" w:after="120"/>
              <w:ind w:left="31" w:right="4"/>
              <w:rPr>
                <w:color w:val="auto"/>
                <w:highlight w:val="none"/>
                <w:lang w:eastAsia="en-US"/>
              </w:rPr>
            </w:pPr>
            <w:r>
              <w:rPr>
                <w:color w:val="auto"/>
                <w:highlight w:val="none"/>
                <w:lang w:eastAsia="en-US"/>
              </w:rPr>
              <w:t>实际尺寸，管材，连接件最终尺寸，以及节点计入详细模型</w:t>
            </w:r>
          </w:p>
        </w:tc>
      </w:tr>
      <w:tr w14:paraId="18B6A1E4">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633199C5">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8889ACE">
            <w:pPr>
              <w:pStyle w:val="561"/>
              <w:widowControl w:val="0"/>
              <w:spacing w:before="120" w:after="120" w:line="240" w:lineRule="auto"/>
              <w:ind w:left="31" w:right="4"/>
              <w:rPr>
                <w:color w:val="auto"/>
                <w:highlight w:val="none"/>
                <w:lang w:eastAsia="en-US"/>
              </w:rPr>
            </w:pPr>
            <w:r>
              <w:rPr>
                <w:color w:val="auto"/>
                <w:highlight w:val="none"/>
                <w:lang w:eastAsia="en-US"/>
              </w:rPr>
              <w:t>006</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478F1A0">
            <w:pPr>
              <w:pStyle w:val="561"/>
              <w:widowControl w:val="0"/>
              <w:spacing w:before="120" w:after="120"/>
              <w:ind w:left="31" w:right="4"/>
              <w:rPr>
                <w:color w:val="auto"/>
                <w:highlight w:val="none"/>
                <w:lang w:eastAsia="en-US"/>
              </w:rPr>
            </w:pPr>
            <w:r>
              <w:rPr>
                <w:color w:val="auto"/>
                <w:highlight w:val="none"/>
                <w:lang w:eastAsia="en-US"/>
              </w:rPr>
              <w:t>市政蒸汽</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1F404AD">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4059656">
            <w:pPr>
              <w:pStyle w:val="561"/>
              <w:widowControl w:val="0"/>
              <w:spacing w:before="120" w:after="120"/>
              <w:ind w:left="31" w:right="4"/>
              <w:rPr>
                <w:color w:val="auto"/>
                <w:highlight w:val="none"/>
                <w:lang w:eastAsia="en-US"/>
              </w:rPr>
            </w:pPr>
            <w:r>
              <w:rPr>
                <w:color w:val="auto"/>
                <w:highlight w:val="none"/>
                <w:lang w:eastAsia="en-US"/>
              </w:rPr>
              <w:t>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078E81E">
            <w:pPr>
              <w:pStyle w:val="561"/>
              <w:widowControl w:val="0"/>
              <w:spacing w:before="120" w:after="120"/>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152915">
            <w:pPr>
              <w:pStyle w:val="561"/>
              <w:widowControl w:val="0"/>
              <w:spacing w:before="120" w:after="120"/>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B2AB905">
            <w:pPr>
              <w:pStyle w:val="561"/>
              <w:widowControl w:val="0"/>
              <w:spacing w:before="120" w:after="120"/>
              <w:ind w:left="31" w:right="4"/>
              <w:rPr>
                <w:color w:val="auto"/>
                <w:highlight w:val="none"/>
                <w:lang w:eastAsia="en-US"/>
              </w:rPr>
            </w:pPr>
            <w:r>
              <w:rPr>
                <w:color w:val="auto"/>
                <w:highlight w:val="none"/>
                <w:lang w:eastAsia="en-US"/>
              </w:rPr>
              <w:t>实际尺寸，管材，连接件最终尺寸，以及节点计入详细模型</w:t>
            </w:r>
          </w:p>
        </w:tc>
      </w:tr>
      <w:tr w14:paraId="7B3B206E">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5CC256C">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C253041">
            <w:pPr>
              <w:pStyle w:val="561"/>
              <w:widowControl w:val="0"/>
              <w:spacing w:before="120" w:after="120" w:line="240" w:lineRule="auto"/>
              <w:ind w:left="31" w:right="4"/>
              <w:rPr>
                <w:color w:val="auto"/>
                <w:highlight w:val="none"/>
                <w:lang w:eastAsia="en-US"/>
              </w:rPr>
            </w:pPr>
            <w:r>
              <w:rPr>
                <w:color w:val="auto"/>
                <w:highlight w:val="none"/>
                <w:lang w:eastAsia="en-US"/>
              </w:rPr>
              <w:t>007</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6A8B171">
            <w:pPr>
              <w:pStyle w:val="561"/>
              <w:widowControl w:val="0"/>
              <w:spacing w:before="120" w:after="120"/>
              <w:ind w:left="31" w:right="4"/>
              <w:rPr>
                <w:color w:val="auto"/>
                <w:highlight w:val="none"/>
                <w:lang w:eastAsia="en-US"/>
              </w:rPr>
            </w:pPr>
            <w:r>
              <w:rPr>
                <w:color w:val="auto"/>
                <w:highlight w:val="none"/>
                <w:lang w:eastAsia="en-US"/>
              </w:rPr>
              <w:t>设备构筑物</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A41763D">
            <w:pPr>
              <w:pStyle w:val="561"/>
              <w:widowControl w:val="0"/>
              <w:spacing w:before="120" w:after="120"/>
              <w:ind w:left="31" w:right="4"/>
              <w:rPr>
                <w:color w:val="auto"/>
                <w:highlight w:val="none"/>
                <w:lang w:eastAsia="en-US"/>
              </w:rPr>
            </w:pPr>
            <w:r>
              <w:rPr>
                <w:color w:val="auto"/>
                <w:highlight w:val="none"/>
                <w:lang w:eastAsia="en-US"/>
              </w:rPr>
              <w:t>无模型，成本或其他性能</w:t>
            </w:r>
          </w:p>
          <w:p w14:paraId="4EF3E42E">
            <w:pPr>
              <w:pStyle w:val="561"/>
              <w:widowControl w:val="0"/>
              <w:spacing w:before="120" w:after="120"/>
              <w:ind w:left="31" w:right="4"/>
              <w:rPr>
                <w:color w:val="auto"/>
                <w:highlight w:val="none"/>
                <w:lang w:eastAsia="en-US"/>
              </w:rPr>
            </w:pPr>
            <w:r>
              <w:rPr>
                <w:color w:val="auto"/>
                <w:highlight w:val="none"/>
                <w:lang w:eastAsia="en-US"/>
              </w:rPr>
              <w:t>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40E829D">
            <w:pPr>
              <w:pStyle w:val="561"/>
              <w:widowControl w:val="0"/>
              <w:spacing w:before="120" w:after="120"/>
              <w:ind w:left="31" w:right="4"/>
              <w:rPr>
                <w:color w:val="auto"/>
                <w:highlight w:val="none"/>
                <w:lang w:eastAsia="en-US"/>
              </w:rPr>
            </w:pPr>
            <w:r>
              <w:rPr>
                <w:color w:val="auto"/>
                <w:highlight w:val="none"/>
                <w:lang w:eastAsia="en-US"/>
              </w:rPr>
              <w:t>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5B74304">
            <w:pPr>
              <w:pStyle w:val="561"/>
              <w:widowControl w:val="0"/>
              <w:spacing w:before="120" w:after="120"/>
              <w:ind w:left="31" w:right="4"/>
              <w:rPr>
                <w:color w:val="auto"/>
                <w:highlight w:val="none"/>
                <w:lang w:eastAsia="en-US"/>
              </w:rPr>
            </w:pPr>
            <w:r>
              <w:rPr>
                <w:color w:val="auto"/>
                <w:highlight w:val="none"/>
                <w:lang w:eastAsia="en-US"/>
              </w:rPr>
              <w:t>精确形状、尺寸，体积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C94705A">
            <w:pPr>
              <w:pStyle w:val="561"/>
              <w:widowControl w:val="0"/>
              <w:spacing w:before="120" w:after="120"/>
              <w:ind w:left="31" w:right="4"/>
              <w:rPr>
                <w:color w:val="auto"/>
                <w:highlight w:val="none"/>
                <w:lang w:eastAsia="en-US"/>
              </w:rPr>
            </w:pPr>
            <w:r>
              <w:rPr>
                <w:color w:val="auto"/>
                <w:highlight w:val="none"/>
                <w:lang w:eastAsia="en-US"/>
              </w:rPr>
              <w:t>实际形状、尺寸，体积</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B40E07E">
            <w:pPr>
              <w:pStyle w:val="561"/>
              <w:widowControl w:val="0"/>
              <w:spacing w:before="120" w:after="120"/>
              <w:ind w:left="31" w:right="4"/>
              <w:rPr>
                <w:color w:val="auto"/>
                <w:highlight w:val="none"/>
                <w:lang w:eastAsia="en-US"/>
              </w:rPr>
            </w:pPr>
            <w:r>
              <w:rPr>
                <w:color w:val="auto"/>
                <w:highlight w:val="none"/>
                <w:lang w:eastAsia="en-US"/>
              </w:rPr>
              <w:t>实际形状、尺寸，体积</w:t>
            </w:r>
          </w:p>
        </w:tc>
      </w:tr>
      <w:tr w14:paraId="1BABCBA6">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8620AE5">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0EA66D1">
            <w:pPr>
              <w:pStyle w:val="561"/>
              <w:widowControl w:val="0"/>
              <w:spacing w:before="120" w:after="120" w:line="240" w:lineRule="auto"/>
              <w:ind w:left="31" w:right="4"/>
              <w:rPr>
                <w:color w:val="auto"/>
                <w:highlight w:val="none"/>
                <w:lang w:eastAsia="en-US"/>
              </w:rPr>
            </w:pPr>
            <w:r>
              <w:rPr>
                <w:color w:val="auto"/>
                <w:highlight w:val="none"/>
                <w:lang w:eastAsia="en-US"/>
              </w:rPr>
              <w:t>008</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7AD6B1B">
            <w:pPr>
              <w:pStyle w:val="561"/>
              <w:widowControl w:val="0"/>
              <w:spacing w:before="120" w:after="120" w:line="240" w:lineRule="auto"/>
              <w:ind w:left="31" w:right="4"/>
              <w:rPr>
                <w:color w:val="auto"/>
                <w:highlight w:val="none"/>
                <w:lang w:eastAsia="en-US"/>
              </w:rPr>
            </w:pPr>
            <w:r>
              <w:rPr>
                <w:color w:val="auto"/>
                <w:highlight w:val="none"/>
                <w:lang w:eastAsia="en-US"/>
              </w:rPr>
              <w:t>市政给水</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939F8D7">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A6A4DCD">
            <w:pPr>
              <w:pStyle w:val="561"/>
              <w:widowControl w:val="0"/>
              <w:spacing w:before="120" w:after="120" w:line="240" w:lineRule="auto"/>
              <w:ind w:left="31" w:right="4"/>
              <w:rPr>
                <w:color w:val="auto"/>
                <w:highlight w:val="none"/>
                <w:lang w:eastAsia="en-US"/>
              </w:rPr>
            </w:pPr>
            <w:r>
              <w:rPr>
                <w:color w:val="auto"/>
                <w:highlight w:val="none"/>
                <w:lang w:eastAsia="en-US"/>
              </w:rPr>
              <w:t>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A647250">
            <w:pPr>
              <w:pStyle w:val="561"/>
              <w:widowControl w:val="0"/>
              <w:spacing w:before="120" w:after="120" w:line="240" w:lineRule="auto"/>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9289FD0">
            <w:pPr>
              <w:pStyle w:val="561"/>
              <w:widowControl w:val="0"/>
              <w:spacing w:before="120" w:after="120" w:line="240" w:lineRule="auto"/>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9065481">
            <w:pPr>
              <w:pStyle w:val="561"/>
              <w:widowControl w:val="0"/>
              <w:spacing w:before="120" w:after="120" w:line="240" w:lineRule="auto"/>
              <w:ind w:left="31" w:right="4"/>
              <w:rPr>
                <w:color w:val="auto"/>
                <w:highlight w:val="none"/>
                <w:lang w:eastAsia="en-US"/>
              </w:rPr>
            </w:pPr>
            <w:r>
              <w:rPr>
                <w:color w:val="auto"/>
                <w:highlight w:val="none"/>
                <w:lang w:eastAsia="en-US"/>
              </w:rPr>
              <w:t>实际尺寸，管材，连接件最终尺寸，以及节点计入详细模型</w:t>
            </w:r>
          </w:p>
        </w:tc>
      </w:tr>
      <w:tr w14:paraId="7B119747">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B634CF6">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C0DEC9D">
            <w:pPr>
              <w:pStyle w:val="561"/>
              <w:widowControl w:val="0"/>
              <w:spacing w:before="120" w:after="120" w:line="240" w:lineRule="auto"/>
              <w:ind w:left="31" w:right="4"/>
              <w:rPr>
                <w:color w:val="auto"/>
                <w:highlight w:val="none"/>
                <w:lang w:eastAsia="en-US"/>
              </w:rPr>
            </w:pPr>
            <w:r>
              <w:rPr>
                <w:color w:val="auto"/>
                <w:highlight w:val="none"/>
                <w:lang w:eastAsia="en-US"/>
              </w:rPr>
              <w:t>009</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D6C75A4">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人手井</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8541851">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B9A85D6">
            <w:pPr>
              <w:pStyle w:val="561"/>
              <w:widowControl w:val="0"/>
              <w:spacing w:before="120" w:after="120" w:line="240" w:lineRule="auto"/>
              <w:ind w:left="31" w:right="4"/>
              <w:rPr>
                <w:color w:val="auto"/>
                <w:highlight w:val="none"/>
                <w:lang w:eastAsia="en-US"/>
              </w:rPr>
            </w:pPr>
            <w:r>
              <w:rPr>
                <w:color w:val="auto"/>
                <w:highlight w:val="none"/>
                <w:lang w:eastAsia="en-US"/>
              </w:rPr>
              <w:t>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2B7940D">
            <w:pPr>
              <w:pStyle w:val="561"/>
              <w:widowControl w:val="0"/>
              <w:spacing w:before="120" w:after="120" w:line="240" w:lineRule="auto"/>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4ACFD30">
            <w:pPr>
              <w:pStyle w:val="561"/>
              <w:widowControl w:val="0"/>
              <w:spacing w:before="120" w:after="120" w:line="240" w:lineRule="auto"/>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9895C12">
            <w:pPr>
              <w:pStyle w:val="561"/>
              <w:widowControl w:val="0"/>
              <w:spacing w:before="120" w:after="120" w:line="240" w:lineRule="auto"/>
              <w:ind w:left="31" w:right="4"/>
              <w:rPr>
                <w:color w:val="auto"/>
                <w:highlight w:val="none"/>
                <w:lang w:eastAsia="en-US"/>
              </w:rPr>
            </w:pPr>
            <w:r>
              <w:rPr>
                <w:color w:val="auto"/>
                <w:highlight w:val="none"/>
                <w:lang w:eastAsia="en-US"/>
              </w:rPr>
              <w:t>实际尺寸，管材，连接件最终尺寸，以及节点计入详细模型</w:t>
            </w:r>
          </w:p>
        </w:tc>
      </w:tr>
      <w:tr w14:paraId="635141A8">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0435898F">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D899C9">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注：上述模型精度要求仅作参考，具体精度内容应参考相关合同、行业标准、地方标准的要求。</w:t>
            </w:r>
          </w:p>
        </w:tc>
      </w:tr>
    </w:tbl>
    <w:p w14:paraId="323F2322">
      <w:pPr>
        <w:spacing w:before="120" w:after="120" w:line="240" w:lineRule="exact"/>
        <w:rPr>
          <w:rFonts w:ascii="宋体" w:hAnsi="宋体" w:cs="宋体"/>
          <w:color w:val="auto"/>
          <w:szCs w:val="21"/>
          <w:highlight w:val="none"/>
        </w:rPr>
        <w:sectPr>
          <w:pgSz w:w="16840" w:h="11910" w:orient="landscape"/>
          <w:pgMar w:top="1440" w:right="1800" w:bottom="1440" w:left="1800" w:header="907" w:footer="953" w:gutter="0"/>
          <w:pgNumType w:fmt="numberInDash"/>
          <w:cols w:space="720" w:num="1"/>
        </w:sectPr>
      </w:pPr>
    </w:p>
    <w:p w14:paraId="35305F35">
      <w:pPr>
        <w:pStyle w:val="584"/>
        <w:spacing w:before="120" w:after="120"/>
        <w:ind w:firstLine="420" w:firstLineChars="200"/>
        <w:rPr>
          <w:color w:val="auto"/>
          <w:highlight w:val="none"/>
        </w:rPr>
      </w:pPr>
      <w:bookmarkStart w:id="308" w:name="_Toc19311"/>
      <w:r>
        <w:rPr>
          <w:color w:val="auto"/>
          <w:highlight w:val="none"/>
        </w:rPr>
        <w:t>7  景观专业</w:t>
      </w:r>
      <w:bookmarkEnd w:id="308"/>
    </w:p>
    <w:tbl>
      <w:tblPr>
        <w:tblStyle w:val="519"/>
        <w:tblW w:w="4999" w:type="pct"/>
        <w:tblInd w:w="0" w:type="dxa"/>
        <w:tblLayout w:type="autofit"/>
        <w:tblCellMar>
          <w:top w:w="0" w:type="dxa"/>
          <w:left w:w="0" w:type="dxa"/>
          <w:bottom w:w="0" w:type="dxa"/>
          <w:right w:w="0" w:type="dxa"/>
        </w:tblCellMar>
      </w:tblPr>
      <w:tblGrid>
        <w:gridCol w:w="1100"/>
        <w:gridCol w:w="510"/>
        <w:gridCol w:w="1205"/>
        <w:gridCol w:w="2187"/>
        <w:gridCol w:w="2187"/>
        <w:gridCol w:w="2187"/>
        <w:gridCol w:w="2187"/>
        <w:gridCol w:w="1788"/>
      </w:tblGrid>
      <w:tr w14:paraId="5BEFAD33">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050BBF9">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2CAB643D">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200A290D">
            <w:pPr>
              <w:pStyle w:val="561"/>
              <w:widowControl w:val="0"/>
              <w:spacing w:before="120" w:after="120" w:line="240" w:lineRule="auto"/>
              <w:ind w:left="31"/>
              <w:rPr>
                <w:rFonts w:ascii="Times New Roman" w:hAnsi="Times New Roman" w:cs="Times New Roman"/>
                <w:color w:val="auto"/>
                <w:szCs w:val="24"/>
                <w:highlight w:val="none"/>
                <w:lang w:eastAsia="en-US"/>
              </w:rPr>
            </w:pPr>
          </w:p>
          <w:p w14:paraId="26819EDA">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68A043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F324E0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B3BCADA">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D2D319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99E9FC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5CD1A4C8">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0AC31198">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1B62343E">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1EBE4E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F818D9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234CF8A">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31691AB">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1E14AC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300A4C63">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1540EDEC">
            <w:pPr>
              <w:pStyle w:val="561"/>
              <w:widowControl w:val="0"/>
              <w:spacing w:before="120" w:after="120"/>
              <w:ind w:left="31" w:right="4"/>
              <w:rPr>
                <w:color w:val="auto"/>
                <w:highlight w:val="none"/>
                <w:lang w:eastAsia="en-US"/>
              </w:rPr>
            </w:pPr>
            <w:r>
              <w:rPr>
                <w:rFonts w:hint="eastAsia"/>
                <w:color w:val="auto"/>
                <w:highlight w:val="none"/>
                <w:lang w:eastAsia="en-US"/>
              </w:rPr>
              <w:t>景观</w:t>
            </w: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4B2F4D">
            <w:pPr>
              <w:pStyle w:val="561"/>
              <w:widowControl w:val="0"/>
              <w:spacing w:before="120" w:after="120"/>
              <w:ind w:left="31" w:right="4"/>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B88171F">
            <w:pPr>
              <w:pStyle w:val="561"/>
              <w:widowControl w:val="0"/>
              <w:spacing w:before="120" w:after="120" w:line="240" w:lineRule="auto"/>
              <w:ind w:left="31" w:right="4"/>
              <w:rPr>
                <w:color w:val="auto"/>
                <w:highlight w:val="none"/>
                <w:lang w:eastAsia="en-US"/>
              </w:rPr>
            </w:pPr>
            <w:r>
              <w:rPr>
                <w:color w:val="auto"/>
                <w:highlight w:val="none"/>
                <w:lang w:eastAsia="en-US"/>
              </w:rPr>
              <w:t>车位</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1A5AAC0">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9B7E66C">
            <w:pPr>
              <w:pStyle w:val="561"/>
              <w:widowControl w:val="0"/>
              <w:spacing w:before="120" w:after="120" w:line="240" w:lineRule="auto"/>
              <w:ind w:left="31" w:right="4"/>
              <w:rPr>
                <w:color w:val="auto"/>
                <w:highlight w:val="none"/>
                <w:lang w:eastAsia="en-US"/>
              </w:rPr>
            </w:pPr>
            <w:r>
              <w:rPr>
                <w:color w:val="auto"/>
                <w:highlight w:val="none"/>
                <w:lang w:eastAsia="en-US"/>
              </w:rPr>
              <w:t>大概形状、位置、数量</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6C75973">
            <w:pPr>
              <w:pStyle w:val="561"/>
              <w:widowControl w:val="0"/>
              <w:spacing w:before="120" w:after="120" w:line="240" w:lineRule="auto"/>
              <w:ind w:left="31" w:right="4"/>
              <w:rPr>
                <w:color w:val="auto"/>
                <w:highlight w:val="none"/>
                <w:lang w:eastAsia="en-US"/>
              </w:rPr>
            </w:pPr>
            <w:r>
              <w:rPr>
                <w:color w:val="auto"/>
                <w:highlight w:val="none"/>
                <w:lang w:eastAsia="en-US"/>
              </w:rPr>
              <w:t>精确形状、位置、数量</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ED4E057">
            <w:pPr>
              <w:pStyle w:val="561"/>
              <w:widowControl w:val="0"/>
              <w:spacing w:before="120" w:after="120" w:line="240" w:lineRule="auto"/>
              <w:ind w:left="31" w:right="4"/>
              <w:rPr>
                <w:color w:val="auto"/>
                <w:highlight w:val="none"/>
                <w:lang w:eastAsia="en-US"/>
              </w:rPr>
            </w:pPr>
            <w:r>
              <w:rPr>
                <w:color w:val="auto"/>
                <w:highlight w:val="none"/>
                <w:lang w:eastAsia="en-US"/>
              </w:rPr>
              <w:t>实际形状、位置、数量</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3235785">
            <w:pPr>
              <w:pStyle w:val="561"/>
              <w:widowControl w:val="0"/>
              <w:spacing w:before="120" w:after="120" w:line="240" w:lineRule="auto"/>
              <w:ind w:left="31" w:right="4"/>
              <w:rPr>
                <w:color w:val="auto"/>
                <w:highlight w:val="none"/>
                <w:lang w:eastAsia="en-US"/>
              </w:rPr>
            </w:pPr>
            <w:r>
              <w:rPr>
                <w:color w:val="auto"/>
                <w:highlight w:val="none"/>
                <w:lang w:eastAsia="en-US"/>
              </w:rPr>
              <w:t>实际形状、位置、数量</w:t>
            </w:r>
          </w:p>
        </w:tc>
      </w:tr>
      <w:tr w14:paraId="25AC660C">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33E4B0F">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4302EBA">
            <w:pPr>
              <w:pStyle w:val="561"/>
              <w:widowControl w:val="0"/>
              <w:spacing w:before="120" w:after="120"/>
              <w:ind w:left="31" w:right="4"/>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9FC2E63">
            <w:pPr>
              <w:pStyle w:val="561"/>
              <w:widowControl w:val="0"/>
              <w:spacing w:before="120" w:after="120" w:line="240" w:lineRule="auto"/>
              <w:ind w:left="31" w:right="4"/>
              <w:rPr>
                <w:color w:val="auto"/>
                <w:highlight w:val="none"/>
                <w:lang w:eastAsia="en-US"/>
              </w:rPr>
            </w:pPr>
            <w:r>
              <w:rPr>
                <w:color w:val="auto"/>
                <w:highlight w:val="none"/>
                <w:lang w:eastAsia="en-US"/>
              </w:rPr>
              <w:t>排水及坡度</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1810AE9">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D4A454">
            <w:pPr>
              <w:pStyle w:val="561"/>
              <w:widowControl w:val="0"/>
              <w:spacing w:before="120" w:after="120" w:line="240" w:lineRule="auto"/>
              <w:ind w:left="31" w:right="4"/>
              <w:rPr>
                <w:color w:val="auto"/>
                <w:highlight w:val="none"/>
                <w:lang w:eastAsia="en-US"/>
              </w:rPr>
            </w:pPr>
            <w:r>
              <w:rPr>
                <w:color w:val="auto"/>
                <w:highlight w:val="none"/>
                <w:lang w:eastAsia="en-US"/>
              </w:rPr>
              <w:t>大概形状、位置、数量</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4747F6">
            <w:pPr>
              <w:pStyle w:val="561"/>
              <w:widowControl w:val="0"/>
              <w:spacing w:before="120" w:after="120" w:line="240" w:lineRule="auto"/>
              <w:ind w:left="31" w:right="4"/>
              <w:rPr>
                <w:color w:val="auto"/>
                <w:highlight w:val="none"/>
                <w:lang w:eastAsia="en-US"/>
              </w:rPr>
            </w:pPr>
            <w:r>
              <w:rPr>
                <w:color w:val="auto"/>
                <w:highlight w:val="none"/>
                <w:lang w:eastAsia="en-US"/>
              </w:rPr>
              <w:t>精确尺寸，坡度</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6EE36D5">
            <w:pPr>
              <w:pStyle w:val="561"/>
              <w:widowControl w:val="0"/>
              <w:spacing w:before="120" w:after="120" w:line="240" w:lineRule="auto"/>
              <w:ind w:left="31" w:right="4"/>
              <w:rPr>
                <w:color w:val="auto"/>
                <w:highlight w:val="none"/>
                <w:lang w:eastAsia="en-US"/>
              </w:rPr>
            </w:pPr>
            <w:r>
              <w:rPr>
                <w:color w:val="auto"/>
                <w:highlight w:val="none"/>
                <w:lang w:eastAsia="en-US"/>
              </w:rPr>
              <w:t>实际尺寸，坡度</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003DFDC">
            <w:pPr>
              <w:pStyle w:val="561"/>
              <w:widowControl w:val="0"/>
              <w:spacing w:before="120" w:after="120" w:line="240" w:lineRule="auto"/>
              <w:ind w:left="31" w:right="4"/>
              <w:rPr>
                <w:color w:val="auto"/>
                <w:highlight w:val="none"/>
                <w:lang w:eastAsia="en-US"/>
              </w:rPr>
            </w:pPr>
            <w:r>
              <w:rPr>
                <w:color w:val="auto"/>
                <w:highlight w:val="none"/>
                <w:lang w:eastAsia="en-US"/>
              </w:rPr>
              <w:t>实际尺寸，坡度</w:t>
            </w:r>
          </w:p>
        </w:tc>
      </w:tr>
      <w:tr w14:paraId="2E410311">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ED544C6">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8EBE119">
            <w:pPr>
              <w:pStyle w:val="561"/>
              <w:widowControl w:val="0"/>
              <w:spacing w:before="120" w:after="120"/>
              <w:ind w:left="31" w:right="4"/>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50E1D21">
            <w:pPr>
              <w:pStyle w:val="561"/>
              <w:widowControl w:val="0"/>
              <w:spacing w:before="120" w:after="120" w:line="240" w:lineRule="auto"/>
              <w:ind w:left="31" w:right="4"/>
              <w:rPr>
                <w:color w:val="auto"/>
                <w:highlight w:val="none"/>
                <w:lang w:eastAsia="en-US"/>
              </w:rPr>
            </w:pPr>
            <w:r>
              <w:rPr>
                <w:color w:val="auto"/>
                <w:highlight w:val="none"/>
                <w:lang w:eastAsia="en-US"/>
              </w:rPr>
              <w:t>水池喷泉</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B1B3FDB">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1C27AE9">
            <w:pPr>
              <w:pStyle w:val="561"/>
              <w:widowControl w:val="0"/>
              <w:spacing w:before="120" w:after="120" w:line="240" w:lineRule="auto"/>
              <w:ind w:left="31" w:right="4"/>
              <w:rPr>
                <w:color w:val="auto"/>
                <w:highlight w:val="none"/>
                <w:lang w:eastAsia="en-US"/>
              </w:rPr>
            </w:pPr>
            <w:r>
              <w:rPr>
                <w:color w:val="auto"/>
                <w:highlight w:val="none"/>
                <w:lang w:eastAsia="en-US"/>
              </w:rPr>
              <w:t>大概形状、位置</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FBF0FD4">
            <w:pPr>
              <w:pStyle w:val="561"/>
              <w:widowControl w:val="0"/>
              <w:spacing w:before="120" w:after="120" w:line="240" w:lineRule="auto"/>
              <w:ind w:left="31" w:right="4"/>
              <w:rPr>
                <w:color w:val="auto"/>
                <w:highlight w:val="none"/>
                <w:lang w:eastAsia="en-US"/>
              </w:rPr>
            </w:pPr>
            <w:r>
              <w:rPr>
                <w:color w:val="auto"/>
                <w:highlight w:val="none"/>
                <w:lang w:eastAsia="en-US"/>
              </w:rPr>
              <w:t>精确形状、位置、尺寸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2B6A0E9">
            <w:pPr>
              <w:pStyle w:val="561"/>
              <w:widowControl w:val="0"/>
              <w:spacing w:before="120" w:after="120" w:line="240" w:lineRule="auto"/>
              <w:ind w:left="31" w:right="4"/>
              <w:rPr>
                <w:color w:val="auto"/>
                <w:highlight w:val="none"/>
                <w:lang w:eastAsia="en-US"/>
              </w:rPr>
            </w:pPr>
            <w:r>
              <w:rPr>
                <w:color w:val="auto"/>
                <w:highlight w:val="none"/>
                <w:lang w:eastAsia="en-US"/>
              </w:rPr>
              <w:t>实际形状、位置、尺寸</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89E0AC0">
            <w:pPr>
              <w:pStyle w:val="561"/>
              <w:widowControl w:val="0"/>
              <w:spacing w:before="120" w:after="120" w:line="240" w:lineRule="auto"/>
              <w:ind w:left="31" w:right="4"/>
              <w:rPr>
                <w:color w:val="auto"/>
                <w:highlight w:val="none"/>
                <w:lang w:eastAsia="en-US"/>
              </w:rPr>
            </w:pPr>
            <w:r>
              <w:rPr>
                <w:color w:val="auto"/>
                <w:highlight w:val="none"/>
                <w:lang w:eastAsia="en-US"/>
              </w:rPr>
              <w:t>实际形状、位置、尺寸</w:t>
            </w:r>
          </w:p>
        </w:tc>
      </w:tr>
      <w:tr w14:paraId="76C11FD8">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BF1E304">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A85D06D">
            <w:pPr>
              <w:pStyle w:val="561"/>
              <w:widowControl w:val="0"/>
              <w:spacing w:before="120" w:after="120" w:line="240" w:lineRule="auto"/>
              <w:ind w:left="31" w:right="4"/>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7A6D20F">
            <w:pPr>
              <w:pStyle w:val="561"/>
              <w:widowControl w:val="0"/>
              <w:spacing w:before="120" w:after="120" w:line="240" w:lineRule="auto"/>
              <w:ind w:left="31" w:right="4"/>
              <w:rPr>
                <w:color w:val="auto"/>
                <w:highlight w:val="none"/>
                <w:lang w:eastAsia="en-US"/>
              </w:rPr>
            </w:pPr>
            <w:r>
              <w:rPr>
                <w:color w:val="auto"/>
                <w:highlight w:val="none"/>
                <w:lang w:eastAsia="en-US"/>
              </w:rPr>
              <w:t>灯具</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670DA99">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9BBDEB">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E65EB2B">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5BFA33B">
            <w:pPr>
              <w:pStyle w:val="561"/>
              <w:widowControl w:val="0"/>
              <w:spacing w:before="120" w:after="120" w:line="240" w:lineRule="auto"/>
              <w:ind w:left="31" w:right="4"/>
              <w:rPr>
                <w:color w:val="auto"/>
                <w:highlight w:val="none"/>
                <w:lang w:eastAsia="en-US"/>
              </w:rPr>
            </w:pPr>
            <w:r>
              <w:rPr>
                <w:color w:val="auto"/>
                <w:highlight w:val="none"/>
                <w:lang w:eastAsia="en-US"/>
              </w:rPr>
              <w:t>实际形状、尺寸、位置、用途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AC2C14">
            <w:pPr>
              <w:pStyle w:val="561"/>
              <w:widowControl w:val="0"/>
              <w:spacing w:before="120" w:after="120" w:line="240" w:lineRule="auto"/>
              <w:ind w:left="31" w:right="4"/>
              <w:rPr>
                <w:color w:val="auto"/>
                <w:highlight w:val="none"/>
                <w:lang w:eastAsia="en-US"/>
              </w:rPr>
            </w:pPr>
            <w:r>
              <w:rPr>
                <w:color w:val="auto"/>
                <w:highlight w:val="none"/>
                <w:lang w:eastAsia="en-US"/>
              </w:rPr>
              <w:t>设备型号、编号、位置、用途</w:t>
            </w:r>
          </w:p>
        </w:tc>
      </w:tr>
      <w:tr w14:paraId="2ABE6809">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5BE02EF3">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D99A4D2">
            <w:pPr>
              <w:pStyle w:val="561"/>
              <w:widowControl w:val="0"/>
              <w:spacing w:before="120" w:after="120" w:line="240" w:lineRule="auto"/>
              <w:ind w:left="31" w:right="4"/>
              <w:rPr>
                <w:color w:val="auto"/>
                <w:highlight w:val="none"/>
                <w:lang w:eastAsia="en-US"/>
              </w:rPr>
            </w:pPr>
            <w:r>
              <w:rPr>
                <w:color w:val="auto"/>
                <w:highlight w:val="none"/>
                <w:lang w:eastAsia="en-US"/>
              </w:rPr>
              <w:t>005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E692442">
            <w:pPr>
              <w:pStyle w:val="561"/>
              <w:widowControl w:val="0"/>
              <w:spacing w:before="120" w:after="120" w:line="240" w:lineRule="auto"/>
              <w:ind w:left="31" w:right="4"/>
              <w:rPr>
                <w:color w:val="auto"/>
                <w:highlight w:val="none"/>
                <w:lang w:eastAsia="en-US"/>
              </w:rPr>
            </w:pPr>
            <w:r>
              <w:rPr>
                <w:color w:val="auto"/>
                <w:highlight w:val="none"/>
                <w:lang w:eastAsia="en-US"/>
              </w:rPr>
              <w:t>音箱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9E16B6B">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D7284B3">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9C0CF37">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C50BB1A">
            <w:pPr>
              <w:pStyle w:val="561"/>
              <w:widowControl w:val="0"/>
              <w:spacing w:before="120" w:after="120" w:line="240" w:lineRule="auto"/>
              <w:ind w:left="31" w:right="4"/>
              <w:rPr>
                <w:color w:val="auto"/>
                <w:highlight w:val="none"/>
                <w:lang w:eastAsia="en-US"/>
              </w:rPr>
            </w:pPr>
            <w:r>
              <w:rPr>
                <w:color w:val="auto"/>
                <w:highlight w:val="none"/>
                <w:lang w:eastAsia="en-US"/>
              </w:rPr>
              <w:t>实际形状、尺寸、位置、用途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9890EB5">
            <w:pPr>
              <w:pStyle w:val="561"/>
              <w:widowControl w:val="0"/>
              <w:spacing w:before="120" w:after="120" w:line="240" w:lineRule="auto"/>
              <w:ind w:left="31" w:right="4"/>
              <w:rPr>
                <w:color w:val="auto"/>
                <w:highlight w:val="none"/>
                <w:lang w:eastAsia="en-US"/>
              </w:rPr>
            </w:pPr>
            <w:r>
              <w:rPr>
                <w:color w:val="auto"/>
                <w:highlight w:val="none"/>
                <w:lang w:eastAsia="en-US"/>
              </w:rPr>
              <w:t>设备型号、编号、位置、用途</w:t>
            </w:r>
          </w:p>
        </w:tc>
      </w:tr>
      <w:tr w14:paraId="5E241369">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5327CDAA">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C46EDE0">
            <w:pPr>
              <w:pStyle w:val="561"/>
              <w:widowControl w:val="0"/>
              <w:spacing w:before="120" w:after="120" w:line="240" w:lineRule="auto"/>
              <w:ind w:left="31" w:right="4"/>
              <w:rPr>
                <w:color w:val="auto"/>
                <w:highlight w:val="none"/>
                <w:lang w:eastAsia="en-US"/>
              </w:rPr>
            </w:pPr>
            <w:r>
              <w:rPr>
                <w:color w:val="auto"/>
                <w:highlight w:val="none"/>
                <w:lang w:eastAsia="en-US"/>
              </w:rPr>
              <w:t>006</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2A187B">
            <w:pPr>
              <w:pStyle w:val="561"/>
              <w:widowControl w:val="0"/>
              <w:spacing w:before="120" w:after="120" w:line="240" w:lineRule="auto"/>
              <w:ind w:left="31" w:right="4"/>
              <w:rPr>
                <w:color w:val="auto"/>
                <w:highlight w:val="none"/>
                <w:lang w:eastAsia="en-US"/>
              </w:rPr>
            </w:pPr>
            <w:r>
              <w:rPr>
                <w:color w:val="auto"/>
                <w:highlight w:val="none"/>
                <w:lang w:eastAsia="en-US"/>
              </w:rPr>
              <w:t>绿化</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A5FCDD6">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B4FEC40">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C207663">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2661415">
            <w:pPr>
              <w:pStyle w:val="561"/>
              <w:widowControl w:val="0"/>
              <w:spacing w:before="120" w:after="120" w:line="240" w:lineRule="auto"/>
              <w:ind w:left="31" w:right="4"/>
              <w:rPr>
                <w:color w:val="auto"/>
                <w:highlight w:val="none"/>
                <w:lang w:eastAsia="en-US"/>
              </w:rPr>
            </w:pPr>
            <w:r>
              <w:rPr>
                <w:color w:val="auto"/>
                <w:highlight w:val="none"/>
                <w:lang w:eastAsia="en-US"/>
              </w:rPr>
              <w:t>实际形状、尺寸、位置、用途</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41EE3B6">
            <w:pPr>
              <w:pStyle w:val="561"/>
              <w:widowControl w:val="0"/>
              <w:spacing w:before="120" w:after="120" w:line="240" w:lineRule="auto"/>
              <w:ind w:left="31" w:right="4"/>
              <w:rPr>
                <w:color w:val="auto"/>
                <w:highlight w:val="none"/>
                <w:lang w:eastAsia="en-US"/>
              </w:rPr>
            </w:pPr>
            <w:r>
              <w:rPr>
                <w:color w:val="auto"/>
                <w:highlight w:val="none"/>
                <w:lang w:eastAsia="en-US"/>
              </w:rPr>
              <w:t>绿化形式、面积、数量、位置</w:t>
            </w:r>
          </w:p>
        </w:tc>
      </w:tr>
      <w:tr w14:paraId="46FD1ECA">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1167797C">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86D4063">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注：上述模型精度要求仅作参考，具体精度内容应参考相关合同、行业标准、地方标准的要求。</w:t>
            </w:r>
          </w:p>
        </w:tc>
      </w:tr>
    </w:tbl>
    <w:p w14:paraId="3B3022E5">
      <w:pPr>
        <w:spacing w:before="120" w:after="120" w:line="272" w:lineRule="exact"/>
        <w:rPr>
          <w:rFonts w:ascii="宋体" w:hAnsi="宋体" w:cs="宋体"/>
          <w:color w:val="auto"/>
          <w:szCs w:val="21"/>
          <w:highlight w:val="none"/>
        </w:rPr>
        <w:sectPr>
          <w:pgSz w:w="16840" w:h="11910" w:orient="landscape"/>
          <w:pgMar w:top="1440" w:right="1800" w:bottom="1440" w:left="1800" w:header="907" w:footer="953" w:gutter="0"/>
          <w:pgNumType w:fmt="numberInDash"/>
          <w:cols w:space="720" w:num="1"/>
        </w:sectPr>
      </w:pPr>
    </w:p>
    <w:p w14:paraId="4E8B47A1">
      <w:pPr>
        <w:pStyle w:val="584"/>
        <w:spacing w:before="120" w:after="120"/>
        <w:ind w:firstLine="420" w:firstLineChars="200"/>
        <w:rPr>
          <w:color w:val="auto"/>
          <w:highlight w:val="none"/>
        </w:rPr>
      </w:pPr>
      <w:bookmarkStart w:id="309" w:name="_Toc31892"/>
      <w:r>
        <w:rPr>
          <w:color w:val="auto"/>
          <w:highlight w:val="none"/>
        </w:rPr>
        <w:t>8  照明专业</w:t>
      </w:r>
      <w:bookmarkEnd w:id="309"/>
    </w:p>
    <w:p w14:paraId="07EDBC81">
      <w:pPr>
        <w:spacing w:before="120" w:after="120" w:line="312" w:lineRule="auto"/>
        <w:ind w:firstLine="0" w:firstLineChars="0"/>
        <w:rPr>
          <w:rFonts w:ascii="宋体" w:hAnsi="宋体" w:cs="宋体"/>
          <w:color w:val="auto"/>
          <w:sz w:val="13"/>
          <w:szCs w:val="13"/>
          <w:highlight w:val="none"/>
        </w:rPr>
      </w:pPr>
    </w:p>
    <w:tbl>
      <w:tblPr>
        <w:tblStyle w:val="519"/>
        <w:tblW w:w="4999" w:type="pct"/>
        <w:tblInd w:w="0" w:type="dxa"/>
        <w:tblLayout w:type="autofit"/>
        <w:tblCellMar>
          <w:top w:w="0" w:type="dxa"/>
          <w:left w:w="0" w:type="dxa"/>
          <w:bottom w:w="0" w:type="dxa"/>
          <w:right w:w="0" w:type="dxa"/>
        </w:tblCellMar>
      </w:tblPr>
      <w:tblGrid>
        <w:gridCol w:w="1100"/>
        <w:gridCol w:w="510"/>
        <w:gridCol w:w="1205"/>
        <w:gridCol w:w="2187"/>
        <w:gridCol w:w="2187"/>
        <w:gridCol w:w="2187"/>
        <w:gridCol w:w="2187"/>
        <w:gridCol w:w="1788"/>
      </w:tblGrid>
      <w:tr w14:paraId="77F5DC91">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9E4AA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4E62A5DE">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6AE1703F">
            <w:pPr>
              <w:pStyle w:val="561"/>
              <w:widowControl w:val="0"/>
              <w:spacing w:before="120" w:after="120" w:line="240" w:lineRule="auto"/>
              <w:ind w:left="31"/>
              <w:rPr>
                <w:rFonts w:ascii="Times New Roman" w:hAnsi="Times New Roman" w:cs="Times New Roman"/>
                <w:color w:val="auto"/>
                <w:szCs w:val="24"/>
                <w:highlight w:val="none"/>
                <w:lang w:eastAsia="en-US"/>
              </w:rPr>
            </w:pPr>
          </w:p>
          <w:p w14:paraId="5DEE66F2">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2205D6A">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E9396D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3DE1230">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26DC3B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F194E6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681EEBBB">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1F7CE27E">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068BA4B5">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B6D12D4">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4962B1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E94AEB9">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9D9BA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EF37176">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6794A11B">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3DD03D4C">
            <w:pPr>
              <w:pStyle w:val="561"/>
              <w:widowControl w:val="0"/>
              <w:spacing w:before="120" w:after="120"/>
              <w:ind w:left="31" w:right="4"/>
              <w:rPr>
                <w:color w:val="auto"/>
                <w:highlight w:val="none"/>
                <w:lang w:eastAsia="en-US"/>
              </w:rPr>
            </w:pPr>
            <w:r>
              <w:rPr>
                <w:rFonts w:hint="eastAsia"/>
                <w:color w:val="auto"/>
                <w:highlight w:val="none"/>
                <w:lang w:eastAsia="en-US"/>
              </w:rPr>
              <w:t>电气</w:t>
            </w: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07943E1">
            <w:pPr>
              <w:pStyle w:val="561"/>
              <w:widowControl w:val="0"/>
              <w:spacing w:before="120" w:after="120"/>
              <w:ind w:left="31" w:right="4"/>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F13159F">
            <w:pPr>
              <w:pStyle w:val="561"/>
              <w:widowControl w:val="0"/>
              <w:spacing w:before="120" w:after="120"/>
              <w:ind w:left="31" w:right="4"/>
              <w:rPr>
                <w:color w:val="auto"/>
                <w:highlight w:val="none"/>
                <w:lang w:eastAsia="en-US"/>
              </w:rPr>
            </w:pPr>
            <w:r>
              <w:rPr>
                <w:color w:val="auto"/>
                <w:highlight w:val="none"/>
                <w:lang w:eastAsia="en-US"/>
              </w:rPr>
              <w:t>室内照明</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C0FD9B2">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EB3D5A9">
            <w:pPr>
              <w:pStyle w:val="561"/>
              <w:widowControl w:val="0"/>
              <w:spacing w:before="120" w:after="120"/>
              <w:ind w:left="31" w:right="4"/>
              <w:rPr>
                <w:color w:val="auto"/>
                <w:highlight w:val="none"/>
                <w:lang w:eastAsia="en-US"/>
              </w:rPr>
            </w:pPr>
            <w:r>
              <w:rPr>
                <w:color w:val="auto"/>
                <w:highlight w:val="none"/>
                <w:lang w:eastAsia="en-US"/>
              </w:rPr>
              <w:t>位置、用户</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3FCF8B0">
            <w:pPr>
              <w:pStyle w:val="561"/>
              <w:widowControl w:val="0"/>
              <w:spacing w:before="120" w:after="120"/>
              <w:ind w:left="31" w:right="4"/>
              <w:rPr>
                <w:color w:val="auto"/>
                <w:highlight w:val="none"/>
                <w:lang w:eastAsia="en-US"/>
              </w:rPr>
            </w:pPr>
            <w:r>
              <w:rPr>
                <w:color w:val="auto"/>
                <w:highlight w:val="none"/>
                <w:lang w:eastAsia="en-US"/>
              </w:rPr>
              <w:t>具体灯位、类型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F52DFF3">
            <w:pPr>
              <w:pStyle w:val="561"/>
              <w:widowControl w:val="0"/>
              <w:spacing w:before="120" w:after="120"/>
              <w:ind w:left="31" w:right="4"/>
              <w:rPr>
                <w:color w:val="auto"/>
                <w:highlight w:val="none"/>
                <w:lang w:eastAsia="en-US"/>
              </w:rPr>
            </w:pPr>
            <w:r>
              <w:rPr>
                <w:color w:val="auto"/>
                <w:highlight w:val="none"/>
                <w:lang w:eastAsia="en-US"/>
              </w:rPr>
              <w:t>实际灯位、类型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9794441">
            <w:pPr>
              <w:pStyle w:val="561"/>
              <w:widowControl w:val="0"/>
              <w:spacing w:before="120" w:after="120"/>
              <w:ind w:left="31" w:right="4"/>
              <w:rPr>
                <w:color w:val="auto"/>
                <w:highlight w:val="none"/>
                <w:lang w:eastAsia="en-US"/>
              </w:rPr>
            </w:pPr>
            <w:r>
              <w:rPr>
                <w:color w:val="auto"/>
                <w:highlight w:val="none"/>
                <w:lang w:eastAsia="en-US"/>
              </w:rPr>
              <w:t>设备型号、精确尺寸、编号、位置、用途</w:t>
            </w:r>
          </w:p>
        </w:tc>
      </w:tr>
      <w:tr w14:paraId="1F52BA47">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74C67010">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61D3A0F">
            <w:pPr>
              <w:pStyle w:val="561"/>
              <w:widowControl w:val="0"/>
              <w:spacing w:before="120" w:after="120"/>
              <w:ind w:left="31" w:right="4"/>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EE4192D">
            <w:pPr>
              <w:pStyle w:val="561"/>
              <w:widowControl w:val="0"/>
              <w:spacing w:before="120" w:after="120"/>
              <w:ind w:left="31" w:right="4"/>
              <w:rPr>
                <w:color w:val="auto"/>
                <w:highlight w:val="none"/>
                <w:lang w:eastAsia="en-US"/>
              </w:rPr>
            </w:pPr>
            <w:r>
              <w:rPr>
                <w:color w:val="auto"/>
                <w:highlight w:val="none"/>
                <w:lang w:eastAsia="en-US"/>
              </w:rPr>
              <w:t>室外照明</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1FBBBA6">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18E015A">
            <w:pPr>
              <w:pStyle w:val="561"/>
              <w:widowControl w:val="0"/>
              <w:spacing w:before="120" w:after="120"/>
              <w:ind w:left="31" w:right="4"/>
              <w:rPr>
                <w:color w:val="auto"/>
                <w:highlight w:val="none"/>
                <w:lang w:eastAsia="en-US"/>
              </w:rPr>
            </w:pPr>
            <w:r>
              <w:rPr>
                <w:color w:val="auto"/>
                <w:highlight w:val="none"/>
                <w:lang w:eastAsia="en-US"/>
              </w:rPr>
              <w:t>位置、用户</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C597F26">
            <w:pPr>
              <w:pStyle w:val="561"/>
              <w:widowControl w:val="0"/>
              <w:spacing w:before="120" w:after="120"/>
              <w:ind w:left="31" w:right="4"/>
              <w:rPr>
                <w:color w:val="auto"/>
                <w:highlight w:val="none"/>
                <w:lang w:eastAsia="en-US"/>
              </w:rPr>
            </w:pPr>
            <w:r>
              <w:rPr>
                <w:color w:val="auto"/>
                <w:highlight w:val="none"/>
                <w:lang w:eastAsia="en-US"/>
              </w:rPr>
              <w:t>具体灯位、类型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2F4F938">
            <w:pPr>
              <w:pStyle w:val="561"/>
              <w:widowControl w:val="0"/>
              <w:spacing w:before="120" w:after="120"/>
              <w:ind w:left="31" w:right="4"/>
              <w:rPr>
                <w:color w:val="auto"/>
                <w:highlight w:val="none"/>
                <w:lang w:eastAsia="en-US"/>
              </w:rPr>
            </w:pPr>
            <w:r>
              <w:rPr>
                <w:color w:val="auto"/>
                <w:highlight w:val="none"/>
                <w:lang w:eastAsia="en-US"/>
              </w:rPr>
              <w:t>实际灯位、类型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B88B4B7">
            <w:pPr>
              <w:pStyle w:val="561"/>
              <w:widowControl w:val="0"/>
              <w:spacing w:before="120" w:after="120"/>
              <w:ind w:left="31" w:right="4"/>
              <w:rPr>
                <w:color w:val="auto"/>
                <w:highlight w:val="none"/>
                <w:lang w:eastAsia="en-US"/>
              </w:rPr>
            </w:pPr>
            <w:r>
              <w:rPr>
                <w:color w:val="auto"/>
                <w:highlight w:val="none"/>
                <w:lang w:eastAsia="en-US"/>
              </w:rPr>
              <w:t>设备型号、精确尺寸、编号、位置、用途</w:t>
            </w:r>
          </w:p>
        </w:tc>
      </w:tr>
      <w:tr w14:paraId="3013A81F">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5EA13F92">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6894B9">
            <w:pPr>
              <w:pStyle w:val="561"/>
              <w:widowControl w:val="0"/>
              <w:spacing w:before="120" w:after="120"/>
              <w:ind w:left="31" w:right="4"/>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A4ADBB5">
            <w:pPr>
              <w:pStyle w:val="561"/>
              <w:widowControl w:val="0"/>
              <w:spacing w:before="120" w:after="120" w:line="240" w:lineRule="auto"/>
              <w:ind w:left="31" w:right="4"/>
              <w:rPr>
                <w:color w:val="auto"/>
                <w:highlight w:val="none"/>
                <w:lang w:eastAsia="en-US"/>
              </w:rPr>
            </w:pPr>
            <w:r>
              <w:rPr>
                <w:color w:val="auto"/>
                <w:highlight w:val="none"/>
                <w:lang w:eastAsia="en-US"/>
              </w:rPr>
              <w:t>配电箱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2817CA1">
            <w:pPr>
              <w:pStyle w:val="561"/>
              <w:widowControl w:val="0"/>
              <w:spacing w:before="120" w:after="120" w:line="239" w:lineRule="exact"/>
              <w:ind w:left="87" w:right="4" w:hanging="56"/>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CF9C299">
            <w:pPr>
              <w:pStyle w:val="561"/>
              <w:widowControl w:val="0"/>
              <w:spacing w:before="120" w:after="120" w:line="240" w:lineRule="auto"/>
              <w:ind w:left="31" w:right="4"/>
              <w:rPr>
                <w:color w:val="auto"/>
                <w:highlight w:val="none"/>
                <w:lang w:eastAsia="en-US"/>
              </w:rPr>
            </w:pPr>
            <w:r>
              <w:rPr>
                <w:color w:val="auto"/>
                <w:highlight w:val="none"/>
                <w:lang w:eastAsia="en-US"/>
              </w:rPr>
              <w:t>大致配电箱尺寸、位置、功能</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1244065">
            <w:pPr>
              <w:pStyle w:val="561"/>
              <w:widowControl w:val="0"/>
              <w:spacing w:before="120" w:after="120" w:line="240" w:lineRule="auto"/>
              <w:ind w:left="31" w:right="4"/>
              <w:rPr>
                <w:color w:val="auto"/>
                <w:highlight w:val="none"/>
                <w:lang w:eastAsia="en-US"/>
              </w:rPr>
            </w:pPr>
            <w:r>
              <w:rPr>
                <w:color w:val="auto"/>
                <w:highlight w:val="none"/>
                <w:lang w:eastAsia="en-US"/>
              </w:rPr>
              <w:t>精确配电箱尺寸、位置、功能</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3F847B9">
            <w:pPr>
              <w:pStyle w:val="561"/>
              <w:widowControl w:val="0"/>
              <w:spacing w:before="120" w:after="120" w:line="240" w:lineRule="auto"/>
              <w:ind w:left="31" w:right="4"/>
              <w:rPr>
                <w:color w:val="auto"/>
                <w:highlight w:val="none"/>
                <w:lang w:eastAsia="en-US"/>
              </w:rPr>
            </w:pPr>
            <w:r>
              <w:rPr>
                <w:color w:val="auto"/>
                <w:highlight w:val="none"/>
                <w:lang w:eastAsia="en-US"/>
              </w:rPr>
              <w:t>实际配电箱尺寸、位置、功能</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069AA29">
            <w:pPr>
              <w:pStyle w:val="561"/>
              <w:widowControl w:val="0"/>
              <w:spacing w:before="120" w:after="120" w:line="239" w:lineRule="exact"/>
              <w:ind w:left="31" w:right="4"/>
              <w:rPr>
                <w:color w:val="auto"/>
                <w:highlight w:val="none"/>
                <w:lang w:eastAsia="en-US"/>
              </w:rPr>
            </w:pPr>
            <w:r>
              <w:rPr>
                <w:color w:val="auto"/>
                <w:highlight w:val="none"/>
                <w:lang w:eastAsia="en-US"/>
              </w:rPr>
              <w:t>设备型号、精确尺寸、编号、位置、用途</w:t>
            </w:r>
          </w:p>
        </w:tc>
      </w:tr>
      <w:tr w14:paraId="22A7749D">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3CF80AF">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99E4870">
            <w:pPr>
              <w:pStyle w:val="561"/>
              <w:widowControl w:val="0"/>
              <w:spacing w:before="120" w:after="120" w:line="240" w:lineRule="auto"/>
              <w:ind w:left="31" w:right="4"/>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5FFE9F0">
            <w:pPr>
              <w:pStyle w:val="561"/>
              <w:widowControl w:val="0"/>
              <w:spacing w:before="120" w:after="120" w:line="240" w:lineRule="auto"/>
              <w:ind w:left="31" w:right="4"/>
              <w:rPr>
                <w:color w:val="auto"/>
                <w:highlight w:val="none"/>
                <w:lang w:eastAsia="en-US"/>
              </w:rPr>
            </w:pPr>
            <w:r>
              <w:rPr>
                <w:color w:val="auto"/>
                <w:highlight w:val="none"/>
                <w:lang w:eastAsia="en-US"/>
              </w:rPr>
              <w:t>电线管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4C22BD8">
            <w:pPr>
              <w:pStyle w:val="561"/>
              <w:widowControl w:val="0"/>
              <w:spacing w:before="120" w:after="120" w:line="240" w:lineRule="auto"/>
              <w:ind w:left="31" w:right="4"/>
              <w:rPr>
                <w:color w:val="auto"/>
                <w:highlight w:val="none"/>
                <w:lang w:eastAsia="en-US"/>
              </w:rPr>
            </w:pPr>
            <w:r>
              <w:rPr>
                <w:color w:val="auto"/>
                <w:highlight w:val="none"/>
                <w:lang w:eastAsia="en-US"/>
              </w:rPr>
              <w:t>无模型，成本或其他性能系可按单位楼面面积的某个数值计入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D895BE">
            <w:pPr>
              <w:pStyle w:val="561"/>
              <w:widowControl w:val="0"/>
              <w:spacing w:before="120" w:after="120" w:line="240" w:lineRule="auto"/>
              <w:ind w:left="31" w:right="4"/>
              <w:rPr>
                <w:color w:val="auto"/>
                <w:highlight w:val="none"/>
                <w:lang w:eastAsia="en-US"/>
              </w:rPr>
            </w:pPr>
            <w:r>
              <w:rPr>
                <w:color w:val="auto"/>
                <w:highlight w:val="none"/>
                <w:lang w:eastAsia="en-US"/>
              </w:rPr>
              <w:t>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9F597E">
            <w:pPr>
              <w:pStyle w:val="561"/>
              <w:widowControl w:val="0"/>
              <w:spacing w:before="120" w:after="120" w:line="240" w:lineRule="auto"/>
              <w:ind w:left="31" w:right="4"/>
              <w:rPr>
                <w:color w:val="auto"/>
                <w:highlight w:val="none"/>
                <w:lang w:eastAsia="en-US"/>
              </w:rPr>
            </w:pPr>
            <w:r>
              <w:rPr>
                <w:color w:val="auto"/>
                <w:highlight w:val="none"/>
                <w:lang w:eastAsia="en-US"/>
              </w:rPr>
              <w:t>精确尺寸、管材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D74D164">
            <w:pPr>
              <w:pStyle w:val="561"/>
              <w:widowControl w:val="0"/>
              <w:spacing w:before="120" w:after="120" w:line="240" w:lineRule="auto"/>
              <w:ind w:left="31" w:right="4"/>
              <w:rPr>
                <w:color w:val="auto"/>
                <w:highlight w:val="none"/>
                <w:lang w:eastAsia="en-US"/>
              </w:rPr>
            </w:pPr>
            <w:r>
              <w:rPr>
                <w:color w:val="auto"/>
                <w:highlight w:val="none"/>
                <w:lang w:eastAsia="en-US"/>
              </w:rPr>
              <w:t>实际尺寸、管材</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33214F9">
            <w:pPr>
              <w:pStyle w:val="561"/>
              <w:widowControl w:val="0"/>
              <w:spacing w:before="120" w:after="120" w:line="238" w:lineRule="exact"/>
              <w:ind w:left="31" w:right="4"/>
              <w:rPr>
                <w:color w:val="auto"/>
                <w:highlight w:val="none"/>
                <w:lang w:eastAsia="en-US"/>
              </w:rPr>
            </w:pPr>
            <w:r>
              <w:rPr>
                <w:color w:val="auto"/>
                <w:highlight w:val="none"/>
                <w:lang w:eastAsia="en-US"/>
              </w:rPr>
              <w:t>实际尺寸，管材，连接件最终尺寸，以及节点计入详细模型</w:t>
            </w:r>
          </w:p>
        </w:tc>
      </w:tr>
      <w:tr w14:paraId="55A58161">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51ED2182">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D7095BF">
            <w:pPr>
              <w:pStyle w:val="561"/>
              <w:widowControl w:val="0"/>
              <w:spacing w:before="120" w:after="120" w:line="238" w:lineRule="exact"/>
              <w:ind w:left="31" w:right="4"/>
              <w:rPr>
                <w:color w:val="auto"/>
                <w:highlight w:val="none"/>
                <w:lang w:eastAsia="en-US"/>
              </w:rPr>
            </w:pPr>
            <w:r>
              <w:rPr>
                <w:rFonts w:hint="eastAsia"/>
                <w:color w:val="auto"/>
                <w:highlight w:val="none"/>
                <w:lang w:eastAsia="en-US"/>
              </w:rPr>
              <w:t>注：上述模型精度要求仅作参考，具体精度内容应参考相关合同、行业标准、地方标准的要求。</w:t>
            </w:r>
          </w:p>
        </w:tc>
      </w:tr>
    </w:tbl>
    <w:p w14:paraId="2FE51C41">
      <w:pPr>
        <w:spacing w:before="120" w:after="120"/>
        <w:rPr>
          <w:color w:val="auto"/>
          <w:highlight w:val="none"/>
        </w:rPr>
        <w:sectPr>
          <w:pgSz w:w="16840" w:h="11910" w:orient="landscape"/>
          <w:pgMar w:top="1440" w:right="1800" w:bottom="1440" w:left="1800" w:header="907" w:footer="953" w:gutter="0"/>
          <w:pgNumType w:fmt="numberInDash"/>
          <w:cols w:space="720" w:num="1"/>
        </w:sectPr>
      </w:pPr>
    </w:p>
    <w:p w14:paraId="05A381AC">
      <w:pPr>
        <w:pStyle w:val="584"/>
        <w:spacing w:before="120" w:after="120"/>
        <w:ind w:firstLine="420" w:firstLineChars="200"/>
        <w:rPr>
          <w:color w:val="auto"/>
          <w:highlight w:val="none"/>
        </w:rPr>
      </w:pPr>
      <w:bookmarkStart w:id="310" w:name="_Toc28557"/>
      <w:r>
        <w:rPr>
          <w:color w:val="auto"/>
          <w:highlight w:val="none"/>
        </w:rPr>
        <w:t>9  标识系统</w:t>
      </w:r>
      <w:bookmarkEnd w:id="310"/>
    </w:p>
    <w:tbl>
      <w:tblPr>
        <w:tblStyle w:val="519"/>
        <w:tblW w:w="4999" w:type="pct"/>
        <w:tblInd w:w="0" w:type="dxa"/>
        <w:tblLayout w:type="autofit"/>
        <w:tblCellMar>
          <w:top w:w="0" w:type="dxa"/>
          <w:left w:w="0" w:type="dxa"/>
          <w:bottom w:w="0" w:type="dxa"/>
          <w:right w:w="0" w:type="dxa"/>
        </w:tblCellMar>
      </w:tblPr>
      <w:tblGrid>
        <w:gridCol w:w="1100"/>
        <w:gridCol w:w="510"/>
        <w:gridCol w:w="1205"/>
        <w:gridCol w:w="2187"/>
        <w:gridCol w:w="2187"/>
        <w:gridCol w:w="2187"/>
        <w:gridCol w:w="2187"/>
        <w:gridCol w:w="1788"/>
      </w:tblGrid>
      <w:tr w14:paraId="13B69911">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1E3380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7FF44AC4">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68A3E9CC">
            <w:pPr>
              <w:pStyle w:val="561"/>
              <w:widowControl w:val="0"/>
              <w:spacing w:before="120" w:after="120" w:line="240" w:lineRule="auto"/>
              <w:ind w:left="31"/>
              <w:rPr>
                <w:rFonts w:ascii="Times New Roman" w:hAnsi="Times New Roman" w:cs="Times New Roman"/>
                <w:color w:val="auto"/>
                <w:szCs w:val="24"/>
                <w:highlight w:val="none"/>
                <w:lang w:eastAsia="en-US"/>
              </w:rPr>
            </w:pPr>
          </w:p>
          <w:p w14:paraId="4920F516">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24D5F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FBE3A4F">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348041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09C4DF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4AE543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3E3A47F0">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6CADA89E">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14A5F78B">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5C854A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3697F76">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8FBD6E6">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6448777">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7F5C88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1688CE98">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58361E47">
            <w:pPr>
              <w:pStyle w:val="561"/>
              <w:widowControl w:val="0"/>
              <w:spacing w:before="120" w:after="120"/>
              <w:ind w:left="31" w:right="4"/>
              <w:rPr>
                <w:color w:val="auto"/>
                <w:highlight w:val="none"/>
                <w:lang w:eastAsia="en-US"/>
              </w:rPr>
            </w:pPr>
            <w:r>
              <w:rPr>
                <w:rFonts w:hint="eastAsia"/>
                <w:color w:val="auto"/>
                <w:highlight w:val="none"/>
                <w:lang w:eastAsia="en-US"/>
              </w:rPr>
              <w:t>标识</w:t>
            </w: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A6A0557">
            <w:pPr>
              <w:pStyle w:val="561"/>
              <w:widowControl w:val="0"/>
              <w:spacing w:before="120" w:after="120"/>
              <w:ind w:left="31" w:right="4"/>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B4103E">
            <w:pPr>
              <w:pStyle w:val="561"/>
              <w:widowControl w:val="0"/>
              <w:spacing w:before="120" w:after="120"/>
              <w:ind w:left="31" w:right="4"/>
              <w:rPr>
                <w:color w:val="auto"/>
                <w:highlight w:val="none"/>
                <w:lang w:eastAsia="en-US"/>
              </w:rPr>
            </w:pPr>
            <w:r>
              <w:rPr>
                <w:rFonts w:hint="eastAsia"/>
                <w:color w:val="auto"/>
                <w:highlight w:val="none"/>
                <w:lang w:eastAsia="en-US"/>
              </w:rPr>
              <w:t>室内标识</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373A4E2">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w:t>
            </w:r>
          </w:p>
          <w:p w14:paraId="1388DED7">
            <w:pPr>
              <w:pStyle w:val="561"/>
              <w:widowControl w:val="0"/>
              <w:spacing w:before="120" w:after="120"/>
              <w:ind w:left="31" w:right="4"/>
              <w:rPr>
                <w:color w:val="auto"/>
                <w:highlight w:val="none"/>
                <w:lang w:eastAsia="en-US"/>
              </w:rPr>
            </w:pPr>
            <w:r>
              <w:rPr>
                <w:color w:val="auto"/>
                <w:highlight w:val="none"/>
                <w:lang w:eastAsia="en-US"/>
              </w:rPr>
              <w:t>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CC46A70">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w:t>
            </w:r>
          </w:p>
          <w:p w14:paraId="473B80B3">
            <w:pPr>
              <w:pStyle w:val="561"/>
              <w:widowControl w:val="0"/>
              <w:spacing w:before="120" w:after="120"/>
              <w:ind w:left="31" w:right="4"/>
              <w:rPr>
                <w:color w:val="auto"/>
                <w:highlight w:val="none"/>
                <w:lang w:eastAsia="en-US"/>
              </w:rPr>
            </w:pPr>
            <w:r>
              <w:rPr>
                <w:color w:val="auto"/>
                <w:highlight w:val="none"/>
                <w:lang w:eastAsia="en-US"/>
              </w:rPr>
              <w:t>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C78FB03">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w:t>
            </w:r>
          </w:p>
          <w:p w14:paraId="4B6B11BF">
            <w:pPr>
              <w:pStyle w:val="561"/>
              <w:widowControl w:val="0"/>
              <w:spacing w:before="120" w:after="120"/>
              <w:ind w:left="31" w:right="4"/>
              <w:rPr>
                <w:color w:val="auto"/>
                <w:highlight w:val="none"/>
                <w:lang w:eastAsia="en-US"/>
              </w:rPr>
            </w:pPr>
            <w:r>
              <w:rPr>
                <w:color w:val="auto"/>
                <w:highlight w:val="none"/>
                <w:lang w:eastAsia="en-US"/>
              </w:rPr>
              <w:t>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5E024EC">
            <w:pPr>
              <w:pStyle w:val="561"/>
              <w:widowControl w:val="0"/>
              <w:spacing w:before="120" w:after="120"/>
              <w:ind w:left="31" w:right="4"/>
              <w:rPr>
                <w:color w:val="auto"/>
                <w:highlight w:val="none"/>
                <w:lang w:eastAsia="en-US"/>
              </w:rPr>
            </w:pPr>
            <w:r>
              <w:rPr>
                <w:color w:val="auto"/>
                <w:highlight w:val="none"/>
                <w:lang w:eastAsia="en-US"/>
              </w:rPr>
              <w:t>精确尺寸，颜色</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C935416">
            <w:pPr>
              <w:pStyle w:val="561"/>
              <w:widowControl w:val="0"/>
              <w:spacing w:before="120" w:after="120"/>
              <w:ind w:left="31" w:right="4"/>
              <w:rPr>
                <w:color w:val="auto"/>
                <w:highlight w:val="none"/>
                <w:lang w:eastAsia="en-US"/>
              </w:rPr>
            </w:pPr>
            <w:r>
              <w:rPr>
                <w:color w:val="auto"/>
                <w:highlight w:val="none"/>
                <w:lang w:eastAsia="en-US"/>
              </w:rPr>
              <w:t>加工实际尺寸，颜色</w:t>
            </w:r>
          </w:p>
        </w:tc>
      </w:tr>
      <w:tr w14:paraId="171E1C4D">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ECFB742">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08730F2">
            <w:pPr>
              <w:pStyle w:val="561"/>
              <w:widowControl w:val="0"/>
              <w:spacing w:before="120" w:after="120"/>
              <w:ind w:left="31" w:right="4"/>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4AA2987">
            <w:pPr>
              <w:pStyle w:val="561"/>
              <w:widowControl w:val="0"/>
              <w:spacing w:before="120" w:after="120"/>
              <w:ind w:left="31" w:right="4"/>
              <w:rPr>
                <w:color w:val="auto"/>
                <w:highlight w:val="none"/>
                <w:lang w:eastAsia="en-US"/>
              </w:rPr>
            </w:pPr>
            <w:r>
              <w:rPr>
                <w:rFonts w:hint="eastAsia"/>
                <w:color w:val="auto"/>
                <w:highlight w:val="none"/>
                <w:lang w:eastAsia="en-US"/>
              </w:rPr>
              <w:t>室外标识</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17596FF">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w:t>
            </w:r>
          </w:p>
          <w:p w14:paraId="099AD8CA">
            <w:pPr>
              <w:pStyle w:val="561"/>
              <w:widowControl w:val="0"/>
              <w:spacing w:before="120" w:after="120"/>
              <w:ind w:left="31" w:right="4"/>
              <w:rPr>
                <w:color w:val="auto"/>
                <w:highlight w:val="none"/>
                <w:lang w:eastAsia="en-US"/>
              </w:rPr>
            </w:pPr>
            <w:r>
              <w:rPr>
                <w:color w:val="auto"/>
                <w:highlight w:val="none"/>
                <w:lang w:eastAsia="en-US"/>
              </w:rPr>
              <w:t>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F7458A6">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w:t>
            </w:r>
          </w:p>
          <w:p w14:paraId="7A276C06">
            <w:pPr>
              <w:pStyle w:val="561"/>
              <w:widowControl w:val="0"/>
              <w:spacing w:before="120" w:after="120"/>
              <w:ind w:left="31" w:right="4"/>
              <w:rPr>
                <w:color w:val="auto"/>
                <w:highlight w:val="none"/>
                <w:lang w:eastAsia="en-US"/>
              </w:rPr>
            </w:pPr>
            <w:r>
              <w:rPr>
                <w:color w:val="auto"/>
                <w:highlight w:val="none"/>
                <w:lang w:eastAsia="en-US"/>
              </w:rPr>
              <w:t>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CD18D85">
            <w:pPr>
              <w:pStyle w:val="561"/>
              <w:widowControl w:val="0"/>
              <w:spacing w:before="120" w:after="120"/>
              <w:ind w:left="31" w:right="4"/>
              <w:rPr>
                <w:color w:val="auto"/>
                <w:highlight w:val="none"/>
                <w:lang w:eastAsia="en-US"/>
              </w:rPr>
            </w:pPr>
            <w:r>
              <w:rPr>
                <w:color w:val="auto"/>
                <w:highlight w:val="none"/>
                <w:lang w:eastAsia="en-US"/>
              </w:rPr>
              <w:t>无模型，成本或其他性能系可按单位楼面面积的某</w:t>
            </w:r>
          </w:p>
          <w:p w14:paraId="79F1F212">
            <w:pPr>
              <w:pStyle w:val="561"/>
              <w:widowControl w:val="0"/>
              <w:spacing w:before="120" w:after="120"/>
              <w:ind w:left="31" w:right="4"/>
              <w:rPr>
                <w:color w:val="auto"/>
                <w:highlight w:val="none"/>
                <w:lang w:eastAsia="en-US"/>
              </w:rPr>
            </w:pPr>
            <w:r>
              <w:rPr>
                <w:color w:val="auto"/>
                <w:highlight w:val="none"/>
                <w:lang w:eastAsia="en-US"/>
              </w:rPr>
              <w:t>个数值计入</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3B9CB47">
            <w:pPr>
              <w:pStyle w:val="561"/>
              <w:widowControl w:val="0"/>
              <w:spacing w:before="120" w:after="120"/>
              <w:ind w:left="31" w:right="4"/>
              <w:rPr>
                <w:color w:val="auto"/>
                <w:highlight w:val="none"/>
                <w:lang w:eastAsia="en-US"/>
              </w:rPr>
            </w:pPr>
            <w:r>
              <w:rPr>
                <w:color w:val="auto"/>
                <w:highlight w:val="none"/>
                <w:lang w:eastAsia="en-US"/>
              </w:rPr>
              <w:t>精确尺寸，颜色</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8CE7581">
            <w:pPr>
              <w:pStyle w:val="561"/>
              <w:widowControl w:val="0"/>
              <w:spacing w:before="120" w:after="120"/>
              <w:ind w:left="31" w:right="4"/>
              <w:rPr>
                <w:color w:val="auto"/>
                <w:highlight w:val="none"/>
                <w:lang w:eastAsia="en-US"/>
              </w:rPr>
            </w:pPr>
            <w:r>
              <w:rPr>
                <w:color w:val="auto"/>
                <w:highlight w:val="none"/>
                <w:lang w:eastAsia="en-US"/>
              </w:rPr>
              <w:t>加工实际尺寸，颜色</w:t>
            </w:r>
          </w:p>
        </w:tc>
      </w:tr>
      <w:tr w14:paraId="614E06D7">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50F05646">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56F43FB">
            <w:pPr>
              <w:pStyle w:val="561"/>
              <w:widowControl w:val="0"/>
              <w:spacing w:before="120" w:after="120"/>
              <w:ind w:left="31" w:right="4"/>
              <w:rPr>
                <w:color w:val="auto"/>
                <w:highlight w:val="none"/>
                <w:lang w:eastAsia="en-US"/>
              </w:rPr>
            </w:pPr>
            <w:r>
              <w:rPr>
                <w:rFonts w:hint="eastAsia"/>
                <w:color w:val="auto"/>
                <w:highlight w:val="none"/>
                <w:lang w:eastAsia="en-US"/>
              </w:rPr>
              <w:t>注：上述模型精度要求仅作参考，具体精度内容应参考相关合同、行业标准、地方标准的要求。</w:t>
            </w:r>
          </w:p>
        </w:tc>
      </w:tr>
    </w:tbl>
    <w:p w14:paraId="6226B087">
      <w:pPr>
        <w:spacing w:before="120" w:after="120"/>
        <w:rPr>
          <w:color w:val="auto"/>
          <w:highlight w:val="none"/>
        </w:rPr>
        <w:sectPr>
          <w:pgSz w:w="16840" w:h="11910" w:orient="landscape"/>
          <w:pgMar w:top="1440" w:right="1800" w:bottom="1440" w:left="1800" w:header="907" w:footer="953" w:gutter="0"/>
          <w:pgNumType w:fmt="numberInDash"/>
          <w:cols w:space="720" w:num="1"/>
        </w:sectPr>
      </w:pPr>
    </w:p>
    <w:p w14:paraId="3AF872C8">
      <w:pPr>
        <w:pStyle w:val="584"/>
        <w:spacing w:before="120" w:after="120"/>
        <w:ind w:firstLine="420" w:firstLineChars="200"/>
        <w:rPr>
          <w:color w:val="auto"/>
          <w:highlight w:val="none"/>
        </w:rPr>
      </w:pPr>
      <w:bookmarkStart w:id="311" w:name="_Toc25112"/>
      <w:r>
        <w:rPr>
          <w:color w:val="auto"/>
          <w:highlight w:val="none"/>
        </w:rPr>
        <w:t>10  室内精装修专业</w:t>
      </w:r>
      <w:bookmarkEnd w:id="311"/>
    </w:p>
    <w:tbl>
      <w:tblPr>
        <w:tblStyle w:val="519"/>
        <w:tblW w:w="4999" w:type="pct"/>
        <w:tblInd w:w="0" w:type="dxa"/>
        <w:tblLayout w:type="autofit"/>
        <w:tblCellMar>
          <w:top w:w="0" w:type="dxa"/>
          <w:left w:w="0" w:type="dxa"/>
          <w:bottom w:w="0" w:type="dxa"/>
          <w:right w:w="0" w:type="dxa"/>
        </w:tblCellMar>
      </w:tblPr>
      <w:tblGrid>
        <w:gridCol w:w="1100"/>
        <w:gridCol w:w="510"/>
        <w:gridCol w:w="1205"/>
        <w:gridCol w:w="2187"/>
        <w:gridCol w:w="2187"/>
        <w:gridCol w:w="2187"/>
        <w:gridCol w:w="2187"/>
        <w:gridCol w:w="1788"/>
      </w:tblGrid>
      <w:tr w14:paraId="10F0C225">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2C86D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57FBAAF1">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2D51520A">
            <w:pPr>
              <w:pStyle w:val="561"/>
              <w:widowControl w:val="0"/>
              <w:spacing w:before="120" w:after="120" w:line="240" w:lineRule="auto"/>
              <w:ind w:left="31"/>
              <w:rPr>
                <w:rFonts w:ascii="Times New Roman" w:hAnsi="Times New Roman" w:cs="Times New Roman"/>
                <w:color w:val="auto"/>
                <w:szCs w:val="24"/>
                <w:highlight w:val="none"/>
                <w:lang w:eastAsia="en-US"/>
              </w:rPr>
            </w:pPr>
          </w:p>
          <w:p w14:paraId="1E09B3E0">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25E902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D43493F">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D5F62B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2A81C56">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F3D9E5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554B215F">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6320AA83">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2F8F8AB5">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8542D1B">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66820B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3B582D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B9579E7">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81DC5DA">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2651AAA9">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381AA472">
            <w:pPr>
              <w:pStyle w:val="561"/>
              <w:widowControl w:val="0"/>
              <w:spacing w:before="120" w:after="120"/>
              <w:ind w:left="31" w:right="4"/>
              <w:rPr>
                <w:color w:val="auto"/>
                <w:highlight w:val="none"/>
                <w:lang w:eastAsia="en-US"/>
              </w:rPr>
            </w:pPr>
            <w:r>
              <w:rPr>
                <w:rFonts w:hint="eastAsia"/>
                <w:color w:val="auto"/>
                <w:highlight w:val="none"/>
                <w:lang w:eastAsia="en-US"/>
              </w:rPr>
              <w:t>室内精装修</w:t>
            </w: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5147F61">
            <w:pPr>
              <w:pStyle w:val="561"/>
              <w:widowControl w:val="0"/>
              <w:spacing w:before="120" w:after="120"/>
              <w:ind w:left="31" w:right="4"/>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D73842">
            <w:pPr>
              <w:pStyle w:val="561"/>
              <w:widowControl w:val="0"/>
              <w:spacing w:before="120" w:after="120" w:line="239" w:lineRule="exact"/>
              <w:ind w:left="31"/>
              <w:rPr>
                <w:color w:val="auto"/>
                <w:highlight w:val="none"/>
                <w:lang w:eastAsia="en-US"/>
              </w:rPr>
            </w:pPr>
            <w:r>
              <w:rPr>
                <w:color w:val="auto"/>
                <w:highlight w:val="none"/>
                <w:lang w:eastAsia="en-US"/>
              </w:rPr>
              <w:t>卫生间（卫生洁具、水池、台、柜）</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C83B57B">
            <w:pPr>
              <w:pStyle w:val="561"/>
              <w:widowControl w:val="0"/>
              <w:spacing w:before="120" w:after="120" w:line="240" w:lineRule="auto"/>
              <w:ind w:left="31" w:right="4"/>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BE873B1">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3F1BE8">
            <w:pPr>
              <w:pStyle w:val="561"/>
              <w:widowControl w:val="0"/>
              <w:spacing w:before="120" w:after="120" w:line="240" w:lineRule="auto"/>
              <w:ind w:left="31" w:right="4"/>
              <w:rPr>
                <w:color w:val="auto"/>
                <w:highlight w:val="none"/>
                <w:lang w:eastAsia="en-US"/>
              </w:rPr>
            </w:pPr>
            <w:r>
              <w:rPr>
                <w:color w:val="auto"/>
                <w:highlight w:val="none"/>
                <w:lang w:eastAsia="en-US"/>
              </w:rPr>
              <w:t>精确形状、位置、尺寸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A51DB0">
            <w:pPr>
              <w:pStyle w:val="561"/>
              <w:widowControl w:val="0"/>
              <w:spacing w:before="120" w:after="120" w:line="240" w:lineRule="auto"/>
              <w:ind w:left="31" w:right="4"/>
              <w:rPr>
                <w:color w:val="auto"/>
                <w:highlight w:val="none"/>
                <w:lang w:eastAsia="en-US"/>
              </w:rPr>
            </w:pPr>
            <w:r>
              <w:rPr>
                <w:color w:val="auto"/>
                <w:highlight w:val="none"/>
                <w:lang w:eastAsia="en-US"/>
              </w:rPr>
              <w:t>实际形状、位置、尺寸</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0E436BA">
            <w:pPr>
              <w:pStyle w:val="561"/>
              <w:widowControl w:val="0"/>
              <w:spacing w:before="120" w:after="120" w:line="239" w:lineRule="exact"/>
              <w:ind w:left="31" w:right="-2" w:firstLine="36"/>
              <w:rPr>
                <w:color w:val="auto"/>
                <w:highlight w:val="none"/>
                <w:lang w:eastAsia="en-US"/>
              </w:rPr>
            </w:pPr>
            <w:r>
              <w:rPr>
                <w:color w:val="auto"/>
                <w:highlight w:val="none"/>
                <w:lang w:eastAsia="en-US"/>
              </w:rPr>
              <w:t>厂家、型号、精确</w:t>
            </w:r>
          </w:p>
          <w:p w14:paraId="568740D4">
            <w:pPr>
              <w:pStyle w:val="561"/>
              <w:widowControl w:val="0"/>
              <w:spacing w:before="120" w:after="120" w:line="240" w:lineRule="auto"/>
              <w:ind w:left="31" w:right="4"/>
              <w:rPr>
                <w:color w:val="auto"/>
                <w:highlight w:val="none"/>
                <w:lang w:eastAsia="en-US"/>
              </w:rPr>
            </w:pPr>
            <w:r>
              <w:rPr>
                <w:color w:val="auto"/>
                <w:highlight w:val="none"/>
                <w:lang w:eastAsia="en-US"/>
              </w:rPr>
              <w:t>尺寸、编号、位置、用途</w:t>
            </w:r>
          </w:p>
        </w:tc>
      </w:tr>
      <w:tr w14:paraId="43EAF623">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25D4C04">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F726168">
            <w:pPr>
              <w:pStyle w:val="561"/>
              <w:widowControl w:val="0"/>
              <w:spacing w:before="120" w:after="120"/>
              <w:ind w:left="31" w:right="4"/>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4B54726">
            <w:pPr>
              <w:pStyle w:val="561"/>
              <w:widowControl w:val="0"/>
              <w:spacing w:before="120" w:after="120" w:line="240" w:lineRule="auto"/>
              <w:ind w:left="31" w:right="4"/>
              <w:rPr>
                <w:color w:val="auto"/>
                <w:highlight w:val="none"/>
                <w:lang w:eastAsia="en-US"/>
              </w:rPr>
            </w:pPr>
            <w:r>
              <w:rPr>
                <w:color w:val="auto"/>
                <w:highlight w:val="none"/>
                <w:lang w:eastAsia="en-US"/>
              </w:rPr>
              <w:t>固定家具（主要为碰撞检查分析）</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61AF0DB">
            <w:pPr>
              <w:pStyle w:val="561"/>
              <w:widowControl w:val="0"/>
              <w:spacing w:before="120" w:after="120" w:line="240" w:lineRule="auto"/>
              <w:ind w:left="31" w:right="4"/>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1F018F9">
            <w:pPr>
              <w:pStyle w:val="561"/>
              <w:widowControl w:val="0"/>
              <w:spacing w:before="120" w:after="120"/>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148BBB3">
            <w:pPr>
              <w:pStyle w:val="561"/>
              <w:widowControl w:val="0"/>
              <w:spacing w:before="120" w:after="120" w:line="240" w:lineRule="auto"/>
              <w:ind w:left="31" w:right="4"/>
              <w:rPr>
                <w:color w:val="auto"/>
                <w:highlight w:val="none"/>
                <w:lang w:eastAsia="en-US"/>
              </w:rPr>
            </w:pPr>
            <w:r>
              <w:rPr>
                <w:color w:val="auto"/>
                <w:highlight w:val="none"/>
                <w:lang w:eastAsia="en-US"/>
              </w:rPr>
              <w:t>精确形状、位置、尺寸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0E2450F">
            <w:pPr>
              <w:pStyle w:val="561"/>
              <w:widowControl w:val="0"/>
              <w:spacing w:before="120" w:after="120"/>
              <w:ind w:left="31" w:right="4"/>
              <w:rPr>
                <w:color w:val="auto"/>
                <w:highlight w:val="none"/>
                <w:lang w:eastAsia="en-US"/>
              </w:rPr>
            </w:pPr>
            <w:r>
              <w:rPr>
                <w:color w:val="auto"/>
                <w:highlight w:val="none"/>
                <w:lang w:eastAsia="en-US"/>
              </w:rPr>
              <w:t>实际形状、位置、尺寸</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C0BEAB4">
            <w:pPr>
              <w:pStyle w:val="561"/>
              <w:widowControl w:val="0"/>
              <w:spacing w:before="120" w:after="120" w:line="239" w:lineRule="exact"/>
              <w:ind w:left="31" w:right="-2" w:firstLine="36"/>
              <w:rPr>
                <w:color w:val="auto"/>
                <w:highlight w:val="none"/>
                <w:lang w:eastAsia="en-US"/>
              </w:rPr>
            </w:pPr>
            <w:r>
              <w:rPr>
                <w:color w:val="auto"/>
                <w:highlight w:val="none"/>
                <w:lang w:eastAsia="en-US"/>
              </w:rPr>
              <w:t>厂家、型号、精确</w:t>
            </w:r>
          </w:p>
          <w:p w14:paraId="69294168">
            <w:pPr>
              <w:pStyle w:val="561"/>
              <w:widowControl w:val="0"/>
              <w:spacing w:before="120" w:after="120" w:line="240" w:lineRule="auto"/>
              <w:ind w:left="31" w:right="4"/>
              <w:rPr>
                <w:color w:val="auto"/>
                <w:highlight w:val="none"/>
                <w:lang w:eastAsia="en-US"/>
              </w:rPr>
            </w:pPr>
            <w:r>
              <w:rPr>
                <w:color w:val="auto"/>
                <w:highlight w:val="none"/>
                <w:lang w:eastAsia="en-US"/>
              </w:rPr>
              <w:t>尺寸、编号、位置、用途</w:t>
            </w:r>
          </w:p>
        </w:tc>
      </w:tr>
      <w:tr w14:paraId="757760AD">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1F2920F">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F9DDD98">
            <w:pPr>
              <w:pStyle w:val="561"/>
              <w:widowControl w:val="0"/>
              <w:spacing w:before="120" w:after="120"/>
              <w:ind w:left="31" w:right="4"/>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CFDC89C">
            <w:pPr>
              <w:pStyle w:val="561"/>
              <w:widowControl w:val="0"/>
              <w:spacing w:before="120" w:after="120" w:line="240" w:lineRule="auto"/>
              <w:ind w:left="31" w:right="4"/>
              <w:rPr>
                <w:color w:val="auto"/>
                <w:highlight w:val="none"/>
                <w:lang w:eastAsia="en-US"/>
              </w:rPr>
            </w:pPr>
            <w:r>
              <w:rPr>
                <w:color w:val="auto"/>
                <w:highlight w:val="none"/>
                <w:lang w:eastAsia="en-US"/>
              </w:rPr>
              <w:t>吊顶（龙骨、</w:t>
            </w:r>
          </w:p>
          <w:p w14:paraId="01568418">
            <w:pPr>
              <w:pStyle w:val="561"/>
              <w:widowControl w:val="0"/>
              <w:spacing w:before="120" w:after="120" w:line="238" w:lineRule="exact"/>
              <w:ind w:left="31"/>
              <w:rPr>
                <w:color w:val="auto"/>
                <w:highlight w:val="none"/>
                <w:lang w:eastAsia="en-US"/>
              </w:rPr>
            </w:pPr>
            <w:r>
              <w:rPr>
                <w:color w:val="auto"/>
                <w:highlight w:val="none"/>
                <w:lang w:eastAsia="en-US"/>
              </w:rPr>
              <w:t>灯具、风口、烟感、喷淋、广播、检修口）</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ADF8236">
            <w:pPr>
              <w:pStyle w:val="561"/>
              <w:widowControl w:val="0"/>
              <w:spacing w:before="120" w:after="120" w:line="240" w:lineRule="auto"/>
              <w:ind w:left="31" w:right="4"/>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47BC30C">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EE6A5A1">
            <w:pPr>
              <w:pStyle w:val="561"/>
              <w:widowControl w:val="0"/>
              <w:spacing w:before="120" w:after="120" w:line="240" w:lineRule="auto"/>
              <w:ind w:left="31" w:right="4"/>
              <w:rPr>
                <w:color w:val="auto"/>
                <w:highlight w:val="none"/>
                <w:lang w:eastAsia="en-US"/>
              </w:rPr>
            </w:pPr>
            <w:r>
              <w:rPr>
                <w:color w:val="auto"/>
                <w:highlight w:val="none"/>
                <w:lang w:eastAsia="en-US"/>
              </w:rPr>
              <w:t>精确形状、位置、尺寸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110820C">
            <w:pPr>
              <w:pStyle w:val="561"/>
              <w:widowControl w:val="0"/>
              <w:spacing w:before="120" w:after="120" w:line="240" w:lineRule="auto"/>
              <w:ind w:left="31" w:right="4"/>
              <w:rPr>
                <w:color w:val="auto"/>
                <w:highlight w:val="none"/>
                <w:lang w:eastAsia="en-US"/>
              </w:rPr>
            </w:pPr>
            <w:r>
              <w:rPr>
                <w:color w:val="auto"/>
                <w:highlight w:val="none"/>
                <w:lang w:eastAsia="en-US"/>
              </w:rPr>
              <w:t>实际形状、位置、尺寸</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BF2A19">
            <w:pPr>
              <w:pStyle w:val="561"/>
              <w:widowControl w:val="0"/>
              <w:spacing w:before="120" w:after="120" w:line="240" w:lineRule="auto"/>
              <w:ind w:left="31" w:right="4"/>
              <w:rPr>
                <w:color w:val="auto"/>
                <w:highlight w:val="none"/>
                <w:lang w:eastAsia="en-US"/>
              </w:rPr>
            </w:pPr>
            <w:r>
              <w:rPr>
                <w:color w:val="auto"/>
                <w:highlight w:val="none"/>
                <w:lang w:eastAsia="en-US"/>
              </w:rPr>
              <w:t>厂家、型号、精确尺寸、编号、位置、用途</w:t>
            </w:r>
          </w:p>
        </w:tc>
      </w:tr>
      <w:tr w14:paraId="789E07DF">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DADF3E5">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2C3462C">
            <w:pPr>
              <w:pStyle w:val="561"/>
              <w:widowControl w:val="0"/>
              <w:spacing w:before="120" w:after="120" w:line="240" w:lineRule="auto"/>
              <w:ind w:left="31" w:right="4"/>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FCB14D">
            <w:pPr>
              <w:pStyle w:val="561"/>
              <w:widowControl w:val="0"/>
              <w:spacing w:before="120" w:after="120" w:line="240" w:lineRule="auto"/>
              <w:ind w:left="31" w:right="4"/>
              <w:rPr>
                <w:color w:val="auto"/>
                <w:highlight w:val="none"/>
                <w:lang w:eastAsia="en-US"/>
              </w:rPr>
            </w:pPr>
            <w:r>
              <w:rPr>
                <w:color w:val="auto"/>
                <w:highlight w:val="none"/>
                <w:lang w:eastAsia="en-US"/>
              </w:rPr>
              <w:t>电气开关插座定位</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844CAAA">
            <w:pPr>
              <w:pStyle w:val="561"/>
              <w:widowControl w:val="0"/>
              <w:spacing w:before="120" w:after="120" w:line="240" w:lineRule="auto"/>
              <w:ind w:left="31" w:right="4"/>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D06E853">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6C2914">
            <w:pPr>
              <w:pStyle w:val="561"/>
              <w:widowControl w:val="0"/>
              <w:spacing w:before="120" w:after="120" w:line="240" w:lineRule="auto"/>
              <w:ind w:left="31" w:right="4"/>
              <w:rPr>
                <w:color w:val="auto"/>
                <w:highlight w:val="none"/>
                <w:lang w:eastAsia="en-US"/>
              </w:rPr>
            </w:pPr>
            <w:r>
              <w:rPr>
                <w:color w:val="auto"/>
                <w:highlight w:val="none"/>
                <w:lang w:eastAsia="en-US"/>
              </w:rPr>
              <w:t>精确形状、位置、尺寸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F402AC4">
            <w:pPr>
              <w:pStyle w:val="561"/>
              <w:widowControl w:val="0"/>
              <w:spacing w:before="120" w:after="120" w:line="240" w:lineRule="auto"/>
              <w:ind w:left="31" w:right="4"/>
              <w:rPr>
                <w:color w:val="auto"/>
                <w:highlight w:val="none"/>
                <w:lang w:eastAsia="en-US"/>
              </w:rPr>
            </w:pPr>
            <w:r>
              <w:rPr>
                <w:color w:val="auto"/>
                <w:highlight w:val="none"/>
                <w:lang w:eastAsia="en-US"/>
              </w:rPr>
              <w:t>实际形状、位置、尺寸</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E7F72B3">
            <w:pPr>
              <w:pStyle w:val="561"/>
              <w:widowControl w:val="0"/>
              <w:spacing w:before="120" w:after="120" w:line="238" w:lineRule="exact"/>
              <w:ind w:left="31" w:right="-2" w:firstLine="36"/>
              <w:rPr>
                <w:color w:val="auto"/>
                <w:highlight w:val="none"/>
                <w:lang w:eastAsia="en-US"/>
              </w:rPr>
            </w:pPr>
            <w:r>
              <w:rPr>
                <w:color w:val="auto"/>
                <w:highlight w:val="none"/>
                <w:lang w:eastAsia="en-US"/>
              </w:rPr>
              <w:t>厂家、型号、精确</w:t>
            </w:r>
          </w:p>
          <w:p w14:paraId="6B4AA78C">
            <w:pPr>
              <w:pStyle w:val="561"/>
              <w:widowControl w:val="0"/>
              <w:spacing w:before="120" w:after="120" w:line="240" w:lineRule="auto"/>
              <w:ind w:left="31" w:right="4"/>
              <w:rPr>
                <w:color w:val="auto"/>
                <w:highlight w:val="none"/>
                <w:lang w:eastAsia="en-US"/>
              </w:rPr>
            </w:pPr>
            <w:r>
              <w:rPr>
                <w:color w:val="auto"/>
                <w:highlight w:val="none"/>
                <w:lang w:eastAsia="en-US"/>
              </w:rPr>
              <w:t>尺寸、编号、位置、用途</w:t>
            </w:r>
          </w:p>
        </w:tc>
      </w:tr>
      <w:tr w14:paraId="0CA15A57">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320910E">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2F9CDD">
            <w:pPr>
              <w:pStyle w:val="561"/>
              <w:widowControl w:val="0"/>
              <w:spacing w:before="120" w:after="120" w:line="240" w:lineRule="auto"/>
              <w:ind w:left="31" w:right="4"/>
              <w:rPr>
                <w:color w:val="auto"/>
                <w:highlight w:val="none"/>
                <w:lang w:eastAsia="en-US"/>
              </w:rPr>
            </w:pPr>
            <w:r>
              <w:rPr>
                <w:color w:val="auto"/>
                <w:highlight w:val="none"/>
                <w:lang w:eastAsia="en-US"/>
              </w:rPr>
              <w:t>005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45A6E26">
            <w:pPr>
              <w:pStyle w:val="561"/>
              <w:widowControl w:val="0"/>
              <w:spacing w:before="120" w:after="120" w:line="240" w:lineRule="auto"/>
              <w:ind w:left="31" w:right="4"/>
              <w:rPr>
                <w:color w:val="auto"/>
                <w:highlight w:val="none"/>
                <w:lang w:eastAsia="en-US"/>
              </w:rPr>
            </w:pPr>
            <w:r>
              <w:rPr>
                <w:color w:val="auto"/>
                <w:highlight w:val="none"/>
                <w:lang w:eastAsia="en-US"/>
              </w:rPr>
              <w:t>隔断</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C190C32">
            <w:pPr>
              <w:pStyle w:val="561"/>
              <w:widowControl w:val="0"/>
              <w:spacing w:before="120" w:after="120" w:line="240" w:lineRule="auto"/>
              <w:ind w:left="31" w:right="4"/>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643DBEF">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C3186C5">
            <w:pPr>
              <w:pStyle w:val="561"/>
              <w:widowControl w:val="0"/>
              <w:spacing w:before="120" w:after="120" w:line="240" w:lineRule="auto"/>
              <w:ind w:left="31" w:right="4"/>
              <w:rPr>
                <w:color w:val="auto"/>
                <w:highlight w:val="none"/>
                <w:lang w:eastAsia="en-US"/>
              </w:rPr>
            </w:pPr>
            <w:r>
              <w:rPr>
                <w:color w:val="auto"/>
                <w:highlight w:val="none"/>
                <w:lang w:eastAsia="en-US"/>
              </w:rPr>
              <w:t>精确形状、位置、尺寸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B2DA05A">
            <w:pPr>
              <w:pStyle w:val="561"/>
              <w:widowControl w:val="0"/>
              <w:spacing w:before="120" w:after="120" w:line="240" w:lineRule="auto"/>
              <w:ind w:left="31" w:right="4"/>
              <w:rPr>
                <w:color w:val="auto"/>
                <w:highlight w:val="none"/>
                <w:lang w:eastAsia="en-US"/>
              </w:rPr>
            </w:pPr>
            <w:r>
              <w:rPr>
                <w:color w:val="auto"/>
                <w:highlight w:val="none"/>
                <w:lang w:eastAsia="en-US"/>
              </w:rPr>
              <w:t>实际形状、位置、尺寸</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FFC7B1">
            <w:pPr>
              <w:pStyle w:val="561"/>
              <w:widowControl w:val="0"/>
              <w:spacing w:before="120" w:after="120" w:line="238" w:lineRule="exact"/>
              <w:ind w:left="31" w:right="-2" w:firstLine="36"/>
              <w:rPr>
                <w:color w:val="auto"/>
                <w:highlight w:val="none"/>
                <w:lang w:eastAsia="en-US"/>
              </w:rPr>
            </w:pPr>
            <w:r>
              <w:rPr>
                <w:color w:val="auto"/>
                <w:highlight w:val="none"/>
                <w:lang w:eastAsia="en-US"/>
              </w:rPr>
              <w:t>厂家、型号、精确</w:t>
            </w:r>
          </w:p>
          <w:p w14:paraId="48D100DB">
            <w:pPr>
              <w:pStyle w:val="561"/>
              <w:widowControl w:val="0"/>
              <w:spacing w:before="120" w:after="120" w:line="240" w:lineRule="auto"/>
              <w:ind w:left="31" w:right="4"/>
              <w:rPr>
                <w:color w:val="auto"/>
                <w:highlight w:val="none"/>
                <w:lang w:eastAsia="en-US"/>
              </w:rPr>
            </w:pPr>
            <w:r>
              <w:rPr>
                <w:color w:val="auto"/>
                <w:highlight w:val="none"/>
                <w:lang w:eastAsia="en-US"/>
              </w:rPr>
              <w:t>尺寸、编号、位置、用途</w:t>
            </w:r>
          </w:p>
        </w:tc>
      </w:tr>
      <w:tr w14:paraId="65EB241A">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4C5EEB3">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5CDAD84">
            <w:pPr>
              <w:pStyle w:val="561"/>
              <w:widowControl w:val="0"/>
              <w:spacing w:before="120" w:after="120" w:line="240" w:lineRule="auto"/>
              <w:ind w:left="31" w:right="4"/>
              <w:rPr>
                <w:color w:val="auto"/>
                <w:highlight w:val="none"/>
                <w:lang w:eastAsia="en-US"/>
              </w:rPr>
            </w:pPr>
            <w:r>
              <w:rPr>
                <w:color w:val="auto"/>
                <w:highlight w:val="none"/>
                <w:lang w:eastAsia="en-US"/>
              </w:rPr>
              <w:t>006</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32275FC">
            <w:pPr>
              <w:pStyle w:val="561"/>
              <w:widowControl w:val="0"/>
              <w:spacing w:before="120" w:after="120" w:line="240" w:lineRule="auto"/>
              <w:ind w:left="31" w:right="4"/>
              <w:rPr>
                <w:color w:val="auto"/>
                <w:highlight w:val="none"/>
                <w:lang w:eastAsia="en-US"/>
              </w:rPr>
            </w:pPr>
            <w:r>
              <w:rPr>
                <w:color w:val="auto"/>
                <w:highlight w:val="none"/>
                <w:lang w:eastAsia="en-US"/>
              </w:rPr>
              <w:t>地面（示意性拼花、材料）</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3E8492F">
            <w:pPr>
              <w:pStyle w:val="561"/>
              <w:widowControl w:val="0"/>
              <w:spacing w:before="120" w:after="120" w:line="240" w:lineRule="auto"/>
              <w:ind w:left="31" w:right="4"/>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6F5ED27">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F25A3FE">
            <w:pPr>
              <w:pStyle w:val="561"/>
              <w:widowControl w:val="0"/>
              <w:spacing w:before="120" w:after="120" w:line="240" w:lineRule="auto"/>
              <w:ind w:left="31" w:right="4"/>
              <w:rPr>
                <w:color w:val="auto"/>
                <w:highlight w:val="none"/>
                <w:lang w:eastAsia="en-US"/>
              </w:rPr>
            </w:pPr>
            <w:r>
              <w:rPr>
                <w:color w:val="auto"/>
                <w:highlight w:val="none"/>
                <w:lang w:eastAsia="en-US"/>
              </w:rPr>
              <w:t>精确形状、位置、尺寸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D1B513">
            <w:pPr>
              <w:pStyle w:val="561"/>
              <w:widowControl w:val="0"/>
              <w:spacing w:before="120" w:after="120" w:line="240" w:lineRule="auto"/>
              <w:ind w:left="31" w:right="4"/>
              <w:rPr>
                <w:color w:val="auto"/>
                <w:highlight w:val="none"/>
                <w:lang w:eastAsia="en-US"/>
              </w:rPr>
            </w:pPr>
            <w:r>
              <w:rPr>
                <w:color w:val="auto"/>
                <w:highlight w:val="none"/>
                <w:lang w:eastAsia="en-US"/>
              </w:rPr>
              <w:t>实际形状、位置、尺寸</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CC7D1F4">
            <w:pPr>
              <w:pStyle w:val="561"/>
              <w:widowControl w:val="0"/>
              <w:spacing w:before="120" w:after="120" w:line="239" w:lineRule="exact"/>
              <w:ind w:left="31" w:right="-2" w:firstLine="36"/>
              <w:rPr>
                <w:color w:val="auto"/>
                <w:highlight w:val="none"/>
                <w:lang w:eastAsia="en-US"/>
              </w:rPr>
            </w:pPr>
            <w:r>
              <w:rPr>
                <w:color w:val="auto"/>
                <w:highlight w:val="none"/>
                <w:lang w:eastAsia="en-US"/>
              </w:rPr>
              <w:t>厂家、型号、精确</w:t>
            </w:r>
          </w:p>
          <w:p w14:paraId="42867123">
            <w:pPr>
              <w:pStyle w:val="561"/>
              <w:widowControl w:val="0"/>
              <w:spacing w:before="120" w:after="120" w:line="240" w:lineRule="auto"/>
              <w:ind w:left="31" w:right="4"/>
              <w:rPr>
                <w:color w:val="auto"/>
                <w:highlight w:val="none"/>
                <w:lang w:eastAsia="en-US"/>
              </w:rPr>
            </w:pPr>
            <w:r>
              <w:rPr>
                <w:color w:val="auto"/>
                <w:highlight w:val="none"/>
                <w:lang w:eastAsia="en-US"/>
              </w:rPr>
              <w:t>尺寸、编号、位置、用途</w:t>
            </w:r>
          </w:p>
        </w:tc>
      </w:tr>
      <w:tr w14:paraId="79C3A9AB">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EFAADFF">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CB7176D">
            <w:pPr>
              <w:pStyle w:val="561"/>
              <w:widowControl w:val="0"/>
              <w:spacing w:before="120" w:after="120" w:line="240" w:lineRule="auto"/>
              <w:ind w:left="31" w:right="4"/>
              <w:rPr>
                <w:color w:val="auto"/>
                <w:highlight w:val="none"/>
                <w:lang w:eastAsia="en-US"/>
              </w:rPr>
            </w:pPr>
            <w:r>
              <w:rPr>
                <w:color w:val="auto"/>
                <w:highlight w:val="none"/>
                <w:lang w:eastAsia="en-US"/>
              </w:rPr>
              <w:t>007</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0EF3229">
            <w:pPr>
              <w:pStyle w:val="561"/>
              <w:widowControl w:val="0"/>
              <w:spacing w:before="120" w:after="120" w:line="239" w:lineRule="exact"/>
              <w:ind w:left="31"/>
              <w:rPr>
                <w:color w:val="auto"/>
                <w:highlight w:val="none"/>
                <w:lang w:eastAsia="en-US"/>
              </w:rPr>
            </w:pPr>
            <w:r>
              <w:rPr>
                <w:color w:val="auto"/>
                <w:highlight w:val="none"/>
                <w:lang w:eastAsia="en-US"/>
              </w:rPr>
              <w:t>墙面（插座、开关、通讯、空调控制器、消防操控按钮、安全出口指示、机电末</w:t>
            </w:r>
          </w:p>
          <w:p w14:paraId="3A889224">
            <w:pPr>
              <w:pStyle w:val="561"/>
              <w:widowControl w:val="0"/>
              <w:spacing w:before="120" w:after="120" w:line="240" w:lineRule="auto"/>
              <w:ind w:left="31" w:right="4"/>
              <w:rPr>
                <w:color w:val="auto"/>
                <w:highlight w:val="none"/>
                <w:lang w:eastAsia="en-US"/>
              </w:rPr>
            </w:pPr>
            <w:r>
              <w:rPr>
                <w:color w:val="auto"/>
                <w:highlight w:val="none"/>
                <w:lang w:eastAsia="en-US"/>
              </w:rPr>
              <w:t>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976820A">
            <w:pPr>
              <w:pStyle w:val="561"/>
              <w:widowControl w:val="0"/>
              <w:spacing w:before="120" w:after="120" w:line="240" w:lineRule="auto"/>
              <w:ind w:left="31" w:right="4"/>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6A1FF0E">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4E13F50">
            <w:pPr>
              <w:pStyle w:val="561"/>
              <w:widowControl w:val="0"/>
              <w:spacing w:before="120" w:after="120" w:line="240" w:lineRule="auto"/>
              <w:ind w:left="31" w:right="4"/>
              <w:rPr>
                <w:color w:val="auto"/>
                <w:highlight w:val="none"/>
                <w:lang w:eastAsia="en-US"/>
              </w:rPr>
            </w:pPr>
            <w:r>
              <w:rPr>
                <w:color w:val="auto"/>
                <w:highlight w:val="none"/>
                <w:lang w:eastAsia="en-US"/>
              </w:rPr>
              <w:t>精确形状、位置、尺寸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675407E">
            <w:pPr>
              <w:pStyle w:val="561"/>
              <w:widowControl w:val="0"/>
              <w:spacing w:before="120" w:after="120" w:line="240" w:lineRule="auto"/>
              <w:ind w:left="31" w:right="4"/>
              <w:rPr>
                <w:color w:val="auto"/>
                <w:highlight w:val="none"/>
                <w:lang w:eastAsia="en-US"/>
              </w:rPr>
            </w:pPr>
            <w:r>
              <w:rPr>
                <w:color w:val="auto"/>
                <w:highlight w:val="none"/>
                <w:lang w:eastAsia="en-US"/>
              </w:rPr>
              <w:t>实际形状、位置、尺寸</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693A11C">
            <w:pPr>
              <w:pStyle w:val="561"/>
              <w:widowControl w:val="0"/>
              <w:spacing w:before="120" w:after="120" w:line="240" w:lineRule="auto"/>
              <w:ind w:left="31" w:right="4"/>
              <w:rPr>
                <w:color w:val="auto"/>
                <w:highlight w:val="none"/>
                <w:lang w:eastAsia="en-US"/>
              </w:rPr>
            </w:pPr>
            <w:r>
              <w:rPr>
                <w:color w:val="auto"/>
                <w:highlight w:val="none"/>
                <w:lang w:eastAsia="en-US"/>
              </w:rPr>
              <w:t>厂家、型号、精确尺寸、编号、位置、用途</w:t>
            </w:r>
          </w:p>
        </w:tc>
      </w:tr>
      <w:tr w14:paraId="6304904D">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F3C370B">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3916ED">
            <w:pPr>
              <w:pStyle w:val="561"/>
              <w:widowControl w:val="0"/>
              <w:spacing w:before="120" w:after="120" w:line="240" w:lineRule="auto"/>
              <w:ind w:left="31" w:right="4"/>
              <w:rPr>
                <w:color w:val="auto"/>
                <w:highlight w:val="none"/>
                <w:lang w:eastAsia="en-US"/>
              </w:rPr>
            </w:pPr>
            <w:r>
              <w:rPr>
                <w:color w:val="auto"/>
                <w:highlight w:val="none"/>
                <w:lang w:eastAsia="en-US"/>
              </w:rPr>
              <w:t>008</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F220555">
            <w:pPr>
              <w:pStyle w:val="561"/>
              <w:widowControl w:val="0"/>
              <w:spacing w:before="120" w:after="120" w:line="240" w:lineRule="auto"/>
              <w:ind w:left="31" w:right="4"/>
              <w:rPr>
                <w:color w:val="auto"/>
                <w:highlight w:val="none"/>
                <w:lang w:eastAsia="en-US"/>
              </w:rPr>
            </w:pPr>
            <w:r>
              <w:rPr>
                <w:color w:val="auto"/>
                <w:highlight w:val="none"/>
                <w:lang w:eastAsia="en-US"/>
              </w:rPr>
              <w:t>门窗精确定位</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32F9C9C">
            <w:pPr>
              <w:pStyle w:val="561"/>
              <w:widowControl w:val="0"/>
              <w:spacing w:before="120" w:after="120" w:line="240" w:lineRule="auto"/>
              <w:ind w:left="31" w:right="4"/>
              <w:rPr>
                <w:color w:val="auto"/>
                <w:highlight w:val="none"/>
                <w:lang w:eastAsia="en-US"/>
              </w:rPr>
            </w:pPr>
            <w:r>
              <w:rPr>
                <w:color w:val="auto"/>
                <w:highlight w:val="none"/>
                <w:lang w:eastAsia="en-US"/>
              </w:rPr>
              <w:t>非几何数据，仅线、面积。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77BB40D">
            <w:pPr>
              <w:pStyle w:val="561"/>
              <w:widowControl w:val="0"/>
              <w:spacing w:before="120" w:after="120" w:line="240" w:lineRule="auto"/>
              <w:ind w:left="31" w:right="4"/>
              <w:rPr>
                <w:color w:val="auto"/>
                <w:highlight w:val="none"/>
                <w:lang w:eastAsia="en-US"/>
              </w:rPr>
            </w:pPr>
            <w:r>
              <w:rPr>
                <w:color w:val="auto"/>
                <w:highlight w:val="none"/>
                <w:lang w:eastAsia="en-US"/>
              </w:rPr>
              <w:t>类似形状、大概尺寸、位置、用途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6637DDC">
            <w:pPr>
              <w:pStyle w:val="561"/>
              <w:widowControl w:val="0"/>
              <w:spacing w:before="120" w:after="120" w:line="240" w:lineRule="auto"/>
              <w:ind w:left="31" w:right="4"/>
              <w:rPr>
                <w:color w:val="auto"/>
                <w:highlight w:val="none"/>
                <w:lang w:eastAsia="en-US"/>
              </w:rPr>
            </w:pPr>
            <w:r>
              <w:rPr>
                <w:color w:val="auto"/>
                <w:highlight w:val="none"/>
                <w:lang w:eastAsia="en-US"/>
              </w:rPr>
              <w:t>精确形状、位置、尺寸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EB167BB">
            <w:pPr>
              <w:pStyle w:val="561"/>
              <w:widowControl w:val="0"/>
              <w:spacing w:before="120" w:after="120" w:line="240" w:lineRule="auto"/>
              <w:ind w:left="31" w:right="4"/>
              <w:rPr>
                <w:color w:val="auto"/>
                <w:highlight w:val="none"/>
                <w:lang w:eastAsia="en-US"/>
              </w:rPr>
            </w:pPr>
            <w:r>
              <w:rPr>
                <w:color w:val="auto"/>
                <w:highlight w:val="none"/>
                <w:lang w:eastAsia="en-US"/>
              </w:rPr>
              <w:t>精确形状、位置、尺寸</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8EE0475">
            <w:pPr>
              <w:pStyle w:val="561"/>
              <w:widowControl w:val="0"/>
              <w:spacing w:before="120" w:after="120" w:line="239" w:lineRule="exact"/>
              <w:ind w:left="31" w:right="-2" w:firstLine="36"/>
              <w:rPr>
                <w:color w:val="auto"/>
                <w:highlight w:val="none"/>
                <w:lang w:eastAsia="en-US"/>
              </w:rPr>
            </w:pPr>
            <w:r>
              <w:rPr>
                <w:color w:val="auto"/>
                <w:highlight w:val="none"/>
                <w:lang w:eastAsia="en-US"/>
              </w:rPr>
              <w:t>厂家、型号、精确</w:t>
            </w:r>
          </w:p>
          <w:p w14:paraId="1BAE26FA">
            <w:pPr>
              <w:pStyle w:val="561"/>
              <w:widowControl w:val="0"/>
              <w:spacing w:before="120" w:after="120" w:line="240" w:lineRule="auto"/>
              <w:ind w:left="31" w:right="4"/>
              <w:rPr>
                <w:color w:val="auto"/>
                <w:highlight w:val="none"/>
                <w:lang w:eastAsia="en-US"/>
              </w:rPr>
            </w:pPr>
            <w:r>
              <w:rPr>
                <w:color w:val="auto"/>
                <w:highlight w:val="none"/>
                <w:lang w:eastAsia="en-US"/>
              </w:rPr>
              <w:t>尺寸、编号、位置、用途</w:t>
            </w:r>
          </w:p>
        </w:tc>
      </w:tr>
      <w:tr w14:paraId="0C5F7951">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7390F401">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BBF616E">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注：上述模型精度要求仅作参考，具体精度内容应参考相关合同、行业标准、地方标准的要求。</w:t>
            </w:r>
          </w:p>
        </w:tc>
      </w:tr>
    </w:tbl>
    <w:p w14:paraId="47290558">
      <w:pPr>
        <w:spacing w:before="120" w:after="120" w:line="272" w:lineRule="exact"/>
        <w:ind w:firstLine="0" w:firstLineChars="0"/>
        <w:rPr>
          <w:rFonts w:ascii="宋体" w:hAnsi="宋体" w:cs="宋体"/>
          <w:color w:val="auto"/>
          <w:szCs w:val="21"/>
          <w:highlight w:val="none"/>
        </w:rPr>
      </w:pPr>
    </w:p>
    <w:p w14:paraId="2CF6EA5D">
      <w:pPr>
        <w:spacing w:before="120" w:after="120" w:line="312" w:lineRule="auto"/>
        <w:ind w:firstLine="0" w:firstLineChars="0"/>
        <w:rPr>
          <w:rFonts w:ascii="宋体" w:hAnsi="宋体" w:cs="宋体"/>
          <w:color w:val="auto"/>
          <w:szCs w:val="21"/>
          <w:highlight w:val="none"/>
        </w:rPr>
      </w:pPr>
      <w:r>
        <w:rPr>
          <w:rFonts w:ascii="宋体" w:hAnsi="宋体" w:cs="宋体"/>
          <w:color w:val="auto"/>
          <w:szCs w:val="21"/>
          <w:highlight w:val="none"/>
        </w:rPr>
        <w:br w:type="page"/>
      </w:r>
    </w:p>
    <w:p w14:paraId="0B4DCF03">
      <w:pPr>
        <w:spacing w:before="120" w:after="120" w:line="312" w:lineRule="auto"/>
        <w:ind w:firstLine="0" w:firstLineChars="0"/>
        <w:rPr>
          <w:rFonts w:cs="Times New Roman"/>
          <w:color w:val="auto"/>
          <w:highlight w:val="none"/>
        </w:rPr>
      </w:pPr>
    </w:p>
    <w:p w14:paraId="404C56BF">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312" w:name="_Toc13183"/>
      <w:bookmarkStart w:id="313" w:name="_Toc18925"/>
      <w:bookmarkStart w:id="314" w:name="_Toc16903"/>
      <w:bookmarkStart w:id="315" w:name="_Toc17613"/>
      <w:bookmarkStart w:id="316" w:name="_Toc28276"/>
      <w:bookmarkStart w:id="317" w:name="_Toc12007"/>
      <w:bookmarkStart w:id="318" w:name="_Toc25861"/>
      <w:bookmarkStart w:id="319" w:name="_Toc5161"/>
      <w:bookmarkStart w:id="320" w:name="_Toc21761"/>
      <w:bookmarkStart w:id="321" w:name="_Toc17061"/>
      <w:bookmarkStart w:id="322" w:name="_Toc951"/>
      <w:bookmarkStart w:id="323" w:name="_Toc31921"/>
      <w:bookmarkStart w:id="324" w:name="_Toc28865"/>
      <w:bookmarkStart w:id="325" w:name="_Toc17174"/>
      <w:bookmarkStart w:id="326" w:name="_Toc140219108"/>
      <w:bookmarkStart w:id="327" w:name="_Toc19454"/>
      <w:bookmarkStart w:id="328" w:name="_Toc9608"/>
      <w:bookmarkStart w:id="329" w:name="_Toc25413"/>
      <w:bookmarkStart w:id="330" w:name="_Toc2776"/>
      <w:bookmarkStart w:id="331" w:name="_Toc4749"/>
      <w:bookmarkStart w:id="332" w:name="_Toc19351"/>
      <w:bookmarkStart w:id="333" w:name="_Toc26770"/>
      <w:r>
        <w:rPr>
          <w:rFonts w:eastAsia="黑体" w:cs="Times New Roman"/>
          <w:bCs/>
          <w:color w:val="auto"/>
          <w:sz w:val="24"/>
          <w:highlight w:val="none"/>
        </w:rPr>
        <w:t xml:space="preserve">附表4  </w:t>
      </w:r>
      <w:r>
        <w:rPr>
          <w:rFonts w:hint="eastAsia" w:eastAsia="黑体" w:cs="Times New Roman"/>
          <w:bCs/>
          <w:color w:val="auto"/>
          <w:sz w:val="24"/>
          <w:highlight w:val="none"/>
        </w:rPr>
        <w:t>总协调方</w:t>
      </w:r>
      <w:r>
        <w:rPr>
          <w:rFonts w:eastAsia="黑体" w:cs="Times New Roman"/>
          <w:bCs/>
          <w:color w:val="auto"/>
          <w:sz w:val="24"/>
          <w:highlight w:val="none"/>
        </w:rPr>
        <w:t>各阶段BIM</w:t>
      </w:r>
      <w:r>
        <w:rPr>
          <w:rFonts w:hint="eastAsia" w:eastAsia="黑体" w:cs="Times New Roman"/>
          <w:bCs/>
          <w:color w:val="auto"/>
          <w:sz w:val="24"/>
          <w:highlight w:val="none"/>
        </w:rPr>
        <w:t>模型审查</w:t>
      </w:r>
      <w:r>
        <w:rPr>
          <w:rFonts w:eastAsia="黑体" w:cs="Times New Roman"/>
          <w:bCs/>
          <w:color w:val="auto"/>
          <w:sz w:val="24"/>
          <w:highlight w:val="none"/>
        </w:rPr>
        <w:t>要求</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5E259D61">
      <w:pPr>
        <w:pStyle w:val="584"/>
        <w:spacing w:before="120" w:after="120"/>
        <w:ind w:firstLine="420" w:firstLineChars="200"/>
        <w:rPr>
          <w:color w:val="auto"/>
          <w:highlight w:val="none"/>
        </w:rPr>
      </w:pPr>
      <w:bookmarkStart w:id="334" w:name="_Toc7655"/>
      <w:r>
        <w:rPr>
          <w:color w:val="auto"/>
          <w:highlight w:val="none"/>
        </w:rPr>
        <w:t>1  建筑专业</w:t>
      </w:r>
      <w:bookmarkEnd w:id="334"/>
    </w:p>
    <w:tbl>
      <w:tblPr>
        <w:tblStyle w:val="519"/>
        <w:tblW w:w="5000" w:type="pct"/>
        <w:jc w:val="center"/>
        <w:tblLayout w:type="autofit"/>
        <w:tblCellMar>
          <w:top w:w="0" w:type="dxa"/>
          <w:left w:w="0" w:type="dxa"/>
          <w:bottom w:w="0" w:type="dxa"/>
          <w:right w:w="0" w:type="dxa"/>
        </w:tblCellMar>
      </w:tblPr>
      <w:tblGrid>
        <w:gridCol w:w="613"/>
        <w:gridCol w:w="492"/>
        <w:gridCol w:w="1606"/>
        <w:gridCol w:w="1798"/>
        <w:gridCol w:w="3438"/>
        <w:gridCol w:w="1501"/>
        <w:gridCol w:w="1798"/>
        <w:gridCol w:w="2108"/>
      </w:tblGrid>
      <w:tr w14:paraId="1ECEFC09">
        <w:tblPrEx>
          <w:tblCellMar>
            <w:top w:w="0" w:type="dxa"/>
            <w:left w:w="0" w:type="dxa"/>
            <w:bottom w:w="0" w:type="dxa"/>
            <w:right w:w="0" w:type="dxa"/>
          </w:tblCellMar>
        </w:tblPrEx>
        <w:trPr>
          <w:cantSplit/>
          <w:trHeight w:val="454" w:hRule="atLeast"/>
          <w:tblHeader/>
          <w:jc w:val="center"/>
        </w:trPr>
        <w:tc>
          <w:tcPr>
            <w:tcW w:w="230"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784EDF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785"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1C6D7C7E">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600999FD">
            <w:pPr>
              <w:pStyle w:val="561"/>
              <w:widowControl w:val="0"/>
              <w:spacing w:before="120" w:after="120" w:line="240" w:lineRule="auto"/>
              <w:ind w:left="31"/>
              <w:rPr>
                <w:rFonts w:ascii="Times New Roman" w:hAnsi="Times New Roman" w:cs="Times New Roman"/>
                <w:color w:val="auto"/>
                <w:szCs w:val="24"/>
                <w:highlight w:val="none"/>
                <w:lang w:eastAsia="en-US"/>
              </w:rPr>
            </w:pPr>
          </w:p>
          <w:p w14:paraId="11A10759">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9AB4BF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8BA46C0">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C6A95A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A95106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0D70F6A">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3A74290B">
        <w:tblPrEx>
          <w:tblCellMar>
            <w:top w:w="0" w:type="dxa"/>
            <w:left w:w="0" w:type="dxa"/>
            <w:bottom w:w="0" w:type="dxa"/>
            <w:right w:w="0" w:type="dxa"/>
          </w:tblCellMar>
        </w:tblPrEx>
        <w:trPr>
          <w:cantSplit/>
          <w:trHeight w:val="454" w:hRule="atLeast"/>
          <w:tblHeader/>
          <w:jc w:val="center"/>
        </w:trPr>
        <w:tc>
          <w:tcPr>
            <w:tcW w:w="230"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2B01AC4A">
            <w:pPr>
              <w:pStyle w:val="561"/>
              <w:widowControl w:val="0"/>
              <w:spacing w:before="120" w:after="120"/>
              <w:ind w:left="31"/>
              <w:rPr>
                <w:rFonts w:ascii="Times New Roman" w:hAnsi="Times New Roman" w:cs="Times New Roman"/>
                <w:color w:val="auto"/>
                <w:szCs w:val="24"/>
                <w:highlight w:val="none"/>
                <w:lang w:eastAsia="en-US"/>
              </w:rPr>
            </w:pPr>
          </w:p>
        </w:tc>
        <w:tc>
          <w:tcPr>
            <w:tcW w:w="785"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6E7EFE91">
            <w:pPr>
              <w:pStyle w:val="561"/>
              <w:widowControl w:val="0"/>
              <w:spacing w:before="120" w:after="120"/>
              <w:ind w:left="31"/>
              <w:rPr>
                <w:rFonts w:ascii="Times New Roman" w:hAnsi="Times New Roman" w:cs="Times New Roman"/>
                <w:color w:val="auto"/>
                <w:szCs w:val="24"/>
                <w:highlight w:val="none"/>
                <w:lang w:eastAsia="en-US"/>
              </w:rPr>
            </w:pP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C093E04">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88E510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4203D7">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75F17F4">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141E234">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7D0A4555">
        <w:tblPrEx>
          <w:tblCellMar>
            <w:top w:w="0" w:type="dxa"/>
            <w:left w:w="0" w:type="dxa"/>
            <w:bottom w:w="0" w:type="dxa"/>
            <w:right w:w="0" w:type="dxa"/>
          </w:tblCellMar>
        </w:tblPrEx>
        <w:trPr>
          <w:cantSplit/>
          <w:trHeight w:val="454" w:hRule="atLeast"/>
          <w:jc w:val="center"/>
        </w:trPr>
        <w:tc>
          <w:tcPr>
            <w:tcW w:w="230"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3DEDF494">
            <w:pPr>
              <w:pStyle w:val="561"/>
              <w:widowControl w:val="0"/>
              <w:spacing w:before="120" w:after="120"/>
              <w:ind w:left="31" w:right="4"/>
              <w:rPr>
                <w:color w:val="auto"/>
                <w:highlight w:val="none"/>
                <w:lang w:eastAsia="en-US"/>
              </w:rPr>
            </w:pPr>
            <w:r>
              <w:rPr>
                <w:color w:val="auto"/>
                <w:highlight w:val="none"/>
                <w:lang w:eastAsia="en-US"/>
              </w:rPr>
              <w:t>建筑</w:t>
            </w: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00DCFEA">
            <w:pPr>
              <w:pStyle w:val="561"/>
              <w:widowControl w:val="0"/>
              <w:spacing w:before="120" w:after="120" w:line="240" w:lineRule="auto"/>
              <w:ind w:left="31"/>
              <w:rPr>
                <w:color w:val="auto"/>
                <w:highlight w:val="none"/>
                <w:lang w:eastAsia="en-US"/>
              </w:rPr>
            </w:pPr>
            <w:r>
              <w:rPr>
                <w:color w:val="auto"/>
                <w:highlight w:val="none"/>
                <w:lang w:eastAsia="en-US"/>
              </w:rPr>
              <w:t>001</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04CACB9">
            <w:pPr>
              <w:pStyle w:val="561"/>
              <w:widowControl w:val="0"/>
              <w:spacing w:before="120" w:after="120" w:line="240" w:lineRule="auto"/>
              <w:ind w:left="31"/>
              <w:rPr>
                <w:color w:val="auto"/>
                <w:highlight w:val="none"/>
                <w:lang w:eastAsia="en-US"/>
              </w:rPr>
            </w:pPr>
            <w:r>
              <w:rPr>
                <w:color w:val="auto"/>
                <w:highlight w:val="none"/>
                <w:lang w:eastAsia="en-US"/>
              </w:rPr>
              <w:t>阳台</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7A5269A">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1DBDB3B">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3A76266">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CDFF00B">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4145128">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79981846">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50E757D6">
            <w:pPr>
              <w:pStyle w:val="561"/>
              <w:widowControl w:val="0"/>
              <w:spacing w:before="120" w:after="120"/>
              <w:ind w:left="31" w:right="582"/>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9BD9421">
            <w:pPr>
              <w:pStyle w:val="561"/>
              <w:widowControl w:val="0"/>
              <w:spacing w:before="120" w:after="120" w:line="240" w:lineRule="auto"/>
              <w:ind w:left="31"/>
              <w:rPr>
                <w:color w:val="auto"/>
                <w:highlight w:val="none"/>
                <w:lang w:eastAsia="en-US"/>
              </w:rPr>
            </w:pPr>
            <w:r>
              <w:rPr>
                <w:color w:val="auto"/>
                <w:highlight w:val="none"/>
                <w:lang w:eastAsia="en-US"/>
              </w:rPr>
              <w:t>002</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A1EC125">
            <w:pPr>
              <w:pStyle w:val="561"/>
              <w:widowControl w:val="0"/>
              <w:spacing w:before="120" w:after="120"/>
              <w:ind w:left="31"/>
              <w:rPr>
                <w:color w:val="auto"/>
                <w:highlight w:val="none"/>
                <w:lang w:eastAsia="en-US"/>
              </w:rPr>
            </w:pPr>
            <w:r>
              <w:rPr>
                <w:color w:val="auto"/>
                <w:highlight w:val="none"/>
                <w:lang w:eastAsia="en-US"/>
              </w:rPr>
              <w:t>空调机位</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A1DC744">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D9F73F9">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7E01CCA">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9E5A15B">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18C0516">
            <w:pPr>
              <w:pStyle w:val="561"/>
              <w:widowControl w:val="0"/>
              <w:spacing w:before="120" w:after="120"/>
              <w:ind w:left="31"/>
              <w:rPr>
                <w:color w:val="auto"/>
                <w:highlight w:val="none"/>
                <w:lang w:eastAsia="en-US"/>
              </w:rPr>
            </w:pPr>
            <w:r>
              <w:rPr>
                <w:rFonts w:hint="eastAsia"/>
                <w:color w:val="auto"/>
                <w:highlight w:val="none"/>
                <w:lang w:eastAsia="en-US"/>
              </w:rPr>
              <w:t>M（必审）</w:t>
            </w:r>
          </w:p>
        </w:tc>
      </w:tr>
      <w:tr w14:paraId="5CA09B6F">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C7CAA0A">
            <w:pPr>
              <w:pStyle w:val="561"/>
              <w:widowControl w:val="0"/>
              <w:spacing w:before="120" w:after="120"/>
              <w:ind w:left="31" w:right="582"/>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F37416E">
            <w:pPr>
              <w:pStyle w:val="561"/>
              <w:widowControl w:val="0"/>
              <w:spacing w:before="120" w:after="120" w:line="240" w:lineRule="auto"/>
              <w:ind w:left="31"/>
              <w:rPr>
                <w:color w:val="auto"/>
                <w:highlight w:val="none"/>
                <w:lang w:eastAsia="en-US"/>
              </w:rPr>
            </w:pPr>
            <w:r>
              <w:rPr>
                <w:color w:val="auto"/>
                <w:highlight w:val="none"/>
                <w:lang w:eastAsia="en-US"/>
              </w:rPr>
              <w:t>003</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1A9823E">
            <w:pPr>
              <w:pStyle w:val="561"/>
              <w:widowControl w:val="0"/>
              <w:spacing w:before="120" w:after="120"/>
              <w:ind w:left="31"/>
              <w:rPr>
                <w:color w:val="auto"/>
                <w:highlight w:val="none"/>
                <w:lang w:eastAsia="en-US"/>
              </w:rPr>
            </w:pPr>
            <w:r>
              <w:rPr>
                <w:color w:val="auto"/>
                <w:highlight w:val="none"/>
                <w:lang w:eastAsia="en-US"/>
              </w:rPr>
              <w:t>空调百叶</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FA17A70">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1296E7C">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C045211">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8721192">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7B41E08">
            <w:pPr>
              <w:pStyle w:val="561"/>
              <w:widowControl w:val="0"/>
              <w:spacing w:before="120" w:after="120"/>
              <w:ind w:left="31"/>
              <w:rPr>
                <w:color w:val="auto"/>
                <w:highlight w:val="none"/>
                <w:lang w:eastAsia="en-US"/>
              </w:rPr>
            </w:pPr>
            <w:r>
              <w:rPr>
                <w:rFonts w:hint="eastAsia"/>
                <w:color w:val="auto"/>
                <w:highlight w:val="none"/>
                <w:lang w:eastAsia="en-US"/>
              </w:rPr>
              <w:t>M（必审）</w:t>
            </w:r>
          </w:p>
        </w:tc>
      </w:tr>
      <w:tr w14:paraId="0590DA95">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271F274">
            <w:pPr>
              <w:pStyle w:val="561"/>
              <w:widowControl w:val="0"/>
              <w:spacing w:before="120" w:after="120"/>
              <w:ind w:left="31" w:right="582"/>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F094E5B">
            <w:pPr>
              <w:pStyle w:val="561"/>
              <w:widowControl w:val="0"/>
              <w:spacing w:before="120" w:after="120" w:line="240" w:lineRule="auto"/>
              <w:ind w:left="31"/>
              <w:rPr>
                <w:color w:val="auto"/>
                <w:highlight w:val="none"/>
                <w:lang w:eastAsia="en-US"/>
              </w:rPr>
            </w:pPr>
            <w:r>
              <w:rPr>
                <w:color w:val="auto"/>
                <w:highlight w:val="none"/>
                <w:lang w:eastAsia="en-US"/>
              </w:rPr>
              <w:t>004</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1E231F">
            <w:pPr>
              <w:pStyle w:val="561"/>
              <w:widowControl w:val="0"/>
              <w:spacing w:before="120" w:after="120"/>
              <w:ind w:left="31"/>
              <w:rPr>
                <w:color w:val="auto"/>
                <w:highlight w:val="none"/>
                <w:lang w:eastAsia="en-US"/>
              </w:rPr>
            </w:pPr>
            <w:r>
              <w:rPr>
                <w:color w:val="auto"/>
                <w:highlight w:val="none"/>
                <w:lang w:eastAsia="en-US"/>
              </w:rPr>
              <w:t>窗百叶</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CC804F2">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2C00938">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422F251">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61702A">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87C5195">
            <w:pPr>
              <w:pStyle w:val="561"/>
              <w:widowControl w:val="0"/>
              <w:spacing w:before="120" w:after="120" w:line="272" w:lineRule="exact"/>
              <w:ind w:left="31" w:right="454"/>
              <w:rPr>
                <w:color w:val="auto"/>
                <w:highlight w:val="none"/>
                <w:lang w:eastAsia="en-US"/>
              </w:rPr>
            </w:pPr>
            <w:r>
              <w:rPr>
                <w:color w:val="auto"/>
                <w:highlight w:val="none"/>
                <w:lang w:eastAsia="en-US"/>
              </w:rPr>
              <w:t xml:space="preserve">     </w:t>
            </w:r>
            <w:r>
              <w:rPr>
                <w:rFonts w:hint="eastAsia"/>
                <w:color w:val="auto"/>
                <w:highlight w:val="none"/>
                <w:lang w:eastAsia="en-US"/>
              </w:rPr>
              <w:t>M（必审）</w:t>
            </w:r>
          </w:p>
        </w:tc>
      </w:tr>
      <w:tr w14:paraId="224C7AED">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65B52F0E">
            <w:pPr>
              <w:pStyle w:val="561"/>
              <w:widowControl w:val="0"/>
              <w:spacing w:before="120" w:after="120"/>
              <w:ind w:left="31" w:right="582"/>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F4A8831">
            <w:pPr>
              <w:pStyle w:val="561"/>
              <w:widowControl w:val="0"/>
              <w:spacing w:before="120" w:after="120" w:line="240" w:lineRule="auto"/>
              <w:ind w:left="31"/>
              <w:rPr>
                <w:color w:val="auto"/>
                <w:highlight w:val="none"/>
                <w:lang w:eastAsia="en-US"/>
              </w:rPr>
            </w:pPr>
            <w:r>
              <w:rPr>
                <w:color w:val="auto"/>
                <w:highlight w:val="none"/>
                <w:lang w:eastAsia="en-US"/>
              </w:rPr>
              <w:t>005</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147DADC">
            <w:pPr>
              <w:pStyle w:val="561"/>
              <w:widowControl w:val="0"/>
              <w:spacing w:before="120" w:after="120"/>
              <w:ind w:left="31" w:right="2"/>
              <w:rPr>
                <w:color w:val="auto"/>
                <w:highlight w:val="none"/>
                <w:lang w:eastAsia="en-US"/>
              </w:rPr>
            </w:pPr>
            <w:r>
              <w:rPr>
                <w:color w:val="auto"/>
                <w:highlight w:val="none"/>
                <w:lang w:eastAsia="en-US"/>
              </w:rPr>
              <w:t>雨篷</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CE82032">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CE1AEFC">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0A922CF">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9C79334">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DBFE8F9">
            <w:pPr>
              <w:pStyle w:val="561"/>
              <w:widowControl w:val="0"/>
              <w:spacing w:before="120" w:after="120" w:line="272" w:lineRule="exact"/>
              <w:ind w:left="31" w:right="140"/>
              <w:rPr>
                <w:color w:val="auto"/>
                <w:highlight w:val="none"/>
                <w:lang w:eastAsia="en-US"/>
              </w:rPr>
            </w:pPr>
            <w:r>
              <w:rPr>
                <w:color w:val="auto"/>
                <w:highlight w:val="none"/>
                <w:lang w:eastAsia="en-US"/>
              </w:rPr>
              <w:t xml:space="preserve">  </w:t>
            </w:r>
            <w:r>
              <w:rPr>
                <w:rFonts w:hint="eastAsia"/>
                <w:color w:val="auto"/>
                <w:highlight w:val="none"/>
                <w:lang w:eastAsia="en-US"/>
              </w:rPr>
              <w:t>M（必审）</w:t>
            </w:r>
          </w:p>
        </w:tc>
      </w:tr>
      <w:tr w14:paraId="6569619D">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6CED328">
            <w:pPr>
              <w:pStyle w:val="561"/>
              <w:widowControl w:val="0"/>
              <w:spacing w:before="120" w:after="120"/>
              <w:ind w:left="31" w:right="582"/>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492DDEC">
            <w:pPr>
              <w:pStyle w:val="561"/>
              <w:widowControl w:val="0"/>
              <w:spacing w:before="120" w:after="120" w:line="240" w:lineRule="auto"/>
              <w:ind w:left="31"/>
              <w:rPr>
                <w:color w:val="auto"/>
                <w:highlight w:val="none"/>
                <w:lang w:eastAsia="en-US"/>
              </w:rPr>
            </w:pPr>
            <w:r>
              <w:rPr>
                <w:color w:val="auto"/>
                <w:highlight w:val="none"/>
                <w:lang w:eastAsia="en-US"/>
              </w:rPr>
              <w:t>006</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1769440">
            <w:pPr>
              <w:pStyle w:val="561"/>
              <w:widowControl w:val="0"/>
              <w:spacing w:before="120" w:after="120"/>
              <w:ind w:left="31" w:right="2"/>
              <w:rPr>
                <w:color w:val="auto"/>
                <w:highlight w:val="none"/>
                <w:lang w:eastAsia="en-US"/>
              </w:rPr>
            </w:pPr>
            <w:r>
              <w:rPr>
                <w:color w:val="auto"/>
                <w:highlight w:val="none"/>
                <w:lang w:eastAsia="en-US"/>
              </w:rPr>
              <w:t>檐沟</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7D52BE8">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6CA3D90">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D4A3CA5">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62C4814">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AFD4229">
            <w:pPr>
              <w:pStyle w:val="561"/>
              <w:widowControl w:val="0"/>
              <w:spacing w:before="120" w:after="120"/>
              <w:ind w:left="31"/>
              <w:rPr>
                <w:color w:val="auto"/>
                <w:highlight w:val="none"/>
                <w:lang w:eastAsia="en-US"/>
              </w:rPr>
            </w:pPr>
            <w:r>
              <w:rPr>
                <w:rFonts w:hint="eastAsia"/>
                <w:color w:val="auto"/>
                <w:highlight w:val="none"/>
                <w:lang w:eastAsia="en-US"/>
              </w:rPr>
              <w:t>M（必审）</w:t>
            </w:r>
          </w:p>
        </w:tc>
      </w:tr>
      <w:tr w14:paraId="451F6737">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10A135A">
            <w:pPr>
              <w:pStyle w:val="561"/>
              <w:widowControl w:val="0"/>
              <w:spacing w:before="120" w:after="120"/>
              <w:ind w:left="31" w:right="582"/>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1273ED1">
            <w:pPr>
              <w:pStyle w:val="561"/>
              <w:widowControl w:val="0"/>
              <w:spacing w:before="120" w:after="120" w:line="240" w:lineRule="auto"/>
              <w:ind w:left="31"/>
              <w:rPr>
                <w:color w:val="auto"/>
                <w:highlight w:val="none"/>
                <w:lang w:eastAsia="en-US"/>
              </w:rPr>
            </w:pPr>
            <w:r>
              <w:rPr>
                <w:color w:val="auto"/>
                <w:highlight w:val="none"/>
                <w:lang w:eastAsia="en-US"/>
              </w:rPr>
              <w:t>007</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6E8130A">
            <w:pPr>
              <w:pStyle w:val="561"/>
              <w:widowControl w:val="0"/>
              <w:spacing w:before="120" w:after="120" w:line="240" w:lineRule="auto"/>
              <w:ind w:left="31"/>
              <w:rPr>
                <w:color w:val="auto"/>
                <w:highlight w:val="none"/>
                <w:lang w:eastAsia="en-US"/>
              </w:rPr>
            </w:pPr>
            <w:r>
              <w:rPr>
                <w:color w:val="auto"/>
                <w:highlight w:val="none"/>
                <w:lang w:eastAsia="en-US"/>
              </w:rPr>
              <w:t>外立面幕墙</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1FDAE61">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F71141">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DC20AF2">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243408A">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E249A54">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4D331EAA">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AAFC94A">
            <w:pPr>
              <w:pStyle w:val="561"/>
              <w:widowControl w:val="0"/>
              <w:spacing w:before="120" w:after="120"/>
              <w:ind w:left="31" w:right="582"/>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A666268">
            <w:pPr>
              <w:pStyle w:val="561"/>
              <w:widowControl w:val="0"/>
              <w:spacing w:before="120" w:after="120" w:line="240" w:lineRule="auto"/>
              <w:ind w:left="31"/>
              <w:rPr>
                <w:color w:val="auto"/>
                <w:highlight w:val="none"/>
                <w:lang w:eastAsia="en-US"/>
              </w:rPr>
            </w:pPr>
            <w:r>
              <w:rPr>
                <w:color w:val="auto"/>
                <w:highlight w:val="none"/>
                <w:lang w:eastAsia="en-US"/>
              </w:rPr>
              <w:t>008</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0B92205">
            <w:pPr>
              <w:pStyle w:val="561"/>
              <w:widowControl w:val="0"/>
              <w:spacing w:before="120" w:after="120" w:line="240" w:lineRule="auto"/>
              <w:ind w:left="31"/>
              <w:rPr>
                <w:color w:val="auto"/>
                <w:highlight w:val="none"/>
                <w:lang w:eastAsia="en-US"/>
              </w:rPr>
            </w:pPr>
            <w:r>
              <w:rPr>
                <w:color w:val="auto"/>
                <w:highlight w:val="none"/>
                <w:lang w:eastAsia="en-US"/>
              </w:rPr>
              <w:t>墙体</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AD61252">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D14BAA">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7D7FA63">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B941809">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7C79338">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19A3045B">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FC7E6F0">
            <w:pPr>
              <w:pStyle w:val="561"/>
              <w:widowControl w:val="0"/>
              <w:spacing w:before="120" w:after="120"/>
              <w:ind w:left="31" w:right="582"/>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9A02B4F">
            <w:pPr>
              <w:pStyle w:val="561"/>
              <w:widowControl w:val="0"/>
              <w:spacing w:before="120" w:after="120" w:line="240" w:lineRule="auto"/>
              <w:ind w:left="31"/>
              <w:rPr>
                <w:color w:val="auto"/>
                <w:highlight w:val="none"/>
                <w:lang w:eastAsia="en-US"/>
              </w:rPr>
            </w:pPr>
            <w:r>
              <w:rPr>
                <w:color w:val="auto"/>
                <w:highlight w:val="none"/>
                <w:lang w:eastAsia="en-US"/>
              </w:rPr>
              <w:t>009</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55016CF">
            <w:pPr>
              <w:pStyle w:val="561"/>
              <w:widowControl w:val="0"/>
              <w:spacing w:before="120" w:after="120" w:line="240" w:lineRule="auto"/>
              <w:ind w:left="31"/>
              <w:rPr>
                <w:color w:val="auto"/>
                <w:highlight w:val="none"/>
                <w:lang w:eastAsia="en-US"/>
              </w:rPr>
            </w:pPr>
            <w:r>
              <w:rPr>
                <w:color w:val="auto"/>
                <w:highlight w:val="none"/>
                <w:lang w:eastAsia="en-US"/>
              </w:rPr>
              <w:t>楼板</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A992429">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75F71AF">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8C38B24">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DA92259">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3937E8E">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5AFDF7EF">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7A6EC1A">
            <w:pPr>
              <w:pStyle w:val="561"/>
              <w:widowControl w:val="0"/>
              <w:spacing w:before="120" w:after="120"/>
              <w:ind w:left="31"/>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110646B">
            <w:pPr>
              <w:pStyle w:val="561"/>
              <w:widowControl w:val="0"/>
              <w:spacing w:before="120" w:after="120" w:line="240" w:lineRule="auto"/>
              <w:ind w:left="31"/>
              <w:rPr>
                <w:color w:val="auto"/>
                <w:highlight w:val="none"/>
                <w:lang w:eastAsia="en-US"/>
              </w:rPr>
            </w:pPr>
            <w:r>
              <w:rPr>
                <w:color w:val="auto"/>
                <w:highlight w:val="none"/>
                <w:lang w:eastAsia="en-US"/>
              </w:rPr>
              <w:t>010</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3818456">
            <w:pPr>
              <w:pStyle w:val="561"/>
              <w:widowControl w:val="0"/>
              <w:spacing w:before="120" w:after="120" w:line="240" w:lineRule="auto"/>
              <w:ind w:left="31"/>
              <w:rPr>
                <w:color w:val="auto"/>
                <w:highlight w:val="none"/>
                <w:lang w:eastAsia="en-US"/>
              </w:rPr>
            </w:pPr>
            <w:r>
              <w:rPr>
                <w:color w:val="auto"/>
                <w:highlight w:val="none"/>
                <w:lang w:eastAsia="en-US"/>
              </w:rPr>
              <w:t>屋顶</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EE44B41">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867BC2E">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4A413DD">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B9E04E3">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437FDB">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6C615EE6">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D4B822A">
            <w:pPr>
              <w:pStyle w:val="561"/>
              <w:widowControl w:val="0"/>
              <w:spacing w:before="120" w:after="120"/>
              <w:ind w:left="31"/>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86A413E">
            <w:pPr>
              <w:pStyle w:val="561"/>
              <w:widowControl w:val="0"/>
              <w:spacing w:before="120" w:after="120" w:line="240" w:lineRule="auto"/>
              <w:ind w:left="31"/>
              <w:rPr>
                <w:color w:val="auto"/>
                <w:highlight w:val="none"/>
                <w:lang w:eastAsia="en-US"/>
              </w:rPr>
            </w:pPr>
            <w:r>
              <w:rPr>
                <w:color w:val="auto"/>
                <w:highlight w:val="none"/>
                <w:lang w:eastAsia="en-US"/>
              </w:rPr>
              <w:t>011</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D6D7AB3">
            <w:pPr>
              <w:pStyle w:val="561"/>
              <w:widowControl w:val="0"/>
              <w:spacing w:before="120" w:after="120" w:line="240" w:lineRule="auto"/>
              <w:ind w:left="31"/>
              <w:rPr>
                <w:color w:val="auto"/>
                <w:highlight w:val="none"/>
                <w:lang w:eastAsia="en-US"/>
              </w:rPr>
            </w:pPr>
            <w:r>
              <w:rPr>
                <w:color w:val="auto"/>
                <w:highlight w:val="none"/>
                <w:lang w:eastAsia="en-US"/>
              </w:rPr>
              <w:t>门</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959663B">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A81AFB8">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A4A2C74">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41ABBC1">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1CC3343">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3DC5E572">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8A6D881">
            <w:pPr>
              <w:pStyle w:val="561"/>
              <w:widowControl w:val="0"/>
              <w:spacing w:before="120" w:after="120"/>
              <w:ind w:left="31"/>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A3AF9DA">
            <w:pPr>
              <w:pStyle w:val="561"/>
              <w:widowControl w:val="0"/>
              <w:spacing w:before="120" w:after="120" w:line="240" w:lineRule="auto"/>
              <w:ind w:left="31"/>
              <w:rPr>
                <w:color w:val="auto"/>
                <w:highlight w:val="none"/>
                <w:lang w:eastAsia="en-US"/>
              </w:rPr>
            </w:pPr>
            <w:r>
              <w:rPr>
                <w:color w:val="auto"/>
                <w:highlight w:val="none"/>
                <w:lang w:eastAsia="en-US"/>
              </w:rPr>
              <w:t>012</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F937AC9">
            <w:pPr>
              <w:pStyle w:val="561"/>
              <w:widowControl w:val="0"/>
              <w:spacing w:before="120" w:after="120" w:line="240" w:lineRule="auto"/>
              <w:ind w:left="31"/>
              <w:rPr>
                <w:color w:val="auto"/>
                <w:highlight w:val="none"/>
                <w:lang w:eastAsia="en-US"/>
              </w:rPr>
            </w:pPr>
            <w:r>
              <w:rPr>
                <w:color w:val="auto"/>
                <w:highlight w:val="none"/>
                <w:lang w:eastAsia="en-US"/>
              </w:rPr>
              <w:t>窗</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4C40A6A">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EAD033D">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C1F1A9F">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AC11B6A">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7AC37EA">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05D4EC6A">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D167139">
            <w:pPr>
              <w:pStyle w:val="561"/>
              <w:widowControl w:val="0"/>
              <w:spacing w:before="120" w:after="120"/>
              <w:ind w:left="31"/>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5EE206C">
            <w:pPr>
              <w:pStyle w:val="561"/>
              <w:widowControl w:val="0"/>
              <w:spacing w:before="120" w:after="120" w:line="240" w:lineRule="auto"/>
              <w:ind w:left="31"/>
              <w:rPr>
                <w:color w:val="auto"/>
                <w:highlight w:val="none"/>
                <w:lang w:eastAsia="en-US"/>
              </w:rPr>
            </w:pPr>
            <w:r>
              <w:rPr>
                <w:color w:val="auto"/>
                <w:highlight w:val="none"/>
                <w:lang w:eastAsia="en-US"/>
              </w:rPr>
              <w:t>013</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2B957CC">
            <w:pPr>
              <w:pStyle w:val="561"/>
              <w:widowControl w:val="0"/>
              <w:spacing w:before="120" w:after="120" w:line="240" w:lineRule="auto"/>
              <w:ind w:left="31"/>
              <w:rPr>
                <w:color w:val="auto"/>
                <w:highlight w:val="none"/>
                <w:lang w:eastAsia="en-US"/>
              </w:rPr>
            </w:pPr>
            <w:r>
              <w:rPr>
                <w:color w:val="auto"/>
                <w:highlight w:val="none"/>
                <w:lang w:eastAsia="en-US"/>
              </w:rPr>
              <w:t>天花板</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71D7070">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2B66BFE">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27C924B">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C770B20">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FFB08CF">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4D639ABB">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EA92E6E">
            <w:pPr>
              <w:pStyle w:val="561"/>
              <w:widowControl w:val="0"/>
              <w:spacing w:before="120" w:after="120"/>
              <w:ind w:left="31"/>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DA70A41">
            <w:pPr>
              <w:pStyle w:val="561"/>
              <w:widowControl w:val="0"/>
              <w:spacing w:before="120" w:after="120" w:line="240" w:lineRule="auto"/>
              <w:ind w:left="31"/>
              <w:rPr>
                <w:color w:val="auto"/>
                <w:highlight w:val="none"/>
                <w:lang w:eastAsia="en-US"/>
              </w:rPr>
            </w:pPr>
            <w:r>
              <w:rPr>
                <w:color w:val="auto"/>
                <w:highlight w:val="none"/>
                <w:lang w:eastAsia="en-US"/>
              </w:rPr>
              <w:t>014</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D8CA091">
            <w:pPr>
              <w:pStyle w:val="561"/>
              <w:widowControl w:val="0"/>
              <w:spacing w:before="120" w:after="120" w:line="240" w:lineRule="auto"/>
              <w:ind w:left="31"/>
              <w:rPr>
                <w:color w:val="auto"/>
                <w:highlight w:val="none"/>
                <w:lang w:eastAsia="en-US"/>
              </w:rPr>
            </w:pPr>
            <w:r>
              <w:rPr>
                <w:color w:val="auto"/>
                <w:highlight w:val="none"/>
                <w:lang w:eastAsia="en-US"/>
              </w:rPr>
              <w:t>扶手</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2AF8B65">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66CE85">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FE43522">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3773601">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BFA51B1">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695C635D">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5B17089F">
            <w:pPr>
              <w:pStyle w:val="561"/>
              <w:widowControl w:val="0"/>
              <w:spacing w:before="120" w:after="120"/>
              <w:ind w:left="31"/>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BE08DD5">
            <w:pPr>
              <w:pStyle w:val="561"/>
              <w:widowControl w:val="0"/>
              <w:spacing w:before="120" w:after="120" w:line="240" w:lineRule="auto"/>
              <w:ind w:left="31"/>
              <w:rPr>
                <w:color w:val="auto"/>
                <w:highlight w:val="none"/>
                <w:lang w:eastAsia="en-US"/>
              </w:rPr>
            </w:pPr>
            <w:r>
              <w:rPr>
                <w:color w:val="auto"/>
                <w:highlight w:val="none"/>
                <w:lang w:eastAsia="en-US"/>
              </w:rPr>
              <w:t>015</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7563933">
            <w:pPr>
              <w:pStyle w:val="561"/>
              <w:widowControl w:val="0"/>
              <w:spacing w:before="120" w:after="120" w:line="240" w:lineRule="auto"/>
              <w:ind w:left="31"/>
              <w:rPr>
                <w:color w:val="auto"/>
                <w:highlight w:val="none"/>
                <w:lang w:eastAsia="en-US"/>
              </w:rPr>
            </w:pPr>
            <w:r>
              <w:rPr>
                <w:color w:val="auto"/>
                <w:highlight w:val="none"/>
                <w:lang w:eastAsia="en-US"/>
              </w:rPr>
              <w:t>坡道</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0972370">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F971B5E">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AE32227">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3BCBE4F">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810F65A">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1409CDCA">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7199B87D">
            <w:pPr>
              <w:pStyle w:val="561"/>
              <w:widowControl w:val="0"/>
              <w:spacing w:before="120" w:after="120"/>
              <w:ind w:left="31"/>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C5CBE82">
            <w:pPr>
              <w:pStyle w:val="561"/>
              <w:widowControl w:val="0"/>
              <w:spacing w:before="120" w:after="120" w:line="240" w:lineRule="auto"/>
              <w:ind w:left="31"/>
              <w:rPr>
                <w:color w:val="auto"/>
                <w:highlight w:val="none"/>
                <w:lang w:eastAsia="en-US"/>
              </w:rPr>
            </w:pPr>
            <w:r>
              <w:rPr>
                <w:color w:val="auto"/>
                <w:highlight w:val="none"/>
                <w:lang w:eastAsia="en-US"/>
              </w:rPr>
              <w:t>016</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EB58EB6">
            <w:pPr>
              <w:pStyle w:val="561"/>
              <w:widowControl w:val="0"/>
              <w:spacing w:before="120" w:after="120" w:line="240" w:lineRule="auto"/>
              <w:ind w:left="31"/>
              <w:rPr>
                <w:color w:val="auto"/>
                <w:highlight w:val="none"/>
                <w:lang w:eastAsia="en-US"/>
              </w:rPr>
            </w:pPr>
            <w:r>
              <w:rPr>
                <w:color w:val="auto"/>
                <w:highlight w:val="none"/>
                <w:lang w:eastAsia="en-US"/>
              </w:rPr>
              <w:t>楼梯</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9EC5BD2">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EA25D9D">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029BF73">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0610C54">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0AF733C">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66E75A01">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7C7DE7B">
            <w:pPr>
              <w:pStyle w:val="561"/>
              <w:widowControl w:val="0"/>
              <w:spacing w:before="120" w:after="120"/>
              <w:ind w:left="31"/>
              <w:rPr>
                <w:color w:val="auto"/>
                <w:highlight w:val="none"/>
                <w:lang w:eastAsia="en-US"/>
              </w:rPr>
            </w:pPr>
          </w:p>
        </w:tc>
        <w:tc>
          <w:tcPr>
            <w:tcW w:w="184"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4909050">
            <w:pPr>
              <w:pStyle w:val="561"/>
              <w:widowControl w:val="0"/>
              <w:spacing w:before="120" w:after="120" w:line="240" w:lineRule="auto"/>
              <w:ind w:left="31"/>
              <w:rPr>
                <w:color w:val="auto"/>
                <w:highlight w:val="none"/>
                <w:lang w:eastAsia="en-US"/>
              </w:rPr>
            </w:pPr>
            <w:r>
              <w:rPr>
                <w:color w:val="auto"/>
                <w:highlight w:val="none"/>
                <w:lang w:eastAsia="en-US"/>
              </w:rPr>
              <w:t>017</w:t>
            </w:r>
          </w:p>
        </w:tc>
        <w:tc>
          <w:tcPr>
            <w:tcW w:w="60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39DB513">
            <w:pPr>
              <w:pStyle w:val="561"/>
              <w:widowControl w:val="0"/>
              <w:spacing w:before="120" w:after="120" w:line="240" w:lineRule="auto"/>
              <w:ind w:left="31"/>
              <w:rPr>
                <w:color w:val="auto"/>
                <w:highlight w:val="none"/>
                <w:lang w:eastAsia="en-US"/>
              </w:rPr>
            </w:pPr>
            <w:r>
              <w:rPr>
                <w:color w:val="auto"/>
                <w:highlight w:val="none"/>
                <w:lang w:eastAsia="en-US"/>
              </w:rPr>
              <w:t>红线</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0746F5D">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12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D82A3DF">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562"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3D09811">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73"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D2A2C61">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787"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A873FB">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6DAF1A4B">
        <w:tblPrEx>
          <w:tblCellMar>
            <w:top w:w="0" w:type="dxa"/>
            <w:left w:w="0" w:type="dxa"/>
            <w:bottom w:w="0" w:type="dxa"/>
            <w:right w:w="0" w:type="dxa"/>
          </w:tblCellMar>
        </w:tblPrEx>
        <w:trPr>
          <w:cantSplit/>
          <w:trHeight w:val="454" w:hRule="atLeast"/>
          <w:jc w:val="center"/>
        </w:trPr>
        <w:tc>
          <w:tcPr>
            <w:tcW w:w="230"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3EA04D46">
            <w:pPr>
              <w:pStyle w:val="561"/>
              <w:widowControl w:val="0"/>
              <w:spacing w:before="120" w:after="120"/>
              <w:ind w:left="31"/>
              <w:rPr>
                <w:color w:val="auto"/>
                <w:highlight w:val="none"/>
                <w:lang w:eastAsia="en-US"/>
              </w:rPr>
            </w:pPr>
          </w:p>
        </w:tc>
        <w:tc>
          <w:tcPr>
            <w:tcW w:w="4769" w:type="pct"/>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A566142">
            <w:pPr>
              <w:pStyle w:val="561"/>
              <w:widowControl w:val="0"/>
              <w:spacing w:before="120" w:after="120" w:line="240" w:lineRule="auto"/>
              <w:ind w:left="31"/>
              <w:rPr>
                <w:color w:val="auto"/>
                <w:highlight w:val="none"/>
                <w:lang w:eastAsia="en-US"/>
              </w:rPr>
            </w:pPr>
            <w:r>
              <w:rPr>
                <w:rFonts w:hint="eastAsia"/>
                <w:color w:val="auto"/>
                <w:highlight w:val="none"/>
                <w:lang w:eastAsia="en-US"/>
              </w:rPr>
              <w:t>注：M（必审）表示：总协调方必须审核的内容；C（条件必审）表示：实际情况具备时应进行审核的内容；O（可审）表示总协调方可自行判断是否需要审核的内容。</w:t>
            </w:r>
          </w:p>
        </w:tc>
      </w:tr>
    </w:tbl>
    <w:p w14:paraId="16ABC760">
      <w:pPr>
        <w:spacing w:before="120" w:after="120" w:line="312" w:lineRule="auto"/>
        <w:ind w:firstLine="0" w:firstLineChars="0"/>
        <w:rPr>
          <w:rFonts w:cs="Times New Roman"/>
          <w:color w:val="auto"/>
          <w:highlight w:val="none"/>
        </w:rPr>
      </w:pPr>
    </w:p>
    <w:p w14:paraId="741653E8">
      <w:pPr>
        <w:spacing w:before="120" w:after="120" w:line="312" w:lineRule="auto"/>
        <w:ind w:firstLine="360" w:firstLineChars="0"/>
        <w:rPr>
          <w:rFonts w:cs="Times New Roman"/>
          <w:color w:val="auto"/>
          <w:highlight w:val="none"/>
        </w:rPr>
      </w:pPr>
      <w:r>
        <w:rPr>
          <w:rFonts w:cs="Times New Roman"/>
          <w:color w:val="auto"/>
          <w:highlight w:val="none"/>
        </w:rPr>
        <w:br w:type="page"/>
      </w:r>
    </w:p>
    <w:p w14:paraId="399DE7ED">
      <w:pPr>
        <w:spacing w:before="120" w:after="120" w:line="312" w:lineRule="auto"/>
        <w:ind w:firstLine="360" w:firstLineChars="0"/>
        <w:rPr>
          <w:rFonts w:cs="Times New Roman"/>
          <w:color w:val="auto"/>
          <w:highlight w:val="none"/>
        </w:rPr>
      </w:pPr>
    </w:p>
    <w:p w14:paraId="7EC66C4D">
      <w:pPr>
        <w:pStyle w:val="584"/>
        <w:spacing w:before="120" w:after="120"/>
        <w:ind w:firstLine="420" w:firstLineChars="200"/>
        <w:rPr>
          <w:color w:val="auto"/>
          <w:highlight w:val="none"/>
        </w:rPr>
      </w:pPr>
      <w:bookmarkStart w:id="335" w:name="_Toc15565"/>
      <w:r>
        <w:rPr>
          <w:color w:val="auto"/>
          <w:highlight w:val="none"/>
        </w:rPr>
        <w:t>2  结构专业</w:t>
      </w:r>
      <w:bookmarkEnd w:id="335"/>
    </w:p>
    <w:tbl>
      <w:tblPr>
        <w:tblStyle w:val="519"/>
        <w:tblW w:w="4999" w:type="pct"/>
        <w:tblInd w:w="0" w:type="dxa"/>
        <w:tblLayout w:type="autofit"/>
        <w:tblCellMar>
          <w:top w:w="0" w:type="dxa"/>
          <w:left w:w="0" w:type="dxa"/>
          <w:bottom w:w="0" w:type="dxa"/>
          <w:right w:w="0" w:type="dxa"/>
        </w:tblCellMar>
      </w:tblPr>
      <w:tblGrid>
        <w:gridCol w:w="1100"/>
        <w:gridCol w:w="510"/>
        <w:gridCol w:w="1205"/>
        <w:gridCol w:w="2187"/>
        <w:gridCol w:w="2187"/>
        <w:gridCol w:w="2187"/>
        <w:gridCol w:w="2187"/>
        <w:gridCol w:w="1788"/>
      </w:tblGrid>
      <w:tr w14:paraId="1BF6F789">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3D10997">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43414779">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708DB237">
            <w:pPr>
              <w:pStyle w:val="561"/>
              <w:widowControl w:val="0"/>
              <w:spacing w:before="120" w:after="120" w:line="240" w:lineRule="auto"/>
              <w:ind w:left="31"/>
              <w:rPr>
                <w:rFonts w:ascii="Times New Roman" w:hAnsi="Times New Roman" w:cs="Times New Roman"/>
                <w:color w:val="auto"/>
                <w:szCs w:val="24"/>
                <w:highlight w:val="none"/>
                <w:lang w:eastAsia="en-US"/>
              </w:rPr>
            </w:pPr>
          </w:p>
          <w:p w14:paraId="04AD9D4C">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34E8D1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B6F07BF">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4F9E42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7F43E8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F44AA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35B1A334">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46527C17">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08208F92">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7332A9F">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24F92D6">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2CEDA0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9E0F3B6">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3F227B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3A39C919">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4E5B8C47">
            <w:pPr>
              <w:pStyle w:val="561"/>
              <w:widowControl w:val="0"/>
              <w:spacing w:before="120" w:after="120"/>
              <w:ind w:left="31" w:right="4"/>
              <w:rPr>
                <w:color w:val="auto"/>
                <w:highlight w:val="none"/>
                <w:lang w:eastAsia="en-US"/>
              </w:rPr>
            </w:pPr>
            <w:r>
              <w:rPr>
                <w:rFonts w:hint="eastAsia"/>
                <w:color w:val="auto"/>
                <w:highlight w:val="none"/>
                <w:lang w:eastAsia="en-US"/>
              </w:rPr>
              <w:t>结构</w:t>
            </w: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BEE6389">
            <w:pPr>
              <w:pStyle w:val="561"/>
              <w:widowControl w:val="0"/>
              <w:spacing w:before="120" w:after="120" w:line="240" w:lineRule="auto"/>
              <w:ind w:left="31"/>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36EAE70">
            <w:pPr>
              <w:pStyle w:val="561"/>
              <w:widowControl w:val="0"/>
              <w:spacing w:before="120" w:after="120" w:line="240" w:lineRule="auto"/>
              <w:ind w:left="31"/>
              <w:rPr>
                <w:color w:val="auto"/>
                <w:highlight w:val="none"/>
                <w:lang w:eastAsia="en-US"/>
              </w:rPr>
            </w:pPr>
            <w:r>
              <w:rPr>
                <w:color w:val="auto"/>
                <w:highlight w:val="none"/>
                <w:lang w:eastAsia="en-US"/>
              </w:rPr>
              <w:t>混凝土结构柱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41822A">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320C90">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029EE29">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0CA5532">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8D49EBE">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7E95E672">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F7CD109">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11FCB10">
            <w:pPr>
              <w:pStyle w:val="561"/>
              <w:widowControl w:val="0"/>
              <w:spacing w:before="120" w:after="120" w:line="240" w:lineRule="auto"/>
              <w:ind w:left="31"/>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8E752FE">
            <w:pPr>
              <w:pStyle w:val="561"/>
              <w:widowControl w:val="0"/>
              <w:spacing w:before="120" w:after="120"/>
              <w:ind w:left="31"/>
              <w:rPr>
                <w:color w:val="auto"/>
                <w:highlight w:val="none"/>
                <w:lang w:eastAsia="en-US"/>
              </w:rPr>
            </w:pPr>
            <w:r>
              <w:rPr>
                <w:color w:val="auto"/>
                <w:highlight w:val="none"/>
                <w:lang w:eastAsia="en-US"/>
              </w:rPr>
              <w:t>混凝土结构梁</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75B765">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BC33767">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0E7F8C3">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682A00C">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26A4FEE">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119DB837">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5E6FE33D">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EEFDA8C">
            <w:pPr>
              <w:pStyle w:val="561"/>
              <w:widowControl w:val="0"/>
              <w:spacing w:before="120" w:after="120" w:line="240" w:lineRule="auto"/>
              <w:ind w:left="31"/>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6B9E8C9">
            <w:pPr>
              <w:pStyle w:val="561"/>
              <w:widowControl w:val="0"/>
              <w:spacing w:before="120" w:after="120"/>
              <w:ind w:left="31"/>
              <w:rPr>
                <w:color w:val="auto"/>
                <w:highlight w:val="none"/>
                <w:lang w:eastAsia="en-US"/>
              </w:rPr>
            </w:pPr>
            <w:r>
              <w:rPr>
                <w:color w:val="auto"/>
                <w:highlight w:val="none"/>
                <w:lang w:eastAsia="en-US"/>
              </w:rPr>
              <w:t>预留洞</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660F889">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762C72">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0AE84D4">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5B16EF4">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F8F12ED">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2048ED0E">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530A1920">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2CF206A">
            <w:pPr>
              <w:pStyle w:val="561"/>
              <w:widowControl w:val="0"/>
              <w:spacing w:before="120" w:after="120" w:line="240" w:lineRule="auto"/>
              <w:ind w:left="31"/>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0CAAA20">
            <w:pPr>
              <w:pStyle w:val="561"/>
              <w:widowControl w:val="0"/>
              <w:spacing w:before="120" w:after="120"/>
              <w:ind w:left="31"/>
              <w:rPr>
                <w:color w:val="auto"/>
                <w:highlight w:val="none"/>
                <w:lang w:eastAsia="en-US"/>
              </w:rPr>
            </w:pPr>
            <w:r>
              <w:rPr>
                <w:color w:val="auto"/>
                <w:highlight w:val="none"/>
                <w:lang w:eastAsia="en-US"/>
              </w:rPr>
              <w:t>剪力墙</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9A0C975">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AE684F6">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01EE929">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A7896F0">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7A73518">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1537050C">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7ED0AFCD">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886AF60">
            <w:pPr>
              <w:pStyle w:val="561"/>
              <w:widowControl w:val="0"/>
              <w:spacing w:before="120" w:after="120" w:line="240" w:lineRule="auto"/>
              <w:ind w:left="31"/>
              <w:rPr>
                <w:color w:val="auto"/>
                <w:highlight w:val="none"/>
                <w:lang w:eastAsia="en-US"/>
              </w:rPr>
            </w:pPr>
            <w:r>
              <w:rPr>
                <w:color w:val="auto"/>
                <w:highlight w:val="none"/>
                <w:lang w:eastAsia="en-US"/>
              </w:rPr>
              <w:t>005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82A7C43">
            <w:pPr>
              <w:pStyle w:val="561"/>
              <w:widowControl w:val="0"/>
              <w:spacing w:before="120" w:after="120"/>
              <w:ind w:left="31" w:right="2"/>
              <w:rPr>
                <w:color w:val="auto"/>
                <w:highlight w:val="none"/>
                <w:lang w:eastAsia="en-US"/>
              </w:rPr>
            </w:pPr>
            <w:r>
              <w:rPr>
                <w:color w:val="auto"/>
                <w:highlight w:val="none"/>
                <w:lang w:eastAsia="en-US"/>
              </w:rPr>
              <w:t>楼梯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E1F8916">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F61E903">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1A8DB88">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F6BAD98">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2EC73A1">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3FE0715A">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106F5E8">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075C981">
            <w:pPr>
              <w:pStyle w:val="561"/>
              <w:widowControl w:val="0"/>
              <w:spacing w:before="120" w:after="120" w:line="240" w:lineRule="auto"/>
              <w:ind w:left="31"/>
              <w:rPr>
                <w:color w:val="auto"/>
                <w:highlight w:val="none"/>
                <w:lang w:eastAsia="en-US"/>
              </w:rPr>
            </w:pPr>
            <w:r>
              <w:rPr>
                <w:color w:val="auto"/>
                <w:highlight w:val="none"/>
                <w:lang w:eastAsia="en-US"/>
              </w:rPr>
              <w:t>006</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02F6252">
            <w:pPr>
              <w:pStyle w:val="561"/>
              <w:widowControl w:val="0"/>
              <w:spacing w:before="120" w:after="120"/>
              <w:ind w:left="31" w:right="2"/>
              <w:rPr>
                <w:color w:val="auto"/>
                <w:highlight w:val="none"/>
                <w:lang w:eastAsia="en-US"/>
              </w:rPr>
            </w:pPr>
            <w:r>
              <w:rPr>
                <w:color w:val="auto"/>
                <w:highlight w:val="none"/>
                <w:lang w:eastAsia="en-US"/>
              </w:rPr>
              <w:t>楼板</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C9F86B1">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6DFD021">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878D116">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566CE0B">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B114BEB">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7C19C81B">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79D71003">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7D3DFBE">
            <w:pPr>
              <w:pStyle w:val="561"/>
              <w:widowControl w:val="0"/>
              <w:spacing w:before="120" w:after="120" w:line="240" w:lineRule="auto"/>
              <w:ind w:left="31"/>
              <w:rPr>
                <w:color w:val="auto"/>
                <w:highlight w:val="none"/>
                <w:lang w:eastAsia="en-US"/>
              </w:rPr>
            </w:pPr>
            <w:r>
              <w:rPr>
                <w:rFonts w:hint="eastAsia"/>
                <w:color w:val="auto"/>
                <w:highlight w:val="none"/>
                <w:lang w:eastAsia="en-US"/>
              </w:rPr>
              <w:t>007</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5E85C37">
            <w:pPr>
              <w:pStyle w:val="561"/>
              <w:widowControl w:val="0"/>
              <w:spacing w:before="120" w:after="120" w:line="240" w:lineRule="auto"/>
              <w:ind w:left="31"/>
              <w:rPr>
                <w:color w:val="auto"/>
                <w:highlight w:val="none"/>
                <w:lang w:eastAsia="en-US"/>
              </w:rPr>
            </w:pPr>
            <w:r>
              <w:rPr>
                <w:rFonts w:hint="eastAsia"/>
                <w:color w:val="auto"/>
                <w:highlight w:val="none"/>
                <w:lang w:eastAsia="en-US"/>
              </w:rPr>
              <w:t>钢结构</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75B10B8">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8BD0172">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BC950C5">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E9BEDD">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CA035E3">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61F01ADB">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61FE7C0F">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810C2CD">
            <w:pPr>
              <w:pStyle w:val="561"/>
              <w:widowControl w:val="0"/>
              <w:spacing w:before="120" w:after="120" w:line="240" w:lineRule="auto"/>
              <w:ind w:left="31"/>
              <w:rPr>
                <w:color w:val="auto"/>
                <w:highlight w:val="none"/>
                <w:lang w:eastAsia="en-US"/>
              </w:rPr>
            </w:pPr>
            <w:r>
              <w:rPr>
                <w:color w:val="auto"/>
                <w:highlight w:val="none"/>
                <w:lang w:eastAsia="en-US"/>
              </w:rPr>
              <w:t>00</w:t>
            </w:r>
            <w:r>
              <w:rPr>
                <w:rFonts w:hint="eastAsia"/>
                <w:color w:val="auto"/>
                <w:highlight w:val="none"/>
                <w:lang w:eastAsia="en-US"/>
              </w:rPr>
              <w:t>8</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F193015">
            <w:pPr>
              <w:pStyle w:val="561"/>
              <w:widowControl w:val="0"/>
              <w:spacing w:before="120" w:after="120" w:line="240" w:lineRule="auto"/>
              <w:ind w:left="31"/>
              <w:rPr>
                <w:color w:val="auto"/>
                <w:highlight w:val="none"/>
                <w:lang w:eastAsia="en-US"/>
              </w:rPr>
            </w:pPr>
            <w:r>
              <w:rPr>
                <w:color w:val="auto"/>
                <w:highlight w:val="none"/>
                <w:lang w:eastAsia="en-US"/>
              </w:rPr>
              <w:t>钢节点连接样式</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84134CF">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9561F0E">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BF21706">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DB3D987">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7BCD358">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3213F1AD">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153966D">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933E94A">
            <w:pPr>
              <w:pStyle w:val="561"/>
              <w:widowControl w:val="0"/>
              <w:spacing w:before="120" w:after="120" w:line="240" w:lineRule="auto"/>
              <w:ind w:left="31"/>
              <w:rPr>
                <w:color w:val="auto"/>
                <w:highlight w:val="none"/>
                <w:lang w:eastAsia="en-US"/>
              </w:rPr>
            </w:pPr>
            <w:r>
              <w:rPr>
                <w:color w:val="auto"/>
                <w:highlight w:val="none"/>
                <w:lang w:eastAsia="en-US"/>
              </w:rPr>
              <w:t>00</w:t>
            </w:r>
            <w:r>
              <w:rPr>
                <w:rFonts w:hint="eastAsia"/>
                <w:color w:val="auto"/>
                <w:highlight w:val="none"/>
                <w:lang w:eastAsia="en-US"/>
              </w:rPr>
              <w:t>9</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71FF700">
            <w:pPr>
              <w:pStyle w:val="561"/>
              <w:widowControl w:val="0"/>
              <w:spacing w:before="120" w:after="120" w:line="240" w:lineRule="auto"/>
              <w:ind w:left="31"/>
              <w:rPr>
                <w:color w:val="auto"/>
                <w:highlight w:val="none"/>
                <w:lang w:eastAsia="en-US"/>
              </w:rPr>
            </w:pPr>
            <w:r>
              <w:rPr>
                <w:color w:val="auto"/>
                <w:highlight w:val="none"/>
                <w:lang w:eastAsia="en-US"/>
              </w:rPr>
              <w:t>基坑</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1B13EC">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B0E4D4D">
            <w:pPr>
              <w:pStyle w:val="561"/>
              <w:widowControl w:val="0"/>
              <w:spacing w:before="120" w:after="120" w:line="240" w:lineRule="auto"/>
              <w:ind w:left="31"/>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E675B86">
            <w:pPr>
              <w:pStyle w:val="561"/>
              <w:widowControl w:val="0"/>
              <w:spacing w:before="120" w:after="120" w:line="240" w:lineRule="auto"/>
              <w:ind w:left="31"/>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4B2AC24">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2CA9564">
            <w:pPr>
              <w:pStyle w:val="561"/>
              <w:widowControl w:val="0"/>
              <w:spacing w:before="120" w:after="120" w:line="240" w:lineRule="auto"/>
              <w:ind w:left="31"/>
              <w:rPr>
                <w:color w:val="auto"/>
                <w:highlight w:val="none"/>
                <w:lang w:eastAsia="en-US"/>
              </w:rPr>
            </w:pPr>
            <w:r>
              <w:rPr>
                <w:rFonts w:hint="eastAsia"/>
                <w:color w:val="auto"/>
                <w:highlight w:val="none"/>
                <w:lang w:eastAsia="en-US"/>
              </w:rPr>
              <w:t>M（必审）</w:t>
            </w:r>
          </w:p>
        </w:tc>
      </w:tr>
      <w:tr w14:paraId="6F2E2B0C">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2F7B2695">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DF1580">
            <w:pPr>
              <w:pStyle w:val="561"/>
              <w:widowControl w:val="0"/>
              <w:spacing w:before="120" w:after="120" w:line="240" w:lineRule="auto"/>
              <w:ind w:left="31"/>
              <w:rPr>
                <w:color w:val="auto"/>
                <w:highlight w:val="none"/>
                <w:lang w:eastAsia="en-US"/>
              </w:rPr>
            </w:pPr>
            <w:r>
              <w:rPr>
                <w:rFonts w:hint="eastAsia"/>
                <w:color w:val="auto"/>
                <w:highlight w:val="none"/>
                <w:lang w:eastAsia="en-US"/>
              </w:rPr>
              <w:t>注：M（必审）表示：总协调方必须审核的内容；C（条件必审）表示：实际情况具备时应进行审核的内容；O（可审）表示总协调方可自行判断是否需要审核的内容。</w:t>
            </w:r>
          </w:p>
        </w:tc>
      </w:tr>
    </w:tbl>
    <w:p w14:paraId="207B6D81">
      <w:pPr>
        <w:spacing w:before="120" w:after="120" w:line="312" w:lineRule="auto"/>
        <w:ind w:firstLine="0" w:firstLineChars="0"/>
        <w:rPr>
          <w:rFonts w:ascii="宋体" w:hAnsi="宋体" w:cs="宋体"/>
          <w:color w:val="auto"/>
          <w:sz w:val="13"/>
          <w:szCs w:val="13"/>
          <w:highlight w:val="none"/>
        </w:rPr>
      </w:pPr>
    </w:p>
    <w:p w14:paraId="14645CC2">
      <w:pPr>
        <w:spacing w:before="120" w:after="120" w:line="312" w:lineRule="auto"/>
        <w:ind w:firstLine="0" w:firstLineChars="0"/>
        <w:rPr>
          <w:rFonts w:ascii="宋体" w:hAnsi="宋体" w:cs="宋体"/>
          <w:color w:val="auto"/>
          <w:sz w:val="13"/>
          <w:szCs w:val="13"/>
          <w:highlight w:val="none"/>
        </w:rPr>
      </w:pPr>
    </w:p>
    <w:p w14:paraId="2F9E56FC">
      <w:pPr>
        <w:spacing w:before="120" w:after="120" w:line="312" w:lineRule="auto"/>
        <w:ind w:firstLine="0" w:firstLineChars="0"/>
        <w:rPr>
          <w:rFonts w:cs="Times New Roman"/>
          <w:color w:val="auto"/>
          <w:szCs w:val="21"/>
          <w:highlight w:val="none"/>
        </w:rPr>
      </w:pPr>
      <w:r>
        <w:rPr>
          <w:rFonts w:ascii="宋体" w:hAnsi="宋体" w:cs="宋体"/>
          <w:color w:val="auto"/>
          <w:sz w:val="13"/>
          <w:szCs w:val="13"/>
          <w:highlight w:val="none"/>
        </w:rPr>
        <w:br w:type="page"/>
      </w:r>
    </w:p>
    <w:p w14:paraId="5421BFE3">
      <w:pPr>
        <w:pStyle w:val="584"/>
        <w:spacing w:before="120" w:after="120"/>
        <w:ind w:firstLine="630"/>
        <w:rPr>
          <w:color w:val="auto"/>
          <w:highlight w:val="none"/>
        </w:rPr>
      </w:pPr>
    </w:p>
    <w:p w14:paraId="2684A8FF">
      <w:pPr>
        <w:pStyle w:val="584"/>
        <w:spacing w:before="120" w:after="120"/>
        <w:ind w:firstLine="420" w:firstLineChars="200"/>
        <w:rPr>
          <w:color w:val="auto"/>
          <w:highlight w:val="none"/>
        </w:rPr>
      </w:pPr>
      <w:bookmarkStart w:id="336" w:name="_Toc6120"/>
      <w:r>
        <w:rPr>
          <w:color w:val="auto"/>
          <w:highlight w:val="none"/>
        </w:rPr>
        <w:t>3  暖通专业</w:t>
      </w:r>
      <w:bookmarkEnd w:id="336"/>
    </w:p>
    <w:tbl>
      <w:tblPr>
        <w:tblStyle w:val="519"/>
        <w:tblW w:w="4999" w:type="pct"/>
        <w:tblInd w:w="0" w:type="dxa"/>
        <w:tblLayout w:type="autofit"/>
        <w:tblCellMar>
          <w:top w:w="0" w:type="dxa"/>
          <w:left w:w="0" w:type="dxa"/>
          <w:bottom w:w="0" w:type="dxa"/>
          <w:right w:w="0" w:type="dxa"/>
        </w:tblCellMar>
      </w:tblPr>
      <w:tblGrid>
        <w:gridCol w:w="1107"/>
        <w:gridCol w:w="531"/>
        <w:gridCol w:w="1212"/>
        <w:gridCol w:w="2203"/>
        <w:gridCol w:w="2203"/>
        <w:gridCol w:w="2203"/>
        <w:gridCol w:w="2204"/>
        <w:gridCol w:w="1800"/>
      </w:tblGrid>
      <w:tr w14:paraId="7FCA0065">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CC404C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113" w:type="dxa"/>
              <w:bottom w:w="57" w:type="dxa"/>
              <w:right w:w="113" w:type="dxa"/>
            </w:tcMar>
            <w:vAlign w:val="center"/>
          </w:tcPr>
          <w:p w14:paraId="51F035CF">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0BF781F1">
            <w:pPr>
              <w:pStyle w:val="561"/>
              <w:widowControl w:val="0"/>
              <w:spacing w:before="120" w:after="120" w:line="240" w:lineRule="auto"/>
              <w:ind w:left="31"/>
              <w:rPr>
                <w:rFonts w:ascii="Times New Roman" w:hAnsi="Times New Roman" w:cs="Times New Roman"/>
                <w:color w:val="auto"/>
                <w:szCs w:val="24"/>
                <w:highlight w:val="none"/>
                <w:lang w:eastAsia="en-US"/>
              </w:rPr>
            </w:pPr>
          </w:p>
          <w:p w14:paraId="492C4661">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330CDF4">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EC114A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8268DF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19DD53B">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3FB361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1198D2E6">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textDirection w:val="tbRl"/>
            <w:vAlign w:val="center"/>
          </w:tcPr>
          <w:p w14:paraId="0600BF81">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113" w:type="dxa"/>
              <w:bottom w:w="57" w:type="dxa"/>
              <w:right w:w="113" w:type="dxa"/>
            </w:tcMar>
            <w:vAlign w:val="center"/>
          </w:tcPr>
          <w:p w14:paraId="5864F104">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23AFB3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75CCB94">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6A2308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99132DA">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10697F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2473C3EF">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113" w:type="dxa"/>
              <w:bottom w:w="57" w:type="dxa"/>
              <w:right w:w="113" w:type="dxa"/>
            </w:tcMar>
            <w:vAlign w:val="center"/>
          </w:tcPr>
          <w:p w14:paraId="4DF6FC8D">
            <w:pPr>
              <w:pStyle w:val="561"/>
              <w:widowControl w:val="0"/>
              <w:spacing w:before="120" w:after="120"/>
              <w:ind w:left="31" w:right="4"/>
              <w:rPr>
                <w:color w:val="auto"/>
                <w:highlight w:val="none"/>
                <w:lang w:eastAsia="en-US"/>
              </w:rPr>
            </w:pPr>
            <w:r>
              <w:rPr>
                <w:rFonts w:hint="eastAsia"/>
                <w:color w:val="auto"/>
                <w:highlight w:val="none"/>
                <w:lang w:eastAsia="en-US"/>
              </w:rPr>
              <w:t>暖通</w:t>
            </w: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4FBEC94">
            <w:pPr>
              <w:pStyle w:val="561"/>
              <w:widowControl w:val="0"/>
              <w:spacing w:before="120" w:after="120"/>
              <w:ind w:left="31" w:right="4"/>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3AA281F">
            <w:pPr>
              <w:pStyle w:val="561"/>
              <w:widowControl w:val="0"/>
              <w:spacing w:before="120" w:after="120"/>
              <w:ind w:left="31" w:right="4"/>
              <w:rPr>
                <w:color w:val="auto"/>
                <w:highlight w:val="none"/>
                <w:lang w:eastAsia="en-US"/>
              </w:rPr>
            </w:pPr>
            <w:r>
              <w:rPr>
                <w:color w:val="auto"/>
                <w:highlight w:val="none"/>
                <w:lang w:eastAsia="en-US"/>
              </w:rPr>
              <w:t>冷热源设备</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06967B4">
            <w:pPr>
              <w:pStyle w:val="561"/>
              <w:widowControl w:val="0"/>
              <w:spacing w:before="120" w:after="120" w:line="239" w:lineRule="exact"/>
              <w:ind w:left="31"/>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EA9D06D">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05CBB4D">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8A82CFA">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11A7D47">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0E01BEC6">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717E5CB0">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EB0F930">
            <w:pPr>
              <w:pStyle w:val="561"/>
              <w:widowControl w:val="0"/>
              <w:spacing w:before="120" w:after="120"/>
              <w:ind w:left="31" w:right="4"/>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F49D332">
            <w:pPr>
              <w:pStyle w:val="561"/>
              <w:widowControl w:val="0"/>
              <w:spacing w:before="120" w:after="120"/>
              <w:ind w:left="31" w:right="4"/>
              <w:rPr>
                <w:color w:val="auto"/>
                <w:highlight w:val="none"/>
                <w:lang w:eastAsia="en-US"/>
              </w:rPr>
            </w:pPr>
            <w:r>
              <w:rPr>
                <w:color w:val="auto"/>
                <w:highlight w:val="none"/>
                <w:lang w:eastAsia="en-US"/>
              </w:rPr>
              <w:t>空调设备</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2F9D25E">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2529DF4">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176274F">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9FB798C">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EF96917">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15B80448">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43539274">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87C2A98">
            <w:pPr>
              <w:pStyle w:val="561"/>
              <w:widowControl w:val="0"/>
              <w:spacing w:before="120" w:after="120"/>
              <w:ind w:left="31" w:right="4"/>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DF0173E">
            <w:pPr>
              <w:pStyle w:val="561"/>
              <w:widowControl w:val="0"/>
              <w:spacing w:before="120" w:after="120"/>
              <w:ind w:left="31" w:right="4"/>
              <w:rPr>
                <w:color w:val="auto"/>
                <w:highlight w:val="none"/>
                <w:lang w:eastAsia="en-US"/>
              </w:rPr>
            </w:pPr>
            <w:r>
              <w:rPr>
                <w:color w:val="auto"/>
                <w:highlight w:val="none"/>
                <w:lang w:eastAsia="en-US"/>
              </w:rPr>
              <w:t>风机</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1551FA3">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DE79760">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2DD07D9">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48BE992">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CC92DEE">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0B61FA78">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3169EBF4">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E37C4F4">
            <w:pPr>
              <w:pStyle w:val="561"/>
              <w:widowControl w:val="0"/>
              <w:spacing w:before="120" w:after="120" w:line="240" w:lineRule="auto"/>
              <w:ind w:left="31" w:right="4"/>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28346D1">
            <w:pPr>
              <w:pStyle w:val="561"/>
              <w:widowControl w:val="0"/>
              <w:spacing w:before="120" w:after="120"/>
              <w:ind w:left="31" w:right="4"/>
              <w:rPr>
                <w:color w:val="auto"/>
                <w:highlight w:val="none"/>
                <w:lang w:eastAsia="en-US"/>
              </w:rPr>
            </w:pPr>
            <w:r>
              <w:rPr>
                <w:color w:val="auto"/>
                <w:highlight w:val="none"/>
                <w:lang w:eastAsia="en-US"/>
              </w:rPr>
              <w:t>风机盘管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2E35058">
            <w:pPr>
              <w:pStyle w:val="561"/>
              <w:widowControl w:val="0"/>
              <w:spacing w:before="120" w:after="120" w:line="238"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080792C">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8371BC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7E02036">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0BBAEA4">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133602F1">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1799F9FB">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852C113">
            <w:pPr>
              <w:pStyle w:val="561"/>
              <w:widowControl w:val="0"/>
              <w:spacing w:before="120" w:after="120" w:line="240" w:lineRule="auto"/>
              <w:ind w:left="31" w:right="4"/>
              <w:rPr>
                <w:color w:val="auto"/>
                <w:highlight w:val="none"/>
                <w:lang w:eastAsia="en-US"/>
              </w:rPr>
            </w:pPr>
            <w:r>
              <w:rPr>
                <w:color w:val="auto"/>
                <w:highlight w:val="none"/>
                <w:lang w:eastAsia="en-US"/>
              </w:rPr>
              <w:t>005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9C185DA">
            <w:pPr>
              <w:pStyle w:val="561"/>
              <w:widowControl w:val="0"/>
              <w:spacing w:before="120" w:after="120"/>
              <w:ind w:left="31" w:right="4"/>
              <w:rPr>
                <w:color w:val="auto"/>
                <w:highlight w:val="none"/>
                <w:lang w:eastAsia="en-US"/>
              </w:rPr>
            </w:pPr>
            <w:r>
              <w:rPr>
                <w:color w:val="auto"/>
                <w:highlight w:val="none"/>
                <w:lang w:eastAsia="en-US"/>
              </w:rPr>
              <w:t>新风风管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E79F921">
            <w:pPr>
              <w:pStyle w:val="561"/>
              <w:widowControl w:val="0"/>
              <w:spacing w:before="120" w:after="120" w:line="239"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876DD03">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E59D70C">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3D1101E">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A5F304A">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74FFB71C">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32714776">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F607E58">
            <w:pPr>
              <w:pStyle w:val="561"/>
              <w:widowControl w:val="0"/>
              <w:spacing w:before="120" w:after="120" w:line="240" w:lineRule="auto"/>
              <w:ind w:left="31" w:right="4"/>
              <w:rPr>
                <w:color w:val="auto"/>
                <w:highlight w:val="none"/>
                <w:lang w:eastAsia="en-US"/>
              </w:rPr>
            </w:pPr>
            <w:r>
              <w:rPr>
                <w:color w:val="auto"/>
                <w:highlight w:val="none"/>
                <w:lang w:eastAsia="en-US"/>
              </w:rPr>
              <w:t>006</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E1FF573">
            <w:pPr>
              <w:pStyle w:val="561"/>
              <w:widowControl w:val="0"/>
              <w:spacing w:before="120" w:after="120"/>
              <w:ind w:left="31" w:right="4"/>
              <w:rPr>
                <w:color w:val="auto"/>
                <w:highlight w:val="none"/>
                <w:lang w:eastAsia="en-US"/>
              </w:rPr>
            </w:pPr>
            <w:r>
              <w:rPr>
                <w:color w:val="auto"/>
                <w:highlight w:val="none"/>
                <w:lang w:eastAsia="en-US"/>
              </w:rPr>
              <w:t>回风风管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70622EE">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5425F4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1AC8F06">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BD67E46">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C7F4494">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47F469BC">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42D0E38B">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3496D5B">
            <w:pPr>
              <w:pStyle w:val="561"/>
              <w:widowControl w:val="0"/>
              <w:spacing w:before="120" w:after="120" w:line="240" w:lineRule="auto"/>
              <w:ind w:left="31" w:right="4"/>
              <w:rPr>
                <w:color w:val="auto"/>
                <w:highlight w:val="none"/>
                <w:lang w:eastAsia="en-US"/>
              </w:rPr>
            </w:pPr>
            <w:r>
              <w:rPr>
                <w:color w:val="auto"/>
                <w:highlight w:val="none"/>
                <w:lang w:eastAsia="en-US"/>
              </w:rPr>
              <w:t>007</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B35D5EC">
            <w:pPr>
              <w:pStyle w:val="561"/>
              <w:widowControl w:val="0"/>
              <w:spacing w:before="120" w:after="120" w:line="240" w:lineRule="auto"/>
              <w:ind w:left="31" w:right="4"/>
              <w:rPr>
                <w:color w:val="auto"/>
                <w:highlight w:val="none"/>
                <w:lang w:eastAsia="en-US"/>
              </w:rPr>
            </w:pPr>
            <w:r>
              <w:rPr>
                <w:color w:val="auto"/>
                <w:highlight w:val="none"/>
                <w:lang w:eastAsia="en-US"/>
              </w:rPr>
              <w:t>排风排烟风管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0781EBF">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7C4E4A5">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276F44A">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3370EC6">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3E8AA19">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5D6C07E6">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72866578">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0751C14">
            <w:pPr>
              <w:pStyle w:val="561"/>
              <w:widowControl w:val="0"/>
              <w:spacing w:before="120" w:after="120" w:line="240" w:lineRule="auto"/>
              <w:ind w:left="31" w:right="4"/>
              <w:rPr>
                <w:color w:val="auto"/>
                <w:highlight w:val="none"/>
                <w:lang w:eastAsia="en-US"/>
              </w:rPr>
            </w:pPr>
            <w:r>
              <w:rPr>
                <w:color w:val="auto"/>
                <w:highlight w:val="none"/>
                <w:lang w:eastAsia="en-US"/>
              </w:rPr>
              <w:t>008</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6D919CA">
            <w:pPr>
              <w:pStyle w:val="561"/>
              <w:widowControl w:val="0"/>
              <w:spacing w:before="120" w:after="120" w:line="240" w:lineRule="auto"/>
              <w:ind w:left="31" w:right="4"/>
              <w:rPr>
                <w:color w:val="auto"/>
                <w:highlight w:val="none"/>
                <w:lang w:eastAsia="en-US"/>
              </w:rPr>
            </w:pPr>
            <w:r>
              <w:rPr>
                <w:color w:val="auto"/>
                <w:highlight w:val="none"/>
                <w:lang w:eastAsia="en-US"/>
              </w:rPr>
              <w:t>冷热媒水管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3945F41">
            <w:pPr>
              <w:pStyle w:val="561"/>
              <w:widowControl w:val="0"/>
              <w:spacing w:before="120" w:after="120" w:line="239"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D4399FE">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F8443BF">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D424EE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C13FA01">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79CD0D1D">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4992EB9D">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CCBBC73">
            <w:pPr>
              <w:pStyle w:val="561"/>
              <w:widowControl w:val="0"/>
              <w:spacing w:before="120" w:after="120" w:line="240" w:lineRule="auto"/>
              <w:ind w:left="31" w:right="4"/>
              <w:rPr>
                <w:color w:val="auto"/>
                <w:highlight w:val="none"/>
                <w:lang w:eastAsia="en-US"/>
              </w:rPr>
            </w:pPr>
            <w:r>
              <w:rPr>
                <w:color w:val="auto"/>
                <w:highlight w:val="none"/>
                <w:lang w:eastAsia="en-US"/>
              </w:rPr>
              <w:t>009</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96F1B3E">
            <w:pPr>
              <w:pStyle w:val="561"/>
              <w:widowControl w:val="0"/>
              <w:spacing w:before="120" w:after="120" w:line="240" w:lineRule="auto"/>
              <w:ind w:left="31" w:right="4"/>
              <w:rPr>
                <w:color w:val="auto"/>
                <w:highlight w:val="none"/>
                <w:lang w:eastAsia="en-US"/>
              </w:rPr>
            </w:pPr>
            <w:r>
              <w:rPr>
                <w:color w:val="auto"/>
                <w:highlight w:val="none"/>
                <w:lang w:eastAsia="en-US"/>
              </w:rPr>
              <w:t>水泵</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B00E27F">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7BC5690">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F5358A9">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3BC8DF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E5D44FC">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M（必审）</w:t>
            </w:r>
          </w:p>
        </w:tc>
      </w:tr>
      <w:tr w14:paraId="465B21AB">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7261C06D">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488C1C7">
            <w:pPr>
              <w:pStyle w:val="561"/>
              <w:widowControl w:val="0"/>
              <w:spacing w:before="120" w:after="120" w:line="240" w:lineRule="auto"/>
              <w:ind w:left="31" w:right="4"/>
              <w:rPr>
                <w:color w:val="auto"/>
                <w:highlight w:val="none"/>
                <w:lang w:eastAsia="en-US"/>
              </w:rPr>
            </w:pPr>
            <w:r>
              <w:rPr>
                <w:color w:val="auto"/>
                <w:highlight w:val="none"/>
                <w:lang w:eastAsia="en-US"/>
              </w:rPr>
              <w:t>010</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5E8A487">
            <w:pPr>
              <w:pStyle w:val="561"/>
              <w:widowControl w:val="0"/>
              <w:spacing w:before="120" w:after="120" w:line="240" w:lineRule="auto"/>
              <w:ind w:left="31" w:right="4"/>
              <w:rPr>
                <w:color w:val="auto"/>
                <w:highlight w:val="none"/>
                <w:lang w:eastAsia="en-US"/>
              </w:rPr>
            </w:pPr>
            <w:r>
              <w:rPr>
                <w:color w:val="auto"/>
                <w:highlight w:val="none"/>
                <w:lang w:eastAsia="en-US"/>
              </w:rPr>
              <w:t>排烟阀、防火阀</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89EDDF9">
            <w:pPr>
              <w:pStyle w:val="561"/>
              <w:widowControl w:val="0"/>
              <w:spacing w:before="120" w:after="120" w:line="239" w:lineRule="exact"/>
              <w:ind w:left="31"/>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FDE9E21">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8164D39">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F9C3ED8">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A36B9E6">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M（必审）</w:t>
            </w:r>
          </w:p>
        </w:tc>
      </w:tr>
      <w:tr w14:paraId="36662CC4">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25F9BE1D">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8789DDF">
            <w:pPr>
              <w:pStyle w:val="561"/>
              <w:widowControl w:val="0"/>
              <w:spacing w:before="120" w:after="120" w:line="240" w:lineRule="auto"/>
              <w:ind w:left="31" w:right="4"/>
              <w:rPr>
                <w:color w:val="auto"/>
                <w:highlight w:val="none"/>
                <w:lang w:eastAsia="en-US"/>
              </w:rPr>
            </w:pPr>
            <w:r>
              <w:rPr>
                <w:color w:val="auto"/>
                <w:highlight w:val="none"/>
                <w:lang w:eastAsia="en-US"/>
              </w:rPr>
              <w:t>011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63E1334">
            <w:pPr>
              <w:pStyle w:val="561"/>
              <w:widowControl w:val="0"/>
              <w:spacing w:before="120" w:after="120" w:line="240" w:lineRule="auto"/>
              <w:ind w:left="31" w:right="4"/>
              <w:rPr>
                <w:color w:val="auto"/>
                <w:highlight w:val="none"/>
                <w:lang w:eastAsia="en-US"/>
              </w:rPr>
            </w:pPr>
            <w:r>
              <w:rPr>
                <w:color w:val="auto"/>
                <w:highlight w:val="none"/>
                <w:lang w:eastAsia="en-US"/>
              </w:rPr>
              <w:t>各类阀门</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5A06E8A">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F669239">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2D80A45">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5C7ADC6">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1663492">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M（必审）</w:t>
            </w:r>
          </w:p>
        </w:tc>
      </w:tr>
      <w:tr w14:paraId="642F035E">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02B61BCE">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39930D9">
            <w:pPr>
              <w:pStyle w:val="561"/>
              <w:widowControl w:val="0"/>
              <w:spacing w:before="120" w:after="120" w:line="240" w:lineRule="auto"/>
              <w:ind w:left="31" w:right="4"/>
              <w:rPr>
                <w:color w:val="auto"/>
                <w:highlight w:val="none"/>
                <w:lang w:eastAsia="en-US"/>
              </w:rPr>
            </w:pPr>
            <w:r>
              <w:rPr>
                <w:color w:val="auto"/>
                <w:highlight w:val="none"/>
                <w:lang w:eastAsia="en-US"/>
              </w:rPr>
              <w:t>012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E6D3360">
            <w:pPr>
              <w:pStyle w:val="561"/>
              <w:widowControl w:val="0"/>
              <w:spacing w:before="120" w:after="120" w:line="240" w:lineRule="auto"/>
              <w:ind w:left="31" w:right="4"/>
              <w:rPr>
                <w:color w:val="auto"/>
                <w:highlight w:val="none"/>
                <w:lang w:eastAsia="en-US"/>
              </w:rPr>
            </w:pPr>
            <w:r>
              <w:rPr>
                <w:color w:val="auto"/>
                <w:highlight w:val="none"/>
                <w:lang w:eastAsia="en-US"/>
              </w:rPr>
              <w:t>散流器</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3FB4539">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A10BF66">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F1A3EB6">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BBF1368">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53B3A6F">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494C0864">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5FE09712">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0D6C5F9">
            <w:pPr>
              <w:pStyle w:val="561"/>
              <w:widowControl w:val="0"/>
              <w:spacing w:before="120" w:after="120" w:line="240" w:lineRule="auto"/>
              <w:ind w:left="31" w:right="4"/>
              <w:rPr>
                <w:color w:val="auto"/>
                <w:highlight w:val="none"/>
                <w:lang w:eastAsia="en-US"/>
              </w:rPr>
            </w:pPr>
            <w:r>
              <w:rPr>
                <w:color w:val="auto"/>
                <w:highlight w:val="none"/>
                <w:lang w:eastAsia="en-US"/>
              </w:rPr>
              <w:t>013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5867B87">
            <w:pPr>
              <w:pStyle w:val="561"/>
              <w:widowControl w:val="0"/>
              <w:spacing w:before="120" w:after="120" w:line="240" w:lineRule="auto"/>
              <w:ind w:left="31" w:right="4"/>
              <w:rPr>
                <w:color w:val="auto"/>
                <w:highlight w:val="none"/>
                <w:lang w:eastAsia="en-US"/>
              </w:rPr>
            </w:pPr>
            <w:r>
              <w:rPr>
                <w:color w:val="auto"/>
                <w:highlight w:val="none"/>
                <w:lang w:eastAsia="en-US"/>
              </w:rPr>
              <w:t>排风口</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AC2318F">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F43E058">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DB74CC8">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FD77D66">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86824FA">
            <w:pPr>
              <w:pStyle w:val="561"/>
              <w:widowControl w:val="0"/>
              <w:spacing w:before="120" w:after="120" w:line="240" w:lineRule="exact"/>
              <w:ind w:left="31"/>
              <w:rPr>
                <w:color w:val="auto"/>
                <w:highlight w:val="none"/>
                <w:lang w:eastAsia="en-US"/>
              </w:rPr>
            </w:pPr>
            <w:r>
              <w:rPr>
                <w:rFonts w:hint="eastAsia"/>
                <w:color w:val="auto"/>
                <w:highlight w:val="none"/>
                <w:lang w:eastAsia="en-US"/>
              </w:rPr>
              <w:t>M（必审）</w:t>
            </w:r>
          </w:p>
        </w:tc>
      </w:tr>
      <w:tr w14:paraId="6B64D77D">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63E7271D">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8F31E0E">
            <w:pPr>
              <w:pStyle w:val="561"/>
              <w:widowControl w:val="0"/>
              <w:spacing w:before="120" w:after="120" w:line="240" w:lineRule="auto"/>
              <w:ind w:left="31" w:right="4"/>
              <w:rPr>
                <w:color w:val="auto"/>
                <w:highlight w:val="none"/>
                <w:lang w:eastAsia="en-US"/>
              </w:rPr>
            </w:pPr>
            <w:r>
              <w:rPr>
                <w:color w:val="auto"/>
                <w:highlight w:val="none"/>
                <w:lang w:eastAsia="en-US"/>
              </w:rPr>
              <w:t>014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1E8787E">
            <w:pPr>
              <w:pStyle w:val="561"/>
              <w:widowControl w:val="0"/>
              <w:spacing w:before="120" w:after="120" w:line="240" w:lineRule="auto"/>
              <w:ind w:left="31" w:right="4"/>
              <w:rPr>
                <w:color w:val="auto"/>
                <w:highlight w:val="none"/>
                <w:lang w:eastAsia="en-US"/>
              </w:rPr>
            </w:pPr>
            <w:r>
              <w:rPr>
                <w:color w:val="auto"/>
                <w:highlight w:val="none"/>
                <w:lang w:eastAsia="en-US"/>
              </w:rPr>
              <w:t>回风口</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7116271">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68DC560">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49619B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9877945">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CB77EFD">
            <w:pPr>
              <w:pStyle w:val="561"/>
              <w:widowControl w:val="0"/>
              <w:spacing w:before="120" w:after="120" w:line="240" w:lineRule="exact"/>
              <w:ind w:left="31"/>
              <w:rPr>
                <w:color w:val="auto"/>
                <w:highlight w:val="none"/>
                <w:lang w:eastAsia="en-US"/>
              </w:rPr>
            </w:pPr>
            <w:r>
              <w:rPr>
                <w:rFonts w:hint="eastAsia"/>
                <w:color w:val="auto"/>
                <w:highlight w:val="none"/>
                <w:lang w:eastAsia="en-US"/>
              </w:rPr>
              <w:t>M（必审）</w:t>
            </w:r>
          </w:p>
        </w:tc>
      </w:tr>
      <w:tr w14:paraId="23521E1D">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49290F2E">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445D599">
            <w:pPr>
              <w:pStyle w:val="561"/>
              <w:widowControl w:val="0"/>
              <w:spacing w:before="120" w:after="120" w:line="240" w:lineRule="auto"/>
              <w:ind w:left="31" w:right="4"/>
              <w:rPr>
                <w:color w:val="auto"/>
                <w:highlight w:val="none"/>
                <w:lang w:eastAsia="en-US"/>
              </w:rPr>
            </w:pPr>
            <w:r>
              <w:rPr>
                <w:color w:val="auto"/>
                <w:highlight w:val="none"/>
                <w:lang w:eastAsia="en-US"/>
              </w:rPr>
              <w:t>015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EE70007">
            <w:pPr>
              <w:pStyle w:val="561"/>
              <w:widowControl w:val="0"/>
              <w:spacing w:before="120" w:after="120" w:line="240" w:lineRule="auto"/>
              <w:ind w:left="31" w:right="4"/>
              <w:rPr>
                <w:color w:val="auto"/>
                <w:highlight w:val="none"/>
                <w:lang w:eastAsia="en-US"/>
              </w:rPr>
            </w:pPr>
            <w:r>
              <w:rPr>
                <w:color w:val="auto"/>
                <w:highlight w:val="none"/>
                <w:lang w:eastAsia="en-US"/>
              </w:rPr>
              <w:t>静压箱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3FE4E59">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CE67D3D">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01FF197">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A14189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F4F1421">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22E94900">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113" w:type="dxa"/>
              <w:bottom w:w="57" w:type="dxa"/>
              <w:right w:w="113" w:type="dxa"/>
            </w:tcMar>
            <w:textDirection w:val="tbRl"/>
            <w:vAlign w:val="center"/>
          </w:tcPr>
          <w:p w14:paraId="1FEE7295">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1D52AF7">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注：M（必审）表示：总协调方必须审核的内容；C（条件必审）表示：实际情况具备时应进行审核的内容；O（可审）表示总协调方可自行判断是否需要审核的内容。</w:t>
            </w:r>
          </w:p>
        </w:tc>
      </w:tr>
    </w:tbl>
    <w:p w14:paraId="54E9DB0B">
      <w:pPr>
        <w:spacing w:before="120" w:after="120" w:line="312" w:lineRule="auto"/>
        <w:ind w:firstLine="0" w:firstLineChars="0"/>
        <w:rPr>
          <w:rFonts w:ascii="宋体" w:hAnsi="宋体" w:cs="宋体"/>
          <w:color w:val="auto"/>
          <w:szCs w:val="21"/>
          <w:highlight w:val="none"/>
        </w:rPr>
      </w:pPr>
    </w:p>
    <w:p w14:paraId="54F767AC">
      <w:pPr>
        <w:spacing w:before="120" w:after="120" w:line="312" w:lineRule="auto"/>
        <w:ind w:firstLine="360" w:firstLineChars="0"/>
        <w:rPr>
          <w:rFonts w:cs="Times New Roman"/>
          <w:color w:val="auto"/>
          <w:highlight w:val="none"/>
        </w:rPr>
      </w:pPr>
    </w:p>
    <w:p w14:paraId="252461D4">
      <w:pPr>
        <w:spacing w:before="120" w:after="120" w:line="312" w:lineRule="auto"/>
        <w:ind w:firstLine="360" w:firstLineChars="0"/>
        <w:rPr>
          <w:rFonts w:cs="Times New Roman"/>
          <w:color w:val="auto"/>
          <w:szCs w:val="21"/>
          <w:highlight w:val="none"/>
        </w:rPr>
      </w:pPr>
      <w:r>
        <w:rPr>
          <w:rFonts w:cs="Times New Roman"/>
          <w:color w:val="auto"/>
          <w:highlight w:val="none"/>
        </w:rPr>
        <w:br w:type="page"/>
      </w:r>
    </w:p>
    <w:p w14:paraId="027F9255">
      <w:pPr>
        <w:pStyle w:val="584"/>
        <w:spacing w:before="120" w:after="120"/>
        <w:ind w:firstLine="630"/>
        <w:rPr>
          <w:color w:val="auto"/>
          <w:highlight w:val="none"/>
        </w:rPr>
      </w:pPr>
    </w:p>
    <w:p w14:paraId="3C719851">
      <w:pPr>
        <w:pStyle w:val="584"/>
        <w:spacing w:before="120" w:after="120"/>
        <w:ind w:firstLine="420" w:firstLineChars="200"/>
        <w:rPr>
          <w:color w:val="auto"/>
          <w:highlight w:val="none"/>
        </w:rPr>
      </w:pPr>
      <w:bookmarkStart w:id="337" w:name="_Toc15908"/>
      <w:r>
        <w:rPr>
          <w:rFonts w:eastAsia="Times New Roman"/>
          <w:color w:val="auto"/>
          <w:highlight w:val="none"/>
        </w:rPr>
        <w:t xml:space="preserve">4  </w:t>
      </w:r>
      <w:r>
        <w:rPr>
          <w:color w:val="auto"/>
          <w:highlight w:val="none"/>
        </w:rPr>
        <w:t>给排水专业</w:t>
      </w:r>
      <w:bookmarkEnd w:id="337"/>
    </w:p>
    <w:tbl>
      <w:tblPr>
        <w:tblStyle w:val="519"/>
        <w:tblW w:w="4999" w:type="pct"/>
        <w:tblInd w:w="0" w:type="dxa"/>
        <w:tblLayout w:type="autofit"/>
        <w:tblCellMar>
          <w:top w:w="0" w:type="dxa"/>
          <w:left w:w="0" w:type="dxa"/>
          <w:bottom w:w="0" w:type="dxa"/>
          <w:right w:w="0" w:type="dxa"/>
        </w:tblCellMar>
      </w:tblPr>
      <w:tblGrid>
        <w:gridCol w:w="1100"/>
        <w:gridCol w:w="510"/>
        <w:gridCol w:w="1205"/>
        <w:gridCol w:w="2187"/>
        <w:gridCol w:w="2187"/>
        <w:gridCol w:w="2187"/>
        <w:gridCol w:w="2187"/>
        <w:gridCol w:w="1788"/>
      </w:tblGrid>
      <w:tr w14:paraId="3F5BC589">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DA792AF">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74D4095F">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472484EF">
            <w:pPr>
              <w:pStyle w:val="561"/>
              <w:widowControl w:val="0"/>
              <w:spacing w:before="120" w:after="120" w:line="240" w:lineRule="auto"/>
              <w:ind w:left="31"/>
              <w:rPr>
                <w:rFonts w:ascii="Times New Roman" w:hAnsi="Times New Roman" w:cs="Times New Roman"/>
                <w:color w:val="auto"/>
                <w:szCs w:val="24"/>
                <w:highlight w:val="none"/>
                <w:lang w:eastAsia="en-US"/>
              </w:rPr>
            </w:pPr>
          </w:p>
          <w:p w14:paraId="0E290B30">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934C7A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92D59EF">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3745C89">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A6DF9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EF6515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7B72ACD9">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6E525B5B">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585E72FE">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8F64527">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382FB6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970CB3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0DA4B2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23ED8E0">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792053BD">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6303B311">
            <w:pPr>
              <w:pStyle w:val="561"/>
              <w:widowControl w:val="0"/>
              <w:spacing w:before="120" w:after="120"/>
              <w:ind w:left="31" w:right="4"/>
              <w:rPr>
                <w:color w:val="auto"/>
                <w:highlight w:val="none"/>
                <w:lang w:eastAsia="en-US"/>
              </w:rPr>
            </w:pPr>
            <w:r>
              <w:rPr>
                <w:rFonts w:hint="eastAsia"/>
                <w:color w:val="auto"/>
                <w:highlight w:val="none"/>
                <w:lang w:eastAsia="en-US"/>
              </w:rPr>
              <w:t>给排水</w:t>
            </w: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BAC81D2">
            <w:pPr>
              <w:pStyle w:val="561"/>
              <w:widowControl w:val="0"/>
              <w:spacing w:before="120" w:after="120"/>
              <w:ind w:left="31" w:right="4"/>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BC6A222">
            <w:pPr>
              <w:pStyle w:val="561"/>
              <w:widowControl w:val="0"/>
              <w:spacing w:before="120" w:after="120"/>
              <w:ind w:left="31" w:right="4"/>
              <w:rPr>
                <w:color w:val="auto"/>
                <w:highlight w:val="none"/>
                <w:lang w:eastAsia="en-US"/>
              </w:rPr>
            </w:pPr>
            <w:r>
              <w:rPr>
                <w:color w:val="auto"/>
                <w:highlight w:val="none"/>
                <w:lang w:eastAsia="en-US"/>
              </w:rPr>
              <w:t>给水主管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2300BA8">
            <w:pPr>
              <w:pStyle w:val="561"/>
              <w:widowControl w:val="0"/>
              <w:spacing w:before="120" w:after="120" w:line="239" w:lineRule="exact"/>
              <w:ind w:left="31"/>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C1930D2">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721DC75">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A15C1BC">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E91B9A">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4B9F99DF">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B04A764">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74175E0">
            <w:pPr>
              <w:pStyle w:val="561"/>
              <w:widowControl w:val="0"/>
              <w:spacing w:before="120" w:after="120"/>
              <w:ind w:left="31" w:right="4"/>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8D78557">
            <w:pPr>
              <w:pStyle w:val="561"/>
              <w:widowControl w:val="0"/>
              <w:spacing w:before="120" w:after="120"/>
              <w:ind w:left="31" w:right="4"/>
              <w:rPr>
                <w:color w:val="auto"/>
                <w:highlight w:val="none"/>
                <w:lang w:eastAsia="en-US"/>
              </w:rPr>
            </w:pPr>
            <w:r>
              <w:rPr>
                <w:color w:val="auto"/>
                <w:highlight w:val="none"/>
                <w:lang w:eastAsia="en-US"/>
              </w:rPr>
              <w:t>污水管及管道坡度</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C71F6B">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A962CDB">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1854A0">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C90DF38">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113E21E">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7FEE6A05">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6C335812">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A905C9E">
            <w:pPr>
              <w:pStyle w:val="561"/>
              <w:widowControl w:val="0"/>
              <w:spacing w:before="120" w:after="120"/>
              <w:ind w:left="31" w:right="4"/>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C5C1869">
            <w:pPr>
              <w:pStyle w:val="561"/>
              <w:widowControl w:val="0"/>
              <w:spacing w:before="120" w:after="120"/>
              <w:ind w:left="31" w:right="4"/>
              <w:rPr>
                <w:color w:val="auto"/>
                <w:highlight w:val="none"/>
                <w:lang w:eastAsia="en-US"/>
              </w:rPr>
            </w:pPr>
            <w:r>
              <w:rPr>
                <w:color w:val="auto"/>
                <w:highlight w:val="none"/>
                <w:lang w:eastAsia="en-US"/>
              </w:rPr>
              <w:t>雨水管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F48D8F5">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A32BFF0">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E5F5FDB">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6F73083">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DF19CC">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527D1F7A">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61535D5">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3D6B79F">
            <w:pPr>
              <w:pStyle w:val="561"/>
              <w:widowControl w:val="0"/>
              <w:spacing w:before="120" w:after="120" w:line="240" w:lineRule="auto"/>
              <w:ind w:left="31" w:right="4"/>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E01077D">
            <w:pPr>
              <w:pStyle w:val="561"/>
              <w:widowControl w:val="0"/>
              <w:spacing w:before="120" w:after="120"/>
              <w:ind w:left="31" w:right="4"/>
              <w:rPr>
                <w:color w:val="auto"/>
                <w:highlight w:val="none"/>
                <w:lang w:eastAsia="en-US"/>
              </w:rPr>
            </w:pPr>
            <w:r>
              <w:rPr>
                <w:color w:val="auto"/>
                <w:highlight w:val="none"/>
                <w:lang w:eastAsia="en-US"/>
              </w:rPr>
              <w:t>煤气管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1B25201">
            <w:pPr>
              <w:pStyle w:val="561"/>
              <w:widowControl w:val="0"/>
              <w:spacing w:before="120" w:after="120" w:line="238"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1CD59FC">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525CCF4">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A1F21A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2FA0FB5">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1FAC26E3">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792CD9CE">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273FE48">
            <w:pPr>
              <w:pStyle w:val="561"/>
              <w:widowControl w:val="0"/>
              <w:spacing w:before="120" w:after="120" w:line="240" w:lineRule="auto"/>
              <w:ind w:left="31" w:right="4"/>
              <w:rPr>
                <w:color w:val="auto"/>
                <w:highlight w:val="none"/>
                <w:lang w:eastAsia="en-US"/>
              </w:rPr>
            </w:pPr>
            <w:r>
              <w:rPr>
                <w:color w:val="auto"/>
                <w:highlight w:val="none"/>
                <w:lang w:eastAsia="en-US"/>
              </w:rPr>
              <w:t>005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7A2287">
            <w:pPr>
              <w:pStyle w:val="561"/>
              <w:widowControl w:val="0"/>
              <w:spacing w:before="120" w:after="120"/>
              <w:ind w:left="31" w:right="4"/>
              <w:rPr>
                <w:color w:val="auto"/>
                <w:highlight w:val="none"/>
                <w:lang w:eastAsia="en-US"/>
              </w:rPr>
            </w:pPr>
            <w:r>
              <w:rPr>
                <w:color w:val="auto"/>
                <w:highlight w:val="none"/>
                <w:lang w:eastAsia="en-US"/>
              </w:rPr>
              <w:t>热力管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376E8F5">
            <w:pPr>
              <w:pStyle w:val="561"/>
              <w:widowControl w:val="0"/>
              <w:spacing w:before="120" w:after="120" w:line="239"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32C6881">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C480F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AD97ECE">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B57EC3C">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6F432429">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38DDFB7">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43E1D08">
            <w:pPr>
              <w:pStyle w:val="561"/>
              <w:widowControl w:val="0"/>
              <w:spacing w:before="120" w:after="120" w:line="240" w:lineRule="auto"/>
              <w:ind w:left="31" w:right="4"/>
              <w:rPr>
                <w:color w:val="auto"/>
                <w:highlight w:val="none"/>
                <w:lang w:eastAsia="en-US"/>
              </w:rPr>
            </w:pPr>
            <w:r>
              <w:rPr>
                <w:color w:val="auto"/>
                <w:highlight w:val="none"/>
                <w:lang w:eastAsia="en-US"/>
              </w:rPr>
              <w:t>006</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43A38AB">
            <w:pPr>
              <w:pStyle w:val="561"/>
              <w:widowControl w:val="0"/>
              <w:spacing w:before="120" w:after="120"/>
              <w:ind w:left="31" w:right="4"/>
              <w:rPr>
                <w:color w:val="auto"/>
                <w:highlight w:val="none"/>
                <w:lang w:eastAsia="en-US"/>
              </w:rPr>
            </w:pPr>
            <w:r>
              <w:rPr>
                <w:color w:val="auto"/>
                <w:highlight w:val="none"/>
                <w:lang w:eastAsia="en-US"/>
              </w:rPr>
              <w:t>消防水管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B80B236">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F341779">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C0CF240">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55EEBD0">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07BE51D">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6B0C02F6">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0ECA393">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E82218">
            <w:pPr>
              <w:pStyle w:val="561"/>
              <w:widowControl w:val="0"/>
              <w:spacing w:before="120" w:after="120" w:line="240" w:lineRule="auto"/>
              <w:ind w:left="31" w:right="4"/>
              <w:rPr>
                <w:color w:val="auto"/>
                <w:highlight w:val="none"/>
                <w:lang w:eastAsia="en-US"/>
              </w:rPr>
            </w:pPr>
            <w:r>
              <w:rPr>
                <w:color w:val="auto"/>
                <w:highlight w:val="none"/>
                <w:lang w:eastAsia="en-US"/>
              </w:rPr>
              <w:t>007</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71A9EB">
            <w:pPr>
              <w:pStyle w:val="561"/>
              <w:widowControl w:val="0"/>
              <w:spacing w:before="120" w:after="120" w:line="240" w:lineRule="auto"/>
              <w:ind w:left="31" w:right="4"/>
              <w:rPr>
                <w:color w:val="auto"/>
                <w:highlight w:val="none"/>
                <w:lang w:eastAsia="en-US"/>
              </w:rPr>
            </w:pPr>
            <w:r>
              <w:rPr>
                <w:color w:val="auto"/>
                <w:highlight w:val="none"/>
                <w:lang w:eastAsia="en-US"/>
              </w:rPr>
              <w:t>给排水泵及消防泵</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9ACEA8B">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97FC687">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9862935">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F44871E">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2D0B9E8">
            <w:pPr>
              <w:pStyle w:val="561"/>
              <w:widowControl w:val="0"/>
              <w:spacing w:before="120" w:after="120" w:line="240" w:lineRule="exact"/>
              <w:ind w:left="31"/>
              <w:rPr>
                <w:color w:val="auto"/>
                <w:highlight w:val="none"/>
                <w:lang w:eastAsia="en-US"/>
              </w:rPr>
            </w:pPr>
            <w:r>
              <w:rPr>
                <w:rFonts w:hint="eastAsia"/>
                <w:color w:val="auto"/>
                <w:highlight w:val="none"/>
                <w:lang w:eastAsia="en-US"/>
              </w:rPr>
              <w:t>M（必审）</w:t>
            </w:r>
          </w:p>
        </w:tc>
      </w:tr>
      <w:tr w14:paraId="317E8E88">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9CEA736">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0820D9B">
            <w:pPr>
              <w:pStyle w:val="561"/>
              <w:widowControl w:val="0"/>
              <w:spacing w:before="120" w:after="120" w:line="240" w:lineRule="auto"/>
              <w:ind w:left="31" w:right="4"/>
              <w:rPr>
                <w:color w:val="auto"/>
                <w:highlight w:val="none"/>
                <w:lang w:eastAsia="en-US"/>
              </w:rPr>
            </w:pPr>
            <w:r>
              <w:rPr>
                <w:color w:val="auto"/>
                <w:highlight w:val="none"/>
                <w:lang w:eastAsia="en-US"/>
              </w:rPr>
              <w:t>008</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8E159C3">
            <w:pPr>
              <w:pStyle w:val="561"/>
              <w:widowControl w:val="0"/>
              <w:spacing w:before="120" w:after="120" w:line="240" w:lineRule="auto"/>
              <w:ind w:left="31" w:right="4"/>
              <w:rPr>
                <w:color w:val="auto"/>
                <w:highlight w:val="none"/>
                <w:lang w:eastAsia="en-US"/>
              </w:rPr>
            </w:pPr>
            <w:r>
              <w:rPr>
                <w:color w:val="auto"/>
                <w:highlight w:val="none"/>
                <w:lang w:eastAsia="en-US"/>
              </w:rPr>
              <w:t>水箱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CE5C170">
            <w:pPr>
              <w:pStyle w:val="561"/>
              <w:widowControl w:val="0"/>
              <w:spacing w:before="120" w:after="120" w:line="239"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2C1317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98C31F5">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AA91D5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22C7E10">
            <w:pPr>
              <w:pStyle w:val="561"/>
              <w:widowControl w:val="0"/>
              <w:spacing w:before="120" w:after="120" w:line="239" w:lineRule="exact"/>
              <w:ind w:left="31"/>
              <w:rPr>
                <w:color w:val="auto"/>
                <w:highlight w:val="none"/>
                <w:lang w:eastAsia="en-US"/>
              </w:rPr>
            </w:pPr>
            <w:r>
              <w:rPr>
                <w:rFonts w:hint="eastAsia"/>
                <w:color w:val="auto"/>
                <w:highlight w:val="none"/>
                <w:lang w:eastAsia="en-US"/>
              </w:rPr>
              <w:t>M（必审）</w:t>
            </w:r>
          </w:p>
        </w:tc>
      </w:tr>
      <w:tr w14:paraId="7B6197EB">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C5A0A2D">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A4B9907">
            <w:pPr>
              <w:pStyle w:val="561"/>
              <w:widowControl w:val="0"/>
              <w:spacing w:before="120" w:after="120" w:line="240" w:lineRule="auto"/>
              <w:ind w:left="31" w:right="4"/>
              <w:rPr>
                <w:color w:val="auto"/>
                <w:highlight w:val="none"/>
                <w:lang w:eastAsia="en-US"/>
              </w:rPr>
            </w:pPr>
            <w:r>
              <w:rPr>
                <w:color w:val="auto"/>
                <w:highlight w:val="none"/>
                <w:lang w:eastAsia="en-US"/>
              </w:rPr>
              <w:t>009</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61A3945">
            <w:pPr>
              <w:pStyle w:val="561"/>
              <w:widowControl w:val="0"/>
              <w:spacing w:before="120" w:after="120" w:line="240" w:lineRule="auto"/>
              <w:ind w:left="31" w:right="4"/>
              <w:rPr>
                <w:color w:val="auto"/>
                <w:highlight w:val="none"/>
                <w:lang w:eastAsia="en-US"/>
              </w:rPr>
            </w:pPr>
            <w:r>
              <w:rPr>
                <w:color w:val="auto"/>
                <w:highlight w:val="none"/>
                <w:lang w:eastAsia="en-US"/>
              </w:rPr>
              <w:t>喷淋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B2169D5">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5C6D3C3">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E9CA334">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45E5281">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5C59B4E">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M（必审）</w:t>
            </w:r>
          </w:p>
        </w:tc>
      </w:tr>
      <w:tr w14:paraId="031F75DE">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605B3E9">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BD156A3">
            <w:pPr>
              <w:pStyle w:val="561"/>
              <w:widowControl w:val="0"/>
              <w:spacing w:before="120" w:after="120" w:line="240" w:lineRule="auto"/>
              <w:ind w:left="31" w:right="4"/>
              <w:rPr>
                <w:color w:val="auto"/>
                <w:highlight w:val="none"/>
                <w:lang w:eastAsia="en-US"/>
              </w:rPr>
            </w:pPr>
            <w:r>
              <w:rPr>
                <w:color w:val="auto"/>
                <w:highlight w:val="none"/>
                <w:lang w:eastAsia="en-US"/>
              </w:rPr>
              <w:t>010</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6B61990">
            <w:pPr>
              <w:pStyle w:val="561"/>
              <w:widowControl w:val="0"/>
              <w:spacing w:before="120" w:after="120" w:line="240" w:lineRule="auto"/>
              <w:ind w:left="31" w:right="4"/>
              <w:rPr>
                <w:color w:val="auto"/>
                <w:highlight w:val="none"/>
                <w:lang w:eastAsia="en-US"/>
              </w:rPr>
            </w:pPr>
            <w:r>
              <w:rPr>
                <w:color w:val="auto"/>
                <w:highlight w:val="none"/>
                <w:lang w:eastAsia="en-US"/>
              </w:rPr>
              <w:t>消火栓</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1942142">
            <w:pPr>
              <w:pStyle w:val="561"/>
              <w:widowControl w:val="0"/>
              <w:spacing w:before="120" w:after="120" w:line="239" w:lineRule="exact"/>
              <w:ind w:left="31"/>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3B92C4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F69BAD1">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B93DD63">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D904DAE">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M（必审）</w:t>
            </w:r>
          </w:p>
        </w:tc>
      </w:tr>
      <w:tr w14:paraId="58B92619">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0E0B607B">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3CA2C45">
            <w:pPr>
              <w:pStyle w:val="561"/>
              <w:widowControl w:val="0"/>
              <w:spacing w:before="120" w:after="120" w:line="240" w:lineRule="exact"/>
              <w:ind w:left="31" w:right="4"/>
              <w:rPr>
                <w:color w:val="auto"/>
                <w:highlight w:val="none"/>
                <w:lang w:eastAsia="en-US"/>
              </w:rPr>
            </w:pPr>
            <w:r>
              <w:rPr>
                <w:rFonts w:hint="eastAsia"/>
                <w:color w:val="auto"/>
                <w:highlight w:val="none"/>
                <w:lang w:eastAsia="en-US"/>
              </w:rPr>
              <w:t>注：M（必审）表示：总协调方必须审核的内容；C（条件必审）表示：实际情况具备时应进行审核的内容；O（可审）表示总协调方可自行判断是否需要审核的内容。</w:t>
            </w:r>
          </w:p>
        </w:tc>
      </w:tr>
    </w:tbl>
    <w:p w14:paraId="4F176B62">
      <w:pPr>
        <w:spacing w:before="120" w:after="120" w:line="312" w:lineRule="auto"/>
        <w:ind w:firstLine="360" w:firstLineChars="0"/>
        <w:rPr>
          <w:rFonts w:cs="Times New Roman"/>
          <w:color w:val="auto"/>
          <w:highlight w:val="none"/>
        </w:rPr>
      </w:pPr>
      <w:r>
        <w:rPr>
          <w:rFonts w:cs="Times New Roman"/>
          <w:color w:val="auto"/>
          <w:highlight w:val="none"/>
        </w:rPr>
        <w:br w:type="page"/>
      </w:r>
    </w:p>
    <w:p w14:paraId="5AEBA929">
      <w:pPr>
        <w:pStyle w:val="584"/>
        <w:spacing w:before="120" w:after="120"/>
        <w:ind w:firstLine="630"/>
        <w:rPr>
          <w:color w:val="auto"/>
          <w:highlight w:val="none"/>
        </w:rPr>
      </w:pPr>
    </w:p>
    <w:p w14:paraId="38CFA919">
      <w:pPr>
        <w:pStyle w:val="584"/>
        <w:spacing w:before="120" w:after="120"/>
        <w:ind w:firstLine="420" w:firstLineChars="200"/>
        <w:rPr>
          <w:color w:val="auto"/>
          <w:highlight w:val="none"/>
        </w:rPr>
      </w:pPr>
      <w:bookmarkStart w:id="338" w:name="_Toc18419"/>
      <w:r>
        <w:rPr>
          <w:color w:val="auto"/>
          <w:highlight w:val="none"/>
        </w:rPr>
        <w:t xml:space="preserve">5 </w:t>
      </w:r>
      <w:r>
        <w:rPr>
          <w:rFonts w:eastAsia="Times New Roman"/>
          <w:color w:val="auto"/>
          <w:highlight w:val="none"/>
        </w:rPr>
        <w:t xml:space="preserve"> </w:t>
      </w:r>
      <w:r>
        <w:rPr>
          <w:color w:val="auto"/>
          <w:highlight w:val="none"/>
        </w:rPr>
        <w:t>电气专业</w:t>
      </w:r>
      <w:bookmarkEnd w:id="338"/>
    </w:p>
    <w:tbl>
      <w:tblPr>
        <w:tblStyle w:val="519"/>
        <w:tblW w:w="4999" w:type="pct"/>
        <w:tblInd w:w="0" w:type="dxa"/>
        <w:tblLayout w:type="autofit"/>
        <w:tblCellMar>
          <w:top w:w="0" w:type="dxa"/>
          <w:left w:w="0" w:type="dxa"/>
          <w:bottom w:w="0" w:type="dxa"/>
          <w:right w:w="0" w:type="dxa"/>
        </w:tblCellMar>
      </w:tblPr>
      <w:tblGrid>
        <w:gridCol w:w="1100"/>
        <w:gridCol w:w="510"/>
        <w:gridCol w:w="1205"/>
        <w:gridCol w:w="2187"/>
        <w:gridCol w:w="2187"/>
        <w:gridCol w:w="2187"/>
        <w:gridCol w:w="2187"/>
        <w:gridCol w:w="1788"/>
      </w:tblGrid>
      <w:tr w14:paraId="683362D9">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FC192C9">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3D2847BD">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42BC11EC">
            <w:pPr>
              <w:pStyle w:val="561"/>
              <w:widowControl w:val="0"/>
              <w:spacing w:before="120" w:after="120" w:line="240" w:lineRule="auto"/>
              <w:ind w:left="31"/>
              <w:rPr>
                <w:rFonts w:ascii="Times New Roman" w:hAnsi="Times New Roman" w:cs="Times New Roman"/>
                <w:color w:val="auto"/>
                <w:szCs w:val="24"/>
                <w:highlight w:val="none"/>
                <w:lang w:eastAsia="en-US"/>
              </w:rPr>
            </w:pPr>
          </w:p>
          <w:p w14:paraId="732B222F">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61C90D7">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30254F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252044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5998950">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B019B3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1AD42684">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065B485E">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15A80467">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8949E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48FB5A0">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8F87DE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5A8FC8F">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750227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34DB166B">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157FBBA3">
            <w:pPr>
              <w:pStyle w:val="561"/>
              <w:widowControl w:val="0"/>
              <w:spacing w:before="120" w:after="120"/>
              <w:ind w:left="31" w:right="4"/>
              <w:rPr>
                <w:color w:val="auto"/>
                <w:highlight w:val="none"/>
                <w:lang w:eastAsia="en-US"/>
              </w:rPr>
            </w:pPr>
            <w:r>
              <w:rPr>
                <w:rFonts w:hint="eastAsia"/>
                <w:color w:val="auto"/>
                <w:highlight w:val="none"/>
                <w:lang w:eastAsia="en-US"/>
              </w:rPr>
              <w:t>电气</w:t>
            </w: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509B386">
            <w:pPr>
              <w:pStyle w:val="561"/>
              <w:widowControl w:val="0"/>
              <w:spacing w:before="120" w:after="120"/>
              <w:ind w:left="31" w:right="4"/>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B226C45">
            <w:pPr>
              <w:pStyle w:val="561"/>
              <w:widowControl w:val="0"/>
              <w:spacing w:before="120" w:after="120" w:line="240" w:lineRule="auto"/>
              <w:ind w:left="31" w:right="4"/>
              <w:rPr>
                <w:color w:val="auto"/>
                <w:highlight w:val="none"/>
                <w:lang w:eastAsia="en-US"/>
              </w:rPr>
            </w:pPr>
            <w:r>
              <w:rPr>
                <w:color w:val="auto"/>
                <w:highlight w:val="none"/>
                <w:lang w:eastAsia="en-US"/>
              </w:rPr>
              <w:t>强电线槽</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E4B78D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7ABFA2F">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1715698">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6F345E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BBBA194">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7CD80D7A">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801A75B">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3CE155E">
            <w:pPr>
              <w:pStyle w:val="561"/>
              <w:widowControl w:val="0"/>
              <w:spacing w:before="120" w:after="120"/>
              <w:ind w:left="31" w:right="4"/>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8175E75">
            <w:pPr>
              <w:pStyle w:val="561"/>
              <w:widowControl w:val="0"/>
              <w:spacing w:before="120" w:after="120" w:line="240" w:lineRule="auto"/>
              <w:ind w:left="31" w:right="4"/>
              <w:rPr>
                <w:color w:val="auto"/>
                <w:highlight w:val="none"/>
                <w:lang w:eastAsia="en-US"/>
              </w:rPr>
            </w:pPr>
            <w:r>
              <w:rPr>
                <w:color w:val="auto"/>
                <w:highlight w:val="none"/>
                <w:lang w:eastAsia="en-US"/>
              </w:rPr>
              <w:t>变压器</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A22997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87AD1F5">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27AA2C9">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70854AA">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BB86D4">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409A41BD">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056D7A0">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7F18446">
            <w:pPr>
              <w:pStyle w:val="561"/>
              <w:widowControl w:val="0"/>
              <w:spacing w:before="120" w:after="120"/>
              <w:ind w:left="31" w:right="4"/>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497F9C">
            <w:pPr>
              <w:pStyle w:val="561"/>
              <w:widowControl w:val="0"/>
              <w:spacing w:before="120" w:after="120" w:line="240" w:lineRule="auto"/>
              <w:ind w:left="31" w:right="4"/>
              <w:rPr>
                <w:color w:val="auto"/>
                <w:highlight w:val="none"/>
                <w:lang w:eastAsia="en-US"/>
              </w:rPr>
            </w:pPr>
            <w:r>
              <w:rPr>
                <w:color w:val="auto"/>
                <w:highlight w:val="none"/>
                <w:lang w:eastAsia="en-US"/>
              </w:rPr>
              <w:t>配电箱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00AA6A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1ED7805">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A78B7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F10599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DAC2018">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6ACB1A2E">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7EC9E910">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CCCA351">
            <w:pPr>
              <w:pStyle w:val="561"/>
              <w:widowControl w:val="0"/>
              <w:spacing w:before="120" w:after="120" w:line="240" w:lineRule="auto"/>
              <w:ind w:left="31" w:right="4"/>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D185D4B">
            <w:pPr>
              <w:pStyle w:val="561"/>
              <w:widowControl w:val="0"/>
              <w:spacing w:before="120" w:after="120" w:line="240" w:lineRule="auto"/>
              <w:ind w:left="31" w:right="4"/>
              <w:rPr>
                <w:color w:val="auto"/>
                <w:highlight w:val="none"/>
                <w:lang w:eastAsia="en-US"/>
              </w:rPr>
            </w:pPr>
            <w:r>
              <w:rPr>
                <w:color w:val="auto"/>
                <w:highlight w:val="none"/>
                <w:lang w:eastAsia="en-US"/>
              </w:rPr>
              <w:t>控制柜</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797B143">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6849DAC">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5F8F05A">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00CFB54">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23B4AE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6ACE7AE8">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05C07CC">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CDCD4F6">
            <w:pPr>
              <w:pStyle w:val="561"/>
              <w:widowControl w:val="0"/>
              <w:spacing w:before="120" w:after="120" w:line="240" w:lineRule="auto"/>
              <w:ind w:left="31" w:right="4"/>
              <w:rPr>
                <w:color w:val="auto"/>
                <w:highlight w:val="none"/>
                <w:lang w:eastAsia="en-US"/>
              </w:rPr>
            </w:pPr>
            <w:r>
              <w:rPr>
                <w:color w:val="auto"/>
                <w:highlight w:val="none"/>
                <w:lang w:eastAsia="en-US"/>
              </w:rPr>
              <w:t>005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9DDB8BD">
            <w:pPr>
              <w:pStyle w:val="561"/>
              <w:widowControl w:val="0"/>
              <w:spacing w:before="120" w:after="120" w:line="240" w:lineRule="auto"/>
              <w:ind w:left="31" w:right="4"/>
              <w:rPr>
                <w:color w:val="auto"/>
                <w:highlight w:val="none"/>
                <w:lang w:eastAsia="en-US"/>
              </w:rPr>
            </w:pPr>
            <w:r>
              <w:rPr>
                <w:color w:val="auto"/>
                <w:highlight w:val="none"/>
                <w:lang w:eastAsia="en-US"/>
              </w:rPr>
              <w:t>灯具</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34975A4">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8BAF57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42802F1">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1392E6E">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277F024">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4BCA96FA">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EE01F9E">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AE07E84">
            <w:pPr>
              <w:pStyle w:val="561"/>
              <w:widowControl w:val="0"/>
              <w:spacing w:before="120" w:after="120" w:line="240" w:lineRule="auto"/>
              <w:ind w:left="31" w:right="4"/>
              <w:rPr>
                <w:color w:val="auto"/>
                <w:highlight w:val="none"/>
                <w:lang w:eastAsia="en-US"/>
              </w:rPr>
            </w:pPr>
            <w:r>
              <w:rPr>
                <w:color w:val="auto"/>
                <w:highlight w:val="none"/>
                <w:lang w:eastAsia="en-US"/>
              </w:rPr>
              <w:t>006</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AD0F0FD">
            <w:pPr>
              <w:pStyle w:val="561"/>
              <w:widowControl w:val="0"/>
              <w:spacing w:before="120" w:after="120" w:line="240" w:lineRule="auto"/>
              <w:ind w:left="31" w:right="4"/>
              <w:rPr>
                <w:color w:val="auto"/>
                <w:highlight w:val="none"/>
                <w:lang w:eastAsia="en-US"/>
              </w:rPr>
            </w:pPr>
            <w:r>
              <w:rPr>
                <w:color w:val="auto"/>
                <w:highlight w:val="none"/>
                <w:lang w:eastAsia="en-US"/>
              </w:rPr>
              <w:t>插座</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FA7AE95">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94204D9">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DB7F956">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0893F8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07A4171">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133E64C8">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1CFF584">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2840F4F">
            <w:pPr>
              <w:pStyle w:val="561"/>
              <w:widowControl w:val="0"/>
              <w:spacing w:before="120" w:after="120" w:line="240" w:lineRule="auto"/>
              <w:ind w:left="31" w:right="4"/>
              <w:rPr>
                <w:color w:val="auto"/>
                <w:highlight w:val="none"/>
                <w:lang w:eastAsia="en-US"/>
              </w:rPr>
            </w:pPr>
            <w:r>
              <w:rPr>
                <w:color w:val="auto"/>
                <w:highlight w:val="none"/>
                <w:lang w:eastAsia="en-US"/>
              </w:rPr>
              <w:t>007</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816BB25">
            <w:pPr>
              <w:pStyle w:val="561"/>
              <w:widowControl w:val="0"/>
              <w:spacing w:before="120" w:after="120" w:line="240" w:lineRule="auto"/>
              <w:ind w:left="31" w:right="4"/>
              <w:rPr>
                <w:color w:val="auto"/>
                <w:highlight w:val="none"/>
                <w:lang w:eastAsia="en-US"/>
              </w:rPr>
            </w:pPr>
            <w:r>
              <w:rPr>
                <w:color w:val="auto"/>
                <w:highlight w:val="none"/>
                <w:lang w:eastAsia="en-US"/>
              </w:rPr>
              <w:t>弱电线槽</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CA127A7">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64CED9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1611917">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455DF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EE3CCB5">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79F7020E">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66A3A7D">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5630EA8">
            <w:pPr>
              <w:pStyle w:val="561"/>
              <w:widowControl w:val="0"/>
              <w:spacing w:before="120" w:after="120" w:line="240" w:lineRule="auto"/>
              <w:ind w:left="31" w:right="4"/>
              <w:rPr>
                <w:color w:val="auto"/>
                <w:highlight w:val="none"/>
                <w:lang w:eastAsia="en-US"/>
              </w:rPr>
            </w:pPr>
            <w:r>
              <w:rPr>
                <w:color w:val="auto"/>
                <w:highlight w:val="none"/>
                <w:lang w:eastAsia="en-US"/>
              </w:rPr>
              <w:t>008</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E9532E2">
            <w:pPr>
              <w:pStyle w:val="561"/>
              <w:widowControl w:val="0"/>
              <w:spacing w:before="120" w:after="120" w:line="240" w:lineRule="auto"/>
              <w:ind w:left="31" w:right="4"/>
              <w:rPr>
                <w:color w:val="auto"/>
                <w:highlight w:val="none"/>
                <w:lang w:eastAsia="en-US"/>
              </w:rPr>
            </w:pPr>
            <w:r>
              <w:rPr>
                <w:color w:val="auto"/>
                <w:highlight w:val="none"/>
                <w:lang w:eastAsia="en-US"/>
              </w:rPr>
              <w:t>音箱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842810">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B9D053F">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198F62F">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B1196E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11E4008">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7C3AD327">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232A4C6">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13BC12">
            <w:pPr>
              <w:pStyle w:val="561"/>
              <w:widowControl w:val="0"/>
              <w:spacing w:before="120" w:after="120" w:line="240" w:lineRule="auto"/>
              <w:ind w:left="31" w:right="4"/>
              <w:rPr>
                <w:color w:val="auto"/>
                <w:highlight w:val="none"/>
                <w:lang w:eastAsia="en-US"/>
              </w:rPr>
            </w:pPr>
            <w:r>
              <w:rPr>
                <w:color w:val="auto"/>
                <w:highlight w:val="none"/>
                <w:lang w:eastAsia="en-US"/>
              </w:rPr>
              <w:t>009</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BC31117">
            <w:pPr>
              <w:pStyle w:val="561"/>
              <w:widowControl w:val="0"/>
              <w:spacing w:before="120" w:after="120" w:line="240" w:lineRule="auto"/>
              <w:ind w:left="31" w:right="4"/>
              <w:rPr>
                <w:color w:val="auto"/>
                <w:highlight w:val="none"/>
                <w:lang w:eastAsia="en-US"/>
              </w:rPr>
            </w:pPr>
            <w:r>
              <w:rPr>
                <w:color w:val="auto"/>
                <w:highlight w:val="none"/>
                <w:lang w:eastAsia="en-US"/>
              </w:rPr>
              <w:t>信息点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A6D9487">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8348B9C">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9AE8ACF">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C086668">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C1A127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0EAD2E9E">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5417CAE5">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10C8867">
            <w:pPr>
              <w:pStyle w:val="561"/>
              <w:widowControl w:val="0"/>
              <w:spacing w:before="120" w:after="120" w:line="240" w:lineRule="auto"/>
              <w:ind w:left="31" w:right="4"/>
              <w:rPr>
                <w:color w:val="auto"/>
                <w:highlight w:val="none"/>
                <w:lang w:eastAsia="en-US"/>
              </w:rPr>
            </w:pPr>
            <w:r>
              <w:rPr>
                <w:color w:val="auto"/>
                <w:highlight w:val="none"/>
                <w:lang w:eastAsia="en-US"/>
              </w:rPr>
              <w:t>010</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AAA1015">
            <w:pPr>
              <w:pStyle w:val="561"/>
              <w:widowControl w:val="0"/>
              <w:spacing w:before="120" w:after="120" w:line="240" w:lineRule="auto"/>
              <w:ind w:left="31" w:right="4"/>
              <w:rPr>
                <w:color w:val="auto"/>
                <w:highlight w:val="none"/>
                <w:lang w:eastAsia="en-US"/>
              </w:rPr>
            </w:pPr>
            <w:r>
              <w:rPr>
                <w:color w:val="auto"/>
                <w:highlight w:val="none"/>
                <w:lang w:eastAsia="en-US"/>
              </w:rPr>
              <w:t>强电线槽</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3BAD66F">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D7D4EC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564DF63">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49C112C">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E3F8F27">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674DAB28">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AD292E5">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19240BB">
            <w:pPr>
              <w:pStyle w:val="561"/>
              <w:widowControl w:val="0"/>
              <w:spacing w:before="120" w:after="120" w:line="240" w:lineRule="auto"/>
              <w:ind w:left="31" w:right="4"/>
              <w:rPr>
                <w:color w:val="auto"/>
                <w:highlight w:val="none"/>
                <w:lang w:eastAsia="en-US"/>
              </w:rPr>
            </w:pPr>
            <w:r>
              <w:rPr>
                <w:color w:val="auto"/>
                <w:highlight w:val="none"/>
                <w:lang w:eastAsia="en-US"/>
              </w:rPr>
              <w:t>011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1C38591">
            <w:pPr>
              <w:pStyle w:val="561"/>
              <w:widowControl w:val="0"/>
              <w:spacing w:before="120" w:after="120" w:line="240" w:lineRule="auto"/>
              <w:ind w:left="31" w:right="4"/>
              <w:rPr>
                <w:color w:val="auto"/>
                <w:highlight w:val="none"/>
                <w:lang w:eastAsia="en-US"/>
              </w:rPr>
            </w:pPr>
            <w:r>
              <w:rPr>
                <w:color w:val="auto"/>
                <w:highlight w:val="none"/>
                <w:lang w:eastAsia="en-US"/>
              </w:rPr>
              <w:t>摄像机</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D286E43">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0BFE99A">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C4F59D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A26EF7F">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4077B2F">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24B73E51">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4EC65D0">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DC1C413">
            <w:pPr>
              <w:pStyle w:val="561"/>
              <w:widowControl w:val="0"/>
              <w:spacing w:before="120" w:after="120" w:line="240" w:lineRule="auto"/>
              <w:ind w:left="31" w:right="4"/>
              <w:rPr>
                <w:color w:val="auto"/>
                <w:highlight w:val="none"/>
                <w:lang w:eastAsia="en-US"/>
              </w:rPr>
            </w:pPr>
            <w:r>
              <w:rPr>
                <w:color w:val="auto"/>
                <w:highlight w:val="none"/>
                <w:lang w:eastAsia="en-US"/>
              </w:rPr>
              <w:t>012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B4C1506">
            <w:pPr>
              <w:pStyle w:val="561"/>
              <w:widowControl w:val="0"/>
              <w:spacing w:before="120" w:after="120" w:line="240" w:lineRule="auto"/>
              <w:ind w:left="31" w:right="4"/>
              <w:rPr>
                <w:color w:val="auto"/>
                <w:highlight w:val="none"/>
                <w:lang w:eastAsia="en-US"/>
              </w:rPr>
            </w:pPr>
            <w:r>
              <w:rPr>
                <w:color w:val="auto"/>
                <w:highlight w:val="none"/>
                <w:lang w:eastAsia="en-US"/>
              </w:rPr>
              <w:t>探测器</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5FF566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678BF43">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801EE0A">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CCD432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147F4C9">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0DD122F9">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7875B279">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DA19659">
            <w:pPr>
              <w:pStyle w:val="561"/>
              <w:widowControl w:val="0"/>
              <w:spacing w:before="120" w:after="120" w:line="240" w:lineRule="auto"/>
              <w:ind w:left="31" w:right="4"/>
              <w:rPr>
                <w:color w:val="auto"/>
                <w:highlight w:val="none"/>
                <w:lang w:eastAsia="en-US"/>
              </w:rPr>
            </w:pPr>
            <w:r>
              <w:rPr>
                <w:color w:val="auto"/>
                <w:highlight w:val="none"/>
                <w:lang w:eastAsia="en-US"/>
              </w:rPr>
              <w:t>013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D88BED8">
            <w:pPr>
              <w:pStyle w:val="561"/>
              <w:widowControl w:val="0"/>
              <w:spacing w:before="120" w:after="120" w:line="240" w:lineRule="auto"/>
              <w:ind w:left="31" w:right="4"/>
              <w:rPr>
                <w:color w:val="auto"/>
                <w:highlight w:val="none"/>
                <w:lang w:eastAsia="en-US"/>
              </w:rPr>
            </w:pPr>
            <w:r>
              <w:rPr>
                <w:color w:val="auto"/>
                <w:highlight w:val="none"/>
                <w:lang w:eastAsia="en-US"/>
              </w:rPr>
              <w:t>接线箱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B271203">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794A52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491803A">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89609DC">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4F431F4">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21C7F7DB">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76705245">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6B0831">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注：M（必审）表示：总协调方必须审核的内容；C（条件必审）表示：实际情况具备时应进行审核的内容；O（可审）表示总协调方可自行判断是否需要审核的内容。</w:t>
            </w:r>
          </w:p>
        </w:tc>
      </w:tr>
    </w:tbl>
    <w:p w14:paraId="15F656CC">
      <w:pPr>
        <w:pStyle w:val="584"/>
        <w:spacing w:before="120" w:after="120"/>
        <w:ind w:firstLine="630"/>
        <w:rPr>
          <w:color w:val="auto"/>
          <w:highlight w:val="none"/>
        </w:rPr>
      </w:pPr>
    </w:p>
    <w:p w14:paraId="5BC90CEE">
      <w:pPr>
        <w:spacing w:before="120" w:after="120" w:line="312" w:lineRule="auto"/>
        <w:ind w:firstLine="360" w:firstLineChars="0"/>
        <w:rPr>
          <w:rFonts w:cs="Times New Roman"/>
          <w:color w:val="auto"/>
          <w:highlight w:val="none"/>
        </w:rPr>
      </w:pPr>
      <w:r>
        <w:rPr>
          <w:rFonts w:cs="Times New Roman"/>
          <w:color w:val="auto"/>
          <w:highlight w:val="none"/>
        </w:rPr>
        <w:br w:type="page"/>
      </w:r>
    </w:p>
    <w:p w14:paraId="6BDD0FDC">
      <w:pPr>
        <w:pStyle w:val="584"/>
        <w:spacing w:before="120" w:after="120"/>
        <w:ind w:firstLine="630"/>
        <w:rPr>
          <w:color w:val="auto"/>
          <w:highlight w:val="none"/>
        </w:rPr>
      </w:pPr>
    </w:p>
    <w:p w14:paraId="39CCE8AC">
      <w:pPr>
        <w:pStyle w:val="584"/>
        <w:spacing w:before="120" w:after="120"/>
        <w:ind w:firstLine="420" w:firstLineChars="200"/>
        <w:rPr>
          <w:color w:val="auto"/>
          <w:highlight w:val="none"/>
        </w:rPr>
      </w:pPr>
      <w:bookmarkStart w:id="339" w:name="_Toc2927"/>
      <w:r>
        <w:rPr>
          <w:color w:val="auto"/>
          <w:highlight w:val="none"/>
        </w:rPr>
        <w:t>6  室外管线专业</w:t>
      </w:r>
      <w:bookmarkEnd w:id="339"/>
    </w:p>
    <w:tbl>
      <w:tblPr>
        <w:tblStyle w:val="519"/>
        <w:tblW w:w="4999" w:type="pct"/>
        <w:tblInd w:w="0" w:type="dxa"/>
        <w:tblLayout w:type="autofit"/>
        <w:tblCellMar>
          <w:top w:w="0" w:type="dxa"/>
          <w:left w:w="0" w:type="dxa"/>
          <w:bottom w:w="0" w:type="dxa"/>
          <w:right w:w="0" w:type="dxa"/>
        </w:tblCellMar>
      </w:tblPr>
      <w:tblGrid>
        <w:gridCol w:w="1100"/>
        <w:gridCol w:w="510"/>
        <w:gridCol w:w="1205"/>
        <w:gridCol w:w="2187"/>
        <w:gridCol w:w="2187"/>
        <w:gridCol w:w="2187"/>
        <w:gridCol w:w="2187"/>
        <w:gridCol w:w="1788"/>
      </w:tblGrid>
      <w:tr w14:paraId="39EDFC80">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FE461B">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5A2740F4">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4FCAFE44">
            <w:pPr>
              <w:pStyle w:val="561"/>
              <w:widowControl w:val="0"/>
              <w:spacing w:before="120" w:after="120" w:line="240" w:lineRule="auto"/>
              <w:ind w:left="31"/>
              <w:rPr>
                <w:rFonts w:ascii="Times New Roman" w:hAnsi="Times New Roman" w:cs="Times New Roman"/>
                <w:color w:val="auto"/>
                <w:szCs w:val="24"/>
                <w:highlight w:val="none"/>
                <w:lang w:eastAsia="en-US"/>
              </w:rPr>
            </w:pPr>
          </w:p>
          <w:p w14:paraId="1A4CF167">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6F405C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A7A35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FC58EBA">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DE87FB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FA0754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04C08621">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0C033DFE">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4A82E882">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2F18074">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2B1DAC6">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1D38DEB">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8B687AA">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0331C0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129953D2">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6AB0D0EE">
            <w:pPr>
              <w:pStyle w:val="561"/>
              <w:widowControl w:val="0"/>
              <w:spacing w:before="120" w:after="120"/>
              <w:ind w:left="31" w:right="4"/>
              <w:rPr>
                <w:color w:val="auto"/>
                <w:highlight w:val="none"/>
                <w:lang w:eastAsia="en-US"/>
              </w:rPr>
            </w:pPr>
            <w:r>
              <w:rPr>
                <w:rFonts w:hint="eastAsia"/>
                <w:color w:val="auto"/>
                <w:highlight w:val="none"/>
                <w:lang w:eastAsia="en-US"/>
              </w:rPr>
              <w:t>室外管线</w:t>
            </w: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5719515">
            <w:pPr>
              <w:pStyle w:val="561"/>
              <w:widowControl w:val="0"/>
              <w:spacing w:before="120" w:after="120"/>
              <w:ind w:left="31" w:right="4"/>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D463CE1">
            <w:pPr>
              <w:pStyle w:val="561"/>
              <w:widowControl w:val="0"/>
              <w:spacing w:before="120" w:after="120"/>
              <w:ind w:left="31" w:right="4"/>
              <w:rPr>
                <w:color w:val="auto"/>
                <w:highlight w:val="none"/>
                <w:lang w:eastAsia="en-US"/>
              </w:rPr>
            </w:pPr>
            <w:r>
              <w:rPr>
                <w:color w:val="auto"/>
                <w:highlight w:val="none"/>
                <w:lang w:eastAsia="en-US"/>
              </w:rPr>
              <w:t>市政给水</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8D283BD">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3F6D7DC">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1A227E2">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207B1DE">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93493AE">
            <w:pPr>
              <w:pStyle w:val="561"/>
              <w:widowControl w:val="0"/>
              <w:spacing w:before="120" w:after="120"/>
              <w:ind w:left="31" w:right="4"/>
              <w:rPr>
                <w:color w:val="auto"/>
                <w:highlight w:val="none"/>
                <w:lang w:eastAsia="en-US"/>
              </w:rPr>
            </w:pPr>
            <w:r>
              <w:rPr>
                <w:rFonts w:hint="eastAsia"/>
                <w:color w:val="auto"/>
                <w:highlight w:val="none"/>
                <w:lang w:eastAsia="en-US"/>
              </w:rPr>
              <w:t>M（必审）</w:t>
            </w:r>
          </w:p>
        </w:tc>
      </w:tr>
      <w:tr w14:paraId="4764EF05">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1075712">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5C9F5CA">
            <w:pPr>
              <w:pStyle w:val="561"/>
              <w:widowControl w:val="0"/>
              <w:spacing w:before="120" w:after="120"/>
              <w:ind w:left="31" w:right="4"/>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687F60E">
            <w:pPr>
              <w:pStyle w:val="561"/>
              <w:widowControl w:val="0"/>
              <w:spacing w:before="120" w:after="120"/>
              <w:ind w:left="31" w:right="4"/>
              <w:rPr>
                <w:color w:val="auto"/>
                <w:highlight w:val="none"/>
                <w:lang w:eastAsia="en-US"/>
              </w:rPr>
            </w:pPr>
            <w:r>
              <w:rPr>
                <w:color w:val="auto"/>
                <w:highlight w:val="none"/>
                <w:lang w:eastAsia="en-US"/>
              </w:rPr>
              <w:t>市政排水</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175D47">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EDEAEA5">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27B8B68">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CD8D3DF">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25AFF25">
            <w:pPr>
              <w:pStyle w:val="561"/>
              <w:widowControl w:val="0"/>
              <w:spacing w:before="120" w:after="120"/>
              <w:ind w:left="31" w:right="4"/>
              <w:rPr>
                <w:color w:val="auto"/>
                <w:highlight w:val="none"/>
                <w:lang w:eastAsia="en-US"/>
              </w:rPr>
            </w:pPr>
            <w:r>
              <w:rPr>
                <w:rFonts w:hint="eastAsia"/>
                <w:color w:val="auto"/>
                <w:highlight w:val="none"/>
                <w:lang w:eastAsia="en-US"/>
              </w:rPr>
              <w:t>M（必审）</w:t>
            </w:r>
          </w:p>
        </w:tc>
      </w:tr>
      <w:tr w14:paraId="08EC7CFC">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72D23007">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E1EF604">
            <w:pPr>
              <w:pStyle w:val="561"/>
              <w:widowControl w:val="0"/>
              <w:spacing w:before="120" w:after="120"/>
              <w:ind w:left="31" w:right="4"/>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D30818B">
            <w:pPr>
              <w:pStyle w:val="561"/>
              <w:widowControl w:val="0"/>
              <w:spacing w:before="120" w:after="120"/>
              <w:ind w:left="31" w:right="4"/>
              <w:rPr>
                <w:color w:val="auto"/>
                <w:highlight w:val="none"/>
                <w:lang w:eastAsia="en-US"/>
              </w:rPr>
            </w:pPr>
            <w:r>
              <w:rPr>
                <w:color w:val="auto"/>
                <w:highlight w:val="none"/>
                <w:lang w:eastAsia="en-US"/>
              </w:rPr>
              <w:t>市政供电</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C1E1830">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D677414">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28AC77C">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E1F5FD1">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6247FE2">
            <w:pPr>
              <w:pStyle w:val="561"/>
              <w:widowControl w:val="0"/>
              <w:spacing w:before="120" w:after="120"/>
              <w:ind w:left="31" w:right="4"/>
              <w:rPr>
                <w:color w:val="auto"/>
                <w:highlight w:val="none"/>
                <w:lang w:eastAsia="en-US"/>
              </w:rPr>
            </w:pPr>
            <w:r>
              <w:rPr>
                <w:rFonts w:hint="eastAsia"/>
                <w:color w:val="auto"/>
                <w:highlight w:val="none"/>
                <w:lang w:eastAsia="en-US"/>
              </w:rPr>
              <w:t>M（必审）</w:t>
            </w:r>
          </w:p>
        </w:tc>
      </w:tr>
      <w:tr w14:paraId="222DFC42">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7282F1A">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13E8546">
            <w:pPr>
              <w:pStyle w:val="561"/>
              <w:widowControl w:val="0"/>
              <w:spacing w:before="120" w:after="120" w:line="240" w:lineRule="auto"/>
              <w:ind w:left="31" w:right="4"/>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746565C">
            <w:pPr>
              <w:pStyle w:val="561"/>
              <w:widowControl w:val="0"/>
              <w:spacing w:before="120" w:after="120"/>
              <w:ind w:left="31" w:right="4"/>
              <w:rPr>
                <w:color w:val="auto"/>
                <w:highlight w:val="none"/>
                <w:lang w:eastAsia="en-US"/>
              </w:rPr>
            </w:pPr>
            <w:r>
              <w:rPr>
                <w:color w:val="auto"/>
                <w:highlight w:val="none"/>
                <w:lang w:eastAsia="en-US"/>
              </w:rPr>
              <w:t>市政通讯</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EA485B0">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61C8CED">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E82466E">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B364367">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EE7B00E">
            <w:pPr>
              <w:pStyle w:val="561"/>
              <w:widowControl w:val="0"/>
              <w:spacing w:before="120" w:after="120"/>
              <w:ind w:left="31" w:right="4"/>
              <w:rPr>
                <w:color w:val="auto"/>
                <w:highlight w:val="none"/>
                <w:lang w:eastAsia="en-US"/>
              </w:rPr>
            </w:pPr>
            <w:r>
              <w:rPr>
                <w:rFonts w:hint="eastAsia"/>
                <w:color w:val="auto"/>
                <w:highlight w:val="none"/>
                <w:lang w:eastAsia="en-US"/>
              </w:rPr>
              <w:t>M（必审）</w:t>
            </w:r>
          </w:p>
        </w:tc>
      </w:tr>
      <w:tr w14:paraId="6EA2A4F6">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21C2CCCE">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3CA06FB">
            <w:pPr>
              <w:pStyle w:val="561"/>
              <w:widowControl w:val="0"/>
              <w:spacing w:before="120" w:after="120" w:line="240" w:lineRule="auto"/>
              <w:ind w:left="31" w:right="4"/>
              <w:rPr>
                <w:color w:val="auto"/>
                <w:highlight w:val="none"/>
                <w:lang w:eastAsia="en-US"/>
              </w:rPr>
            </w:pPr>
            <w:r>
              <w:rPr>
                <w:color w:val="auto"/>
                <w:highlight w:val="none"/>
                <w:lang w:eastAsia="en-US"/>
              </w:rPr>
              <w:t>005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EA2E123">
            <w:pPr>
              <w:pStyle w:val="561"/>
              <w:widowControl w:val="0"/>
              <w:spacing w:before="120" w:after="120"/>
              <w:ind w:left="31" w:right="4"/>
              <w:rPr>
                <w:color w:val="auto"/>
                <w:highlight w:val="none"/>
                <w:lang w:eastAsia="en-US"/>
              </w:rPr>
            </w:pPr>
            <w:r>
              <w:rPr>
                <w:color w:val="auto"/>
                <w:highlight w:val="none"/>
                <w:lang w:eastAsia="en-US"/>
              </w:rPr>
              <w:t>市政燃气</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3F6D472">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8DB0829">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FEB9277">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300E24F">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E7610DE">
            <w:pPr>
              <w:pStyle w:val="561"/>
              <w:widowControl w:val="0"/>
              <w:spacing w:before="120" w:after="120"/>
              <w:ind w:left="31" w:right="4"/>
              <w:rPr>
                <w:color w:val="auto"/>
                <w:highlight w:val="none"/>
                <w:lang w:eastAsia="en-US"/>
              </w:rPr>
            </w:pPr>
            <w:r>
              <w:rPr>
                <w:rFonts w:hint="eastAsia"/>
                <w:color w:val="auto"/>
                <w:highlight w:val="none"/>
                <w:lang w:eastAsia="en-US"/>
              </w:rPr>
              <w:t>M（必审）</w:t>
            </w:r>
          </w:p>
        </w:tc>
      </w:tr>
      <w:tr w14:paraId="0EA5F122">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B57A7C3">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90A38D6">
            <w:pPr>
              <w:pStyle w:val="561"/>
              <w:widowControl w:val="0"/>
              <w:spacing w:before="120" w:after="120" w:line="240" w:lineRule="auto"/>
              <w:ind w:left="31" w:right="4"/>
              <w:rPr>
                <w:color w:val="auto"/>
                <w:highlight w:val="none"/>
                <w:lang w:eastAsia="en-US"/>
              </w:rPr>
            </w:pPr>
            <w:r>
              <w:rPr>
                <w:color w:val="auto"/>
                <w:highlight w:val="none"/>
                <w:lang w:eastAsia="en-US"/>
              </w:rPr>
              <w:t>006</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BDCE1F3">
            <w:pPr>
              <w:pStyle w:val="561"/>
              <w:widowControl w:val="0"/>
              <w:spacing w:before="120" w:after="120"/>
              <w:ind w:left="31" w:right="4"/>
              <w:rPr>
                <w:color w:val="auto"/>
                <w:highlight w:val="none"/>
                <w:lang w:eastAsia="en-US"/>
              </w:rPr>
            </w:pPr>
            <w:r>
              <w:rPr>
                <w:color w:val="auto"/>
                <w:highlight w:val="none"/>
                <w:lang w:eastAsia="en-US"/>
              </w:rPr>
              <w:t>市政蒸汽</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445754E">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ED35B15">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69F6E6A">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78802F9">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F2601B3">
            <w:pPr>
              <w:pStyle w:val="561"/>
              <w:widowControl w:val="0"/>
              <w:spacing w:before="120" w:after="120"/>
              <w:ind w:left="31" w:right="4"/>
              <w:rPr>
                <w:color w:val="auto"/>
                <w:highlight w:val="none"/>
                <w:lang w:eastAsia="en-US"/>
              </w:rPr>
            </w:pPr>
            <w:r>
              <w:rPr>
                <w:rFonts w:hint="eastAsia"/>
                <w:color w:val="auto"/>
                <w:highlight w:val="none"/>
                <w:lang w:eastAsia="en-US"/>
              </w:rPr>
              <w:t>M（必审）</w:t>
            </w:r>
          </w:p>
        </w:tc>
      </w:tr>
      <w:tr w14:paraId="7FC0BDD9">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6682BDF">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06A364E">
            <w:pPr>
              <w:pStyle w:val="561"/>
              <w:widowControl w:val="0"/>
              <w:spacing w:before="120" w:after="120" w:line="240" w:lineRule="auto"/>
              <w:ind w:left="31" w:right="4"/>
              <w:rPr>
                <w:color w:val="auto"/>
                <w:highlight w:val="none"/>
                <w:lang w:eastAsia="en-US"/>
              </w:rPr>
            </w:pPr>
            <w:r>
              <w:rPr>
                <w:color w:val="auto"/>
                <w:highlight w:val="none"/>
                <w:lang w:eastAsia="en-US"/>
              </w:rPr>
              <w:t>007</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A4748D1">
            <w:pPr>
              <w:pStyle w:val="561"/>
              <w:widowControl w:val="0"/>
              <w:spacing w:before="120" w:after="120"/>
              <w:ind w:left="31" w:right="4"/>
              <w:rPr>
                <w:color w:val="auto"/>
                <w:highlight w:val="none"/>
                <w:lang w:eastAsia="en-US"/>
              </w:rPr>
            </w:pPr>
            <w:r>
              <w:rPr>
                <w:color w:val="auto"/>
                <w:highlight w:val="none"/>
                <w:lang w:eastAsia="en-US"/>
              </w:rPr>
              <w:t>设备构筑物</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71D8D5C">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ADFEE3F">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7E0A07">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A158D4F">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92536EB">
            <w:pPr>
              <w:pStyle w:val="561"/>
              <w:widowControl w:val="0"/>
              <w:spacing w:before="120" w:after="120"/>
              <w:ind w:left="31" w:right="4"/>
              <w:rPr>
                <w:color w:val="auto"/>
                <w:highlight w:val="none"/>
                <w:lang w:eastAsia="en-US"/>
              </w:rPr>
            </w:pPr>
            <w:r>
              <w:rPr>
                <w:rFonts w:hint="eastAsia"/>
                <w:color w:val="auto"/>
                <w:highlight w:val="none"/>
                <w:lang w:eastAsia="en-US"/>
              </w:rPr>
              <w:t>M（必审）</w:t>
            </w:r>
          </w:p>
        </w:tc>
      </w:tr>
      <w:tr w14:paraId="18F1E67C">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502FB28A">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B2FB616">
            <w:pPr>
              <w:pStyle w:val="561"/>
              <w:widowControl w:val="0"/>
              <w:spacing w:before="120" w:after="120" w:line="240" w:lineRule="auto"/>
              <w:ind w:left="31" w:right="4"/>
              <w:rPr>
                <w:color w:val="auto"/>
                <w:highlight w:val="none"/>
                <w:lang w:eastAsia="en-US"/>
              </w:rPr>
            </w:pPr>
            <w:r>
              <w:rPr>
                <w:color w:val="auto"/>
                <w:highlight w:val="none"/>
                <w:lang w:eastAsia="en-US"/>
              </w:rPr>
              <w:t>008</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ED1ACCC">
            <w:pPr>
              <w:pStyle w:val="561"/>
              <w:widowControl w:val="0"/>
              <w:spacing w:before="120" w:after="120" w:line="240" w:lineRule="auto"/>
              <w:ind w:left="31" w:right="4"/>
              <w:rPr>
                <w:color w:val="auto"/>
                <w:highlight w:val="none"/>
                <w:lang w:eastAsia="en-US"/>
              </w:rPr>
            </w:pPr>
            <w:r>
              <w:rPr>
                <w:color w:val="auto"/>
                <w:highlight w:val="none"/>
                <w:lang w:eastAsia="en-US"/>
              </w:rPr>
              <w:t>市政给水</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6B5910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904082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495C258">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D796B76">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9326DA7">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5B85011E">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1A45E07F">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D487640">
            <w:pPr>
              <w:pStyle w:val="561"/>
              <w:widowControl w:val="0"/>
              <w:spacing w:before="120" w:after="120" w:line="240" w:lineRule="auto"/>
              <w:ind w:left="31" w:right="4"/>
              <w:rPr>
                <w:color w:val="auto"/>
                <w:highlight w:val="none"/>
                <w:lang w:eastAsia="en-US"/>
              </w:rPr>
            </w:pPr>
            <w:r>
              <w:rPr>
                <w:color w:val="auto"/>
                <w:highlight w:val="none"/>
                <w:lang w:eastAsia="en-US"/>
              </w:rPr>
              <w:t>009</w:t>
            </w:r>
          </w:p>
        </w:tc>
        <w:tc>
          <w:tcPr>
            <w:tcW w:w="451"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665637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人手井</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522B020">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229C589">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E0523D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D841D6A">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8D58B40">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1AEBFE23">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5549617A">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F463947">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注：M（必审）表示：总协调方必须审核的内容；C（条件必审）表示：实际情况具备时应进行审核的内容；O（可审）表示总协调方可自行判断是否需要审核的内容。</w:t>
            </w:r>
          </w:p>
        </w:tc>
      </w:tr>
    </w:tbl>
    <w:p w14:paraId="1331566D">
      <w:pPr>
        <w:spacing w:before="120" w:after="120" w:line="240" w:lineRule="exact"/>
        <w:rPr>
          <w:rFonts w:ascii="宋体" w:hAnsi="宋体" w:cs="宋体"/>
          <w:color w:val="auto"/>
          <w:szCs w:val="21"/>
          <w:highlight w:val="none"/>
        </w:rPr>
        <w:sectPr>
          <w:pgSz w:w="16840" w:h="11910" w:orient="landscape"/>
          <w:pgMar w:top="1440" w:right="1800" w:bottom="1440" w:left="1800" w:header="907" w:footer="953" w:gutter="0"/>
          <w:pgNumType w:fmt="numberInDash"/>
          <w:cols w:space="720" w:num="1"/>
        </w:sectPr>
      </w:pPr>
    </w:p>
    <w:p w14:paraId="21EBCA83">
      <w:pPr>
        <w:pStyle w:val="584"/>
        <w:spacing w:before="120" w:after="120"/>
        <w:ind w:firstLine="420" w:firstLineChars="200"/>
        <w:rPr>
          <w:color w:val="auto"/>
          <w:highlight w:val="none"/>
        </w:rPr>
      </w:pPr>
      <w:bookmarkStart w:id="340" w:name="_Toc23284"/>
      <w:r>
        <w:rPr>
          <w:color w:val="auto"/>
          <w:highlight w:val="none"/>
        </w:rPr>
        <w:t>7  景观专业</w:t>
      </w:r>
      <w:bookmarkEnd w:id="340"/>
    </w:p>
    <w:tbl>
      <w:tblPr>
        <w:tblStyle w:val="519"/>
        <w:tblW w:w="4999" w:type="pct"/>
        <w:tblInd w:w="0" w:type="dxa"/>
        <w:tblLayout w:type="autofit"/>
        <w:tblCellMar>
          <w:top w:w="0" w:type="dxa"/>
          <w:left w:w="0" w:type="dxa"/>
          <w:bottom w:w="0" w:type="dxa"/>
          <w:right w:w="0" w:type="dxa"/>
        </w:tblCellMar>
      </w:tblPr>
      <w:tblGrid>
        <w:gridCol w:w="1107"/>
        <w:gridCol w:w="531"/>
        <w:gridCol w:w="1212"/>
        <w:gridCol w:w="2203"/>
        <w:gridCol w:w="2203"/>
        <w:gridCol w:w="2203"/>
        <w:gridCol w:w="2204"/>
        <w:gridCol w:w="1800"/>
      </w:tblGrid>
      <w:tr w14:paraId="1BB5858E">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15816B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113" w:type="dxa"/>
              <w:bottom w:w="57" w:type="dxa"/>
              <w:right w:w="113" w:type="dxa"/>
            </w:tcMar>
            <w:vAlign w:val="center"/>
          </w:tcPr>
          <w:p w14:paraId="611C46A9">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6AF4D6A0">
            <w:pPr>
              <w:pStyle w:val="561"/>
              <w:widowControl w:val="0"/>
              <w:spacing w:before="120" w:after="120" w:line="240" w:lineRule="auto"/>
              <w:ind w:left="31"/>
              <w:rPr>
                <w:rFonts w:ascii="Times New Roman" w:hAnsi="Times New Roman" w:cs="Times New Roman"/>
                <w:color w:val="auto"/>
                <w:szCs w:val="24"/>
                <w:highlight w:val="none"/>
                <w:lang w:eastAsia="en-US"/>
              </w:rPr>
            </w:pPr>
          </w:p>
          <w:p w14:paraId="231B82C3">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9C1703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E1CD38B">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D10E4C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CDB91E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074077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636EB126">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textDirection w:val="tbRl"/>
            <w:vAlign w:val="center"/>
          </w:tcPr>
          <w:p w14:paraId="5E13E5FE">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113" w:type="dxa"/>
              <w:bottom w:w="57" w:type="dxa"/>
              <w:right w:w="113" w:type="dxa"/>
            </w:tcMar>
            <w:vAlign w:val="center"/>
          </w:tcPr>
          <w:p w14:paraId="55ADC4BD">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AFDB70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30481C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72D486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69CF57B">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44A4160">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52F373CE">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113" w:type="dxa"/>
              <w:bottom w:w="57" w:type="dxa"/>
              <w:right w:w="113" w:type="dxa"/>
            </w:tcMar>
            <w:vAlign w:val="center"/>
          </w:tcPr>
          <w:p w14:paraId="05CC1E99">
            <w:pPr>
              <w:pStyle w:val="561"/>
              <w:widowControl w:val="0"/>
              <w:spacing w:before="120" w:after="120"/>
              <w:ind w:left="31" w:right="4"/>
              <w:rPr>
                <w:color w:val="auto"/>
                <w:highlight w:val="none"/>
                <w:lang w:eastAsia="en-US"/>
              </w:rPr>
            </w:pPr>
            <w:r>
              <w:rPr>
                <w:rFonts w:hint="eastAsia"/>
                <w:color w:val="auto"/>
                <w:highlight w:val="none"/>
                <w:lang w:eastAsia="en-US"/>
              </w:rPr>
              <w:t>景观</w:t>
            </w: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2FDC45A">
            <w:pPr>
              <w:pStyle w:val="561"/>
              <w:widowControl w:val="0"/>
              <w:spacing w:before="120" w:after="120"/>
              <w:ind w:left="31" w:right="4"/>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54EC1D0">
            <w:pPr>
              <w:pStyle w:val="561"/>
              <w:widowControl w:val="0"/>
              <w:spacing w:before="120" w:after="120" w:line="240" w:lineRule="auto"/>
              <w:ind w:left="31" w:right="4"/>
              <w:rPr>
                <w:color w:val="auto"/>
                <w:highlight w:val="none"/>
                <w:lang w:eastAsia="en-US"/>
              </w:rPr>
            </w:pPr>
            <w:r>
              <w:rPr>
                <w:color w:val="auto"/>
                <w:highlight w:val="none"/>
                <w:lang w:eastAsia="en-US"/>
              </w:rPr>
              <w:t>车位</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A5032CF">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E6D0205">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96FC378">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763AE08">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AD211C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0F8734BC">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1339B1A3">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DC43AF8">
            <w:pPr>
              <w:pStyle w:val="561"/>
              <w:widowControl w:val="0"/>
              <w:spacing w:before="120" w:after="120"/>
              <w:ind w:left="31" w:right="4"/>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4070FFB">
            <w:pPr>
              <w:pStyle w:val="561"/>
              <w:widowControl w:val="0"/>
              <w:spacing w:before="120" w:after="120" w:line="240" w:lineRule="auto"/>
              <w:ind w:left="31" w:right="4"/>
              <w:rPr>
                <w:color w:val="auto"/>
                <w:highlight w:val="none"/>
                <w:lang w:eastAsia="en-US"/>
              </w:rPr>
            </w:pPr>
            <w:r>
              <w:rPr>
                <w:color w:val="auto"/>
                <w:highlight w:val="none"/>
                <w:lang w:eastAsia="en-US"/>
              </w:rPr>
              <w:t>排水及坡度</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F1C3E2C">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5E60379">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D28B6BC">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1828F28">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5E27E30">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0D58C1EC">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5DEF6A0B">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79D96FF">
            <w:pPr>
              <w:pStyle w:val="561"/>
              <w:widowControl w:val="0"/>
              <w:spacing w:before="120" w:after="120"/>
              <w:ind w:left="31" w:right="4"/>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C70887C">
            <w:pPr>
              <w:pStyle w:val="561"/>
              <w:widowControl w:val="0"/>
              <w:spacing w:before="120" w:after="120" w:line="240" w:lineRule="auto"/>
              <w:ind w:left="31" w:right="4"/>
              <w:rPr>
                <w:color w:val="auto"/>
                <w:highlight w:val="none"/>
                <w:lang w:eastAsia="en-US"/>
              </w:rPr>
            </w:pPr>
            <w:r>
              <w:rPr>
                <w:color w:val="auto"/>
                <w:highlight w:val="none"/>
                <w:lang w:eastAsia="en-US"/>
              </w:rPr>
              <w:t>水池喷泉</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09BD887">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94A6F4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5D81CF8">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CD6BE8F">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79AF5EA">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1F5BFA23">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062490FA">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C8CDF17">
            <w:pPr>
              <w:pStyle w:val="561"/>
              <w:widowControl w:val="0"/>
              <w:spacing w:before="120" w:after="120" w:line="240" w:lineRule="auto"/>
              <w:ind w:left="31" w:right="4"/>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AF10281">
            <w:pPr>
              <w:pStyle w:val="561"/>
              <w:widowControl w:val="0"/>
              <w:spacing w:before="120" w:after="120" w:line="240" w:lineRule="auto"/>
              <w:ind w:left="31" w:right="4"/>
              <w:rPr>
                <w:color w:val="auto"/>
                <w:highlight w:val="none"/>
                <w:lang w:eastAsia="en-US"/>
              </w:rPr>
            </w:pPr>
            <w:r>
              <w:rPr>
                <w:color w:val="auto"/>
                <w:highlight w:val="none"/>
                <w:lang w:eastAsia="en-US"/>
              </w:rPr>
              <w:t>灯具</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406AE0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9207663">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F994560">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47C6F0F">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8D246F4">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4B199197">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7687A7E2">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65BC586">
            <w:pPr>
              <w:pStyle w:val="561"/>
              <w:widowControl w:val="0"/>
              <w:spacing w:before="120" w:after="120" w:line="240" w:lineRule="auto"/>
              <w:ind w:left="31" w:right="4"/>
              <w:rPr>
                <w:color w:val="auto"/>
                <w:highlight w:val="none"/>
                <w:lang w:eastAsia="en-US"/>
              </w:rPr>
            </w:pPr>
            <w:r>
              <w:rPr>
                <w:color w:val="auto"/>
                <w:highlight w:val="none"/>
                <w:lang w:eastAsia="en-US"/>
              </w:rPr>
              <w:t>005</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DD1391F">
            <w:pPr>
              <w:pStyle w:val="561"/>
              <w:widowControl w:val="0"/>
              <w:spacing w:before="120" w:after="120" w:line="240" w:lineRule="auto"/>
              <w:ind w:left="31" w:right="4"/>
              <w:rPr>
                <w:color w:val="auto"/>
                <w:highlight w:val="none"/>
                <w:lang w:eastAsia="en-US"/>
              </w:rPr>
            </w:pPr>
            <w:r>
              <w:rPr>
                <w:color w:val="auto"/>
                <w:highlight w:val="none"/>
                <w:lang w:eastAsia="en-US"/>
              </w:rPr>
              <w:t>音箱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CF59B7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CC839B3">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AE21809">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875C37C">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81C433F">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040D38F0">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423FCEE7">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7E819C4">
            <w:pPr>
              <w:pStyle w:val="561"/>
              <w:widowControl w:val="0"/>
              <w:spacing w:before="120" w:after="120" w:line="240" w:lineRule="auto"/>
              <w:ind w:left="31" w:right="4"/>
              <w:rPr>
                <w:color w:val="auto"/>
                <w:highlight w:val="none"/>
                <w:lang w:eastAsia="en-US"/>
              </w:rPr>
            </w:pPr>
            <w:r>
              <w:rPr>
                <w:color w:val="auto"/>
                <w:highlight w:val="none"/>
                <w:lang w:eastAsia="en-US"/>
              </w:rPr>
              <w:t>006</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956E4B8">
            <w:pPr>
              <w:pStyle w:val="561"/>
              <w:widowControl w:val="0"/>
              <w:spacing w:before="120" w:after="120" w:line="240" w:lineRule="auto"/>
              <w:ind w:left="31" w:right="4"/>
              <w:rPr>
                <w:color w:val="auto"/>
                <w:highlight w:val="none"/>
                <w:lang w:eastAsia="en-US"/>
              </w:rPr>
            </w:pPr>
            <w:r>
              <w:rPr>
                <w:color w:val="auto"/>
                <w:highlight w:val="none"/>
                <w:lang w:eastAsia="en-US"/>
              </w:rPr>
              <w:t>绿化</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DAC5695">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291D579">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73C2A56">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17BB8E4">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AED1B21">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375E4937">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113" w:type="dxa"/>
              <w:bottom w:w="57" w:type="dxa"/>
              <w:right w:w="113" w:type="dxa"/>
            </w:tcMar>
            <w:textDirection w:val="tbRl"/>
            <w:vAlign w:val="center"/>
          </w:tcPr>
          <w:p w14:paraId="56EBDA56">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1AC5E9F">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注：M（必审）表示：总协调方必须审核的内容；C（条件必审）表示：实际情况具备时应进行审核的内容；O（可审）表示总协调方可自行判断是否需要审核的内容。</w:t>
            </w:r>
          </w:p>
        </w:tc>
      </w:tr>
    </w:tbl>
    <w:p w14:paraId="74721AE3">
      <w:pPr>
        <w:spacing w:before="120" w:after="120" w:line="272" w:lineRule="exact"/>
        <w:rPr>
          <w:rFonts w:ascii="宋体" w:hAnsi="宋体" w:cs="宋体"/>
          <w:color w:val="auto"/>
          <w:szCs w:val="21"/>
          <w:highlight w:val="none"/>
        </w:rPr>
        <w:sectPr>
          <w:pgSz w:w="16840" w:h="11910" w:orient="landscape"/>
          <w:pgMar w:top="1440" w:right="1800" w:bottom="1440" w:left="1800" w:header="907" w:footer="953" w:gutter="0"/>
          <w:pgNumType w:fmt="numberInDash"/>
          <w:cols w:space="720" w:num="1"/>
        </w:sectPr>
      </w:pPr>
    </w:p>
    <w:p w14:paraId="3E641EBC">
      <w:pPr>
        <w:pStyle w:val="584"/>
        <w:spacing w:before="120" w:after="120"/>
        <w:ind w:firstLine="420" w:firstLineChars="200"/>
        <w:rPr>
          <w:color w:val="auto"/>
          <w:highlight w:val="none"/>
        </w:rPr>
      </w:pPr>
      <w:bookmarkStart w:id="341" w:name="_Toc10345"/>
      <w:r>
        <w:rPr>
          <w:color w:val="auto"/>
          <w:highlight w:val="none"/>
        </w:rPr>
        <w:t>8  照明专业</w:t>
      </w:r>
      <w:bookmarkEnd w:id="341"/>
    </w:p>
    <w:tbl>
      <w:tblPr>
        <w:tblStyle w:val="519"/>
        <w:tblW w:w="4999" w:type="pct"/>
        <w:tblInd w:w="0" w:type="dxa"/>
        <w:tblLayout w:type="autofit"/>
        <w:tblCellMar>
          <w:top w:w="0" w:type="dxa"/>
          <w:left w:w="0" w:type="dxa"/>
          <w:bottom w:w="0" w:type="dxa"/>
          <w:right w:w="0" w:type="dxa"/>
        </w:tblCellMar>
      </w:tblPr>
      <w:tblGrid>
        <w:gridCol w:w="1107"/>
        <w:gridCol w:w="531"/>
        <w:gridCol w:w="1212"/>
        <w:gridCol w:w="2203"/>
        <w:gridCol w:w="2203"/>
        <w:gridCol w:w="2203"/>
        <w:gridCol w:w="2204"/>
        <w:gridCol w:w="1800"/>
      </w:tblGrid>
      <w:tr w14:paraId="35D38CEB">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E10D89F">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113" w:type="dxa"/>
              <w:bottom w:w="57" w:type="dxa"/>
              <w:right w:w="113" w:type="dxa"/>
            </w:tcMar>
            <w:vAlign w:val="center"/>
          </w:tcPr>
          <w:p w14:paraId="04737836">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1B806A30">
            <w:pPr>
              <w:pStyle w:val="561"/>
              <w:widowControl w:val="0"/>
              <w:spacing w:before="120" w:after="120" w:line="240" w:lineRule="auto"/>
              <w:ind w:left="31"/>
              <w:rPr>
                <w:rFonts w:ascii="Times New Roman" w:hAnsi="Times New Roman" w:cs="Times New Roman"/>
                <w:color w:val="auto"/>
                <w:szCs w:val="24"/>
                <w:highlight w:val="none"/>
                <w:lang w:eastAsia="en-US"/>
              </w:rPr>
            </w:pPr>
          </w:p>
          <w:p w14:paraId="0B243334">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30229BB">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595451F">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6BEB49A">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D4667D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BCC742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07864DFB">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textDirection w:val="tbRl"/>
            <w:vAlign w:val="center"/>
          </w:tcPr>
          <w:p w14:paraId="2F4FAE20">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113" w:type="dxa"/>
              <w:bottom w:w="57" w:type="dxa"/>
              <w:right w:w="113" w:type="dxa"/>
            </w:tcMar>
            <w:vAlign w:val="center"/>
          </w:tcPr>
          <w:p w14:paraId="792DD13E">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DB9A58C">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5DBD647">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3C5719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3A29B4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F9AC8C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61EE0E8B">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113" w:type="dxa"/>
              <w:bottom w:w="57" w:type="dxa"/>
              <w:right w:w="113" w:type="dxa"/>
            </w:tcMar>
            <w:vAlign w:val="center"/>
          </w:tcPr>
          <w:p w14:paraId="5BABD8C7">
            <w:pPr>
              <w:pStyle w:val="561"/>
              <w:widowControl w:val="0"/>
              <w:spacing w:before="120" w:after="120"/>
              <w:ind w:left="31" w:right="4"/>
              <w:rPr>
                <w:color w:val="auto"/>
                <w:highlight w:val="none"/>
                <w:lang w:eastAsia="en-US"/>
              </w:rPr>
            </w:pPr>
            <w:r>
              <w:rPr>
                <w:rFonts w:hint="eastAsia"/>
                <w:color w:val="auto"/>
                <w:highlight w:val="none"/>
                <w:lang w:eastAsia="en-US"/>
              </w:rPr>
              <w:t>电气</w:t>
            </w: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CADBBF7">
            <w:pPr>
              <w:pStyle w:val="561"/>
              <w:widowControl w:val="0"/>
              <w:spacing w:before="120" w:after="120"/>
              <w:ind w:left="31" w:right="4"/>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BED394D">
            <w:pPr>
              <w:pStyle w:val="561"/>
              <w:widowControl w:val="0"/>
              <w:spacing w:before="120" w:after="120"/>
              <w:ind w:left="31" w:right="4"/>
              <w:rPr>
                <w:color w:val="auto"/>
                <w:highlight w:val="none"/>
                <w:lang w:eastAsia="en-US"/>
              </w:rPr>
            </w:pPr>
            <w:r>
              <w:rPr>
                <w:color w:val="auto"/>
                <w:highlight w:val="none"/>
                <w:lang w:eastAsia="en-US"/>
              </w:rPr>
              <w:t>室内照明</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9557172">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3769364">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FB8B74E">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A42A4A0">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859F94C">
            <w:pPr>
              <w:pStyle w:val="561"/>
              <w:widowControl w:val="0"/>
              <w:spacing w:before="120" w:after="120"/>
              <w:ind w:left="31" w:right="4"/>
              <w:rPr>
                <w:color w:val="auto"/>
                <w:highlight w:val="none"/>
                <w:lang w:eastAsia="en-US"/>
              </w:rPr>
            </w:pPr>
            <w:r>
              <w:rPr>
                <w:rFonts w:hint="eastAsia"/>
                <w:color w:val="auto"/>
                <w:highlight w:val="none"/>
                <w:lang w:eastAsia="en-US"/>
              </w:rPr>
              <w:t>M（必审）</w:t>
            </w:r>
          </w:p>
        </w:tc>
      </w:tr>
      <w:tr w14:paraId="244AE4C8">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737F6FFA">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02F7BF3">
            <w:pPr>
              <w:pStyle w:val="561"/>
              <w:widowControl w:val="0"/>
              <w:spacing w:before="120" w:after="120"/>
              <w:ind w:left="31" w:right="4"/>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D773535">
            <w:pPr>
              <w:pStyle w:val="561"/>
              <w:widowControl w:val="0"/>
              <w:spacing w:before="120" w:after="120"/>
              <w:ind w:left="31" w:right="4"/>
              <w:rPr>
                <w:color w:val="auto"/>
                <w:highlight w:val="none"/>
                <w:lang w:eastAsia="en-US"/>
              </w:rPr>
            </w:pPr>
            <w:r>
              <w:rPr>
                <w:color w:val="auto"/>
                <w:highlight w:val="none"/>
                <w:lang w:eastAsia="en-US"/>
              </w:rPr>
              <w:t>室外照明</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9AEEE13">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F284317">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892F4B1">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EAF8A9B">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D1B2E5B">
            <w:pPr>
              <w:pStyle w:val="561"/>
              <w:widowControl w:val="0"/>
              <w:spacing w:before="120" w:after="120"/>
              <w:ind w:left="31" w:right="4"/>
              <w:rPr>
                <w:color w:val="auto"/>
                <w:highlight w:val="none"/>
                <w:lang w:eastAsia="en-US"/>
              </w:rPr>
            </w:pPr>
            <w:r>
              <w:rPr>
                <w:rFonts w:hint="eastAsia"/>
                <w:color w:val="auto"/>
                <w:highlight w:val="none"/>
                <w:lang w:eastAsia="en-US"/>
              </w:rPr>
              <w:t>M（必审）</w:t>
            </w:r>
          </w:p>
        </w:tc>
      </w:tr>
      <w:tr w14:paraId="55489B8D">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2F9C2674">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C8B2A66">
            <w:pPr>
              <w:pStyle w:val="561"/>
              <w:widowControl w:val="0"/>
              <w:spacing w:before="120" w:after="120"/>
              <w:ind w:left="31" w:right="4"/>
              <w:rPr>
                <w:color w:val="auto"/>
                <w:highlight w:val="none"/>
                <w:lang w:eastAsia="en-US"/>
              </w:rPr>
            </w:pPr>
            <w:r>
              <w:rPr>
                <w:color w:val="auto"/>
                <w:highlight w:val="none"/>
                <w:lang w:eastAsia="en-US"/>
              </w:rPr>
              <w:t>003</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8D52AB8">
            <w:pPr>
              <w:pStyle w:val="561"/>
              <w:widowControl w:val="0"/>
              <w:spacing w:before="120" w:after="120" w:line="240" w:lineRule="auto"/>
              <w:ind w:left="31" w:right="4"/>
              <w:rPr>
                <w:color w:val="auto"/>
                <w:highlight w:val="none"/>
                <w:lang w:eastAsia="en-US"/>
              </w:rPr>
            </w:pPr>
            <w:r>
              <w:rPr>
                <w:color w:val="auto"/>
                <w:highlight w:val="none"/>
                <w:lang w:eastAsia="en-US"/>
              </w:rPr>
              <w:t>配电箱</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9890613">
            <w:pPr>
              <w:pStyle w:val="561"/>
              <w:widowControl w:val="0"/>
              <w:spacing w:before="120" w:after="120" w:line="239" w:lineRule="exact"/>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54AAD57">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2448B3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A6964C1">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421039C">
            <w:pPr>
              <w:pStyle w:val="561"/>
              <w:widowControl w:val="0"/>
              <w:spacing w:before="120" w:after="120" w:line="239" w:lineRule="exact"/>
              <w:ind w:left="31" w:right="4"/>
              <w:rPr>
                <w:color w:val="auto"/>
                <w:highlight w:val="none"/>
                <w:lang w:eastAsia="en-US"/>
              </w:rPr>
            </w:pPr>
            <w:r>
              <w:rPr>
                <w:rFonts w:hint="eastAsia"/>
                <w:color w:val="auto"/>
                <w:highlight w:val="none"/>
                <w:lang w:eastAsia="en-US"/>
              </w:rPr>
              <w:t>M（必审）</w:t>
            </w:r>
          </w:p>
        </w:tc>
      </w:tr>
      <w:tr w14:paraId="5DFEFA7E">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7B318DFB">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AD546F5">
            <w:pPr>
              <w:pStyle w:val="561"/>
              <w:widowControl w:val="0"/>
              <w:spacing w:before="120" w:after="120" w:line="240" w:lineRule="auto"/>
              <w:ind w:left="31" w:right="4"/>
              <w:rPr>
                <w:color w:val="auto"/>
                <w:highlight w:val="none"/>
                <w:lang w:eastAsia="en-US"/>
              </w:rPr>
            </w:pPr>
            <w:r>
              <w:rPr>
                <w:color w:val="auto"/>
                <w:highlight w:val="none"/>
                <w:lang w:eastAsia="en-US"/>
              </w:rPr>
              <w:t>004</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DC153A4">
            <w:pPr>
              <w:pStyle w:val="561"/>
              <w:widowControl w:val="0"/>
              <w:spacing w:before="120" w:after="120" w:line="240" w:lineRule="auto"/>
              <w:ind w:left="31" w:right="4"/>
              <w:rPr>
                <w:color w:val="auto"/>
                <w:highlight w:val="none"/>
                <w:lang w:eastAsia="en-US"/>
              </w:rPr>
            </w:pPr>
            <w:r>
              <w:rPr>
                <w:color w:val="auto"/>
                <w:highlight w:val="none"/>
                <w:lang w:eastAsia="en-US"/>
              </w:rPr>
              <w:t>电线管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45F383E">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4EDC8BC">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30C970C">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8683E31">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AF47AEF">
            <w:pPr>
              <w:pStyle w:val="561"/>
              <w:widowControl w:val="0"/>
              <w:spacing w:before="120" w:after="120" w:line="238" w:lineRule="exact"/>
              <w:ind w:left="31" w:right="4"/>
              <w:rPr>
                <w:color w:val="auto"/>
                <w:highlight w:val="none"/>
                <w:lang w:eastAsia="en-US"/>
              </w:rPr>
            </w:pPr>
            <w:r>
              <w:rPr>
                <w:rFonts w:hint="eastAsia"/>
                <w:color w:val="auto"/>
                <w:highlight w:val="none"/>
                <w:lang w:eastAsia="en-US"/>
              </w:rPr>
              <w:t>M（必审）</w:t>
            </w:r>
          </w:p>
        </w:tc>
      </w:tr>
      <w:tr w14:paraId="72F73290">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113" w:type="dxa"/>
              <w:bottom w:w="57" w:type="dxa"/>
              <w:right w:w="113" w:type="dxa"/>
            </w:tcMar>
            <w:textDirection w:val="tbRl"/>
            <w:vAlign w:val="center"/>
          </w:tcPr>
          <w:p w14:paraId="4260908D">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6C4D9B2">
            <w:pPr>
              <w:pStyle w:val="561"/>
              <w:widowControl w:val="0"/>
              <w:spacing w:before="120" w:after="120" w:line="238" w:lineRule="exact"/>
              <w:ind w:left="31" w:right="4"/>
              <w:rPr>
                <w:color w:val="auto"/>
                <w:highlight w:val="none"/>
                <w:lang w:eastAsia="en-US"/>
              </w:rPr>
            </w:pPr>
            <w:r>
              <w:rPr>
                <w:rFonts w:hint="eastAsia"/>
                <w:color w:val="auto"/>
                <w:highlight w:val="none"/>
                <w:lang w:eastAsia="en-US"/>
              </w:rPr>
              <w:t>注：M（必审）表示：总协调方必须审核的内容；C（条件必审）表示：实际情况具备时应进行审核的内容；O（可审）表示总协调方可自行判断是否需要审核的内容。</w:t>
            </w:r>
          </w:p>
        </w:tc>
      </w:tr>
    </w:tbl>
    <w:p w14:paraId="13F13C95">
      <w:pPr>
        <w:spacing w:before="120" w:after="120"/>
        <w:rPr>
          <w:color w:val="auto"/>
          <w:highlight w:val="none"/>
        </w:rPr>
        <w:sectPr>
          <w:pgSz w:w="16840" w:h="11910" w:orient="landscape"/>
          <w:pgMar w:top="1440" w:right="1800" w:bottom="1440" w:left="1800" w:header="907" w:footer="953" w:gutter="0"/>
          <w:pgNumType w:fmt="numberInDash"/>
          <w:cols w:space="720" w:num="1"/>
        </w:sectPr>
      </w:pPr>
    </w:p>
    <w:p w14:paraId="0EECBCC4">
      <w:pPr>
        <w:pStyle w:val="584"/>
        <w:spacing w:before="120" w:after="120"/>
        <w:ind w:firstLine="420" w:firstLineChars="200"/>
        <w:rPr>
          <w:color w:val="auto"/>
          <w:highlight w:val="none"/>
        </w:rPr>
      </w:pPr>
      <w:bookmarkStart w:id="342" w:name="_Toc11826"/>
      <w:r>
        <w:rPr>
          <w:color w:val="auto"/>
          <w:highlight w:val="none"/>
        </w:rPr>
        <w:t>9  标识系统</w:t>
      </w:r>
      <w:bookmarkEnd w:id="342"/>
    </w:p>
    <w:tbl>
      <w:tblPr>
        <w:tblStyle w:val="519"/>
        <w:tblW w:w="4999" w:type="pct"/>
        <w:tblInd w:w="0" w:type="dxa"/>
        <w:tblLayout w:type="autofit"/>
        <w:tblCellMar>
          <w:top w:w="0" w:type="dxa"/>
          <w:left w:w="0" w:type="dxa"/>
          <w:bottom w:w="0" w:type="dxa"/>
          <w:right w:w="0" w:type="dxa"/>
        </w:tblCellMar>
      </w:tblPr>
      <w:tblGrid>
        <w:gridCol w:w="1107"/>
        <w:gridCol w:w="531"/>
        <w:gridCol w:w="1212"/>
        <w:gridCol w:w="2203"/>
        <w:gridCol w:w="2203"/>
        <w:gridCol w:w="2203"/>
        <w:gridCol w:w="2204"/>
        <w:gridCol w:w="1800"/>
      </w:tblGrid>
      <w:tr w14:paraId="634B6F97">
        <w:tblPrEx>
          <w:tblCellMar>
            <w:top w:w="0" w:type="dxa"/>
            <w:left w:w="0" w:type="dxa"/>
            <w:bottom w:w="0" w:type="dxa"/>
            <w:right w:w="0" w:type="dxa"/>
          </w:tblCellMar>
        </w:tblPrEx>
        <w:trPr>
          <w:cantSplit/>
          <w:trHeight w:val="454" w:hRule="atLeast"/>
          <w:tblHeader/>
        </w:trPr>
        <w:tc>
          <w:tcPr>
            <w:tcW w:w="412" w:type="pct"/>
            <w:vMerge w:val="restar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0E5B86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6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113" w:type="dxa"/>
              <w:bottom w:w="57" w:type="dxa"/>
              <w:right w:w="113" w:type="dxa"/>
            </w:tcMar>
            <w:vAlign w:val="center"/>
          </w:tcPr>
          <w:p w14:paraId="08E69F49">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46C5B989">
            <w:pPr>
              <w:pStyle w:val="561"/>
              <w:widowControl w:val="0"/>
              <w:spacing w:before="120" w:after="120" w:line="240" w:lineRule="auto"/>
              <w:ind w:left="31"/>
              <w:rPr>
                <w:rFonts w:ascii="Times New Roman" w:hAnsi="Times New Roman" w:cs="Times New Roman"/>
                <w:color w:val="auto"/>
                <w:szCs w:val="24"/>
                <w:highlight w:val="none"/>
                <w:lang w:eastAsia="en-US"/>
              </w:rPr>
            </w:pPr>
          </w:p>
          <w:p w14:paraId="70B7612A">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57B3816">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40C19EF">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93F64D4">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14E6D20">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747FFE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336EE617">
        <w:tblPrEx>
          <w:tblCellMar>
            <w:top w:w="0" w:type="dxa"/>
            <w:left w:w="0" w:type="dxa"/>
            <w:bottom w:w="0" w:type="dxa"/>
            <w:right w:w="0" w:type="dxa"/>
          </w:tblCellMar>
        </w:tblPrEx>
        <w:trPr>
          <w:cantSplit/>
          <w:trHeight w:val="454" w:hRule="atLeast"/>
          <w:tblHeader/>
        </w:trPr>
        <w:tc>
          <w:tcPr>
            <w:tcW w:w="412" w:type="pct"/>
            <w:vMerge w:val="continue"/>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textDirection w:val="tbRl"/>
            <w:vAlign w:val="center"/>
          </w:tcPr>
          <w:p w14:paraId="213A5269">
            <w:pPr>
              <w:pStyle w:val="561"/>
              <w:widowControl w:val="0"/>
              <w:spacing w:before="120" w:after="120"/>
              <w:ind w:left="31"/>
              <w:rPr>
                <w:rFonts w:ascii="Times New Roman" w:hAnsi="Times New Roman" w:cs="Times New Roman"/>
                <w:color w:val="auto"/>
                <w:szCs w:val="24"/>
                <w:highlight w:val="none"/>
                <w:lang w:eastAsia="en-US"/>
              </w:rPr>
            </w:pPr>
          </w:p>
        </w:tc>
        <w:tc>
          <w:tcPr>
            <w:tcW w:w="642" w:type="pct"/>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113" w:type="dxa"/>
              <w:bottom w:w="57" w:type="dxa"/>
              <w:right w:w="113" w:type="dxa"/>
            </w:tcMar>
            <w:vAlign w:val="center"/>
          </w:tcPr>
          <w:p w14:paraId="2BA9BC8C">
            <w:pPr>
              <w:pStyle w:val="561"/>
              <w:widowControl w:val="0"/>
              <w:spacing w:before="120" w:after="120"/>
              <w:ind w:left="31"/>
              <w:rPr>
                <w:rFonts w:ascii="Times New Roman" w:hAnsi="Times New Roman" w:cs="Times New Roman"/>
                <w:color w:val="auto"/>
                <w:szCs w:val="24"/>
                <w:highlight w:val="none"/>
                <w:lang w:eastAsia="en-US"/>
              </w:rPr>
            </w:pP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6F78E8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1414AB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A2B35B9">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93BFA4D">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47B0D1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05B600E4">
        <w:tblPrEx>
          <w:tblCellMar>
            <w:top w:w="0" w:type="dxa"/>
            <w:left w:w="0" w:type="dxa"/>
            <w:bottom w:w="0" w:type="dxa"/>
            <w:right w:w="0" w:type="dxa"/>
          </w:tblCellMar>
        </w:tblPrEx>
        <w:trPr>
          <w:cantSplit/>
          <w:trHeight w:val="454" w:hRule="atLeast"/>
        </w:trPr>
        <w:tc>
          <w:tcPr>
            <w:tcW w:w="412" w:type="pct"/>
            <w:vMerge w:val="restart"/>
            <w:tcBorders>
              <w:top w:val="single" w:color="auto" w:sz="4" w:space="0"/>
              <w:left w:val="single" w:color="auto" w:sz="4" w:space="0"/>
              <w:right w:val="single" w:color="auto" w:sz="4" w:space="0"/>
            </w:tcBorders>
            <w:noWrap w:val="0"/>
            <w:tcMar>
              <w:top w:w="57" w:type="dxa"/>
              <w:left w:w="113" w:type="dxa"/>
              <w:bottom w:w="57" w:type="dxa"/>
              <w:right w:w="113" w:type="dxa"/>
            </w:tcMar>
            <w:vAlign w:val="center"/>
          </w:tcPr>
          <w:p w14:paraId="65C36C69">
            <w:pPr>
              <w:pStyle w:val="561"/>
              <w:widowControl w:val="0"/>
              <w:spacing w:before="120" w:after="120"/>
              <w:ind w:left="31" w:right="4"/>
              <w:rPr>
                <w:color w:val="auto"/>
                <w:highlight w:val="none"/>
                <w:lang w:eastAsia="en-US"/>
              </w:rPr>
            </w:pPr>
            <w:r>
              <w:rPr>
                <w:rFonts w:hint="eastAsia"/>
                <w:color w:val="auto"/>
                <w:highlight w:val="none"/>
                <w:lang w:eastAsia="en-US"/>
              </w:rPr>
              <w:t>标识</w:t>
            </w: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B777348">
            <w:pPr>
              <w:pStyle w:val="561"/>
              <w:widowControl w:val="0"/>
              <w:spacing w:before="120" w:after="120"/>
              <w:ind w:left="31" w:right="4"/>
              <w:rPr>
                <w:color w:val="auto"/>
                <w:highlight w:val="none"/>
                <w:lang w:eastAsia="en-US"/>
              </w:rPr>
            </w:pPr>
            <w:r>
              <w:rPr>
                <w:color w:val="auto"/>
                <w:highlight w:val="none"/>
                <w:lang w:eastAsia="en-US"/>
              </w:rPr>
              <w:t>001</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1A631364">
            <w:pPr>
              <w:pStyle w:val="561"/>
              <w:widowControl w:val="0"/>
              <w:spacing w:before="120" w:after="120"/>
              <w:ind w:left="31" w:right="4"/>
              <w:rPr>
                <w:color w:val="auto"/>
                <w:highlight w:val="none"/>
                <w:lang w:eastAsia="en-US"/>
              </w:rPr>
            </w:pPr>
            <w:r>
              <w:rPr>
                <w:rFonts w:hint="eastAsia"/>
                <w:color w:val="auto"/>
                <w:highlight w:val="none"/>
                <w:lang w:eastAsia="en-US"/>
              </w:rPr>
              <w:t>室内标识</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6D5A193">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4672BFEC">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0C60B6F">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8BE75FB">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278F72A7">
            <w:pPr>
              <w:pStyle w:val="561"/>
              <w:widowControl w:val="0"/>
              <w:spacing w:before="120" w:after="120"/>
              <w:ind w:left="31" w:right="4"/>
              <w:rPr>
                <w:color w:val="auto"/>
                <w:highlight w:val="none"/>
                <w:lang w:eastAsia="en-US"/>
              </w:rPr>
            </w:pPr>
            <w:r>
              <w:rPr>
                <w:rFonts w:hint="eastAsia"/>
                <w:color w:val="auto"/>
                <w:highlight w:val="none"/>
                <w:lang w:eastAsia="en-US"/>
              </w:rPr>
              <w:t>M（必审）</w:t>
            </w:r>
          </w:p>
        </w:tc>
      </w:tr>
      <w:tr w14:paraId="4E1F08B6">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right w:val="single" w:color="auto" w:sz="4" w:space="0"/>
            </w:tcBorders>
            <w:noWrap w:val="0"/>
            <w:tcMar>
              <w:top w:w="57" w:type="dxa"/>
              <w:left w:w="113" w:type="dxa"/>
              <w:bottom w:w="57" w:type="dxa"/>
              <w:right w:w="113" w:type="dxa"/>
            </w:tcMar>
            <w:textDirection w:val="tbRl"/>
            <w:vAlign w:val="center"/>
          </w:tcPr>
          <w:p w14:paraId="469795C6">
            <w:pPr>
              <w:pStyle w:val="561"/>
              <w:widowControl w:val="0"/>
              <w:spacing w:before="120" w:after="120"/>
              <w:ind w:left="31" w:right="582"/>
              <w:rPr>
                <w:color w:val="auto"/>
                <w:highlight w:val="none"/>
                <w:lang w:eastAsia="en-US"/>
              </w:rPr>
            </w:pPr>
          </w:p>
        </w:tc>
        <w:tc>
          <w:tcPr>
            <w:tcW w:w="19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04B5156">
            <w:pPr>
              <w:pStyle w:val="561"/>
              <w:widowControl w:val="0"/>
              <w:spacing w:before="120" w:after="120"/>
              <w:ind w:left="31" w:right="4"/>
              <w:rPr>
                <w:color w:val="auto"/>
                <w:highlight w:val="none"/>
                <w:lang w:eastAsia="en-US"/>
              </w:rPr>
            </w:pPr>
            <w:r>
              <w:rPr>
                <w:color w:val="auto"/>
                <w:highlight w:val="none"/>
                <w:lang w:eastAsia="en-US"/>
              </w:rPr>
              <w:t>002</w:t>
            </w:r>
          </w:p>
        </w:tc>
        <w:tc>
          <w:tcPr>
            <w:tcW w:w="451"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0AA126A9">
            <w:pPr>
              <w:pStyle w:val="561"/>
              <w:widowControl w:val="0"/>
              <w:spacing w:before="120" w:after="120"/>
              <w:ind w:left="31" w:right="4"/>
              <w:rPr>
                <w:color w:val="auto"/>
                <w:highlight w:val="none"/>
                <w:lang w:eastAsia="en-US"/>
              </w:rPr>
            </w:pPr>
            <w:r>
              <w:rPr>
                <w:rFonts w:hint="eastAsia"/>
                <w:color w:val="auto"/>
                <w:highlight w:val="none"/>
                <w:lang w:eastAsia="en-US"/>
              </w:rPr>
              <w:t>室外标识</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7878C57C">
            <w:pPr>
              <w:pStyle w:val="561"/>
              <w:widowControl w:val="0"/>
              <w:spacing w:before="120" w:after="120"/>
              <w:ind w:left="31" w:right="4"/>
              <w:rPr>
                <w:color w:val="auto"/>
                <w:highlight w:val="none"/>
                <w:lang w:eastAsia="en-US"/>
              </w:rPr>
            </w:pPr>
            <w:r>
              <w:rPr>
                <w:rFonts w:hint="eastAsia"/>
                <w:color w:val="auto"/>
                <w:highlight w:val="none"/>
                <w:lang w:eastAsia="en-US"/>
              </w:rPr>
              <w:t>O（可审）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B978D67">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503793AF">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819"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61E85FE">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665" w:type="pct"/>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6D84AEB2">
            <w:pPr>
              <w:pStyle w:val="561"/>
              <w:widowControl w:val="0"/>
              <w:spacing w:before="120" w:after="120"/>
              <w:ind w:left="31" w:right="4"/>
              <w:rPr>
                <w:color w:val="auto"/>
                <w:highlight w:val="none"/>
                <w:lang w:eastAsia="en-US"/>
              </w:rPr>
            </w:pPr>
            <w:r>
              <w:rPr>
                <w:rFonts w:hint="eastAsia"/>
                <w:color w:val="auto"/>
                <w:highlight w:val="none"/>
                <w:lang w:eastAsia="en-US"/>
              </w:rPr>
              <w:t>M（必审）</w:t>
            </w:r>
          </w:p>
        </w:tc>
      </w:tr>
      <w:tr w14:paraId="04A9642A">
        <w:tblPrEx>
          <w:tblCellMar>
            <w:top w:w="0" w:type="dxa"/>
            <w:left w:w="0" w:type="dxa"/>
            <w:bottom w:w="0" w:type="dxa"/>
            <w:right w:w="0" w:type="dxa"/>
          </w:tblCellMar>
        </w:tblPrEx>
        <w:trPr>
          <w:cantSplit/>
          <w:trHeight w:val="454" w:hRule="atLeast"/>
        </w:trPr>
        <w:tc>
          <w:tcPr>
            <w:tcW w:w="412" w:type="pct"/>
            <w:vMerge w:val="continue"/>
            <w:tcBorders>
              <w:left w:val="single" w:color="auto" w:sz="4" w:space="0"/>
              <w:bottom w:val="single" w:color="auto" w:sz="4" w:space="0"/>
              <w:right w:val="single" w:color="auto" w:sz="4" w:space="0"/>
            </w:tcBorders>
            <w:noWrap w:val="0"/>
            <w:tcMar>
              <w:top w:w="57" w:type="dxa"/>
              <w:left w:w="113" w:type="dxa"/>
              <w:bottom w:w="57" w:type="dxa"/>
              <w:right w:w="113" w:type="dxa"/>
            </w:tcMar>
            <w:textDirection w:val="tbRl"/>
            <w:vAlign w:val="center"/>
          </w:tcPr>
          <w:p w14:paraId="52F78746">
            <w:pPr>
              <w:pStyle w:val="561"/>
              <w:widowControl w:val="0"/>
              <w:spacing w:before="120" w:after="120"/>
              <w:ind w:left="31" w:right="582"/>
              <w:rPr>
                <w:color w:val="auto"/>
                <w:highlight w:val="none"/>
                <w:lang w:eastAsia="en-US"/>
              </w:rPr>
            </w:pPr>
          </w:p>
        </w:tc>
        <w:tc>
          <w:tcPr>
            <w:tcW w:w="4587" w:type="pct"/>
            <w:gridSpan w:val="7"/>
            <w:tcBorders>
              <w:top w:val="single" w:color="auto" w:sz="4" w:space="0"/>
              <w:left w:val="single" w:color="auto" w:sz="4" w:space="0"/>
              <w:bottom w:val="single" w:color="auto" w:sz="4" w:space="0"/>
              <w:right w:val="single" w:color="auto" w:sz="4" w:space="0"/>
            </w:tcBorders>
            <w:noWrap w:val="0"/>
            <w:tcMar>
              <w:top w:w="57" w:type="dxa"/>
              <w:left w:w="113" w:type="dxa"/>
              <w:bottom w:w="57" w:type="dxa"/>
              <w:right w:w="113" w:type="dxa"/>
            </w:tcMar>
            <w:vAlign w:val="center"/>
          </w:tcPr>
          <w:p w14:paraId="335231D7">
            <w:pPr>
              <w:pStyle w:val="561"/>
              <w:widowControl w:val="0"/>
              <w:spacing w:before="120" w:after="120"/>
              <w:ind w:left="31" w:right="4"/>
              <w:rPr>
                <w:color w:val="auto"/>
                <w:highlight w:val="none"/>
                <w:lang w:eastAsia="en-US"/>
              </w:rPr>
            </w:pPr>
            <w:r>
              <w:rPr>
                <w:rFonts w:hint="eastAsia"/>
                <w:color w:val="auto"/>
                <w:highlight w:val="none"/>
                <w:lang w:eastAsia="en-US"/>
              </w:rPr>
              <w:t>注：M（必审）表示：总协调方必须审核的内容；C（条件必审）表示：实际情况具备时应进行审核的内容；O（可审）表示总协调方可自行判断是否需要审核的内容。</w:t>
            </w:r>
          </w:p>
        </w:tc>
      </w:tr>
    </w:tbl>
    <w:p w14:paraId="453F0C4A">
      <w:pPr>
        <w:spacing w:before="120" w:after="120"/>
        <w:rPr>
          <w:color w:val="auto"/>
          <w:highlight w:val="none"/>
        </w:rPr>
        <w:sectPr>
          <w:pgSz w:w="16840" w:h="11910" w:orient="landscape"/>
          <w:pgMar w:top="1440" w:right="1800" w:bottom="1440" w:left="1800" w:header="907" w:footer="953" w:gutter="0"/>
          <w:pgNumType w:fmt="numberInDash"/>
          <w:cols w:space="720" w:num="1"/>
        </w:sectPr>
      </w:pPr>
    </w:p>
    <w:p w14:paraId="55884479">
      <w:pPr>
        <w:pStyle w:val="584"/>
        <w:spacing w:before="120" w:after="120"/>
        <w:ind w:firstLine="420" w:firstLineChars="200"/>
        <w:rPr>
          <w:color w:val="auto"/>
          <w:highlight w:val="none"/>
        </w:rPr>
      </w:pPr>
      <w:bookmarkStart w:id="343" w:name="_Toc11215"/>
      <w:r>
        <w:rPr>
          <w:color w:val="auto"/>
          <w:highlight w:val="none"/>
        </w:rPr>
        <w:t>10  室内精装修专业</w:t>
      </w:r>
      <w:bookmarkEnd w:id="343"/>
    </w:p>
    <w:tbl>
      <w:tblPr>
        <w:tblStyle w:val="519"/>
        <w:tblW w:w="4998" w:type="pct"/>
        <w:tblInd w:w="0" w:type="dxa"/>
        <w:tblLayout w:type="autofit"/>
        <w:tblCellMar>
          <w:top w:w="0" w:type="dxa"/>
          <w:left w:w="0" w:type="dxa"/>
          <w:bottom w:w="0" w:type="dxa"/>
          <w:right w:w="0" w:type="dxa"/>
        </w:tblCellMar>
      </w:tblPr>
      <w:tblGrid>
        <w:gridCol w:w="1447"/>
        <w:gridCol w:w="853"/>
        <w:gridCol w:w="2129"/>
        <w:gridCol w:w="1784"/>
        <w:gridCol w:w="1784"/>
        <w:gridCol w:w="1784"/>
        <w:gridCol w:w="1784"/>
        <w:gridCol w:w="1784"/>
      </w:tblGrid>
      <w:tr w14:paraId="0A3BA455">
        <w:tblPrEx>
          <w:tblCellMar>
            <w:top w:w="0" w:type="dxa"/>
            <w:left w:w="0" w:type="dxa"/>
            <w:bottom w:w="0" w:type="dxa"/>
            <w:right w:w="0" w:type="dxa"/>
          </w:tblCellMar>
        </w:tblPrEx>
        <w:trPr>
          <w:cantSplit/>
          <w:trHeight w:val="454" w:hRule="atLeast"/>
          <w:tblHeader/>
        </w:trPr>
        <w:tc>
          <w:tcPr>
            <w:tcW w:w="1447" w:type="dxa"/>
            <w:vMerge w:val="restart"/>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FB24F61">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专业</w:t>
            </w:r>
          </w:p>
        </w:tc>
        <w:tc>
          <w:tcPr>
            <w:tcW w:w="2982" w:type="dxa"/>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72ED5E06">
            <w:pPr>
              <w:pStyle w:val="561"/>
              <w:widowControl w:val="0"/>
              <w:spacing w:before="120" w:after="120" w:line="240" w:lineRule="auto"/>
              <w:ind w:left="31"/>
              <w:jc w:val="righ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详细等级</w:t>
            </w:r>
          </w:p>
          <w:p w14:paraId="57A96EF5">
            <w:pPr>
              <w:pStyle w:val="561"/>
              <w:widowControl w:val="0"/>
              <w:spacing w:before="120" w:after="120" w:line="240" w:lineRule="auto"/>
              <w:ind w:left="31"/>
              <w:rPr>
                <w:rFonts w:ascii="Times New Roman" w:hAnsi="Times New Roman" w:cs="Times New Roman"/>
                <w:color w:val="auto"/>
                <w:szCs w:val="24"/>
                <w:highlight w:val="none"/>
                <w:lang w:eastAsia="en-US"/>
              </w:rPr>
            </w:pPr>
          </w:p>
          <w:p w14:paraId="378F92DF">
            <w:pPr>
              <w:pStyle w:val="561"/>
              <w:widowControl w:val="0"/>
              <w:spacing w:before="120" w:after="120" w:line="240" w:lineRule="auto"/>
              <w:ind w:left="31"/>
              <w:jc w:val="left"/>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子项</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8CE9A19">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LOD100</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7C7CE35">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LOD200</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E0F7EF">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LOD300</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11BCB78">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LOD400</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1685D8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LOD500</w:t>
            </w:r>
          </w:p>
        </w:tc>
      </w:tr>
      <w:tr w14:paraId="09571E69">
        <w:tblPrEx>
          <w:tblCellMar>
            <w:top w:w="0" w:type="dxa"/>
            <w:left w:w="0" w:type="dxa"/>
            <w:bottom w:w="0" w:type="dxa"/>
            <w:right w:w="0" w:type="dxa"/>
          </w:tblCellMar>
        </w:tblPrEx>
        <w:trPr>
          <w:cantSplit/>
          <w:trHeight w:val="454" w:hRule="atLeast"/>
          <w:tblHeader/>
        </w:trPr>
        <w:tc>
          <w:tcPr>
            <w:tcW w:w="1447" w:type="dxa"/>
            <w:vMerge w:val="continue"/>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57F184E8">
            <w:pPr>
              <w:pStyle w:val="561"/>
              <w:widowControl w:val="0"/>
              <w:spacing w:before="120" w:after="120"/>
              <w:ind w:left="31"/>
              <w:rPr>
                <w:rFonts w:ascii="Times New Roman" w:hAnsi="Times New Roman" w:cs="Times New Roman"/>
                <w:color w:val="auto"/>
                <w:szCs w:val="24"/>
                <w:highlight w:val="none"/>
                <w:lang w:eastAsia="en-US"/>
              </w:rPr>
            </w:pPr>
          </w:p>
        </w:tc>
        <w:tc>
          <w:tcPr>
            <w:tcW w:w="2982" w:type="dxa"/>
            <w:gridSpan w:val="2"/>
            <w:vMerge w:val="continue"/>
            <w:tcBorders>
              <w:top w:val="single" w:color="auto" w:sz="4" w:space="0"/>
              <w:left w:val="single" w:color="auto" w:sz="4" w:space="0"/>
              <w:bottom w:val="single" w:color="auto" w:sz="4" w:space="0"/>
              <w:right w:val="single" w:color="auto" w:sz="4" w:space="0"/>
              <w:tl2br w:val="single" w:color="auto" w:sz="4" w:space="0"/>
            </w:tcBorders>
            <w:noWrap w:val="0"/>
            <w:tcMar>
              <w:top w:w="57" w:type="dxa"/>
              <w:left w:w="57" w:type="dxa"/>
              <w:bottom w:w="57" w:type="dxa"/>
              <w:right w:w="57" w:type="dxa"/>
            </w:tcMar>
            <w:vAlign w:val="center"/>
          </w:tcPr>
          <w:p w14:paraId="2C3421C8">
            <w:pPr>
              <w:pStyle w:val="561"/>
              <w:widowControl w:val="0"/>
              <w:spacing w:before="120" w:after="120"/>
              <w:ind w:left="31"/>
              <w:rPr>
                <w:rFonts w:ascii="Times New Roman" w:hAnsi="Times New Roman" w:cs="Times New Roman"/>
                <w:color w:val="auto"/>
                <w:szCs w:val="24"/>
                <w:highlight w:val="none"/>
                <w:lang w:eastAsia="en-US"/>
              </w:rPr>
            </w:pP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C9D8916">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方案设计模型</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0232722">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扩初设计模型(扩初图纸）</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F1332A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施工图模型</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96CDFB3">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施工深化模型</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77367FE">
            <w:pPr>
              <w:pStyle w:val="561"/>
              <w:widowControl w:val="0"/>
              <w:spacing w:before="120" w:after="120" w:line="240" w:lineRule="auto"/>
              <w:ind w:left="3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竣工模型</w:t>
            </w:r>
          </w:p>
        </w:tc>
      </w:tr>
      <w:tr w14:paraId="21542A15">
        <w:tblPrEx>
          <w:tblCellMar>
            <w:top w:w="0" w:type="dxa"/>
            <w:left w:w="0" w:type="dxa"/>
            <w:bottom w:w="0" w:type="dxa"/>
            <w:right w:w="0" w:type="dxa"/>
          </w:tblCellMar>
        </w:tblPrEx>
        <w:trPr>
          <w:cantSplit/>
          <w:trHeight w:val="454" w:hRule="atLeast"/>
        </w:trPr>
        <w:tc>
          <w:tcPr>
            <w:tcW w:w="1447" w:type="dxa"/>
            <w:vMerge w:val="restart"/>
            <w:tcBorders>
              <w:top w:val="single" w:color="auto" w:sz="4" w:space="0"/>
              <w:left w:val="single" w:color="auto" w:sz="4" w:space="0"/>
              <w:right w:val="single" w:color="auto" w:sz="4" w:space="0"/>
            </w:tcBorders>
            <w:noWrap w:val="0"/>
            <w:tcMar>
              <w:top w:w="57" w:type="dxa"/>
              <w:left w:w="57" w:type="dxa"/>
              <w:bottom w:w="57" w:type="dxa"/>
              <w:right w:w="57" w:type="dxa"/>
            </w:tcMar>
            <w:vAlign w:val="center"/>
          </w:tcPr>
          <w:p w14:paraId="72CF0D06">
            <w:pPr>
              <w:pStyle w:val="561"/>
              <w:widowControl w:val="0"/>
              <w:spacing w:before="120" w:after="120"/>
              <w:ind w:left="31" w:right="4"/>
              <w:rPr>
                <w:color w:val="auto"/>
                <w:highlight w:val="none"/>
                <w:lang w:eastAsia="en-US"/>
              </w:rPr>
            </w:pPr>
            <w:r>
              <w:rPr>
                <w:rFonts w:hint="eastAsia"/>
                <w:color w:val="auto"/>
                <w:highlight w:val="none"/>
                <w:lang w:eastAsia="en-US"/>
              </w:rPr>
              <w:t>室内精装修</w:t>
            </w:r>
          </w:p>
        </w:tc>
        <w:tc>
          <w:tcPr>
            <w:tcW w:w="853"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CC3FDD8">
            <w:pPr>
              <w:pStyle w:val="561"/>
              <w:widowControl w:val="0"/>
              <w:spacing w:before="120" w:after="120"/>
              <w:ind w:left="31" w:right="4"/>
              <w:rPr>
                <w:color w:val="auto"/>
                <w:highlight w:val="none"/>
                <w:lang w:eastAsia="en-US"/>
              </w:rPr>
            </w:pPr>
            <w:r>
              <w:rPr>
                <w:color w:val="auto"/>
                <w:highlight w:val="none"/>
                <w:lang w:eastAsia="en-US"/>
              </w:rPr>
              <w:t>001</w:t>
            </w:r>
          </w:p>
        </w:tc>
        <w:tc>
          <w:tcPr>
            <w:tcW w:w="2129"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EF6BDEE">
            <w:pPr>
              <w:pStyle w:val="561"/>
              <w:widowControl w:val="0"/>
              <w:spacing w:before="120" w:after="120" w:line="239" w:lineRule="exact"/>
              <w:ind w:left="31"/>
              <w:rPr>
                <w:color w:val="auto"/>
                <w:highlight w:val="none"/>
                <w:lang w:eastAsia="en-US"/>
              </w:rPr>
            </w:pPr>
            <w:r>
              <w:rPr>
                <w:color w:val="auto"/>
                <w:highlight w:val="none"/>
                <w:lang w:eastAsia="en-US"/>
              </w:rPr>
              <w:t>卫生间（卫生洁具、水池、台、柜）</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E33F346">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ECFDF4E">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1BE5834">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29DCA5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E57889F">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27FA78DC">
        <w:tblPrEx>
          <w:tblCellMar>
            <w:top w:w="0" w:type="dxa"/>
            <w:left w:w="0" w:type="dxa"/>
            <w:bottom w:w="0" w:type="dxa"/>
            <w:right w:w="0" w:type="dxa"/>
          </w:tblCellMar>
        </w:tblPrEx>
        <w:trPr>
          <w:cantSplit/>
          <w:trHeight w:val="454" w:hRule="atLeast"/>
        </w:trPr>
        <w:tc>
          <w:tcPr>
            <w:tcW w:w="1447" w:type="dxa"/>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FCD4070">
            <w:pPr>
              <w:pStyle w:val="561"/>
              <w:widowControl w:val="0"/>
              <w:spacing w:before="120" w:after="120"/>
              <w:ind w:left="31" w:right="582"/>
              <w:rPr>
                <w:color w:val="auto"/>
                <w:highlight w:val="none"/>
                <w:lang w:eastAsia="en-US"/>
              </w:rPr>
            </w:pPr>
          </w:p>
        </w:tc>
        <w:tc>
          <w:tcPr>
            <w:tcW w:w="853"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A21C94D">
            <w:pPr>
              <w:pStyle w:val="561"/>
              <w:widowControl w:val="0"/>
              <w:spacing w:before="120" w:after="120"/>
              <w:ind w:left="31" w:right="4"/>
              <w:rPr>
                <w:color w:val="auto"/>
                <w:highlight w:val="none"/>
                <w:lang w:eastAsia="en-US"/>
              </w:rPr>
            </w:pPr>
            <w:r>
              <w:rPr>
                <w:color w:val="auto"/>
                <w:highlight w:val="none"/>
                <w:lang w:eastAsia="en-US"/>
              </w:rPr>
              <w:t>002</w:t>
            </w:r>
          </w:p>
        </w:tc>
        <w:tc>
          <w:tcPr>
            <w:tcW w:w="2129"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0D813F2">
            <w:pPr>
              <w:pStyle w:val="561"/>
              <w:widowControl w:val="0"/>
              <w:spacing w:before="120" w:after="120" w:line="240" w:lineRule="auto"/>
              <w:ind w:left="31" w:right="4"/>
              <w:rPr>
                <w:color w:val="auto"/>
                <w:highlight w:val="none"/>
                <w:lang w:eastAsia="en-US"/>
              </w:rPr>
            </w:pPr>
            <w:r>
              <w:rPr>
                <w:color w:val="auto"/>
                <w:highlight w:val="none"/>
                <w:lang w:eastAsia="en-US"/>
              </w:rPr>
              <w:t>固定家具（主要为碰撞检查分析）</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9376FD1">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B6A917D">
            <w:pPr>
              <w:pStyle w:val="561"/>
              <w:widowControl w:val="0"/>
              <w:spacing w:before="120" w:after="120"/>
              <w:ind w:left="31" w:right="4"/>
              <w:rPr>
                <w:color w:val="auto"/>
                <w:highlight w:val="none"/>
                <w:lang w:eastAsia="en-US"/>
              </w:rPr>
            </w:pPr>
            <w:r>
              <w:rPr>
                <w:rFonts w:hint="eastAsia"/>
                <w:color w:val="auto"/>
                <w:highlight w:val="none"/>
                <w:lang w:eastAsia="en-US"/>
              </w:rPr>
              <w:t>C（条件必审）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F74851C">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C15BA2B">
            <w:pPr>
              <w:pStyle w:val="561"/>
              <w:widowControl w:val="0"/>
              <w:spacing w:before="120" w:after="120"/>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EFCF46E">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6B4B8DA9">
        <w:tblPrEx>
          <w:tblCellMar>
            <w:top w:w="0" w:type="dxa"/>
            <w:left w:w="0" w:type="dxa"/>
            <w:bottom w:w="0" w:type="dxa"/>
            <w:right w:w="0" w:type="dxa"/>
          </w:tblCellMar>
        </w:tblPrEx>
        <w:trPr>
          <w:cantSplit/>
          <w:trHeight w:val="454" w:hRule="atLeast"/>
        </w:trPr>
        <w:tc>
          <w:tcPr>
            <w:tcW w:w="1447" w:type="dxa"/>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4BBE9713">
            <w:pPr>
              <w:pStyle w:val="561"/>
              <w:widowControl w:val="0"/>
              <w:spacing w:before="120" w:after="120"/>
              <w:ind w:left="31" w:right="582"/>
              <w:rPr>
                <w:color w:val="auto"/>
                <w:highlight w:val="none"/>
                <w:lang w:eastAsia="en-US"/>
              </w:rPr>
            </w:pPr>
          </w:p>
        </w:tc>
        <w:tc>
          <w:tcPr>
            <w:tcW w:w="853"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53DE6F0">
            <w:pPr>
              <w:pStyle w:val="561"/>
              <w:widowControl w:val="0"/>
              <w:spacing w:before="120" w:after="120"/>
              <w:ind w:left="31" w:right="4"/>
              <w:rPr>
                <w:color w:val="auto"/>
                <w:highlight w:val="none"/>
                <w:lang w:eastAsia="en-US"/>
              </w:rPr>
            </w:pPr>
            <w:r>
              <w:rPr>
                <w:color w:val="auto"/>
                <w:highlight w:val="none"/>
                <w:lang w:eastAsia="en-US"/>
              </w:rPr>
              <w:t>003</w:t>
            </w:r>
          </w:p>
        </w:tc>
        <w:tc>
          <w:tcPr>
            <w:tcW w:w="2129"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D8E9FBF">
            <w:pPr>
              <w:pStyle w:val="561"/>
              <w:widowControl w:val="0"/>
              <w:spacing w:before="120" w:after="120" w:line="240" w:lineRule="auto"/>
              <w:ind w:left="31" w:right="4"/>
              <w:rPr>
                <w:color w:val="auto"/>
                <w:highlight w:val="none"/>
                <w:lang w:eastAsia="en-US"/>
              </w:rPr>
            </w:pPr>
            <w:r>
              <w:rPr>
                <w:color w:val="auto"/>
                <w:highlight w:val="none"/>
                <w:lang w:eastAsia="en-US"/>
              </w:rPr>
              <w:t>吊顶（龙骨、灯具、风口、烟感、喷淋、广播、检修口）</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28CEFC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09E79F07">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FE55C5">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F7B276C">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735A41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0C6E28F4">
        <w:tblPrEx>
          <w:tblCellMar>
            <w:top w:w="0" w:type="dxa"/>
            <w:left w:w="0" w:type="dxa"/>
            <w:bottom w:w="0" w:type="dxa"/>
            <w:right w:w="0" w:type="dxa"/>
          </w:tblCellMar>
        </w:tblPrEx>
        <w:trPr>
          <w:cantSplit/>
          <w:trHeight w:val="454" w:hRule="atLeast"/>
        </w:trPr>
        <w:tc>
          <w:tcPr>
            <w:tcW w:w="1447" w:type="dxa"/>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7508BA5">
            <w:pPr>
              <w:pStyle w:val="561"/>
              <w:widowControl w:val="0"/>
              <w:spacing w:before="120" w:after="120"/>
              <w:ind w:left="31" w:right="582"/>
              <w:rPr>
                <w:color w:val="auto"/>
                <w:highlight w:val="none"/>
                <w:lang w:eastAsia="en-US"/>
              </w:rPr>
            </w:pPr>
          </w:p>
        </w:tc>
        <w:tc>
          <w:tcPr>
            <w:tcW w:w="853"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68B98E3">
            <w:pPr>
              <w:pStyle w:val="561"/>
              <w:widowControl w:val="0"/>
              <w:spacing w:before="120" w:after="120" w:line="240" w:lineRule="auto"/>
              <w:ind w:left="31" w:right="4"/>
              <w:rPr>
                <w:color w:val="auto"/>
                <w:highlight w:val="none"/>
                <w:lang w:eastAsia="en-US"/>
              </w:rPr>
            </w:pPr>
            <w:r>
              <w:rPr>
                <w:color w:val="auto"/>
                <w:highlight w:val="none"/>
                <w:lang w:eastAsia="en-US"/>
              </w:rPr>
              <w:t>004</w:t>
            </w:r>
          </w:p>
        </w:tc>
        <w:tc>
          <w:tcPr>
            <w:tcW w:w="2129"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39F2395">
            <w:pPr>
              <w:pStyle w:val="561"/>
              <w:widowControl w:val="0"/>
              <w:spacing w:before="120" w:after="120" w:line="240" w:lineRule="auto"/>
              <w:ind w:left="31" w:right="4"/>
              <w:rPr>
                <w:color w:val="auto"/>
                <w:highlight w:val="none"/>
                <w:lang w:eastAsia="en-US"/>
              </w:rPr>
            </w:pPr>
            <w:r>
              <w:rPr>
                <w:color w:val="auto"/>
                <w:highlight w:val="none"/>
                <w:lang w:eastAsia="en-US"/>
              </w:rPr>
              <w:t>电气开关插座定位</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D623FE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1061FE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A88A02D">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105414A">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EC32E3E">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0538DF20">
        <w:tblPrEx>
          <w:tblCellMar>
            <w:top w:w="0" w:type="dxa"/>
            <w:left w:w="0" w:type="dxa"/>
            <w:bottom w:w="0" w:type="dxa"/>
            <w:right w:w="0" w:type="dxa"/>
          </w:tblCellMar>
        </w:tblPrEx>
        <w:trPr>
          <w:cantSplit/>
          <w:trHeight w:val="454" w:hRule="atLeast"/>
        </w:trPr>
        <w:tc>
          <w:tcPr>
            <w:tcW w:w="1447" w:type="dxa"/>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3DD552CA">
            <w:pPr>
              <w:pStyle w:val="561"/>
              <w:widowControl w:val="0"/>
              <w:spacing w:before="120" w:after="120"/>
              <w:ind w:left="31" w:right="582"/>
              <w:rPr>
                <w:color w:val="auto"/>
                <w:highlight w:val="none"/>
                <w:lang w:eastAsia="en-US"/>
              </w:rPr>
            </w:pPr>
          </w:p>
        </w:tc>
        <w:tc>
          <w:tcPr>
            <w:tcW w:w="853"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692B5A1">
            <w:pPr>
              <w:pStyle w:val="561"/>
              <w:widowControl w:val="0"/>
              <w:spacing w:before="120" w:after="120" w:line="240" w:lineRule="auto"/>
              <w:ind w:left="31" w:right="4"/>
              <w:rPr>
                <w:color w:val="auto"/>
                <w:highlight w:val="none"/>
                <w:lang w:eastAsia="en-US"/>
              </w:rPr>
            </w:pPr>
            <w:r>
              <w:rPr>
                <w:color w:val="auto"/>
                <w:highlight w:val="none"/>
                <w:lang w:eastAsia="en-US"/>
              </w:rPr>
              <w:t>005</w:t>
            </w:r>
          </w:p>
        </w:tc>
        <w:tc>
          <w:tcPr>
            <w:tcW w:w="2129"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D0302C4">
            <w:pPr>
              <w:pStyle w:val="561"/>
              <w:widowControl w:val="0"/>
              <w:spacing w:before="120" w:after="120" w:line="240" w:lineRule="auto"/>
              <w:ind w:left="31" w:right="4"/>
              <w:rPr>
                <w:color w:val="auto"/>
                <w:highlight w:val="none"/>
                <w:lang w:eastAsia="en-US"/>
              </w:rPr>
            </w:pPr>
            <w:r>
              <w:rPr>
                <w:color w:val="auto"/>
                <w:highlight w:val="none"/>
                <w:lang w:eastAsia="en-US"/>
              </w:rPr>
              <w:t>隔断</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6507993">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721BD6E">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D23653B">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FC493E0">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53ABA80">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17CC42A2">
        <w:tblPrEx>
          <w:tblCellMar>
            <w:top w:w="0" w:type="dxa"/>
            <w:left w:w="0" w:type="dxa"/>
            <w:bottom w:w="0" w:type="dxa"/>
            <w:right w:w="0" w:type="dxa"/>
          </w:tblCellMar>
        </w:tblPrEx>
        <w:trPr>
          <w:cantSplit/>
          <w:trHeight w:val="454" w:hRule="atLeast"/>
        </w:trPr>
        <w:tc>
          <w:tcPr>
            <w:tcW w:w="1447" w:type="dxa"/>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03791C7E">
            <w:pPr>
              <w:pStyle w:val="561"/>
              <w:widowControl w:val="0"/>
              <w:spacing w:before="120" w:after="120"/>
              <w:ind w:left="31" w:right="582"/>
              <w:rPr>
                <w:color w:val="auto"/>
                <w:highlight w:val="none"/>
                <w:lang w:eastAsia="en-US"/>
              </w:rPr>
            </w:pPr>
          </w:p>
        </w:tc>
        <w:tc>
          <w:tcPr>
            <w:tcW w:w="853"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2FB6ECC">
            <w:pPr>
              <w:pStyle w:val="561"/>
              <w:widowControl w:val="0"/>
              <w:spacing w:before="120" w:after="120" w:line="240" w:lineRule="auto"/>
              <w:ind w:left="31" w:right="4"/>
              <w:rPr>
                <w:color w:val="auto"/>
                <w:highlight w:val="none"/>
                <w:lang w:eastAsia="en-US"/>
              </w:rPr>
            </w:pPr>
            <w:r>
              <w:rPr>
                <w:color w:val="auto"/>
                <w:highlight w:val="none"/>
                <w:lang w:eastAsia="en-US"/>
              </w:rPr>
              <w:t>006</w:t>
            </w:r>
          </w:p>
        </w:tc>
        <w:tc>
          <w:tcPr>
            <w:tcW w:w="2129"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5411B4A">
            <w:pPr>
              <w:pStyle w:val="561"/>
              <w:widowControl w:val="0"/>
              <w:spacing w:before="120" w:after="120" w:line="240" w:lineRule="auto"/>
              <w:ind w:left="31" w:right="4"/>
              <w:rPr>
                <w:color w:val="auto"/>
                <w:highlight w:val="none"/>
                <w:lang w:eastAsia="en-US"/>
              </w:rPr>
            </w:pPr>
            <w:r>
              <w:rPr>
                <w:color w:val="auto"/>
                <w:highlight w:val="none"/>
                <w:lang w:eastAsia="en-US"/>
              </w:rPr>
              <w:t>地面（示意性拼花、材料）</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A5777E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9171EA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45CEA25">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C13358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5263906">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5ACF4C32">
        <w:tblPrEx>
          <w:tblCellMar>
            <w:top w:w="0" w:type="dxa"/>
            <w:left w:w="0" w:type="dxa"/>
            <w:bottom w:w="0" w:type="dxa"/>
            <w:right w:w="0" w:type="dxa"/>
          </w:tblCellMar>
        </w:tblPrEx>
        <w:trPr>
          <w:cantSplit/>
          <w:trHeight w:val="454" w:hRule="atLeast"/>
        </w:trPr>
        <w:tc>
          <w:tcPr>
            <w:tcW w:w="1447" w:type="dxa"/>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6C75CF9E">
            <w:pPr>
              <w:pStyle w:val="561"/>
              <w:widowControl w:val="0"/>
              <w:spacing w:before="120" w:after="120"/>
              <w:ind w:left="31" w:right="582"/>
              <w:rPr>
                <w:color w:val="auto"/>
                <w:highlight w:val="none"/>
                <w:lang w:eastAsia="en-US"/>
              </w:rPr>
            </w:pPr>
          </w:p>
        </w:tc>
        <w:tc>
          <w:tcPr>
            <w:tcW w:w="853"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D178299">
            <w:pPr>
              <w:pStyle w:val="561"/>
              <w:widowControl w:val="0"/>
              <w:spacing w:before="120" w:after="120" w:line="240" w:lineRule="auto"/>
              <w:ind w:left="31" w:right="4"/>
              <w:rPr>
                <w:color w:val="auto"/>
                <w:highlight w:val="none"/>
                <w:lang w:eastAsia="en-US"/>
              </w:rPr>
            </w:pPr>
            <w:r>
              <w:rPr>
                <w:color w:val="auto"/>
                <w:highlight w:val="none"/>
                <w:lang w:eastAsia="en-US"/>
              </w:rPr>
              <w:t>007</w:t>
            </w:r>
          </w:p>
        </w:tc>
        <w:tc>
          <w:tcPr>
            <w:tcW w:w="2129"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7700B473">
            <w:pPr>
              <w:pStyle w:val="561"/>
              <w:widowControl w:val="0"/>
              <w:spacing w:before="120" w:after="120" w:line="239" w:lineRule="exact"/>
              <w:ind w:left="31"/>
              <w:rPr>
                <w:color w:val="auto"/>
                <w:highlight w:val="none"/>
                <w:lang w:eastAsia="en-US"/>
              </w:rPr>
            </w:pPr>
            <w:r>
              <w:rPr>
                <w:color w:val="auto"/>
                <w:highlight w:val="none"/>
                <w:lang w:eastAsia="en-US"/>
              </w:rPr>
              <w:t>墙面（插座、开关、通讯、空调控制器、消防操控按钮、安全出口指示、机电末端）</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17BAB19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0EBD065">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D5C855E">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E89EF52">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FB4F1EA">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19F680E4">
        <w:tblPrEx>
          <w:tblCellMar>
            <w:top w:w="0" w:type="dxa"/>
            <w:left w:w="0" w:type="dxa"/>
            <w:bottom w:w="0" w:type="dxa"/>
            <w:right w:w="0" w:type="dxa"/>
          </w:tblCellMar>
        </w:tblPrEx>
        <w:trPr>
          <w:cantSplit/>
          <w:trHeight w:val="454" w:hRule="atLeast"/>
        </w:trPr>
        <w:tc>
          <w:tcPr>
            <w:tcW w:w="1447" w:type="dxa"/>
            <w:vMerge w:val="continue"/>
            <w:tcBorders>
              <w:left w:val="single" w:color="auto" w:sz="4" w:space="0"/>
              <w:right w:val="single" w:color="auto" w:sz="4" w:space="0"/>
            </w:tcBorders>
            <w:noWrap w:val="0"/>
            <w:tcMar>
              <w:top w:w="57" w:type="dxa"/>
              <w:left w:w="57" w:type="dxa"/>
              <w:bottom w:w="57" w:type="dxa"/>
              <w:right w:w="57" w:type="dxa"/>
            </w:tcMar>
            <w:textDirection w:val="tbRl"/>
            <w:vAlign w:val="center"/>
          </w:tcPr>
          <w:p w14:paraId="6A6CC152">
            <w:pPr>
              <w:pStyle w:val="561"/>
              <w:widowControl w:val="0"/>
              <w:spacing w:before="120" w:after="120"/>
              <w:ind w:left="31" w:right="582"/>
              <w:rPr>
                <w:color w:val="auto"/>
                <w:highlight w:val="none"/>
                <w:lang w:eastAsia="en-US"/>
              </w:rPr>
            </w:pPr>
          </w:p>
        </w:tc>
        <w:tc>
          <w:tcPr>
            <w:tcW w:w="853"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DABC5B1">
            <w:pPr>
              <w:pStyle w:val="561"/>
              <w:widowControl w:val="0"/>
              <w:spacing w:before="120" w:after="120" w:line="240" w:lineRule="auto"/>
              <w:ind w:left="31" w:right="4"/>
              <w:rPr>
                <w:color w:val="auto"/>
                <w:highlight w:val="none"/>
                <w:lang w:eastAsia="en-US"/>
              </w:rPr>
            </w:pPr>
            <w:r>
              <w:rPr>
                <w:color w:val="auto"/>
                <w:highlight w:val="none"/>
                <w:lang w:eastAsia="en-US"/>
              </w:rPr>
              <w:t>008</w:t>
            </w:r>
          </w:p>
        </w:tc>
        <w:tc>
          <w:tcPr>
            <w:tcW w:w="2129"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4ED9609">
            <w:pPr>
              <w:pStyle w:val="561"/>
              <w:widowControl w:val="0"/>
              <w:spacing w:before="120" w:after="120" w:line="240" w:lineRule="auto"/>
              <w:ind w:left="31" w:right="4"/>
              <w:rPr>
                <w:color w:val="auto"/>
                <w:highlight w:val="none"/>
                <w:lang w:eastAsia="en-US"/>
              </w:rPr>
            </w:pPr>
            <w:r>
              <w:rPr>
                <w:color w:val="auto"/>
                <w:highlight w:val="none"/>
                <w:lang w:eastAsia="en-US"/>
              </w:rPr>
              <w:t>门窗精确定位</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21B1B5E8">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O（可审）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6C553656">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C（条件必审）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7B0DF79">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3B9C912E">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c>
          <w:tcPr>
            <w:tcW w:w="1784"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4E9F7E13">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M（必审）</w:t>
            </w:r>
          </w:p>
        </w:tc>
      </w:tr>
      <w:tr w14:paraId="13CFA82E">
        <w:tblPrEx>
          <w:tblCellMar>
            <w:top w:w="0" w:type="dxa"/>
            <w:left w:w="0" w:type="dxa"/>
            <w:bottom w:w="0" w:type="dxa"/>
            <w:right w:w="0" w:type="dxa"/>
          </w:tblCellMar>
        </w:tblPrEx>
        <w:trPr>
          <w:cantSplit/>
          <w:trHeight w:val="454" w:hRule="atLeast"/>
        </w:trPr>
        <w:tc>
          <w:tcPr>
            <w:tcW w:w="1447" w:type="dxa"/>
            <w:vMerge w:val="continue"/>
            <w:tcBorders>
              <w:left w:val="single" w:color="auto" w:sz="4" w:space="0"/>
              <w:bottom w:val="single" w:color="auto" w:sz="4" w:space="0"/>
              <w:right w:val="single" w:color="auto" w:sz="4" w:space="0"/>
            </w:tcBorders>
            <w:noWrap w:val="0"/>
            <w:tcMar>
              <w:top w:w="57" w:type="dxa"/>
              <w:left w:w="57" w:type="dxa"/>
              <w:bottom w:w="57" w:type="dxa"/>
              <w:right w:w="57" w:type="dxa"/>
            </w:tcMar>
            <w:textDirection w:val="tbRl"/>
            <w:vAlign w:val="center"/>
          </w:tcPr>
          <w:p w14:paraId="48084940">
            <w:pPr>
              <w:pStyle w:val="561"/>
              <w:widowControl w:val="0"/>
              <w:spacing w:before="120" w:after="120"/>
              <w:ind w:left="31" w:right="582"/>
              <w:rPr>
                <w:color w:val="auto"/>
                <w:highlight w:val="none"/>
                <w:lang w:eastAsia="en-US"/>
              </w:rPr>
            </w:pPr>
          </w:p>
        </w:tc>
        <w:tc>
          <w:tcPr>
            <w:tcW w:w="11902" w:type="dxa"/>
            <w:gridSpan w:val="7"/>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14:paraId="52599111">
            <w:pPr>
              <w:pStyle w:val="561"/>
              <w:widowControl w:val="0"/>
              <w:spacing w:before="120" w:after="120" w:line="240" w:lineRule="auto"/>
              <w:ind w:left="31" w:right="4"/>
              <w:rPr>
                <w:color w:val="auto"/>
                <w:highlight w:val="none"/>
                <w:lang w:eastAsia="en-US"/>
              </w:rPr>
            </w:pPr>
            <w:r>
              <w:rPr>
                <w:rFonts w:hint="eastAsia"/>
                <w:color w:val="auto"/>
                <w:highlight w:val="none"/>
                <w:lang w:eastAsia="en-US"/>
              </w:rPr>
              <w:t>注：M（必审）表示：总协调方必须审核的内容；C（条件必审）表示：实际情况具备时应进行审核的内容；O（可审）表示总协调方可自行判断是否需要审核的内容。</w:t>
            </w:r>
          </w:p>
        </w:tc>
      </w:tr>
    </w:tbl>
    <w:p w14:paraId="636AF5C4">
      <w:pPr>
        <w:spacing w:before="120" w:after="120"/>
        <w:rPr>
          <w:color w:val="auto"/>
          <w:highlight w:val="none"/>
        </w:rPr>
        <w:sectPr>
          <w:pgSz w:w="16840" w:h="11910" w:orient="landscape"/>
          <w:pgMar w:top="1440" w:right="1800" w:bottom="1440" w:left="1800" w:header="907" w:footer="953" w:gutter="0"/>
          <w:pgNumType w:fmt="numberInDash"/>
          <w:cols w:space="720" w:num="1"/>
        </w:sectPr>
      </w:pPr>
    </w:p>
    <w:p w14:paraId="64E2B497">
      <w:pPr>
        <w:tabs>
          <w:tab w:val="left" w:pos="0"/>
          <w:tab w:val="left" w:pos="5424"/>
        </w:tabs>
        <w:spacing w:before="120" w:after="120"/>
        <w:ind w:firstLine="0" w:firstLineChars="0"/>
        <w:outlineLvl w:val="1"/>
        <w:rPr>
          <w:rFonts w:cs="Times New Roman"/>
          <w:color w:val="auto"/>
          <w:highlight w:val="none"/>
        </w:rPr>
      </w:pPr>
      <w:bookmarkStart w:id="344" w:name="_bookmark44"/>
      <w:bookmarkEnd w:id="344"/>
      <w:bookmarkStart w:id="345" w:name="_Toc12215"/>
      <w:bookmarkStart w:id="346" w:name="_Toc15622"/>
      <w:bookmarkStart w:id="347" w:name="_Toc322"/>
      <w:bookmarkStart w:id="348" w:name="_Toc32275"/>
      <w:bookmarkStart w:id="349" w:name="_Toc992"/>
      <w:bookmarkStart w:id="350" w:name="_Toc14779"/>
      <w:bookmarkStart w:id="351" w:name="_Toc28071"/>
      <w:bookmarkStart w:id="352" w:name="_Toc140219109"/>
      <w:bookmarkStart w:id="353" w:name="_Toc12783"/>
      <w:bookmarkStart w:id="354" w:name="_Toc17409"/>
      <w:bookmarkStart w:id="355" w:name="_Toc4040"/>
      <w:bookmarkStart w:id="356" w:name="_Toc18081"/>
      <w:bookmarkStart w:id="357" w:name="_Toc12650"/>
      <w:bookmarkStart w:id="358" w:name="_Toc2683"/>
      <w:bookmarkStart w:id="359" w:name="_Toc144"/>
      <w:bookmarkStart w:id="360" w:name="_Toc26299"/>
      <w:bookmarkStart w:id="361" w:name="_Toc2049"/>
      <w:bookmarkStart w:id="362" w:name="_Toc16409"/>
      <w:bookmarkStart w:id="363" w:name="_Toc16704"/>
      <w:bookmarkStart w:id="364" w:name="_Toc28430"/>
      <w:bookmarkStart w:id="365" w:name="_Toc19867"/>
      <w:bookmarkStart w:id="366" w:name="_Toc14771"/>
      <w:r>
        <w:rPr>
          <w:rFonts w:eastAsia="黑体" w:cs="Times New Roman"/>
          <w:bCs/>
          <w:color w:val="auto"/>
          <w:sz w:val="28"/>
          <w:szCs w:val="44"/>
          <w:highlight w:val="none"/>
        </w:rPr>
        <w:t>附表5  项目各阶段BIM实施应用点</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54256904">
      <w:pPr>
        <w:spacing w:before="120" w:afterLines="0"/>
        <w:jc w:val="center"/>
        <w:rPr>
          <w:rFonts w:ascii="宋体" w:hAnsi="宋体" w:eastAsia="黑体" w:cs="Times New Roman"/>
          <w:color w:val="auto"/>
          <w:szCs w:val="20"/>
          <w:highlight w:val="none"/>
        </w:rPr>
      </w:pPr>
      <w:r>
        <w:rPr>
          <w:rFonts w:ascii="宋体" w:hAnsi="宋体" w:eastAsia="黑体" w:cs="Times New Roman"/>
          <w:color w:val="auto"/>
          <w:szCs w:val="20"/>
          <w:highlight w:val="none"/>
        </w:rPr>
        <w:t>5.</w:t>
      </w:r>
      <w:r>
        <w:rPr>
          <w:rFonts w:hint="eastAsia" w:ascii="宋体" w:hAnsi="宋体" w:eastAsia="黑体" w:cs="Times New Roman"/>
          <w:color w:val="auto"/>
          <w:szCs w:val="20"/>
          <w:highlight w:val="none"/>
        </w:rPr>
        <w:t>1 设计</w:t>
      </w:r>
      <w:r>
        <w:rPr>
          <w:rFonts w:ascii="宋体" w:hAnsi="宋体" w:eastAsia="黑体" w:cs="Times New Roman"/>
          <w:color w:val="auto"/>
          <w:szCs w:val="20"/>
          <w:highlight w:val="none"/>
        </w:rPr>
        <w:t>阶段BIM实施应用点</w:t>
      </w:r>
    </w:p>
    <w:tbl>
      <w:tblPr>
        <w:tblStyle w:val="5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2899"/>
        <w:gridCol w:w="7400"/>
        <w:gridCol w:w="2060"/>
      </w:tblGrid>
      <w:tr w14:paraId="4B9B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noWrap w:val="0"/>
            <w:tcMar>
              <w:top w:w="113" w:type="dxa"/>
              <w:left w:w="108" w:type="dxa"/>
              <w:bottom w:w="113" w:type="dxa"/>
              <w:right w:w="108" w:type="dxa"/>
            </w:tcMar>
            <w:vAlign w:val="center"/>
          </w:tcPr>
          <w:p w14:paraId="5A2B134F">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应用</w:t>
            </w:r>
            <w:r>
              <w:rPr>
                <w:rFonts w:hint="eastAsia"/>
                <w:color w:val="auto"/>
                <w:highlight w:val="none"/>
                <w:lang w:val="en-US"/>
              </w:rPr>
              <w:t>阶段</w:t>
            </w:r>
          </w:p>
        </w:tc>
        <w:tc>
          <w:tcPr>
            <w:tcW w:w="1023" w:type="pct"/>
            <w:noWrap w:val="0"/>
            <w:tcMar>
              <w:top w:w="113" w:type="dxa"/>
              <w:left w:w="108" w:type="dxa"/>
              <w:bottom w:w="113" w:type="dxa"/>
              <w:right w:w="108" w:type="dxa"/>
            </w:tcMar>
            <w:vAlign w:val="center"/>
          </w:tcPr>
          <w:p w14:paraId="60DD103F">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应用点</w:t>
            </w:r>
          </w:p>
        </w:tc>
        <w:tc>
          <w:tcPr>
            <w:tcW w:w="2611" w:type="pct"/>
            <w:noWrap w:val="0"/>
            <w:tcMar>
              <w:top w:w="113" w:type="dxa"/>
              <w:left w:w="108" w:type="dxa"/>
              <w:bottom w:w="113" w:type="dxa"/>
              <w:right w:w="108" w:type="dxa"/>
            </w:tcMar>
            <w:vAlign w:val="center"/>
          </w:tcPr>
          <w:p w14:paraId="172D96DE">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工作内容</w:t>
            </w:r>
          </w:p>
        </w:tc>
        <w:tc>
          <w:tcPr>
            <w:tcW w:w="727" w:type="pct"/>
            <w:noWrap w:val="0"/>
            <w:tcMar>
              <w:top w:w="113" w:type="dxa"/>
              <w:left w:w="108" w:type="dxa"/>
              <w:bottom w:w="113" w:type="dxa"/>
              <w:right w:w="108" w:type="dxa"/>
            </w:tcMar>
            <w:vAlign w:val="center"/>
          </w:tcPr>
          <w:p w14:paraId="35F088E7">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实施单位</w:t>
            </w:r>
          </w:p>
        </w:tc>
      </w:tr>
      <w:tr w14:paraId="5E49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restart"/>
            <w:noWrap/>
            <w:tcMar>
              <w:top w:w="113" w:type="dxa"/>
              <w:left w:w="108" w:type="dxa"/>
              <w:bottom w:w="113" w:type="dxa"/>
              <w:right w:w="108" w:type="dxa"/>
            </w:tcMar>
            <w:vAlign w:val="center"/>
          </w:tcPr>
          <w:p w14:paraId="0CBE1BCF">
            <w:pPr>
              <w:pStyle w:val="561"/>
              <w:ind w:left="31"/>
              <w:rPr>
                <w:rFonts w:ascii="Times New Roman" w:hAnsi="Times New Roman" w:cs="Times New Roman"/>
                <w:color w:val="auto"/>
                <w:kern w:val="2"/>
                <w:szCs w:val="24"/>
                <w:highlight w:val="none"/>
              </w:rPr>
            </w:pPr>
            <w:r>
              <w:rPr>
                <w:rFonts w:hint="eastAsia"/>
                <w:color w:val="auto"/>
                <w:highlight w:val="none"/>
                <w:lang w:val="en-US"/>
              </w:rPr>
              <w:t>方案</w:t>
            </w:r>
            <w:r>
              <w:rPr>
                <w:rFonts w:ascii="Times New Roman" w:hAnsi="Times New Roman" w:cs="Times New Roman"/>
                <w:color w:val="auto"/>
                <w:kern w:val="2"/>
                <w:szCs w:val="24"/>
                <w:highlight w:val="none"/>
              </w:rPr>
              <w:t>设计</w:t>
            </w:r>
            <w:r>
              <w:rPr>
                <w:rFonts w:ascii="Times New Roman" w:hAnsi="Times New Roman" w:cs="Times New Roman"/>
                <w:color w:val="auto"/>
                <w:kern w:val="2"/>
                <w:szCs w:val="24"/>
                <w:highlight w:val="none"/>
                <w:lang w:val="en-US"/>
              </w:rPr>
              <w:t>阶段</w:t>
            </w:r>
            <w:r>
              <w:rPr>
                <w:rFonts w:ascii="Times New Roman" w:hAnsi="Times New Roman" w:cs="Times New Roman"/>
                <w:color w:val="auto"/>
                <w:kern w:val="2"/>
                <w:szCs w:val="24"/>
                <w:highlight w:val="none"/>
              </w:rPr>
              <w:t>BIM应用内容和要求</w:t>
            </w:r>
          </w:p>
        </w:tc>
        <w:tc>
          <w:tcPr>
            <w:tcW w:w="1023" w:type="pct"/>
            <w:noWrap/>
            <w:tcMar>
              <w:top w:w="113" w:type="dxa"/>
              <w:left w:w="108" w:type="dxa"/>
              <w:bottom w:w="113" w:type="dxa"/>
              <w:right w:w="108" w:type="dxa"/>
            </w:tcMar>
            <w:vAlign w:val="center"/>
          </w:tcPr>
          <w:p w14:paraId="0F83508C">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lang w:val="en-US"/>
              </w:rPr>
              <w:t>1</w:t>
            </w:r>
            <w:r>
              <w:rPr>
                <w:rFonts w:ascii="Times New Roman" w:hAnsi="Times New Roman" w:cs="Times New Roman"/>
                <w:color w:val="auto"/>
                <w:kern w:val="2"/>
                <w:szCs w:val="24"/>
                <w:highlight w:val="none"/>
              </w:rPr>
              <w:t>.</w:t>
            </w:r>
            <w:r>
              <w:rPr>
                <w:rFonts w:ascii="Times New Roman" w:hAnsi="Times New Roman" w:cs="Times New Roman"/>
                <w:color w:val="auto"/>
                <w:kern w:val="2"/>
                <w:szCs w:val="24"/>
                <w:highlight w:val="none"/>
                <w:lang w:val="en-US"/>
              </w:rPr>
              <w:t>制定</w:t>
            </w:r>
            <w:r>
              <w:rPr>
                <w:rFonts w:ascii="Times New Roman" w:hAnsi="Times New Roman" w:cs="Times New Roman"/>
                <w:color w:val="auto"/>
                <w:kern w:val="2"/>
                <w:szCs w:val="24"/>
                <w:highlight w:val="none"/>
              </w:rPr>
              <w:t>《设计</w:t>
            </w:r>
            <w:r>
              <w:rPr>
                <w:rFonts w:ascii="Times New Roman" w:hAnsi="Times New Roman" w:cs="Times New Roman"/>
                <w:color w:val="auto"/>
                <w:kern w:val="2"/>
                <w:szCs w:val="24"/>
                <w:highlight w:val="none"/>
                <w:lang w:val="en-US"/>
              </w:rPr>
              <w:t>阶段</w:t>
            </w:r>
            <w:r>
              <w:rPr>
                <w:rFonts w:ascii="Times New Roman" w:hAnsi="Times New Roman" w:cs="Times New Roman"/>
                <w:color w:val="auto"/>
                <w:kern w:val="2"/>
                <w:szCs w:val="24"/>
                <w:highlight w:val="none"/>
              </w:rPr>
              <w:t>BIM实施方案》</w:t>
            </w:r>
          </w:p>
        </w:tc>
        <w:tc>
          <w:tcPr>
            <w:tcW w:w="2611" w:type="pct"/>
            <w:noWrap w:val="0"/>
            <w:tcMar>
              <w:top w:w="113" w:type="dxa"/>
              <w:left w:w="108" w:type="dxa"/>
              <w:bottom w:w="113" w:type="dxa"/>
              <w:right w:w="108" w:type="dxa"/>
            </w:tcMar>
            <w:vAlign w:val="center"/>
          </w:tcPr>
          <w:p w14:paraId="30E6824C">
            <w:pPr>
              <w:pStyle w:val="585"/>
              <w:jc w:val="left"/>
              <w:rPr>
                <w:color w:val="auto"/>
                <w:highlight w:val="none"/>
              </w:rPr>
            </w:pPr>
            <w:r>
              <w:rPr>
                <w:color w:val="auto"/>
                <w:highlight w:val="none"/>
              </w:rPr>
              <w:t>设计单位编制本项目的《设计阶段BIM实施方案》，并作为项目设计BIM实施的依据。</w:t>
            </w:r>
          </w:p>
        </w:tc>
        <w:tc>
          <w:tcPr>
            <w:tcW w:w="727" w:type="pct"/>
            <w:noWrap w:val="0"/>
            <w:tcMar>
              <w:top w:w="113" w:type="dxa"/>
              <w:left w:w="108" w:type="dxa"/>
              <w:bottom w:w="113" w:type="dxa"/>
              <w:right w:w="108" w:type="dxa"/>
            </w:tcMar>
            <w:vAlign w:val="center"/>
          </w:tcPr>
          <w:p w14:paraId="1CE14FEA">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设计单位</w:t>
            </w:r>
          </w:p>
        </w:tc>
      </w:tr>
      <w:tr w14:paraId="509C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59ED2ADF">
            <w:pPr>
              <w:pStyle w:val="561"/>
              <w:ind w:left="31"/>
              <w:rPr>
                <w:rFonts w:ascii="Times New Roman" w:hAnsi="Times New Roman" w:cs="Times New Roman"/>
                <w:color w:val="auto"/>
                <w:kern w:val="2"/>
                <w:szCs w:val="24"/>
                <w:highlight w:val="none"/>
              </w:rPr>
            </w:pPr>
          </w:p>
        </w:tc>
        <w:tc>
          <w:tcPr>
            <w:tcW w:w="1023" w:type="pct"/>
            <w:noWrap/>
            <w:tcMar>
              <w:top w:w="113" w:type="dxa"/>
              <w:left w:w="108" w:type="dxa"/>
              <w:bottom w:w="113" w:type="dxa"/>
              <w:right w:w="108" w:type="dxa"/>
            </w:tcMar>
            <w:vAlign w:val="center"/>
          </w:tcPr>
          <w:p w14:paraId="513B3B11">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lang w:val="en-US"/>
              </w:rPr>
              <w:t>2</w:t>
            </w:r>
            <w:r>
              <w:rPr>
                <w:rFonts w:ascii="Times New Roman" w:hAnsi="Times New Roman" w:cs="Times New Roman"/>
                <w:color w:val="auto"/>
                <w:kern w:val="2"/>
                <w:szCs w:val="24"/>
                <w:highlight w:val="none"/>
              </w:rPr>
              <w:t>.评审《设计</w:t>
            </w:r>
            <w:r>
              <w:rPr>
                <w:rFonts w:ascii="Times New Roman" w:hAnsi="Times New Roman" w:cs="Times New Roman"/>
                <w:color w:val="auto"/>
                <w:kern w:val="2"/>
                <w:szCs w:val="24"/>
                <w:highlight w:val="none"/>
                <w:lang w:val="en-US"/>
              </w:rPr>
              <w:t>阶段</w:t>
            </w:r>
            <w:r>
              <w:rPr>
                <w:rFonts w:ascii="Times New Roman" w:hAnsi="Times New Roman" w:cs="Times New Roman"/>
                <w:color w:val="auto"/>
                <w:kern w:val="2"/>
                <w:szCs w:val="24"/>
                <w:highlight w:val="none"/>
              </w:rPr>
              <w:t>BIM实施方案》</w:t>
            </w:r>
          </w:p>
        </w:tc>
        <w:tc>
          <w:tcPr>
            <w:tcW w:w="2611" w:type="pct"/>
            <w:noWrap w:val="0"/>
            <w:tcMar>
              <w:top w:w="113" w:type="dxa"/>
              <w:left w:w="108" w:type="dxa"/>
              <w:bottom w:w="113" w:type="dxa"/>
              <w:right w:w="108" w:type="dxa"/>
            </w:tcMar>
            <w:vAlign w:val="center"/>
          </w:tcPr>
          <w:p w14:paraId="78F90132">
            <w:pPr>
              <w:pStyle w:val="585"/>
              <w:rPr>
                <w:color w:val="auto"/>
                <w:highlight w:val="none"/>
              </w:rPr>
            </w:pPr>
            <w:r>
              <w:rPr>
                <w:color w:val="auto"/>
                <w:highlight w:val="none"/>
              </w:rPr>
              <w:t>咨询单位组织对本项目的《设计阶段BIM实施方案》进行评审，经评审通过的《设计阶段BIM实施方案》方可作为正式的实施依据。</w:t>
            </w:r>
          </w:p>
        </w:tc>
        <w:tc>
          <w:tcPr>
            <w:tcW w:w="727" w:type="pct"/>
            <w:noWrap w:val="0"/>
            <w:tcMar>
              <w:top w:w="113" w:type="dxa"/>
              <w:left w:w="108" w:type="dxa"/>
              <w:bottom w:w="113" w:type="dxa"/>
              <w:right w:w="108" w:type="dxa"/>
            </w:tcMar>
            <w:vAlign w:val="center"/>
          </w:tcPr>
          <w:p w14:paraId="56C7E741">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lang w:val="en-US"/>
              </w:rPr>
              <w:t>咨询</w:t>
            </w:r>
            <w:r>
              <w:rPr>
                <w:rFonts w:ascii="Times New Roman" w:hAnsi="Times New Roman" w:cs="Times New Roman"/>
                <w:color w:val="auto"/>
                <w:kern w:val="2"/>
                <w:szCs w:val="24"/>
                <w:highlight w:val="none"/>
              </w:rPr>
              <w:t>单位</w:t>
            </w:r>
          </w:p>
        </w:tc>
      </w:tr>
      <w:tr w14:paraId="6B17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34C52890">
            <w:pPr>
              <w:pStyle w:val="561"/>
              <w:ind w:left="31"/>
              <w:rPr>
                <w:rFonts w:ascii="Times New Roman" w:hAnsi="Times New Roman" w:cs="Times New Roman"/>
                <w:color w:val="auto"/>
                <w:kern w:val="2"/>
                <w:szCs w:val="24"/>
                <w:highlight w:val="none"/>
              </w:rPr>
            </w:pPr>
          </w:p>
        </w:tc>
        <w:tc>
          <w:tcPr>
            <w:tcW w:w="1023" w:type="pct"/>
            <w:noWrap/>
            <w:tcMar>
              <w:top w:w="113" w:type="dxa"/>
              <w:left w:w="108" w:type="dxa"/>
              <w:bottom w:w="113" w:type="dxa"/>
              <w:right w:w="108" w:type="dxa"/>
            </w:tcMar>
            <w:vAlign w:val="center"/>
          </w:tcPr>
          <w:p w14:paraId="438D066B">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lang w:val="en-US"/>
              </w:rPr>
              <w:t>3</w:t>
            </w:r>
            <w:r>
              <w:rPr>
                <w:rFonts w:ascii="Times New Roman" w:hAnsi="Times New Roman" w:cs="Times New Roman"/>
                <w:color w:val="auto"/>
                <w:kern w:val="2"/>
                <w:szCs w:val="24"/>
                <w:highlight w:val="none"/>
              </w:rPr>
              <w:t>.设计BIM模型命名和编码</w:t>
            </w:r>
          </w:p>
        </w:tc>
        <w:tc>
          <w:tcPr>
            <w:tcW w:w="2611" w:type="pct"/>
            <w:noWrap w:val="0"/>
            <w:tcMar>
              <w:top w:w="113" w:type="dxa"/>
              <w:left w:w="108" w:type="dxa"/>
              <w:bottom w:w="113" w:type="dxa"/>
              <w:right w:w="108" w:type="dxa"/>
            </w:tcMar>
            <w:vAlign w:val="center"/>
          </w:tcPr>
          <w:p w14:paraId="313E678D">
            <w:pPr>
              <w:pStyle w:val="585"/>
              <w:rPr>
                <w:color w:val="auto"/>
                <w:highlight w:val="none"/>
              </w:rPr>
            </w:pPr>
            <w:r>
              <w:rPr>
                <w:color w:val="auto"/>
                <w:highlight w:val="none"/>
              </w:rPr>
              <w:t>设计单位依据《广东省代建局政府公共工程BIM实施管理标准》和《广东省代建局政府公共工程BIM实施导则》编制本项目设计BIM模型命名和编码规则。</w:t>
            </w:r>
          </w:p>
        </w:tc>
        <w:tc>
          <w:tcPr>
            <w:tcW w:w="727" w:type="pct"/>
            <w:noWrap w:val="0"/>
            <w:tcMar>
              <w:top w:w="113" w:type="dxa"/>
              <w:left w:w="108" w:type="dxa"/>
              <w:bottom w:w="113" w:type="dxa"/>
              <w:right w:w="108" w:type="dxa"/>
            </w:tcMar>
            <w:vAlign w:val="center"/>
          </w:tcPr>
          <w:p w14:paraId="374E79A4">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设计单位</w:t>
            </w:r>
          </w:p>
        </w:tc>
      </w:tr>
      <w:tr w14:paraId="2B6E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055AE4A8">
            <w:pPr>
              <w:pStyle w:val="561"/>
              <w:ind w:left="31"/>
              <w:rPr>
                <w:rFonts w:ascii="Times New Roman" w:hAnsi="Times New Roman" w:cs="Times New Roman"/>
                <w:color w:val="auto"/>
                <w:kern w:val="2"/>
                <w:szCs w:val="24"/>
                <w:highlight w:val="none"/>
              </w:rPr>
            </w:pPr>
          </w:p>
        </w:tc>
        <w:tc>
          <w:tcPr>
            <w:tcW w:w="1023" w:type="pct"/>
            <w:noWrap/>
            <w:tcMar>
              <w:top w:w="113" w:type="dxa"/>
              <w:left w:w="108" w:type="dxa"/>
              <w:bottom w:w="113" w:type="dxa"/>
              <w:right w:w="108" w:type="dxa"/>
            </w:tcMar>
            <w:vAlign w:val="center"/>
          </w:tcPr>
          <w:p w14:paraId="64A84080">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lang w:val="en-US"/>
              </w:rPr>
              <w:t>4</w:t>
            </w:r>
            <w:r>
              <w:rPr>
                <w:rFonts w:ascii="Times New Roman" w:hAnsi="Times New Roman" w:cs="Times New Roman"/>
                <w:color w:val="auto"/>
                <w:kern w:val="2"/>
                <w:szCs w:val="24"/>
                <w:highlight w:val="none"/>
              </w:rPr>
              <w:t>.设计BIM模型创建</w:t>
            </w:r>
          </w:p>
        </w:tc>
        <w:tc>
          <w:tcPr>
            <w:tcW w:w="2611" w:type="pct"/>
            <w:noWrap w:val="0"/>
            <w:tcMar>
              <w:top w:w="113" w:type="dxa"/>
              <w:left w:w="108" w:type="dxa"/>
              <w:bottom w:w="113" w:type="dxa"/>
              <w:right w:w="108" w:type="dxa"/>
            </w:tcMar>
            <w:vAlign w:val="center"/>
          </w:tcPr>
          <w:p w14:paraId="13A0CB9E">
            <w:pPr>
              <w:pStyle w:val="585"/>
              <w:rPr>
                <w:color w:val="auto"/>
                <w:highlight w:val="none"/>
              </w:rPr>
            </w:pPr>
            <w:r>
              <w:rPr>
                <w:color w:val="auto"/>
                <w:highlight w:val="none"/>
              </w:rPr>
              <w:t>设计单位应以《广东省代建局政府公共工程BIM实施管理标准》和《广东省代建局政府公共工程BIM实施导则》为依据，根据项目《设计阶段BIM实施方案》的要求创建设计阶段BIM模型，设计BIM模型是设计BIM的主要成果之一。</w:t>
            </w:r>
          </w:p>
        </w:tc>
        <w:tc>
          <w:tcPr>
            <w:tcW w:w="727" w:type="pct"/>
            <w:noWrap w:val="0"/>
            <w:tcMar>
              <w:top w:w="113" w:type="dxa"/>
              <w:left w:w="108" w:type="dxa"/>
              <w:bottom w:w="113" w:type="dxa"/>
              <w:right w:w="108" w:type="dxa"/>
            </w:tcMar>
            <w:vAlign w:val="center"/>
          </w:tcPr>
          <w:p w14:paraId="579F5612">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设计单位</w:t>
            </w:r>
          </w:p>
        </w:tc>
      </w:tr>
      <w:tr w14:paraId="2C77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restart"/>
            <w:noWrap/>
            <w:tcMar>
              <w:top w:w="113" w:type="dxa"/>
              <w:left w:w="108" w:type="dxa"/>
              <w:bottom w:w="113" w:type="dxa"/>
              <w:right w:w="108" w:type="dxa"/>
            </w:tcMar>
            <w:vAlign w:val="center"/>
          </w:tcPr>
          <w:p w14:paraId="5347360E">
            <w:pPr>
              <w:pStyle w:val="561"/>
              <w:ind w:left="31"/>
              <w:rPr>
                <w:color w:val="auto"/>
                <w:highlight w:val="none"/>
              </w:rPr>
            </w:pPr>
          </w:p>
          <w:p w14:paraId="559D0FCF">
            <w:pPr>
              <w:pStyle w:val="561"/>
              <w:ind w:left="31"/>
              <w:rPr>
                <w:color w:val="auto"/>
                <w:highlight w:val="none"/>
              </w:rPr>
            </w:pPr>
          </w:p>
        </w:tc>
        <w:tc>
          <w:tcPr>
            <w:tcW w:w="1023" w:type="pct"/>
            <w:noWrap/>
            <w:tcMar>
              <w:top w:w="113" w:type="dxa"/>
              <w:left w:w="108" w:type="dxa"/>
              <w:bottom w:w="113" w:type="dxa"/>
              <w:right w:w="108" w:type="dxa"/>
            </w:tcMar>
            <w:vAlign w:val="center"/>
          </w:tcPr>
          <w:p w14:paraId="139F07DC">
            <w:pPr>
              <w:pStyle w:val="561"/>
              <w:ind w:left="31"/>
              <w:rPr>
                <w:color w:val="auto"/>
                <w:highlight w:val="none"/>
                <w:lang w:val="en-US"/>
              </w:rPr>
            </w:pPr>
            <w:r>
              <w:rPr>
                <w:rFonts w:hint="eastAsia"/>
                <w:color w:val="auto"/>
                <w:highlight w:val="none"/>
                <w:lang w:val="en-US"/>
              </w:rPr>
              <w:t>5</w:t>
            </w:r>
            <w:r>
              <w:rPr>
                <w:color w:val="auto"/>
                <w:highlight w:val="none"/>
              </w:rPr>
              <w:t>.规划报批BIM审查</w:t>
            </w:r>
          </w:p>
        </w:tc>
        <w:tc>
          <w:tcPr>
            <w:tcW w:w="2611" w:type="pct"/>
            <w:noWrap w:val="0"/>
            <w:tcMar>
              <w:top w:w="113" w:type="dxa"/>
              <w:left w:w="108" w:type="dxa"/>
              <w:bottom w:w="113" w:type="dxa"/>
              <w:right w:w="108" w:type="dxa"/>
            </w:tcMar>
            <w:vAlign w:val="center"/>
          </w:tcPr>
          <w:p w14:paraId="19B0ADBA">
            <w:pPr>
              <w:pStyle w:val="585"/>
              <w:rPr>
                <w:color w:val="auto"/>
                <w:highlight w:val="none"/>
              </w:rPr>
            </w:pPr>
            <w:r>
              <w:rPr>
                <w:color w:val="auto"/>
                <w:highlight w:val="none"/>
              </w:rPr>
              <w:t>根据相关要求录入规划信息，满足设计方案BIM报批系统审查要求。</w:t>
            </w:r>
          </w:p>
        </w:tc>
        <w:tc>
          <w:tcPr>
            <w:tcW w:w="727" w:type="pct"/>
            <w:noWrap w:val="0"/>
            <w:tcMar>
              <w:top w:w="113" w:type="dxa"/>
              <w:left w:w="108" w:type="dxa"/>
              <w:bottom w:w="113" w:type="dxa"/>
              <w:right w:w="108" w:type="dxa"/>
            </w:tcMar>
            <w:vAlign w:val="center"/>
          </w:tcPr>
          <w:p w14:paraId="74BB088D">
            <w:pPr>
              <w:pStyle w:val="561"/>
              <w:ind w:left="31"/>
              <w:rPr>
                <w:color w:val="auto"/>
                <w:highlight w:val="none"/>
                <w:lang w:val="en-US"/>
              </w:rPr>
            </w:pPr>
            <w:r>
              <w:rPr>
                <w:color w:val="auto"/>
                <w:highlight w:val="none"/>
              </w:rPr>
              <w:t>设计单位</w:t>
            </w:r>
          </w:p>
        </w:tc>
      </w:tr>
      <w:tr w14:paraId="0DE9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3AD14BD4">
            <w:pPr>
              <w:pStyle w:val="561"/>
              <w:ind w:left="31"/>
              <w:rPr>
                <w:color w:val="auto"/>
                <w:highlight w:val="none"/>
              </w:rPr>
            </w:pPr>
          </w:p>
        </w:tc>
        <w:tc>
          <w:tcPr>
            <w:tcW w:w="1023" w:type="pct"/>
            <w:noWrap/>
            <w:tcMar>
              <w:top w:w="113" w:type="dxa"/>
              <w:left w:w="108" w:type="dxa"/>
              <w:bottom w:w="113" w:type="dxa"/>
              <w:right w:w="108" w:type="dxa"/>
            </w:tcMar>
            <w:vAlign w:val="center"/>
          </w:tcPr>
          <w:p w14:paraId="6F74A7E8">
            <w:pPr>
              <w:pStyle w:val="561"/>
              <w:ind w:left="31"/>
              <w:rPr>
                <w:color w:val="auto"/>
                <w:highlight w:val="none"/>
                <w:lang w:val="en-US"/>
              </w:rPr>
            </w:pPr>
            <w:r>
              <w:rPr>
                <w:rFonts w:hint="eastAsia"/>
                <w:color w:val="auto"/>
                <w:highlight w:val="none"/>
                <w:lang w:val="en-US"/>
              </w:rPr>
              <w:t>6</w:t>
            </w:r>
            <w:r>
              <w:rPr>
                <w:rFonts w:hint="eastAsia"/>
                <w:color w:val="auto"/>
                <w:highlight w:val="none"/>
              </w:rPr>
              <w:t>.</w:t>
            </w:r>
            <w:r>
              <w:rPr>
                <w:color w:val="auto"/>
                <w:highlight w:val="none"/>
              </w:rPr>
              <w:t>建筑指标统计分析</w:t>
            </w:r>
          </w:p>
        </w:tc>
        <w:tc>
          <w:tcPr>
            <w:tcW w:w="2611" w:type="pct"/>
            <w:noWrap w:val="0"/>
            <w:tcMar>
              <w:top w:w="113" w:type="dxa"/>
              <w:left w:w="108" w:type="dxa"/>
              <w:bottom w:w="113" w:type="dxa"/>
              <w:right w:w="108" w:type="dxa"/>
            </w:tcMar>
            <w:vAlign w:val="center"/>
          </w:tcPr>
          <w:p w14:paraId="32F01A97">
            <w:pPr>
              <w:pStyle w:val="585"/>
              <w:rPr>
                <w:color w:val="auto"/>
                <w:highlight w:val="none"/>
              </w:rPr>
            </w:pPr>
            <w:r>
              <w:rPr>
                <w:color w:val="auto"/>
                <w:highlight w:val="none"/>
              </w:rPr>
              <w:t>设计单位通过BIM模型计算面积、体积、数量等建筑指标，服务于设计方案的优化、管理和报批工作。</w:t>
            </w:r>
          </w:p>
        </w:tc>
        <w:tc>
          <w:tcPr>
            <w:tcW w:w="727" w:type="pct"/>
            <w:noWrap w:val="0"/>
            <w:tcMar>
              <w:top w:w="113" w:type="dxa"/>
              <w:left w:w="108" w:type="dxa"/>
              <w:bottom w:w="113" w:type="dxa"/>
              <w:right w:w="108" w:type="dxa"/>
            </w:tcMar>
            <w:vAlign w:val="center"/>
          </w:tcPr>
          <w:p w14:paraId="674B6BE4">
            <w:pPr>
              <w:pStyle w:val="561"/>
              <w:ind w:left="31"/>
              <w:rPr>
                <w:color w:val="auto"/>
                <w:highlight w:val="none"/>
                <w:lang w:val="en-US"/>
              </w:rPr>
            </w:pPr>
            <w:r>
              <w:rPr>
                <w:color w:val="auto"/>
                <w:highlight w:val="none"/>
              </w:rPr>
              <w:t>设计单位</w:t>
            </w:r>
          </w:p>
        </w:tc>
      </w:tr>
      <w:tr w14:paraId="3DB2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7BAE1366">
            <w:pPr>
              <w:pStyle w:val="561"/>
              <w:ind w:left="31"/>
              <w:rPr>
                <w:color w:val="auto"/>
                <w:highlight w:val="none"/>
              </w:rPr>
            </w:pPr>
          </w:p>
        </w:tc>
        <w:tc>
          <w:tcPr>
            <w:tcW w:w="1023" w:type="pct"/>
            <w:noWrap/>
            <w:tcMar>
              <w:top w:w="113" w:type="dxa"/>
              <w:left w:w="108" w:type="dxa"/>
              <w:bottom w:w="113" w:type="dxa"/>
              <w:right w:w="108" w:type="dxa"/>
            </w:tcMar>
            <w:vAlign w:val="center"/>
          </w:tcPr>
          <w:p w14:paraId="787B2BDA">
            <w:pPr>
              <w:pStyle w:val="561"/>
              <w:ind w:left="31"/>
              <w:rPr>
                <w:color w:val="auto"/>
                <w:highlight w:val="none"/>
                <w:lang w:val="en-US"/>
              </w:rPr>
            </w:pPr>
            <w:r>
              <w:rPr>
                <w:rFonts w:hint="eastAsia"/>
                <w:color w:val="auto"/>
                <w:highlight w:val="none"/>
                <w:lang w:val="en-US"/>
              </w:rPr>
              <w:t>7.</w:t>
            </w:r>
            <w:r>
              <w:rPr>
                <w:rFonts w:hint="eastAsia"/>
                <w:color w:val="auto"/>
                <w:highlight w:val="none"/>
              </w:rPr>
              <w:t>基于全地形BIM的设计应用</w:t>
            </w:r>
          </w:p>
        </w:tc>
        <w:tc>
          <w:tcPr>
            <w:tcW w:w="2611" w:type="pct"/>
            <w:noWrap w:val="0"/>
            <w:tcMar>
              <w:top w:w="113" w:type="dxa"/>
              <w:left w:w="108" w:type="dxa"/>
              <w:bottom w:w="113" w:type="dxa"/>
              <w:right w:w="108" w:type="dxa"/>
            </w:tcMar>
            <w:vAlign w:val="center"/>
          </w:tcPr>
          <w:p w14:paraId="4EA37DE2">
            <w:pPr>
              <w:pStyle w:val="585"/>
              <w:rPr>
                <w:color w:val="auto"/>
                <w:highlight w:val="none"/>
              </w:rPr>
            </w:pPr>
            <w:r>
              <w:rPr>
                <w:color w:val="auto"/>
                <w:highlight w:val="none"/>
              </w:rPr>
              <w:t>1. 分析工程地质重难点，规避工程风险；</w:t>
            </w:r>
          </w:p>
          <w:p w14:paraId="431355A7">
            <w:pPr>
              <w:pStyle w:val="585"/>
              <w:rPr>
                <w:color w:val="auto"/>
                <w:highlight w:val="none"/>
              </w:rPr>
            </w:pPr>
            <w:r>
              <w:rPr>
                <w:color w:val="auto"/>
                <w:highlight w:val="none"/>
              </w:rPr>
              <w:t>2. 分析项目范围的交通影响，控制项目临时交通成本；</w:t>
            </w:r>
          </w:p>
          <w:p w14:paraId="4B6B9EBB">
            <w:pPr>
              <w:pStyle w:val="585"/>
              <w:rPr>
                <w:color w:val="auto"/>
                <w:highlight w:val="none"/>
              </w:rPr>
            </w:pPr>
            <w:r>
              <w:rPr>
                <w:color w:val="auto"/>
                <w:highlight w:val="none"/>
              </w:rPr>
              <w:t>3. 分析市政管道绿化迁移，控制迁移成本；</w:t>
            </w:r>
          </w:p>
          <w:p w14:paraId="3BB82A17">
            <w:pPr>
              <w:pStyle w:val="585"/>
              <w:rPr>
                <w:color w:val="auto"/>
                <w:highlight w:val="none"/>
              </w:rPr>
            </w:pPr>
            <w:r>
              <w:rPr>
                <w:color w:val="auto"/>
                <w:highlight w:val="none"/>
              </w:rPr>
              <w:t>4. 根据设计方案，模拟分析土方平衡方案和运输，提供优化建议；</w:t>
            </w:r>
          </w:p>
          <w:p w14:paraId="0E872BBB">
            <w:pPr>
              <w:pStyle w:val="585"/>
              <w:rPr>
                <w:color w:val="auto"/>
                <w:highlight w:val="none"/>
              </w:rPr>
            </w:pPr>
            <w:r>
              <w:rPr>
                <w:color w:val="auto"/>
                <w:highlight w:val="none"/>
              </w:rPr>
              <w:t>5. 可结合无人机数据采集，比对场地原始模型和设计地形模型，分析设计方案对场地影响；</w:t>
            </w:r>
          </w:p>
          <w:p w14:paraId="690E5834">
            <w:pPr>
              <w:pStyle w:val="585"/>
              <w:rPr>
                <w:color w:val="auto"/>
                <w:highlight w:val="none"/>
              </w:rPr>
            </w:pPr>
            <w:r>
              <w:rPr>
                <w:color w:val="auto"/>
                <w:highlight w:val="none"/>
              </w:rPr>
              <w:t>6. 根据场地分析、土方设计方案确定土方专项估算和限额目标，辅助土方工程的限额设计和优化；</w:t>
            </w:r>
          </w:p>
          <w:p w14:paraId="49E5DC3E">
            <w:pPr>
              <w:pStyle w:val="585"/>
              <w:rPr>
                <w:color w:val="auto"/>
                <w:highlight w:val="none"/>
              </w:rPr>
            </w:pPr>
            <w:r>
              <w:rPr>
                <w:color w:val="auto"/>
                <w:highlight w:val="none"/>
              </w:rPr>
              <w:t>7. 根据土方挖填量，在投资限额控制下制定工程概算指标；</w:t>
            </w:r>
          </w:p>
          <w:p w14:paraId="7ED4792D">
            <w:pPr>
              <w:pStyle w:val="585"/>
              <w:rPr>
                <w:color w:val="auto"/>
                <w:highlight w:val="none"/>
              </w:rPr>
            </w:pPr>
            <w:r>
              <w:rPr>
                <w:color w:val="auto"/>
                <w:highlight w:val="none"/>
              </w:rPr>
              <w:t>8. 辅助制定及复核清单招标控制价。</w:t>
            </w:r>
          </w:p>
        </w:tc>
        <w:tc>
          <w:tcPr>
            <w:tcW w:w="727" w:type="pct"/>
            <w:noWrap w:val="0"/>
            <w:tcMar>
              <w:top w:w="113" w:type="dxa"/>
              <w:left w:w="108" w:type="dxa"/>
              <w:bottom w:w="113" w:type="dxa"/>
              <w:right w:w="108" w:type="dxa"/>
            </w:tcMar>
            <w:vAlign w:val="center"/>
          </w:tcPr>
          <w:p w14:paraId="02AF566B">
            <w:pPr>
              <w:pStyle w:val="561"/>
              <w:ind w:left="31"/>
              <w:rPr>
                <w:color w:val="auto"/>
                <w:highlight w:val="none"/>
                <w:lang w:val="en-US"/>
              </w:rPr>
            </w:pPr>
            <w:r>
              <w:rPr>
                <w:rFonts w:hint="eastAsia"/>
                <w:color w:val="auto"/>
                <w:highlight w:val="none"/>
                <w:lang w:val="en-US"/>
              </w:rPr>
              <w:t>设计单位</w:t>
            </w:r>
          </w:p>
        </w:tc>
      </w:tr>
      <w:tr w14:paraId="1AD5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restart"/>
            <w:noWrap/>
            <w:tcMar>
              <w:top w:w="113" w:type="dxa"/>
              <w:left w:w="108" w:type="dxa"/>
              <w:bottom w:w="113" w:type="dxa"/>
              <w:right w:w="108" w:type="dxa"/>
            </w:tcMar>
            <w:vAlign w:val="center"/>
          </w:tcPr>
          <w:p w14:paraId="434C911D">
            <w:pPr>
              <w:pStyle w:val="561"/>
              <w:ind w:left="31"/>
              <w:rPr>
                <w:rFonts w:ascii="Times New Roman" w:hAnsi="Times New Roman" w:cs="Times New Roman"/>
                <w:color w:val="auto"/>
                <w:kern w:val="2"/>
                <w:szCs w:val="24"/>
                <w:highlight w:val="none"/>
              </w:rPr>
            </w:pPr>
            <w:r>
              <w:rPr>
                <w:rFonts w:hint="eastAsia"/>
                <w:color w:val="auto"/>
                <w:highlight w:val="none"/>
                <w:lang w:val="en-US"/>
              </w:rPr>
              <w:t>初步</w:t>
            </w:r>
            <w:r>
              <w:rPr>
                <w:rFonts w:hint="eastAsia"/>
                <w:color w:val="auto"/>
                <w:highlight w:val="none"/>
              </w:rPr>
              <w:t>设计阶段BIM应用内容和要求</w:t>
            </w:r>
          </w:p>
        </w:tc>
        <w:tc>
          <w:tcPr>
            <w:tcW w:w="1023" w:type="pct"/>
            <w:noWrap/>
            <w:tcMar>
              <w:top w:w="113" w:type="dxa"/>
              <w:left w:w="108" w:type="dxa"/>
              <w:bottom w:w="113" w:type="dxa"/>
              <w:right w:w="108" w:type="dxa"/>
            </w:tcMar>
            <w:vAlign w:val="center"/>
          </w:tcPr>
          <w:p w14:paraId="2489E89F">
            <w:pPr>
              <w:pStyle w:val="561"/>
              <w:ind w:left="31"/>
              <w:rPr>
                <w:rFonts w:ascii="Times New Roman" w:hAnsi="Times New Roman" w:cs="Times New Roman"/>
                <w:color w:val="auto"/>
                <w:kern w:val="2"/>
                <w:szCs w:val="24"/>
                <w:highlight w:val="none"/>
              </w:rPr>
            </w:pPr>
            <w:r>
              <w:rPr>
                <w:rFonts w:hint="eastAsia"/>
                <w:color w:val="auto"/>
                <w:highlight w:val="none"/>
                <w:lang w:val="en-US"/>
              </w:rPr>
              <w:t>8</w:t>
            </w:r>
            <w:r>
              <w:rPr>
                <w:rFonts w:ascii="Times New Roman" w:hAnsi="Times New Roman" w:cs="Times New Roman"/>
                <w:color w:val="auto"/>
                <w:kern w:val="2"/>
                <w:szCs w:val="24"/>
                <w:highlight w:val="none"/>
              </w:rPr>
              <w:t>.专业综合分析</w:t>
            </w:r>
          </w:p>
        </w:tc>
        <w:tc>
          <w:tcPr>
            <w:tcW w:w="2611" w:type="pct"/>
            <w:noWrap w:val="0"/>
            <w:tcMar>
              <w:top w:w="113" w:type="dxa"/>
              <w:left w:w="108" w:type="dxa"/>
              <w:bottom w:w="113" w:type="dxa"/>
              <w:right w:w="108" w:type="dxa"/>
            </w:tcMar>
            <w:vAlign w:val="center"/>
          </w:tcPr>
          <w:p w14:paraId="5DC73103">
            <w:pPr>
              <w:pStyle w:val="585"/>
              <w:rPr>
                <w:color w:val="auto"/>
                <w:highlight w:val="none"/>
              </w:rPr>
            </w:pPr>
            <w:r>
              <w:rPr>
                <w:color w:val="auto"/>
                <w:highlight w:val="none"/>
              </w:rPr>
              <w:t>设计单位对设计BIM模型进行专业内和专业间综合分析，提供分析报告，解决各专业错漏碰缺的设计问题。</w:t>
            </w:r>
          </w:p>
        </w:tc>
        <w:tc>
          <w:tcPr>
            <w:tcW w:w="727" w:type="pct"/>
            <w:noWrap w:val="0"/>
            <w:tcMar>
              <w:top w:w="113" w:type="dxa"/>
              <w:left w:w="108" w:type="dxa"/>
              <w:bottom w:w="113" w:type="dxa"/>
              <w:right w:w="108" w:type="dxa"/>
            </w:tcMar>
            <w:vAlign w:val="center"/>
          </w:tcPr>
          <w:p w14:paraId="42CBB803">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设计单位</w:t>
            </w:r>
          </w:p>
        </w:tc>
      </w:tr>
      <w:tr w14:paraId="0ED8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41BEEDF9">
            <w:pPr>
              <w:pStyle w:val="561"/>
              <w:ind w:left="31"/>
              <w:rPr>
                <w:rFonts w:ascii="Times New Roman" w:hAnsi="Times New Roman" w:cs="Times New Roman"/>
                <w:color w:val="auto"/>
                <w:kern w:val="2"/>
                <w:szCs w:val="24"/>
                <w:highlight w:val="none"/>
              </w:rPr>
            </w:pPr>
          </w:p>
        </w:tc>
        <w:tc>
          <w:tcPr>
            <w:tcW w:w="1023" w:type="pct"/>
            <w:noWrap/>
            <w:tcMar>
              <w:top w:w="113" w:type="dxa"/>
              <w:left w:w="108" w:type="dxa"/>
              <w:bottom w:w="113" w:type="dxa"/>
              <w:right w:w="108" w:type="dxa"/>
            </w:tcMar>
            <w:vAlign w:val="center"/>
          </w:tcPr>
          <w:p w14:paraId="23CEE220">
            <w:pPr>
              <w:pStyle w:val="561"/>
              <w:ind w:left="31"/>
              <w:rPr>
                <w:rFonts w:ascii="Times New Roman" w:hAnsi="Times New Roman" w:cs="Times New Roman"/>
                <w:color w:val="auto"/>
                <w:kern w:val="2"/>
                <w:szCs w:val="24"/>
                <w:highlight w:val="none"/>
              </w:rPr>
            </w:pPr>
            <w:r>
              <w:rPr>
                <w:rFonts w:hint="eastAsia"/>
                <w:color w:val="auto"/>
                <w:highlight w:val="none"/>
                <w:lang w:val="en-US"/>
              </w:rPr>
              <w:t>9</w:t>
            </w:r>
            <w:r>
              <w:rPr>
                <w:rFonts w:ascii="Times New Roman" w:hAnsi="Times New Roman" w:cs="Times New Roman"/>
                <w:color w:val="auto"/>
                <w:kern w:val="2"/>
                <w:szCs w:val="24"/>
                <w:highlight w:val="none"/>
              </w:rPr>
              <w:t>.建筑性能化分析</w:t>
            </w:r>
          </w:p>
        </w:tc>
        <w:tc>
          <w:tcPr>
            <w:tcW w:w="2611" w:type="pct"/>
            <w:noWrap w:val="0"/>
            <w:tcMar>
              <w:top w:w="113" w:type="dxa"/>
              <w:left w:w="108" w:type="dxa"/>
              <w:bottom w:w="113" w:type="dxa"/>
              <w:right w:w="108" w:type="dxa"/>
            </w:tcMar>
            <w:vAlign w:val="center"/>
          </w:tcPr>
          <w:p w14:paraId="4417B480">
            <w:pPr>
              <w:pStyle w:val="585"/>
              <w:rPr>
                <w:color w:val="auto"/>
                <w:highlight w:val="none"/>
              </w:rPr>
            </w:pPr>
            <w:r>
              <w:rPr>
                <w:color w:val="auto"/>
                <w:highlight w:val="none"/>
              </w:rPr>
              <w:t>设计单位通过BIM模型进行风、光、声、热等建筑性能化分析，用于设计方案的验证和优化。</w:t>
            </w:r>
          </w:p>
        </w:tc>
        <w:tc>
          <w:tcPr>
            <w:tcW w:w="727" w:type="pct"/>
            <w:noWrap w:val="0"/>
            <w:tcMar>
              <w:top w:w="113" w:type="dxa"/>
              <w:left w:w="108" w:type="dxa"/>
              <w:bottom w:w="113" w:type="dxa"/>
              <w:right w:w="108" w:type="dxa"/>
            </w:tcMar>
            <w:vAlign w:val="center"/>
          </w:tcPr>
          <w:p w14:paraId="3C357130">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设计单位</w:t>
            </w:r>
          </w:p>
        </w:tc>
      </w:tr>
      <w:tr w14:paraId="6E3C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70C8DA37">
            <w:pPr>
              <w:pStyle w:val="561"/>
              <w:ind w:left="31"/>
              <w:rPr>
                <w:rFonts w:ascii="Times New Roman" w:hAnsi="Times New Roman" w:cs="Times New Roman"/>
                <w:color w:val="auto"/>
                <w:kern w:val="2"/>
                <w:szCs w:val="24"/>
                <w:highlight w:val="none"/>
              </w:rPr>
            </w:pPr>
          </w:p>
        </w:tc>
        <w:tc>
          <w:tcPr>
            <w:tcW w:w="1023" w:type="pct"/>
            <w:noWrap/>
            <w:tcMar>
              <w:top w:w="113" w:type="dxa"/>
              <w:left w:w="108" w:type="dxa"/>
              <w:bottom w:w="113" w:type="dxa"/>
              <w:right w:w="108" w:type="dxa"/>
            </w:tcMar>
            <w:vAlign w:val="center"/>
          </w:tcPr>
          <w:p w14:paraId="2293BC17">
            <w:pPr>
              <w:pStyle w:val="561"/>
              <w:ind w:left="31"/>
              <w:rPr>
                <w:rFonts w:ascii="Times New Roman" w:hAnsi="Times New Roman" w:cs="Times New Roman"/>
                <w:color w:val="auto"/>
                <w:kern w:val="2"/>
                <w:szCs w:val="24"/>
                <w:highlight w:val="none"/>
              </w:rPr>
            </w:pPr>
            <w:r>
              <w:rPr>
                <w:rFonts w:hint="eastAsia"/>
                <w:color w:val="auto"/>
                <w:highlight w:val="none"/>
                <w:lang w:val="en-US"/>
              </w:rPr>
              <w:t>10</w:t>
            </w:r>
            <w:r>
              <w:rPr>
                <w:rFonts w:ascii="Times New Roman" w:hAnsi="Times New Roman" w:cs="Times New Roman"/>
                <w:color w:val="auto"/>
                <w:kern w:val="2"/>
                <w:szCs w:val="24"/>
                <w:highlight w:val="none"/>
              </w:rPr>
              <w:t>.净空净高分析</w:t>
            </w:r>
          </w:p>
        </w:tc>
        <w:tc>
          <w:tcPr>
            <w:tcW w:w="2611" w:type="pct"/>
            <w:noWrap w:val="0"/>
            <w:tcMar>
              <w:top w:w="113" w:type="dxa"/>
              <w:left w:w="108" w:type="dxa"/>
              <w:bottom w:w="113" w:type="dxa"/>
              <w:right w:w="108" w:type="dxa"/>
            </w:tcMar>
            <w:vAlign w:val="center"/>
          </w:tcPr>
          <w:p w14:paraId="5A556FF3">
            <w:pPr>
              <w:pStyle w:val="585"/>
              <w:rPr>
                <w:color w:val="auto"/>
                <w:highlight w:val="none"/>
              </w:rPr>
            </w:pPr>
            <w:r>
              <w:rPr>
                <w:color w:val="auto"/>
                <w:highlight w:val="none"/>
              </w:rPr>
              <w:t>设计单位通过BIM模型对项目主要、核心或关键功能要求及相应的空间（如走廊、电梯厅、办公室等室内外空间）进行净高分析，保证项目的合理空间利用。</w:t>
            </w:r>
          </w:p>
        </w:tc>
        <w:tc>
          <w:tcPr>
            <w:tcW w:w="727" w:type="pct"/>
            <w:noWrap w:val="0"/>
            <w:tcMar>
              <w:top w:w="113" w:type="dxa"/>
              <w:left w:w="108" w:type="dxa"/>
              <w:bottom w:w="113" w:type="dxa"/>
              <w:right w:w="108" w:type="dxa"/>
            </w:tcMar>
            <w:vAlign w:val="center"/>
          </w:tcPr>
          <w:p w14:paraId="0DBE3569">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设计单位</w:t>
            </w:r>
          </w:p>
        </w:tc>
      </w:tr>
      <w:tr w14:paraId="0BB9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11E205E4">
            <w:pPr>
              <w:pStyle w:val="561"/>
              <w:ind w:left="31"/>
              <w:rPr>
                <w:rFonts w:ascii="Times New Roman" w:hAnsi="Times New Roman" w:cs="Times New Roman"/>
                <w:color w:val="auto"/>
                <w:kern w:val="2"/>
                <w:szCs w:val="24"/>
                <w:highlight w:val="none"/>
              </w:rPr>
            </w:pPr>
          </w:p>
        </w:tc>
        <w:tc>
          <w:tcPr>
            <w:tcW w:w="1023" w:type="pct"/>
            <w:noWrap/>
            <w:tcMar>
              <w:top w:w="113" w:type="dxa"/>
              <w:left w:w="108" w:type="dxa"/>
              <w:bottom w:w="113" w:type="dxa"/>
              <w:right w:w="108" w:type="dxa"/>
            </w:tcMar>
            <w:vAlign w:val="center"/>
          </w:tcPr>
          <w:p w14:paraId="04E9F35B">
            <w:pPr>
              <w:pStyle w:val="561"/>
              <w:ind w:left="31"/>
              <w:rPr>
                <w:rFonts w:ascii="Times New Roman" w:hAnsi="Times New Roman" w:cs="Times New Roman"/>
                <w:color w:val="auto"/>
                <w:kern w:val="2"/>
                <w:szCs w:val="24"/>
                <w:highlight w:val="none"/>
              </w:rPr>
            </w:pPr>
            <w:r>
              <w:rPr>
                <w:rFonts w:hint="eastAsia"/>
                <w:color w:val="auto"/>
                <w:highlight w:val="none"/>
                <w:lang w:val="en-US"/>
              </w:rPr>
              <w:t>11</w:t>
            </w:r>
            <w:r>
              <w:rPr>
                <w:rFonts w:ascii="Times New Roman" w:hAnsi="Times New Roman" w:cs="Times New Roman"/>
                <w:color w:val="auto"/>
                <w:kern w:val="2"/>
                <w:szCs w:val="24"/>
                <w:highlight w:val="none"/>
              </w:rPr>
              <w:t>.漫游模拟</w:t>
            </w:r>
          </w:p>
        </w:tc>
        <w:tc>
          <w:tcPr>
            <w:tcW w:w="2611" w:type="pct"/>
            <w:noWrap w:val="0"/>
            <w:tcMar>
              <w:top w:w="113" w:type="dxa"/>
              <w:left w:w="108" w:type="dxa"/>
              <w:bottom w:w="113" w:type="dxa"/>
              <w:right w:w="108" w:type="dxa"/>
            </w:tcMar>
            <w:vAlign w:val="center"/>
          </w:tcPr>
          <w:p w14:paraId="539F7F42">
            <w:pPr>
              <w:pStyle w:val="585"/>
              <w:rPr>
                <w:color w:val="auto"/>
                <w:highlight w:val="none"/>
              </w:rPr>
            </w:pPr>
            <w:r>
              <w:rPr>
                <w:color w:val="auto"/>
                <w:highlight w:val="none"/>
              </w:rPr>
              <w:t>设计单位利用BIM技术，对项目的重点室内外部位进行虚拟漫游，辅助设计方案的效果展示。</w:t>
            </w:r>
          </w:p>
        </w:tc>
        <w:tc>
          <w:tcPr>
            <w:tcW w:w="727" w:type="pct"/>
            <w:noWrap w:val="0"/>
            <w:tcMar>
              <w:top w:w="113" w:type="dxa"/>
              <w:left w:w="108" w:type="dxa"/>
              <w:bottom w:w="113" w:type="dxa"/>
              <w:right w:w="108" w:type="dxa"/>
            </w:tcMar>
            <w:vAlign w:val="center"/>
          </w:tcPr>
          <w:p w14:paraId="39AE0080">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设计单位</w:t>
            </w:r>
          </w:p>
        </w:tc>
      </w:tr>
      <w:tr w14:paraId="1F24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12779412">
            <w:pPr>
              <w:pStyle w:val="561"/>
              <w:ind w:left="31"/>
              <w:rPr>
                <w:rFonts w:ascii="Times New Roman" w:hAnsi="Times New Roman" w:cs="Times New Roman"/>
                <w:color w:val="auto"/>
                <w:kern w:val="2"/>
                <w:szCs w:val="24"/>
                <w:highlight w:val="none"/>
              </w:rPr>
            </w:pPr>
          </w:p>
        </w:tc>
        <w:tc>
          <w:tcPr>
            <w:tcW w:w="1023" w:type="pct"/>
            <w:noWrap/>
            <w:tcMar>
              <w:top w:w="113" w:type="dxa"/>
              <w:left w:w="108" w:type="dxa"/>
              <w:bottom w:w="113" w:type="dxa"/>
              <w:right w:w="108" w:type="dxa"/>
            </w:tcMar>
            <w:vAlign w:val="center"/>
          </w:tcPr>
          <w:p w14:paraId="11C63D7B">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1</w:t>
            </w:r>
            <w:r>
              <w:rPr>
                <w:rFonts w:hint="eastAsia"/>
                <w:color w:val="auto"/>
                <w:highlight w:val="none"/>
                <w:lang w:val="en-US"/>
              </w:rPr>
              <w:t>2</w:t>
            </w:r>
            <w:r>
              <w:rPr>
                <w:rFonts w:ascii="Times New Roman" w:hAnsi="Times New Roman" w:cs="Times New Roman"/>
                <w:color w:val="auto"/>
                <w:kern w:val="2"/>
                <w:szCs w:val="24"/>
                <w:highlight w:val="none"/>
              </w:rPr>
              <w:t>.模拟分析</w:t>
            </w:r>
          </w:p>
        </w:tc>
        <w:tc>
          <w:tcPr>
            <w:tcW w:w="2611" w:type="pct"/>
            <w:noWrap w:val="0"/>
            <w:tcMar>
              <w:top w:w="113" w:type="dxa"/>
              <w:left w:w="108" w:type="dxa"/>
              <w:bottom w:w="113" w:type="dxa"/>
              <w:right w:w="108" w:type="dxa"/>
            </w:tcMar>
            <w:vAlign w:val="center"/>
          </w:tcPr>
          <w:p w14:paraId="5EFA156B">
            <w:pPr>
              <w:pStyle w:val="585"/>
              <w:rPr>
                <w:color w:val="auto"/>
                <w:highlight w:val="none"/>
              </w:rPr>
            </w:pPr>
            <w:r>
              <w:rPr>
                <w:color w:val="auto"/>
                <w:highlight w:val="none"/>
              </w:rPr>
              <w:t>设计单位利用BIM技术对设计方案进行模拟分析，如应急预案模拟、设备安装模拟等，验证及优化设计方案。</w:t>
            </w:r>
          </w:p>
        </w:tc>
        <w:tc>
          <w:tcPr>
            <w:tcW w:w="727" w:type="pct"/>
            <w:noWrap w:val="0"/>
            <w:tcMar>
              <w:top w:w="113" w:type="dxa"/>
              <w:left w:w="108" w:type="dxa"/>
              <w:bottom w:w="113" w:type="dxa"/>
              <w:right w:w="108" w:type="dxa"/>
            </w:tcMar>
            <w:vAlign w:val="center"/>
          </w:tcPr>
          <w:p w14:paraId="51946A99">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设计单位</w:t>
            </w:r>
          </w:p>
        </w:tc>
      </w:tr>
      <w:tr w14:paraId="769A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3AD43CD7">
            <w:pPr>
              <w:pStyle w:val="561"/>
              <w:ind w:left="31"/>
              <w:rPr>
                <w:rFonts w:ascii="Times New Roman" w:hAnsi="Times New Roman" w:cs="Times New Roman"/>
                <w:color w:val="auto"/>
                <w:kern w:val="2"/>
                <w:szCs w:val="24"/>
                <w:highlight w:val="none"/>
              </w:rPr>
            </w:pPr>
          </w:p>
        </w:tc>
        <w:tc>
          <w:tcPr>
            <w:tcW w:w="1023" w:type="pct"/>
            <w:noWrap/>
            <w:tcMar>
              <w:top w:w="113" w:type="dxa"/>
              <w:left w:w="108" w:type="dxa"/>
              <w:bottom w:w="113" w:type="dxa"/>
              <w:right w:w="108" w:type="dxa"/>
            </w:tcMar>
            <w:vAlign w:val="center"/>
          </w:tcPr>
          <w:p w14:paraId="07646D28">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1</w:t>
            </w:r>
            <w:r>
              <w:rPr>
                <w:rFonts w:hint="eastAsia"/>
                <w:color w:val="auto"/>
                <w:highlight w:val="none"/>
                <w:lang w:val="en-US"/>
              </w:rPr>
              <w:t>3</w:t>
            </w:r>
            <w:r>
              <w:rPr>
                <w:rFonts w:ascii="Times New Roman" w:hAnsi="Times New Roman" w:cs="Times New Roman"/>
                <w:color w:val="auto"/>
                <w:kern w:val="2"/>
                <w:szCs w:val="24"/>
                <w:highlight w:val="none"/>
              </w:rPr>
              <w:t>.工程量统计</w:t>
            </w:r>
          </w:p>
        </w:tc>
        <w:tc>
          <w:tcPr>
            <w:tcW w:w="2611" w:type="pct"/>
            <w:noWrap w:val="0"/>
            <w:tcMar>
              <w:top w:w="113" w:type="dxa"/>
              <w:left w:w="108" w:type="dxa"/>
              <w:bottom w:w="113" w:type="dxa"/>
              <w:right w:w="108" w:type="dxa"/>
            </w:tcMar>
            <w:vAlign w:val="center"/>
          </w:tcPr>
          <w:p w14:paraId="564CED4C">
            <w:pPr>
              <w:pStyle w:val="585"/>
              <w:rPr>
                <w:color w:val="auto"/>
                <w:highlight w:val="none"/>
              </w:rPr>
            </w:pPr>
            <w:r>
              <w:rPr>
                <w:color w:val="auto"/>
                <w:highlight w:val="none"/>
              </w:rPr>
              <w:t>设计单位通过BIM模型对建筑、结构、给排水、暖通、电气、钢结构、幕墙、精装等专业的工程量进行统计，</w:t>
            </w:r>
            <w:r>
              <w:rPr>
                <w:rFonts w:hint="eastAsia"/>
                <w:color w:val="auto"/>
                <w:highlight w:val="none"/>
              </w:rPr>
              <w:t>基于全地形BIM计算土方量等，</w:t>
            </w:r>
            <w:r>
              <w:rPr>
                <w:color w:val="auto"/>
                <w:highlight w:val="none"/>
              </w:rPr>
              <w:t>辅助限额设计的实施。</w:t>
            </w:r>
          </w:p>
        </w:tc>
        <w:tc>
          <w:tcPr>
            <w:tcW w:w="727" w:type="pct"/>
            <w:noWrap w:val="0"/>
            <w:tcMar>
              <w:top w:w="113" w:type="dxa"/>
              <w:left w:w="108" w:type="dxa"/>
              <w:bottom w:w="113" w:type="dxa"/>
              <w:right w:w="108" w:type="dxa"/>
            </w:tcMar>
            <w:vAlign w:val="center"/>
          </w:tcPr>
          <w:p w14:paraId="4E501292">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设计单位</w:t>
            </w:r>
          </w:p>
        </w:tc>
      </w:tr>
      <w:tr w14:paraId="66D7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47FDB764">
            <w:pPr>
              <w:pStyle w:val="561"/>
              <w:ind w:left="31"/>
              <w:rPr>
                <w:rFonts w:ascii="Times New Roman" w:hAnsi="Times New Roman" w:cs="Times New Roman"/>
                <w:color w:val="auto"/>
                <w:kern w:val="2"/>
                <w:szCs w:val="24"/>
                <w:highlight w:val="none"/>
              </w:rPr>
            </w:pPr>
          </w:p>
        </w:tc>
        <w:tc>
          <w:tcPr>
            <w:tcW w:w="1023" w:type="pct"/>
            <w:noWrap/>
            <w:tcMar>
              <w:top w:w="113" w:type="dxa"/>
              <w:left w:w="108" w:type="dxa"/>
              <w:bottom w:w="113" w:type="dxa"/>
              <w:right w:w="108" w:type="dxa"/>
            </w:tcMar>
            <w:vAlign w:val="center"/>
          </w:tcPr>
          <w:p w14:paraId="04EAC2B7">
            <w:pPr>
              <w:pStyle w:val="561"/>
              <w:ind w:left="31"/>
              <w:rPr>
                <w:rFonts w:ascii="Times New Roman" w:hAnsi="Times New Roman" w:cs="Times New Roman"/>
                <w:color w:val="auto"/>
                <w:kern w:val="2"/>
                <w:szCs w:val="24"/>
                <w:highlight w:val="none"/>
                <w:lang w:val="en-US"/>
              </w:rPr>
            </w:pPr>
            <w:r>
              <w:rPr>
                <w:rFonts w:ascii="Times New Roman" w:hAnsi="Times New Roman" w:cs="Times New Roman"/>
                <w:color w:val="auto"/>
                <w:kern w:val="2"/>
                <w:szCs w:val="24"/>
                <w:highlight w:val="none"/>
                <w:lang w:val="en-US"/>
              </w:rPr>
              <w:t>1</w:t>
            </w:r>
            <w:r>
              <w:rPr>
                <w:rFonts w:hint="eastAsia"/>
                <w:color w:val="auto"/>
                <w:highlight w:val="none"/>
                <w:lang w:val="en-US"/>
              </w:rPr>
              <w:t>4</w:t>
            </w:r>
            <w:r>
              <w:rPr>
                <w:rFonts w:ascii="Times New Roman" w:hAnsi="Times New Roman" w:cs="Times New Roman"/>
                <w:color w:val="auto"/>
                <w:kern w:val="2"/>
                <w:szCs w:val="24"/>
                <w:highlight w:val="none"/>
                <w:lang w:val="en-US"/>
              </w:rPr>
              <w:t>.机电管线路由优化</w:t>
            </w:r>
          </w:p>
        </w:tc>
        <w:tc>
          <w:tcPr>
            <w:tcW w:w="2611" w:type="pct"/>
            <w:noWrap w:val="0"/>
            <w:tcMar>
              <w:top w:w="113" w:type="dxa"/>
              <w:left w:w="108" w:type="dxa"/>
              <w:bottom w:w="113" w:type="dxa"/>
              <w:right w:w="108" w:type="dxa"/>
            </w:tcMar>
            <w:vAlign w:val="center"/>
          </w:tcPr>
          <w:p w14:paraId="555EFC1A">
            <w:pPr>
              <w:pStyle w:val="585"/>
              <w:rPr>
                <w:color w:val="auto"/>
                <w:highlight w:val="none"/>
              </w:rPr>
            </w:pPr>
            <w:r>
              <w:rPr>
                <w:color w:val="auto"/>
                <w:highlight w:val="none"/>
              </w:rPr>
              <w:t>通过参数化进行路由路径分析，并利用模型可视化展示管线优化结果。</w:t>
            </w:r>
          </w:p>
        </w:tc>
        <w:tc>
          <w:tcPr>
            <w:tcW w:w="727" w:type="pct"/>
            <w:noWrap w:val="0"/>
            <w:tcMar>
              <w:top w:w="113" w:type="dxa"/>
              <w:left w:w="108" w:type="dxa"/>
              <w:bottom w:w="113" w:type="dxa"/>
              <w:right w:w="108" w:type="dxa"/>
            </w:tcMar>
            <w:vAlign w:val="center"/>
          </w:tcPr>
          <w:p w14:paraId="3896303B">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设计单位</w:t>
            </w:r>
          </w:p>
        </w:tc>
      </w:tr>
      <w:tr w14:paraId="5FA3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restart"/>
            <w:noWrap/>
            <w:tcMar>
              <w:top w:w="113" w:type="dxa"/>
              <w:left w:w="108" w:type="dxa"/>
              <w:bottom w:w="113" w:type="dxa"/>
              <w:right w:w="108" w:type="dxa"/>
            </w:tcMar>
            <w:vAlign w:val="center"/>
          </w:tcPr>
          <w:p w14:paraId="53AA12C2">
            <w:pPr>
              <w:pStyle w:val="561"/>
              <w:ind w:left="31"/>
              <w:rPr>
                <w:rFonts w:ascii="Times New Roman" w:hAnsi="Times New Roman" w:cs="Times New Roman"/>
                <w:color w:val="auto"/>
                <w:kern w:val="2"/>
                <w:szCs w:val="24"/>
                <w:highlight w:val="none"/>
                <w:lang w:val="en-US"/>
              </w:rPr>
            </w:pPr>
            <w:r>
              <w:rPr>
                <w:rFonts w:ascii="Times New Roman" w:hAnsi="Times New Roman" w:cs="Times New Roman"/>
                <w:color w:val="auto"/>
                <w:kern w:val="2"/>
                <w:szCs w:val="24"/>
                <w:highlight w:val="none"/>
                <w:lang w:val="en-US"/>
              </w:rPr>
              <w:t>设备</w:t>
            </w:r>
          </w:p>
        </w:tc>
        <w:tc>
          <w:tcPr>
            <w:tcW w:w="1023" w:type="pct"/>
            <w:noWrap/>
            <w:tcMar>
              <w:top w:w="113" w:type="dxa"/>
              <w:left w:w="108" w:type="dxa"/>
              <w:bottom w:w="113" w:type="dxa"/>
              <w:right w:w="108" w:type="dxa"/>
            </w:tcMar>
            <w:vAlign w:val="center"/>
          </w:tcPr>
          <w:p w14:paraId="6ADCAE2C">
            <w:pPr>
              <w:pStyle w:val="561"/>
              <w:ind w:left="31"/>
              <w:rPr>
                <w:rFonts w:ascii="Times New Roman" w:hAnsi="Times New Roman" w:cs="Times New Roman"/>
                <w:color w:val="auto"/>
                <w:kern w:val="2"/>
                <w:szCs w:val="24"/>
                <w:highlight w:val="none"/>
                <w:lang w:val="en-US"/>
              </w:rPr>
            </w:pPr>
            <w:r>
              <w:rPr>
                <w:rFonts w:ascii="Times New Roman" w:hAnsi="Times New Roman" w:cs="Times New Roman"/>
                <w:color w:val="auto"/>
                <w:kern w:val="2"/>
                <w:szCs w:val="24"/>
                <w:highlight w:val="none"/>
                <w:lang w:val="en-US"/>
              </w:rPr>
              <w:t>1</w:t>
            </w:r>
            <w:r>
              <w:rPr>
                <w:rFonts w:hint="eastAsia"/>
                <w:color w:val="auto"/>
                <w:highlight w:val="none"/>
                <w:lang w:val="en-US"/>
              </w:rPr>
              <w:t>5</w:t>
            </w:r>
            <w:r>
              <w:rPr>
                <w:rFonts w:ascii="Times New Roman" w:hAnsi="Times New Roman" w:cs="Times New Roman"/>
                <w:color w:val="auto"/>
                <w:kern w:val="2"/>
                <w:szCs w:val="24"/>
                <w:highlight w:val="none"/>
                <w:lang w:val="en-US"/>
              </w:rPr>
              <w:t>.设备安装模拟</w:t>
            </w:r>
          </w:p>
        </w:tc>
        <w:tc>
          <w:tcPr>
            <w:tcW w:w="2611" w:type="pct"/>
            <w:noWrap w:val="0"/>
            <w:tcMar>
              <w:top w:w="113" w:type="dxa"/>
              <w:left w:w="108" w:type="dxa"/>
              <w:bottom w:w="113" w:type="dxa"/>
              <w:right w:w="108" w:type="dxa"/>
            </w:tcMar>
            <w:vAlign w:val="center"/>
          </w:tcPr>
          <w:p w14:paraId="5ABF03DF">
            <w:pPr>
              <w:pStyle w:val="585"/>
              <w:rPr>
                <w:color w:val="auto"/>
                <w:highlight w:val="none"/>
              </w:rPr>
            </w:pPr>
            <w:r>
              <w:rPr>
                <w:color w:val="auto"/>
                <w:highlight w:val="none"/>
              </w:rPr>
              <w:t>通过参数化模拟设备安装，并利用模型可视化展示设备安装过程，来指导现场施工。</w:t>
            </w:r>
          </w:p>
        </w:tc>
        <w:tc>
          <w:tcPr>
            <w:tcW w:w="727" w:type="pct"/>
            <w:noWrap w:val="0"/>
            <w:tcMar>
              <w:top w:w="113" w:type="dxa"/>
              <w:left w:w="108" w:type="dxa"/>
              <w:bottom w:w="113" w:type="dxa"/>
              <w:right w:w="108" w:type="dxa"/>
            </w:tcMar>
            <w:vAlign w:val="center"/>
          </w:tcPr>
          <w:p w14:paraId="5D9D93E8">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设计单位</w:t>
            </w:r>
          </w:p>
        </w:tc>
      </w:tr>
      <w:tr w14:paraId="1FEB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1EE40437">
            <w:pPr>
              <w:pStyle w:val="561"/>
              <w:ind w:left="31"/>
              <w:rPr>
                <w:rFonts w:ascii="Times New Roman" w:hAnsi="Times New Roman" w:cs="Times New Roman"/>
                <w:color w:val="auto"/>
                <w:kern w:val="2"/>
                <w:szCs w:val="24"/>
                <w:highlight w:val="none"/>
              </w:rPr>
            </w:pPr>
          </w:p>
        </w:tc>
        <w:tc>
          <w:tcPr>
            <w:tcW w:w="1023" w:type="pct"/>
            <w:noWrap/>
            <w:tcMar>
              <w:top w:w="113" w:type="dxa"/>
              <w:left w:w="108" w:type="dxa"/>
              <w:bottom w:w="113" w:type="dxa"/>
              <w:right w:w="108" w:type="dxa"/>
            </w:tcMar>
            <w:vAlign w:val="center"/>
          </w:tcPr>
          <w:p w14:paraId="50598BBD">
            <w:pPr>
              <w:pStyle w:val="561"/>
              <w:ind w:left="31"/>
              <w:rPr>
                <w:rFonts w:ascii="Times New Roman" w:hAnsi="Times New Roman" w:cs="Times New Roman"/>
                <w:color w:val="auto"/>
                <w:kern w:val="2"/>
                <w:szCs w:val="24"/>
                <w:highlight w:val="none"/>
                <w:lang w:val="en-US"/>
              </w:rPr>
            </w:pPr>
            <w:r>
              <w:rPr>
                <w:rFonts w:ascii="Times New Roman" w:hAnsi="Times New Roman" w:cs="Times New Roman"/>
                <w:color w:val="auto"/>
                <w:kern w:val="2"/>
                <w:szCs w:val="24"/>
                <w:highlight w:val="none"/>
              </w:rPr>
              <w:t>1</w:t>
            </w:r>
            <w:r>
              <w:rPr>
                <w:rFonts w:hint="eastAsia"/>
                <w:color w:val="auto"/>
                <w:highlight w:val="none"/>
                <w:lang w:val="en-US"/>
              </w:rPr>
              <w:t>6</w:t>
            </w:r>
            <w:r>
              <w:rPr>
                <w:rFonts w:ascii="Times New Roman" w:hAnsi="Times New Roman" w:cs="Times New Roman"/>
                <w:color w:val="auto"/>
                <w:kern w:val="2"/>
                <w:szCs w:val="24"/>
                <w:highlight w:val="none"/>
              </w:rPr>
              <w:t>.设计图纸输出</w:t>
            </w:r>
          </w:p>
        </w:tc>
        <w:tc>
          <w:tcPr>
            <w:tcW w:w="2611" w:type="pct"/>
            <w:noWrap w:val="0"/>
            <w:tcMar>
              <w:top w:w="113" w:type="dxa"/>
              <w:left w:w="108" w:type="dxa"/>
              <w:bottom w:w="113" w:type="dxa"/>
              <w:right w:w="108" w:type="dxa"/>
            </w:tcMar>
            <w:vAlign w:val="center"/>
          </w:tcPr>
          <w:p w14:paraId="06AA1844">
            <w:pPr>
              <w:pStyle w:val="585"/>
              <w:rPr>
                <w:color w:val="auto"/>
                <w:highlight w:val="none"/>
              </w:rPr>
            </w:pPr>
            <w:r>
              <w:rPr>
                <w:color w:val="auto"/>
                <w:highlight w:val="none"/>
              </w:rPr>
              <w:t>设计单位在设计各阶段基于BIM模型输出各专业设计图纸。</w:t>
            </w:r>
          </w:p>
        </w:tc>
        <w:tc>
          <w:tcPr>
            <w:tcW w:w="727" w:type="pct"/>
            <w:noWrap w:val="0"/>
            <w:tcMar>
              <w:top w:w="113" w:type="dxa"/>
              <w:left w:w="108" w:type="dxa"/>
              <w:bottom w:w="113" w:type="dxa"/>
              <w:right w:w="108" w:type="dxa"/>
            </w:tcMar>
            <w:vAlign w:val="center"/>
          </w:tcPr>
          <w:p w14:paraId="379B498A">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设计单位</w:t>
            </w:r>
          </w:p>
        </w:tc>
      </w:tr>
      <w:tr w14:paraId="77DF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5E089F95">
            <w:pPr>
              <w:pStyle w:val="561"/>
              <w:ind w:left="31"/>
              <w:rPr>
                <w:rFonts w:ascii="Times New Roman" w:hAnsi="Times New Roman" w:cs="Times New Roman"/>
                <w:color w:val="auto"/>
                <w:kern w:val="2"/>
                <w:szCs w:val="24"/>
                <w:highlight w:val="none"/>
              </w:rPr>
            </w:pPr>
          </w:p>
        </w:tc>
        <w:tc>
          <w:tcPr>
            <w:tcW w:w="1023" w:type="pct"/>
            <w:noWrap/>
            <w:tcMar>
              <w:top w:w="113" w:type="dxa"/>
              <w:left w:w="108" w:type="dxa"/>
              <w:bottom w:w="113" w:type="dxa"/>
              <w:right w:w="108" w:type="dxa"/>
            </w:tcMar>
            <w:vAlign w:val="center"/>
          </w:tcPr>
          <w:p w14:paraId="075634AA">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1</w:t>
            </w:r>
            <w:r>
              <w:rPr>
                <w:rFonts w:hint="eastAsia"/>
                <w:color w:val="auto"/>
                <w:highlight w:val="none"/>
                <w:lang w:val="en-US"/>
              </w:rPr>
              <w:t>7</w:t>
            </w:r>
            <w:r>
              <w:rPr>
                <w:rFonts w:ascii="Times New Roman" w:hAnsi="Times New Roman" w:cs="Times New Roman"/>
                <w:color w:val="auto"/>
                <w:kern w:val="2"/>
                <w:szCs w:val="24"/>
                <w:highlight w:val="none"/>
              </w:rPr>
              <w:t>.模型和成果管理</w:t>
            </w:r>
          </w:p>
        </w:tc>
        <w:tc>
          <w:tcPr>
            <w:tcW w:w="2611" w:type="pct"/>
            <w:noWrap w:val="0"/>
            <w:tcMar>
              <w:top w:w="113" w:type="dxa"/>
              <w:left w:w="108" w:type="dxa"/>
              <w:bottom w:w="113" w:type="dxa"/>
              <w:right w:w="108" w:type="dxa"/>
            </w:tcMar>
            <w:vAlign w:val="center"/>
          </w:tcPr>
          <w:p w14:paraId="4B07A402">
            <w:pPr>
              <w:pStyle w:val="585"/>
              <w:rPr>
                <w:color w:val="auto"/>
                <w:highlight w:val="none"/>
              </w:rPr>
            </w:pPr>
            <w:r>
              <w:rPr>
                <w:color w:val="auto"/>
                <w:highlight w:val="none"/>
              </w:rPr>
              <w:t>咨询单位应根据项目的BIM管理要求做好设计阶段各专业BIM模型和BIM应用成果的审核工作。</w:t>
            </w:r>
          </w:p>
        </w:tc>
        <w:tc>
          <w:tcPr>
            <w:tcW w:w="727" w:type="pct"/>
            <w:noWrap w:val="0"/>
            <w:tcMar>
              <w:top w:w="113" w:type="dxa"/>
              <w:left w:w="108" w:type="dxa"/>
              <w:bottom w:w="113" w:type="dxa"/>
              <w:right w:w="108" w:type="dxa"/>
            </w:tcMar>
            <w:vAlign w:val="center"/>
          </w:tcPr>
          <w:p w14:paraId="1ABDC983">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lang w:val="en-US"/>
              </w:rPr>
              <w:t>咨询</w:t>
            </w:r>
            <w:r>
              <w:rPr>
                <w:rFonts w:ascii="Times New Roman" w:hAnsi="Times New Roman" w:cs="Times New Roman"/>
                <w:color w:val="auto"/>
                <w:kern w:val="2"/>
                <w:szCs w:val="24"/>
                <w:highlight w:val="none"/>
              </w:rPr>
              <w:t>单位</w:t>
            </w:r>
          </w:p>
        </w:tc>
      </w:tr>
      <w:tr w14:paraId="21BF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6B4341FC">
            <w:pPr>
              <w:pStyle w:val="561"/>
              <w:ind w:left="31"/>
              <w:rPr>
                <w:rFonts w:ascii="Times New Roman" w:hAnsi="Times New Roman" w:cs="Times New Roman"/>
                <w:color w:val="auto"/>
                <w:kern w:val="2"/>
                <w:szCs w:val="24"/>
                <w:highlight w:val="none"/>
              </w:rPr>
            </w:pPr>
          </w:p>
        </w:tc>
        <w:tc>
          <w:tcPr>
            <w:tcW w:w="1023" w:type="pct"/>
            <w:noWrap/>
            <w:tcMar>
              <w:top w:w="113" w:type="dxa"/>
              <w:left w:w="108" w:type="dxa"/>
              <w:bottom w:w="113" w:type="dxa"/>
              <w:right w:w="108" w:type="dxa"/>
            </w:tcMar>
            <w:vAlign w:val="center"/>
          </w:tcPr>
          <w:p w14:paraId="45CAC72C">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lang w:val="en-US"/>
              </w:rPr>
              <w:t>1</w:t>
            </w:r>
            <w:r>
              <w:rPr>
                <w:rFonts w:hint="eastAsia"/>
                <w:color w:val="auto"/>
                <w:highlight w:val="none"/>
                <w:lang w:val="en-US"/>
              </w:rPr>
              <w:t>8</w:t>
            </w:r>
            <w:r>
              <w:rPr>
                <w:rFonts w:ascii="Times New Roman" w:hAnsi="Times New Roman" w:cs="Times New Roman"/>
                <w:color w:val="auto"/>
                <w:kern w:val="2"/>
                <w:szCs w:val="24"/>
                <w:highlight w:val="none"/>
              </w:rPr>
              <w:t>.设计质量管理</w:t>
            </w:r>
          </w:p>
        </w:tc>
        <w:tc>
          <w:tcPr>
            <w:tcW w:w="2611" w:type="pct"/>
            <w:noWrap w:val="0"/>
            <w:tcMar>
              <w:top w:w="113" w:type="dxa"/>
              <w:left w:w="108" w:type="dxa"/>
              <w:bottom w:w="113" w:type="dxa"/>
              <w:right w:w="108" w:type="dxa"/>
            </w:tcMar>
            <w:vAlign w:val="center"/>
          </w:tcPr>
          <w:p w14:paraId="492EAB95">
            <w:pPr>
              <w:pStyle w:val="585"/>
              <w:rPr>
                <w:color w:val="auto"/>
                <w:highlight w:val="none"/>
              </w:rPr>
            </w:pPr>
            <w:r>
              <w:rPr>
                <w:color w:val="auto"/>
                <w:highlight w:val="none"/>
              </w:rPr>
              <w:t>代建局和咨询单位细化确定各设计阶段管控节点，利用管控节点的BIM交付成果，强化设计过程的精准管控，提高设计交付的质量。</w:t>
            </w:r>
          </w:p>
        </w:tc>
        <w:tc>
          <w:tcPr>
            <w:tcW w:w="727" w:type="pct"/>
            <w:noWrap w:val="0"/>
            <w:tcMar>
              <w:top w:w="113" w:type="dxa"/>
              <w:left w:w="108" w:type="dxa"/>
              <w:bottom w:w="113" w:type="dxa"/>
              <w:right w:w="108" w:type="dxa"/>
            </w:tcMar>
            <w:vAlign w:val="center"/>
          </w:tcPr>
          <w:p w14:paraId="3E705BA5">
            <w:pPr>
              <w:pStyle w:val="561"/>
              <w:ind w:left="31"/>
              <w:rPr>
                <w:color w:val="auto"/>
                <w:highlight w:val="none"/>
                <w:lang w:val="en-US"/>
              </w:rPr>
            </w:pPr>
            <w:r>
              <w:rPr>
                <w:rFonts w:ascii="Times New Roman" w:hAnsi="Times New Roman" w:cs="Times New Roman"/>
                <w:color w:val="auto"/>
                <w:kern w:val="2"/>
                <w:szCs w:val="24"/>
                <w:highlight w:val="none"/>
                <w:lang w:val="en-US"/>
              </w:rPr>
              <w:t>代建局、</w:t>
            </w:r>
          </w:p>
          <w:p w14:paraId="22B14BE7">
            <w:pPr>
              <w:pStyle w:val="561"/>
              <w:ind w:left="31"/>
              <w:rPr>
                <w:rFonts w:ascii="Times New Roman" w:hAnsi="Times New Roman" w:cs="Times New Roman"/>
                <w:color w:val="auto"/>
                <w:kern w:val="2"/>
                <w:szCs w:val="24"/>
                <w:highlight w:val="none"/>
                <w:lang w:val="en-US"/>
              </w:rPr>
            </w:pPr>
            <w:r>
              <w:rPr>
                <w:rFonts w:ascii="Times New Roman" w:hAnsi="Times New Roman" w:cs="Times New Roman"/>
                <w:color w:val="auto"/>
                <w:kern w:val="2"/>
                <w:szCs w:val="24"/>
                <w:highlight w:val="none"/>
                <w:lang w:val="en-US"/>
              </w:rPr>
              <w:t>咨询单位</w:t>
            </w:r>
          </w:p>
        </w:tc>
      </w:tr>
      <w:tr w14:paraId="3B53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068C5345">
            <w:pPr>
              <w:pStyle w:val="561"/>
              <w:ind w:left="31"/>
              <w:rPr>
                <w:rFonts w:ascii="Times New Roman" w:hAnsi="Times New Roman" w:cs="Times New Roman"/>
                <w:color w:val="auto"/>
                <w:kern w:val="2"/>
                <w:szCs w:val="24"/>
                <w:highlight w:val="none"/>
              </w:rPr>
            </w:pPr>
          </w:p>
        </w:tc>
        <w:tc>
          <w:tcPr>
            <w:tcW w:w="1023" w:type="pct"/>
            <w:noWrap/>
            <w:tcMar>
              <w:top w:w="113" w:type="dxa"/>
              <w:left w:w="108" w:type="dxa"/>
              <w:bottom w:w="113" w:type="dxa"/>
              <w:right w:w="108" w:type="dxa"/>
            </w:tcMar>
            <w:vAlign w:val="center"/>
          </w:tcPr>
          <w:p w14:paraId="7569D404">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lang w:val="en-US"/>
              </w:rPr>
              <w:t>1</w:t>
            </w:r>
            <w:r>
              <w:rPr>
                <w:rFonts w:hint="eastAsia"/>
                <w:color w:val="auto"/>
                <w:highlight w:val="none"/>
                <w:lang w:val="en-US"/>
              </w:rPr>
              <w:t>9</w:t>
            </w:r>
            <w:r>
              <w:rPr>
                <w:rFonts w:ascii="Times New Roman" w:hAnsi="Times New Roman" w:cs="Times New Roman"/>
                <w:color w:val="auto"/>
                <w:kern w:val="2"/>
                <w:szCs w:val="24"/>
                <w:highlight w:val="none"/>
              </w:rPr>
              <w:t>.设计协同管理</w:t>
            </w:r>
          </w:p>
        </w:tc>
        <w:tc>
          <w:tcPr>
            <w:tcW w:w="2611" w:type="pct"/>
            <w:noWrap w:val="0"/>
            <w:tcMar>
              <w:top w:w="113" w:type="dxa"/>
              <w:left w:w="108" w:type="dxa"/>
              <w:bottom w:w="113" w:type="dxa"/>
              <w:right w:w="108" w:type="dxa"/>
            </w:tcMar>
            <w:vAlign w:val="center"/>
          </w:tcPr>
          <w:p w14:paraId="35B0AE26">
            <w:pPr>
              <w:pStyle w:val="585"/>
              <w:rPr>
                <w:color w:val="auto"/>
                <w:highlight w:val="none"/>
              </w:rPr>
            </w:pPr>
            <w:r>
              <w:rPr>
                <w:color w:val="auto"/>
                <w:highlight w:val="none"/>
              </w:rPr>
              <w:t>设计单位通过建立基于BIM的设计协同机制，提高协同工作效率；同时与工程项目协同机制保持一致，保证各参建单位间的高效协同。</w:t>
            </w:r>
          </w:p>
        </w:tc>
        <w:tc>
          <w:tcPr>
            <w:tcW w:w="727" w:type="pct"/>
            <w:noWrap w:val="0"/>
            <w:tcMar>
              <w:top w:w="113" w:type="dxa"/>
              <w:left w:w="108" w:type="dxa"/>
              <w:bottom w:w="113" w:type="dxa"/>
              <w:right w:w="108" w:type="dxa"/>
            </w:tcMar>
            <w:vAlign w:val="center"/>
          </w:tcPr>
          <w:p w14:paraId="0CDDA684">
            <w:pPr>
              <w:pStyle w:val="561"/>
              <w:ind w:left="31"/>
              <w:rPr>
                <w:color w:val="auto"/>
                <w:highlight w:val="none"/>
              </w:rPr>
            </w:pPr>
            <w:r>
              <w:rPr>
                <w:rFonts w:ascii="Times New Roman" w:hAnsi="Times New Roman" w:cs="Times New Roman"/>
                <w:color w:val="auto"/>
                <w:kern w:val="2"/>
                <w:szCs w:val="24"/>
                <w:highlight w:val="none"/>
              </w:rPr>
              <w:t>设计单位、</w:t>
            </w:r>
          </w:p>
          <w:p w14:paraId="26A5223D">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建设单位</w:t>
            </w:r>
          </w:p>
        </w:tc>
      </w:tr>
      <w:tr w14:paraId="688E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restart"/>
            <w:noWrap/>
            <w:tcMar>
              <w:top w:w="113" w:type="dxa"/>
              <w:left w:w="108" w:type="dxa"/>
              <w:bottom w:w="113" w:type="dxa"/>
              <w:right w:w="108" w:type="dxa"/>
            </w:tcMar>
            <w:vAlign w:val="center"/>
          </w:tcPr>
          <w:p w14:paraId="19BEDE07">
            <w:pPr>
              <w:pStyle w:val="561"/>
              <w:ind w:left="31"/>
              <w:rPr>
                <w:rFonts w:ascii="Times New Roman" w:hAnsi="Times New Roman" w:cs="Times New Roman"/>
                <w:color w:val="auto"/>
                <w:kern w:val="2"/>
                <w:szCs w:val="24"/>
                <w:highlight w:val="none"/>
              </w:rPr>
            </w:pPr>
            <w:r>
              <w:rPr>
                <w:rFonts w:hint="eastAsia"/>
                <w:color w:val="auto"/>
                <w:highlight w:val="none"/>
                <w:lang w:val="en-US"/>
              </w:rPr>
              <w:t>施工图</w:t>
            </w:r>
            <w:r>
              <w:rPr>
                <w:rFonts w:hint="eastAsia"/>
                <w:color w:val="auto"/>
                <w:highlight w:val="none"/>
              </w:rPr>
              <w:t>设计阶段BIM应用内容和要求</w:t>
            </w:r>
          </w:p>
        </w:tc>
        <w:tc>
          <w:tcPr>
            <w:tcW w:w="1023" w:type="pct"/>
            <w:noWrap/>
            <w:tcMar>
              <w:top w:w="113" w:type="dxa"/>
              <w:left w:w="108" w:type="dxa"/>
              <w:bottom w:w="113" w:type="dxa"/>
              <w:right w:w="108" w:type="dxa"/>
            </w:tcMar>
            <w:vAlign w:val="center"/>
          </w:tcPr>
          <w:p w14:paraId="1D660887">
            <w:pPr>
              <w:pStyle w:val="561"/>
              <w:ind w:left="31"/>
              <w:rPr>
                <w:rFonts w:ascii="Times New Roman" w:hAnsi="Times New Roman" w:cs="Times New Roman"/>
                <w:color w:val="auto"/>
                <w:kern w:val="2"/>
                <w:szCs w:val="24"/>
                <w:highlight w:val="none"/>
                <w:lang w:val="en-US"/>
              </w:rPr>
            </w:pPr>
            <w:r>
              <w:rPr>
                <w:rFonts w:hint="eastAsia"/>
                <w:color w:val="auto"/>
                <w:highlight w:val="none"/>
                <w:lang w:val="en-US"/>
              </w:rPr>
              <w:t>20.</w:t>
            </w:r>
            <w:r>
              <w:rPr>
                <w:color w:val="auto"/>
                <w:highlight w:val="none"/>
              </w:rPr>
              <w:t>设计BIM模型施工准备</w:t>
            </w:r>
          </w:p>
        </w:tc>
        <w:tc>
          <w:tcPr>
            <w:tcW w:w="2611" w:type="pct"/>
            <w:noWrap w:val="0"/>
            <w:tcMar>
              <w:top w:w="113" w:type="dxa"/>
              <w:left w:w="108" w:type="dxa"/>
              <w:bottom w:w="113" w:type="dxa"/>
              <w:right w:w="108" w:type="dxa"/>
            </w:tcMar>
            <w:vAlign w:val="center"/>
          </w:tcPr>
          <w:p w14:paraId="7110920D">
            <w:pPr>
              <w:pStyle w:val="585"/>
              <w:rPr>
                <w:color w:val="auto"/>
                <w:highlight w:val="none"/>
              </w:rPr>
            </w:pPr>
            <w:r>
              <w:rPr>
                <w:color w:val="auto"/>
                <w:highlight w:val="none"/>
              </w:rPr>
              <w:t>设计单位应根据建设单位BIM实施的统一要求，在编制《设计BIM实施方案》时应考虑与施工阶段BIM实施的衔接和准备工作，并在设计BIM模型创建时，充分考虑模型向施工阶段沿用的基本要求，如命名、编码规则、模型</w:t>
            </w:r>
            <w:r>
              <w:rPr>
                <w:rFonts w:hint="eastAsia"/>
                <w:color w:val="auto"/>
                <w:highlight w:val="none"/>
              </w:rPr>
              <w:t>拆分</w:t>
            </w:r>
            <w:r>
              <w:rPr>
                <w:color w:val="auto"/>
                <w:highlight w:val="none"/>
              </w:rPr>
              <w:t>等。</w:t>
            </w:r>
          </w:p>
        </w:tc>
        <w:tc>
          <w:tcPr>
            <w:tcW w:w="727" w:type="pct"/>
            <w:noWrap w:val="0"/>
            <w:tcMar>
              <w:top w:w="113" w:type="dxa"/>
              <w:left w:w="108" w:type="dxa"/>
              <w:bottom w:w="113" w:type="dxa"/>
              <w:right w:w="108" w:type="dxa"/>
            </w:tcMar>
            <w:vAlign w:val="center"/>
          </w:tcPr>
          <w:p w14:paraId="5694A62D">
            <w:pPr>
              <w:pStyle w:val="561"/>
              <w:ind w:left="31"/>
              <w:rPr>
                <w:rFonts w:ascii="Times New Roman" w:hAnsi="Times New Roman" w:cs="Times New Roman"/>
                <w:color w:val="auto"/>
                <w:kern w:val="2"/>
                <w:szCs w:val="24"/>
                <w:highlight w:val="none"/>
              </w:rPr>
            </w:pPr>
            <w:r>
              <w:rPr>
                <w:color w:val="auto"/>
                <w:highlight w:val="none"/>
              </w:rPr>
              <w:t>设计单位</w:t>
            </w:r>
          </w:p>
        </w:tc>
      </w:tr>
      <w:tr w14:paraId="2D86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5D6F7F87">
            <w:pPr>
              <w:pStyle w:val="561"/>
              <w:ind w:left="31"/>
              <w:rPr>
                <w:color w:val="auto"/>
                <w:highlight w:val="none"/>
                <w:lang w:val="en-US"/>
              </w:rPr>
            </w:pPr>
          </w:p>
        </w:tc>
        <w:tc>
          <w:tcPr>
            <w:tcW w:w="1023" w:type="pct"/>
            <w:noWrap/>
            <w:tcMar>
              <w:top w:w="113" w:type="dxa"/>
              <w:left w:w="108" w:type="dxa"/>
              <w:bottom w:w="113" w:type="dxa"/>
              <w:right w:w="108" w:type="dxa"/>
            </w:tcMar>
            <w:vAlign w:val="center"/>
          </w:tcPr>
          <w:p w14:paraId="3A7E0927">
            <w:pPr>
              <w:pStyle w:val="561"/>
              <w:ind w:left="31"/>
              <w:rPr>
                <w:color w:val="auto"/>
                <w:highlight w:val="none"/>
                <w:lang w:val="en-US"/>
              </w:rPr>
            </w:pPr>
            <w:r>
              <w:rPr>
                <w:rFonts w:hint="eastAsia"/>
                <w:color w:val="auto"/>
                <w:highlight w:val="none"/>
                <w:lang w:val="en-US"/>
              </w:rPr>
              <w:t>21.施工图BIM审查</w:t>
            </w:r>
          </w:p>
        </w:tc>
        <w:tc>
          <w:tcPr>
            <w:tcW w:w="2611" w:type="pct"/>
            <w:noWrap w:val="0"/>
            <w:tcMar>
              <w:top w:w="113" w:type="dxa"/>
              <w:left w:w="108" w:type="dxa"/>
              <w:bottom w:w="113" w:type="dxa"/>
              <w:right w:w="108" w:type="dxa"/>
            </w:tcMar>
            <w:vAlign w:val="center"/>
          </w:tcPr>
          <w:p w14:paraId="329D267D">
            <w:pPr>
              <w:pStyle w:val="585"/>
              <w:rPr>
                <w:color w:val="auto"/>
                <w:highlight w:val="none"/>
              </w:rPr>
            </w:pPr>
            <w:r>
              <w:rPr>
                <w:rFonts w:hint="eastAsia"/>
                <w:color w:val="auto"/>
                <w:highlight w:val="none"/>
              </w:rPr>
              <w:t>按施工图审查平台要求施工图信息录入，完成审查。</w:t>
            </w:r>
          </w:p>
        </w:tc>
        <w:tc>
          <w:tcPr>
            <w:tcW w:w="727" w:type="pct"/>
            <w:noWrap w:val="0"/>
            <w:tcMar>
              <w:top w:w="113" w:type="dxa"/>
              <w:left w:w="108" w:type="dxa"/>
              <w:bottom w:w="113" w:type="dxa"/>
              <w:right w:w="108" w:type="dxa"/>
            </w:tcMar>
            <w:vAlign w:val="center"/>
          </w:tcPr>
          <w:p w14:paraId="11094641">
            <w:pPr>
              <w:pStyle w:val="561"/>
              <w:ind w:left="31"/>
              <w:rPr>
                <w:color w:val="auto"/>
                <w:highlight w:val="none"/>
                <w:lang w:val="en-US"/>
              </w:rPr>
            </w:pPr>
            <w:r>
              <w:rPr>
                <w:color w:val="auto"/>
                <w:highlight w:val="none"/>
              </w:rPr>
              <w:t>设计单位</w:t>
            </w:r>
          </w:p>
        </w:tc>
      </w:tr>
      <w:tr w14:paraId="634A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76131F49">
            <w:pPr>
              <w:pStyle w:val="561"/>
              <w:ind w:left="31"/>
              <w:rPr>
                <w:color w:val="auto"/>
                <w:highlight w:val="none"/>
              </w:rPr>
            </w:pPr>
          </w:p>
        </w:tc>
        <w:tc>
          <w:tcPr>
            <w:tcW w:w="1023" w:type="pct"/>
            <w:noWrap/>
            <w:tcMar>
              <w:top w:w="113" w:type="dxa"/>
              <w:left w:w="108" w:type="dxa"/>
              <w:bottom w:w="113" w:type="dxa"/>
              <w:right w:w="108" w:type="dxa"/>
            </w:tcMar>
            <w:vAlign w:val="center"/>
          </w:tcPr>
          <w:p w14:paraId="31F3B32B">
            <w:pPr>
              <w:pStyle w:val="561"/>
              <w:ind w:left="31"/>
              <w:rPr>
                <w:color w:val="auto"/>
                <w:highlight w:val="none"/>
                <w:lang w:val="en-US"/>
              </w:rPr>
            </w:pPr>
            <w:r>
              <w:rPr>
                <w:rFonts w:hint="eastAsia"/>
                <w:color w:val="auto"/>
                <w:highlight w:val="none"/>
                <w:lang w:val="en-US"/>
              </w:rPr>
              <w:t>22.施工交底</w:t>
            </w:r>
          </w:p>
        </w:tc>
        <w:tc>
          <w:tcPr>
            <w:tcW w:w="2611" w:type="pct"/>
            <w:noWrap w:val="0"/>
            <w:tcMar>
              <w:top w:w="113" w:type="dxa"/>
              <w:left w:w="108" w:type="dxa"/>
              <w:bottom w:w="113" w:type="dxa"/>
              <w:right w:w="108" w:type="dxa"/>
            </w:tcMar>
            <w:vAlign w:val="center"/>
          </w:tcPr>
          <w:p w14:paraId="3883DAE2">
            <w:pPr>
              <w:pStyle w:val="585"/>
              <w:rPr>
                <w:color w:val="auto"/>
                <w:highlight w:val="none"/>
              </w:rPr>
            </w:pPr>
            <w:r>
              <w:rPr>
                <w:rFonts w:hint="eastAsia"/>
                <w:color w:val="auto"/>
                <w:highlight w:val="none"/>
              </w:rPr>
              <w:t>基于统一的BIM模型进行多方沟通、数据交底。</w:t>
            </w:r>
          </w:p>
        </w:tc>
        <w:tc>
          <w:tcPr>
            <w:tcW w:w="727" w:type="pct"/>
            <w:noWrap w:val="0"/>
            <w:tcMar>
              <w:top w:w="113" w:type="dxa"/>
              <w:left w:w="108" w:type="dxa"/>
              <w:bottom w:w="113" w:type="dxa"/>
              <w:right w:w="108" w:type="dxa"/>
            </w:tcMar>
            <w:vAlign w:val="center"/>
          </w:tcPr>
          <w:p w14:paraId="1171B65B">
            <w:pPr>
              <w:pStyle w:val="561"/>
              <w:ind w:left="31"/>
              <w:rPr>
                <w:color w:val="auto"/>
                <w:highlight w:val="none"/>
                <w:lang w:val="en-US"/>
              </w:rPr>
            </w:pPr>
            <w:r>
              <w:rPr>
                <w:color w:val="auto"/>
                <w:highlight w:val="none"/>
              </w:rPr>
              <w:t>设计单位</w:t>
            </w:r>
          </w:p>
        </w:tc>
      </w:tr>
      <w:tr w14:paraId="4473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vMerge w:val="continue"/>
            <w:noWrap/>
            <w:tcMar>
              <w:top w:w="113" w:type="dxa"/>
              <w:left w:w="108" w:type="dxa"/>
              <w:bottom w:w="113" w:type="dxa"/>
              <w:right w:w="108" w:type="dxa"/>
            </w:tcMar>
            <w:vAlign w:val="center"/>
          </w:tcPr>
          <w:p w14:paraId="0365E01E">
            <w:pPr>
              <w:pStyle w:val="561"/>
              <w:ind w:left="31"/>
              <w:rPr>
                <w:rFonts w:ascii="Times New Roman" w:hAnsi="Times New Roman" w:cs="Times New Roman"/>
                <w:color w:val="auto"/>
                <w:kern w:val="2"/>
                <w:szCs w:val="24"/>
                <w:highlight w:val="none"/>
              </w:rPr>
            </w:pPr>
          </w:p>
        </w:tc>
        <w:tc>
          <w:tcPr>
            <w:tcW w:w="1023" w:type="pct"/>
            <w:noWrap/>
            <w:tcMar>
              <w:top w:w="113" w:type="dxa"/>
              <w:left w:w="108" w:type="dxa"/>
              <w:bottom w:w="113" w:type="dxa"/>
              <w:right w:w="108" w:type="dxa"/>
            </w:tcMar>
            <w:vAlign w:val="center"/>
          </w:tcPr>
          <w:p w14:paraId="7DDB43C3">
            <w:pPr>
              <w:pStyle w:val="561"/>
              <w:ind w:left="31"/>
              <w:rPr>
                <w:rFonts w:ascii="Times New Roman" w:hAnsi="Times New Roman" w:cs="Times New Roman"/>
                <w:color w:val="auto"/>
                <w:kern w:val="2"/>
                <w:szCs w:val="24"/>
                <w:highlight w:val="none"/>
                <w:lang w:val="en-US"/>
              </w:rPr>
            </w:pPr>
            <w:r>
              <w:rPr>
                <w:rFonts w:ascii="Times New Roman" w:hAnsi="Times New Roman" w:cs="Times New Roman"/>
                <w:color w:val="auto"/>
                <w:kern w:val="2"/>
                <w:szCs w:val="24"/>
                <w:highlight w:val="none"/>
                <w:lang w:val="en-US"/>
              </w:rPr>
              <w:t>2</w:t>
            </w:r>
            <w:r>
              <w:rPr>
                <w:rFonts w:hint="eastAsia"/>
                <w:color w:val="auto"/>
                <w:highlight w:val="none"/>
                <w:lang w:val="en-US"/>
              </w:rPr>
              <w:t>3</w:t>
            </w:r>
            <w:r>
              <w:rPr>
                <w:rFonts w:ascii="Times New Roman" w:hAnsi="Times New Roman" w:cs="Times New Roman"/>
                <w:color w:val="auto"/>
                <w:kern w:val="2"/>
                <w:szCs w:val="24"/>
                <w:highlight w:val="none"/>
                <w:lang w:val="en-US"/>
              </w:rPr>
              <w:t>.对接CIM平台</w:t>
            </w:r>
          </w:p>
        </w:tc>
        <w:tc>
          <w:tcPr>
            <w:tcW w:w="2611" w:type="pct"/>
            <w:noWrap w:val="0"/>
            <w:tcMar>
              <w:top w:w="113" w:type="dxa"/>
              <w:left w:w="108" w:type="dxa"/>
              <w:bottom w:w="113" w:type="dxa"/>
              <w:right w:w="108" w:type="dxa"/>
            </w:tcMar>
            <w:vAlign w:val="center"/>
          </w:tcPr>
          <w:p w14:paraId="67E75E45">
            <w:pPr>
              <w:pStyle w:val="585"/>
              <w:rPr>
                <w:color w:val="auto"/>
                <w:highlight w:val="none"/>
              </w:rPr>
            </w:pPr>
            <w:r>
              <w:rPr>
                <w:color w:val="auto"/>
                <w:highlight w:val="none"/>
              </w:rPr>
              <w:t>按CIM平台要求进行数据对接，基于CIM平台管理数据和应用数据。</w:t>
            </w:r>
          </w:p>
        </w:tc>
        <w:tc>
          <w:tcPr>
            <w:tcW w:w="727" w:type="pct"/>
            <w:noWrap w:val="0"/>
            <w:tcMar>
              <w:top w:w="113" w:type="dxa"/>
              <w:left w:w="108" w:type="dxa"/>
              <w:bottom w:w="113" w:type="dxa"/>
              <w:right w:w="108" w:type="dxa"/>
            </w:tcMar>
            <w:vAlign w:val="center"/>
          </w:tcPr>
          <w:p w14:paraId="50A7435E">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设计单位</w:t>
            </w:r>
          </w:p>
        </w:tc>
      </w:tr>
    </w:tbl>
    <w:p w14:paraId="0BF43FD1">
      <w:pPr>
        <w:spacing w:before="120" w:after="120" w:line="312" w:lineRule="auto"/>
        <w:ind w:firstLine="0" w:firstLineChars="0"/>
        <w:rPr>
          <w:rFonts w:cs="Times New Roman"/>
          <w:color w:val="auto"/>
          <w:highlight w:val="none"/>
        </w:rPr>
      </w:pPr>
    </w:p>
    <w:p w14:paraId="28E5AA64">
      <w:pPr>
        <w:spacing w:before="120" w:after="120" w:line="312" w:lineRule="auto"/>
        <w:ind w:firstLine="0" w:firstLineChars="0"/>
        <w:rPr>
          <w:rFonts w:cs="Times New Roman"/>
          <w:color w:val="auto"/>
          <w:highlight w:val="none"/>
        </w:rPr>
      </w:pPr>
    </w:p>
    <w:p w14:paraId="206A7B5C">
      <w:pPr>
        <w:spacing w:before="120" w:after="120" w:line="312" w:lineRule="auto"/>
        <w:ind w:firstLine="0" w:firstLineChars="0"/>
        <w:rPr>
          <w:rFonts w:cs="Times New Roman"/>
          <w:color w:val="auto"/>
          <w:highlight w:val="none"/>
        </w:rPr>
      </w:pPr>
      <w:r>
        <w:rPr>
          <w:rFonts w:cs="Times New Roman"/>
          <w:color w:val="auto"/>
          <w:highlight w:val="none"/>
        </w:rPr>
        <w:br w:type="page"/>
      </w:r>
    </w:p>
    <w:p w14:paraId="3D8258BD">
      <w:pPr>
        <w:numPr>
          <w:ilvl w:val="0"/>
          <w:numId w:val="9"/>
        </w:numPr>
        <w:snapToGrid w:val="0"/>
        <w:spacing w:before="120" w:afterLines="0"/>
        <w:jc w:val="center"/>
        <w:rPr>
          <w:rFonts w:ascii="宋体" w:hAnsi="宋体" w:eastAsia="黑体" w:cs="Times New Roman"/>
          <w:color w:val="auto"/>
          <w:szCs w:val="20"/>
          <w:highlight w:val="none"/>
        </w:rPr>
      </w:pPr>
      <w:r>
        <w:rPr>
          <w:rFonts w:ascii="宋体" w:hAnsi="宋体" w:eastAsia="黑体" w:cs="Times New Roman"/>
          <w:color w:val="auto"/>
          <w:szCs w:val="20"/>
          <w:highlight w:val="none"/>
        </w:rPr>
        <w:t>5.2 施工阶段BIM实施应用点</w:t>
      </w:r>
    </w:p>
    <w:p w14:paraId="59476607">
      <w:pPr>
        <w:snapToGrid w:val="0"/>
        <w:spacing w:before="120" w:after="120" w:line="312" w:lineRule="auto"/>
        <w:ind w:firstLine="0" w:firstLineChars="0"/>
        <w:rPr>
          <w:rFonts w:cs="Times New Roman"/>
          <w:b/>
          <w:color w:val="auto"/>
          <w:sz w:val="28"/>
          <w:highlight w:val="none"/>
        </w:rPr>
      </w:pPr>
    </w:p>
    <w:tbl>
      <w:tblPr>
        <w:tblStyle w:val="5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2958"/>
        <w:gridCol w:w="7302"/>
        <w:gridCol w:w="2120"/>
      </w:tblGrid>
      <w:tr w14:paraId="04D1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noWrap w:val="0"/>
            <w:tcMar>
              <w:top w:w="113" w:type="dxa"/>
              <w:left w:w="108" w:type="dxa"/>
              <w:bottom w:w="113" w:type="dxa"/>
              <w:right w:w="108" w:type="dxa"/>
            </w:tcMar>
            <w:vAlign w:val="center"/>
          </w:tcPr>
          <w:p w14:paraId="692307B2">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应用</w:t>
            </w:r>
            <w:r>
              <w:rPr>
                <w:rFonts w:hint="eastAsia"/>
                <w:color w:val="auto"/>
                <w:highlight w:val="none"/>
                <w:lang w:val="en-US"/>
              </w:rPr>
              <w:t>阶段</w:t>
            </w:r>
          </w:p>
        </w:tc>
        <w:tc>
          <w:tcPr>
            <w:tcW w:w="1044" w:type="pct"/>
            <w:noWrap w:val="0"/>
            <w:tcMar>
              <w:top w:w="113" w:type="dxa"/>
              <w:left w:w="108" w:type="dxa"/>
              <w:bottom w:w="113" w:type="dxa"/>
              <w:right w:w="108" w:type="dxa"/>
            </w:tcMar>
            <w:vAlign w:val="center"/>
          </w:tcPr>
          <w:p w14:paraId="7755FD17">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应用点</w:t>
            </w:r>
          </w:p>
        </w:tc>
        <w:tc>
          <w:tcPr>
            <w:tcW w:w="2576" w:type="pct"/>
            <w:noWrap w:val="0"/>
            <w:tcMar>
              <w:top w:w="113" w:type="dxa"/>
              <w:left w:w="108" w:type="dxa"/>
              <w:bottom w:w="113" w:type="dxa"/>
              <w:right w:w="108" w:type="dxa"/>
            </w:tcMar>
            <w:vAlign w:val="center"/>
          </w:tcPr>
          <w:p w14:paraId="04B2343B">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工作内容</w:t>
            </w:r>
          </w:p>
        </w:tc>
        <w:tc>
          <w:tcPr>
            <w:tcW w:w="748" w:type="pct"/>
            <w:noWrap w:val="0"/>
            <w:tcMar>
              <w:top w:w="113" w:type="dxa"/>
              <w:left w:w="108" w:type="dxa"/>
              <w:bottom w:w="113" w:type="dxa"/>
              <w:right w:w="108" w:type="dxa"/>
            </w:tcMar>
            <w:vAlign w:val="center"/>
          </w:tcPr>
          <w:p w14:paraId="336304E8">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实施单位</w:t>
            </w:r>
          </w:p>
        </w:tc>
      </w:tr>
      <w:tr w14:paraId="65B9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restart"/>
            <w:noWrap/>
            <w:tcMar>
              <w:top w:w="113" w:type="dxa"/>
              <w:left w:w="108" w:type="dxa"/>
              <w:bottom w:w="113" w:type="dxa"/>
              <w:right w:w="108" w:type="dxa"/>
            </w:tcMar>
            <w:vAlign w:val="center"/>
          </w:tcPr>
          <w:p w14:paraId="54F38520">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w:t>
            </w:r>
            <w:r>
              <w:rPr>
                <w:rFonts w:ascii="Times New Roman" w:hAnsi="Times New Roman" w:cs="Times New Roman"/>
                <w:color w:val="auto"/>
                <w:kern w:val="2"/>
                <w:szCs w:val="24"/>
                <w:highlight w:val="none"/>
                <w:lang w:val="en-US"/>
              </w:rPr>
              <w:t>准备阶段</w:t>
            </w:r>
            <w:r>
              <w:rPr>
                <w:rFonts w:ascii="Times New Roman" w:hAnsi="Times New Roman" w:cs="Times New Roman"/>
                <w:color w:val="auto"/>
                <w:kern w:val="2"/>
                <w:szCs w:val="24"/>
                <w:highlight w:val="none"/>
              </w:rPr>
              <w:t>BIM应用内容和要求</w:t>
            </w:r>
          </w:p>
        </w:tc>
        <w:tc>
          <w:tcPr>
            <w:tcW w:w="1044" w:type="pct"/>
            <w:noWrap/>
            <w:tcMar>
              <w:top w:w="113" w:type="dxa"/>
              <w:left w:w="108" w:type="dxa"/>
              <w:bottom w:w="113" w:type="dxa"/>
              <w:right w:w="108" w:type="dxa"/>
            </w:tcMar>
            <w:vAlign w:val="center"/>
          </w:tcPr>
          <w:p w14:paraId="26B6B86C">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lang w:val="en-US"/>
              </w:rPr>
              <w:t>1</w:t>
            </w:r>
            <w:r>
              <w:rPr>
                <w:rFonts w:ascii="Times New Roman" w:hAnsi="Times New Roman" w:cs="Times New Roman"/>
                <w:color w:val="auto"/>
                <w:kern w:val="2"/>
                <w:szCs w:val="24"/>
                <w:highlight w:val="none"/>
              </w:rPr>
              <w:t>.设计BIM成果接收</w:t>
            </w:r>
          </w:p>
        </w:tc>
        <w:tc>
          <w:tcPr>
            <w:tcW w:w="2576" w:type="pct"/>
            <w:noWrap w:val="0"/>
            <w:tcMar>
              <w:top w:w="113" w:type="dxa"/>
              <w:left w:w="108" w:type="dxa"/>
              <w:bottom w:w="113" w:type="dxa"/>
              <w:right w:w="108" w:type="dxa"/>
            </w:tcMar>
            <w:vAlign w:val="center"/>
          </w:tcPr>
          <w:p w14:paraId="0E66C1B7">
            <w:pPr>
              <w:pStyle w:val="585"/>
              <w:rPr>
                <w:color w:val="auto"/>
                <w:highlight w:val="none"/>
              </w:rPr>
            </w:pPr>
            <w:r>
              <w:rPr>
                <w:color w:val="auto"/>
                <w:highlight w:val="none"/>
              </w:rPr>
              <w:t>施工总包单位从代建局接收设计BIM成果，用于施工阶段的BIM实施。设计单位向施工单位交底设计BIM成果，明确设计BIM成果的种类、深度、用途等。</w:t>
            </w:r>
          </w:p>
        </w:tc>
        <w:tc>
          <w:tcPr>
            <w:tcW w:w="748" w:type="pct"/>
            <w:noWrap w:val="0"/>
            <w:tcMar>
              <w:top w:w="113" w:type="dxa"/>
              <w:left w:w="108" w:type="dxa"/>
              <w:bottom w:w="113" w:type="dxa"/>
              <w:right w:w="108" w:type="dxa"/>
            </w:tcMar>
            <w:vAlign w:val="center"/>
          </w:tcPr>
          <w:p w14:paraId="08F4AB14">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lang w:val="en-US"/>
              </w:rPr>
              <w:t>代建局</w:t>
            </w:r>
            <w:r>
              <w:rPr>
                <w:rFonts w:ascii="Times New Roman" w:hAnsi="Times New Roman" w:cs="Times New Roman"/>
                <w:color w:val="auto"/>
                <w:kern w:val="2"/>
                <w:szCs w:val="24"/>
                <w:highlight w:val="none"/>
              </w:rPr>
              <w:t>、</w:t>
            </w:r>
            <w:r>
              <w:rPr>
                <w:rFonts w:ascii="Times New Roman" w:hAnsi="Times New Roman" w:cs="Times New Roman"/>
                <w:color w:val="auto"/>
                <w:kern w:val="2"/>
                <w:szCs w:val="24"/>
                <w:highlight w:val="none"/>
                <w:lang w:val="en-US"/>
              </w:rPr>
              <w:t>咨询单位、</w:t>
            </w:r>
            <w:r>
              <w:rPr>
                <w:rFonts w:ascii="Times New Roman" w:hAnsi="Times New Roman" w:cs="Times New Roman"/>
                <w:color w:val="auto"/>
                <w:kern w:val="2"/>
                <w:szCs w:val="24"/>
                <w:highlight w:val="none"/>
              </w:rPr>
              <w:t>设计单位、施工总包单位</w:t>
            </w:r>
          </w:p>
        </w:tc>
      </w:tr>
      <w:tr w14:paraId="1562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563078B5">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12E9017B">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lang w:val="en-US"/>
              </w:rPr>
              <w:t>2</w:t>
            </w:r>
            <w:r>
              <w:rPr>
                <w:rFonts w:ascii="Times New Roman" w:hAnsi="Times New Roman" w:cs="Times New Roman"/>
                <w:color w:val="auto"/>
                <w:kern w:val="2"/>
                <w:szCs w:val="24"/>
                <w:highlight w:val="none"/>
              </w:rPr>
              <w:t>.《施工</w:t>
            </w:r>
            <w:r>
              <w:rPr>
                <w:rFonts w:ascii="Times New Roman" w:hAnsi="Times New Roman" w:cs="Times New Roman"/>
                <w:color w:val="auto"/>
                <w:kern w:val="2"/>
                <w:szCs w:val="24"/>
                <w:highlight w:val="none"/>
                <w:lang w:val="en-US"/>
              </w:rPr>
              <w:t>阶段</w:t>
            </w:r>
            <w:r>
              <w:rPr>
                <w:rFonts w:ascii="Times New Roman" w:hAnsi="Times New Roman" w:cs="Times New Roman"/>
                <w:color w:val="auto"/>
                <w:kern w:val="2"/>
                <w:szCs w:val="24"/>
                <w:highlight w:val="none"/>
              </w:rPr>
              <w:t>BIM实施方案》</w:t>
            </w:r>
          </w:p>
        </w:tc>
        <w:tc>
          <w:tcPr>
            <w:tcW w:w="2576" w:type="pct"/>
            <w:noWrap w:val="0"/>
            <w:tcMar>
              <w:top w:w="113" w:type="dxa"/>
              <w:left w:w="108" w:type="dxa"/>
              <w:bottom w:w="113" w:type="dxa"/>
              <w:right w:w="108" w:type="dxa"/>
            </w:tcMar>
            <w:vAlign w:val="center"/>
          </w:tcPr>
          <w:p w14:paraId="093874E9">
            <w:pPr>
              <w:pStyle w:val="585"/>
              <w:rPr>
                <w:color w:val="auto"/>
                <w:highlight w:val="none"/>
              </w:rPr>
            </w:pPr>
            <w:r>
              <w:rPr>
                <w:color w:val="auto"/>
                <w:highlight w:val="none"/>
              </w:rPr>
              <w:t>施工总包提交《施工阶段BIM实施方案》，咨询单位组织方案评审，经评审通过的BIM实施方案方可作为正式的实施依据。</w:t>
            </w:r>
          </w:p>
        </w:tc>
        <w:tc>
          <w:tcPr>
            <w:tcW w:w="748" w:type="pct"/>
            <w:noWrap w:val="0"/>
            <w:tcMar>
              <w:top w:w="113" w:type="dxa"/>
              <w:left w:w="108" w:type="dxa"/>
              <w:bottom w:w="113" w:type="dxa"/>
              <w:right w:w="108" w:type="dxa"/>
            </w:tcMar>
            <w:vAlign w:val="center"/>
          </w:tcPr>
          <w:p w14:paraId="373F9048">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施工总包单位、</w:t>
            </w:r>
            <w:r>
              <w:rPr>
                <w:rFonts w:ascii="Times New Roman" w:hAnsi="Times New Roman" w:cs="Times New Roman"/>
                <w:color w:val="auto"/>
                <w:kern w:val="2"/>
                <w:szCs w:val="24"/>
                <w:highlight w:val="none"/>
                <w:lang w:val="en-US"/>
              </w:rPr>
              <w:t>咨询</w:t>
            </w:r>
            <w:r>
              <w:rPr>
                <w:rFonts w:ascii="Times New Roman" w:hAnsi="Times New Roman" w:cs="Times New Roman"/>
                <w:color w:val="auto"/>
                <w:kern w:val="2"/>
                <w:szCs w:val="24"/>
                <w:highlight w:val="none"/>
              </w:rPr>
              <w:t>单位</w:t>
            </w:r>
          </w:p>
        </w:tc>
      </w:tr>
      <w:tr w14:paraId="46B2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2C4BA5BC">
            <w:pPr>
              <w:pStyle w:val="561"/>
              <w:ind w:left="31"/>
              <w:rPr>
                <w:color w:val="auto"/>
                <w:highlight w:val="none"/>
              </w:rPr>
            </w:pPr>
          </w:p>
        </w:tc>
        <w:tc>
          <w:tcPr>
            <w:tcW w:w="1044" w:type="pct"/>
            <w:noWrap/>
            <w:tcMar>
              <w:top w:w="113" w:type="dxa"/>
              <w:left w:w="108" w:type="dxa"/>
              <w:bottom w:w="113" w:type="dxa"/>
              <w:right w:w="108" w:type="dxa"/>
            </w:tcMar>
            <w:vAlign w:val="center"/>
          </w:tcPr>
          <w:p w14:paraId="1D8DA770">
            <w:pPr>
              <w:pStyle w:val="561"/>
              <w:ind w:left="31"/>
              <w:rPr>
                <w:color w:val="auto"/>
                <w:highlight w:val="none"/>
                <w:lang w:val="en-US"/>
              </w:rPr>
            </w:pPr>
            <w:r>
              <w:rPr>
                <w:rFonts w:hint="eastAsia"/>
                <w:color w:val="auto"/>
                <w:highlight w:val="none"/>
                <w:lang w:val="en-US"/>
              </w:rPr>
              <w:t>3.</w:t>
            </w:r>
            <w:r>
              <w:rPr>
                <w:rFonts w:hint="eastAsia"/>
                <w:color w:val="auto"/>
                <w:highlight w:val="none"/>
              </w:rPr>
              <w:t>基于全地形BIM的施工</w:t>
            </w:r>
            <w:r>
              <w:rPr>
                <w:rFonts w:hint="eastAsia"/>
                <w:color w:val="auto"/>
                <w:highlight w:val="none"/>
                <w:lang w:val="en-US"/>
              </w:rPr>
              <w:t>准备</w:t>
            </w:r>
            <w:r>
              <w:rPr>
                <w:rFonts w:hint="eastAsia"/>
                <w:color w:val="auto"/>
                <w:highlight w:val="none"/>
              </w:rPr>
              <w:t>应用</w:t>
            </w:r>
          </w:p>
        </w:tc>
        <w:tc>
          <w:tcPr>
            <w:tcW w:w="2576" w:type="pct"/>
            <w:noWrap w:val="0"/>
            <w:tcMar>
              <w:top w:w="113" w:type="dxa"/>
              <w:left w:w="108" w:type="dxa"/>
              <w:bottom w:w="113" w:type="dxa"/>
              <w:right w:w="108" w:type="dxa"/>
            </w:tcMar>
            <w:vAlign w:val="center"/>
          </w:tcPr>
          <w:p w14:paraId="16639903">
            <w:pPr>
              <w:pStyle w:val="585"/>
              <w:rPr>
                <w:color w:val="auto"/>
                <w:highlight w:val="none"/>
              </w:rPr>
            </w:pPr>
            <w:r>
              <w:rPr>
                <w:color w:val="auto"/>
                <w:highlight w:val="none"/>
              </w:rPr>
              <w:t>1</w:t>
            </w:r>
            <w:r>
              <w:rPr>
                <w:rFonts w:hint="eastAsia"/>
                <w:color w:val="auto"/>
                <w:highlight w:val="none"/>
              </w:rPr>
              <w:t>）</w:t>
            </w:r>
            <w:r>
              <w:rPr>
                <w:color w:val="auto"/>
                <w:highlight w:val="none"/>
              </w:rPr>
              <w:t>优化基坑开挖方案，控制开挖成本；</w:t>
            </w:r>
          </w:p>
          <w:p w14:paraId="1FDD4B08">
            <w:pPr>
              <w:pStyle w:val="585"/>
              <w:rPr>
                <w:color w:val="auto"/>
                <w:highlight w:val="none"/>
              </w:rPr>
            </w:pPr>
            <w:r>
              <w:rPr>
                <w:color w:val="auto"/>
                <w:highlight w:val="none"/>
              </w:rPr>
              <w:t>2</w:t>
            </w:r>
            <w:r>
              <w:rPr>
                <w:rFonts w:hint="eastAsia"/>
                <w:color w:val="auto"/>
                <w:highlight w:val="none"/>
              </w:rPr>
              <w:t>）</w:t>
            </w:r>
            <w:r>
              <w:rPr>
                <w:color w:val="auto"/>
                <w:highlight w:val="none"/>
              </w:rPr>
              <w:t>计算不同方案的土方挖填方量，优化挖填方案；</w:t>
            </w:r>
          </w:p>
          <w:p w14:paraId="568B513A">
            <w:pPr>
              <w:pStyle w:val="585"/>
              <w:rPr>
                <w:color w:val="auto"/>
                <w:highlight w:val="none"/>
              </w:rPr>
            </w:pPr>
            <w:r>
              <w:rPr>
                <w:color w:val="auto"/>
                <w:highlight w:val="none"/>
              </w:rPr>
              <w:t>3</w:t>
            </w:r>
            <w:r>
              <w:rPr>
                <w:rFonts w:hint="eastAsia"/>
                <w:color w:val="auto"/>
                <w:highlight w:val="none"/>
              </w:rPr>
              <w:t>）</w:t>
            </w:r>
            <w:r>
              <w:rPr>
                <w:color w:val="auto"/>
                <w:highlight w:val="none"/>
              </w:rPr>
              <w:t>优化施工场地布置，提升场地使用效率；</w:t>
            </w:r>
          </w:p>
          <w:p w14:paraId="5944BFCC">
            <w:pPr>
              <w:pStyle w:val="585"/>
              <w:rPr>
                <w:color w:val="auto"/>
                <w:highlight w:val="none"/>
              </w:rPr>
            </w:pPr>
            <w:r>
              <w:rPr>
                <w:color w:val="auto"/>
                <w:highlight w:val="none"/>
              </w:rPr>
              <w:t>4</w:t>
            </w:r>
            <w:r>
              <w:rPr>
                <w:rFonts w:hint="eastAsia"/>
                <w:color w:val="auto"/>
                <w:highlight w:val="none"/>
              </w:rPr>
              <w:t>）</w:t>
            </w:r>
            <w:r>
              <w:rPr>
                <w:color w:val="auto"/>
                <w:highlight w:val="none"/>
              </w:rPr>
              <w:t>辅助材料堆放方案设计和管理；</w:t>
            </w:r>
          </w:p>
          <w:p w14:paraId="5591AC8C">
            <w:pPr>
              <w:pStyle w:val="585"/>
              <w:rPr>
                <w:color w:val="auto"/>
                <w:highlight w:val="none"/>
              </w:rPr>
            </w:pPr>
            <w:r>
              <w:rPr>
                <w:color w:val="auto"/>
                <w:highlight w:val="none"/>
              </w:rPr>
              <w:t>5</w:t>
            </w:r>
            <w:r>
              <w:rPr>
                <w:rFonts w:hint="eastAsia"/>
                <w:color w:val="auto"/>
                <w:highlight w:val="none"/>
              </w:rPr>
              <w:t>）</w:t>
            </w:r>
            <w:r>
              <w:rPr>
                <w:color w:val="auto"/>
                <w:highlight w:val="none"/>
              </w:rPr>
              <w:t>辅助土方工程成本分析，与概算比对，提出优化建议；</w:t>
            </w:r>
          </w:p>
        </w:tc>
        <w:tc>
          <w:tcPr>
            <w:tcW w:w="748" w:type="pct"/>
            <w:noWrap w:val="0"/>
            <w:tcMar>
              <w:top w:w="113" w:type="dxa"/>
              <w:left w:w="108" w:type="dxa"/>
              <w:bottom w:w="113" w:type="dxa"/>
              <w:right w:w="108" w:type="dxa"/>
            </w:tcMar>
            <w:vAlign w:val="center"/>
          </w:tcPr>
          <w:p w14:paraId="44440067">
            <w:pPr>
              <w:pStyle w:val="561"/>
              <w:ind w:left="31"/>
              <w:rPr>
                <w:color w:val="auto"/>
                <w:highlight w:val="none"/>
              </w:rPr>
            </w:pPr>
            <w:r>
              <w:rPr>
                <w:rFonts w:hint="eastAsia"/>
                <w:color w:val="auto"/>
                <w:highlight w:val="none"/>
              </w:rPr>
              <w:t>施工总包单位、咨询单位</w:t>
            </w:r>
          </w:p>
        </w:tc>
      </w:tr>
      <w:tr w14:paraId="7598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5AD0853D">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7280A535">
            <w:pPr>
              <w:pStyle w:val="561"/>
              <w:ind w:left="31"/>
              <w:rPr>
                <w:rFonts w:ascii="Times New Roman" w:hAnsi="Times New Roman" w:cs="Times New Roman"/>
                <w:color w:val="auto"/>
                <w:kern w:val="2"/>
                <w:szCs w:val="24"/>
                <w:highlight w:val="none"/>
              </w:rPr>
            </w:pPr>
            <w:r>
              <w:rPr>
                <w:rFonts w:hint="eastAsia"/>
                <w:color w:val="auto"/>
                <w:highlight w:val="none"/>
                <w:lang w:val="en-US"/>
              </w:rPr>
              <w:t>4</w:t>
            </w:r>
            <w:r>
              <w:rPr>
                <w:rFonts w:ascii="Times New Roman" w:hAnsi="Times New Roman" w:cs="Times New Roman"/>
                <w:color w:val="auto"/>
                <w:kern w:val="2"/>
                <w:szCs w:val="24"/>
                <w:highlight w:val="none"/>
              </w:rPr>
              <w:t>.BIM深化设计</w:t>
            </w:r>
          </w:p>
        </w:tc>
        <w:tc>
          <w:tcPr>
            <w:tcW w:w="2576" w:type="pct"/>
            <w:noWrap w:val="0"/>
            <w:tcMar>
              <w:top w:w="113" w:type="dxa"/>
              <w:left w:w="108" w:type="dxa"/>
              <w:bottom w:w="113" w:type="dxa"/>
              <w:right w:w="108" w:type="dxa"/>
            </w:tcMar>
            <w:vAlign w:val="center"/>
          </w:tcPr>
          <w:p w14:paraId="776AF9C8">
            <w:pPr>
              <w:pStyle w:val="585"/>
              <w:rPr>
                <w:color w:val="auto"/>
                <w:highlight w:val="none"/>
              </w:rPr>
            </w:pPr>
            <w:r>
              <w:rPr>
                <w:color w:val="auto"/>
                <w:highlight w:val="none"/>
              </w:rPr>
              <w:t>对建筑、结构、给排水、暖通、电气、钢结构、幕墙、精装等专业的施工图模型展开深化设计，形成深化设计模型。</w:t>
            </w:r>
          </w:p>
        </w:tc>
        <w:tc>
          <w:tcPr>
            <w:tcW w:w="748" w:type="pct"/>
            <w:noWrap w:val="0"/>
            <w:tcMar>
              <w:top w:w="113" w:type="dxa"/>
              <w:left w:w="108" w:type="dxa"/>
              <w:bottom w:w="113" w:type="dxa"/>
              <w:right w:w="108" w:type="dxa"/>
            </w:tcMar>
            <w:vAlign w:val="center"/>
          </w:tcPr>
          <w:p w14:paraId="0B3B427A">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施工总包单位、专业分包单位</w:t>
            </w:r>
          </w:p>
        </w:tc>
      </w:tr>
      <w:tr w14:paraId="699E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323C150F">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7921B85C">
            <w:pPr>
              <w:pStyle w:val="561"/>
              <w:ind w:left="31"/>
              <w:rPr>
                <w:rFonts w:ascii="Times New Roman" w:hAnsi="Times New Roman" w:cs="Times New Roman"/>
                <w:color w:val="auto"/>
                <w:kern w:val="2"/>
                <w:szCs w:val="24"/>
                <w:highlight w:val="none"/>
              </w:rPr>
            </w:pPr>
            <w:r>
              <w:rPr>
                <w:rFonts w:hint="eastAsia"/>
                <w:color w:val="auto"/>
                <w:highlight w:val="none"/>
                <w:lang w:val="en-US"/>
              </w:rPr>
              <w:t>5</w:t>
            </w:r>
            <w:r>
              <w:rPr>
                <w:rFonts w:ascii="Times New Roman" w:hAnsi="Times New Roman" w:cs="Times New Roman"/>
                <w:color w:val="auto"/>
                <w:kern w:val="2"/>
                <w:szCs w:val="24"/>
                <w:highlight w:val="none"/>
              </w:rPr>
              <w:t>.施工总平面优化</w:t>
            </w:r>
          </w:p>
        </w:tc>
        <w:tc>
          <w:tcPr>
            <w:tcW w:w="2576" w:type="pct"/>
            <w:noWrap w:val="0"/>
            <w:tcMar>
              <w:top w:w="113" w:type="dxa"/>
              <w:left w:w="108" w:type="dxa"/>
              <w:bottom w:w="113" w:type="dxa"/>
              <w:right w:w="108" w:type="dxa"/>
            </w:tcMar>
            <w:vAlign w:val="center"/>
          </w:tcPr>
          <w:p w14:paraId="16E880C4">
            <w:pPr>
              <w:pStyle w:val="585"/>
              <w:rPr>
                <w:color w:val="auto"/>
                <w:highlight w:val="none"/>
              </w:rPr>
            </w:pPr>
            <w:r>
              <w:rPr>
                <w:color w:val="auto"/>
                <w:highlight w:val="none"/>
              </w:rPr>
              <w:t>施工单位创建施工总平面布置模型，优化空间组织利用。</w:t>
            </w:r>
          </w:p>
        </w:tc>
        <w:tc>
          <w:tcPr>
            <w:tcW w:w="748" w:type="pct"/>
            <w:noWrap w:val="0"/>
            <w:tcMar>
              <w:top w:w="113" w:type="dxa"/>
              <w:left w:w="108" w:type="dxa"/>
              <w:bottom w:w="113" w:type="dxa"/>
              <w:right w:w="108" w:type="dxa"/>
            </w:tcMar>
            <w:vAlign w:val="center"/>
          </w:tcPr>
          <w:p w14:paraId="7F1FACC5">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施工总包单位、专业分包单位</w:t>
            </w:r>
          </w:p>
        </w:tc>
      </w:tr>
      <w:tr w14:paraId="503B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7035906E">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37423A3F">
            <w:pPr>
              <w:pStyle w:val="561"/>
              <w:ind w:left="31"/>
              <w:rPr>
                <w:rFonts w:ascii="Times New Roman" w:hAnsi="Times New Roman" w:cs="Times New Roman"/>
                <w:color w:val="auto"/>
                <w:kern w:val="2"/>
                <w:szCs w:val="24"/>
                <w:highlight w:val="none"/>
                <w:lang w:val="en-US"/>
              </w:rPr>
            </w:pPr>
            <w:r>
              <w:rPr>
                <w:rFonts w:hint="eastAsia"/>
                <w:color w:val="auto"/>
                <w:highlight w:val="none"/>
                <w:lang w:val="en-US"/>
              </w:rPr>
              <w:t>6</w:t>
            </w:r>
            <w:r>
              <w:rPr>
                <w:rFonts w:ascii="Times New Roman" w:hAnsi="Times New Roman" w:cs="Times New Roman"/>
                <w:color w:val="auto"/>
                <w:kern w:val="2"/>
                <w:szCs w:val="24"/>
                <w:highlight w:val="none"/>
                <w:lang w:val="en-US"/>
              </w:rPr>
              <w:t>.土建基槽开挖</w:t>
            </w:r>
          </w:p>
        </w:tc>
        <w:tc>
          <w:tcPr>
            <w:tcW w:w="2576" w:type="pct"/>
            <w:noWrap w:val="0"/>
            <w:tcMar>
              <w:top w:w="113" w:type="dxa"/>
              <w:left w:w="108" w:type="dxa"/>
              <w:bottom w:w="113" w:type="dxa"/>
              <w:right w:w="108" w:type="dxa"/>
            </w:tcMar>
            <w:vAlign w:val="center"/>
          </w:tcPr>
          <w:p w14:paraId="716670B3">
            <w:pPr>
              <w:pStyle w:val="585"/>
              <w:rPr>
                <w:color w:val="auto"/>
                <w:highlight w:val="none"/>
              </w:rPr>
            </w:pPr>
            <w:r>
              <w:rPr>
                <w:color w:val="auto"/>
                <w:highlight w:val="none"/>
              </w:rPr>
              <w:t>通过BIM模型对基槽开挖进行模拟，及土方量统计。</w:t>
            </w:r>
          </w:p>
        </w:tc>
        <w:tc>
          <w:tcPr>
            <w:tcW w:w="748" w:type="pct"/>
            <w:noWrap w:val="0"/>
            <w:tcMar>
              <w:top w:w="113" w:type="dxa"/>
              <w:left w:w="108" w:type="dxa"/>
              <w:bottom w:w="113" w:type="dxa"/>
              <w:right w:w="108" w:type="dxa"/>
            </w:tcMar>
            <w:vAlign w:val="center"/>
          </w:tcPr>
          <w:p w14:paraId="1F5A530D">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施工总包单位、专业分包单位</w:t>
            </w:r>
          </w:p>
        </w:tc>
      </w:tr>
      <w:tr w14:paraId="4387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597F2546">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2A743F6C">
            <w:pPr>
              <w:pStyle w:val="561"/>
              <w:ind w:left="31"/>
              <w:rPr>
                <w:rFonts w:ascii="Times New Roman" w:hAnsi="Times New Roman" w:cs="Times New Roman"/>
                <w:color w:val="auto"/>
                <w:kern w:val="2"/>
                <w:szCs w:val="24"/>
                <w:highlight w:val="none"/>
                <w:lang w:val="en-US"/>
              </w:rPr>
            </w:pPr>
            <w:r>
              <w:rPr>
                <w:rFonts w:hint="eastAsia"/>
                <w:color w:val="auto"/>
                <w:highlight w:val="none"/>
                <w:lang w:val="en-US"/>
              </w:rPr>
              <w:t>7</w:t>
            </w:r>
            <w:r>
              <w:rPr>
                <w:rFonts w:ascii="Times New Roman" w:hAnsi="Times New Roman" w:cs="Times New Roman"/>
                <w:color w:val="auto"/>
                <w:kern w:val="2"/>
                <w:szCs w:val="24"/>
                <w:highlight w:val="none"/>
                <w:lang w:val="en-US"/>
              </w:rPr>
              <w:t>.结构洞口预留预埋</w:t>
            </w:r>
          </w:p>
        </w:tc>
        <w:tc>
          <w:tcPr>
            <w:tcW w:w="2576" w:type="pct"/>
            <w:noWrap w:val="0"/>
            <w:tcMar>
              <w:top w:w="113" w:type="dxa"/>
              <w:left w:w="108" w:type="dxa"/>
              <w:bottom w:w="113" w:type="dxa"/>
              <w:right w:w="108" w:type="dxa"/>
            </w:tcMar>
            <w:vAlign w:val="center"/>
          </w:tcPr>
          <w:p w14:paraId="7C0E12D2">
            <w:pPr>
              <w:pStyle w:val="585"/>
              <w:rPr>
                <w:color w:val="auto"/>
                <w:highlight w:val="none"/>
              </w:rPr>
            </w:pPr>
            <w:r>
              <w:rPr>
                <w:color w:val="auto"/>
                <w:highlight w:val="none"/>
              </w:rPr>
              <w:t>通过BIM模型进行多专业协同，参数化精确洞口预留预埋。</w:t>
            </w:r>
          </w:p>
        </w:tc>
        <w:tc>
          <w:tcPr>
            <w:tcW w:w="748" w:type="pct"/>
            <w:noWrap w:val="0"/>
            <w:tcMar>
              <w:top w:w="113" w:type="dxa"/>
              <w:left w:w="108" w:type="dxa"/>
              <w:bottom w:w="113" w:type="dxa"/>
              <w:right w:w="108" w:type="dxa"/>
            </w:tcMar>
            <w:vAlign w:val="center"/>
          </w:tcPr>
          <w:p w14:paraId="6D777187">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施工总包单位、专业分包单位</w:t>
            </w:r>
          </w:p>
        </w:tc>
      </w:tr>
      <w:tr w14:paraId="0352A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63BE7B95">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40939ED7">
            <w:pPr>
              <w:pStyle w:val="561"/>
              <w:ind w:left="31"/>
              <w:rPr>
                <w:rFonts w:ascii="Times New Roman" w:hAnsi="Times New Roman" w:cs="Times New Roman"/>
                <w:color w:val="auto"/>
                <w:kern w:val="2"/>
                <w:szCs w:val="24"/>
                <w:highlight w:val="none"/>
                <w:lang w:val="en-US"/>
              </w:rPr>
            </w:pPr>
            <w:r>
              <w:rPr>
                <w:rFonts w:hint="eastAsia"/>
                <w:color w:val="auto"/>
                <w:highlight w:val="none"/>
                <w:lang w:val="en-US"/>
              </w:rPr>
              <w:t>8</w:t>
            </w:r>
            <w:r>
              <w:rPr>
                <w:rFonts w:ascii="Times New Roman" w:hAnsi="Times New Roman" w:cs="Times New Roman"/>
                <w:color w:val="auto"/>
                <w:kern w:val="2"/>
                <w:szCs w:val="24"/>
                <w:highlight w:val="none"/>
                <w:lang w:val="en-US"/>
              </w:rPr>
              <w:t>.机电管线碰撞分析</w:t>
            </w:r>
          </w:p>
        </w:tc>
        <w:tc>
          <w:tcPr>
            <w:tcW w:w="2576" w:type="pct"/>
            <w:noWrap w:val="0"/>
            <w:tcMar>
              <w:top w:w="113" w:type="dxa"/>
              <w:left w:w="108" w:type="dxa"/>
              <w:bottom w:w="113" w:type="dxa"/>
              <w:right w:w="108" w:type="dxa"/>
            </w:tcMar>
            <w:vAlign w:val="center"/>
          </w:tcPr>
          <w:p w14:paraId="41602A1F">
            <w:pPr>
              <w:pStyle w:val="585"/>
              <w:rPr>
                <w:color w:val="auto"/>
                <w:highlight w:val="none"/>
              </w:rPr>
            </w:pPr>
            <w:r>
              <w:rPr>
                <w:color w:val="auto"/>
                <w:highlight w:val="none"/>
              </w:rPr>
              <w:t>通过模型参数化模拟分析管线碰撞，以三维模型表达结果和统计分析。</w:t>
            </w:r>
          </w:p>
        </w:tc>
        <w:tc>
          <w:tcPr>
            <w:tcW w:w="748" w:type="pct"/>
            <w:noWrap w:val="0"/>
            <w:tcMar>
              <w:top w:w="113" w:type="dxa"/>
              <w:left w:w="108" w:type="dxa"/>
              <w:bottom w:w="113" w:type="dxa"/>
              <w:right w:w="108" w:type="dxa"/>
            </w:tcMar>
            <w:vAlign w:val="center"/>
          </w:tcPr>
          <w:p w14:paraId="2E133500">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施工总包单位、专业分包单位</w:t>
            </w:r>
          </w:p>
        </w:tc>
      </w:tr>
      <w:tr w14:paraId="3DD0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7A27EC11">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6C017094">
            <w:pPr>
              <w:pStyle w:val="561"/>
              <w:ind w:left="31"/>
              <w:rPr>
                <w:rFonts w:ascii="Times New Roman" w:hAnsi="Times New Roman" w:cs="Times New Roman"/>
                <w:color w:val="auto"/>
                <w:kern w:val="2"/>
                <w:szCs w:val="24"/>
                <w:highlight w:val="none"/>
                <w:lang w:val="en-US"/>
              </w:rPr>
            </w:pPr>
            <w:r>
              <w:rPr>
                <w:rFonts w:hint="eastAsia"/>
                <w:color w:val="auto"/>
                <w:highlight w:val="none"/>
                <w:lang w:val="en-US"/>
              </w:rPr>
              <w:t>9</w:t>
            </w:r>
            <w:r>
              <w:rPr>
                <w:rFonts w:ascii="Times New Roman" w:hAnsi="Times New Roman" w:cs="Times New Roman"/>
                <w:color w:val="auto"/>
                <w:kern w:val="2"/>
                <w:szCs w:val="24"/>
                <w:highlight w:val="none"/>
                <w:lang w:val="en-US"/>
              </w:rPr>
              <w:t>.机电管线路由优化</w:t>
            </w:r>
          </w:p>
        </w:tc>
        <w:tc>
          <w:tcPr>
            <w:tcW w:w="2576" w:type="pct"/>
            <w:noWrap w:val="0"/>
            <w:tcMar>
              <w:top w:w="113" w:type="dxa"/>
              <w:left w:w="108" w:type="dxa"/>
              <w:bottom w:w="113" w:type="dxa"/>
              <w:right w:w="108" w:type="dxa"/>
            </w:tcMar>
            <w:vAlign w:val="center"/>
          </w:tcPr>
          <w:p w14:paraId="03BCB594">
            <w:pPr>
              <w:pStyle w:val="585"/>
              <w:rPr>
                <w:color w:val="auto"/>
                <w:highlight w:val="none"/>
              </w:rPr>
            </w:pPr>
            <w:r>
              <w:rPr>
                <w:color w:val="auto"/>
                <w:highlight w:val="none"/>
              </w:rPr>
              <w:t>通过模型参数化分析路由路径，三维表达管线优化结果。</w:t>
            </w:r>
          </w:p>
        </w:tc>
        <w:tc>
          <w:tcPr>
            <w:tcW w:w="748" w:type="pct"/>
            <w:noWrap w:val="0"/>
            <w:tcMar>
              <w:top w:w="113" w:type="dxa"/>
              <w:left w:w="108" w:type="dxa"/>
              <w:bottom w:w="113" w:type="dxa"/>
              <w:right w:w="108" w:type="dxa"/>
            </w:tcMar>
            <w:vAlign w:val="center"/>
          </w:tcPr>
          <w:p w14:paraId="57ECF025">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施工总包单位、专业分包单位</w:t>
            </w:r>
          </w:p>
        </w:tc>
      </w:tr>
      <w:tr w14:paraId="7396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5AD331D3">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619E836C">
            <w:pPr>
              <w:pStyle w:val="561"/>
              <w:ind w:left="31"/>
              <w:rPr>
                <w:rFonts w:ascii="Times New Roman" w:hAnsi="Times New Roman" w:cs="Times New Roman"/>
                <w:color w:val="auto"/>
                <w:kern w:val="2"/>
                <w:szCs w:val="24"/>
                <w:highlight w:val="none"/>
                <w:lang w:val="en-US"/>
              </w:rPr>
            </w:pPr>
            <w:r>
              <w:rPr>
                <w:rFonts w:hint="eastAsia"/>
                <w:color w:val="auto"/>
                <w:highlight w:val="none"/>
                <w:lang w:val="en-US"/>
              </w:rPr>
              <w:t>10</w:t>
            </w:r>
            <w:r>
              <w:rPr>
                <w:rFonts w:ascii="Times New Roman" w:hAnsi="Times New Roman" w:cs="Times New Roman"/>
                <w:color w:val="auto"/>
                <w:kern w:val="2"/>
                <w:szCs w:val="24"/>
                <w:highlight w:val="none"/>
                <w:lang w:val="en-US"/>
              </w:rPr>
              <w:t>.设备安装模拟</w:t>
            </w:r>
          </w:p>
        </w:tc>
        <w:tc>
          <w:tcPr>
            <w:tcW w:w="2576" w:type="pct"/>
            <w:noWrap w:val="0"/>
            <w:tcMar>
              <w:top w:w="113" w:type="dxa"/>
              <w:left w:w="108" w:type="dxa"/>
              <w:bottom w:w="113" w:type="dxa"/>
              <w:right w:w="108" w:type="dxa"/>
            </w:tcMar>
            <w:vAlign w:val="center"/>
          </w:tcPr>
          <w:p w14:paraId="295E6777">
            <w:pPr>
              <w:pStyle w:val="585"/>
              <w:rPr>
                <w:color w:val="auto"/>
                <w:highlight w:val="none"/>
              </w:rPr>
            </w:pPr>
            <w:r>
              <w:rPr>
                <w:color w:val="auto"/>
                <w:highlight w:val="none"/>
              </w:rPr>
              <w:t>通过模型模拟设备安装，三维表达安装过程指导施工。</w:t>
            </w:r>
          </w:p>
        </w:tc>
        <w:tc>
          <w:tcPr>
            <w:tcW w:w="748" w:type="pct"/>
            <w:noWrap w:val="0"/>
            <w:tcMar>
              <w:top w:w="113" w:type="dxa"/>
              <w:left w:w="108" w:type="dxa"/>
              <w:bottom w:w="113" w:type="dxa"/>
              <w:right w:w="108" w:type="dxa"/>
            </w:tcMar>
            <w:vAlign w:val="center"/>
          </w:tcPr>
          <w:p w14:paraId="1D7AFF52">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施工总包单位、专业分包单位</w:t>
            </w:r>
          </w:p>
        </w:tc>
      </w:tr>
      <w:tr w14:paraId="5F35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67771255">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525D3AA8">
            <w:pPr>
              <w:pStyle w:val="561"/>
              <w:ind w:left="31"/>
              <w:rPr>
                <w:rFonts w:ascii="Times New Roman" w:hAnsi="Times New Roman" w:cs="Times New Roman"/>
                <w:color w:val="auto"/>
                <w:kern w:val="2"/>
                <w:szCs w:val="24"/>
                <w:highlight w:val="none"/>
                <w:lang w:val="en-US"/>
              </w:rPr>
            </w:pPr>
            <w:r>
              <w:rPr>
                <w:rFonts w:ascii="Times New Roman" w:hAnsi="Times New Roman" w:cs="Times New Roman"/>
                <w:color w:val="auto"/>
                <w:kern w:val="2"/>
                <w:szCs w:val="24"/>
                <w:highlight w:val="none"/>
                <w:lang w:val="en-US"/>
              </w:rPr>
              <w:t>1</w:t>
            </w:r>
            <w:r>
              <w:rPr>
                <w:rFonts w:hint="eastAsia"/>
                <w:color w:val="auto"/>
                <w:highlight w:val="none"/>
                <w:lang w:val="en-US"/>
              </w:rPr>
              <w:t>1</w:t>
            </w:r>
            <w:r>
              <w:rPr>
                <w:rFonts w:ascii="Times New Roman" w:hAnsi="Times New Roman" w:cs="Times New Roman"/>
                <w:color w:val="auto"/>
                <w:kern w:val="2"/>
                <w:szCs w:val="24"/>
                <w:highlight w:val="none"/>
                <w:lang w:val="en-US"/>
              </w:rPr>
              <w:t>.施工现场BIM总平面布置模拟</w:t>
            </w:r>
          </w:p>
        </w:tc>
        <w:tc>
          <w:tcPr>
            <w:tcW w:w="2576" w:type="pct"/>
            <w:noWrap w:val="0"/>
            <w:tcMar>
              <w:top w:w="113" w:type="dxa"/>
              <w:left w:w="108" w:type="dxa"/>
              <w:bottom w:w="113" w:type="dxa"/>
              <w:right w:w="108" w:type="dxa"/>
            </w:tcMar>
            <w:vAlign w:val="center"/>
          </w:tcPr>
          <w:p w14:paraId="2FEFE964">
            <w:pPr>
              <w:pStyle w:val="585"/>
              <w:rPr>
                <w:color w:val="auto"/>
                <w:highlight w:val="none"/>
              </w:rPr>
            </w:pPr>
            <w:r>
              <w:rPr>
                <w:color w:val="auto"/>
                <w:highlight w:val="none"/>
              </w:rPr>
              <w:t>通过模型合理规划施工总平布置，优化场临时建筑、车辆、设备及人员之间的空间关系。</w:t>
            </w:r>
          </w:p>
        </w:tc>
        <w:tc>
          <w:tcPr>
            <w:tcW w:w="748" w:type="pct"/>
            <w:noWrap w:val="0"/>
            <w:tcMar>
              <w:top w:w="113" w:type="dxa"/>
              <w:left w:w="108" w:type="dxa"/>
              <w:bottom w:w="113" w:type="dxa"/>
              <w:right w:w="108" w:type="dxa"/>
            </w:tcMar>
            <w:vAlign w:val="center"/>
          </w:tcPr>
          <w:p w14:paraId="36B3C3A7">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施工总包单位、专业分包单位</w:t>
            </w:r>
          </w:p>
        </w:tc>
      </w:tr>
      <w:tr w14:paraId="3011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restart"/>
            <w:noWrap/>
            <w:tcMar>
              <w:top w:w="113" w:type="dxa"/>
              <w:left w:w="108" w:type="dxa"/>
              <w:bottom w:w="113" w:type="dxa"/>
              <w:right w:w="108" w:type="dxa"/>
            </w:tcMar>
            <w:vAlign w:val="center"/>
          </w:tcPr>
          <w:p w14:paraId="755B79D8">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w:t>
            </w:r>
            <w:r>
              <w:rPr>
                <w:rFonts w:hint="eastAsia"/>
                <w:color w:val="auto"/>
                <w:highlight w:val="none"/>
                <w:lang w:val="en-US"/>
              </w:rPr>
              <w:t>过程</w:t>
            </w:r>
            <w:r>
              <w:rPr>
                <w:rFonts w:ascii="Times New Roman" w:hAnsi="Times New Roman" w:cs="Times New Roman"/>
                <w:color w:val="auto"/>
                <w:kern w:val="2"/>
                <w:szCs w:val="24"/>
                <w:highlight w:val="none"/>
              </w:rPr>
              <w:t>BIM应用内容和要求</w:t>
            </w:r>
          </w:p>
        </w:tc>
        <w:tc>
          <w:tcPr>
            <w:tcW w:w="1044" w:type="pct"/>
            <w:noWrap/>
            <w:tcMar>
              <w:top w:w="113" w:type="dxa"/>
              <w:left w:w="108" w:type="dxa"/>
              <w:bottom w:w="113" w:type="dxa"/>
              <w:right w:w="108" w:type="dxa"/>
            </w:tcMar>
            <w:vAlign w:val="center"/>
          </w:tcPr>
          <w:p w14:paraId="1FC8DFB6">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lang w:val="en-US"/>
              </w:rPr>
              <w:t>1.</w:t>
            </w:r>
            <w:r>
              <w:rPr>
                <w:rFonts w:ascii="Times New Roman" w:hAnsi="Times New Roman" w:cs="Times New Roman"/>
                <w:color w:val="auto"/>
                <w:kern w:val="2"/>
                <w:szCs w:val="24"/>
                <w:highlight w:val="none"/>
              </w:rPr>
              <w:t>施工模拟</w:t>
            </w:r>
          </w:p>
        </w:tc>
        <w:tc>
          <w:tcPr>
            <w:tcW w:w="2576" w:type="pct"/>
            <w:noWrap w:val="0"/>
            <w:tcMar>
              <w:top w:w="113" w:type="dxa"/>
              <w:left w:w="108" w:type="dxa"/>
              <w:bottom w:w="113" w:type="dxa"/>
              <w:right w:w="108" w:type="dxa"/>
            </w:tcMar>
            <w:vAlign w:val="center"/>
          </w:tcPr>
          <w:p w14:paraId="518CF18E">
            <w:pPr>
              <w:pStyle w:val="585"/>
              <w:rPr>
                <w:color w:val="auto"/>
                <w:highlight w:val="none"/>
              </w:rPr>
            </w:pPr>
            <w:r>
              <w:rPr>
                <w:color w:val="auto"/>
                <w:highlight w:val="none"/>
              </w:rPr>
              <w:t>施工单位利用BIM模型进行施工进度、重难点工艺工法、重要节点施工过程的模拟。</w:t>
            </w:r>
          </w:p>
        </w:tc>
        <w:tc>
          <w:tcPr>
            <w:tcW w:w="748" w:type="pct"/>
            <w:noWrap w:val="0"/>
            <w:tcMar>
              <w:top w:w="113" w:type="dxa"/>
              <w:left w:w="108" w:type="dxa"/>
              <w:bottom w:w="113" w:type="dxa"/>
              <w:right w:w="108" w:type="dxa"/>
            </w:tcMar>
            <w:vAlign w:val="center"/>
          </w:tcPr>
          <w:p w14:paraId="1604A17D">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施工总包单位、专业分包单位</w:t>
            </w:r>
          </w:p>
        </w:tc>
      </w:tr>
      <w:tr w14:paraId="622D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16850A26">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2D5ED9BC">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lang w:val="en-US"/>
              </w:rPr>
              <w:t>2.</w:t>
            </w:r>
            <w:r>
              <w:rPr>
                <w:rFonts w:ascii="Times New Roman" w:hAnsi="Times New Roman" w:cs="Times New Roman"/>
                <w:color w:val="auto"/>
                <w:kern w:val="2"/>
                <w:szCs w:val="24"/>
                <w:highlight w:val="none"/>
              </w:rPr>
              <w:t>施工交底</w:t>
            </w:r>
          </w:p>
        </w:tc>
        <w:tc>
          <w:tcPr>
            <w:tcW w:w="2576" w:type="pct"/>
            <w:noWrap w:val="0"/>
            <w:tcMar>
              <w:top w:w="113" w:type="dxa"/>
              <w:left w:w="108" w:type="dxa"/>
              <w:bottom w:w="113" w:type="dxa"/>
              <w:right w:w="108" w:type="dxa"/>
            </w:tcMar>
            <w:vAlign w:val="center"/>
          </w:tcPr>
          <w:p w14:paraId="660BF35C">
            <w:pPr>
              <w:pStyle w:val="585"/>
              <w:rPr>
                <w:color w:val="auto"/>
                <w:highlight w:val="none"/>
              </w:rPr>
            </w:pPr>
            <w:r>
              <w:rPr>
                <w:color w:val="auto"/>
                <w:highlight w:val="none"/>
              </w:rPr>
              <w:t>利用BIM模型、BIM视频、BIM统计分析结果、BIM应用报告等进行施工交底。</w:t>
            </w:r>
          </w:p>
        </w:tc>
        <w:tc>
          <w:tcPr>
            <w:tcW w:w="748" w:type="pct"/>
            <w:noWrap w:val="0"/>
            <w:tcMar>
              <w:top w:w="113" w:type="dxa"/>
              <w:left w:w="108" w:type="dxa"/>
              <w:bottom w:w="113" w:type="dxa"/>
              <w:right w:w="108" w:type="dxa"/>
            </w:tcMar>
            <w:vAlign w:val="center"/>
          </w:tcPr>
          <w:p w14:paraId="0F0E6FFE">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施工总包单位、专业分包单位</w:t>
            </w:r>
          </w:p>
        </w:tc>
      </w:tr>
      <w:tr w14:paraId="2F22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79457796">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5A781F8C">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lang w:val="en-US"/>
              </w:rPr>
              <w:t>3</w:t>
            </w:r>
            <w:r>
              <w:rPr>
                <w:rFonts w:ascii="Times New Roman" w:hAnsi="Times New Roman" w:cs="Times New Roman"/>
                <w:color w:val="auto"/>
                <w:kern w:val="2"/>
                <w:szCs w:val="24"/>
                <w:highlight w:val="none"/>
              </w:rPr>
              <w:t>.工程量统计</w:t>
            </w:r>
          </w:p>
        </w:tc>
        <w:tc>
          <w:tcPr>
            <w:tcW w:w="2576" w:type="pct"/>
            <w:noWrap w:val="0"/>
            <w:tcMar>
              <w:top w:w="113" w:type="dxa"/>
              <w:left w:w="108" w:type="dxa"/>
              <w:bottom w:w="113" w:type="dxa"/>
              <w:right w:w="108" w:type="dxa"/>
            </w:tcMar>
            <w:vAlign w:val="center"/>
          </w:tcPr>
          <w:p w14:paraId="530E38A1">
            <w:pPr>
              <w:pStyle w:val="585"/>
              <w:rPr>
                <w:color w:val="auto"/>
                <w:highlight w:val="none"/>
              </w:rPr>
            </w:pPr>
            <w:r>
              <w:rPr>
                <w:color w:val="auto"/>
                <w:highlight w:val="none"/>
              </w:rPr>
              <w:t>利用BIM模型对建筑、结构、给排水、暖通、电气、钢结构、幕墙、精装等专业的工程量进行统计，辅助施工管理。</w:t>
            </w:r>
          </w:p>
        </w:tc>
        <w:tc>
          <w:tcPr>
            <w:tcW w:w="748" w:type="pct"/>
            <w:noWrap w:val="0"/>
            <w:tcMar>
              <w:top w:w="113" w:type="dxa"/>
              <w:left w:w="108" w:type="dxa"/>
              <w:bottom w:w="113" w:type="dxa"/>
              <w:right w:w="108" w:type="dxa"/>
            </w:tcMar>
            <w:vAlign w:val="center"/>
          </w:tcPr>
          <w:p w14:paraId="4B9FB722">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施工总包单位、专业分包单位</w:t>
            </w:r>
          </w:p>
        </w:tc>
      </w:tr>
      <w:tr w14:paraId="3213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0B872DB3">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5B874CC0">
            <w:pPr>
              <w:pStyle w:val="561"/>
              <w:ind w:left="31"/>
              <w:rPr>
                <w:rFonts w:ascii="Times New Roman" w:hAnsi="Times New Roman" w:cs="Times New Roman"/>
                <w:color w:val="auto"/>
                <w:kern w:val="2"/>
                <w:sz w:val="21"/>
                <w:szCs w:val="24"/>
                <w:highlight w:val="none"/>
                <w:lang w:val="en-US"/>
              </w:rPr>
            </w:pPr>
            <w:r>
              <w:rPr>
                <w:rFonts w:ascii="Times New Roman" w:hAnsi="Times New Roman" w:cs="Times New Roman"/>
                <w:color w:val="auto"/>
                <w:kern w:val="2"/>
                <w:szCs w:val="24"/>
                <w:highlight w:val="none"/>
                <w:lang w:val="en-US"/>
              </w:rPr>
              <w:t>4</w:t>
            </w:r>
            <w:r>
              <w:rPr>
                <w:rFonts w:ascii="Times New Roman" w:hAnsi="Times New Roman" w:cs="Times New Roman"/>
                <w:color w:val="auto"/>
                <w:kern w:val="2"/>
                <w:szCs w:val="24"/>
                <w:highlight w:val="none"/>
              </w:rPr>
              <w:t>.</w:t>
            </w:r>
            <w:r>
              <w:rPr>
                <w:rFonts w:ascii="Times New Roman" w:hAnsi="Times New Roman" w:cs="Times New Roman"/>
                <w:color w:val="auto"/>
                <w:kern w:val="2"/>
                <w:szCs w:val="24"/>
                <w:highlight w:val="none"/>
                <w:lang w:val="en-US"/>
              </w:rPr>
              <w:t>施工</w:t>
            </w:r>
            <w:r>
              <w:rPr>
                <w:rFonts w:ascii="Times New Roman" w:hAnsi="Times New Roman" w:cs="Times New Roman"/>
                <w:color w:val="auto"/>
                <w:kern w:val="2"/>
                <w:szCs w:val="24"/>
                <w:highlight w:val="none"/>
              </w:rPr>
              <w:t>进度管理</w:t>
            </w:r>
          </w:p>
        </w:tc>
        <w:tc>
          <w:tcPr>
            <w:tcW w:w="2576" w:type="pct"/>
            <w:noWrap w:val="0"/>
            <w:tcMar>
              <w:top w:w="113" w:type="dxa"/>
              <w:left w:w="108" w:type="dxa"/>
              <w:bottom w:w="113" w:type="dxa"/>
              <w:right w:w="108" w:type="dxa"/>
            </w:tcMar>
            <w:vAlign w:val="center"/>
          </w:tcPr>
          <w:p w14:paraId="77553ED3">
            <w:pPr>
              <w:pStyle w:val="585"/>
              <w:rPr>
                <w:color w:val="auto"/>
                <w:sz w:val="21"/>
                <w:highlight w:val="none"/>
              </w:rPr>
            </w:pPr>
            <w:r>
              <w:rPr>
                <w:color w:val="auto"/>
                <w:highlight w:val="none"/>
              </w:rPr>
              <w:t>利用BIM技术辅助进行工程总进度计划，年、季、月度计划和重要节点控制计划等管理。</w:t>
            </w:r>
          </w:p>
        </w:tc>
        <w:tc>
          <w:tcPr>
            <w:tcW w:w="748" w:type="pct"/>
            <w:noWrap w:val="0"/>
            <w:tcMar>
              <w:top w:w="113" w:type="dxa"/>
              <w:left w:w="108" w:type="dxa"/>
              <w:bottom w:w="113" w:type="dxa"/>
              <w:right w:w="108" w:type="dxa"/>
            </w:tcMar>
            <w:vAlign w:val="center"/>
          </w:tcPr>
          <w:p w14:paraId="344D380B">
            <w:pPr>
              <w:pStyle w:val="561"/>
              <w:ind w:left="31"/>
              <w:rPr>
                <w:rFonts w:ascii="Times New Roman" w:hAnsi="Times New Roman" w:cs="Times New Roman"/>
                <w:color w:val="auto"/>
                <w:kern w:val="2"/>
                <w:sz w:val="21"/>
                <w:szCs w:val="24"/>
                <w:highlight w:val="none"/>
                <w:lang w:val="en-US"/>
              </w:rPr>
            </w:pPr>
            <w:r>
              <w:rPr>
                <w:rFonts w:ascii="Times New Roman" w:hAnsi="Times New Roman" w:cs="Times New Roman"/>
                <w:color w:val="auto"/>
                <w:kern w:val="2"/>
                <w:szCs w:val="24"/>
                <w:highlight w:val="none"/>
              </w:rPr>
              <w:t>施工总包单位、专业分包单位、监理单位</w:t>
            </w:r>
          </w:p>
        </w:tc>
      </w:tr>
      <w:tr w14:paraId="606B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287ECF10">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487B0AAA">
            <w:pPr>
              <w:pStyle w:val="561"/>
              <w:ind w:left="31"/>
              <w:rPr>
                <w:rFonts w:ascii="Times New Roman" w:hAnsi="Times New Roman" w:cs="Times New Roman"/>
                <w:color w:val="auto"/>
                <w:kern w:val="2"/>
                <w:szCs w:val="24"/>
                <w:highlight w:val="none"/>
                <w:lang w:val="en-US"/>
              </w:rPr>
            </w:pPr>
            <w:r>
              <w:rPr>
                <w:rFonts w:ascii="Times New Roman" w:hAnsi="Times New Roman" w:cs="Times New Roman"/>
                <w:color w:val="auto"/>
                <w:kern w:val="2"/>
                <w:szCs w:val="24"/>
                <w:highlight w:val="none"/>
                <w:lang w:val="en-US"/>
              </w:rPr>
              <w:t>5.施工变更管理</w:t>
            </w:r>
          </w:p>
        </w:tc>
        <w:tc>
          <w:tcPr>
            <w:tcW w:w="2576" w:type="pct"/>
            <w:noWrap w:val="0"/>
            <w:tcMar>
              <w:top w:w="113" w:type="dxa"/>
              <w:left w:w="108" w:type="dxa"/>
              <w:bottom w:w="113" w:type="dxa"/>
              <w:right w:w="108" w:type="dxa"/>
            </w:tcMar>
            <w:vAlign w:val="center"/>
          </w:tcPr>
          <w:p w14:paraId="426FEC7C">
            <w:pPr>
              <w:pStyle w:val="585"/>
              <w:rPr>
                <w:color w:val="auto"/>
                <w:highlight w:val="none"/>
              </w:rPr>
            </w:pPr>
            <w:r>
              <w:rPr>
                <w:color w:val="auto"/>
                <w:highlight w:val="none"/>
              </w:rPr>
              <w:t>通过模型实现变更内容的直观表达，参数化变更数据统计以及强化施工变更的规范化管理。</w:t>
            </w:r>
          </w:p>
        </w:tc>
        <w:tc>
          <w:tcPr>
            <w:tcW w:w="748" w:type="pct"/>
            <w:noWrap w:val="0"/>
            <w:tcMar>
              <w:top w:w="113" w:type="dxa"/>
              <w:left w:w="108" w:type="dxa"/>
              <w:bottom w:w="113" w:type="dxa"/>
              <w:right w:w="108" w:type="dxa"/>
            </w:tcMar>
            <w:vAlign w:val="center"/>
          </w:tcPr>
          <w:p w14:paraId="2051CACC">
            <w:pPr>
              <w:pStyle w:val="561"/>
              <w:ind w:left="31"/>
              <w:rPr>
                <w:rFonts w:ascii="Times New Roman" w:hAnsi="Times New Roman" w:cs="Times New Roman"/>
                <w:color w:val="auto"/>
                <w:kern w:val="2"/>
                <w:szCs w:val="24"/>
                <w:highlight w:val="none"/>
                <w:lang w:val="en-US"/>
              </w:rPr>
            </w:pPr>
            <w:r>
              <w:rPr>
                <w:rFonts w:ascii="Times New Roman" w:hAnsi="Times New Roman" w:cs="Times New Roman"/>
                <w:color w:val="auto"/>
                <w:kern w:val="2"/>
                <w:szCs w:val="24"/>
                <w:highlight w:val="none"/>
              </w:rPr>
              <w:t>施工总包单位、专业分包单位</w:t>
            </w:r>
          </w:p>
        </w:tc>
      </w:tr>
      <w:tr w14:paraId="1A8E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41F6B3BF">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5D874395">
            <w:pPr>
              <w:pStyle w:val="561"/>
              <w:ind w:left="31"/>
              <w:rPr>
                <w:rFonts w:ascii="Times New Roman" w:hAnsi="Times New Roman" w:cs="Times New Roman"/>
                <w:color w:val="auto"/>
                <w:kern w:val="2"/>
                <w:szCs w:val="24"/>
                <w:highlight w:val="none"/>
                <w:lang w:val="en-US"/>
              </w:rPr>
            </w:pPr>
            <w:r>
              <w:rPr>
                <w:rFonts w:ascii="Times New Roman" w:hAnsi="Times New Roman" w:cs="Times New Roman"/>
                <w:color w:val="auto"/>
                <w:kern w:val="2"/>
                <w:szCs w:val="24"/>
                <w:highlight w:val="none"/>
                <w:lang w:val="en-US"/>
              </w:rPr>
              <w:t>6.施工工艺指导</w:t>
            </w:r>
          </w:p>
        </w:tc>
        <w:tc>
          <w:tcPr>
            <w:tcW w:w="2576" w:type="pct"/>
            <w:noWrap w:val="0"/>
            <w:tcMar>
              <w:top w:w="113" w:type="dxa"/>
              <w:left w:w="108" w:type="dxa"/>
              <w:bottom w:w="113" w:type="dxa"/>
              <w:right w:w="108" w:type="dxa"/>
            </w:tcMar>
            <w:vAlign w:val="center"/>
          </w:tcPr>
          <w:p w14:paraId="2716BB7D">
            <w:pPr>
              <w:pStyle w:val="585"/>
              <w:rPr>
                <w:color w:val="auto"/>
                <w:highlight w:val="none"/>
              </w:rPr>
            </w:pPr>
            <w:r>
              <w:rPr>
                <w:color w:val="auto"/>
                <w:highlight w:val="none"/>
              </w:rPr>
              <w:t>通过模型参数化精确定位指导施工。</w:t>
            </w:r>
          </w:p>
        </w:tc>
        <w:tc>
          <w:tcPr>
            <w:tcW w:w="748" w:type="pct"/>
            <w:noWrap w:val="0"/>
            <w:tcMar>
              <w:top w:w="113" w:type="dxa"/>
              <w:left w:w="108" w:type="dxa"/>
              <w:bottom w:w="113" w:type="dxa"/>
              <w:right w:w="108" w:type="dxa"/>
            </w:tcMar>
            <w:vAlign w:val="center"/>
          </w:tcPr>
          <w:p w14:paraId="43E63696">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施工总包单位、专业分包单位</w:t>
            </w:r>
          </w:p>
        </w:tc>
      </w:tr>
      <w:tr w14:paraId="659E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2B9AF81C">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6AFEC6F8">
            <w:pPr>
              <w:pStyle w:val="561"/>
              <w:ind w:left="31"/>
              <w:rPr>
                <w:rFonts w:ascii="Times New Roman" w:hAnsi="Times New Roman" w:cs="Times New Roman"/>
                <w:color w:val="auto"/>
                <w:kern w:val="2"/>
                <w:sz w:val="21"/>
                <w:szCs w:val="24"/>
                <w:highlight w:val="none"/>
                <w:lang w:val="en-US"/>
              </w:rPr>
            </w:pPr>
            <w:r>
              <w:rPr>
                <w:rFonts w:ascii="Times New Roman" w:hAnsi="Times New Roman" w:cs="Times New Roman"/>
                <w:color w:val="auto"/>
                <w:kern w:val="2"/>
                <w:szCs w:val="24"/>
                <w:highlight w:val="none"/>
                <w:lang w:val="en-US"/>
              </w:rPr>
              <w:t>7</w:t>
            </w:r>
            <w:r>
              <w:rPr>
                <w:rFonts w:ascii="Times New Roman" w:hAnsi="Times New Roman" w:cs="Times New Roman"/>
                <w:color w:val="auto"/>
                <w:kern w:val="2"/>
                <w:szCs w:val="24"/>
                <w:highlight w:val="none"/>
              </w:rPr>
              <w:t>.施工安全管理</w:t>
            </w:r>
          </w:p>
        </w:tc>
        <w:tc>
          <w:tcPr>
            <w:tcW w:w="2576" w:type="pct"/>
            <w:noWrap w:val="0"/>
            <w:tcMar>
              <w:top w:w="113" w:type="dxa"/>
              <w:left w:w="108" w:type="dxa"/>
              <w:bottom w:w="113" w:type="dxa"/>
              <w:right w:w="108" w:type="dxa"/>
            </w:tcMar>
            <w:vAlign w:val="center"/>
          </w:tcPr>
          <w:p w14:paraId="5C29A928">
            <w:pPr>
              <w:pStyle w:val="585"/>
              <w:rPr>
                <w:color w:val="auto"/>
                <w:sz w:val="21"/>
                <w:highlight w:val="none"/>
              </w:rPr>
            </w:pPr>
            <w:r>
              <w:rPr>
                <w:color w:val="auto"/>
                <w:highlight w:val="none"/>
              </w:rPr>
              <w:t>利用BIM技术，模拟分析施工过程中的危险区域、施工空间冲突等安全隐患，降低安全事故风险。</w:t>
            </w:r>
          </w:p>
        </w:tc>
        <w:tc>
          <w:tcPr>
            <w:tcW w:w="748" w:type="pct"/>
            <w:noWrap w:val="0"/>
            <w:tcMar>
              <w:top w:w="113" w:type="dxa"/>
              <w:left w:w="108" w:type="dxa"/>
              <w:bottom w:w="113" w:type="dxa"/>
              <w:right w:w="108" w:type="dxa"/>
            </w:tcMar>
            <w:vAlign w:val="center"/>
          </w:tcPr>
          <w:p w14:paraId="70328952">
            <w:pPr>
              <w:pStyle w:val="561"/>
              <w:ind w:left="31"/>
              <w:rPr>
                <w:rFonts w:ascii="Times New Roman" w:hAnsi="Times New Roman" w:cs="Times New Roman"/>
                <w:color w:val="auto"/>
                <w:kern w:val="2"/>
                <w:sz w:val="21"/>
                <w:szCs w:val="24"/>
                <w:highlight w:val="none"/>
                <w:lang w:val="en-US"/>
              </w:rPr>
            </w:pPr>
            <w:r>
              <w:rPr>
                <w:rFonts w:ascii="Times New Roman" w:hAnsi="Times New Roman" w:cs="Times New Roman"/>
                <w:color w:val="auto"/>
                <w:kern w:val="2"/>
                <w:szCs w:val="24"/>
                <w:highlight w:val="none"/>
              </w:rPr>
              <w:t>施工总包单位、专业分包单位、监理单位</w:t>
            </w:r>
          </w:p>
        </w:tc>
      </w:tr>
      <w:tr w14:paraId="4A32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5EDCF0A4">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69BDBBDD">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lang w:val="en-US"/>
              </w:rPr>
              <w:t>8</w:t>
            </w:r>
            <w:r>
              <w:rPr>
                <w:rFonts w:ascii="Times New Roman" w:hAnsi="Times New Roman" w:cs="Times New Roman"/>
                <w:color w:val="auto"/>
                <w:kern w:val="2"/>
                <w:szCs w:val="24"/>
                <w:highlight w:val="none"/>
              </w:rPr>
              <w:t>.</w:t>
            </w:r>
            <w:r>
              <w:rPr>
                <w:rFonts w:ascii="Times New Roman" w:hAnsi="Times New Roman" w:cs="Times New Roman"/>
                <w:color w:val="auto"/>
                <w:kern w:val="2"/>
                <w:szCs w:val="24"/>
                <w:highlight w:val="none"/>
                <w:lang w:val="en-US"/>
              </w:rPr>
              <w:t>施工</w:t>
            </w:r>
            <w:r>
              <w:rPr>
                <w:rFonts w:ascii="Times New Roman" w:hAnsi="Times New Roman" w:cs="Times New Roman"/>
                <w:color w:val="auto"/>
                <w:kern w:val="2"/>
                <w:szCs w:val="24"/>
                <w:highlight w:val="none"/>
              </w:rPr>
              <w:t>质量管理</w:t>
            </w:r>
          </w:p>
        </w:tc>
        <w:tc>
          <w:tcPr>
            <w:tcW w:w="2576" w:type="pct"/>
            <w:noWrap w:val="0"/>
            <w:tcMar>
              <w:top w:w="113" w:type="dxa"/>
              <w:left w:w="108" w:type="dxa"/>
              <w:bottom w:w="113" w:type="dxa"/>
              <w:right w:w="108" w:type="dxa"/>
            </w:tcMar>
            <w:vAlign w:val="center"/>
          </w:tcPr>
          <w:p w14:paraId="41CE4B42">
            <w:pPr>
              <w:pStyle w:val="585"/>
              <w:rPr>
                <w:color w:val="auto"/>
                <w:highlight w:val="none"/>
              </w:rPr>
            </w:pPr>
            <w:r>
              <w:rPr>
                <w:color w:val="auto"/>
                <w:highlight w:val="none"/>
              </w:rPr>
              <w:t>利用BIM技术，根据项目质量管理目标对施工重要样板做法、质量管控要点等进行精准管控，提升工程建造质量。</w:t>
            </w:r>
          </w:p>
        </w:tc>
        <w:tc>
          <w:tcPr>
            <w:tcW w:w="748" w:type="pct"/>
            <w:noWrap w:val="0"/>
            <w:tcMar>
              <w:top w:w="113" w:type="dxa"/>
              <w:left w:w="108" w:type="dxa"/>
              <w:bottom w:w="113" w:type="dxa"/>
              <w:right w:w="108" w:type="dxa"/>
            </w:tcMar>
            <w:vAlign w:val="center"/>
          </w:tcPr>
          <w:p w14:paraId="0235D5DC">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施工总包单位、专业分包单位、监理单位</w:t>
            </w:r>
          </w:p>
        </w:tc>
      </w:tr>
      <w:tr w14:paraId="4153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68515ACF">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40896678">
            <w:pPr>
              <w:pStyle w:val="561"/>
              <w:ind w:left="31"/>
              <w:rPr>
                <w:rFonts w:ascii="Times New Roman" w:hAnsi="Times New Roman" w:cs="Times New Roman"/>
                <w:color w:val="auto"/>
                <w:kern w:val="2"/>
                <w:sz w:val="21"/>
                <w:szCs w:val="24"/>
                <w:highlight w:val="none"/>
                <w:lang w:val="en-US"/>
              </w:rPr>
            </w:pPr>
            <w:r>
              <w:rPr>
                <w:rFonts w:ascii="Times New Roman" w:hAnsi="Times New Roman" w:cs="Times New Roman"/>
                <w:color w:val="auto"/>
                <w:kern w:val="2"/>
                <w:szCs w:val="24"/>
                <w:highlight w:val="none"/>
                <w:lang w:val="en-US"/>
              </w:rPr>
              <w:t>9</w:t>
            </w:r>
            <w:r>
              <w:rPr>
                <w:rFonts w:ascii="Times New Roman" w:hAnsi="Times New Roman" w:cs="Times New Roman"/>
                <w:color w:val="auto"/>
                <w:kern w:val="2"/>
                <w:szCs w:val="24"/>
                <w:highlight w:val="none"/>
              </w:rPr>
              <w:t>.</w:t>
            </w:r>
            <w:r>
              <w:rPr>
                <w:rFonts w:ascii="Times New Roman" w:hAnsi="Times New Roman" w:cs="Times New Roman"/>
                <w:color w:val="auto"/>
                <w:kern w:val="2"/>
                <w:szCs w:val="24"/>
                <w:highlight w:val="none"/>
                <w:lang w:val="en-US"/>
              </w:rPr>
              <w:t>施工</w:t>
            </w:r>
            <w:r>
              <w:rPr>
                <w:rFonts w:ascii="Times New Roman" w:hAnsi="Times New Roman" w:cs="Times New Roman"/>
                <w:color w:val="auto"/>
                <w:kern w:val="2"/>
                <w:szCs w:val="24"/>
                <w:highlight w:val="none"/>
              </w:rPr>
              <w:t>成本管理</w:t>
            </w:r>
          </w:p>
        </w:tc>
        <w:tc>
          <w:tcPr>
            <w:tcW w:w="2576" w:type="pct"/>
            <w:noWrap w:val="0"/>
            <w:tcMar>
              <w:top w:w="113" w:type="dxa"/>
              <w:left w:w="108" w:type="dxa"/>
              <w:bottom w:w="113" w:type="dxa"/>
              <w:right w:w="108" w:type="dxa"/>
            </w:tcMar>
            <w:vAlign w:val="center"/>
          </w:tcPr>
          <w:p w14:paraId="3411DF1A">
            <w:pPr>
              <w:pStyle w:val="585"/>
              <w:jc w:val="left"/>
              <w:rPr>
                <w:color w:val="auto"/>
                <w:sz w:val="21"/>
                <w:highlight w:val="none"/>
              </w:rPr>
            </w:pPr>
            <w:r>
              <w:rPr>
                <w:color w:val="auto"/>
                <w:highlight w:val="none"/>
              </w:rPr>
              <w:t>利用BIM模型进行动态投资、产值统计、工料统计</w:t>
            </w:r>
            <w:r>
              <w:rPr>
                <w:rFonts w:hint="eastAsia"/>
                <w:color w:val="auto"/>
                <w:highlight w:val="none"/>
              </w:rPr>
              <w:t>、</w:t>
            </w:r>
            <w:r>
              <w:rPr>
                <w:color w:val="auto"/>
                <w:highlight w:val="none"/>
              </w:rPr>
              <w:t>变更分析</w:t>
            </w:r>
            <w:r>
              <w:rPr>
                <w:rFonts w:hint="eastAsia"/>
                <w:color w:val="auto"/>
                <w:highlight w:val="none"/>
              </w:rPr>
              <w:t>、</w:t>
            </w:r>
            <w:r>
              <w:rPr>
                <w:color w:val="auto"/>
                <w:highlight w:val="none"/>
              </w:rPr>
              <w:t>计量支付以及预算与结算。</w:t>
            </w:r>
          </w:p>
        </w:tc>
        <w:tc>
          <w:tcPr>
            <w:tcW w:w="748" w:type="pct"/>
            <w:noWrap w:val="0"/>
            <w:tcMar>
              <w:top w:w="113" w:type="dxa"/>
              <w:left w:w="108" w:type="dxa"/>
              <w:bottom w:w="113" w:type="dxa"/>
              <w:right w:w="108" w:type="dxa"/>
            </w:tcMar>
            <w:vAlign w:val="center"/>
          </w:tcPr>
          <w:p w14:paraId="79FE3A04">
            <w:pPr>
              <w:pStyle w:val="561"/>
              <w:ind w:left="31"/>
              <w:rPr>
                <w:rFonts w:ascii="Times New Roman" w:hAnsi="Times New Roman" w:cs="Times New Roman"/>
                <w:color w:val="auto"/>
                <w:kern w:val="2"/>
                <w:sz w:val="21"/>
                <w:szCs w:val="24"/>
                <w:highlight w:val="none"/>
                <w:lang w:val="en-US"/>
              </w:rPr>
            </w:pPr>
            <w:r>
              <w:rPr>
                <w:rFonts w:ascii="Times New Roman" w:hAnsi="Times New Roman" w:cs="Times New Roman"/>
                <w:color w:val="auto"/>
                <w:kern w:val="2"/>
                <w:szCs w:val="24"/>
                <w:highlight w:val="none"/>
              </w:rPr>
              <w:t>建设单位、监理单位、造价咨询单位、施工总包单位</w:t>
            </w:r>
          </w:p>
        </w:tc>
      </w:tr>
      <w:tr w14:paraId="03E1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772829FB">
            <w:pPr>
              <w:pStyle w:val="561"/>
              <w:ind w:left="31"/>
              <w:rPr>
                <w:rFonts w:ascii="Times New Roman" w:hAnsi="Times New Roman" w:cs="Times New Roman"/>
                <w:color w:val="auto"/>
                <w:kern w:val="2"/>
                <w:szCs w:val="24"/>
                <w:highlight w:val="none"/>
              </w:rPr>
            </w:pPr>
          </w:p>
        </w:tc>
        <w:tc>
          <w:tcPr>
            <w:tcW w:w="1044" w:type="pct"/>
            <w:noWrap/>
            <w:tcMar>
              <w:top w:w="113" w:type="dxa"/>
              <w:left w:w="108" w:type="dxa"/>
              <w:bottom w:w="113" w:type="dxa"/>
              <w:right w:w="108" w:type="dxa"/>
            </w:tcMar>
            <w:vAlign w:val="center"/>
          </w:tcPr>
          <w:p w14:paraId="0BE5B967">
            <w:pPr>
              <w:pStyle w:val="561"/>
              <w:ind w:left="31"/>
              <w:rPr>
                <w:rFonts w:ascii="Times New Roman" w:hAnsi="Times New Roman" w:cs="Times New Roman"/>
                <w:color w:val="auto"/>
                <w:kern w:val="2"/>
                <w:szCs w:val="24"/>
                <w:highlight w:val="none"/>
                <w:lang w:val="en-US"/>
              </w:rPr>
            </w:pPr>
            <w:r>
              <w:rPr>
                <w:rFonts w:ascii="Times New Roman" w:hAnsi="Times New Roman" w:cs="Times New Roman"/>
                <w:color w:val="auto"/>
                <w:kern w:val="2"/>
                <w:szCs w:val="24"/>
                <w:highlight w:val="none"/>
                <w:lang w:val="en-US"/>
              </w:rPr>
              <w:t>10.施工交底</w:t>
            </w:r>
          </w:p>
        </w:tc>
        <w:tc>
          <w:tcPr>
            <w:tcW w:w="2576" w:type="pct"/>
            <w:noWrap w:val="0"/>
            <w:tcMar>
              <w:top w:w="113" w:type="dxa"/>
              <w:left w:w="108" w:type="dxa"/>
              <w:bottom w:w="113" w:type="dxa"/>
              <w:right w:w="108" w:type="dxa"/>
            </w:tcMar>
            <w:vAlign w:val="center"/>
          </w:tcPr>
          <w:p w14:paraId="2D613E19">
            <w:pPr>
              <w:pStyle w:val="585"/>
              <w:rPr>
                <w:color w:val="auto"/>
                <w:highlight w:val="none"/>
              </w:rPr>
            </w:pPr>
            <w:r>
              <w:rPr>
                <w:color w:val="auto"/>
                <w:highlight w:val="none"/>
              </w:rPr>
              <w:t>通过模型实现多方沟通交互，进行工程数据交底。</w:t>
            </w:r>
          </w:p>
        </w:tc>
        <w:tc>
          <w:tcPr>
            <w:tcW w:w="748" w:type="pct"/>
            <w:noWrap w:val="0"/>
            <w:tcMar>
              <w:top w:w="113" w:type="dxa"/>
              <w:left w:w="108" w:type="dxa"/>
              <w:bottom w:w="113" w:type="dxa"/>
              <w:right w:w="108" w:type="dxa"/>
            </w:tcMar>
            <w:vAlign w:val="center"/>
          </w:tcPr>
          <w:p w14:paraId="361B6945">
            <w:pPr>
              <w:pStyle w:val="561"/>
              <w:ind w:left="31"/>
              <w:rPr>
                <w:rFonts w:ascii="Times New Roman" w:hAnsi="Times New Roman" w:cs="Times New Roman"/>
                <w:color w:val="auto"/>
                <w:kern w:val="2"/>
                <w:szCs w:val="24"/>
                <w:highlight w:val="none"/>
              </w:rPr>
            </w:pPr>
            <w:r>
              <w:rPr>
                <w:rFonts w:ascii="Times New Roman" w:hAnsi="Times New Roman" w:cs="Times New Roman"/>
                <w:color w:val="auto"/>
                <w:kern w:val="2"/>
                <w:szCs w:val="24"/>
                <w:highlight w:val="none"/>
              </w:rPr>
              <w:t>建设单位、监理单位、造价咨询单位、施工总包单位</w:t>
            </w:r>
          </w:p>
        </w:tc>
      </w:tr>
      <w:tr w14:paraId="2F8B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restart"/>
            <w:noWrap/>
            <w:tcMar>
              <w:top w:w="113" w:type="dxa"/>
              <w:left w:w="108" w:type="dxa"/>
              <w:bottom w:w="113" w:type="dxa"/>
              <w:right w:w="108" w:type="dxa"/>
            </w:tcMar>
            <w:vAlign w:val="center"/>
          </w:tcPr>
          <w:p w14:paraId="2664DCE7">
            <w:pPr>
              <w:pStyle w:val="561"/>
              <w:ind w:left="31"/>
              <w:rPr>
                <w:color w:val="auto"/>
                <w:highlight w:val="none"/>
                <w:lang w:val="en-US"/>
              </w:rPr>
            </w:pPr>
            <w:r>
              <w:rPr>
                <w:rFonts w:hint="eastAsia"/>
                <w:color w:val="auto"/>
                <w:highlight w:val="none"/>
                <w:lang w:val="en-US"/>
              </w:rPr>
              <w:t>竣工阶段</w:t>
            </w:r>
            <w:r>
              <w:rPr>
                <w:color w:val="auto"/>
                <w:highlight w:val="none"/>
              </w:rPr>
              <w:t>BIM应用内容和要求</w:t>
            </w:r>
          </w:p>
        </w:tc>
        <w:tc>
          <w:tcPr>
            <w:tcW w:w="1044" w:type="pct"/>
            <w:noWrap/>
            <w:tcMar>
              <w:top w:w="113" w:type="dxa"/>
              <w:left w:w="108" w:type="dxa"/>
              <w:bottom w:w="113" w:type="dxa"/>
              <w:right w:w="108" w:type="dxa"/>
            </w:tcMar>
            <w:vAlign w:val="center"/>
          </w:tcPr>
          <w:p w14:paraId="656608BE">
            <w:pPr>
              <w:pStyle w:val="561"/>
              <w:ind w:left="31"/>
              <w:jc w:val="both"/>
              <w:rPr>
                <w:color w:val="auto"/>
                <w:highlight w:val="none"/>
                <w:lang w:val="en-US"/>
              </w:rPr>
            </w:pPr>
            <w:r>
              <w:rPr>
                <w:rFonts w:hint="eastAsia"/>
                <w:color w:val="auto"/>
                <w:highlight w:val="none"/>
                <w:lang w:val="en-US"/>
              </w:rPr>
              <w:t>1.竣工交付成果准备</w:t>
            </w:r>
          </w:p>
        </w:tc>
        <w:tc>
          <w:tcPr>
            <w:tcW w:w="2576" w:type="pct"/>
            <w:noWrap w:val="0"/>
            <w:tcMar>
              <w:top w:w="113" w:type="dxa"/>
              <w:left w:w="108" w:type="dxa"/>
              <w:bottom w:w="113" w:type="dxa"/>
              <w:right w:w="108" w:type="dxa"/>
            </w:tcMar>
            <w:vAlign w:val="center"/>
          </w:tcPr>
          <w:p w14:paraId="4281AD55">
            <w:pPr>
              <w:pStyle w:val="585"/>
              <w:rPr>
                <w:color w:val="auto"/>
                <w:highlight w:val="none"/>
              </w:rPr>
            </w:pPr>
            <w:r>
              <w:rPr>
                <w:rFonts w:hint="eastAsia"/>
                <w:color w:val="auto"/>
                <w:highlight w:val="none"/>
              </w:rPr>
              <w:t>形成竣工模型，整理相关工程资料实现数字化成果交付。</w:t>
            </w:r>
          </w:p>
        </w:tc>
        <w:tc>
          <w:tcPr>
            <w:tcW w:w="748" w:type="pct"/>
            <w:noWrap w:val="0"/>
            <w:tcMar>
              <w:top w:w="113" w:type="dxa"/>
              <w:left w:w="108" w:type="dxa"/>
              <w:bottom w:w="113" w:type="dxa"/>
              <w:right w:w="108" w:type="dxa"/>
            </w:tcMar>
            <w:vAlign w:val="center"/>
          </w:tcPr>
          <w:p w14:paraId="46A766C6">
            <w:pPr>
              <w:pStyle w:val="561"/>
              <w:ind w:left="31"/>
              <w:jc w:val="both"/>
              <w:rPr>
                <w:color w:val="auto"/>
                <w:highlight w:val="none"/>
                <w:lang w:val="en-US"/>
              </w:rPr>
            </w:pPr>
            <w:r>
              <w:rPr>
                <w:color w:val="auto"/>
                <w:highlight w:val="none"/>
              </w:rPr>
              <w:t>施工总包、专业分包、监理单位</w:t>
            </w:r>
          </w:p>
        </w:tc>
      </w:tr>
      <w:tr w14:paraId="6EF2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30B86B9C">
            <w:pPr>
              <w:pStyle w:val="561"/>
              <w:ind w:left="31"/>
              <w:rPr>
                <w:color w:val="auto"/>
                <w:highlight w:val="none"/>
                <w:lang w:val="en-US"/>
              </w:rPr>
            </w:pPr>
          </w:p>
        </w:tc>
        <w:tc>
          <w:tcPr>
            <w:tcW w:w="1044" w:type="pct"/>
            <w:noWrap/>
            <w:tcMar>
              <w:top w:w="113" w:type="dxa"/>
              <w:left w:w="108" w:type="dxa"/>
              <w:bottom w:w="113" w:type="dxa"/>
              <w:right w:w="108" w:type="dxa"/>
            </w:tcMar>
            <w:vAlign w:val="center"/>
          </w:tcPr>
          <w:p w14:paraId="73D93650">
            <w:pPr>
              <w:pStyle w:val="561"/>
              <w:ind w:left="31"/>
              <w:jc w:val="both"/>
              <w:rPr>
                <w:color w:val="auto"/>
                <w:highlight w:val="none"/>
                <w:lang w:val="en-US"/>
              </w:rPr>
            </w:pPr>
            <w:r>
              <w:rPr>
                <w:rFonts w:hint="eastAsia"/>
                <w:color w:val="auto"/>
                <w:highlight w:val="none"/>
                <w:lang w:val="en-US"/>
              </w:rPr>
              <w:t>2.基于全地形BIM的竣工应用</w:t>
            </w:r>
          </w:p>
        </w:tc>
        <w:tc>
          <w:tcPr>
            <w:tcW w:w="2576" w:type="pct"/>
            <w:noWrap w:val="0"/>
            <w:tcMar>
              <w:top w:w="113" w:type="dxa"/>
              <w:left w:w="108" w:type="dxa"/>
              <w:bottom w:w="113" w:type="dxa"/>
              <w:right w:w="108" w:type="dxa"/>
            </w:tcMar>
            <w:vAlign w:val="center"/>
          </w:tcPr>
          <w:p w14:paraId="1F3BDE1C">
            <w:pPr>
              <w:pStyle w:val="585"/>
              <w:rPr>
                <w:color w:val="auto"/>
                <w:highlight w:val="none"/>
              </w:rPr>
            </w:pPr>
            <w:r>
              <w:rPr>
                <w:rFonts w:hint="eastAsia"/>
                <w:color w:val="auto"/>
                <w:highlight w:val="none"/>
              </w:rPr>
              <w:t>辅助土方工程结算数据的审核，按合同约定技术工程结算造价。</w:t>
            </w:r>
          </w:p>
        </w:tc>
        <w:tc>
          <w:tcPr>
            <w:tcW w:w="748" w:type="pct"/>
            <w:noWrap w:val="0"/>
            <w:tcMar>
              <w:top w:w="113" w:type="dxa"/>
              <w:left w:w="108" w:type="dxa"/>
              <w:bottom w:w="113" w:type="dxa"/>
              <w:right w:w="108" w:type="dxa"/>
            </w:tcMar>
            <w:vAlign w:val="center"/>
          </w:tcPr>
          <w:p w14:paraId="0F0B74AD">
            <w:pPr>
              <w:pStyle w:val="561"/>
              <w:ind w:left="31"/>
              <w:rPr>
                <w:color w:val="auto"/>
                <w:highlight w:val="none"/>
                <w:lang w:val="en-US"/>
              </w:rPr>
            </w:pPr>
            <w:r>
              <w:rPr>
                <w:rFonts w:hint="eastAsia"/>
                <w:color w:val="auto"/>
                <w:highlight w:val="none"/>
                <w:lang w:val="en-US"/>
              </w:rPr>
              <w:t>施工单位</w:t>
            </w:r>
          </w:p>
        </w:tc>
      </w:tr>
      <w:tr w14:paraId="0A85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183E6D4B">
            <w:pPr>
              <w:pStyle w:val="561"/>
              <w:ind w:left="31"/>
              <w:rPr>
                <w:color w:val="auto"/>
                <w:highlight w:val="none"/>
              </w:rPr>
            </w:pPr>
          </w:p>
        </w:tc>
        <w:tc>
          <w:tcPr>
            <w:tcW w:w="1044" w:type="pct"/>
            <w:noWrap/>
            <w:tcMar>
              <w:top w:w="113" w:type="dxa"/>
              <w:left w:w="108" w:type="dxa"/>
              <w:bottom w:w="113" w:type="dxa"/>
              <w:right w:w="108" w:type="dxa"/>
            </w:tcMar>
            <w:vAlign w:val="center"/>
          </w:tcPr>
          <w:p w14:paraId="3D54C7F5">
            <w:pPr>
              <w:pStyle w:val="561"/>
              <w:ind w:left="31"/>
              <w:jc w:val="both"/>
              <w:rPr>
                <w:color w:val="auto"/>
                <w:highlight w:val="none"/>
                <w:lang w:val="en-US"/>
              </w:rPr>
            </w:pPr>
            <w:r>
              <w:rPr>
                <w:rFonts w:hint="eastAsia"/>
                <w:color w:val="auto"/>
                <w:highlight w:val="none"/>
                <w:lang w:val="en-US"/>
              </w:rPr>
              <w:t>3.综合竣工交付</w:t>
            </w:r>
          </w:p>
        </w:tc>
        <w:tc>
          <w:tcPr>
            <w:tcW w:w="2576" w:type="pct"/>
            <w:noWrap w:val="0"/>
            <w:tcMar>
              <w:top w:w="113" w:type="dxa"/>
              <w:left w:w="108" w:type="dxa"/>
              <w:bottom w:w="113" w:type="dxa"/>
              <w:right w:w="108" w:type="dxa"/>
            </w:tcMar>
            <w:vAlign w:val="center"/>
          </w:tcPr>
          <w:p w14:paraId="62D8D477">
            <w:pPr>
              <w:pStyle w:val="585"/>
              <w:rPr>
                <w:color w:val="auto"/>
                <w:highlight w:val="none"/>
              </w:rPr>
            </w:pPr>
            <w:r>
              <w:rPr>
                <w:rFonts w:hint="eastAsia"/>
                <w:color w:val="auto"/>
                <w:highlight w:val="none"/>
              </w:rPr>
              <w:t>可视化综合竣工成果交付。</w:t>
            </w:r>
          </w:p>
        </w:tc>
        <w:tc>
          <w:tcPr>
            <w:tcW w:w="748" w:type="pct"/>
            <w:noWrap w:val="0"/>
            <w:tcMar>
              <w:top w:w="113" w:type="dxa"/>
              <w:left w:w="108" w:type="dxa"/>
              <w:bottom w:w="113" w:type="dxa"/>
              <w:right w:w="108" w:type="dxa"/>
            </w:tcMar>
            <w:vAlign w:val="center"/>
          </w:tcPr>
          <w:p w14:paraId="0EB1B2AA">
            <w:pPr>
              <w:pStyle w:val="561"/>
              <w:ind w:left="31"/>
              <w:jc w:val="both"/>
              <w:rPr>
                <w:color w:val="auto"/>
                <w:highlight w:val="none"/>
                <w:lang w:val="en-US"/>
              </w:rPr>
            </w:pPr>
            <w:r>
              <w:rPr>
                <w:rFonts w:hint="eastAsia"/>
                <w:color w:val="auto"/>
                <w:highlight w:val="none"/>
                <w:lang w:val="en-US"/>
              </w:rPr>
              <w:t>施工单位</w:t>
            </w:r>
          </w:p>
        </w:tc>
      </w:tr>
      <w:tr w14:paraId="7103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pct"/>
            <w:vMerge w:val="continue"/>
            <w:noWrap/>
            <w:tcMar>
              <w:top w:w="113" w:type="dxa"/>
              <w:left w:w="108" w:type="dxa"/>
              <w:bottom w:w="113" w:type="dxa"/>
              <w:right w:w="108" w:type="dxa"/>
            </w:tcMar>
            <w:vAlign w:val="center"/>
          </w:tcPr>
          <w:p w14:paraId="533F1C22">
            <w:pPr>
              <w:pStyle w:val="561"/>
              <w:ind w:left="31"/>
              <w:rPr>
                <w:color w:val="auto"/>
                <w:highlight w:val="none"/>
              </w:rPr>
            </w:pPr>
          </w:p>
        </w:tc>
        <w:tc>
          <w:tcPr>
            <w:tcW w:w="1044" w:type="pct"/>
            <w:noWrap/>
            <w:tcMar>
              <w:top w:w="113" w:type="dxa"/>
              <w:left w:w="108" w:type="dxa"/>
              <w:bottom w:w="113" w:type="dxa"/>
              <w:right w:w="108" w:type="dxa"/>
            </w:tcMar>
            <w:vAlign w:val="center"/>
          </w:tcPr>
          <w:p w14:paraId="65003E32">
            <w:pPr>
              <w:pStyle w:val="561"/>
              <w:ind w:left="31"/>
              <w:jc w:val="both"/>
              <w:rPr>
                <w:color w:val="auto"/>
                <w:highlight w:val="none"/>
                <w:lang w:val="en-US"/>
              </w:rPr>
            </w:pPr>
            <w:r>
              <w:rPr>
                <w:rFonts w:hint="eastAsia"/>
                <w:color w:val="auto"/>
                <w:highlight w:val="none"/>
                <w:lang w:val="en-US"/>
              </w:rPr>
              <w:t>4.三维数字化竣工验收交付</w:t>
            </w:r>
          </w:p>
        </w:tc>
        <w:tc>
          <w:tcPr>
            <w:tcW w:w="2576" w:type="pct"/>
            <w:noWrap w:val="0"/>
            <w:tcMar>
              <w:top w:w="113" w:type="dxa"/>
              <w:left w:w="108" w:type="dxa"/>
              <w:bottom w:w="113" w:type="dxa"/>
              <w:right w:w="108" w:type="dxa"/>
            </w:tcMar>
            <w:vAlign w:val="center"/>
          </w:tcPr>
          <w:p w14:paraId="4105FBB5">
            <w:pPr>
              <w:pStyle w:val="585"/>
              <w:rPr>
                <w:color w:val="auto"/>
                <w:highlight w:val="none"/>
              </w:rPr>
            </w:pPr>
            <w:r>
              <w:rPr>
                <w:rFonts w:hint="eastAsia"/>
                <w:color w:val="auto"/>
                <w:highlight w:val="none"/>
              </w:rPr>
              <w:t>录入竣工验收备案信息，满足竣工验收系统管理要求。</w:t>
            </w:r>
          </w:p>
        </w:tc>
        <w:tc>
          <w:tcPr>
            <w:tcW w:w="748" w:type="pct"/>
            <w:noWrap w:val="0"/>
            <w:tcMar>
              <w:top w:w="113" w:type="dxa"/>
              <w:left w:w="108" w:type="dxa"/>
              <w:bottom w:w="113" w:type="dxa"/>
              <w:right w:w="108" w:type="dxa"/>
            </w:tcMar>
            <w:vAlign w:val="center"/>
          </w:tcPr>
          <w:p w14:paraId="7D0C5083">
            <w:pPr>
              <w:pStyle w:val="561"/>
              <w:ind w:left="31"/>
              <w:jc w:val="both"/>
              <w:rPr>
                <w:color w:val="auto"/>
                <w:highlight w:val="none"/>
                <w:lang w:val="en-US"/>
              </w:rPr>
            </w:pPr>
            <w:r>
              <w:rPr>
                <w:rFonts w:hint="eastAsia"/>
                <w:color w:val="auto"/>
                <w:highlight w:val="none"/>
                <w:lang w:val="en-US"/>
              </w:rPr>
              <w:t>施工单位</w:t>
            </w:r>
          </w:p>
        </w:tc>
      </w:tr>
    </w:tbl>
    <w:p w14:paraId="2FA0A2A4">
      <w:pPr>
        <w:spacing w:before="120" w:after="120" w:line="312" w:lineRule="auto"/>
        <w:ind w:firstLine="0" w:firstLineChars="0"/>
        <w:rPr>
          <w:rFonts w:cs="Times New Roman"/>
          <w:color w:val="auto"/>
          <w:highlight w:val="none"/>
        </w:rPr>
      </w:pPr>
    </w:p>
    <w:p w14:paraId="69BC13EB">
      <w:pPr>
        <w:spacing w:before="120" w:after="120" w:line="312" w:lineRule="auto"/>
        <w:ind w:firstLine="0" w:firstLineChars="0"/>
        <w:rPr>
          <w:rFonts w:cs="Times New Roman"/>
          <w:color w:val="auto"/>
          <w:highlight w:val="none"/>
        </w:rPr>
      </w:pPr>
      <w:r>
        <w:rPr>
          <w:rFonts w:cs="Times New Roman"/>
          <w:color w:val="auto"/>
          <w:highlight w:val="none"/>
        </w:rPr>
        <w:br w:type="page"/>
      </w:r>
    </w:p>
    <w:p w14:paraId="0BE696F6">
      <w:pPr>
        <w:spacing w:before="120" w:after="120" w:line="312" w:lineRule="auto"/>
        <w:ind w:firstLine="0" w:firstLineChars="0"/>
        <w:rPr>
          <w:rFonts w:cs="Times New Roman"/>
          <w:color w:val="auto"/>
          <w:highlight w:val="none"/>
        </w:rPr>
      </w:pPr>
    </w:p>
    <w:p w14:paraId="1011ED72">
      <w:pPr>
        <w:numPr>
          <w:ilvl w:val="0"/>
          <w:numId w:val="0"/>
        </w:numPr>
        <w:snapToGrid w:val="0"/>
        <w:spacing w:before="120" w:afterLines="0"/>
        <w:jc w:val="left"/>
        <w:rPr>
          <w:rFonts w:ascii="宋体" w:hAnsi="宋体" w:eastAsia="黑体" w:cs="Times New Roman"/>
          <w:color w:val="auto"/>
          <w:szCs w:val="20"/>
          <w:highlight w:val="none"/>
        </w:rPr>
      </w:pPr>
      <w:r>
        <w:rPr>
          <w:rFonts w:ascii="宋体" w:hAnsi="宋体" w:eastAsia="黑体" w:cs="Times New Roman"/>
          <w:color w:val="auto"/>
          <w:szCs w:val="20"/>
          <w:highlight w:val="none"/>
        </w:rPr>
        <w:t>5.4 运维阶段BIM实施应用点</w:t>
      </w:r>
    </w:p>
    <w:p w14:paraId="20AB87D0">
      <w:pPr>
        <w:spacing w:before="120" w:after="120" w:line="312" w:lineRule="auto"/>
        <w:ind w:firstLine="0" w:firstLineChars="0"/>
        <w:rPr>
          <w:rFonts w:cs="Times New Roman"/>
          <w:color w:val="auto"/>
          <w:highlight w:val="none"/>
        </w:rPr>
      </w:pPr>
    </w:p>
    <w:tbl>
      <w:tblPr>
        <w:tblStyle w:val="5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3329"/>
        <w:gridCol w:w="6769"/>
        <w:gridCol w:w="2245"/>
      </w:tblGrid>
      <w:tr w14:paraId="45EA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pct"/>
            <w:noWrap w:val="0"/>
            <w:tcMar>
              <w:top w:w="113" w:type="dxa"/>
              <w:left w:w="108" w:type="dxa"/>
              <w:bottom w:w="113" w:type="dxa"/>
              <w:right w:w="108" w:type="dxa"/>
            </w:tcMar>
            <w:vAlign w:val="center"/>
          </w:tcPr>
          <w:p w14:paraId="32C5F8AB">
            <w:pPr>
              <w:widowControl/>
              <w:spacing w:before="120" w:after="120" w:line="312" w:lineRule="auto"/>
              <w:ind w:firstLine="0" w:firstLineChars="0"/>
              <w:jc w:val="center"/>
              <w:rPr>
                <w:rFonts w:cs="Times New Roman"/>
                <w:b/>
                <w:bCs/>
                <w:color w:val="auto"/>
                <w:kern w:val="0"/>
                <w:sz w:val="18"/>
                <w:szCs w:val="18"/>
                <w:highlight w:val="none"/>
              </w:rPr>
            </w:pPr>
            <w:r>
              <w:rPr>
                <w:rFonts w:cs="Times New Roman"/>
                <w:b/>
                <w:bCs/>
                <w:color w:val="auto"/>
                <w:kern w:val="0"/>
                <w:sz w:val="18"/>
                <w:szCs w:val="18"/>
                <w:highlight w:val="none"/>
              </w:rPr>
              <w:t>应用</w:t>
            </w:r>
            <w:r>
              <w:rPr>
                <w:rFonts w:hint="eastAsia" w:cs="Times New Roman"/>
                <w:b/>
                <w:bCs/>
                <w:color w:val="auto"/>
                <w:kern w:val="0"/>
                <w:sz w:val="18"/>
                <w:szCs w:val="18"/>
                <w:highlight w:val="none"/>
              </w:rPr>
              <w:t>阶段</w:t>
            </w:r>
          </w:p>
        </w:tc>
        <w:tc>
          <w:tcPr>
            <w:tcW w:w="1175" w:type="pct"/>
            <w:noWrap w:val="0"/>
            <w:tcMar>
              <w:top w:w="113" w:type="dxa"/>
              <w:left w:w="108" w:type="dxa"/>
              <w:bottom w:w="113" w:type="dxa"/>
              <w:right w:w="108" w:type="dxa"/>
            </w:tcMar>
            <w:vAlign w:val="center"/>
          </w:tcPr>
          <w:p w14:paraId="38C39034">
            <w:pPr>
              <w:widowControl/>
              <w:spacing w:before="120" w:after="120" w:line="312" w:lineRule="auto"/>
              <w:ind w:firstLine="0" w:firstLineChars="0"/>
              <w:jc w:val="center"/>
              <w:rPr>
                <w:rFonts w:cs="Times New Roman"/>
                <w:b/>
                <w:bCs/>
                <w:color w:val="auto"/>
                <w:kern w:val="0"/>
                <w:sz w:val="18"/>
                <w:szCs w:val="18"/>
                <w:highlight w:val="none"/>
              </w:rPr>
            </w:pPr>
            <w:r>
              <w:rPr>
                <w:rFonts w:cs="Times New Roman"/>
                <w:b/>
                <w:bCs/>
                <w:color w:val="auto"/>
                <w:kern w:val="0"/>
                <w:sz w:val="18"/>
                <w:szCs w:val="18"/>
                <w:highlight w:val="none"/>
              </w:rPr>
              <w:t>应用点</w:t>
            </w:r>
          </w:p>
        </w:tc>
        <w:tc>
          <w:tcPr>
            <w:tcW w:w="2389" w:type="pct"/>
            <w:noWrap w:val="0"/>
            <w:tcMar>
              <w:top w:w="113" w:type="dxa"/>
              <w:left w:w="108" w:type="dxa"/>
              <w:bottom w:w="113" w:type="dxa"/>
              <w:right w:w="108" w:type="dxa"/>
            </w:tcMar>
            <w:vAlign w:val="center"/>
          </w:tcPr>
          <w:p w14:paraId="6D69CFD2">
            <w:pPr>
              <w:widowControl/>
              <w:spacing w:before="120" w:after="120" w:line="312" w:lineRule="auto"/>
              <w:ind w:firstLine="0" w:firstLineChars="0"/>
              <w:jc w:val="center"/>
              <w:rPr>
                <w:rFonts w:cs="Times New Roman"/>
                <w:b/>
                <w:bCs/>
                <w:color w:val="auto"/>
                <w:kern w:val="0"/>
                <w:sz w:val="18"/>
                <w:szCs w:val="18"/>
                <w:highlight w:val="none"/>
              </w:rPr>
            </w:pPr>
            <w:r>
              <w:rPr>
                <w:rFonts w:cs="Times New Roman"/>
                <w:b/>
                <w:bCs/>
                <w:color w:val="auto"/>
                <w:kern w:val="0"/>
                <w:sz w:val="18"/>
                <w:szCs w:val="18"/>
                <w:highlight w:val="none"/>
              </w:rPr>
              <w:t>工作内容</w:t>
            </w:r>
          </w:p>
        </w:tc>
        <w:tc>
          <w:tcPr>
            <w:tcW w:w="792" w:type="pct"/>
            <w:noWrap w:val="0"/>
            <w:tcMar>
              <w:top w:w="113" w:type="dxa"/>
              <w:left w:w="108" w:type="dxa"/>
              <w:bottom w:w="113" w:type="dxa"/>
              <w:right w:w="108" w:type="dxa"/>
            </w:tcMar>
            <w:vAlign w:val="center"/>
          </w:tcPr>
          <w:p w14:paraId="5ED05885">
            <w:pPr>
              <w:widowControl/>
              <w:spacing w:before="120" w:after="120" w:line="312" w:lineRule="auto"/>
              <w:ind w:firstLine="0" w:firstLineChars="0"/>
              <w:jc w:val="center"/>
              <w:rPr>
                <w:rFonts w:cs="Times New Roman"/>
                <w:b/>
                <w:bCs/>
                <w:color w:val="auto"/>
                <w:kern w:val="0"/>
                <w:sz w:val="18"/>
                <w:szCs w:val="18"/>
                <w:highlight w:val="none"/>
              </w:rPr>
            </w:pPr>
            <w:r>
              <w:rPr>
                <w:rFonts w:cs="Times New Roman"/>
                <w:b/>
                <w:bCs/>
                <w:color w:val="auto"/>
                <w:kern w:val="0"/>
                <w:sz w:val="18"/>
                <w:szCs w:val="18"/>
                <w:highlight w:val="none"/>
              </w:rPr>
              <w:t>实施单位</w:t>
            </w:r>
          </w:p>
        </w:tc>
      </w:tr>
      <w:tr w14:paraId="54BF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pct"/>
            <w:vMerge w:val="restart"/>
            <w:noWrap w:val="0"/>
            <w:tcMar>
              <w:top w:w="113" w:type="dxa"/>
              <w:left w:w="108" w:type="dxa"/>
              <w:bottom w:w="113" w:type="dxa"/>
              <w:right w:w="108" w:type="dxa"/>
            </w:tcMar>
            <w:vAlign w:val="center"/>
          </w:tcPr>
          <w:p w14:paraId="3A23779D">
            <w:pPr>
              <w:widowControl/>
              <w:spacing w:before="120" w:after="120" w:line="312" w:lineRule="auto"/>
              <w:ind w:firstLine="0" w:firstLineChars="0"/>
              <w:jc w:val="center"/>
              <w:rPr>
                <w:rFonts w:cs="Times New Roman"/>
                <w:color w:val="auto"/>
                <w:kern w:val="0"/>
                <w:sz w:val="18"/>
                <w:szCs w:val="18"/>
                <w:highlight w:val="none"/>
              </w:rPr>
            </w:pPr>
            <w:r>
              <w:rPr>
                <w:rFonts w:hint="eastAsia" w:cs="Times New Roman"/>
                <w:color w:val="auto"/>
                <w:kern w:val="0"/>
                <w:sz w:val="18"/>
                <w:szCs w:val="18"/>
                <w:highlight w:val="none"/>
              </w:rPr>
              <w:t>运维阶段</w:t>
            </w:r>
            <w:r>
              <w:rPr>
                <w:rFonts w:cs="Times New Roman"/>
                <w:color w:val="auto"/>
                <w:kern w:val="0"/>
                <w:sz w:val="18"/>
                <w:szCs w:val="18"/>
                <w:highlight w:val="none"/>
              </w:rPr>
              <w:t>BIM应用内容和要求</w:t>
            </w:r>
          </w:p>
        </w:tc>
        <w:tc>
          <w:tcPr>
            <w:tcW w:w="1175" w:type="pct"/>
            <w:noWrap w:val="0"/>
            <w:tcMar>
              <w:top w:w="113" w:type="dxa"/>
              <w:left w:w="108" w:type="dxa"/>
              <w:bottom w:w="113" w:type="dxa"/>
              <w:right w:w="108" w:type="dxa"/>
            </w:tcMar>
            <w:vAlign w:val="center"/>
          </w:tcPr>
          <w:p w14:paraId="7DFB3C44">
            <w:pPr>
              <w:widowControl/>
              <w:spacing w:before="120" w:after="120" w:line="312" w:lineRule="auto"/>
              <w:ind w:firstLine="0" w:firstLineChars="0"/>
              <w:rPr>
                <w:rFonts w:cs="Times New Roman"/>
                <w:color w:val="auto"/>
                <w:kern w:val="0"/>
                <w:sz w:val="18"/>
                <w:szCs w:val="18"/>
                <w:highlight w:val="none"/>
              </w:rPr>
            </w:pPr>
            <w:r>
              <w:rPr>
                <w:rFonts w:hint="eastAsia" w:cs="Times New Roman"/>
                <w:color w:val="auto"/>
                <w:kern w:val="0"/>
                <w:sz w:val="18"/>
                <w:szCs w:val="18"/>
                <w:highlight w:val="none"/>
              </w:rPr>
              <w:t>1.运维模型移交</w:t>
            </w:r>
          </w:p>
        </w:tc>
        <w:tc>
          <w:tcPr>
            <w:tcW w:w="2389" w:type="pct"/>
            <w:noWrap w:val="0"/>
            <w:tcMar>
              <w:top w:w="113" w:type="dxa"/>
              <w:left w:w="108" w:type="dxa"/>
              <w:bottom w:w="113" w:type="dxa"/>
              <w:right w:w="108" w:type="dxa"/>
            </w:tcMar>
            <w:vAlign w:val="center"/>
          </w:tcPr>
          <w:p w14:paraId="605AB7A1">
            <w:pPr>
              <w:widowControl/>
              <w:spacing w:before="120" w:after="120" w:line="312" w:lineRule="auto"/>
              <w:ind w:firstLine="0" w:firstLineChars="0"/>
              <w:rPr>
                <w:rFonts w:cs="Times New Roman"/>
                <w:color w:val="auto"/>
                <w:kern w:val="0"/>
                <w:sz w:val="18"/>
                <w:szCs w:val="18"/>
                <w:highlight w:val="none"/>
              </w:rPr>
            </w:pPr>
            <w:r>
              <w:rPr>
                <w:rFonts w:hint="eastAsia" w:cs="Times New Roman"/>
                <w:color w:val="auto"/>
                <w:kern w:val="0"/>
                <w:sz w:val="18"/>
                <w:szCs w:val="18"/>
                <w:highlight w:val="none"/>
              </w:rPr>
              <w:t>根据运维要求整理竣工BIM模型，提交模型。</w:t>
            </w:r>
          </w:p>
        </w:tc>
        <w:tc>
          <w:tcPr>
            <w:tcW w:w="792" w:type="pct"/>
            <w:noWrap w:val="0"/>
            <w:tcMar>
              <w:top w:w="113" w:type="dxa"/>
              <w:left w:w="108" w:type="dxa"/>
              <w:bottom w:w="113" w:type="dxa"/>
              <w:right w:w="108" w:type="dxa"/>
            </w:tcMar>
            <w:vAlign w:val="center"/>
          </w:tcPr>
          <w:p w14:paraId="776B5B76">
            <w:pPr>
              <w:widowControl/>
              <w:spacing w:before="120" w:after="120" w:line="312" w:lineRule="auto"/>
              <w:ind w:firstLine="0" w:firstLineChars="0"/>
              <w:jc w:val="center"/>
              <w:rPr>
                <w:rFonts w:cs="Times New Roman"/>
                <w:color w:val="auto"/>
                <w:kern w:val="0"/>
                <w:sz w:val="18"/>
                <w:szCs w:val="18"/>
                <w:highlight w:val="none"/>
              </w:rPr>
            </w:pPr>
            <w:r>
              <w:rPr>
                <w:rFonts w:hint="eastAsia" w:cs="Times New Roman"/>
                <w:color w:val="auto"/>
                <w:kern w:val="0"/>
                <w:sz w:val="18"/>
                <w:szCs w:val="18"/>
                <w:highlight w:val="none"/>
              </w:rPr>
              <w:t>施工单位</w:t>
            </w:r>
          </w:p>
        </w:tc>
      </w:tr>
      <w:tr w14:paraId="7B40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pct"/>
            <w:vMerge w:val="continue"/>
            <w:noWrap w:val="0"/>
            <w:tcMar>
              <w:top w:w="113" w:type="dxa"/>
              <w:left w:w="108" w:type="dxa"/>
              <w:bottom w:w="113" w:type="dxa"/>
              <w:right w:w="108" w:type="dxa"/>
            </w:tcMar>
            <w:vAlign w:val="center"/>
          </w:tcPr>
          <w:p w14:paraId="3F0919DC">
            <w:pPr>
              <w:widowControl/>
              <w:spacing w:before="120" w:after="120" w:line="312" w:lineRule="auto"/>
              <w:ind w:firstLine="0" w:firstLineChars="0"/>
              <w:jc w:val="center"/>
              <w:rPr>
                <w:rFonts w:cs="Times New Roman"/>
                <w:color w:val="auto"/>
                <w:kern w:val="0"/>
                <w:sz w:val="18"/>
                <w:szCs w:val="18"/>
                <w:highlight w:val="none"/>
              </w:rPr>
            </w:pPr>
          </w:p>
        </w:tc>
        <w:tc>
          <w:tcPr>
            <w:tcW w:w="1175" w:type="pct"/>
            <w:noWrap w:val="0"/>
            <w:tcMar>
              <w:top w:w="113" w:type="dxa"/>
              <w:left w:w="108" w:type="dxa"/>
              <w:bottom w:w="113" w:type="dxa"/>
              <w:right w:w="108" w:type="dxa"/>
            </w:tcMar>
            <w:vAlign w:val="center"/>
          </w:tcPr>
          <w:p w14:paraId="6E393E22">
            <w:pPr>
              <w:widowControl/>
              <w:spacing w:before="120" w:after="120" w:line="312" w:lineRule="auto"/>
              <w:ind w:firstLine="0" w:firstLineChars="0"/>
              <w:rPr>
                <w:rFonts w:cs="Times New Roman"/>
                <w:color w:val="auto"/>
                <w:kern w:val="0"/>
                <w:sz w:val="18"/>
                <w:szCs w:val="18"/>
                <w:highlight w:val="none"/>
              </w:rPr>
            </w:pPr>
            <w:r>
              <w:rPr>
                <w:rFonts w:hint="eastAsia" w:cs="Times New Roman"/>
                <w:color w:val="auto"/>
                <w:kern w:val="0"/>
                <w:sz w:val="18"/>
                <w:szCs w:val="18"/>
                <w:highlight w:val="none"/>
              </w:rPr>
              <w:t>2.运维信息集成</w:t>
            </w:r>
          </w:p>
        </w:tc>
        <w:tc>
          <w:tcPr>
            <w:tcW w:w="2389" w:type="pct"/>
            <w:noWrap w:val="0"/>
            <w:tcMar>
              <w:top w:w="113" w:type="dxa"/>
              <w:left w:w="108" w:type="dxa"/>
              <w:bottom w:w="113" w:type="dxa"/>
              <w:right w:w="108" w:type="dxa"/>
            </w:tcMar>
            <w:vAlign w:val="center"/>
          </w:tcPr>
          <w:p w14:paraId="27535C9D">
            <w:pPr>
              <w:widowControl/>
              <w:spacing w:before="120" w:after="120" w:line="312" w:lineRule="auto"/>
              <w:ind w:firstLine="0" w:firstLineChars="0"/>
              <w:rPr>
                <w:rFonts w:cs="Times New Roman"/>
                <w:color w:val="auto"/>
                <w:kern w:val="0"/>
                <w:sz w:val="18"/>
                <w:szCs w:val="18"/>
                <w:highlight w:val="none"/>
              </w:rPr>
            </w:pPr>
            <w:r>
              <w:rPr>
                <w:rFonts w:hint="eastAsia" w:cs="Times New Roman"/>
                <w:color w:val="auto"/>
                <w:kern w:val="0"/>
                <w:sz w:val="18"/>
                <w:szCs w:val="18"/>
                <w:highlight w:val="none"/>
              </w:rPr>
              <w:t>在竣工模型上集成运维信息，形成可以应用的运维模型。</w:t>
            </w:r>
          </w:p>
        </w:tc>
        <w:tc>
          <w:tcPr>
            <w:tcW w:w="792" w:type="pct"/>
            <w:noWrap w:val="0"/>
            <w:tcMar>
              <w:top w:w="113" w:type="dxa"/>
              <w:left w:w="108" w:type="dxa"/>
              <w:bottom w:w="113" w:type="dxa"/>
              <w:right w:w="108" w:type="dxa"/>
            </w:tcMar>
            <w:vAlign w:val="center"/>
          </w:tcPr>
          <w:p w14:paraId="34B40A6B">
            <w:pPr>
              <w:widowControl/>
              <w:spacing w:before="120" w:after="120" w:line="312" w:lineRule="auto"/>
              <w:ind w:firstLine="0" w:firstLineChars="0"/>
              <w:jc w:val="center"/>
              <w:rPr>
                <w:rFonts w:cs="Times New Roman"/>
                <w:color w:val="auto"/>
                <w:kern w:val="0"/>
                <w:sz w:val="18"/>
                <w:szCs w:val="18"/>
                <w:highlight w:val="none"/>
              </w:rPr>
            </w:pPr>
            <w:r>
              <w:rPr>
                <w:rFonts w:hint="eastAsia" w:cs="Times New Roman"/>
                <w:color w:val="auto"/>
                <w:kern w:val="0"/>
                <w:sz w:val="18"/>
                <w:szCs w:val="18"/>
                <w:highlight w:val="none"/>
              </w:rPr>
              <w:t>运维单位</w:t>
            </w:r>
          </w:p>
        </w:tc>
      </w:tr>
      <w:tr w14:paraId="1891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pct"/>
            <w:vMerge w:val="continue"/>
            <w:noWrap w:val="0"/>
            <w:tcMar>
              <w:top w:w="113" w:type="dxa"/>
              <w:left w:w="108" w:type="dxa"/>
              <w:bottom w:w="113" w:type="dxa"/>
              <w:right w:w="108" w:type="dxa"/>
            </w:tcMar>
            <w:vAlign w:val="center"/>
          </w:tcPr>
          <w:p w14:paraId="7213D0CF">
            <w:pPr>
              <w:widowControl/>
              <w:spacing w:before="120" w:after="120" w:line="312" w:lineRule="auto"/>
              <w:ind w:firstLine="0" w:firstLineChars="0"/>
              <w:jc w:val="center"/>
              <w:rPr>
                <w:rFonts w:cs="Times New Roman"/>
                <w:color w:val="auto"/>
                <w:kern w:val="0"/>
                <w:sz w:val="18"/>
                <w:szCs w:val="18"/>
                <w:highlight w:val="none"/>
              </w:rPr>
            </w:pPr>
          </w:p>
        </w:tc>
        <w:tc>
          <w:tcPr>
            <w:tcW w:w="1175" w:type="pct"/>
            <w:noWrap w:val="0"/>
            <w:tcMar>
              <w:top w:w="113" w:type="dxa"/>
              <w:left w:w="108" w:type="dxa"/>
              <w:bottom w:w="113" w:type="dxa"/>
              <w:right w:w="108" w:type="dxa"/>
            </w:tcMar>
            <w:vAlign w:val="center"/>
          </w:tcPr>
          <w:p w14:paraId="4210A255">
            <w:pPr>
              <w:widowControl/>
              <w:spacing w:before="120" w:after="120" w:line="312" w:lineRule="auto"/>
              <w:ind w:firstLine="0" w:firstLineChars="0"/>
              <w:rPr>
                <w:rFonts w:cs="Times New Roman"/>
                <w:color w:val="auto"/>
                <w:kern w:val="0"/>
                <w:sz w:val="18"/>
                <w:szCs w:val="18"/>
                <w:highlight w:val="none"/>
              </w:rPr>
            </w:pPr>
            <w:r>
              <w:rPr>
                <w:rFonts w:hint="eastAsia" w:cs="Times New Roman"/>
                <w:color w:val="auto"/>
                <w:kern w:val="0"/>
                <w:sz w:val="18"/>
                <w:szCs w:val="18"/>
                <w:highlight w:val="none"/>
              </w:rPr>
              <w:t>3.运维数据维护</w:t>
            </w:r>
          </w:p>
        </w:tc>
        <w:tc>
          <w:tcPr>
            <w:tcW w:w="2389" w:type="pct"/>
            <w:noWrap w:val="0"/>
            <w:tcMar>
              <w:top w:w="113" w:type="dxa"/>
              <w:left w:w="108" w:type="dxa"/>
              <w:bottom w:w="113" w:type="dxa"/>
              <w:right w:w="108" w:type="dxa"/>
            </w:tcMar>
            <w:vAlign w:val="center"/>
          </w:tcPr>
          <w:p w14:paraId="34F75ABE">
            <w:pPr>
              <w:widowControl/>
              <w:spacing w:before="120" w:after="120" w:line="312" w:lineRule="auto"/>
              <w:ind w:firstLine="0" w:firstLineChars="0"/>
              <w:rPr>
                <w:rFonts w:cs="Times New Roman"/>
                <w:color w:val="auto"/>
                <w:kern w:val="0"/>
                <w:sz w:val="18"/>
                <w:szCs w:val="18"/>
                <w:highlight w:val="none"/>
              </w:rPr>
            </w:pPr>
            <w:r>
              <w:rPr>
                <w:rFonts w:hint="eastAsia" w:cs="Times New Roman"/>
                <w:color w:val="auto"/>
                <w:kern w:val="0"/>
                <w:sz w:val="18"/>
                <w:szCs w:val="18"/>
                <w:highlight w:val="none"/>
              </w:rPr>
              <w:t>运维期内对模型信息进行维护和更新。</w:t>
            </w:r>
          </w:p>
        </w:tc>
        <w:tc>
          <w:tcPr>
            <w:tcW w:w="792" w:type="pct"/>
            <w:noWrap w:val="0"/>
            <w:tcMar>
              <w:top w:w="113" w:type="dxa"/>
              <w:left w:w="108" w:type="dxa"/>
              <w:bottom w:w="113" w:type="dxa"/>
              <w:right w:w="108" w:type="dxa"/>
            </w:tcMar>
            <w:vAlign w:val="center"/>
          </w:tcPr>
          <w:p w14:paraId="7DF8B81E">
            <w:pPr>
              <w:widowControl/>
              <w:spacing w:before="120" w:after="120" w:line="312" w:lineRule="auto"/>
              <w:ind w:firstLine="0" w:firstLineChars="0"/>
              <w:jc w:val="center"/>
              <w:rPr>
                <w:rFonts w:cs="Times New Roman"/>
                <w:color w:val="auto"/>
                <w:kern w:val="0"/>
                <w:sz w:val="18"/>
                <w:szCs w:val="18"/>
                <w:highlight w:val="none"/>
              </w:rPr>
            </w:pPr>
            <w:r>
              <w:rPr>
                <w:rFonts w:hint="eastAsia" w:cs="Times New Roman"/>
                <w:color w:val="auto"/>
                <w:kern w:val="0"/>
                <w:sz w:val="18"/>
                <w:szCs w:val="18"/>
                <w:highlight w:val="none"/>
              </w:rPr>
              <w:t>运维单位</w:t>
            </w:r>
          </w:p>
        </w:tc>
      </w:tr>
    </w:tbl>
    <w:p w14:paraId="7FBA7162">
      <w:pPr>
        <w:spacing w:before="120" w:after="120" w:line="312" w:lineRule="auto"/>
        <w:ind w:firstLine="0" w:firstLineChars="0"/>
        <w:rPr>
          <w:rFonts w:cs="Times New Roman"/>
          <w:color w:val="auto"/>
          <w:highlight w:val="none"/>
        </w:rPr>
      </w:pPr>
    </w:p>
    <w:p w14:paraId="24FB8304">
      <w:pPr>
        <w:spacing w:before="120" w:after="120" w:line="312" w:lineRule="auto"/>
        <w:ind w:firstLine="0" w:firstLineChars="0"/>
        <w:rPr>
          <w:rFonts w:cs="Times New Roman"/>
          <w:color w:val="auto"/>
          <w:highlight w:val="none"/>
        </w:rPr>
      </w:pPr>
    </w:p>
    <w:p w14:paraId="53C3BA4A">
      <w:pPr>
        <w:spacing w:before="120" w:after="120" w:line="312" w:lineRule="auto"/>
        <w:ind w:firstLine="0" w:firstLineChars="0"/>
        <w:rPr>
          <w:rFonts w:eastAsia="黑体" w:cs="Times New Roman"/>
          <w:bCs/>
          <w:color w:val="auto"/>
          <w:sz w:val="24"/>
          <w:highlight w:val="none"/>
        </w:rPr>
      </w:pPr>
    </w:p>
    <w:p w14:paraId="28714969">
      <w:pPr>
        <w:spacing w:before="120" w:after="120" w:line="312" w:lineRule="auto"/>
        <w:ind w:firstLine="0" w:firstLineChars="0"/>
        <w:rPr>
          <w:rFonts w:eastAsia="黑体" w:cs="Times New Roman"/>
          <w:bCs/>
          <w:color w:val="auto"/>
          <w:sz w:val="24"/>
          <w:highlight w:val="none"/>
        </w:rPr>
      </w:pPr>
    </w:p>
    <w:p w14:paraId="5AF060C7">
      <w:pPr>
        <w:spacing w:before="120" w:after="120"/>
        <w:rPr>
          <w:rFonts w:eastAsia="黑体"/>
          <w:bCs/>
          <w:color w:val="auto"/>
          <w:highlight w:val="none"/>
        </w:rPr>
        <w:sectPr>
          <w:pgSz w:w="16840" w:h="11910" w:orient="landscape"/>
          <w:pgMar w:top="1800" w:right="1440" w:bottom="1800" w:left="1440" w:header="907" w:footer="953" w:gutter="0"/>
          <w:pgNumType w:fmt="numberInDash"/>
          <w:cols w:space="720" w:num="1"/>
        </w:sectPr>
      </w:pPr>
    </w:p>
    <w:p w14:paraId="04E31B9B">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367" w:name="_Toc26515"/>
      <w:bookmarkStart w:id="368" w:name="_Toc26867"/>
      <w:bookmarkStart w:id="369" w:name="_Toc12729"/>
      <w:bookmarkStart w:id="370" w:name="_Toc13327"/>
      <w:bookmarkStart w:id="371" w:name="_Toc23132"/>
      <w:bookmarkStart w:id="372" w:name="_Toc17403"/>
      <w:bookmarkStart w:id="373" w:name="_Toc24079"/>
      <w:bookmarkStart w:id="374" w:name="_Toc8346"/>
      <w:bookmarkStart w:id="375" w:name="_Toc18275"/>
      <w:bookmarkStart w:id="376" w:name="_Toc14002"/>
      <w:bookmarkStart w:id="377" w:name="_Toc27525"/>
      <w:bookmarkStart w:id="378" w:name="_Toc140219110"/>
      <w:bookmarkStart w:id="379" w:name="_Toc4222"/>
      <w:bookmarkStart w:id="380" w:name="_Toc23785"/>
      <w:bookmarkStart w:id="381" w:name="_Toc4062"/>
      <w:bookmarkStart w:id="382" w:name="_Toc29831"/>
      <w:bookmarkStart w:id="383" w:name="_Toc22146"/>
      <w:bookmarkStart w:id="384" w:name="_Toc16136"/>
      <w:bookmarkStart w:id="385" w:name="_Toc629"/>
      <w:bookmarkStart w:id="386" w:name="_Toc24583"/>
      <w:bookmarkStart w:id="387" w:name="_Toc27621"/>
      <w:bookmarkStart w:id="388" w:name="_Toc28908"/>
      <w:r>
        <w:rPr>
          <w:rFonts w:eastAsia="黑体" w:cs="Times New Roman"/>
          <w:bCs/>
          <w:color w:val="auto"/>
          <w:sz w:val="24"/>
          <w:highlight w:val="none"/>
        </w:rPr>
        <w:t>附表6  项目BIM团队工作职责</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tbl>
      <w:tblPr>
        <w:tblStyle w:val="519"/>
        <w:tblW w:w="4999" w:type="pct"/>
        <w:tblInd w:w="0" w:type="dxa"/>
        <w:tblLayout w:type="autofit"/>
        <w:tblCellMar>
          <w:top w:w="0" w:type="dxa"/>
          <w:left w:w="0" w:type="dxa"/>
          <w:bottom w:w="0" w:type="dxa"/>
          <w:right w:w="0" w:type="dxa"/>
        </w:tblCellMar>
      </w:tblPr>
      <w:tblGrid>
        <w:gridCol w:w="1807"/>
        <w:gridCol w:w="6615"/>
      </w:tblGrid>
      <w:tr w14:paraId="730E184B">
        <w:tblPrEx>
          <w:tblCellMar>
            <w:top w:w="0" w:type="dxa"/>
            <w:left w:w="0" w:type="dxa"/>
            <w:bottom w:w="0" w:type="dxa"/>
            <w:right w:w="0" w:type="dxa"/>
          </w:tblCellMar>
        </w:tblPrEx>
        <w:trPr>
          <w:trHeight w:val="454" w:hRule="atLeast"/>
        </w:trPr>
        <w:tc>
          <w:tcPr>
            <w:tcW w:w="1073"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3C6F3B8">
            <w:pPr>
              <w:pStyle w:val="561"/>
              <w:widowControl w:val="0"/>
              <w:spacing w:before="120" w:after="120" w:line="240" w:lineRule="auto"/>
              <w:ind w:left="31" w:right="4"/>
              <w:rPr>
                <w:rFonts w:ascii="Times New Roman" w:hAnsi="Times New Roman" w:cs="Times New Roman"/>
                <w:color w:val="auto"/>
                <w:kern w:val="2"/>
                <w:szCs w:val="24"/>
                <w:highlight w:val="none"/>
                <w:lang w:eastAsia="en-US"/>
              </w:rPr>
            </w:pPr>
            <w:r>
              <w:rPr>
                <w:rFonts w:ascii="Times New Roman" w:hAnsi="Times New Roman" w:cs="Times New Roman"/>
                <w:color w:val="auto"/>
                <w:kern w:val="2"/>
                <w:szCs w:val="24"/>
                <w:highlight w:val="none"/>
                <w:lang w:eastAsia="en-US"/>
              </w:rPr>
              <w:t>团队名称</w:t>
            </w:r>
          </w:p>
        </w:tc>
        <w:tc>
          <w:tcPr>
            <w:tcW w:w="392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9CC638C">
            <w:pPr>
              <w:pStyle w:val="561"/>
              <w:widowControl w:val="0"/>
              <w:spacing w:before="120" w:after="120" w:line="240" w:lineRule="auto"/>
              <w:ind w:left="31" w:right="4"/>
              <w:rPr>
                <w:rFonts w:ascii="Times New Roman" w:hAnsi="Times New Roman" w:cs="Times New Roman"/>
                <w:color w:val="auto"/>
                <w:kern w:val="2"/>
                <w:szCs w:val="24"/>
                <w:highlight w:val="none"/>
                <w:lang w:eastAsia="en-US"/>
              </w:rPr>
            </w:pPr>
            <w:r>
              <w:rPr>
                <w:rFonts w:ascii="Times New Roman" w:hAnsi="Times New Roman" w:cs="Times New Roman"/>
                <w:color w:val="auto"/>
                <w:kern w:val="2"/>
                <w:szCs w:val="24"/>
                <w:highlight w:val="none"/>
                <w:lang w:eastAsia="en-US"/>
              </w:rPr>
              <w:t>工作职责</w:t>
            </w:r>
          </w:p>
        </w:tc>
      </w:tr>
      <w:tr w14:paraId="013F316C">
        <w:tblPrEx>
          <w:tblCellMar>
            <w:top w:w="0" w:type="dxa"/>
            <w:left w:w="0" w:type="dxa"/>
            <w:bottom w:w="0" w:type="dxa"/>
            <w:right w:w="0" w:type="dxa"/>
          </w:tblCellMar>
        </w:tblPrEx>
        <w:trPr>
          <w:trHeight w:val="454" w:hRule="atLeast"/>
        </w:trPr>
        <w:tc>
          <w:tcPr>
            <w:tcW w:w="1073"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EF4F626">
            <w:pPr>
              <w:pStyle w:val="561"/>
              <w:widowControl w:val="0"/>
              <w:spacing w:before="120" w:after="120" w:line="240" w:lineRule="auto"/>
              <w:ind w:left="31" w:right="4"/>
              <w:rPr>
                <w:color w:val="auto"/>
                <w:highlight w:val="none"/>
                <w:lang w:eastAsia="en-US"/>
              </w:rPr>
            </w:pPr>
            <w:r>
              <w:rPr>
                <w:color w:val="auto"/>
                <w:highlight w:val="none"/>
                <w:lang w:eastAsia="en-US"/>
              </w:rPr>
              <w:t>BIM总协调团队</w:t>
            </w:r>
          </w:p>
        </w:tc>
        <w:tc>
          <w:tcPr>
            <w:tcW w:w="392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860471B">
            <w:pPr>
              <w:pStyle w:val="561"/>
              <w:widowControl w:val="0"/>
              <w:spacing w:before="120" w:after="120" w:line="240" w:lineRule="auto"/>
              <w:ind w:left="31" w:right="4"/>
              <w:rPr>
                <w:color w:val="auto"/>
                <w:highlight w:val="none"/>
                <w:lang w:eastAsia="en-US"/>
              </w:rPr>
            </w:pPr>
            <w:r>
              <w:rPr>
                <w:color w:val="auto"/>
                <w:highlight w:val="none"/>
                <w:lang w:eastAsia="en-US"/>
              </w:rPr>
              <w:t>详见</w:t>
            </w:r>
            <w:r>
              <w:rPr>
                <w:rFonts w:hint="eastAsia"/>
                <w:color w:val="auto"/>
                <w:highlight w:val="none"/>
                <w:lang w:eastAsia="en-US"/>
              </w:rPr>
              <w:t>“</w:t>
            </w:r>
            <w:r>
              <w:rPr>
                <w:color w:val="auto"/>
                <w:highlight w:val="none"/>
                <w:lang w:eastAsia="en-US"/>
              </w:rPr>
              <w:t>5.2各参与方工作职责”</w:t>
            </w:r>
          </w:p>
        </w:tc>
      </w:tr>
      <w:tr w14:paraId="4ED72E0A">
        <w:tblPrEx>
          <w:tblCellMar>
            <w:top w:w="0" w:type="dxa"/>
            <w:left w:w="0" w:type="dxa"/>
            <w:bottom w:w="0" w:type="dxa"/>
            <w:right w:w="0" w:type="dxa"/>
          </w:tblCellMar>
        </w:tblPrEx>
        <w:trPr>
          <w:trHeight w:val="454" w:hRule="atLeast"/>
        </w:trPr>
        <w:tc>
          <w:tcPr>
            <w:tcW w:w="1073"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658C14B">
            <w:pPr>
              <w:pStyle w:val="561"/>
              <w:widowControl w:val="0"/>
              <w:spacing w:before="120" w:after="120" w:line="240" w:lineRule="auto"/>
              <w:ind w:left="31" w:right="4"/>
              <w:rPr>
                <w:color w:val="auto"/>
                <w:highlight w:val="none"/>
                <w:lang w:eastAsia="en-US"/>
              </w:rPr>
            </w:pPr>
            <w:r>
              <w:rPr>
                <w:color w:val="auto"/>
                <w:highlight w:val="none"/>
                <w:lang w:eastAsia="en-US"/>
              </w:rPr>
              <w:t>BIM总承包团队</w:t>
            </w:r>
          </w:p>
        </w:tc>
        <w:tc>
          <w:tcPr>
            <w:tcW w:w="392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F1DD5C5">
            <w:pPr>
              <w:pStyle w:val="561"/>
              <w:widowControl w:val="0"/>
              <w:spacing w:before="120" w:after="120" w:line="240" w:lineRule="auto"/>
              <w:ind w:left="31" w:right="4"/>
              <w:rPr>
                <w:color w:val="auto"/>
                <w:highlight w:val="none"/>
                <w:lang w:eastAsia="en-US"/>
              </w:rPr>
            </w:pPr>
            <w:r>
              <w:rPr>
                <w:color w:val="auto"/>
                <w:highlight w:val="none"/>
                <w:lang w:eastAsia="en-US"/>
              </w:rPr>
              <w:t>详见“5.2各参与方工作职责”</w:t>
            </w:r>
          </w:p>
        </w:tc>
      </w:tr>
      <w:tr w14:paraId="30309CC4">
        <w:tblPrEx>
          <w:tblCellMar>
            <w:top w:w="0" w:type="dxa"/>
            <w:left w:w="0" w:type="dxa"/>
            <w:bottom w:w="0" w:type="dxa"/>
            <w:right w:w="0" w:type="dxa"/>
          </w:tblCellMar>
        </w:tblPrEx>
        <w:trPr>
          <w:trHeight w:val="454" w:hRule="atLeast"/>
        </w:trPr>
        <w:tc>
          <w:tcPr>
            <w:tcW w:w="1073"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2588C20">
            <w:pPr>
              <w:pStyle w:val="561"/>
              <w:widowControl w:val="0"/>
              <w:spacing w:before="120" w:after="120" w:line="240" w:lineRule="auto"/>
              <w:ind w:left="31" w:right="4"/>
              <w:rPr>
                <w:color w:val="auto"/>
                <w:highlight w:val="none"/>
                <w:lang w:eastAsia="en-US"/>
              </w:rPr>
            </w:pPr>
            <w:r>
              <w:rPr>
                <w:color w:val="auto"/>
                <w:highlight w:val="none"/>
                <w:lang w:eastAsia="en-US"/>
              </w:rPr>
              <w:t>监理BIM团队</w:t>
            </w:r>
          </w:p>
        </w:tc>
        <w:tc>
          <w:tcPr>
            <w:tcW w:w="392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D19D0DB">
            <w:pPr>
              <w:pStyle w:val="561"/>
              <w:widowControl w:val="0"/>
              <w:spacing w:before="120" w:after="120" w:line="240" w:lineRule="auto"/>
              <w:ind w:left="31" w:right="4"/>
              <w:rPr>
                <w:color w:val="auto"/>
                <w:highlight w:val="none"/>
                <w:lang w:eastAsia="en-US"/>
              </w:rPr>
            </w:pPr>
            <w:r>
              <w:rPr>
                <w:color w:val="auto"/>
                <w:highlight w:val="none"/>
                <w:lang w:eastAsia="en-US"/>
              </w:rPr>
              <w:t>详见“5.2各参与方工作职责”</w:t>
            </w:r>
          </w:p>
        </w:tc>
      </w:tr>
      <w:tr w14:paraId="72536968">
        <w:tblPrEx>
          <w:tblCellMar>
            <w:top w:w="0" w:type="dxa"/>
            <w:left w:w="0" w:type="dxa"/>
            <w:bottom w:w="0" w:type="dxa"/>
            <w:right w:w="0" w:type="dxa"/>
          </w:tblCellMar>
        </w:tblPrEx>
        <w:trPr>
          <w:trHeight w:val="454" w:hRule="atLeast"/>
        </w:trPr>
        <w:tc>
          <w:tcPr>
            <w:tcW w:w="1073"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05553DE">
            <w:pPr>
              <w:pStyle w:val="561"/>
              <w:widowControl w:val="0"/>
              <w:spacing w:before="120" w:after="120" w:line="240" w:lineRule="auto"/>
              <w:ind w:left="31" w:right="4"/>
              <w:rPr>
                <w:color w:val="auto"/>
                <w:highlight w:val="none"/>
                <w:lang w:eastAsia="en-US"/>
              </w:rPr>
            </w:pPr>
            <w:r>
              <w:rPr>
                <w:color w:val="auto"/>
                <w:highlight w:val="none"/>
                <w:lang w:eastAsia="en-US"/>
              </w:rPr>
              <w:t>土建BIM团队</w:t>
            </w:r>
          </w:p>
        </w:tc>
        <w:tc>
          <w:tcPr>
            <w:tcW w:w="392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926BA4F">
            <w:pPr>
              <w:pStyle w:val="585"/>
              <w:widowControl w:val="0"/>
              <w:spacing w:before="120" w:after="120"/>
              <w:ind w:right="4"/>
              <w:jc w:val="center"/>
              <w:rPr>
                <w:color w:val="auto"/>
                <w:highlight w:val="none"/>
                <w:lang w:eastAsia="en-US"/>
              </w:rPr>
            </w:pPr>
            <w:r>
              <w:rPr>
                <w:color w:val="auto"/>
                <w:highlight w:val="none"/>
                <w:lang w:eastAsia="en-US"/>
              </w:rPr>
              <w:t>接收自身合同范围内的施工图设计模型、进行必要的校核和调整，完善成为施工深化模型，并利用BIM解决可能存在的设计问题、碰撞、优化、施工关键工艺等，并进行校核和调整，配合BIM总协调团队完成相关BIM工作。</w:t>
            </w:r>
          </w:p>
        </w:tc>
      </w:tr>
      <w:tr w14:paraId="549E7096">
        <w:tblPrEx>
          <w:tblCellMar>
            <w:top w:w="0" w:type="dxa"/>
            <w:left w:w="0" w:type="dxa"/>
            <w:bottom w:w="0" w:type="dxa"/>
            <w:right w:w="0" w:type="dxa"/>
          </w:tblCellMar>
        </w:tblPrEx>
        <w:trPr>
          <w:trHeight w:val="454" w:hRule="atLeast"/>
        </w:trPr>
        <w:tc>
          <w:tcPr>
            <w:tcW w:w="1073"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0FAEA0D">
            <w:pPr>
              <w:pStyle w:val="561"/>
              <w:widowControl w:val="0"/>
              <w:spacing w:before="120" w:after="120" w:line="240" w:lineRule="auto"/>
              <w:ind w:left="31" w:right="4"/>
              <w:rPr>
                <w:color w:val="auto"/>
                <w:highlight w:val="none"/>
                <w:lang w:eastAsia="en-US"/>
              </w:rPr>
            </w:pPr>
            <w:r>
              <w:rPr>
                <w:color w:val="auto"/>
                <w:highlight w:val="none"/>
                <w:lang w:eastAsia="en-US"/>
              </w:rPr>
              <w:t>机电BIM团队</w:t>
            </w:r>
          </w:p>
        </w:tc>
        <w:tc>
          <w:tcPr>
            <w:tcW w:w="392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3BDEA38">
            <w:pPr>
              <w:pStyle w:val="585"/>
              <w:widowControl w:val="0"/>
              <w:spacing w:before="120" w:after="120"/>
              <w:ind w:right="4"/>
              <w:jc w:val="center"/>
              <w:rPr>
                <w:color w:val="auto"/>
                <w:highlight w:val="none"/>
                <w:lang w:eastAsia="en-US"/>
              </w:rPr>
            </w:pPr>
            <w:r>
              <w:rPr>
                <w:color w:val="auto"/>
                <w:highlight w:val="none"/>
                <w:lang w:eastAsia="en-US"/>
              </w:rPr>
              <w:t>基于施工图设计模型等资料，检查各个机电专业间综合管线碰撞的同时，</w:t>
            </w:r>
            <w:r>
              <w:rPr>
                <w:rFonts w:hint="eastAsia"/>
                <w:color w:val="auto"/>
                <w:highlight w:val="none"/>
                <w:lang w:eastAsia="en-US"/>
              </w:rPr>
              <w:t>复核</w:t>
            </w:r>
            <w:r>
              <w:rPr>
                <w:color w:val="auto"/>
                <w:highlight w:val="none"/>
                <w:lang w:eastAsia="en-US"/>
              </w:rPr>
              <w:t>整体管线净高，并进行必要的调整，向总包BIM团队提交相关碰撞检测报告、机电管线综合报告，利用BIM技术进行项目实施管控，根据项目实施进展录入机电安装信息参数，配合BIM总协调团队完成相关BIM工作。</w:t>
            </w:r>
          </w:p>
        </w:tc>
      </w:tr>
      <w:tr w14:paraId="36157A74">
        <w:tblPrEx>
          <w:tblCellMar>
            <w:top w:w="0" w:type="dxa"/>
            <w:left w:w="0" w:type="dxa"/>
            <w:bottom w:w="0" w:type="dxa"/>
            <w:right w:w="0" w:type="dxa"/>
          </w:tblCellMar>
        </w:tblPrEx>
        <w:trPr>
          <w:trHeight w:val="454" w:hRule="atLeast"/>
        </w:trPr>
        <w:tc>
          <w:tcPr>
            <w:tcW w:w="1073"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89321DB">
            <w:pPr>
              <w:pStyle w:val="561"/>
              <w:widowControl w:val="0"/>
              <w:spacing w:before="120" w:after="120" w:line="240" w:lineRule="auto"/>
              <w:ind w:left="31" w:right="4"/>
              <w:rPr>
                <w:color w:val="auto"/>
                <w:highlight w:val="none"/>
                <w:lang w:eastAsia="en-US"/>
              </w:rPr>
            </w:pPr>
            <w:r>
              <w:rPr>
                <w:color w:val="auto"/>
                <w:highlight w:val="none"/>
                <w:lang w:eastAsia="en-US"/>
              </w:rPr>
              <w:t>其他BIM团队</w:t>
            </w:r>
          </w:p>
        </w:tc>
        <w:tc>
          <w:tcPr>
            <w:tcW w:w="392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9D70188">
            <w:pPr>
              <w:pStyle w:val="585"/>
              <w:widowControl w:val="0"/>
              <w:spacing w:before="120" w:after="120"/>
              <w:ind w:right="4"/>
              <w:jc w:val="center"/>
              <w:rPr>
                <w:color w:val="auto"/>
                <w:highlight w:val="none"/>
                <w:lang w:eastAsia="en-US"/>
              </w:rPr>
            </w:pPr>
            <w:r>
              <w:rPr>
                <w:color w:val="auto"/>
                <w:highlight w:val="none"/>
                <w:lang w:eastAsia="en-US"/>
              </w:rPr>
              <w:t>作为本项目的专业承包单位，负责合同范围内的BIM模型建立和维护工作。对总承包单位提供的BIM模型进行深化、更新和维护，利用BIM模型指导实际施工，配合总承包单位的BIM工作，并提供BIM应用成果。</w:t>
            </w:r>
          </w:p>
        </w:tc>
      </w:tr>
      <w:tr w14:paraId="3C8EB2D0">
        <w:tblPrEx>
          <w:tblCellMar>
            <w:top w:w="0" w:type="dxa"/>
            <w:left w:w="0" w:type="dxa"/>
            <w:bottom w:w="0" w:type="dxa"/>
            <w:right w:w="0" w:type="dxa"/>
          </w:tblCellMar>
        </w:tblPrEx>
        <w:trPr>
          <w:trHeight w:val="454" w:hRule="atLeast"/>
        </w:trPr>
        <w:tc>
          <w:tcPr>
            <w:tcW w:w="1073"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34ABE00">
            <w:pPr>
              <w:pStyle w:val="561"/>
              <w:widowControl w:val="0"/>
              <w:spacing w:before="120" w:after="120" w:line="240" w:lineRule="auto"/>
              <w:ind w:left="31" w:right="4"/>
              <w:rPr>
                <w:color w:val="auto"/>
                <w:highlight w:val="none"/>
                <w:lang w:eastAsia="en-US"/>
              </w:rPr>
            </w:pPr>
            <w:r>
              <w:rPr>
                <w:color w:val="auto"/>
                <w:highlight w:val="none"/>
                <w:lang w:eastAsia="en-US"/>
              </w:rPr>
              <w:t>材料设备供应商</w:t>
            </w:r>
          </w:p>
        </w:tc>
        <w:tc>
          <w:tcPr>
            <w:tcW w:w="392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6DECA7F">
            <w:pPr>
              <w:pStyle w:val="585"/>
              <w:widowControl w:val="0"/>
              <w:spacing w:before="120" w:after="120"/>
              <w:ind w:right="4"/>
              <w:jc w:val="center"/>
              <w:rPr>
                <w:color w:val="auto"/>
                <w:highlight w:val="none"/>
                <w:lang w:eastAsia="en-US"/>
              </w:rPr>
            </w:pPr>
            <w:r>
              <w:rPr>
                <w:color w:val="auto"/>
                <w:highlight w:val="none"/>
                <w:lang w:eastAsia="en-US"/>
              </w:rPr>
              <w:t>提供材料信息及设备BIM构件模型，提供的BIM构件模型应该包含的材料设备参数及信息。</w:t>
            </w:r>
          </w:p>
        </w:tc>
      </w:tr>
      <w:tr w14:paraId="31F06C65">
        <w:tblPrEx>
          <w:tblCellMar>
            <w:top w:w="0" w:type="dxa"/>
            <w:left w:w="0" w:type="dxa"/>
            <w:bottom w:w="0" w:type="dxa"/>
            <w:right w:w="0" w:type="dxa"/>
          </w:tblCellMar>
        </w:tblPrEx>
        <w:trPr>
          <w:trHeight w:val="454" w:hRule="atLeast"/>
        </w:trPr>
        <w:tc>
          <w:tcPr>
            <w:tcW w:w="1073"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79FDDB9">
            <w:pPr>
              <w:pStyle w:val="561"/>
              <w:widowControl w:val="0"/>
              <w:spacing w:before="120" w:after="120" w:line="240" w:lineRule="auto"/>
              <w:ind w:left="31" w:right="4"/>
              <w:rPr>
                <w:color w:val="auto"/>
                <w:highlight w:val="none"/>
                <w:lang w:eastAsia="en-US"/>
              </w:rPr>
            </w:pPr>
            <w:r>
              <w:rPr>
                <w:color w:val="auto"/>
                <w:highlight w:val="none"/>
                <w:lang w:eastAsia="en-US"/>
              </w:rPr>
              <w:t>造价咨询单位</w:t>
            </w:r>
          </w:p>
        </w:tc>
        <w:tc>
          <w:tcPr>
            <w:tcW w:w="392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35FDD55">
            <w:pPr>
              <w:pStyle w:val="585"/>
              <w:widowControl w:val="0"/>
              <w:spacing w:before="120" w:after="120"/>
              <w:ind w:right="4"/>
              <w:jc w:val="center"/>
              <w:rPr>
                <w:color w:val="auto"/>
                <w:highlight w:val="none"/>
                <w:lang w:eastAsia="en-US"/>
              </w:rPr>
            </w:pPr>
            <w:r>
              <w:rPr>
                <w:color w:val="auto"/>
                <w:highlight w:val="none"/>
                <w:lang w:eastAsia="en-US"/>
              </w:rPr>
              <w:t>利用BIM技术辅助进行工程概算、预算及竣工结算工作。在出现变更时，运用BIM技术进行变更前后造价对比。</w:t>
            </w:r>
          </w:p>
        </w:tc>
      </w:tr>
    </w:tbl>
    <w:p w14:paraId="4ECB48B5">
      <w:pPr>
        <w:tabs>
          <w:tab w:val="left" w:pos="0"/>
          <w:tab w:val="left" w:pos="5424"/>
        </w:tabs>
        <w:spacing w:before="120" w:after="120"/>
        <w:ind w:firstLine="0" w:firstLineChars="0"/>
        <w:rPr>
          <w:rFonts w:eastAsia="黑体"/>
          <w:bCs/>
          <w:color w:val="auto"/>
          <w:sz w:val="24"/>
          <w:highlight w:val="none"/>
        </w:rPr>
        <w:sectPr>
          <w:pgSz w:w="11910" w:h="16840"/>
          <w:pgMar w:top="1440" w:right="1800" w:bottom="1440" w:left="1800" w:header="907" w:footer="953" w:gutter="0"/>
          <w:pgNumType w:fmt="numberInDash"/>
          <w:cols w:space="720" w:num="1"/>
        </w:sectPr>
      </w:pPr>
      <w:bookmarkStart w:id="389" w:name="_bookmark46"/>
      <w:bookmarkEnd w:id="389"/>
    </w:p>
    <w:p w14:paraId="65710281">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390" w:name="_Toc5787"/>
      <w:bookmarkStart w:id="391" w:name="_Toc5768"/>
      <w:bookmarkStart w:id="392" w:name="_Toc30279"/>
      <w:bookmarkStart w:id="393" w:name="_Toc16083"/>
      <w:bookmarkStart w:id="394" w:name="_Toc2770"/>
      <w:bookmarkStart w:id="395" w:name="_Toc12350"/>
      <w:bookmarkStart w:id="396" w:name="_Toc21135"/>
      <w:bookmarkStart w:id="397" w:name="_Toc2885"/>
      <w:bookmarkStart w:id="398" w:name="_Toc140219111"/>
      <w:bookmarkStart w:id="399" w:name="_Toc28707"/>
      <w:bookmarkStart w:id="400" w:name="_Toc9960"/>
      <w:bookmarkStart w:id="401" w:name="_Toc25097"/>
      <w:bookmarkStart w:id="402" w:name="_Toc11681"/>
      <w:bookmarkStart w:id="403" w:name="_Toc15364"/>
      <w:bookmarkStart w:id="404" w:name="_Toc29157"/>
      <w:bookmarkStart w:id="405" w:name="_Toc14612"/>
      <w:bookmarkStart w:id="406" w:name="_Toc20836"/>
      <w:bookmarkStart w:id="407" w:name="_Toc19124"/>
      <w:bookmarkStart w:id="408" w:name="_Toc11557"/>
      <w:bookmarkStart w:id="409" w:name="_Toc6620"/>
      <w:bookmarkStart w:id="410" w:name="_Toc5265"/>
      <w:bookmarkStart w:id="411" w:name="_Toc25306"/>
      <w:r>
        <w:rPr>
          <w:rFonts w:eastAsia="黑体" w:cs="Times New Roman"/>
          <w:bCs/>
          <w:color w:val="auto"/>
          <w:sz w:val="24"/>
          <w:highlight w:val="none"/>
        </w:rPr>
        <w:t>附表7  BIM实施计划及工作内容</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tbl>
      <w:tblPr>
        <w:tblStyle w:val="519"/>
        <w:tblW w:w="4998" w:type="pct"/>
        <w:tblInd w:w="0" w:type="dxa"/>
        <w:tblLayout w:type="autofit"/>
        <w:tblCellMar>
          <w:top w:w="0" w:type="dxa"/>
          <w:left w:w="0" w:type="dxa"/>
          <w:bottom w:w="0" w:type="dxa"/>
          <w:right w:w="0" w:type="dxa"/>
        </w:tblCellMar>
      </w:tblPr>
      <w:tblGrid>
        <w:gridCol w:w="844"/>
        <w:gridCol w:w="669"/>
        <w:gridCol w:w="2335"/>
        <w:gridCol w:w="1939"/>
        <w:gridCol w:w="1210"/>
        <w:gridCol w:w="1424"/>
      </w:tblGrid>
      <w:tr w14:paraId="3C35645E">
        <w:tblPrEx>
          <w:tblCellMar>
            <w:top w:w="0" w:type="dxa"/>
            <w:left w:w="0" w:type="dxa"/>
            <w:bottom w:w="0" w:type="dxa"/>
            <w:right w:w="0" w:type="dxa"/>
          </w:tblCellMar>
        </w:tblPrEx>
        <w:trPr>
          <w:trHeight w:val="454" w:hRule="atLeast"/>
        </w:trPr>
        <w:tc>
          <w:tcPr>
            <w:tcW w:w="50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237C649">
            <w:pPr>
              <w:pStyle w:val="561"/>
              <w:widowControl w:val="0"/>
              <w:spacing w:before="120" w:after="120" w:line="240" w:lineRule="auto"/>
              <w:ind w:left="31" w:right="4"/>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阶段</w:t>
            </w: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6D9C8BA">
            <w:pPr>
              <w:pStyle w:val="561"/>
              <w:widowControl w:val="0"/>
              <w:spacing w:before="120" w:after="120" w:line="240" w:lineRule="auto"/>
              <w:ind w:left="31" w:right="4"/>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序号</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0799897">
            <w:pPr>
              <w:pStyle w:val="561"/>
              <w:widowControl w:val="0"/>
              <w:spacing w:before="120" w:after="120" w:line="240" w:lineRule="auto"/>
              <w:ind w:left="31" w:right="4"/>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任务</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A7FFF40">
            <w:pPr>
              <w:pStyle w:val="561"/>
              <w:widowControl w:val="0"/>
              <w:spacing w:before="120" w:after="120" w:line="240" w:lineRule="auto"/>
              <w:ind w:left="31" w:right="4"/>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实施方</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02F27F3">
            <w:pPr>
              <w:pStyle w:val="561"/>
              <w:widowControl w:val="0"/>
              <w:spacing w:before="120" w:after="120" w:line="240" w:lineRule="auto"/>
              <w:ind w:left="31" w:right="4"/>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时间计划</w:t>
            </w: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506791A">
            <w:pPr>
              <w:pStyle w:val="561"/>
              <w:widowControl w:val="0"/>
              <w:spacing w:before="120" w:after="120" w:line="240" w:lineRule="auto"/>
              <w:ind w:left="31" w:right="4"/>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备注</w:t>
            </w:r>
          </w:p>
        </w:tc>
      </w:tr>
      <w:tr w14:paraId="322AA6A7">
        <w:tblPrEx>
          <w:tblCellMar>
            <w:top w:w="0" w:type="dxa"/>
            <w:left w:w="0" w:type="dxa"/>
            <w:bottom w:w="0" w:type="dxa"/>
            <w:right w:w="0" w:type="dxa"/>
          </w:tblCellMar>
        </w:tblPrEx>
        <w:trPr>
          <w:trHeight w:val="454" w:hRule="atLeast"/>
        </w:trPr>
        <w:tc>
          <w:tcPr>
            <w:tcW w:w="501" w:type="pct"/>
            <w:vMerge w:val="restar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2D755A23">
            <w:pPr>
              <w:pStyle w:val="561"/>
              <w:widowControl w:val="0"/>
              <w:spacing w:before="120" w:after="120" w:line="240" w:lineRule="auto"/>
              <w:ind w:left="31" w:right="4"/>
              <w:rPr>
                <w:color w:val="auto"/>
                <w:highlight w:val="none"/>
                <w:lang w:eastAsia="en-US"/>
              </w:rPr>
            </w:pPr>
            <w:r>
              <w:rPr>
                <w:color w:val="auto"/>
                <w:highlight w:val="none"/>
                <w:lang w:eastAsia="en-US"/>
              </w:rPr>
              <w:t>BIM</w:t>
            </w:r>
          </w:p>
          <w:p w14:paraId="080C4F03">
            <w:pPr>
              <w:pStyle w:val="561"/>
              <w:widowControl w:val="0"/>
              <w:spacing w:before="120" w:after="120" w:line="240" w:lineRule="auto"/>
              <w:ind w:left="31" w:right="4"/>
              <w:rPr>
                <w:color w:val="auto"/>
                <w:highlight w:val="none"/>
                <w:lang w:eastAsia="en-US"/>
              </w:rPr>
            </w:pPr>
            <w:r>
              <w:rPr>
                <w:color w:val="auto"/>
                <w:highlight w:val="none"/>
                <w:lang w:eastAsia="en-US"/>
              </w:rPr>
              <w:t>准备</w:t>
            </w: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E6F348B">
            <w:pPr>
              <w:pStyle w:val="561"/>
              <w:widowControl w:val="0"/>
              <w:spacing w:before="120" w:after="120" w:line="240" w:lineRule="auto"/>
              <w:ind w:left="31" w:right="4"/>
              <w:rPr>
                <w:color w:val="auto"/>
                <w:highlight w:val="none"/>
                <w:lang w:eastAsia="en-US"/>
              </w:rPr>
            </w:pPr>
            <w:r>
              <w:rPr>
                <w:color w:val="auto"/>
                <w:highlight w:val="none"/>
                <w:lang w:eastAsia="en-US"/>
              </w:rPr>
              <w:t>1</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023E377">
            <w:pPr>
              <w:pStyle w:val="561"/>
              <w:widowControl w:val="0"/>
              <w:spacing w:before="120" w:after="120" w:line="240" w:lineRule="auto"/>
              <w:ind w:left="31" w:right="4"/>
              <w:rPr>
                <w:color w:val="auto"/>
                <w:highlight w:val="none"/>
                <w:lang w:eastAsia="en-US"/>
              </w:rPr>
            </w:pPr>
            <w:r>
              <w:rPr>
                <w:color w:val="auto"/>
                <w:highlight w:val="none"/>
                <w:lang w:eastAsia="en-US"/>
              </w:rPr>
              <w:t>制定施工阶段BIM实施目标</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C9978CD">
            <w:pPr>
              <w:pStyle w:val="561"/>
              <w:widowControl w:val="0"/>
              <w:spacing w:before="120" w:after="120" w:line="240" w:lineRule="auto"/>
              <w:ind w:left="31" w:right="4"/>
              <w:rPr>
                <w:color w:val="auto"/>
                <w:highlight w:val="none"/>
                <w:lang w:eastAsia="en-US"/>
              </w:rPr>
            </w:pPr>
            <w:r>
              <w:rPr>
                <w:color w:val="auto"/>
                <w:highlight w:val="none"/>
                <w:lang w:eastAsia="en-US"/>
              </w:rPr>
              <w:t>代建局</w:t>
            </w:r>
            <w:r>
              <w:rPr>
                <w:rFonts w:hint="eastAsia"/>
                <w:color w:val="auto"/>
                <w:highlight w:val="none"/>
                <w:lang w:eastAsia="en-US"/>
              </w:rPr>
              <w:t>项目建设管理部、</w:t>
            </w:r>
          </w:p>
          <w:p w14:paraId="282E7533">
            <w:pPr>
              <w:pStyle w:val="561"/>
              <w:widowControl w:val="0"/>
              <w:spacing w:before="120" w:after="120" w:line="240" w:lineRule="auto"/>
              <w:ind w:left="31" w:right="4"/>
              <w:rPr>
                <w:color w:val="auto"/>
                <w:highlight w:val="none"/>
                <w:lang w:eastAsia="en-US"/>
              </w:rPr>
            </w:pPr>
            <w:r>
              <w:rPr>
                <w:color w:val="auto"/>
                <w:highlight w:val="none"/>
                <w:lang w:eastAsia="en-US"/>
              </w:rPr>
              <w:t>BIM总协调</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1B57E16">
            <w:pPr>
              <w:pStyle w:val="561"/>
              <w:widowControl w:val="0"/>
              <w:spacing w:before="120" w:after="120" w:line="240" w:lineRule="auto"/>
              <w:ind w:left="31" w:right="4"/>
              <w:rPr>
                <w:color w:val="auto"/>
                <w:highlight w:val="none"/>
                <w:lang w:eastAsia="en-US"/>
              </w:rPr>
            </w:pP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166B854">
            <w:pPr>
              <w:pStyle w:val="561"/>
              <w:widowControl w:val="0"/>
              <w:spacing w:before="120" w:after="120" w:line="240" w:lineRule="auto"/>
              <w:ind w:left="31" w:right="4"/>
              <w:rPr>
                <w:color w:val="auto"/>
                <w:highlight w:val="none"/>
                <w:lang w:eastAsia="en-US"/>
              </w:rPr>
            </w:pPr>
          </w:p>
        </w:tc>
      </w:tr>
      <w:tr w14:paraId="03015FCB">
        <w:tblPrEx>
          <w:tblCellMar>
            <w:top w:w="0" w:type="dxa"/>
            <w:left w:w="0" w:type="dxa"/>
            <w:bottom w:w="0" w:type="dxa"/>
            <w:right w:w="0" w:type="dxa"/>
          </w:tblCellMar>
        </w:tblPrEx>
        <w:trPr>
          <w:trHeight w:val="454" w:hRule="atLeast"/>
        </w:trPr>
        <w:tc>
          <w:tcPr>
            <w:tcW w:w="501" w:type="pct"/>
            <w:vMerge w:val="continue"/>
            <w:tcBorders>
              <w:left w:val="single" w:color="000000" w:sz="4" w:space="0"/>
              <w:right w:val="single" w:color="000000" w:sz="4" w:space="0"/>
            </w:tcBorders>
            <w:noWrap w:val="0"/>
            <w:tcMar>
              <w:top w:w="57" w:type="dxa"/>
              <w:left w:w="57" w:type="dxa"/>
              <w:bottom w:w="57" w:type="dxa"/>
              <w:right w:w="57" w:type="dxa"/>
            </w:tcMar>
            <w:vAlign w:val="center"/>
          </w:tcPr>
          <w:p w14:paraId="423EFBA9">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F8203D5">
            <w:pPr>
              <w:pStyle w:val="561"/>
              <w:widowControl w:val="0"/>
              <w:spacing w:before="120" w:after="120" w:line="240" w:lineRule="auto"/>
              <w:ind w:left="31" w:right="4"/>
              <w:rPr>
                <w:color w:val="auto"/>
                <w:highlight w:val="none"/>
                <w:lang w:eastAsia="en-US"/>
              </w:rPr>
            </w:pPr>
            <w:r>
              <w:rPr>
                <w:color w:val="auto"/>
                <w:highlight w:val="none"/>
                <w:lang w:eastAsia="en-US"/>
              </w:rPr>
              <w:t>2</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3AB5F92">
            <w:pPr>
              <w:pStyle w:val="561"/>
              <w:widowControl w:val="0"/>
              <w:spacing w:before="120" w:after="120" w:line="240" w:lineRule="auto"/>
              <w:ind w:left="31" w:right="4"/>
              <w:rPr>
                <w:color w:val="auto"/>
                <w:highlight w:val="none"/>
                <w:lang w:eastAsia="en-US"/>
              </w:rPr>
            </w:pPr>
            <w:r>
              <w:rPr>
                <w:color w:val="auto"/>
                <w:highlight w:val="none"/>
                <w:lang w:eastAsia="en-US"/>
              </w:rPr>
              <w:t>制定施工阶段实施详细分工计划</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43E69A6">
            <w:pPr>
              <w:pStyle w:val="561"/>
              <w:widowControl w:val="0"/>
              <w:spacing w:before="120" w:after="120" w:line="240" w:lineRule="auto"/>
              <w:ind w:left="31" w:right="4"/>
              <w:rPr>
                <w:color w:val="auto"/>
                <w:highlight w:val="none"/>
                <w:lang w:eastAsia="en-US"/>
              </w:rPr>
            </w:pPr>
            <w:r>
              <w:rPr>
                <w:color w:val="auto"/>
                <w:highlight w:val="none"/>
                <w:lang w:eastAsia="en-US"/>
              </w:rPr>
              <w:t>BIM总协调与各承建单位</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13BE304">
            <w:pPr>
              <w:pStyle w:val="561"/>
              <w:widowControl w:val="0"/>
              <w:spacing w:before="120" w:after="120" w:line="240" w:lineRule="auto"/>
              <w:ind w:left="31" w:right="4"/>
              <w:rPr>
                <w:color w:val="auto"/>
                <w:highlight w:val="none"/>
                <w:lang w:eastAsia="en-US"/>
              </w:rPr>
            </w:pP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2CF7B97">
            <w:pPr>
              <w:pStyle w:val="561"/>
              <w:widowControl w:val="0"/>
              <w:spacing w:before="120" w:after="120" w:line="240" w:lineRule="auto"/>
              <w:ind w:left="31" w:right="4"/>
              <w:rPr>
                <w:color w:val="auto"/>
                <w:highlight w:val="none"/>
                <w:lang w:eastAsia="en-US"/>
              </w:rPr>
            </w:pPr>
          </w:p>
        </w:tc>
      </w:tr>
      <w:tr w14:paraId="1BC9F1EB">
        <w:tblPrEx>
          <w:tblCellMar>
            <w:top w:w="0" w:type="dxa"/>
            <w:left w:w="0" w:type="dxa"/>
            <w:bottom w:w="0" w:type="dxa"/>
            <w:right w:w="0" w:type="dxa"/>
          </w:tblCellMar>
        </w:tblPrEx>
        <w:trPr>
          <w:trHeight w:val="454" w:hRule="atLeast"/>
        </w:trPr>
        <w:tc>
          <w:tcPr>
            <w:tcW w:w="501" w:type="pct"/>
            <w:vMerge w:val="continue"/>
            <w:tcBorders>
              <w:left w:val="single" w:color="000000" w:sz="4" w:space="0"/>
              <w:right w:val="single" w:color="000000" w:sz="4" w:space="0"/>
            </w:tcBorders>
            <w:noWrap w:val="0"/>
            <w:tcMar>
              <w:top w:w="57" w:type="dxa"/>
              <w:left w:w="57" w:type="dxa"/>
              <w:bottom w:w="57" w:type="dxa"/>
              <w:right w:w="57" w:type="dxa"/>
            </w:tcMar>
            <w:vAlign w:val="center"/>
          </w:tcPr>
          <w:p w14:paraId="70A14CD0">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B4BEFC4">
            <w:pPr>
              <w:pStyle w:val="561"/>
              <w:widowControl w:val="0"/>
              <w:spacing w:before="120" w:after="120" w:line="240" w:lineRule="auto"/>
              <w:ind w:left="31" w:right="4"/>
              <w:rPr>
                <w:color w:val="auto"/>
                <w:highlight w:val="none"/>
                <w:lang w:eastAsia="en-US"/>
              </w:rPr>
            </w:pPr>
            <w:r>
              <w:rPr>
                <w:color w:val="auto"/>
                <w:highlight w:val="none"/>
                <w:lang w:eastAsia="en-US"/>
              </w:rPr>
              <w:t>3</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987C2E8">
            <w:pPr>
              <w:pStyle w:val="561"/>
              <w:widowControl w:val="0"/>
              <w:spacing w:before="120" w:after="120" w:line="240" w:lineRule="auto"/>
              <w:ind w:left="31" w:right="4"/>
              <w:rPr>
                <w:color w:val="auto"/>
                <w:highlight w:val="none"/>
                <w:lang w:eastAsia="en-US"/>
              </w:rPr>
            </w:pPr>
            <w:r>
              <w:rPr>
                <w:color w:val="auto"/>
                <w:highlight w:val="none"/>
                <w:lang w:eastAsia="en-US"/>
              </w:rPr>
              <w:t>组建BIM团队</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C89A672">
            <w:pPr>
              <w:pStyle w:val="561"/>
              <w:widowControl w:val="0"/>
              <w:spacing w:before="120" w:after="120" w:line="240" w:lineRule="auto"/>
              <w:ind w:left="31" w:right="4"/>
              <w:rPr>
                <w:color w:val="auto"/>
                <w:highlight w:val="none"/>
                <w:lang w:eastAsia="en-US"/>
              </w:rPr>
            </w:pPr>
            <w:r>
              <w:rPr>
                <w:color w:val="auto"/>
                <w:highlight w:val="none"/>
                <w:lang w:eastAsia="en-US"/>
              </w:rPr>
              <w:t>各承建单位</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8320E33">
            <w:pPr>
              <w:pStyle w:val="561"/>
              <w:widowControl w:val="0"/>
              <w:spacing w:before="120" w:after="120" w:line="240" w:lineRule="auto"/>
              <w:ind w:left="31" w:right="4"/>
              <w:rPr>
                <w:color w:val="auto"/>
                <w:highlight w:val="none"/>
                <w:lang w:eastAsia="en-US"/>
              </w:rPr>
            </w:pP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03B5614">
            <w:pPr>
              <w:pStyle w:val="561"/>
              <w:widowControl w:val="0"/>
              <w:spacing w:before="120" w:after="120" w:line="240" w:lineRule="auto"/>
              <w:ind w:left="31" w:right="4"/>
              <w:rPr>
                <w:color w:val="auto"/>
                <w:highlight w:val="none"/>
                <w:lang w:eastAsia="en-US"/>
              </w:rPr>
            </w:pPr>
          </w:p>
        </w:tc>
      </w:tr>
      <w:tr w14:paraId="07A2B6B4">
        <w:tblPrEx>
          <w:tblCellMar>
            <w:top w:w="0" w:type="dxa"/>
            <w:left w:w="0" w:type="dxa"/>
            <w:bottom w:w="0" w:type="dxa"/>
            <w:right w:w="0" w:type="dxa"/>
          </w:tblCellMar>
        </w:tblPrEx>
        <w:trPr>
          <w:trHeight w:val="454" w:hRule="atLeast"/>
        </w:trPr>
        <w:tc>
          <w:tcPr>
            <w:tcW w:w="501" w:type="pct"/>
            <w:vMerge w:val="continue"/>
            <w:tcBorders>
              <w:left w:val="single" w:color="000000" w:sz="4" w:space="0"/>
              <w:right w:val="single" w:color="000000" w:sz="4" w:space="0"/>
            </w:tcBorders>
            <w:noWrap w:val="0"/>
            <w:tcMar>
              <w:top w:w="57" w:type="dxa"/>
              <w:left w:w="57" w:type="dxa"/>
              <w:bottom w:w="57" w:type="dxa"/>
              <w:right w:w="57" w:type="dxa"/>
            </w:tcMar>
            <w:vAlign w:val="center"/>
          </w:tcPr>
          <w:p w14:paraId="2B4BD39B">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14AB3F1">
            <w:pPr>
              <w:pStyle w:val="561"/>
              <w:widowControl w:val="0"/>
              <w:spacing w:before="120" w:after="120" w:line="240" w:lineRule="auto"/>
              <w:ind w:left="31" w:right="4"/>
              <w:rPr>
                <w:color w:val="auto"/>
                <w:highlight w:val="none"/>
                <w:lang w:eastAsia="en-US"/>
              </w:rPr>
            </w:pPr>
            <w:r>
              <w:rPr>
                <w:color w:val="auto"/>
                <w:highlight w:val="none"/>
                <w:lang w:eastAsia="en-US"/>
              </w:rPr>
              <w:t>4</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6F0364E">
            <w:pPr>
              <w:pStyle w:val="561"/>
              <w:widowControl w:val="0"/>
              <w:spacing w:before="120" w:after="120" w:line="240" w:lineRule="auto"/>
              <w:ind w:left="31" w:right="4"/>
              <w:rPr>
                <w:color w:val="auto"/>
                <w:highlight w:val="none"/>
                <w:lang w:eastAsia="en-US"/>
              </w:rPr>
            </w:pPr>
            <w:r>
              <w:rPr>
                <w:color w:val="auto"/>
                <w:highlight w:val="none"/>
                <w:lang w:eastAsia="en-US"/>
              </w:rPr>
              <w:t>建立BIM实施环境</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B35017C">
            <w:pPr>
              <w:pStyle w:val="561"/>
              <w:widowControl w:val="0"/>
              <w:spacing w:before="120" w:after="120" w:line="240" w:lineRule="auto"/>
              <w:ind w:left="31" w:right="4"/>
              <w:rPr>
                <w:color w:val="auto"/>
                <w:highlight w:val="none"/>
                <w:lang w:eastAsia="en-US"/>
              </w:rPr>
            </w:pPr>
            <w:r>
              <w:rPr>
                <w:color w:val="auto"/>
                <w:highlight w:val="none"/>
                <w:lang w:eastAsia="en-US"/>
              </w:rPr>
              <w:t>BIM总协调与各承建单位</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A0C4DE3">
            <w:pPr>
              <w:pStyle w:val="561"/>
              <w:widowControl w:val="0"/>
              <w:spacing w:before="120" w:after="120" w:line="240" w:lineRule="auto"/>
              <w:ind w:left="31" w:right="4"/>
              <w:rPr>
                <w:color w:val="auto"/>
                <w:highlight w:val="none"/>
                <w:lang w:eastAsia="en-US"/>
              </w:rPr>
            </w:pP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30B8B46">
            <w:pPr>
              <w:pStyle w:val="561"/>
              <w:widowControl w:val="0"/>
              <w:spacing w:before="120" w:after="120" w:line="240" w:lineRule="auto"/>
              <w:ind w:left="31" w:right="4"/>
              <w:rPr>
                <w:color w:val="auto"/>
                <w:highlight w:val="none"/>
                <w:lang w:eastAsia="en-US"/>
              </w:rPr>
            </w:pPr>
            <w:r>
              <w:rPr>
                <w:color w:val="auto"/>
                <w:highlight w:val="none"/>
                <w:lang w:eastAsia="en-US"/>
              </w:rPr>
              <w:t>权限分配软硬件配置</w:t>
            </w:r>
          </w:p>
        </w:tc>
      </w:tr>
      <w:tr w14:paraId="63A1859F">
        <w:tblPrEx>
          <w:tblCellMar>
            <w:top w:w="0" w:type="dxa"/>
            <w:left w:w="0" w:type="dxa"/>
            <w:bottom w:w="0" w:type="dxa"/>
            <w:right w:w="0" w:type="dxa"/>
          </w:tblCellMar>
        </w:tblPrEx>
        <w:trPr>
          <w:trHeight w:val="454" w:hRule="atLeast"/>
        </w:trPr>
        <w:tc>
          <w:tcPr>
            <w:tcW w:w="501" w:type="pct"/>
            <w:vMerge w:val="continue"/>
            <w:tcBorders>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A66524B">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E1BCA35">
            <w:pPr>
              <w:pStyle w:val="561"/>
              <w:widowControl w:val="0"/>
              <w:spacing w:before="120" w:after="120" w:line="240" w:lineRule="auto"/>
              <w:ind w:left="31" w:right="4"/>
              <w:rPr>
                <w:color w:val="auto"/>
                <w:highlight w:val="none"/>
                <w:lang w:eastAsia="en-US"/>
              </w:rPr>
            </w:pPr>
            <w:r>
              <w:rPr>
                <w:color w:val="auto"/>
                <w:highlight w:val="none"/>
                <w:lang w:eastAsia="en-US"/>
              </w:rPr>
              <w:t>5</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308EDDC">
            <w:pPr>
              <w:pStyle w:val="561"/>
              <w:widowControl w:val="0"/>
              <w:spacing w:before="120" w:after="120" w:line="240" w:lineRule="auto"/>
              <w:ind w:left="31" w:right="4"/>
              <w:rPr>
                <w:color w:val="auto"/>
                <w:highlight w:val="none"/>
                <w:lang w:eastAsia="en-US"/>
              </w:rPr>
            </w:pPr>
            <w:r>
              <w:rPr>
                <w:color w:val="auto"/>
                <w:highlight w:val="none"/>
                <w:lang w:eastAsia="en-US"/>
              </w:rPr>
              <w:t>设计模型会审</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F783A8F">
            <w:pPr>
              <w:pStyle w:val="561"/>
              <w:widowControl w:val="0"/>
              <w:spacing w:before="120" w:after="120" w:line="240" w:lineRule="auto"/>
              <w:ind w:left="31" w:right="4"/>
              <w:rPr>
                <w:color w:val="auto"/>
                <w:highlight w:val="none"/>
                <w:lang w:eastAsia="en-US"/>
              </w:rPr>
            </w:pPr>
            <w:r>
              <w:rPr>
                <w:color w:val="auto"/>
                <w:highlight w:val="none"/>
                <w:lang w:eastAsia="en-US"/>
              </w:rPr>
              <w:t>设计单位与各承建单位</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5813096">
            <w:pPr>
              <w:pStyle w:val="561"/>
              <w:widowControl w:val="0"/>
              <w:spacing w:before="120" w:after="120" w:line="240" w:lineRule="auto"/>
              <w:ind w:left="31" w:right="4"/>
              <w:rPr>
                <w:color w:val="auto"/>
                <w:highlight w:val="none"/>
                <w:lang w:eastAsia="en-US"/>
              </w:rPr>
            </w:pP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3062C7D">
            <w:pPr>
              <w:pStyle w:val="561"/>
              <w:widowControl w:val="0"/>
              <w:spacing w:before="120" w:after="120" w:line="240" w:lineRule="auto"/>
              <w:ind w:left="31" w:right="4"/>
              <w:rPr>
                <w:color w:val="auto"/>
                <w:highlight w:val="none"/>
                <w:lang w:eastAsia="en-US"/>
              </w:rPr>
            </w:pPr>
          </w:p>
        </w:tc>
      </w:tr>
      <w:tr w14:paraId="06D7B440">
        <w:tblPrEx>
          <w:tblCellMar>
            <w:top w:w="0" w:type="dxa"/>
            <w:left w:w="0" w:type="dxa"/>
            <w:bottom w:w="0" w:type="dxa"/>
            <w:right w:w="0" w:type="dxa"/>
          </w:tblCellMar>
        </w:tblPrEx>
        <w:trPr>
          <w:trHeight w:val="454" w:hRule="atLeast"/>
        </w:trPr>
        <w:tc>
          <w:tcPr>
            <w:tcW w:w="501" w:type="pct"/>
            <w:vMerge w:val="restar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0A65A503">
            <w:pPr>
              <w:pStyle w:val="561"/>
              <w:widowControl w:val="0"/>
              <w:spacing w:before="120" w:after="120" w:line="240" w:lineRule="auto"/>
              <w:ind w:left="31" w:right="4"/>
              <w:rPr>
                <w:color w:val="auto"/>
                <w:highlight w:val="none"/>
                <w:lang w:eastAsia="en-US"/>
              </w:rPr>
            </w:pPr>
            <w:r>
              <w:rPr>
                <w:color w:val="auto"/>
                <w:highlight w:val="none"/>
                <w:lang w:eastAsia="en-US"/>
              </w:rPr>
              <w:t>BIM</w:t>
            </w:r>
          </w:p>
          <w:p w14:paraId="1B1AB56B">
            <w:pPr>
              <w:pStyle w:val="561"/>
              <w:widowControl w:val="0"/>
              <w:spacing w:before="120" w:after="120" w:line="240" w:lineRule="auto"/>
              <w:ind w:left="31" w:right="4"/>
              <w:rPr>
                <w:color w:val="auto"/>
                <w:highlight w:val="none"/>
                <w:lang w:eastAsia="en-US"/>
              </w:rPr>
            </w:pPr>
            <w:r>
              <w:rPr>
                <w:color w:val="auto"/>
                <w:highlight w:val="none"/>
                <w:lang w:eastAsia="en-US"/>
              </w:rPr>
              <w:t>深化设计</w:t>
            </w: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8066944">
            <w:pPr>
              <w:pStyle w:val="561"/>
              <w:widowControl w:val="0"/>
              <w:spacing w:before="120" w:after="120" w:line="240" w:lineRule="auto"/>
              <w:ind w:left="31" w:right="4"/>
              <w:rPr>
                <w:color w:val="auto"/>
                <w:highlight w:val="none"/>
                <w:lang w:eastAsia="en-US"/>
              </w:rPr>
            </w:pPr>
            <w:r>
              <w:rPr>
                <w:color w:val="auto"/>
                <w:highlight w:val="none"/>
                <w:lang w:eastAsia="en-US"/>
              </w:rPr>
              <w:t>1</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B013A83">
            <w:pPr>
              <w:pStyle w:val="561"/>
              <w:widowControl w:val="0"/>
              <w:spacing w:before="120" w:after="120" w:line="240" w:lineRule="auto"/>
              <w:ind w:left="31" w:right="4"/>
              <w:rPr>
                <w:color w:val="auto"/>
                <w:highlight w:val="none"/>
                <w:lang w:eastAsia="en-US"/>
              </w:rPr>
            </w:pPr>
            <w:r>
              <w:rPr>
                <w:color w:val="auto"/>
                <w:highlight w:val="none"/>
                <w:lang w:eastAsia="en-US"/>
              </w:rPr>
              <w:t>土建深化设计</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0EF2EE9">
            <w:pPr>
              <w:pStyle w:val="561"/>
              <w:widowControl w:val="0"/>
              <w:spacing w:before="120" w:after="120" w:line="240" w:lineRule="auto"/>
              <w:ind w:left="31" w:right="4"/>
              <w:rPr>
                <w:color w:val="auto"/>
                <w:highlight w:val="none"/>
                <w:lang w:eastAsia="en-US"/>
              </w:rPr>
            </w:pPr>
            <w:r>
              <w:rPr>
                <w:color w:val="auto"/>
                <w:highlight w:val="none"/>
                <w:lang w:eastAsia="en-US"/>
              </w:rPr>
              <w:t>总包单位</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1E09AC6">
            <w:pPr>
              <w:pStyle w:val="561"/>
              <w:widowControl w:val="0"/>
              <w:spacing w:before="120" w:after="120" w:line="240" w:lineRule="auto"/>
              <w:ind w:left="31" w:right="4"/>
              <w:rPr>
                <w:color w:val="auto"/>
                <w:highlight w:val="none"/>
                <w:lang w:eastAsia="en-US"/>
              </w:rPr>
            </w:pP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5E41CEE">
            <w:pPr>
              <w:pStyle w:val="561"/>
              <w:widowControl w:val="0"/>
              <w:spacing w:before="120" w:after="120" w:line="240" w:lineRule="auto"/>
              <w:ind w:left="31" w:right="4"/>
              <w:rPr>
                <w:color w:val="auto"/>
                <w:highlight w:val="none"/>
                <w:lang w:eastAsia="en-US"/>
              </w:rPr>
            </w:pPr>
          </w:p>
        </w:tc>
      </w:tr>
      <w:tr w14:paraId="18275F46">
        <w:tblPrEx>
          <w:tblCellMar>
            <w:top w:w="0" w:type="dxa"/>
            <w:left w:w="0" w:type="dxa"/>
            <w:bottom w:w="0" w:type="dxa"/>
            <w:right w:w="0" w:type="dxa"/>
          </w:tblCellMar>
        </w:tblPrEx>
        <w:trPr>
          <w:trHeight w:val="454" w:hRule="atLeast"/>
        </w:trPr>
        <w:tc>
          <w:tcPr>
            <w:tcW w:w="501" w:type="pct"/>
            <w:vMerge w:val="continue"/>
            <w:tcBorders>
              <w:left w:val="single" w:color="000000" w:sz="4" w:space="0"/>
              <w:right w:val="single" w:color="000000" w:sz="4" w:space="0"/>
            </w:tcBorders>
            <w:noWrap w:val="0"/>
            <w:tcMar>
              <w:top w:w="57" w:type="dxa"/>
              <w:left w:w="57" w:type="dxa"/>
              <w:bottom w:w="57" w:type="dxa"/>
              <w:right w:w="57" w:type="dxa"/>
            </w:tcMar>
            <w:vAlign w:val="center"/>
          </w:tcPr>
          <w:p w14:paraId="2751E3C3">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804CB84">
            <w:pPr>
              <w:pStyle w:val="561"/>
              <w:widowControl w:val="0"/>
              <w:spacing w:before="120" w:after="120" w:line="240" w:lineRule="auto"/>
              <w:ind w:left="31" w:right="4"/>
              <w:rPr>
                <w:color w:val="auto"/>
                <w:highlight w:val="none"/>
                <w:lang w:eastAsia="en-US"/>
              </w:rPr>
            </w:pPr>
            <w:r>
              <w:rPr>
                <w:color w:val="auto"/>
                <w:highlight w:val="none"/>
                <w:lang w:eastAsia="en-US"/>
              </w:rPr>
              <w:t>2</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3F8F2F8">
            <w:pPr>
              <w:pStyle w:val="561"/>
              <w:widowControl w:val="0"/>
              <w:spacing w:before="120" w:after="120" w:line="240" w:lineRule="auto"/>
              <w:ind w:left="31" w:right="4"/>
              <w:rPr>
                <w:color w:val="auto"/>
                <w:highlight w:val="none"/>
                <w:lang w:eastAsia="en-US"/>
              </w:rPr>
            </w:pPr>
            <w:r>
              <w:rPr>
                <w:color w:val="auto"/>
                <w:highlight w:val="none"/>
                <w:lang w:eastAsia="en-US"/>
              </w:rPr>
              <w:t>机电深化设计</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F1E3567">
            <w:pPr>
              <w:pStyle w:val="561"/>
              <w:widowControl w:val="0"/>
              <w:spacing w:before="120" w:after="120" w:line="240" w:lineRule="auto"/>
              <w:ind w:left="31" w:right="4"/>
              <w:rPr>
                <w:color w:val="auto"/>
                <w:highlight w:val="none"/>
                <w:lang w:eastAsia="en-US"/>
              </w:rPr>
            </w:pPr>
            <w:r>
              <w:rPr>
                <w:color w:val="auto"/>
                <w:highlight w:val="none"/>
                <w:lang w:eastAsia="en-US"/>
              </w:rPr>
              <w:t>机电分包</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509CD8E">
            <w:pPr>
              <w:pStyle w:val="561"/>
              <w:widowControl w:val="0"/>
              <w:spacing w:before="120" w:after="120" w:line="240" w:lineRule="auto"/>
              <w:ind w:left="31" w:right="4"/>
              <w:rPr>
                <w:color w:val="auto"/>
                <w:highlight w:val="none"/>
                <w:lang w:eastAsia="en-US"/>
              </w:rPr>
            </w:pP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A91163A">
            <w:pPr>
              <w:pStyle w:val="561"/>
              <w:widowControl w:val="0"/>
              <w:spacing w:before="120" w:after="120" w:line="240" w:lineRule="auto"/>
              <w:ind w:left="31" w:right="4"/>
              <w:rPr>
                <w:color w:val="auto"/>
                <w:highlight w:val="none"/>
                <w:lang w:eastAsia="en-US"/>
              </w:rPr>
            </w:pPr>
          </w:p>
        </w:tc>
      </w:tr>
      <w:tr w14:paraId="5C70D006">
        <w:tblPrEx>
          <w:tblCellMar>
            <w:top w:w="0" w:type="dxa"/>
            <w:left w:w="0" w:type="dxa"/>
            <w:bottom w:w="0" w:type="dxa"/>
            <w:right w:w="0" w:type="dxa"/>
          </w:tblCellMar>
        </w:tblPrEx>
        <w:trPr>
          <w:trHeight w:val="454" w:hRule="atLeast"/>
        </w:trPr>
        <w:tc>
          <w:tcPr>
            <w:tcW w:w="501" w:type="pct"/>
            <w:vMerge w:val="continue"/>
            <w:tcBorders>
              <w:left w:val="single" w:color="000000" w:sz="4" w:space="0"/>
              <w:right w:val="single" w:color="000000" w:sz="4" w:space="0"/>
            </w:tcBorders>
            <w:noWrap w:val="0"/>
            <w:tcMar>
              <w:top w:w="57" w:type="dxa"/>
              <w:left w:w="57" w:type="dxa"/>
              <w:bottom w:w="57" w:type="dxa"/>
              <w:right w:w="57" w:type="dxa"/>
            </w:tcMar>
            <w:vAlign w:val="center"/>
          </w:tcPr>
          <w:p w14:paraId="1377C99C">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000AA11">
            <w:pPr>
              <w:pStyle w:val="561"/>
              <w:widowControl w:val="0"/>
              <w:spacing w:before="120" w:after="120" w:line="240" w:lineRule="auto"/>
              <w:ind w:left="31" w:right="4"/>
              <w:rPr>
                <w:color w:val="auto"/>
                <w:highlight w:val="none"/>
                <w:lang w:eastAsia="en-US"/>
              </w:rPr>
            </w:pPr>
            <w:r>
              <w:rPr>
                <w:color w:val="auto"/>
                <w:highlight w:val="none"/>
                <w:lang w:eastAsia="en-US"/>
              </w:rPr>
              <w:t>3</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0CF60BB">
            <w:pPr>
              <w:pStyle w:val="561"/>
              <w:widowControl w:val="0"/>
              <w:spacing w:before="120" w:after="120" w:line="240" w:lineRule="auto"/>
              <w:ind w:left="31" w:right="4"/>
              <w:rPr>
                <w:color w:val="auto"/>
                <w:highlight w:val="none"/>
                <w:lang w:eastAsia="en-US"/>
              </w:rPr>
            </w:pPr>
            <w:r>
              <w:rPr>
                <w:color w:val="auto"/>
                <w:highlight w:val="none"/>
                <w:lang w:eastAsia="en-US"/>
              </w:rPr>
              <w:t>钢构深化设计</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97BB2B3">
            <w:pPr>
              <w:pStyle w:val="561"/>
              <w:widowControl w:val="0"/>
              <w:spacing w:before="120" w:after="120" w:line="240" w:lineRule="auto"/>
              <w:ind w:left="31" w:right="4"/>
              <w:rPr>
                <w:color w:val="auto"/>
                <w:highlight w:val="none"/>
                <w:lang w:eastAsia="en-US"/>
              </w:rPr>
            </w:pPr>
            <w:r>
              <w:rPr>
                <w:color w:val="auto"/>
                <w:highlight w:val="none"/>
                <w:lang w:eastAsia="en-US"/>
              </w:rPr>
              <w:t>钢构分包</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1255247">
            <w:pPr>
              <w:pStyle w:val="561"/>
              <w:widowControl w:val="0"/>
              <w:spacing w:before="120" w:after="120" w:line="240" w:lineRule="auto"/>
              <w:ind w:left="31" w:right="4"/>
              <w:rPr>
                <w:color w:val="auto"/>
                <w:highlight w:val="none"/>
                <w:lang w:eastAsia="en-US"/>
              </w:rPr>
            </w:pP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0CCB020">
            <w:pPr>
              <w:pStyle w:val="561"/>
              <w:widowControl w:val="0"/>
              <w:spacing w:before="120" w:after="120" w:line="240" w:lineRule="auto"/>
              <w:ind w:left="31" w:right="4"/>
              <w:rPr>
                <w:color w:val="auto"/>
                <w:highlight w:val="none"/>
                <w:lang w:eastAsia="en-US"/>
              </w:rPr>
            </w:pPr>
          </w:p>
        </w:tc>
      </w:tr>
      <w:tr w14:paraId="5F621542">
        <w:tblPrEx>
          <w:tblCellMar>
            <w:top w:w="0" w:type="dxa"/>
            <w:left w:w="0" w:type="dxa"/>
            <w:bottom w:w="0" w:type="dxa"/>
            <w:right w:w="0" w:type="dxa"/>
          </w:tblCellMar>
        </w:tblPrEx>
        <w:trPr>
          <w:trHeight w:val="454" w:hRule="atLeast"/>
        </w:trPr>
        <w:tc>
          <w:tcPr>
            <w:tcW w:w="501" w:type="pct"/>
            <w:vMerge w:val="continue"/>
            <w:tcBorders>
              <w:left w:val="single" w:color="000000" w:sz="4" w:space="0"/>
              <w:right w:val="single" w:color="000000" w:sz="4" w:space="0"/>
            </w:tcBorders>
            <w:noWrap w:val="0"/>
            <w:tcMar>
              <w:top w:w="57" w:type="dxa"/>
              <w:left w:w="57" w:type="dxa"/>
              <w:bottom w:w="57" w:type="dxa"/>
              <w:right w:w="57" w:type="dxa"/>
            </w:tcMar>
            <w:vAlign w:val="center"/>
          </w:tcPr>
          <w:p w14:paraId="0043D4CE">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82B9E3A">
            <w:pPr>
              <w:pStyle w:val="561"/>
              <w:widowControl w:val="0"/>
              <w:spacing w:before="120" w:after="120" w:line="240" w:lineRule="auto"/>
              <w:ind w:left="31" w:right="4"/>
              <w:rPr>
                <w:color w:val="auto"/>
                <w:highlight w:val="none"/>
                <w:lang w:eastAsia="en-US"/>
              </w:rPr>
            </w:pPr>
            <w:r>
              <w:rPr>
                <w:color w:val="auto"/>
                <w:highlight w:val="none"/>
                <w:lang w:eastAsia="en-US"/>
              </w:rPr>
              <w:t>4</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B4FEE58">
            <w:pPr>
              <w:pStyle w:val="561"/>
              <w:widowControl w:val="0"/>
              <w:spacing w:before="120" w:after="120" w:line="240" w:lineRule="auto"/>
              <w:ind w:left="31" w:right="4"/>
              <w:rPr>
                <w:color w:val="auto"/>
                <w:highlight w:val="none"/>
                <w:lang w:eastAsia="en-US"/>
              </w:rPr>
            </w:pPr>
            <w:r>
              <w:rPr>
                <w:color w:val="auto"/>
                <w:highlight w:val="none"/>
                <w:lang w:eastAsia="en-US"/>
              </w:rPr>
              <w:t>幕墙深化设计</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B2B4220">
            <w:pPr>
              <w:pStyle w:val="561"/>
              <w:widowControl w:val="0"/>
              <w:spacing w:before="120" w:after="120" w:line="240" w:lineRule="auto"/>
              <w:ind w:left="31" w:right="4"/>
              <w:rPr>
                <w:color w:val="auto"/>
                <w:highlight w:val="none"/>
                <w:lang w:eastAsia="en-US"/>
              </w:rPr>
            </w:pPr>
            <w:r>
              <w:rPr>
                <w:color w:val="auto"/>
                <w:highlight w:val="none"/>
                <w:lang w:eastAsia="en-US"/>
              </w:rPr>
              <w:t>幕墙分包</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1F9D006">
            <w:pPr>
              <w:pStyle w:val="561"/>
              <w:widowControl w:val="0"/>
              <w:spacing w:before="120" w:after="120" w:line="240" w:lineRule="auto"/>
              <w:ind w:left="31" w:right="4"/>
              <w:rPr>
                <w:color w:val="auto"/>
                <w:highlight w:val="none"/>
                <w:lang w:eastAsia="en-US"/>
              </w:rPr>
            </w:pP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F559D8F">
            <w:pPr>
              <w:pStyle w:val="561"/>
              <w:widowControl w:val="0"/>
              <w:spacing w:before="120" w:after="120" w:line="240" w:lineRule="auto"/>
              <w:ind w:left="31" w:right="4"/>
              <w:rPr>
                <w:color w:val="auto"/>
                <w:highlight w:val="none"/>
                <w:lang w:eastAsia="en-US"/>
              </w:rPr>
            </w:pPr>
          </w:p>
        </w:tc>
      </w:tr>
      <w:tr w14:paraId="20F621E0">
        <w:tblPrEx>
          <w:tblCellMar>
            <w:top w:w="0" w:type="dxa"/>
            <w:left w:w="0" w:type="dxa"/>
            <w:bottom w:w="0" w:type="dxa"/>
            <w:right w:w="0" w:type="dxa"/>
          </w:tblCellMar>
        </w:tblPrEx>
        <w:trPr>
          <w:trHeight w:val="454" w:hRule="atLeast"/>
        </w:trPr>
        <w:tc>
          <w:tcPr>
            <w:tcW w:w="501" w:type="pct"/>
            <w:vMerge w:val="continue"/>
            <w:tcBorders>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0958709">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AF344A1">
            <w:pPr>
              <w:pStyle w:val="561"/>
              <w:widowControl w:val="0"/>
              <w:spacing w:before="120" w:after="120" w:line="240" w:lineRule="auto"/>
              <w:ind w:left="31" w:right="4"/>
              <w:rPr>
                <w:color w:val="auto"/>
                <w:highlight w:val="none"/>
                <w:lang w:eastAsia="en-US"/>
              </w:rPr>
            </w:pPr>
            <w:r>
              <w:rPr>
                <w:color w:val="auto"/>
                <w:highlight w:val="none"/>
                <w:lang w:eastAsia="en-US"/>
              </w:rPr>
              <w:t>5</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6B89424">
            <w:pPr>
              <w:pStyle w:val="561"/>
              <w:widowControl w:val="0"/>
              <w:spacing w:before="120" w:after="120" w:line="240" w:lineRule="auto"/>
              <w:ind w:left="31" w:right="4"/>
              <w:rPr>
                <w:color w:val="auto"/>
                <w:highlight w:val="none"/>
                <w:lang w:eastAsia="en-US"/>
              </w:rPr>
            </w:pPr>
            <w:r>
              <w:rPr>
                <w:color w:val="auto"/>
                <w:highlight w:val="none"/>
                <w:lang w:eastAsia="en-US"/>
              </w:rPr>
              <w:t>其他专业分包深化设计</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D928DB6">
            <w:pPr>
              <w:pStyle w:val="561"/>
              <w:widowControl w:val="0"/>
              <w:spacing w:before="120" w:after="120" w:line="240" w:lineRule="auto"/>
              <w:ind w:left="31" w:right="4"/>
              <w:rPr>
                <w:color w:val="auto"/>
                <w:highlight w:val="none"/>
                <w:lang w:eastAsia="en-US"/>
              </w:rPr>
            </w:pPr>
            <w:r>
              <w:rPr>
                <w:color w:val="auto"/>
                <w:highlight w:val="none"/>
                <w:lang w:eastAsia="en-US"/>
              </w:rPr>
              <w:t>其他专业分包</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2ADAE39">
            <w:pPr>
              <w:pStyle w:val="561"/>
              <w:widowControl w:val="0"/>
              <w:spacing w:before="120" w:after="120" w:line="240" w:lineRule="auto"/>
              <w:ind w:left="31" w:right="4"/>
              <w:rPr>
                <w:color w:val="auto"/>
                <w:highlight w:val="none"/>
                <w:lang w:eastAsia="en-US"/>
              </w:rPr>
            </w:pP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2949A2D">
            <w:pPr>
              <w:pStyle w:val="561"/>
              <w:widowControl w:val="0"/>
              <w:spacing w:before="120" w:after="120" w:line="240" w:lineRule="auto"/>
              <w:ind w:left="31" w:right="4"/>
              <w:rPr>
                <w:color w:val="auto"/>
                <w:highlight w:val="none"/>
                <w:lang w:eastAsia="en-US"/>
              </w:rPr>
            </w:pPr>
          </w:p>
        </w:tc>
      </w:tr>
      <w:tr w14:paraId="08874C11">
        <w:tblPrEx>
          <w:tblCellMar>
            <w:top w:w="0" w:type="dxa"/>
            <w:left w:w="0" w:type="dxa"/>
            <w:bottom w:w="0" w:type="dxa"/>
            <w:right w:w="0" w:type="dxa"/>
          </w:tblCellMar>
        </w:tblPrEx>
        <w:trPr>
          <w:trHeight w:val="454" w:hRule="atLeast"/>
        </w:trPr>
        <w:tc>
          <w:tcPr>
            <w:tcW w:w="501" w:type="pct"/>
            <w:vMerge w:val="restar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2A36E704">
            <w:pPr>
              <w:pStyle w:val="561"/>
              <w:widowControl w:val="0"/>
              <w:spacing w:before="120" w:after="120" w:line="240" w:lineRule="auto"/>
              <w:ind w:left="31" w:right="4"/>
              <w:rPr>
                <w:color w:val="auto"/>
                <w:highlight w:val="none"/>
                <w:lang w:eastAsia="en-US"/>
              </w:rPr>
            </w:pPr>
            <w:r>
              <w:rPr>
                <w:color w:val="auto"/>
                <w:highlight w:val="none"/>
                <w:lang w:eastAsia="en-US"/>
              </w:rPr>
              <w:t>BIM</w:t>
            </w:r>
          </w:p>
          <w:p w14:paraId="23C98F03">
            <w:pPr>
              <w:pStyle w:val="561"/>
              <w:widowControl w:val="0"/>
              <w:spacing w:before="120" w:after="120" w:line="240" w:lineRule="auto"/>
              <w:ind w:left="31" w:right="4"/>
              <w:rPr>
                <w:color w:val="auto"/>
                <w:highlight w:val="none"/>
                <w:lang w:eastAsia="en-US"/>
              </w:rPr>
            </w:pPr>
            <w:r>
              <w:rPr>
                <w:color w:val="auto"/>
                <w:highlight w:val="none"/>
                <w:lang w:eastAsia="en-US"/>
              </w:rPr>
              <w:t>施工组织优化</w:t>
            </w: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47D48A1">
            <w:pPr>
              <w:pStyle w:val="561"/>
              <w:widowControl w:val="0"/>
              <w:spacing w:before="120" w:after="120" w:line="240" w:lineRule="auto"/>
              <w:ind w:left="31" w:right="4"/>
              <w:rPr>
                <w:color w:val="auto"/>
                <w:highlight w:val="none"/>
                <w:lang w:eastAsia="en-US"/>
              </w:rPr>
            </w:pPr>
            <w:r>
              <w:rPr>
                <w:color w:val="auto"/>
                <w:highlight w:val="none"/>
                <w:lang w:eastAsia="en-US"/>
              </w:rPr>
              <w:t>1</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4093F19">
            <w:pPr>
              <w:pStyle w:val="561"/>
              <w:widowControl w:val="0"/>
              <w:spacing w:before="120" w:after="120" w:line="240" w:lineRule="auto"/>
              <w:ind w:left="31" w:right="4"/>
              <w:rPr>
                <w:color w:val="auto"/>
                <w:highlight w:val="none"/>
                <w:lang w:eastAsia="en-US"/>
              </w:rPr>
            </w:pPr>
            <w:r>
              <w:rPr>
                <w:color w:val="auto"/>
                <w:highlight w:val="none"/>
                <w:lang w:eastAsia="en-US"/>
              </w:rPr>
              <w:t>施工布置模拟优化</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6B339BC">
            <w:pPr>
              <w:pStyle w:val="561"/>
              <w:widowControl w:val="0"/>
              <w:spacing w:before="120" w:after="120" w:line="240" w:lineRule="auto"/>
              <w:ind w:left="31" w:right="4"/>
              <w:rPr>
                <w:color w:val="auto"/>
                <w:highlight w:val="none"/>
                <w:lang w:eastAsia="en-US"/>
              </w:rPr>
            </w:pPr>
            <w:r>
              <w:rPr>
                <w:color w:val="auto"/>
                <w:highlight w:val="none"/>
                <w:lang w:eastAsia="en-US"/>
              </w:rPr>
              <w:t>总包单位</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A086EE2">
            <w:pPr>
              <w:pStyle w:val="561"/>
              <w:widowControl w:val="0"/>
              <w:spacing w:before="120" w:after="120" w:line="240" w:lineRule="auto"/>
              <w:ind w:left="31" w:right="4"/>
              <w:rPr>
                <w:color w:val="auto"/>
                <w:highlight w:val="none"/>
                <w:lang w:eastAsia="en-US"/>
              </w:rPr>
            </w:pP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CB83307">
            <w:pPr>
              <w:pStyle w:val="561"/>
              <w:widowControl w:val="0"/>
              <w:spacing w:before="120" w:after="120" w:line="240" w:lineRule="auto"/>
              <w:ind w:left="31" w:right="4"/>
              <w:rPr>
                <w:color w:val="auto"/>
                <w:highlight w:val="none"/>
                <w:lang w:eastAsia="en-US"/>
              </w:rPr>
            </w:pPr>
          </w:p>
        </w:tc>
      </w:tr>
      <w:tr w14:paraId="64354AD2">
        <w:tblPrEx>
          <w:tblCellMar>
            <w:top w:w="0" w:type="dxa"/>
            <w:left w:w="0" w:type="dxa"/>
            <w:bottom w:w="0" w:type="dxa"/>
            <w:right w:w="0" w:type="dxa"/>
          </w:tblCellMar>
        </w:tblPrEx>
        <w:trPr>
          <w:trHeight w:val="454" w:hRule="atLeast"/>
        </w:trPr>
        <w:tc>
          <w:tcPr>
            <w:tcW w:w="501" w:type="pct"/>
            <w:vMerge w:val="continue"/>
            <w:tcBorders>
              <w:left w:val="single" w:color="000000" w:sz="4" w:space="0"/>
              <w:right w:val="single" w:color="000000" w:sz="4" w:space="0"/>
            </w:tcBorders>
            <w:noWrap w:val="0"/>
            <w:tcMar>
              <w:top w:w="57" w:type="dxa"/>
              <w:left w:w="57" w:type="dxa"/>
              <w:bottom w:w="57" w:type="dxa"/>
              <w:right w:w="57" w:type="dxa"/>
            </w:tcMar>
            <w:vAlign w:val="center"/>
          </w:tcPr>
          <w:p w14:paraId="0CCD6A07">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F637718">
            <w:pPr>
              <w:pStyle w:val="561"/>
              <w:widowControl w:val="0"/>
              <w:spacing w:before="120" w:after="120" w:line="240" w:lineRule="auto"/>
              <w:ind w:left="31" w:right="4"/>
              <w:rPr>
                <w:color w:val="auto"/>
                <w:highlight w:val="none"/>
                <w:lang w:eastAsia="en-US"/>
              </w:rPr>
            </w:pPr>
            <w:r>
              <w:rPr>
                <w:color w:val="auto"/>
                <w:highlight w:val="none"/>
                <w:lang w:eastAsia="en-US"/>
              </w:rPr>
              <w:t>2</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6591627">
            <w:pPr>
              <w:pStyle w:val="561"/>
              <w:widowControl w:val="0"/>
              <w:spacing w:before="120" w:after="120" w:line="240" w:lineRule="auto"/>
              <w:ind w:left="31" w:right="4"/>
              <w:rPr>
                <w:color w:val="auto"/>
                <w:highlight w:val="none"/>
                <w:lang w:eastAsia="en-US"/>
              </w:rPr>
            </w:pPr>
            <w:r>
              <w:rPr>
                <w:color w:val="auto"/>
                <w:highlight w:val="none"/>
                <w:lang w:eastAsia="en-US"/>
              </w:rPr>
              <w:t>施工进度模拟优化</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63957FB">
            <w:pPr>
              <w:pStyle w:val="561"/>
              <w:widowControl w:val="0"/>
              <w:spacing w:before="120" w:after="120" w:line="240" w:lineRule="auto"/>
              <w:ind w:left="31" w:right="4"/>
              <w:rPr>
                <w:color w:val="auto"/>
                <w:highlight w:val="none"/>
                <w:lang w:eastAsia="en-US"/>
              </w:rPr>
            </w:pPr>
            <w:r>
              <w:rPr>
                <w:color w:val="auto"/>
                <w:highlight w:val="none"/>
                <w:lang w:eastAsia="en-US"/>
              </w:rPr>
              <w:t>各承建单位</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20659F6">
            <w:pPr>
              <w:pStyle w:val="561"/>
              <w:widowControl w:val="0"/>
              <w:spacing w:before="120" w:after="120" w:line="240" w:lineRule="auto"/>
              <w:ind w:left="31" w:right="4"/>
              <w:rPr>
                <w:color w:val="auto"/>
                <w:highlight w:val="none"/>
                <w:lang w:eastAsia="en-US"/>
              </w:rPr>
            </w:pP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F2C8EED">
            <w:pPr>
              <w:pStyle w:val="561"/>
              <w:widowControl w:val="0"/>
              <w:spacing w:before="120" w:after="120" w:line="240" w:lineRule="auto"/>
              <w:ind w:left="31" w:right="4"/>
              <w:rPr>
                <w:color w:val="auto"/>
                <w:highlight w:val="none"/>
                <w:lang w:eastAsia="en-US"/>
              </w:rPr>
            </w:pPr>
          </w:p>
        </w:tc>
      </w:tr>
      <w:tr w14:paraId="4E453F87">
        <w:tblPrEx>
          <w:tblCellMar>
            <w:top w:w="0" w:type="dxa"/>
            <w:left w:w="0" w:type="dxa"/>
            <w:bottom w:w="0" w:type="dxa"/>
            <w:right w:w="0" w:type="dxa"/>
          </w:tblCellMar>
        </w:tblPrEx>
        <w:trPr>
          <w:trHeight w:val="454" w:hRule="atLeast"/>
        </w:trPr>
        <w:tc>
          <w:tcPr>
            <w:tcW w:w="501" w:type="pct"/>
            <w:vMerge w:val="continue"/>
            <w:tcBorders>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140A6A3">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9F793C2">
            <w:pPr>
              <w:pStyle w:val="561"/>
              <w:widowControl w:val="0"/>
              <w:spacing w:before="120" w:after="120" w:line="240" w:lineRule="auto"/>
              <w:ind w:left="31" w:right="4"/>
              <w:rPr>
                <w:color w:val="auto"/>
                <w:highlight w:val="none"/>
                <w:lang w:eastAsia="en-US"/>
              </w:rPr>
            </w:pPr>
            <w:r>
              <w:rPr>
                <w:color w:val="auto"/>
                <w:highlight w:val="none"/>
                <w:lang w:eastAsia="en-US"/>
              </w:rPr>
              <w:t>3</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B2FDA7B">
            <w:pPr>
              <w:pStyle w:val="561"/>
              <w:widowControl w:val="0"/>
              <w:spacing w:before="120" w:after="120" w:line="240" w:lineRule="auto"/>
              <w:ind w:left="31" w:right="4"/>
              <w:rPr>
                <w:color w:val="auto"/>
                <w:highlight w:val="none"/>
                <w:lang w:eastAsia="en-US"/>
              </w:rPr>
            </w:pPr>
            <w:r>
              <w:rPr>
                <w:color w:val="auto"/>
                <w:highlight w:val="none"/>
                <w:lang w:eastAsia="en-US"/>
              </w:rPr>
              <w:t>重难点施工模拟优化</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8DDE4FE">
            <w:pPr>
              <w:pStyle w:val="561"/>
              <w:widowControl w:val="0"/>
              <w:spacing w:before="120" w:after="120" w:line="240" w:lineRule="auto"/>
              <w:ind w:left="31" w:right="4"/>
              <w:rPr>
                <w:color w:val="auto"/>
                <w:highlight w:val="none"/>
                <w:lang w:eastAsia="en-US"/>
              </w:rPr>
            </w:pPr>
            <w:r>
              <w:rPr>
                <w:color w:val="auto"/>
                <w:highlight w:val="none"/>
                <w:lang w:eastAsia="en-US"/>
              </w:rPr>
              <w:t>各承建单位</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29F9ACB">
            <w:pPr>
              <w:pStyle w:val="561"/>
              <w:widowControl w:val="0"/>
              <w:spacing w:before="120" w:after="120" w:line="240" w:lineRule="auto"/>
              <w:ind w:left="31" w:right="4"/>
              <w:rPr>
                <w:color w:val="auto"/>
                <w:highlight w:val="none"/>
                <w:lang w:eastAsia="en-US"/>
              </w:rPr>
            </w:pP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956767F">
            <w:pPr>
              <w:pStyle w:val="561"/>
              <w:widowControl w:val="0"/>
              <w:spacing w:before="120" w:after="120" w:line="240" w:lineRule="auto"/>
              <w:ind w:left="31" w:right="4"/>
              <w:rPr>
                <w:color w:val="auto"/>
                <w:highlight w:val="none"/>
                <w:lang w:eastAsia="en-US"/>
              </w:rPr>
            </w:pPr>
          </w:p>
        </w:tc>
      </w:tr>
      <w:tr w14:paraId="2304DD0A">
        <w:tblPrEx>
          <w:tblCellMar>
            <w:top w:w="0" w:type="dxa"/>
            <w:left w:w="0" w:type="dxa"/>
            <w:bottom w:w="0" w:type="dxa"/>
            <w:right w:w="0" w:type="dxa"/>
          </w:tblCellMar>
        </w:tblPrEx>
        <w:trPr>
          <w:trHeight w:val="454" w:hRule="atLeast"/>
        </w:trPr>
        <w:tc>
          <w:tcPr>
            <w:tcW w:w="501" w:type="pct"/>
            <w:vMerge w:val="restar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6C777612">
            <w:pPr>
              <w:pStyle w:val="561"/>
              <w:widowControl w:val="0"/>
              <w:spacing w:before="120" w:after="120" w:line="240" w:lineRule="auto"/>
              <w:ind w:left="31" w:right="4"/>
              <w:rPr>
                <w:color w:val="auto"/>
                <w:highlight w:val="none"/>
                <w:lang w:eastAsia="en-US"/>
              </w:rPr>
            </w:pPr>
            <w:r>
              <w:rPr>
                <w:color w:val="auto"/>
                <w:highlight w:val="none"/>
                <w:lang w:eastAsia="en-US"/>
              </w:rPr>
              <w:t>BIM</w:t>
            </w:r>
          </w:p>
          <w:p w14:paraId="30DDA2CC">
            <w:pPr>
              <w:pStyle w:val="561"/>
              <w:widowControl w:val="0"/>
              <w:spacing w:before="120" w:after="120" w:line="240" w:lineRule="auto"/>
              <w:ind w:left="31" w:right="4"/>
              <w:rPr>
                <w:color w:val="auto"/>
                <w:highlight w:val="none"/>
                <w:lang w:eastAsia="en-US"/>
              </w:rPr>
            </w:pPr>
            <w:r>
              <w:rPr>
                <w:color w:val="auto"/>
                <w:highlight w:val="none"/>
                <w:lang w:eastAsia="en-US"/>
              </w:rPr>
              <w:t>过程管理</w:t>
            </w: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A24A80C">
            <w:pPr>
              <w:pStyle w:val="561"/>
              <w:widowControl w:val="0"/>
              <w:spacing w:before="120" w:after="120" w:line="240" w:lineRule="auto"/>
              <w:ind w:left="31" w:right="4"/>
              <w:rPr>
                <w:color w:val="auto"/>
                <w:highlight w:val="none"/>
                <w:lang w:eastAsia="en-US"/>
              </w:rPr>
            </w:pPr>
            <w:r>
              <w:rPr>
                <w:color w:val="auto"/>
                <w:highlight w:val="none"/>
                <w:lang w:eastAsia="en-US"/>
              </w:rPr>
              <w:t>1</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AACD3A7">
            <w:pPr>
              <w:pStyle w:val="561"/>
              <w:widowControl w:val="0"/>
              <w:spacing w:before="120" w:after="120" w:line="240" w:lineRule="auto"/>
              <w:ind w:left="31" w:right="4"/>
              <w:rPr>
                <w:color w:val="auto"/>
                <w:highlight w:val="none"/>
                <w:lang w:eastAsia="en-US"/>
              </w:rPr>
            </w:pPr>
            <w:r>
              <w:rPr>
                <w:color w:val="auto"/>
                <w:highlight w:val="none"/>
                <w:lang w:eastAsia="en-US"/>
              </w:rPr>
              <w:t>现场变更管理</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5A028EE">
            <w:pPr>
              <w:pStyle w:val="561"/>
              <w:widowControl w:val="0"/>
              <w:spacing w:before="120" w:after="120" w:line="240" w:lineRule="auto"/>
              <w:ind w:left="31" w:right="4"/>
              <w:rPr>
                <w:color w:val="auto"/>
                <w:highlight w:val="none"/>
                <w:lang w:eastAsia="en-US"/>
              </w:rPr>
            </w:pPr>
            <w:r>
              <w:rPr>
                <w:color w:val="auto"/>
                <w:highlight w:val="none"/>
                <w:lang w:eastAsia="en-US"/>
              </w:rPr>
              <w:t>设计单位与各承建单位</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DF0CAC1">
            <w:pPr>
              <w:pStyle w:val="561"/>
              <w:widowControl w:val="0"/>
              <w:spacing w:before="120" w:after="120" w:line="240" w:lineRule="auto"/>
              <w:ind w:left="31" w:right="4"/>
              <w:rPr>
                <w:color w:val="auto"/>
                <w:highlight w:val="none"/>
                <w:lang w:eastAsia="en-US"/>
              </w:rPr>
            </w:pPr>
            <w:r>
              <w:rPr>
                <w:color w:val="auto"/>
                <w:highlight w:val="none"/>
                <w:lang w:eastAsia="en-US"/>
              </w:rPr>
              <w:t>全阶段实施</w:t>
            </w: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EF14970">
            <w:pPr>
              <w:pStyle w:val="561"/>
              <w:widowControl w:val="0"/>
              <w:spacing w:before="120" w:after="120" w:line="240" w:lineRule="auto"/>
              <w:ind w:left="31" w:right="4"/>
              <w:rPr>
                <w:color w:val="auto"/>
                <w:highlight w:val="none"/>
                <w:lang w:eastAsia="en-US"/>
              </w:rPr>
            </w:pPr>
          </w:p>
        </w:tc>
      </w:tr>
      <w:tr w14:paraId="4F071160">
        <w:tblPrEx>
          <w:tblCellMar>
            <w:top w:w="0" w:type="dxa"/>
            <w:left w:w="0" w:type="dxa"/>
            <w:bottom w:w="0" w:type="dxa"/>
            <w:right w:w="0" w:type="dxa"/>
          </w:tblCellMar>
        </w:tblPrEx>
        <w:trPr>
          <w:trHeight w:val="454" w:hRule="atLeast"/>
        </w:trPr>
        <w:tc>
          <w:tcPr>
            <w:tcW w:w="501" w:type="pct"/>
            <w:vMerge w:val="continue"/>
            <w:tcBorders>
              <w:left w:val="single" w:color="000000" w:sz="4" w:space="0"/>
              <w:right w:val="single" w:color="000000" w:sz="4" w:space="0"/>
            </w:tcBorders>
            <w:noWrap w:val="0"/>
            <w:tcMar>
              <w:top w:w="57" w:type="dxa"/>
              <w:left w:w="57" w:type="dxa"/>
              <w:bottom w:w="57" w:type="dxa"/>
              <w:right w:w="57" w:type="dxa"/>
            </w:tcMar>
            <w:vAlign w:val="center"/>
          </w:tcPr>
          <w:p w14:paraId="426529F5">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35C5B9D">
            <w:pPr>
              <w:pStyle w:val="561"/>
              <w:widowControl w:val="0"/>
              <w:spacing w:before="120" w:after="120" w:line="240" w:lineRule="auto"/>
              <w:ind w:left="31" w:right="4"/>
              <w:rPr>
                <w:color w:val="auto"/>
                <w:highlight w:val="none"/>
                <w:lang w:eastAsia="en-US"/>
              </w:rPr>
            </w:pPr>
            <w:r>
              <w:rPr>
                <w:color w:val="auto"/>
                <w:highlight w:val="none"/>
                <w:lang w:eastAsia="en-US"/>
              </w:rPr>
              <w:t>2</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F9855CE">
            <w:pPr>
              <w:pStyle w:val="561"/>
              <w:widowControl w:val="0"/>
              <w:spacing w:before="120" w:after="120" w:line="240" w:lineRule="auto"/>
              <w:ind w:left="31" w:right="4"/>
              <w:rPr>
                <w:color w:val="auto"/>
                <w:highlight w:val="none"/>
                <w:lang w:eastAsia="en-US"/>
              </w:rPr>
            </w:pPr>
            <w:r>
              <w:rPr>
                <w:color w:val="auto"/>
                <w:highlight w:val="none"/>
                <w:lang w:eastAsia="en-US"/>
              </w:rPr>
              <w:t>质量管理</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331A457">
            <w:pPr>
              <w:pStyle w:val="561"/>
              <w:widowControl w:val="0"/>
              <w:spacing w:before="120" w:after="120" w:line="240" w:lineRule="auto"/>
              <w:ind w:left="31" w:right="4"/>
              <w:rPr>
                <w:color w:val="auto"/>
                <w:highlight w:val="none"/>
                <w:lang w:eastAsia="en-US"/>
              </w:rPr>
            </w:pPr>
            <w:r>
              <w:rPr>
                <w:color w:val="auto"/>
                <w:highlight w:val="none"/>
                <w:lang w:eastAsia="en-US"/>
              </w:rPr>
              <w:t>各承建单位</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286107D">
            <w:pPr>
              <w:pStyle w:val="561"/>
              <w:widowControl w:val="0"/>
              <w:spacing w:before="120" w:after="120" w:line="240" w:lineRule="auto"/>
              <w:ind w:left="31" w:right="4"/>
              <w:rPr>
                <w:color w:val="auto"/>
                <w:highlight w:val="none"/>
                <w:lang w:eastAsia="en-US"/>
              </w:rPr>
            </w:pPr>
            <w:r>
              <w:rPr>
                <w:color w:val="auto"/>
                <w:highlight w:val="none"/>
                <w:lang w:eastAsia="en-US"/>
              </w:rPr>
              <w:t>全阶段实施</w:t>
            </w: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8A41C2B">
            <w:pPr>
              <w:pStyle w:val="561"/>
              <w:widowControl w:val="0"/>
              <w:spacing w:before="120" w:after="120" w:line="240" w:lineRule="auto"/>
              <w:ind w:left="31" w:right="4"/>
              <w:rPr>
                <w:color w:val="auto"/>
                <w:highlight w:val="none"/>
                <w:lang w:eastAsia="en-US"/>
              </w:rPr>
            </w:pPr>
          </w:p>
        </w:tc>
      </w:tr>
      <w:tr w14:paraId="4D8EFD4D">
        <w:tblPrEx>
          <w:tblCellMar>
            <w:top w:w="0" w:type="dxa"/>
            <w:left w:w="0" w:type="dxa"/>
            <w:bottom w:w="0" w:type="dxa"/>
            <w:right w:w="0" w:type="dxa"/>
          </w:tblCellMar>
        </w:tblPrEx>
        <w:trPr>
          <w:trHeight w:val="454" w:hRule="atLeast"/>
        </w:trPr>
        <w:tc>
          <w:tcPr>
            <w:tcW w:w="501" w:type="pct"/>
            <w:vMerge w:val="continue"/>
            <w:tcBorders>
              <w:left w:val="single" w:color="000000" w:sz="4" w:space="0"/>
              <w:right w:val="single" w:color="000000" w:sz="4" w:space="0"/>
            </w:tcBorders>
            <w:noWrap w:val="0"/>
            <w:tcMar>
              <w:top w:w="57" w:type="dxa"/>
              <w:left w:w="57" w:type="dxa"/>
              <w:bottom w:w="57" w:type="dxa"/>
              <w:right w:w="57" w:type="dxa"/>
            </w:tcMar>
            <w:vAlign w:val="center"/>
          </w:tcPr>
          <w:p w14:paraId="368A7FFA">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1BCCD25">
            <w:pPr>
              <w:pStyle w:val="561"/>
              <w:widowControl w:val="0"/>
              <w:spacing w:before="120" w:after="120" w:line="240" w:lineRule="auto"/>
              <w:ind w:left="31" w:right="4"/>
              <w:rPr>
                <w:color w:val="auto"/>
                <w:highlight w:val="none"/>
                <w:lang w:eastAsia="en-US"/>
              </w:rPr>
            </w:pPr>
            <w:r>
              <w:rPr>
                <w:color w:val="auto"/>
                <w:highlight w:val="none"/>
                <w:lang w:eastAsia="en-US"/>
              </w:rPr>
              <w:t>3</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BBE31DB">
            <w:pPr>
              <w:pStyle w:val="561"/>
              <w:widowControl w:val="0"/>
              <w:spacing w:before="120" w:after="120" w:line="240" w:lineRule="auto"/>
              <w:ind w:left="31" w:right="4"/>
              <w:rPr>
                <w:color w:val="auto"/>
                <w:highlight w:val="none"/>
                <w:lang w:eastAsia="en-US"/>
              </w:rPr>
            </w:pPr>
            <w:r>
              <w:rPr>
                <w:color w:val="auto"/>
                <w:highlight w:val="none"/>
                <w:lang w:eastAsia="en-US"/>
              </w:rPr>
              <w:t>过程管理</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16E4DF5">
            <w:pPr>
              <w:pStyle w:val="561"/>
              <w:widowControl w:val="0"/>
              <w:spacing w:before="120" w:after="120" w:line="240" w:lineRule="auto"/>
              <w:ind w:left="31" w:right="4"/>
              <w:rPr>
                <w:color w:val="auto"/>
                <w:highlight w:val="none"/>
                <w:lang w:eastAsia="en-US"/>
              </w:rPr>
            </w:pPr>
            <w:r>
              <w:rPr>
                <w:color w:val="auto"/>
                <w:highlight w:val="none"/>
                <w:lang w:eastAsia="en-US"/>
              </w:rPr>
              <w:t>各承建单位</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07020BC">
            <w:pPr>
              <w:pStyle w:val="561"/>
              <w:widowControl w:val="0"/>
              <w:spacing w:before="120" w:after="120" w:line="240" w:lineRule="auto"/>
              <w:ind w:left="31" w:right="4"/>
              <w:rPr>
                <w:color w:val="auto"/>
                <w:highlight w:val="none"/>
                <w:lang w:eastAsia="en-US"/>
              </w:rPr>
            </w:pPr>
            <w:r>
              <w:rPr>
                <w:color w:val="auto"/>
                <w:highlight w:val="none"/>
                <w:lang w:eastAsia="en-US"/>
              </w:rPr>
              <w:t>全阶段实施</w:t>
            </w: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9380C68">
            <w:pPr>
              <w:pStyle w:val="561"/>
              <w:widowControl w:val="0"/>
              <w:spacing w:before="120" w:after="120" w:line="240" w:lineRule="auto"/>
              <w:ind w:left="31" w:right="4"/>
              <w:rPr>
                <w:color w:val="auto"/>
                <w:highlight w:val="none"/>
                <w:lang w:eastAsia="en-US"/>
              </w:rPr>
            </w:pPr>
          </w:p>
        </w:tc>
      </w:tr>
      <w:tr w14:paraId="2AB21E05">
        <w:tblPrEx>
          <w:tblCellMar>
            <w:top w:w="0" w:type="dxa"/>
            <w:left w:w="0" w:type="dxa"/>
            <w:bottom w:w="0" w:type="dxa"/>
            <w:right w:w="0" w:type="dxa"/>
          </w:tblCellMar>
        </w:tblPrEx>
        <w:trPr>
          <w:trHeight w:val="454" w:hRule="atLeast"/>
        </w:trPr>
        <w:tc>
          <w:tcPr>
            <w:tcW w:w="501" w:type="pct"/>
            <w:vMerge w:val="continue"/>
            <w:tcBorders>
              <w:left w:val="single" w:color="000000" w:sz="4" w:space="0"/>
              <w:right w:val="single" w:color="000000" w:sz="4" w:space="0"/>
            </w:tcBorders>
            <w:noWrap w:val="0"/>
            <w:tcMar>
              <w:top w:w="57" w:type="dxa"/>
              <w:left w:w="57" w:type="dxa"/>
              <w:bottom w:w="57" w:type="dxa"/>
              <w:right w:w="57" w:type="dxa"/>
            </w:tcMar>
            <w:vAlign w:val="center"/>
          </w:tcPr>
          <w:p w14:paraId="48BAD6D1">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1CFFB2B">
            <w:pPr>
              <w:pStyle w:val="561"/>
              <w:widowControl w:val="0"/>
              <w:spacing w:before="120" w:after="120" w:line="240" w:lineRule="auto"/>
              <w:ind w:left="31" w:right="4"/>
              <w:rPr>
                <w:color w:val="auto"/>
                <w:highlight w:val="none"/>
                <w:lang w:eastAsia="en-US"/>
              </w:rPr>
            </w:pPr>
            <w:r>
              <w:rPr>
                <w:color w:val="auto"/>
                <w:highlight w:val="none"/>
                <w:lang w:eastAsia="en-US"/>
              </w:rPr>
              <w:t>4</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E6FAA10">
            <w:pPr>
              <w:pStyle w:val="561"/>
              <w:widowControl w:val="0"/>
              <w:spacing w:before="120" w:after="120" w:line="240" w:lineRule="auto"/>
              <w:ind w:left="31" w:right="4"/>
              <w:rPr>
                <w:color w:val="auto"/>
                <w:highlight w:val="none"/>
                <w:lang w:eastAsia="en-US"/>
              </w:rPr>
            </w:pPr>
            <w:r>
              <w:rPr>
                <w:color w:val="auto"/>
                <w:highlight w:val="none"/>
                <w:lang w:eastAsia="en-US"/>
              </w:rPr>
              <w:t>安全管理</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346398C">
            <w:pPr>
              <w:pStyle w:val="561"/>
              <w:widowControl w:val="0"/>
              <w:spacing w:before="120" w:after="120" w:line="240" w:lineRule="auto"/>
              <w:ind w:left="31" w:right="4"/>
              <w:rPr>
                <w:color w:val="auto"/>
                <w:highlight w:val="none"/>
                <w:lang w:eastAsia="en-US"/>
              </w:rPr>
            </w:pPr>
            <w:r>
              <w:rPr>
                <w:color w:val="auto"/>
                <w:highlight w:val="none"/>
                <w:lang w:eastAsia="en-US"/>
              </w:rPr>
              <w:t>各承建单位</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530A1D4">
            <w:pPr>
              <w:pStyle w:val="561"/>
              <w:widowControl w:val="0"/>
              <w:spacing w:before="120" w:after="120" w:line="240" w:lineRule="auto"/>
              <w:ind w:left="31" w:right="4"/>
              <w:rPr>
                <w:color w:val="auto"/>
                <w:highlight w:val="none"/>
                <w:lang w:eastAsia="en-US"/>
              </w:rPr>
            </w:pPr>
            <w:r>
              <w:rPr>
                <w:color w:val="auto"/>
                <w:highlight w:val="none"/>
                <w:lang w:eastAsia="en-US"/>
              </w:rPr>
              <w:t>全阶段实施</w:t>
            </w: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07F583F">
            <w:pPr>
              <w:pStyle w:val="561"/>
              <w:widowControl w:val="0"/>
              <w:spacing w:before="120" w:after="120" w:line="240" w:lineRule="auto"/>
              <w:ind w:left="31" w:right="4"/>
              <w:rPr>
                <w:color w:val="auto"/>
                <w:highlight w:val="none"/>
                <w:lang w:eastAsia="en-US"/>
              </w:rPr>
            </w:pPr>
          </w:p>
        </w:tc>
      </w:tr>
      <w:tr w14:paraId="085F2678">
        <w:tblPrEx>
          <w:tblCellMar>
            <w:top w:w="0" w:type="dxa"/>
            <w:left w:w="0" w:type="dxa"/>
            <w:bottom w:w="0" w:type="dxa"/>
            <w:right w:w="0" w:type="dxa"/>
          </w:tblCellMar>
        </w:tblPrEx>
        <w:trPr>
          <w:trHeight w:val="454" w:hRule="atLeast"/>
        </w:trPr>
        <w:tc>
          <w:tcPr>
            <w:tcW w:w="501" w:type="pct"/>
            <w:vMerge w:val="continue"/>
            <w:tcBorders>
              <w:left w:val="single" w:color="000000" w:sz="4" w:space="0"/>
              <w:right w:val="single" w:color="000000" w:sz="4" w:space="0"/>
            </w:tcBorders>
            <w:noWrap w:val="0"/>
            <w:tcMar>
              <w:top w:w="57" w:type="dxa"/>
              <w:left w:w="57" w:type="dxa"/>
              <w:bottom w:w="57" w:type="dxa"/>
              <w:right w:w="57" w:type="dxa"/>
            </w:tcMar>
            <w:vAlign w:val="center"/>
          </w:tcPr>
          <w:p w14:paraId="37B9E098">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EA11512">
            <w:pPr>
              <w:pStyle w:val="561"/>
              <w:widowControl w:val="0"/>
              <w:spacing w:before="120" w:after="120" w:line="240" w:lineRule="auto"/>
              <w:ind w:left="31" w:right="4"/>
              <w:rPr>
                <w:color w:val="auto"/>
                <w:highlight w:val="none"/>
                <w:lang w:eastAsia="en-US"/>
              </w:rPr>
            </w:pPr>
            <w:r>
              <w:rPr>
                <w:color w:val="auto"/>
                <w:highlight w:val="none"/>
                <w:lang w:eastAsia="en-US"/>
              </w:rPr>
              <w:t>5</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4591912">
            <w:pPr>
              <w:pStyle w:val="561"/>
              <w:widowControl w:val="0"/>
              <w:spacing w:before="120" w:after="120" w:line="240" w:lineRule="auto"/>
              <w:ind w:left="31" w:right="4"/>
              <w:rPr>
                <w:color w:val="auto"/>
                <w:highlight w:val="none"/>
                <w:lang w:eastAsia="en-US"/>
              </w:rPr>
            </w:pPr>
            <w:r>
              <w:rPr>
                <w:color w:val="auto"/>
                <w:highlight w:val="none"/>
                <w:lang w:eastAsia="en-US"/>
              </w:rPr>
              <w:t>信息管理</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6B0534B">
            <w:pPr>
              <w:pStyle w:val="561"/>
              <w:widowControl w:val="0"/>
              <w:spacing w:before="120" w:after="120" w:line="240" w:lineRule="auto"/>
              <w:ind w:left="31" w:right="4"/>
              <w:rPr>
                <w:color w:val="auto"/>
                <w:highlight w:val="none"/>
                <w:lang w:eastAsia="en-US"/>
              </w:rPr>
            </w:pPr>
            <w:r>
              <w:rPr>
                <w:color w:val="auto"/>
                <w:highlight w:val="none"/>
                <w:lang w:eastAsia="en-US"/>
              </w:rPr>
              <w:t>各承建单位</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0CFCA85">
            <w:pPr>
              <w:pStyle w:val="561"/>
              <w:widowControl w:val="0"/>
              <w:spacing w:before="120" w:after="120" w:line="240" w:lineRule="auto"/>
              <w:ind w:left="31" w:right="4"/>
              <w:rPr>
                <w:color w:val="auto"/>
                <w:highlight w:val="none"/>
                <w:lang w:eastAsia="en-US"/>
              </w:rPr>
            </w:pPr>
            <w:r>
              <w:rPr>
                <w:color w:val="auto"/>
                <w:highlight w:val="none"/>
                <w:lang w:eastAsia="en-US"/>
              </w:rPr>
              <w:t>全阶段实施</w:t>
            </w: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9794993">
            <w:pPr>
              <w:pStyle w:val="561"/>
              <w:widowControl w:val="0"/>
              <w:spacing w:before="120" w:after="120" w:line="240" w:lineRule="auto"/>
              <w:ind w:left="31" w:right="4"/>
              <w:rPr>
                <w:color w:val="auto"/>
                <w:highlight w:val="none"/>
                <w:lang w:eastAsia="en-US"/>
              </w:rPr>
            </w:pPr>
          </w:p>
        </w:tc>
      </w:tr>
      <w:tr w14:paraId="19017EC9">
        <w:tblPrEx>
          <w:tblCellMar>
            <w:top w:w="0" w:type="dxa"/>
            <w:left w:w="0" w:type="dxa"/>
            <w:bottom w:w="0" w:type="dxa"/>
            <w:right w:w="0" w:type="dxa"/>
          </w:tblCellMar>
        </w:tblPrEx>
        <w:trPr>
          <w:trHeight w:val="454" w:hRule="atLeast"/>
        </w:trPr>
        <w:tc>
          <w:tcPr>
            <w:tcW w:w="501" w:type="pct"/>
            <w:vMerge w:val="continue"/>
            <w:tcBorders>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1833B03">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5A0FDAF2">
            <w:pPr>
              <w:pStyle w:val="561"/>
              <w:widowControl w:val="0"/>
              <w:spacing w:before="120" w:after="120" w:line="240" w:lineRule="auto"/>
              <w:ind w:left="31" w:right="4"/>
              <w:rPr>
                <w:color w:val="auto"/>
                <w:highlight w:val="none"/>
                <w:lang w:eastAsia="en-US"/>
              </w:rPr>
            </w:pPr>
            <w:r>
              <w:rPr>
                <w:color w:val="auto"/>
                <w:highlight w:val="none"/>
                <w:lang w:eastAsia="en-US"/>
              </w:rPr>
              <w:t>6</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0560DC3B">
            <w:pPr>
              <w:pStyle w:val="561"/>
              <w:widowControl w:val="0"/>
              <w:spacing w:before="120" w:after="120" w:line="240" w:lineRule="auto"/>
              <w:ind w:left="31" w:right="4"/>
              <w:rPr>
                <w:color w:val="auto"/>
                <w:highlight w:val="none"/>
                <w:lang w:eastAsia="en-US"/>
              </w:rPr>
            </w:pPr>
            <w:r>
              <w:rPr>
                <w:color w:val="auto"/>
                <w:highlight w:val="none"/>
                <w:lang w:eastAsia="en-US"/>
              </w:rPr>
              <w:t>造价管理</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1D70DF16">
            <w:pPr>
              <w:pStyle w:val="561"/>
              <w:widowControl w:val="0"/>
              <w:spacing w:before="120" w:after="120" w:line="240" w:lineRule="auto"/>
              <w:ind w:left="31" w:right="4"/>
              <w:rPr>
                <w:color w:val="auto"/>
                <w:highlight w:val="none"/>
                <w:lang w:eastAsia="en-US"/>
              </w:rPr>
            </w:pPr>
            <w:r>
              <w:rPr>
                <w:color w:val="auto"/>
                <w:highlight w:val="none"/>
                <w:lang w:eastAsia="en-US"/>
              </w:rPr>
              <w:t>各承建单位与造价咨询单位</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4FF389E7">
            <w:pPr>
              <w:pStyle w:val="561"/>
              <w:widowControl w:val="0"/>
              <w:spacing w:before="120" w:after="120" w:line="240" w:lineRule="auto"/>
              <w:ind w:left="31" w:right="4"/>
              <w:rPr>
                <w:color w:val="auto"/>
                <w:highlight w:val="none"/>
                <w:lang w:eastAsia="en-US"/>
              </w:rPr>
            </w:pPr>
            <w:r>
              <w:rPr>
                <w:color w:val="auto"/>
                <w:highlight w:val="none"/>
                <w:lang w:eastAsia="en-US"/>
              </w:rPr>
              <w:t>根据节点实施</w:t>
            </w: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20D1D951">
            <w:pPr>
              <w:pStyle w:val="561"/>
              <w:widowControl w:val="0"/>
              <w:spacing w:before="120" w:after="120" w:line="240" w:lineRule="auto"/>
              <w:ind w:left="31" w:right="4"/>
              <w:rPr>
                <w:color w:val="auto"/>
                <w:highlight w:val="none"/>
                <w:lang w:eastAsia="en-US"/>
              </w:rPr>
            </w:pPr>
          </w:p>
        </w:tc>
      </w:tr>
      <w:tr w14:paraId="019620D2">
        <w:tblPrEx>
          <w:tblCellMar>
            <w:top w:w="0" w:type="dxa"/>
            <w:left w:w="0" w:type="dxa"/>
            <w:bottom w:w="0" w:type="dxa"/>
            <w:right w:w="0" w:type="dxa"/>
          </w:tblCellMar>
        </w:tblPrEx>
        <w:trPr>
          <w:trHeight w:val="454" w:hRule="atLeast"/>
        </w:trPr>
        <w:tc>
          <w:tcPr>
            <w:tcW w:w="501" w:type="pct"/>
            <w:vMerge w:val="restar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37470ACC">
            <w:pPr>
              <w:pStyle w:val="561"/>
              <w:widowControl w:val="0"/>
              <w:spacing w:before="120" w:after="120" w:line="240" w:lineRule="auto"/>
              <w:ind w:left="31" w:right="4"/>
              <w:rPr>
                <w:color w:val="auto"/>
                <w:highlight w:val="none"/>
                <w:lang w:eastAsia="en-US"/>
              </w:rPr>
            </w:pPr>
            <w:r>
              <w:rPr>
                <w:color w:val="auto"/>
                <w:highlight w:val="none"/>
                <w:lang w:eastAsia="en-US"/>
              </w:rPr>
              <w:t>竣工</w:t>
            </w:r>
          </w:p>
          <w:p w14:paraId="20575A0D">
            <w:pPr>
              <w:pStyle w:val="561"/>
              <w:widowControl w:val="0"/>
              <w:spacing w:before="120" w:after="120" w:line="240" w:lineRule="auto"/>
              <w:ind w:left="31" w:right="4"/>
              <w:rPr>
                <w:color w:val="auto"/>
                <w:highlight w:val="none"/>
                <w:lang w:eastAsia="en-US"/>
              </w:rPr>
            </w:pPr>
            <w:r>
              <w:rPr>
                <w:color w:val="auto"/>
                <w:highlight w:val="none"/>
                <w:lang w:eastAsia="en-US"/>
              </w:rPr>
              <w:t>模型管理</w:t>
            </w:r>
          </w:p>
        </w:tc>
        <w:tc>
          <w:tcPr>
            <w:tcW w:w="397"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247ABA7D">
            <w:pPr>
              <w:pStyle w:val="561"/>
              <w:widowControl w:val="0"/>
              <w:spacing w:before="120" w:after="120" w:line="240" w:lineRule="auto"/>
              <w:ind w:left="31" w:right="4"/>
              <w:rPr>
                <w:color w:val="auto"/>
                <w:highlight w:val="none"/>
                <w:lang w:eastAsia="en-US"/>
              </w:rPr>
            </w:pPr>
            <w:r>
              <w:rPr>
                <w:color w:val="auto"/>
                <w:highlight w:val="none"/>
                <w:lang w:eastAsia="en-US"/>
              </w:rPr>
              <w:t>1</w:t>
            </w:r>
          </w:p>
        </w:tc>
        <w:tc>
          <w:tcPr>
            <w:tcW w:w="1386"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12BFF987">
            <w:pPr>
              <w:pStyle w:val="561"/>
              <w:widowControl w:val="0"/>
              <w:spacing w:before="120" w:after="120" w:line="240" w:lineRule="auto"/>
              <w:ind w:left="31" w:right="4"/>
              <w:rPr>
                <w:color w:val="auto"/>
                <w:highlight w:val="none"/>
                <w:lang w:eastAsia="en-US"/>
              </w:rPr>
            </w:pPr>
            <w:r>
              <w:rPr>
                <w:color w:val="auto"/>
                <w:highlight w:val="none"/>
                <w:lang w:eastAsia="en-US"/>
              </w:rPr>
              <w:t>竣工模型验收</w:t>
            </w:r>
          </w:p>
        </w:tc>
        <w:tc>
          <w:tcPr>
            <w:tcW w:w="1151"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234B8A0D">
            <w:pPr>
              <w:pStyle w:val="561"/>
              <w:widowControl w:val="0"/>
              <w:spacing w:before="120" w:after="120" w:line="240" w:lineRule="auto"/>
              <w:ind w:left="31" w:right="4"/>
              <w:rPr>
                <w:color w:val="auto"/>
                <w:highlight w:val="none"/>
                <w:lang w:eastAsia="en-US"/>
              </w:rPr>
            </w:pPr>
            <w:r>
              <w:rPr>
                <w:color w:val="auto"/>
                <w:highlight w:val="none"/>
                <w:lang w:eastAsia="en-US"/>
              </w:rPr>
              <w:t>BIM总协调与各承建</w:t>
            </w:r>
          </w:p>
          <w:p w14:paraId="5C4335B1">
            <w:pPr>
              <w:pStyle w:val="561"/>
              <w:widowControl w:val="0"/>
              <w:spacing w:before="120" w:after="120" w:line="240" w:lineRule="auto"/>
              <w:ind w:left="31" w:right="4"/>
              <w:rPr>
                <w:color w:val="auto"/>
                <w:highlight w:val="none"/>
                <w:lang w:eastAsia="en-US"/>
              </w:rPr>
            </w:pPr>
            <w:r>
              <w:rPr>
                <w:color w:val="auto"/>
                <w:highlight w:val="none"/>
                <w:lang w:eastAsia="en-US"/>
              </w:rPr>
              <w:t>单位</w:t>
            </w:r>
          </w:p>
        </w:tc>
        <w:tc>
          <w:tcPr>
            <w:tcW w:w="718"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21C86135">
            <w:pPr>
              <w:pStyle w:val="561"/>
              <w:widowControl w:val="0"/>
              <w:spacing w:before="120" w:after="120" w:line="240" w:lineRule="auto"/>
              <w:ind w:left="31" w:right="4"/>
              <w:rPr>
                <w:color w:val="auto"/>
                <w:highlight w:val="none"/>
                <w:lang w:eastAsia="en-US"/>
              </w:rPr>
            </w:pPr>
          </w:p>
        </w:tc>
        <w:tc>
          <w:tcPr>
            <w:tcW w:w="845" w:type="pct"/>
            <w:tcBorders>
              <w:top w:val="single" w:color="000000" w:sz="4" w:space="0"/>
              <w:left w:val="single" w:color="000000" w:sz="4" w:space="0"/>
              <w:right w:val="single" w:color="000000" w:sz="4" w:space="0"/>
            </w:tcBorders>
            <w:noWrap w:val="0"/>
            <w:tcMar>
              <w:top w:w="57" w:type="dxa"/>
              <w:left w:w="57" w:type="dxa"/>
              <w:bottom w:w="57" w:type="dxa"/>
              <w:right w:w="57" w:type="dxa"/>
            </w:tcMar>
            <w:vAlign w:val="center"/>
          </w:tcPr>
          <w:p w14:paraId="44229C1D">
            <w:pPr>
              <w:pStyle w:val="561"/>
              <w:widowControl w:val="0"/>
              <w:spacing w:before="120" w:after="120" w:line="240" w:lineRule="auto"/>
              <w:ind w:left="31" w:right="4"/>
              <w:rPr>
                <w:color w:val="auto"/>
                <w:highlight w:val="none"/>
                <w:lang w:eastAsia="en-US"/>
              </w:rPr>
            </w:pPr>
          </w:p>
        </w:tc>
      </w:tr>
      <w:tr w14:paraId="479B5A91">
        <w:tblPrEx>
          <w:tblCellMar>
            <w:top w:w="0" w:type="dxa"/>
            <w:left w:w="0" w:type="dxa"/>
            <w:bottom w:w="0" w:type="dxa"/>
            <w:right w:w="0" w:type="dxa"/>
          </w:tblCellMar>
        </w:tblPrEx>
        <w:trPr>
          <w:trHeight w:val="454" w:hRule="atLeast"/>
        </w:trPr>
        <w:tc>
          <w:tcPr>
            <w:tcW w:w="501" w:type="pct"/>
            <w:vMerge w:val="continue"/>
            <w:tcBorders>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0CFD889">
            <w:pPr>
              <w:pStyle w:val="561"/>
              <w:widowControl w:val="0"/>
              <w:spacing w:before="120" w:after="120" w:line="240" w:lineRule="auto"/>
              <w:ind w:left="31" w:right="4"/>
              <w:rPr>
                <w:color w:val="auto"/>
                <w:highlight w:val="none"/>
                <w:lang w:eastAsia="en-US"/>
              </w:rPr>
            </w:pPr>
          </w:p>
        </w:tc>
        <w:tc>
          <w:tcPr>
            <w:tcW w:w="397"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5A37823">
            <w:pPr>
              <w:pStyle w:val="561"/>
              <w:widowControl w:val="0"/>
              <w:spacing w:before="120" w:after="120" w:line="240" w:lineRule="auto"/>
              <w:ind w:left="31" w:right="4"/>
              <w:rPr>
                <w:color w:val="auto"/>
                <w:highlight w:val="none"/>
                <w:lang w:eastAsia="en-US"/>
              </w:rPr>
            </w:pPr>
            <w:r>
              <w:rPr>
                <w:color w:val="auto"/>
                <w:highlight w:val="none"/>
                <w:lang w:eastAsia="en-US"/>
              </w:rPr>
              <w:t>2</w:t>
            </w:r>
          </w:p>
        </w:tc>
        <w:tc>
          <w:tcPr>
            <w:tcW w:w="1386"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77CFE140">
            <w:pPr>
              <w:pStyle w:val="561"/>
              <w:widowControl w:val="0"/>
              <w:spacing w:before="120" w:after="120" w:line="240" w:lineRule="auto"/>
              <w:ind w:left="31" w:right="4"/>
              <w:rPr>
                <w:color w:val="auto"/>
                <w:highlight w:val="none"/>
                <w:lang w:eastAsia="en-US"/>
              </w:rPr>
            </w:pPr>
            <w:r>
              <w:rPr>
                <w:color w:val="auto"/>
                <w:highlight w:val="none"/>
                <w:lang w:eastAsia="en-US"/>
              </w:rPr>
              <w:t>竣工模型成果交付</w:t>
            </w:r>
          </w:p>
        </w:tc>
        <w:tc>
          <w:tcPr>
            <w:tcW w:w="1151"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64000A25">
            <w:pPr>
              <w:pStyle w:val="561"/>
              <w:widowControl w:val="0"/>
              <w:spacing w:before="120" w:after="120" w:line="240" w:lineRule="auto"/>
              <w:ind w:left="31" w:right="4"/>
              <w:rPr>
                <w:color w:val="auto"/>
                <w:highlight w:val="none"/>
                <w:lang w:eastAsia="en-US"/>
              </w:rPr>
            </w:pPr>
            <w:r>
              <w:rPr>
                <w:color w:val="auto"/>
                <w:highlight w:val="none"/>
                <w:lang w:eastAsia="en-US"/>
              </w:rPr>
              <w:t>BIM总协调与代建局</w:t>
            </w:r>
            <w:r>
              <w:rPr>
                <w:rFonts w:hint="eastAsia"/>
                <w:color w:val="auto"/>
                <w:highlight w:val="none"/>
                <w:lang w:eastAsia="en-US"/>
              </w:rPr>
              <w:t>项目建设管理部</w:t>
            </w:r>
          </w:p>
        </w:tc>
        <w:tc>
          <w:tcPr>
            <w:tcW w:w="718"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655CAA9">
            <w:pPr>
              <w:pStyle w:val="561"/>
              <w:widowControl w:val="0"/>
              <w:spacing w:before="120" w:after="120" w:line="240" w:lineRule="auto"/>
              <w:ind w:left="31" w:right="4"/>
              <w:rPr>
                <w:color w:val="auto"/>
                <w:highlight w:val="none"/>
                <w:lang w:eastAsia="en-US"/>
              </w:rPr>
            </w:pPr>
          </w:p>
        </w:tc>
        <w:tc>
          <w:tcPr>
            <w:tcW w:w="845" w:type="pct"/>
            <w:tcBorders>
              <w:top w:val="single" w:color="000000" w:sz="4" w:space="0"/>
              <w:left w:val="single" w:color="000000" w:sz="4" w:space="0"/>
              <w:bottom w:val="single" w:color="000000" w:sz="4" w:space="0"/>
              <w:right w:val="single" w:color="000000" w:sz="4" w:space="0"/>
            </w:tcBorders>
            <w:noWrap w:val="0"/>
            <w:tcMar>
              <w:top w:w="57" w:type="dxa"/>
              <w:left w:w="57" w:type="dxa"/>
              <w:bottom w:w="57" w:type="dxa"/>
              <w:right w:w="57" w:type="dxa"/>
            </w:tcMar>
            <w:vAlign w:val="center"/>
          </w:tcPr>
          <w:p w14:paraId="328B1B79">
            <w:pPr>
              <w:pStyle w:val="561"/>
              <w:widowControl w:val="0"/>
              <w:spacing w:before="120" w:after="120" w:line="240" w:lineRule="auto"/>
              <w:ind w:left="31" w:right="4"/>
              <w:rPr>
                <w:color w:val="auto"/>
                <w:highlight w:val="none"/>
                <w:lang w:eastAsia="en-US"/>
              </w:rPr>
            </w:pPr>
          </w:p>
        </w:tc>
      </w:tr>
    </w:tbl>
    <w:p w14:paraId="2494D9AC">
      <w:pPr>
        <w:tabs>
          <w:tab w:val="left" w:pos="0"/>
          <w:tab w:val="left" w:pos="5424"/>
        </w:tabs>
        <w:spacing w:before="120" w:after="120"/>
        <w:ind w:firstLine="0" w:firstLineChars="0"/>
        <w:rPr>
          <w:rFonts w:eastAsia="黑体"/>
          <w:bCs/>
          <w:color w:val="auto"/>
          <w:sz w:val="24"/>
          <w:highlight w:val="none"/>
        </w:rPr>
        <w:sectPr>
          <w:pgSz w:w="11910" w:h="16840"/>
          <w:pgMar w:top="1440" w:right="1800" w:bottom="1440" w:left="1800" w:header="907" w:footer="953" w:gutter="0"/>
          <w:pgNumType w:fmt="numberInDash"/>
          <w:cols w:space="720" w:num="1"/>
        </w:sectPr>
      </w:pPr>
    </w:p>
    <w:p w14:paraId="255E5499">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412" w:name="_Toc6845"/>
      <w:bookmarkStart w:id="413" w:name="_Toc25003"/>
      <w:bookmarkStart w:id="414" w:name="_Toc8834"/>
      <w:bookmarkStart w:id="415" w:name="_Toc29725"/>
      <w:bookmarkStart w:id="416" w:name="_Toc16746"/>
      <w:bookmarkStart w:id="417" w:name="_Toc19947"/>
      <w:bookmarkStart w:id="418" w:name="_Toc20013"/>
      <w:bookmarkStart w:id="419" w:name="_Toc22558"/>
      <w:bookmarkStart w:id="420" w:name="_Toc9555"/>
      <w:bookmarkStart w:id="421" w:name="_Toc31439"/>
      <w:bookmarkStart w:id="422" w:name="_Toc11897"/>
      <w:bookmarkStart w:id="423" w:name="_Toc117"/>
      <w:bookmarkStart w:id="424" w:name="_Toc17265"/>
      <w:bookmarkStart w:id="425" w:name="_Toc4412"/>
      <w:bookmarkStart w:id="426" w:name="_Toc9726"/>
      <w:bookmarkStart w:id="427" w:name="_Toc13843"/>
      <w:bookmarkStart w:id="428" w:name="_Toc20207"/>
      <w:bookmarkStart w:id="429" w:name="_Toc7521"/>
      <w:bookmarkStart w:id="430" w:name="_Toc140219112"/>
      <w:bookmarkStart w:id="431" w:name="_Toc7725"/>
      <w:bookmarkStart w:id="432" w:name="_Toc23759"/>
      <w:bookmarkStart w:id="433" w:name="_Toc14811"/>
      <w:r>
        <w:rPr>
          <w:rFonts w:eastAsia="黑体" w:cs="Times New Roman"/>
          <w:bCs/>
          <w:color w:val="auto"/>
          <w:sz w:val="24"/>
          <w:highlight w:val="none"/>
        </w:rPr>
        <w:t>附表8  BIM现场协调管理</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tbl>
      <w:tblPr>
        <w:tblStyle w:val="5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1"/>
        <w:gridCol w:w="1385"/>
        <w:gridCol w:w="6298"/>
      </w:tblGrid>
      <w:tr w14:paraId="32A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99" w:type="pct"/>
            <w:noWrap w:val="0"/>
            <w:tcMar>
              <w:top w:w="57" w:type="dxa"/>
              <w:left w:w="113" w:type="dxa"/>
              <w:bottom w:w="57" w:type="dxa"/>
              <w:right w:w="113" w:type="dxa"/>
            </w:tcMar>
            <w:vAlign w:val="center"/>
          </w:tcPr>
          <w:p w14:paraId="44BFED89">
            <w:pPr>
              <w:pStyle w:val="561"/>
              <w:widowControl w:val="0"/>
              <w:spacing w:before="120" w:after="120" w:line="240" w:lineRule="auto"/>
              <w:ind w:left="31" w:right="4"/>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序号</w:t>
            </w:r>
          </w:p>
        </w:tc>
        <w:tc>
          <w:tcPr>
            <w:tcW w:w="811" w:type="pct"/>
            <w:noWrap w:val="0"/>
            <w:tcMar>
              <w:top w:w="57" w:type="dxa"/>
              <w:left w:w="113" w:type="dxa"/>
              <w:bottom w:w="57" w:type="dxa"/>
              <w:right w:w="113" w:type="dxa"/>
            </w:tcMar>
            <w:vAlign w:val="center"/>
          </w:tcPr>
          <w:p w14:paraId="1CE4DB61">
            <w:pPr>
              <w:pStyle w:val="561"/>
              <w:widowControl w:val="0"/>
              <w:spacing w:before="120" w:after="120" w:line="240" w:lineRule="auto"/>
              <w:ind w:left="31" w:right="4"/>
              <w:rPr>
                <w:rFonts w:ascii="Times New Roman" w:hAnsi="Times New Roman" w:cs="Times New Roman"/>
                <w:color w:val="auto"/>
                <w:szCs w:val="24"/>
                <w:highlight w:val="none"/>
                <w:lang w:eastAsia="en-US"/>
              </w:rPr>
            </w:pPr>
            <w:r>
              <w:rPr>
                <w:rFonts w:ascii="Times New Roman" w:hAnsi="Times New Roman" w:cs="Times New Roman"/>
                <w:color w:val="auto"/>
                <w:kern w:val="2"/>
                <w:szCs w:val="24"/>
                <w:highlight w:val="none"/>
                <w:lang w:eastAsia="en-US"/>
              </w:rPr>
              <w:t>管理要点</w:t>
            </w:r>
          </w:p>
        </w:tc>
        <w:tc>
          <w:tcPr>
            <w:tcW w:w="3689" w:type="pct"/>
            <w:noWrap w:val="0"/>
            <w:tcMar>
              <w:top w:w="57" w:type="dxa"/>
              <w:left w:w="113" w:type="dxa"/>
              <w:bottom w:w="57" w:type="dxa"/>
              <w:right w:w="113" w:type="dxa"/>
            </w:tcMar>
            <w:vAlign w:val="center"/>
          </w:tcPr>
          <w:p w14:paraId="10FAC807">
            <w:pPr>
              <w:pStyle w:val="561"/>
              <w:widowControl w:val="0"/>
              <w:spacing w:before="120" w:after="120"/>
              <w:ind w:left="31" w:right="1"/>
              <w:rPr>
                <w:rFonts w:ascii="Times New Roman" w:hAnsi="Times New Roman" w:cs="Times New Roman"/>
                <w:color w:val="auto"/>
                <w:szCs w:val="24"/>
                <w:highlight w:val="none"/>
                <w:lang w:eastAsia="en-US"/>
              </w:rPr>
            </w:pPr>
            <w:r>
              <w:rPr>
                <w:rFonts w:ascii="Times New Roman" w:hAnsi="Times New Roman" w:cs="Times New Roman"/>
                <w:color w:val="auto"/>
                <w:szCs w:val="24"/>
                <w:highlight w:val="none"/>
                <w:lang w:eastAsia="en-US"/>
              </w:rPr>
              <w:t>管理内容</w:t>
            </w:r>
          </w:p>
        </w:tc>
      </w:tr>
      <w:tr w14:paraId="6493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99" w:type="pct"/>
            <w:noWrap w:val="0"/>
            <w:tcMar>
              <w:top w:w="57" w:type="dxa"/>
              <w:left w:w="113" w:type="dxa"/>
              <w:bottom w:w="57" w:type="dxa"/>
              <w:right w:w="113" w:type="dxa"/>
            </w:tcMar>
            <w:vAlign w:val="center"/>
          </w:tcPr>
          <w:p w14:paraId="78B4722B">
            <w:pPr>
              <w:pStyle w:val="561"/>
              <w:widowControl w:val="0"/>
              <w:spacing w:before="120" w:after="120" w:line="240" w:lineRule="auto"/>
              <w:ind w:left="31" w:right="4"/>
              <w:rPr>
                <w:color w:val="auto"/>
                <w:highlight w:val="none"/>
                <w:lang w:eastAsia="en-US"/>
              </w:rPr>
            </w:pPr>
            <w:r>
              <w:rPr>
                <w:color w:val="auto"/>
                <w:highlight w:val="none"/>
                <w:lang w:eastAsia="en-US"/>
              </w:rPr>
              <w:t>1</w:t>
            </w:r>
          </w:p>
        </w:tc>
        <w:tc>
          <w:tcPr>
            <w:tcW w:w="811" w:type="pct"/>
            <w:noWrap w:val="0"/>
            <w:tcMar>
              <w:top w:w="57" w:type="dxa"/>
              <w:left w:w="113" w:type="dxa"/>
              <w:bottom w:w="57" w:type="dxa"/>
              <w:right w:w="113" w:type="dxa"/>
            </w:tcMar>
            <w:vAlign w:val="center"/>
          </w:tcPr>
          <w:p w14:paraId="2DA241AF">
            <w:pPr>
              <w:pStyle w:val="561"/>
              <w:widowControl w:val="0"/>
              <w:spacing w:before="120" w:after="120"/>
              <w:ind w:left="31"/>
              <w:rPr>
                <w:color w:val="auto"/>
                <w:highlight w:val="none"/>
                <w:lang w:eastAsia="en-US"/>
              </w:rPr>
            </w:pPr>
            <w:r>
              <w:rPr>
                <w:color w:val="auto"/>
                <w:highlight w:val="none"/>
                <w:lang w:eastAsia="en-US"/>
              </w:rPr>
              <w:t>办公与生活临时设施协调</w:t>
            </w:r>
          </w:p>
        </w:tc>
        <w:tc>
          <w:tcPr>
            <w:tcW w:w="3689" w:type="pct"/>
            <w:noWrap w:val="0"/>
            <w:tcMar>
              <w:top w:w="57" w:type="dxa"/>
              <w:left w:w="113" w:type="dxa"/>
              <w:bottom w:w="57" w:type="dxa"/>
              <w:right w:w="113" w:type="dxa"/>
            </w:tcMar>
            <w:vAlign w:val="center"/>
          </w:tcPr>
          <w:p w14:paraId="209D29F6">
            <w:pPr>
              <w:pStyle w:val="585"/>
              <w:widowControl w:val="0"/>
              <w:spacing w:before="120" w:after="120"/>
              <w:ind w:left="104"/>
              <w:rPr>
                <w:color w:val="auto"/>
                <w:highlight w:val="none"/>
                <w:lang w:eastAsia="en-US"/>
              </w:rPr>
            </w:pPr>
            <w:r>
              <w:rPr>
                <w:color w:val="auto"/>
                <w:highlight w:val="none"/>
                <w:lang w:eastAsia="en-US"/>
              </w:rPr>
              <w:t>1)为满足办公与生活临时设施布置以及调整优化便捷准确的要求，前期需完善常用的办公与生活临时设施模型内容库。</w:t>
            </w:r>
          </w:p>
          <w:p w14:paraId="39D4F255">
            <w:pPr>
              <w:pStyle w:val="585"/>
              <w:widowControl w:val="0"/>
              <w:spacing w:before="120" w:after="120"/>
              <w:ind w:left="104"/>
              <w:rPr>
                <w:color w:val="auto"/>
                <w:highlight w:val="none"/>
                <w:lang w:eastAsia="en-US"/>
              </w:rPr>
            </w:pPr>
            <w:r>
              <w:rPr>
                <w:color w:val="auto"/>
                <w:highlight w:val="none"/>
                <w:lang w:eastAsia="en-US"/>
              </w:rPr>
              <w:t>2)先依据现场场地特点，利用BIM模型建立场地环境模型；然后依据项目规模以及相关需求，对办公区和生活区进行初步规划，利用已建模型内容快速完成布置模型。当内容库中缺少所需临时建筑模型内容时，可自行建立，并将其补充入原模型内容库中备用。</w:t>
            </w:r>
          </w:p>
          <w:p w14:paraId="15580964">
            <w:pPr>
              <w:pStyle w:val="585"/>
              <w:widowControl w:val="0"/>
              <w:spacing w:before="120" w:after="120"/>
              <w:ind w:left="104"/>
              <w:rPr>
                <w:color w:val="auto"/>
                <w:highlight w:val="none"/>
                <w:lang w:eastAsia="en-US"/>
              </w:rPr>
            </w:pPr>
            <w:r>
              <w:rPr>
                <w:color w:val="auto"/>
                <w:highlight w:val="none"/>
                <w:lang w:eastAsia="en-US"/>
              </w:rPr>
              <w:t>3)通过建好的布置模型，对布置方案进行评估比对，选出最优方案。</w:t>
            </w:r>
          </w:p>
          <w:p w14:paraId="0B064E95">
            <w:pPr>
              <w:pStyle w:val="585"/>
              <w:widowControl w:val="0"/>
              <w:spacing w:before="120" w:after="120"/>
              <w:ind w:left="104"/>
              <w:rPr>
                <w:color w:val="auto"/>
                <w:highlight w:val="none"/>
                <w:lang w:eastAsia="en-US"/>
              </w:rPr>
            </w:pPr>
            <w:r>
              <w:rPr>
                <w:color w:val="auto"/>
                <w:highlight w:val="none"/>
                <w:lang w:eastAsia="en-US"/>
              </w:rPr>
              <w:t>4)为了快捷地对办公及生活区进行统筹管理，安排专人对于布置模型中的临时设施采用不同的颜色进行区分；协调部可随时对办公与生活临时设施使用情况进行查询，快速</w:t>
            </w:r>
            <w:r>
              <w:rPr>
                <w:rFonts w:hint="eastAsia"/>
                <w:color w:val="auto"/>
                <w:highlight w:val="none"/>
                <w:lang w:eastAsia="en-US"/>
              </w:rPr>
              <w:t>做出</w:t>
            </w:r>
            <w:r>
              <w:rPr>
                <w:color w:val="auto"/>
                <w:highlight w:val="none"/>
                <w:lang w:eastAsia="en-US"/>
              </w:rPr>
              <w:t>决策。</w:t>
            </w:r>
          </w:p>
        </w:tc>
      </w:tr>
      <w:tr w14:paraId="5C18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99" w:type="pct"/>
            <w:noWrap w:val="0"/>
            <w:tcMar>
              <w:top w:w="57" w:type="dxa"/>
              <w:left w:w="113" w:type="dxa"/>
              <w:bottom w:w="57" w:type="dxa"/>
              <w:right w:w="113" w:type="dxa"/>
            </w:tcMar>
            <w:vAlign w:val="center"/>
          </w:tcPr>
          <w:p w14:paraId="7CC11178">
            <w:pPr>
              <w:pStyle w:val="561"/>
              <w:widowControl w:val="0"/>
              <w:spacing w:before="120" w:after="120" w:line="240" w:lineRule="auto"/>
              <w:ind w:left="31" w:right="4"/>
              <w:rPr>
                <w:color w:val="auto"/>
                <w:highlight w:val="none"/>
                <w:lang w:eastAsia="en-US"/>
              </w:rPr>
            </w:pPr>
            <w:r>
              <w:rPr>
                <w:color w:val="auto"/>
                <w:highlight w:val="none"/>
                <w:lang w:eastAsia="en-US"/>
              </w:rPr>
              <w:t>2</w:t>
            </w:r>
          </w:p>
        </w:tc>
        <w:tc>
          <w:tcPr>
            <w:tcW w:w="811" w:type="pct"/>
            <w:noWrap w:val="0"/>
            <w:tcMar>
              <w:top w:w="57" w:type="dxa"/>
              <w:left w:w="113" w:type="dxa"/>
              <w:bottom w:w="57" w:type="dxa"/>
              <w:right w:w="113" w:type="dxa"/>
            </w:tcMar>
            <w:vAlign w:val="center"/>
          </w:tcPr>
          <w:p w14:paraId="504DBBA8">
            <w:pPr>
              <w:pStyle w:val="561"/>
              <w:widowControl w:val="0"/>
              <w:spacing w:before="120" w:after="120" w:line="240" w:lineRule="auto"/>
              <w:ind w:left="31" w:right="4"/>
              <w:rPr>
                <w:color w:val="auto"/>
                <w:highlight w:val="none"/>
                <w:lang w:eastAsia="en-US"/>
              </w:rPr>
            </w:pPr>
            <w:r>
              <w:rPr>
                <w:color w:val="auto"/>
                <w:highlight w:val="none"/>
                <w:lang w:eastAsia="en-US"/>
              </w:rPr>
              <w:t>施工平面协调</w:t>
            </w:r>
          </w:p>
        </w:tc>
        <w:tc>
          <w:tcPr>
            <w:tcW w:w="3689" w:type="pct"/>
            <w:noWrap w:val="0"/>
            <w:tcMar>
              <w:top w:w="57" w:type="dxa"/>
              <w:left w:w="113" w:type="dxa"/>
              <w:bottom w:w="57" w:type="dxa"/>
              <w:right w:w="113" w:type="dxa"/>
            </w:tcMar>
            <w:vAlign w:val="center"/>
          </w:tcPr>
          <w:p w14:paraId="0A98EBAF">
            <w:pPr>
              <w:pStyle w:val="585"/>
              <w:widowControl w:val="0"/>
              <w:spacing w:before="120" w:after="120"/>
              <w:ind w:right="4"/>
              <w:rPr>
                <w:color w:val="auto"/>
                <w:highlight w:val="none"/>
                <w:lang w:eastAsia="en-US"/>
              </w:rPr>
            </w:pPr>
            <w:r>
              <w:rPr>
                <w:color w:val="auto"/>
                <w:highlight w:val="none"/>
                <w:lang w:eastAsia="en-US"/>
              </w:rPr>
              <w:t>1)为满足现场施工平面布置模拟便捷准确的要求，前期需完善常用的施工设备及施工现场临时设施模型内容库。</w:t>
            </w:r>
          </w:p>
          <w:p w14:paraId="152E6B7A">
            <w:pPr>
              <w:pStyle w:val="585"/>
              <w:widowControl w:val="0"/>
              <w:spacing w:before="120" w:after="120"/>
              <w:ind w:right="4"/>
              <w:rPr>
                <w:color w:val="auto"/>
                <w:highlight w:val="none"/>
                <w:lang w:eastAsia="en-US"/>
              </w:rPr>
            </w:pPr>
            <w:r>
              <w:rPr>
                <w:color w:val="auto"/>
                <w:highlight w:val="none"/>
                <w:lang w:eastAsia="en-US"/>
              </w:rPr>
              <w:t>2)利用BIM软件，建立不同施工阶段的施工现场模型，模型应包括：土建结构、钢结构、施工道路、周围主要建筑外轮廓模型等。</w:t>
            </w:r>
          </w:p>
          <w:p w14:paraId="42C91B99">
            <w:pPr>
              <w:pStyle w:val="585"/>
              <w:widowControl w:val="0"/>
              <w:spacing w:before="120" w:after="120"/>
              <w:ind w:right="4"/>
              <w:rPr>
                <w:color w:val="auto"/>
                <w:highlight w:val="none"/>
                <w:lang w:eastAsia="en-US"/>
              </w:rPr>
            </w:pPr>
            <w:r>
              <w:rPr>
                <w:color w:val="auto"/>
                <w:highlight w:val="none"/>
                <w:lang w:eastAsia="en-US"/>
              </w:rPr>
              <w:t>3)通过BIM软件统计出各阶段的相关工程量，即利用BIM数据库功能对项目钢筋用量、混凝土量、钢结构构件量进行统计，从而</w:t>
            </w:r>
            <w:r>
              <w:rPr>
                <w:rFonts w:hint="eastAsia"/>
                <w:color w:val="auto"/>
                <w:highlight w:val="none"/>
                <w:lang w:eastAsia="en-US"/>
              </w:rPr>
              <w:t>做出</w:t>
            </w:r>
            <w:r>
              <w:rPr>
                <w:color w:val="auto"/>
                <w:highlight w:val="none"/>
                <w:lang w:eastAsia="en-US"/>
              </w:rPr>
              <w:t>现场施工材料堆场的初步规划。</w:t>
            </w:r>
          </w:p>
          <w:p w14:paraId="636961D9">
            <w:pPr>
              <w:pStyle w:val="585"/>
              <w:widowControl w:val="0"/>
              <w:spacing w:before="120" w:after="120"/>
              <w:ind w:right="4"/>
              <w:rPr>
                <w:color w:val="auto"/>
                <w:highlight w:val="none"/>
                <w:lang w:eastAsia="en-US"/>
              </w:rPr>
            </w:pPr>
            <w:r>
              <w:rPr>
                <w:color w:val="auto"/>
                <w:highlight w:val="none"/>
                <w:lang w:eastAsia="en-US"/>
              </w:rPr>
              <w:t>4)在已建立的现场环境中，放置相关堆场及施工设备，通过BIM软件进行施工模拟、对比优化，从而选定设备型号及确定位置和确定现场平面布置方案。</w:t>
            </w:r>
          </w:p>
          <w:p w14:paraId="1F1B593B">
            <w:pPr>
              <w:pStyle w:val="585"/>
              <w:widowControl w:val="0"/>
              <w:spacing w:before="120" w:after="120"/>
              <w:ind w:right="4"/>
              <w:rPr>
                <w:color w:val="auto"/>
                <w:highlight w:val="none"/>
                <w:lang w:eastAsia="en-US"/>
              </w:rPr>
            </w:pPr>
            <w:r>
              <w:rPr>
                <w:color w:val="auto"/>
                <w:highlight w:val="none"/>
                <w:lang w:eastAsia="en-US"/>
              </w:rPr>
              <w:t>5)当分包方有大宗物资及大型机械进场、场地超期使用、可能影响结构楼板等结构安全的平面占用、运输路线等申请要求时，计划协调部可依据已布置方案模型进行快速方案模拟比对，从而制定最合理的方案。</w:t>
            </w:r>
          </w:p>
        </w:tc>
      </w:tr>
      <w:tr w14:paraId="1788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99" w:type="pct"/>
            <w:noWrap w:val="0"/>
            <w:tcMar>
              <w:top w:w="57" w:type="dxa"/>
              <w:left w:w="113" w:type="dxa"/>
              <w:bottom w:w="57" w:type="dxa"/>
              <w:right w:w="113" w:type="dxa"/>
            </w:tcMar>
            <w:vAlign w:val="center"/>
          </w:tcPr>
          <w:p w14:paraId="6DC17F44">
            <w:pPr>
              <w:pStyle w:val="561"/>
              <w:widowControl w:val="0"/>
              <w:spacing w:before="120" w:after="120" w:line="240" w:lineRule="auto"/>
              <w:ind w:left="31" w:right="4"/>
              <w:rPr>
                <w:color w:val="auto"/>
                <w:highlight w:val="none"/>
                <w:lang w:eastAsia="en-US"/>
              </w:rPr>
            </w:pPr>
            <w:r>
              <w:rPr>
                <w:color w:val="auto"/>
                <w:highlight w:val="none"/>
                <w:lang w:eastAsia="en-US"/>
              </w:rPr>
              <w:t>3</w:t>
            </w:r>
          </w:p>
        </w:tc>
        <w:tc>
          <w:tcPr>
            <w:tcW w:w="811" w:type="pct"/>
            <w:noWrap w:val="0"/>
            <w:tcMar>
              <w:top w:w="57" w:type="dxa"/>
              <w:left w:w="113" w:type="dxa"/>
              <w:bottom w:w="57" w:type="dxa"/>
              <w:right w:w="113" w:type="dxa"/>
            </w:tcMar>
            <w:vAlign w:val="center"/>
          </w:tcPr>
          <w:p w14:paraId="3AAADB88">
            <w:pPr>
              <w:pStyle w:val="561"/>
              <w:widowControl w:val="0"/>
              <w:spacing w:before="120" w:after="120" w:line="240" w:lineRule="auto"/>
              <w:ind w:left="31" w:right="4"/>
              <w:rPr>
                <w:color w:val="auto"/>
                <w:highlight w:val="none"/>
                <w:lang w:eastAsia="en-US"/>
              </w:rPr>
            </w:pPr>
            <w:r>
              <w:rPr>
                <w:color w:val="auto"/>
                <w:highlight w:val="none"/>
                <w:lang w:eastAsia="en-US"/>
              </w:rPr>
              <w:t>施工工序与工作面协调</w:t>
            </w:r>
          </w:p>
        </w:tc>
        <w:tc>
          <w:tcPr>
            <w:tcW w:w="3689" w:type="pct"/>
            <w:noWrap w:val="0"/>
            <w:tcMar>
              <w:top w:w="57" w:type="dxa"/>
              <w:left w:w="113" w:type="dxa"/>
              <w:bottom w:w="57" w:type="dxa"/>
              <w:right w:w="113" w:type="dxa"/>
            </w:tcMar>
            <w:vAlign w:val="center"/>
          </w:tcPr>
          <w:p w14:paraId="04169F42">
            <w:pPr>
              <w:pStyle w:val="585"/>
              <w:widowControl w:val="0"/>
              <w:spacing w:before="120" w:after="120"/>
              <w:ind w:right="4"/>
              <w:rPr>
                <w:color w:val="auto"/>
                <w:highlight w:val="none"/>
                <w:lang w:eastAsia="en-US"/>
              </w:rPr>
            </w:pPr>
            <w:r>
              <w:rPr>
                <w:color w:val="auto"/>
                <w:highlight w:val="none"/>
                <w:lang w:eastAsia="en-US"/>
              </w:rPr>
              <w:t>1)基于BIM的工作面划分，施工总承包必须提前向各分包方收集各施工工序的工作面需求，并将收集结果进行整理统计成表格。</w:t>
            </w:r>
          </w:p>
          <w:p w14:paraId="264B07D7">
            <w:pPr>
              <w:pStyle w:val="585"/>
              <w:widowControl w:val="0"/>
              <w:spacing w:before="120" w:after="120"/>
              <w:ind w:right="4"/>
              <w:rPr>
                <w:color w:val="auto"/>
                <w:highlight w:val="none"/>
                <w:lang w:eastAsia="en-US"/>
              </w:rPr>
            </w:pPr>
            <w:r>
              <w:rPr>
                <w:color w:val="auto"/>
                <w:highlight w:val="none"/>
                <w:lang w:eastAsia="en-US"/>
              </w:rPr>
              <w:t>2)根据该表格工序的工作面需求，按照工序的时间顺序，进行施工工作面的布置，完成工作面布置后，通过施工模拟进行工作面的碰撞检查。</w:t>
            </w:r>
          </w:p>
          <w:p w14:paraId="74C34999">
            <w:pPr>
              <w:pStyle w:val="585"/>
              <w:widowControl w:val="0"/>
              <w:spacing w:before="120" w:after="120"/>
              <w:ind w:right="4"/>
              <w:rPr>
                <w:color w:val="auto"/>
                <w:highlight w:val="none"/>
                <w:lang w:eastAsia="en-US"/>
              </w:rPr>
            </w:pPr>
            <w:r>
              <w:rPr>
                <w:color w:val="auto"/>
                <w:highlight w:val="none"/>
                <w:lang w:eastAsia="en-US"/>
              </w:rPr>
              <w:t>3)若出现工作面间的碰撞，需第一时间通知施工总承包单位，并对各工序时间进行协调，或者对工序进行改进升级，减小工作面甚至重新选择工序，消除工作面之间的碰撞。</w:t>
            </w:r>
          </w:p>
          <w:p w14:paraId="09E1F4F8">
            <w:pPr>
              <w:pStyle w:val="585"/>
              <w:widowControl w:val="0"/>
              <w:spacing w:before="120" w:after="120"/>
              <w:ind w:right="4"/>
              <w:rPr>
                <w:color w:val="auto"/>
                <w:highlight w:val="none"/>
                <w:lang w:eastAsia="en-US"/>
              </w:rPr>
            </w:pPr>
            <w:r>
              <w:rPr>
                <w:color w:val="auto"/>
                <w:highlight w:val="none"/>
                <w:lang w:eastAsia="en-US"/>
              </w:rPr>
              <w:t>4)施工总承包对优化后的工序进行分析评估，</w:t>
            </w:r>
            <w:r>
              <w:rPr>
                <w:rFonts w:hint="eastAsia"/>
                <w:color w:val="auto"/>
                <w:highlight w:val="none"/>
                <w:lang w:eastAsia="en-US"/>
              </w:rPr>
              <w:t>做出</w:t>
            </w:r>
            <w:r>
              <w:rPr>
                <w:color w:val="auto"/>
                <w:highlight w:val="none"/>
                <w:lang w:eastAsia="en-US"/>
              </w:rPr>
              <w:t>决策后通知相关各分包方；同时，对设计优化后的施工工序，还可以利用BIM软件生成模拟动画，给相关人员交底，从而确保现场工作合理有序地进行。</w:t>
            </w:r>
          </w:p>
        </w:tc>
      </w:tr>
    </w:tbl>
    <w:p w14:paraId="730A3A22">
      <w:pPr>
        <w:spacing w:before="120" w:after="120"/>
        <w:ind w:firstLine="522"/>
        <w:rPr>
          <w:rFonts w:ascii="宋体" w:hAnsi="宋体" w:cs="宋体"/>
          <w:b/>
          <w:bCs/>
          <w:color w:val="auto"/>
          <w:sz w:val="26"/>
          <w:szCs w:val="26"/>
          <w:highlight w:val="none"/>
        </w:rPr>
        <w:sectPr>
          <w:pgSz w:w="11910" w:h="16840"/>
          <w:pgMar w:top="1440" w:right="1800" w:bottom="1440" w:left="1800" w:header="907" w:footer="953" w:gutter="0"/>
          <w:pgNumType w:fmt="numberInDash"/>
          <w:cols w:space="720" w:num="1"/>
        </w:sectPr>
      </w:pPr>
    </w:p>
    <w:p w14:paraId="00DD387E">
      <w:pPr>
        <w:keepNext/>
        <w:keepLines/>
        <w:numPr>
          <w:ilvl w:val="0"/>
          <w:numId w:val="0"/>
        </w:numPr>
        <w:spacing w:before="720" w:beforeLines="300" w:after="240" w:afterLines="100"/>
        <w:jc w:val="center"/>
        <w:outlineLvl w:val="0"/>
        <w:rPr>
          <w:rFonts w:eastAsia="黑体" w:cs="Times New Roman"/>
          <w:bCs/>
          <w:color w:val="auto"/>
          <w:kern w:val="44"/>
          <w:sz w:val="28"/>
          <w:szCs w:val="44"/>
          <w:highlight w:val="none"/>
        </w:rPr>
      </w:pPr>
      <w:bookmarkStart w:id="434" w:name="_Toc15621"/>
      <w:bookmarkStart w:id="435" w:name="_Toc30014"/>
      <w:bookmarkStart w:id="436" w:name="_Toc1972"/>
      <w:bookmarkStart w:id="437" w:name="_Toc18784"/>
      <w:bookmarkStart w:id="438" w:name="_Toc28644"/>
      <w:bookmarkStart w:id="439" w:name="_Toc20226"/>
      <w:bookmarkStart w:id="440" w:name="_Toc24804"/>
      <w:bookmarkStart w:id="441" w:name="_Toc3259"/>
      <w:bookmarkStart w:id="442" w:name="_Toc29512"/>
      <w:bookmarkStart w:id="443" w:name="_Toc32719"/>
      <w:bookmarkStart w:id="444" w:name="_Toc27618"/>
      <w:bookmarkStart w:id="445" w:name="_Toc892"/>
      <w:bookmarkStart w:id="446" w:name="_Toc15499"/>
      <w:bookmarkStart w:id="447" w:name="_Toc31981"/>
      <w:bookmarkStart w:id="448" w:name="_Toc25340"/>
      <w:bookmarkStart w:id="449" w:name="_Toc140219113"/>
      <w:bookmarkStart w:id="450" w:name="_Toc11340"/>
      <w:bookmarkStart w:id="451" w:name="_Toc30651"/>
      <w:bookmarkStart w:id="452" w:name="_Toc14732"/>
      <w:bookmarkStart w:id="453" w:name="_Toc31256"/>
      <w:bookmarkStart w:id="454" w:name="_Toc26143"/>
      <w:bookmarkStart w:id="455" w:name="_Toc26120"/>
      <w:bookmarkStart w:id="456" w:name="_Toc30609"/>
      <w:bookmarkStart w:id="457" w:name="_Toc17923"/>
      <w:r>
        <w:rPr>
          <w:rFonts w:eastAsia="黑体" w:cs="Times New Roman"/>
          <w:bCs/>
          <w:color w:val="auto"/>
          <w:kern w:val="44"/>
          <w:sz w:val="28"/>
          <w:szCs w:val="44"/>
          <w:highlight w:val="none"/>
        </w:rPr>
        <w:t>附图</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36A2676B">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458" w:name="_Toc28600"/>
      <w:bookmarkStart w:id="459" w:name="_Toc12372"/>
      <w:bookmarkStart w:id="460" w:name="_Toc12591"/>
      <w:bookmarkStart w:id="461" w:name="_Toc28360"/>
      <w:bookmarkStart w:id="462" w:name="_Toc29173"/>
      <w:bookmarkStart w:id="463" w:name="_Toc140219114"/>
      <w:bookmarkStart w:id="464" w:name="_Toc17564"/>
      <w:bookmarkStart w:id="465" w:name="_Toc24013"/>
      <w:bookmarkStart w:id="466" w:name="_Toc17996"/>
      <w:bookmarkStart w:id="467" w:name="_Toc14388"/>
      <w:bookmarkStart w:id="468" w:name="_Toc23020"/>
      <w:bookmarkStart w:id="469" w:name="_Toc27150"/>
      <w:bookmarkStart w:id="470" w:name="_Toc24281"/>
      <w:bookmarkStart w:id="471" w:name="_Toc18522"/>
      <w:bookmarkStart w:id="472" w:name="_Toc886"/>
      <w:bookmarkStart w:id="473" w:name="_Toc26472"/>
      <w:bookmarkStart w:id="474" w:name="_Toc7279"/>
      <w:bookmarkStart w:id="475" w:name="_Toc23069"/>
      <w:bookmarkStart w:id="476" w:name="_Toc14755"/>
      <w:bookmarkStart w:id="477" w:name="_Toc14006"/>
      <w:bookmarkStart w:id="478" w:name="_Toc6978"/>
      <w:bookmarkStart w:id="479" w:name="_Toc2589"/>
      <w:r>
        <w:rPr>
          <w:rFonts w:hint="eastAsia" w:eastAsia="黑体" w:cs="Times New Roman"/>
          <w:bCs/>
          <w:color w:val="auto"/>
          <w:sz w:val="24"/>
          <w:highlight w:val="none"/>
        </w:rPr>
        <w:t>附</w:t>
      </w:r>
      <w:r>
        <w:rPr>
          <w:rFonts w:eastAsia="黑体" w:cs="Times New Roman"/>
          <w:bCs/>
          <w:color w:val="auto"/>
          <w:sz w:val="24"/>
          <w:highlight w:val="none"/>
        </w:rPr>
        <w:t>图1  代建局BIM项目管理组织结构</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4F0F7905">
      <w:pPr>
        <w:spacing w:before="120" w:after="120" w:line="240" w:lineRule="auto"/>
        <w:ind w:firstLine="0" w:firstLineChars="0"/>
        <w:jc w:val="center"/>
        <w:rPr>
          <w:rFonts w:ascii="宋体" w:hAnsi="宋体" w:cs="宋体"/>
          <w:color w:val="auto"/>
          <w:sz w:val="20"/>
          <w:szCs w:val="20"/>
          <w:highlight w:val="none"/>
        </w:rPr>
      </w:pPr>
      <w:r>
        <w:rPr>
          <w:rFonts w:cs="Times New Roman"/>
          <w:color w:val="auto"/>
          <w:highlight w:val="none"/>
        </w:rPr>
        <w:drawing>
          <wp:inline distT="0" distB="0" distL="114300" distR="114300">
            <wp:extent cx="4570730" cy="2839720"/>
            <wp:effectExtent l="0" t="0" r="127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a:stretch>
                      <a:fillRect/>
                    </a:stretch>
                  </pic:blipFill>
                  <pic:spPr>
                    <a:xfrm>
                      <a:off x="0" y="0"/>
                      <a:ext cx="4570730" cy="2839720"/>
                    </a:xfrm>
                    <a:prstGeom prst="rect">
                      <a:avLst/>
                    </a:prstGeom>
                    <a:noFill/>
                    <a:ln>
                      <a:noFill/>
                    </a:ln>
                  </pic:spPr>
                </pic:pic>
              </a:graphicData>
            </a:graphic>
          </wp:inline>
        </w:drawing>
      </w:r>
    </w:p>
    <w:p w14:paraId="6B89456C">
      <w:pPr>
        <w:spacing w:before="120" w:after="120"/>
        <w:rPr>
          <w:color w:val="auto"/>
          <w:highlight w:val="none"/>
        </w:rPr>
      </w:pPr>
      <w:bookmarkStart w:id="480" w:name="_Toc12102"/>
      <w:bookmarkStart w:id="481" w:name="_Toc140219115"/>
      <w:bookmarkStart w:id="482" w:name="_Toc27607"/>
      <w:bookmarkStart w:id="483" w:name="_Toc28742"/>
      <w:bookmarkStart w:id="484" w:name="_Toc13459"/>
    </w:p>
    <w:p w14:paraId="5D4F519A">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485" w:name="_Toc17858"/>
      <w:bookmarkStart w:id="486" w:name="_Toc4047"/>
      <w:bookmarkStart w:id="487" w:name="_Toc29321"/>
      <w:bookmarkStart w:id="488" w:name="_Toc5140"/>
      <w:bookmarkStart w:id="489" w:name="_Toc27979"/>
      <w:bookmarkStart w:id="490" w:name="_Toc15582"/>
      <w:bookmarkStart w:id="491" w:name="_Toc27130"/>
      <w:bookmarkStart w:id="492" w:name="_Toc26842"/>
      <w:bookmarkStart w:id="493" w:name="_Toc14249"/>
      <w:bookmarkStart w:id="494" w:name="_Toc29130"/>
      <w:bookmarkStart w:id="495" w:name="_Toc24264"/>
      <w:bookmarkStart w:id="496" w:name="_Toc7083"/>
      <w:bookmarkStart w:id="497" w:name="_Toc6247"/>
      <w:bookmarkStart w:id="498" w:name="_Toc23679"/>
      <w:bookmarkStart w:id="499" w:name="_Toc5737"/>
      <w:bookmarkStart w:id="500" w:name="_Toc2247"/>
      <w:bookmarkStart w:id="501" w:name="_Toc7414"/>
      <w:r>
        <w:rPr>
          <w:rFonts w:eastAsia="黑体" w:cs="Times New Roman"/>
          <w:bCs/>
          <w:color w:val="auto"/>
          <w:sz w:val="24"/>
          <w:highlight w:val="none"/>
        </w:rPr>
        <w:t>附图2  代建局内部管理流程</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3DEEA8E0">
      <w:pPr>
        <w:spacing w:before="120" w:after="120" w:line="240" w:lineRule="auto"/>
        <w:ind w:firstLine="0" w:firstLineChars="0"/>
        <w:jc w:val="center"/>
        <w:rPr>
          <w:rFonts w:ascii="宋体" w:hAnsi="宋体" w:cs="宋体"/>
          <w:color w:val="auto"/>
          <w:sz w:val="20"/>
          <w:szCs w:val="20"/>
          <w:highlight w:val="none"/>
        </w:rPr>
      </w:pPr>
      <w:r>
        <w:rPr>
          <w:rFonts w:ascii="宋体" w:hAnsi="宋体" w:cs="宋体"/>
          <w:color w:val="auto"/>
          <w:sz w:val="20"/>
          <w:szCs w:val="20"/>
          <w:highlight w:val="none"/>
        </w:rPr>
        <w:drawing>
          <wp:inline distT="0" distB="0" distL="114300" distR="114300">
            <wp:extent cx="5399405" cy="1523365"/>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0"/>
                    <a:stretch>
                      <a:fillRect/>
                    </a:stretch>
                  </pic:blipFill>
                  <pic:spPr>
                    <a:xfrm>
                      <a:off x="0" y="0"/>
                      <a:ext cx="5399405" cy="1523365"/>
                    </a:xfrm>
                    <a:prstGeom prst="rect">
                      <a:avLst/>
                    </a:prstGeom>
                    <a:noFill/>
                    <a:ln>
                      <a:noFill/>
                    </a:ln>
                  </pic:spPr>
                </pic:pic>
              </a:graphicData>
            </a:graphic>
          </wp:inline>
        </w:drawing>
      </w:r>
    </w:p>
    <w:p w14:paraId="31C1E957">
      <w:pPr>
        <w:spacing w:before="120" w:after="120" w:line="240" w:lineRule="auto"/>
        <w:ind w:firstLine="0" w:firstLineChars="0"/>
        <w:jc w:val="center"/>
        <w:rPr>
          <w:rFonts w:ascii="宋体" w:hAnsi="宋体" w:cs="宋体"/>
          <w:color w:val="auto"/>
          <w:sz w:val="20"/>
          <w:szCs w:val="20"/>
          <w:highlight w:val="none"/>
        </w:rPr>
      </w:pPr>
    </w:p>
    <w:p w14:paraId="20EE8A94">
      <w:pPr>
        <w:spacing w:before="120" w:after="120" w:line="240" w:lineRule="auto"/>
        <w:ind w:firstLine="400"/>
        <w:jc w:val="center"/>
        <w:rPr>
          <w:rFonts w:ascii="宋体" w:hAnsi="宋体" w:cs="宋体"/>
          <w:color w:val="auto"/>
          <w:sz w:val="20"/>
          <w:szCs w:val="20"/>
          <w:highlight w:val="none"/>
        </w:rPr>
        <w:sectPr>
          <w:pgSz w:w="11910" w:h="16840"/>
          <w:pgMar w:top="1440" w:right="1800" w:bottom="1440" w:left="1800" w:header="907" w:footer="953" w:gutter="0"/>
          <w:pgNumType w:fmt="numberInDash"/>
          <w:cols w:space="720" w:num="1"/>
        </w:sectPr>
      </w:pPr>
    </w:p>
    <w:p w14:paraId="5A4336F1">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502" w:name="_bookmark51"/>
      <w:bookmarkEnd w:id="502"/>
      <w:bookmarkStart w:id="503" w:name="_Toc24877"/>
      <w:bookmarkStart w:id="504" w:name="_Toc9269"/>
      <w:bookmarkStart w:id="505" w:name="_Toc140219116"/>
      <w:bookmarkStart w:id="506" w:name="_Toc20094"/>
      <w:bookmarkStart w:id="507" w:name="_Toc3552"/>
      <w:bookmarkStart w:id="508" w:name="_Toc7905"/>
      <w:bookmarkStart w:id="509" w:name="_Toc21889"/>
      <w:bookmarkStart w:id="510" w:name="_Toc21324"/>
      <w:bookmarkStart w:id="511" w:name="_Toc21319"/>
      <w:bookmarkStart w:id="512" w:name="_Toc23146"/>
      <w:bookmarkStart w:id="513" w:name="_Toc29081"/>
      <w:bookmarkStart w:id="514" w:name="_Toc2698"/>
      <w:bookmarkStart w:id="515" w:name="_Toc17507"/>
      <w:bookmarkStart w:id="516" w:name="_Toc14998"/>
      <w:bookmarkStart w:id="517" w:name="_Toc11817"/>
      <w:bookmarkStart w:id="518" w:name="_Toc7471"/>
      <w:bookmarkStart w:id="519" w:name="_Toc31801"/>
      <w:bookmarkStart w:id="520" w:name="_Toc32536"/>
      <w:bookmarkStart w:id="521" w:name="_Toc3880"/>
      <w:bookmarkStart w:id="522" w:name="_Toc31569"/>
      <w:bookmarkStart w:id="523" w:name="_Toc28633"/>
      <w:bookmarkStart w:id="524" w:name="_Toc8794"/>
      <w:r>
        <w:rPr>
          <w:rFonts w:eastAsia="黑体" w:cs="Times New Roman"/>
          <w:bCs/>
          <w:color w:val="auto"/>
          <w:sz w:val="24"/>
          <w:highlight w:val="none"/>
        </w:rPr>
        <w:t>附图3  代建局项目BIM管理流程</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32AD4AA">
      <w:pPr>
        <w:spacing w:before="120" w:after="120"/>
        <w:jc w:val="center"/>
        <w:rPr>
          <w:color w:val="auto"/>
          <w:highlight w:val="none"/>
        </w:rPr>
        <w:sectPr>
          <w:pgSz w:w="16840" w:h="11910" w:orient="landscape"/>
          <w:pgMar w:top="1440" w:right="1800" w:bottom="1440" w:left="1800" w:header="907" w:footer="973" w:gutter="0"/>
          <w:pgNumType w:fmt="numberInDash"/>
          <w:cols w:space="720" w:num="1"/>
        </w:sectPr>
      </w:pPr>
      <w:r>
        <w:rPr>
          <w:rFonts w:cs="Times New Roman"/>
          <w:color w:val="auto"/>
          <w:highlight w:val="none"/>
        </w:rPr>
        <w:drawing>
          <wp:inline distT="0" distB="0" distL="114300" distR="114300">
            <wp:extent cx="7200265" cy="4453255"/>
            <wp:effectExtent l="0" t="0" r="635" b="44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1"/>
                    <a:stretch>
                      <a:fillRect/>
                    </a:stretch>
                  </pic:blipFill>
                  <pic:spPr>
                    <a:xfrm>
                      <a:off x="0" y="0"/>
                      <a:ext cx="7200265" cy="4453255"/>
                    </a:xfrm>
                    <a:prstGeom prst="rect">
                      <a:avLst/>
                    </a:prstGeom>
                    <a:noFill/>
                    <a:ln>
                      <a:noFill/>
                    </a:ln>
                  </pic:spPr>
                </pic:pic>
              </a:graphicData>
            </a:graphic>
          </wp:inline>
        </w:drawing>
      </w:r>
    </w:p>
    <w:p w14:paraId="65733B6B">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525" w:name="_bookmark52"/>
      <w:bookmarkEnd w:id="525"/>
      <w:bookmarkStart w:id="526" w:name="_Toc11513"/>
      <w:bookmarkStart w:id="527" w:name="_Toc13376"/>
      <w:bookmarkStart w:id="528" w:name="_Toc21570"/>
      <w:bookmarkStart w:id="529" w:name="_Toc22358"/>
      <w:bookmarkStart w:id="530" w:name="_Toc8647"/>
      <w:bookmarkStart w:id="531" w:name="_Toc30647"/>
      <w:bookmarkStart w:id="532" w:name="_Toc1482"/>
      <w:bookmarkStart w:id="533" w:name="_Toc10682"/>
      <w:bookmarkStart w:id="534" w:name="_Toc28881"/>
      <w:bookmarkStart w:id="535" w:name="_Toc140219117"/>
      <w:bookmarkStart w:id="536" w:name="_Toc19909"/>
      <w:bookmarkStart w:id="537" w:name="_Toc15357"/>
      <w:bookmarkStart w:id="538" w:name="_Toc13405"/>
      <w:bookmarkStart w:id="539" w:name="_Toc20945"/>
      <w:bookmarkStart w:id="540" w:name="_Toc2279"/>
      <w:bookmarkStart w:id="541" w:name="_Toc11859"/>
      <w:bookmarkStart w:id="542" w:name="_Toc6800"/>
      <w:bookmarkStart w:id="543" w:name="_Toc16741"/>
      <w:bookmarkStart w:id="544" w:name="_Toc9010"/>
      <w:bookmarkStart w:id="545" w:name="_Toc4684"/>
      <w:bookmarkStart w:id="546" w:name="_Toc29704"/>
      <w:bookmarkStart w:id="547" w:name="_Toc14043"/>
      <w:r>
        <w:rPr>
          <w:rFonts w:eastAsia="黑体" w:cs="Times New Roman"/>
          <w:bCs/>
          <w:color w:val="auto"/>
          <w:sz w:val="24"/>
          <w:highlight w:val="none"/>
        </w:rPr>
        <w:t>附图4  设计阶段BIM应用流程</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60B8BC33">
      <w:pPr>
        <w:spacing w:before="120" w:after="120" w:line="240" w:lineRule="auto"/>
        <w:ind w:firstLine="0" w:firstLineChars="0"/>
        <w:jc w:val="center"/>
        <w:rPr>
          <w:rFonts w:cs="Times New Roman"/>
          <w:color w:val="auto"/>
          <w:highlight w:val="none"/>
        </w:rPr>
      </w:pPr>
      <w:r>
        <w:rPr>
          <w:rFonts w:cs="Times New Roman"/>
          <w:color w:val="auto"/>
          <w:highlight w:val="none"/>
        </w:rPr>
        <w:drawing>
          <wp:inline distT="0" distB="0" distL="114300" distR="114300">
            <wp:extent cx="7200265" cy="4356735"/>
            <wp:effectExtent l="0" t="0" r="635" b="571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2"/>
                    <a:stretch>
                      <a:fillRect/>
                    </a:stretch>
                  </pic:blipFill>
                  <pic:spPr>
                    <a:xfrm>
                      <a:off x="0" y="0"/>
                      <a:ext cx="7200265" cy="4356735"/>
                    </a:xfrm>
                    <a:prstGeom prst="rect">
                      <a:avLst/>
                    </a:prstGeom>
                    <a:noFill/>
                    <a:ln>
                      <a:noFill/>
                    </a:ln>
                  </pic:spPr>
                </pic:pic>
              </a:graphicData>
            </a:graphic>
          </wp:inline>
        </w:drawing>
      </w:r>
    </w:p>
    <w:p w14:paraId="5DA86B0E">
      <w:pPr>
        <w:spacing w:before="120" w:after="120" w:line="240" w:lineRule="auto"/>
        <w:jc w:val="center"/>
        <w:rPr>
          <w:color w:val="auto"/>
          <w:highlight w:val="none"/>
        </w:rPr>
        <w:sectPr>
          <w:pgSz w:w="16840" w:h="11910" w:orient="landscape"/>
          <w:pgMar w:top="1440" w:right="1800" w:bottom="1440" w:left="1800" w:header="907" w:footer="973" w:gutter="0"/>
          <w:pgNumType w:fmt="numberInDash"/>
          <w:cols w:space="720" w:num="1"/>
        </w:sectPr>
      </w:pPr>
    </w:p>
    <w:p w14:paraId="7823F4DB">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548" w:name="_bookmark53"/>
      <w:bookmarkEnd w:id="548"/>
      <w:bookmarkStart w:id="549" w:name="_Toc10383"/>
      <w:bookmarkStart w:id="550" w:name="_Toc12539"/>
      <w:bookmarkStart w:id="551" w:name="_Toc11260"/>
      <w:bookmarkStart w:id="552" w:name="_Toc140219118"/>
      <w:bookmarkStart w:id="553" w:name="_Toc3490"/>
      <w:bookmarkStart w:id="554" w:name="_Toc16997"/>
      <w:bookmarkStart w:id="555" w:name="_Toc9692"/>
      <w:bookmarkStart w:id="556" w:name="_Toc2716"/>
      <w:bookmarkStart w:id="557" w:name="_Toc21111"/>
      <w:bookmarkStart w:id="558" w:name="_Toc14547"/>
      <w:bookmarkStart w:id="559" w:name="_Toc15528"/>
      <w:bookmarkStart w:id="560" w:name="_Toc9493"/>
      <w:bookmarkStart w:id="561" w:name="_Toc4940"/>
      <w:bookmarkStart w:id="562" w:name="_Toc2800"/>
      <w:bookmarkStart w:id="563" w:name="_Toc29338"/>
      <w:bookmarkStart w:id="564" w:name="_Toc15895"/>
      <w:bookmarkStart w:id="565" w:name="_Toc28836"/>
      <w:bookmarkStart w:id="566" w:name="_Toc4697"/>
      <w:bookmarkStart w:id="567" w:name="_Toc15451"/>
      <w:bookmarkStart w:id="568" w:name="_Toc8861"/>
      <w:bookmarkStart w:id="569" w:name="_Toc1804"/>
      <w:bookmarkStart w:id="570" w:name="_Toc7167"/>
      <w:r>
        <w:rPr>
          <w:rFonts w:eastAsia="黑体" w:cs="Times New Roman"/>
          <w:bCs/>
          <w:color w:val="auto"/>
          <w:sz w:val="24"/>
          <w:highlight w:val="none"/>
        </w:rPr>
        <w:t>附图5  方案设计阶段BIM应用流程</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2B9F0A5F">
      <w:pPr>
        <w:pStyle w:val="584"/>
        <w:ind w:firstLine="720"/>
        <w:rPr>
          <w:rFonts w:eastAsia="黑体"/>
          <w:bCs/>
          <w:color w:val="auto"/>
          <w:sz w:val="24"/>
          <w:szCs w:val="24"/>
          <w:highlight w:val="none"/>
        </w:rPr>
      </w:pPr>
    </w:p>
    <w:p w14:paraId="3DF5F7DA">
      <w:pPr>
        <w:pStyle w:val="584"/>
        <w:ind w:firstLine="720"/>
        <w:rPr>
          <w:rFonts w:eastAsia="黑体"/>
          <w:bCs/>
          <w:color w:val="auto"/>
          <w:sz w:val="24"/>
          <w:szCs w:val="24"/>
          <w:highlight w:val="none"/>
        </w:rPr>
      </w:pPr>
    </w:p>
    <w:p w14:paraId="21B31734">
      <w:pPr>
        <w:spacing w:before="120" w:after="120"/>
        <w:ind w:firstLine="0" w:firstLineChars="0"/>
        <w:jc w:val="center"/>
        <w:rPr>
          <w:rFonts w:cs="Times New Roman"/>
          <w:color w:val="auto"/>
          <w:highlight w:val="none"/>
        </w:rPr>
      </w:pPr>
      <w:r>
        <w:rPr>
          <w:rFonts w:cs="Times New Roman"/>
          <w:color w:val="auto"/>
          <w:highlight w:val="none"/>
        </w:rPr>
        <w:drawing>
          <wp:inline distT="0" distB="0" distL="114300" distR="114300">
            <wp:extent cx="4679950" cy="5760085"/>
            <wp:effectExtent l="0" t="0" r="6350" b="254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3"/>
                    <a:stretch>
                      <a:fillRect/>
                    </a:stretch>
                  </pic:blipFill>
                  <pic:spPr>
                    <a:xfrm>
                      <a:off x="0" y="0"/>
                      <a:ext cx="4679950" cy="5760085"/>
                    </a:xfrm>
                    <a:prstGeom prst="rect">
                      <a:avLst/>
                    </a:prstGeom>
                    <a:noFill/>
                    <a:ln>
                      <a:noFill/>
                    </a:ln>
                  </pic:spPr>
                </pic:pic>
              </a:graphicData>
            </a:graphic>
          </wp:inline>
        </w:drawing>
      </w:r>
    </w:p>
    <w:p w14:paraId="2A3E6438">
      <w:pPr>
        <w:pStyle w:val="584"/>
        <w:spacing w:before="120" w:after="120"/>
        <w:ind w:firstLine="630"/>
        <w:jc w:val="center"/>
        <w:rPr>
          <w:color w:val="auto"/>
          <w:highlight w:val="none"/>
        </w:rPr>
      </w:pPr>
    </w:p>
    <w:p w14:paraId="07438A45">
      <w:pPr>
        <w:pStyle w:val="584"/>
        <w:spacing w:before="120" w:after="120"/>
        <w:ind w:firstLine="630"/>
        <w:jc w:val="center"/>
        <w:rPr>
          <w:color w:val="auto"/>
          <w:highlight w:val="none"/>
        </w:rPr>
      </w:pPr>
    </w:p>
    <w:p w14:paraId="6248F6CA">
      <w:pPr>
        <w:pStyle w:val="584"/>
        <w:spacing w:before="120" w:after="120"/>
        <w:ind w:firstLine="630"/>
        <w:jc w:val="center"/>
        <w:rPr>
          <w:color w:val="auto"/>
          <w:highlight w:val="none"/>
        </w:rPr>
        <w:sectPr>
          <w:pgSz w:w="11910" w:h="16840"/>
          <w:pgMar w:top="1800" w:right="1440" w:bottom="1800" w:left="1440" w:header="907" w:footer="973" w:gutter="0"/>
          <w:pgNumType w:fmt="numberInDash"/>
          <w:cols w:space="720" w:num="1"/>
        </w:sectPr>
      </w:pPr>
    </w:p>
    <w:p w14:paraId="7593A7B3">
      <w:pPr>
        <w:spacing w:before="120" w:after="120"/>
        <w:rPr>
          <w:color w:val="auto"/>
          <w:highlight w:val="none"/>
        </w:rPr>
      </w:pPr>
      <w:bookmarkStart w:id="571" w:name="_bookmark54"/>
      <w:bookmarkEnd w:id="571"/>
      <w:bookmarkStart w:id="572" w:name="_Toc17961"/>
      <w:bookmarkStart w:id="573" w:name="_Toc8661"/>
      <w:bookmarkStart w:id="574" w:name="_Toc32479"/>
      <w:bookmarkStart w:id="575" w:name="_Toc22976"/>
      <w:bookmarkStart w:id="576" w:name="_Toc7770"/>
      <w:bookmarkStart w:id="577" w:name="_Toc14747"/>
      <w:bookmarkStart w:id="578" w:name="_Toc4361"/>
      <w:bookmarkStart w:id="579" w:name="_Toc19063"/>
      <w:bookmarkStart w:id="580" w:name="_Toc11996"/>
      <w:bookmarkStart w:id="581" w:name="_Toc19085"/>
      <w:bookmarkStart w:id="582" w:name="_Toc32202"/>
      <w:bookmarkStart w:id="583" w:name="_Toc13786"/>
      <w:bookmarkStart w:id="584" w:name="_Toc1389"/>
      <w:bookmarkStart w:id="585" w:name="_Toc140219119"/>
      <w:bookmarkStart w:id="586" w:name="_Toc14852"/>
    </w:p>
    <w:p w14:paraId="53C558B7">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587" w:name="_Toc5722"/>
      <w:bookmarkStart w:id="588" w:name="_Toc29921"/>
      <w:bookmarkStart w:id="589" w:name="_Toc9573"/>
      <w:bookmarkStart w:id="590" w:name="_Toc28300"/>
      <w:bookmarkStart w:id="591" w:name="_Toc26784"/>
      <w:bookmarkStart w:id="592" w:name="_Toc30185"/>
      <w:bookmarkStart w:id="593" w:name="_Toc4889"/>
      <w:r>
        <w:rPr>
          <w:rFonts w:eastAsia="黑体" w:cs="Times New Roman"/>
          <w:bCs/>
          <w:color w:val="auto"/>
          <w:sz w:val="24"/>
          <w:highlight w:val="none"/>
        </w:rPr>
        <w:t>附图6  初步设计阶段BIM应用流程</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2CECDCF7">
      <w:pPr>
        <w:pStyle w:val="584"/>
        <w:ind w:firstLine="630"/>
        <w:rPr>
          <w:color w:val="auto"/>
          <w:highlight w:val="none"/>
        </w:rPr>
      </w:pPr>
    </w:p>
    <w:p w14:paraId="17660AC6">
      <w:pPr>
        <w:spacing w:before="120" w:after="120" w:line="240" w:lineRule="auto"/>
        <w:ind w:firstLine="0" w:firstLineChars="0"/>
        <w:jc w:val="center"/>
        <w:rPr>
          <w:rFonts w:cs="Times New Roman"/>
          <w:color w:val="auto"/>
          <w:highlight w:val="none"/>
        </w:rPr>
      </w:pPr>
      <w:r>
        <w:rPr>
          <w:rFonts w:cs="Times New Roman"/>
          <w:color w:val="auto"/>
          <w:highlight w:val="none"/>
        </w:rPr>
        <w:drawing>
          <wp:inline distT="0" distB="0" distL="114300" distR="114300">
            <wp:extent cx="4679950" cy="5760720"/>
            <wp:effectExtent l="0" t="0" r="635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4679950" cy="5760720"/>
                    </a:xfrm>
                    <a:prstGeom prst="rect">
                      <a:avLst/>
                    </a:prstGeom>
                    <a:noFill/>
                    <a:ln>
                      <a:noFill/>
                    </a:ln>
                  </pic:spPr>
                </pic:pic>
              </a:graphicData>
            </a:graphic>
          </wp:inline>
        </w:drawing>
      </w:r>
    </w:p>
    <w:p w14:paraId="73618DB9">
      <w:pPr>
        <w:pStyle w:val="584"/>
        <w:spacing w:before="120" w:after="120" w:line="240" w:lineRule="auto"/>
        <w:ind w:firstLine="630"/>
        <w:jc w:val="center"/>
        <w:rPr>
          <w:color w:val="auto"/>
          <w:highlight w:val="none"/>
        </w:rPr>
      </w:pPr>
    </w:p>
    <w:p w14:paraId="5E2F52FD">
      <w:pPr>
        <w:spacing w:before="120" w:after="120" w:line="240" w:lineRule="auto"/>
        <w:ind w:firstLine="0" w:firstLineChars="0"/>
        <w:jc w:val="center"/>
        <w:rPr>
          <w:rFonts w:cs="Times New Roman"/>
          <w:color w:val="auto"/>
          <w:highlight w:val="none"/>
        </w:rPr>
      </w:pPr>
    </w:p>
    <w:p w14:paraId="3F7FA3CE">
      <w:pPr>
        <w:pStyle w:val="584"/>
        <w:spacing w:before="120" w:after="120" w:line="240" w:lineRule="auto"/>
        <w:ind w:firstLine="630"/>
        <w:jc w:val="center"/>
        <w:rPr>
          <w:color w:val="auto"/>
          <w:highlight w:val="none"/>
        </w:rPr>
        <w:sectPr>
          <w:pgSz w:w="11910" w:h="16840"/>
          <w:pgMar w:top="1440" w:right="1800" w:bottom="1440" w:left="1800" w:header="907" w:footer="973" w:gutter="0"/>
          <w:pgNumType w:fmt="numberInDash"/>
          <w:cols w:space="720" w:num="1"/>
        </w:sectPr>
      </w:pPr>
    </w:p>
    <w:p w14:paraId="731F3A7E">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594" w:name="_bookmark55"/>
      <w:bookmarkEnd w:id="594"/>
      <w:bookmarkStart w:id="595" w:name="_Toc9861"/>
      <w:bookmarkStart w:id="596" w:name="_Toc23436"/>
      <w:bookmarkStart w:id="597" w:name="_Toc24932"/>
      <w:bookmarkStart w:id="598" w:name="_Toc22018"/>
      <w:bookmarkStart w:id="599" w:name="_Toc17560"/>
      <w:bookmarkStart w:id="600" w:name="_Toc28604"/>
      <w:bookmarkStart w:id="601" w:name="_Toc9400"/>
      <w:bookmarkStart w:id="602" w:name="_Toc13798"/>
      <w:bookmarkStart w:id="603" w:name="_Toc17581"/>
      <w:bookmarkStart w:id="604" w:name="_Toc2065"/>
      <w:bookmarkStart w:id="605" w:name="_Toc8847"/>
      <w:bookmarkStart w:id="606" w:name="_Toc20840"/>
      <w:bookmarkStart w:id="607" w:name="_Toc25377"/>
      <w:bookmarkStart w:id="608" w:name="_Toc13362"/>
      <w:bookmarkStart w:id="609" w:name="_Toc15556"/>
      <w:bookmarkStart w:id="610" w:name="_Toc12887"/>
      <w:bookmarkStart w:id="611" w:name="_Toc140219120"/>
      <w:bookmarkStart w:id="612" w:name="_Toc7059"/>
      <w:bookmarkStart w:id="613" w:name="_Toc8632"/>
      <w:bookmarkStart w:id="614" w:name="_Toc1694"/>
      <w:bookmarkStart w:id="615" w:name="_Toc14158"/>
      <w:bookmarkStart w:id="616" w:name="_Toc27181"/>
      <w:r>
        <w:rPr>
          <w:rFonts w:eastAsia="黑体" w:cs="Times New Roman"/>
          <w:bCs/>
          <w:color w:val="auto"/>
          <w:sz w:val="24"/>
          <w:highlight w:val="none"/>
        </w:rPr>
        <w:t>附图7  施工图设计阶段BIM应用流程</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66B74A73">
      <w:pPr>
        <w:pStyle w:val="584"/>
        <w:ind w:firstLine="630"/>
        <w:rPr>
          <w:color w:val="auto"/>
          <w:highlight w:val="none"/>
        </w:rPr>
      </w:pPr>
    </w:p>
    <w:p w14:paraId="5AD27071">
      <w:pPr>
        <w:spacing w:before="120" w:after="120"/>
        <w:ind w:firstLine="0" w:firstLineChars="0"/>
        <w:jc w:val="center"/>
        <w:rPr>
          <w:rFonts w:cs="Times New Roman"/>
          <w:color w:val="auto"/>
          <w:highlight w:val="none"/>
        </w:rPr>
      </w:pPr>
      <w:r>
        <w:rPr>
          <w:rFonts w:cs="Times New Roman"/>
          <w:color w:val="auto"/>
          <w:highlight w:val="none"/>
        </w:rPr>
        <w:drawing>
          <wp:inline distT="0" distB="0" distL="114300" distR="114300">
            <wp:extent cx="4679950" cy="5774055"/>
            <wp:effectExtent l="0" t="0" r="635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4679950" cy="5774055"/>
                    </a:xfrm>
                    <a:prstGeom prst="rect">
                      <a:avLst/>
                    </a:prstGeom>
                    <a:noFill/>
                    <a:ln>
                      <a:noFill/>
                    </a:ln>
                  </pic:spPr>
                </pic:pic>
              </a:graphicData>
            </a:graphic>
          </wp:inline>
        </w:drawing>
      </w:r>
    </w:p>
    <w:p w14:paraId="05B04D99">
      <w:pPr>
        <w:pStyle w:val="584"/>
        <w:spacing w:before="120" w:after="120"/>
        <w:ind w:firstLine="630"/>
        <w:jc w:val="center"/>
        <w:rPr>
          <w:color w:val="auto"/>
          <w:highlight w:val="none"/>
        </w:rPr>
      </w:pPr>
    </w:p>
    <w:p w14:paraId="016518C9">
      <w:pPr>
        <w:spacing w:before="120" w:after="120"/>
        <w:ind w:firstLine="0" w:firstLineChars="0"/>
        <w:jc w:val="center"/>
        <w:rPr>
          <w:rFonts w:cs="Times New Roman"/>
          <w:color w:val="auto"/>
          <w:highlight w:val="none"/>
        </w:rPr>
      </w:pPr>
    </w:p>
    <w:p w14:paraId="083CE82C">
      <w:pPr>
        <w:pStyle w:val="584"/>
        <w:spacing w:before="120" w:after="120"/>
        <w:ind w:firstLine="630"/>
        <w:jc w:val="center"/>
        <w:rPr>
          <w:color w:val="auto"/>
          <w:highlight w:val="none"/>
        </w:rPr>
        <w:sectPr>
          <w:pgSz w:w="11910" w:h="16840"/>
          <w:pgMar w:top="1800" w:right="1440" w:bottom="1800" w:left="1440" w:header="907" w:footer="973" w:gutter="0"/>
          <w:pgNumType w:fmt="numberInDash"/>
          <w:cols w:space="720" w:num="1"/>
        </w:sectPr>
      </w:pPr>
    </w:p>
    <w:p w14:paraId="1120F3C4">
      <w:pPr>
        <w:pStyle w:val="584"/>
        <w:spacing w:before="120" w:after="120"/>
        <w:ind w:firstLine="180"/>
        <w:rPr>
          <w:rFonts w:eastAsia="Times New Roman"/>
          <w:color w:val="auto"/>
          <w:sz w:val="6"/>
          <w:szCs w:val="6"/>
          <w:highlight w:val="none"/>
        </w:rPr>
      </w:pPr>
    </w:p>
    <w:p w14:paraId="159C1E7D">
      <w:pPr>
        <w:keepNext/>
        <w:keepLines/>
        <w:numPr>
          <w:ilvl w:val="0"/>
          <w:numId w:val="0"/>
        </w:numPr>
        <w:spacing w:before="960" w:beforeLines="400" w:after="480" w:afterLines="200"/>
        <w:jc w:val="center"/>
        <w:outlineLvl w:val="1"/>
        <w:rPr>
          <w:rFonts w:cs="Times New Roman"/>
          <w:bCs/>
          <w:color w:val="auto"/>
          <w:sz w:val="24"/>
          <w:szCs w:val="32"/>
          <w:highlight w:val="none"/>
        </w:rPr>
      </w:pPr>
      <w:bookmarkStart w:id="617" w:name="_bookmark56"/>
      <w:bookmarkEnd w:id="617"/>
      <w:bookmarkStart w:id="618" w:name="_Toc22589"/>
      <w:bookmarkStart w:id="619" w:name="_Toc11635"/>
      <w:bookmarkStart w:id="620" w:name="_Toc31668"/>
      <w:bookmarkStart w:id="621" w:name="_Toc5271"/>
      <w:bookmarkStart w:id="622" w:name="_Toc140219121"/>
      <w:bookmarkStart w:id="623" w:name="_Toc8874"/>
      <w:bookmarkStart w:id="624" w:name="_Toc3983"/>
      <w:bookmarkStart w:id="625" w:name="_Toc19760"/>
      <w:bookmarkStart w:id="626" w:name="_Toc27045"/>
      <w:bookmarkStart w:id="627" w:name="_Toc20564"/>
      <w:bookmarkStart w:id="628" w:name="_Toc14726"/>
      <w:bookmarkStart w:id="629" w:name="_Toc28381"/>
      <w:bookmarkStart w:id="630" w:name="_Toc27553"/>
      <w:bookmarkStart w:id="631" w:name="_Toc25096"/>
      <w:bookmarkStart w:id="632" w:name="_Toc24544"/>
      <w:bookmarkStart w:id="633" w:name="_Toc1204"/>
      <w:bookmarkStart w:id="634" w:name="_Toc1129"/>
      <w:bookmarkStart w:id="635" w:name="_Toc13250"/>
      <w:bookmarkStart w:id="636" w:name="_Toc18446"/>
      <w:bookmarkStart w:id="637" w:name="_Toc3565"/>
      <w:bookmarkStart w:id="638" w:name="_Toc32039"/>
      <w:bookmarkStart w:id="639" w:name="_Toc18046"/>
      <w:r>
        <w:rPr>
          <w:rFonts w:eastAsia="黑体" w:cs="Times New Roman"/>
          <w:bCs/>
          <w:color w:val="auto"/>
          <w:sz w:val="24"/>
          <w:highlight w:val="none"/>
        </w:rPr>
        <w:t>附图8  施工阶段项目实施总体流程</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2289D449">
      <w:pPr>
        <w:pStyle w:val="584"/>
        <w:ind w:firstLine="630"/>
        <w:rPr>
          <w:color w:val="auto"/>
          <w:highlight w:val="none"/>
        </w:rPr>
      </w:pPr>
    </w:p>
    <w:p w14:paraId="7142E8AA">
      <w:pPr>
        <w:spacing w:before="120" w:after="120"/>
        <w:ind w:firstLine="0" w:firstLineChars="0"/>
        <w:jc w:val="center"/>
        <w:rPr>
          <w:rFonts w:eastAsia="Times New Roman" w:cs="Times New Roman"/>
          <w:color w:val="auto"/>
          <w:sz w:val="20"/>
          <w:szCs w:val="20"/>
          <w:highlight w:val="none"/>
        </w:rPr>
      </w:pPr>
      <w:r>
        <w:rPr>
          <w:rFonts w:eastAsia="Times New Roman" w:cs="Times New Roman"/>
          <w:color w:val="auto"/>
          <w:position w:val="-239"/>
          <w:sz w:val="20"/>
          <w:szCs w:val="20"/>
          <w:highlight w:val="none"/>
        </w:rPr>
        <w:drawing>
          <wp:inline distT="0" distB="0" distL="114300" distR="114300">
            <wp:extent cx="5039995" cy="7127240"/>
            <wp:effectExtent l="0" t="0" r="8255"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26"/>
                    <a:stretch>
                      <a:fillRect/>
                    </a:stretch>
                  </pic:blipFill>
                  <pic:spPr>
                    <a:xfrm>
                      <a:off x="0" y="0"/>
                      <a:ext cx="5039995" cy="7127240"/>
                    </a:xfrm>
                    <a:prstGeom prst="rect">
                      <a:avLst/>
                    </a:prstGeom>
                    <a:noFill/>
                    <a:ln>
                      <a:noFill/>
                    </a:ln>
                  </pic:spPr>
                </pic:pic>
              </a:graphicData>
            </a:graphic>
          </wp:inline>
        </w:drawing>
      </w:r>
    </w:p>
    <w:p w14:paraId="6E0C2250">
      <w:pPr>
        <w:spacing w:before="120" w:after="120"/>
        <w:ind w:firstLine="400"/>
        <w:jc w:val="center"/>
        <w:rPr>
          <w:rFonts w:eastAsia="Times New Roman"/>
          <w:color w:val="auto"/>
          <w:sz w:val="20"/>
          <w:szCs w:val="20"/>
          <w:highlight w:val="none"/>
        </w:rPr>
        <w:sectPr>
          <w:pgSz w:w="11910" w:h="16840"/>
          <w:pgMar w:top="1440" w:right="1800" w:bottom="1440" w:left="1800" w:header="907" w:footer="973" w:gutter="0"/>
          <w:pgNumType w:fmt="numberInDash"/>
          <w:cols w:space="720" w:num="1"/>
        </w:sectPr>
      </w:pPr>
    </w:p>
    <w:p w14:paraId="0CAAE67E">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640" w:name="_bookmark57"/>
      <w:bookmarkEnd w:id="640"/>
      <w:bookmarkStart w:id="641" w:name="_Toc19111"/>
      <w:bookmarkStart w:id="642" w:name="_Toc14237"/>
      <w:bookmarkStart w:id="643" w:name="_Toc13558"/>
      <w:bookmarkStart w:id="644" w:name="_Toc20807"/>
      <w:bookmarkStart w:id="645" w:name="_Toc32325"/>
      <w:bookmarkStart w:id="646" w:name="_Toc3506"/>
      <w:bookmarkStart w:id="647" w:name="_Toc32630"/>
      <w:bookmarkStart w:id="648" w:name="_Toc20845"/>
      <w:bookmarkStart w:id="649" w:name="_Toc3086"/>
      <w:bookmarkStart w:id="650" w:name="_Toc25800"/>
      <w:bookmarkStart w:id="651" w:name="_Toc20339"/>
      <w:bookmarkStart w:id="652" w:name="_Toc20688"/>
      <w:bookmarkStart w:id="653" w:name="_Toc28563"/>
      <w:bookmarkStart w:id="654" w:name="_Toc19226"/>
      <w:bookmarkStart w:id="655" w:name="_Toc13586"/>
      <w:bookmarkStart w:id="656" w:name="_Toc2370"/>
      <w:bookmarkStart w:id="657" w:name="_Toc8011"/>
      <w:bookmarkStart w:id="658" w:name="_Toc28465"/>
      <w:bookmarkStart w:id="659" w:name="_Toc31359"/>
      <w:bookmarkStart w:id="660" w:name="_Toc23431"/>
      <w:bookmarkStart w:id="661" w:name="_Toc140219122"/>
      <w:bookmarkStart w:id="662" w:name="_Toc15764"/>
      <w:r>
        <w:rPr>
          <w:rFonts w:eastAsia="黑体" w:cs="Times New Roman"/>
          <w:bCs/>
          <w:color w:val="auto"/>
          <w:sz w:val="24"/>
          <w:highlight w:val="none"/>
        </w:rPr>
        <w:t>附图9  项目BIM团队组织架构</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7D28F567">
      <w:pPr>
        <w:pStyle w:val="584"/>
        <w:ind w:firstLine="720"/>
        <w:rPr>
          <w:rFonts w:eastAsia="黑体"/>
          <w:bCs/>
          <w:color w:val="auto"/>
          <w:sz w:val="24"/>
          <w:szCs w:val="24"/>
          <w:highlight w:val="none"/>
        </w:rPr>
      </w:pPr>
    </w:p>
    <w:p w14:paraId="42BB1310">
      <w:pPr>
        <w:spacing w:before="120" w:after="120"/>
        <w:ind w:firstLine="0" w:firstLineChars="0"/>
        <w:jc w:val="center"/>
        <w:rPr>
          <w:rFonts w:ascii="宋体" w:hAnsi="宋体" w:cs="宋体"/>
          <w:color w:val="auto"/>
          <w:sz w:val="20"/>
          <w:szCs w:val="20"/>
          <w:highlight w:val="none"/>
        </w:rPr>
      </w:pPr>
      <w:r>
        <w:rPr>
          <w:rFonts w:cs="Times New Roman"/>
          <w:color w:val="auto"/>
          <w:highlight w:val="none"/>
        </w:rPr>
        <w:drawing>
          <wp:inline distT="0" distB="0" distL="114300" distR="114300">
            <wp:extent cx="7200265" cy="3578860"/>
            <wp:effectExtent l="0" t="0" r="635" b="25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7"/>
                    <a:stretch>
                      <a:fillRect/>
                    </a:stretch>
                  </pic:blipFill>
                  <pic:spPr>
                    <a:xfrm>
                      <a:off x="0" y="0"/>
                      <a:ext cx="7200265" cy="3578860"/>
                    </a:xfrm>
                    <a:prstGeom prst="rect">
                      <a:avLst/>
                    </a:prstGeom>
                    <a:noFill/>
                    <a:ln>
                      <a:noFill/>
                    </a:ln>
                  </pic:spPr>
                </pic:pic>
              </a:graphicData>
            </a:graphic>
          </wp:inline>
        </w:drawing>
      </w:r>
    </w:p>
    <w:p w14:paraId="32E746A6">
      <w:pPr>
        <w:spacing w:before="120" w:after="120"/>
        <w:ind w:firstLineChars="175"/>
        <w:rPr>
          <w:rFonts w:eastAsia="黑体"/>
          <w:bCs/>
          <w:color w:val="auto"/>
          <w:sz w:val="24"/>
          <w:highlight w:val="none"/>
        </w:rPr>
        <w:sectPr>
          <w:pgSz w:w="16840" w:h="11910" w:orient="landscape"/>
          <w:pgMar w:top="1800" w:right="1440" w:bottom="1800" w:left="1440" w:header="907" w:footer="973" w:gutter="0"/>
          <w:pgNumType w:fmt="numberInDash"/>
          <w:cols w:space="720" w:num="1"/>
        </w:sectPr>
      </w:pPr>
      <w:bookmarkStart w:id="663" w:name="_bookmark58"/>
      <w:bookmarkEnd w:id="663"/>
      <w:bookmarkStart w:id="664" w:name="_Toc5019"/>
      <w:bookmarkStart w:id="665" w:name="_Toc31387"/>
      <w:bookmarkStart w:id="666" w:name="_Toc7813"/>
      <w:bookmarkStart w:id="667" w:name="_Toc140219123"/>
      <w:bookmarkStart w:id="668" w:name="_Toc12653"/>
      <w:bookmarkStart w:id="669" w:name="_Toc31457"/>
      <w:bookmarkStart w:id="670" w:name="_Toc23423"/>
      <w:bookmarkStart w:id="671" w:name="_Toc8608"/>
      <w:bookmarkStart w:id="672" w:name="_Toc17965"/>
      <w:bookmarkStart w:id="673" w:name="_Toc15555"/>
      <w:bookmarkStart w:id="674" w:name="_Toc8842"/>
      <w:bookmarkStart w:id="675" w:name="_Toc22479"/>
      <w:bookmarkStart w:id="676" w:name="_Toc5172"/>
      <w:bookmarkStart w:id="677" w:name="_Toc6779"/>
      <w:bookmarkStart w:id="678" w:name="_Toc1934"/>
    </w:p>
    <w:p w14:paraId="072BBE57">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679" w:name="_Toc30751"/>
      <w:bookmarkStart w:id="680" w:name="_Toc5048"/>
      <w:bookmarkStart w:id="681" w:name="_Toc13431"/>
      <w:bookmarkStart w:id="682" w:name="_Toc31803"/>
      <w:bookmarkStart w:id="683" w:name="_Toc29792"/>
      <w:bookmarkStart w:id="684" w:name="_Toc26557"/>
      <w:bookmarkStart w:id="685" w:name="_Toc31197"/>
      <w:r>
        <w:rPr>
          <w:rFonts w:eastAsia="黑体" w:cs="Times New Roman"/>
          <w:bCs/>
          <w:color w:val="auto"/>
          <w:sz w:val="24"/>
          <w:highlight w:val="none"/>
        </w:rPr>
        <w:t>附图10  BIM前期准备工作</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78566303">
      <w:pPr>
        <w:pStyle w:val="584"/>
        <w:ind w:firstLine="630"/>
        <w:rPr>
          <w:color w:val="auto"/>
          <w:highlight w:val="none"/>
        </w:rPr>
      </w:pPr>
    </w:p>
    <w:p w14:paraId="603E95DE">
      <w:pPr>
        <w:spacing w:before="120" w:after="120"/>
        <w:ind w:firstLine="0" w:firstLineChars="0"/>
        <w:jc w:val="center"/>
        <w:rPr>
          <w:rFonts w:ascii="宋体" w:hAnsi="宋体" w:cs="宋体"/>
          <w:color w:val="auto"/>
          <w:sz w:val="20"/>
          <w:szCs w:val="20"/>
          <w:highlight w:val="none"/>
        </w:rPr>
      </w:pPr>
      <w:r>
        <w:rPr>
          <w:rFonts w:ascii="宋体" w:hAnsi="宋体" w:cs="宋体"/>
          <w:color w:val="auto"/>
          <w:position w:val="-138"/>
          <w:sz w:val="20"/>
          <w:szCs w:val="20"/>
          <w:highlight w:val="none"/>
        </w:rPr>
        <w:drawing>
          <wp:inline distT="0" distB="0" distL="114300" distR="114300">
            <wp:extent cx="5400040" cy="5182235"/>
            <wp:effectExtent l="0" t="0" r="635" b="889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28"/>
                    <a:stretch>
                      <a:fillRect/>
                    </a:stretch>
                  </pic:blipFill>
                  <pic:spPr>
                    <a:xfrm>
                      <a:off x="0" y="0"/>
                      <a:ext cx="5400040" cy="5182235"/>
                    </a:xfrm>
                    <a:prstGeom prst="rect">
                      <a:avLst/>
                    </a:prstGeom>
                    <a:noFill/>
                    <a:ln>
                      <a:noFill/>
                    </a:ln>
                  </pic:spPr>
                </pic:pic>
              </a:graphicData>
            </a:graphic>
          </wp:inline>
        </w:drawing>
      </w:r>
    </w:p>
    <w:p w14:paraId="5BEB868A">
      <w:pPr>
        <w:spacing w:before="120" w:after="120"/>
        <w:ind w:firstLine="0" w:firstLineChars="0"/>
        <w:jc w:val="center"/>
        <w:rPr>
          <w:rFonts w:ascii="宋体" w:hAnsi="宋体" w:cs="宋体"/>
          <w:color w:val="auto"/>
          <w:sz w:val="20"/>
          <w:szCs w:val="20"/>
          <w:highlight w:val="none"/>
        </w:rPr>
      </w:pPr>
    </w:p>
    <w:p w14:paraId="3587D4DE">
      <w:pPr>
        <w:spacing w:before="120" w:after="120"/>
        <w:ind w:firstLine="0" w:firstLineChars="0"/>
        <w:jc w:val="center"/>
        <w:rPr>
          <w:rFonts w:ascii="宋体" w:hAnsi="宋体" w:cs="宋体"/>
          <w:color w:val="auto"/>
          <w:sz w:val="20"/>
          <w:szCs w:val="20"/>
          <w:highlight w:val="none"/>
        </w:rPr>
      </w:pPr>
    </w:p>
    <w:p w14:paraId="5CC6F262">
      <w:pPr>
        <w:spacing w:before="120" w:after="120"/>
        <w:ind w:firstLine="400"/>
        <w:jc w:val="center"/>
        <w:rPr>
          <w:rFonts w:ascii="宋体" w:hAnsi="宋体" w:cs="宋体"/>
          <w:color w:val="auto"/>
          <w:sz w:val="20"/>
          <w:szCs w:val="20"/>
          <w:highlight w:val="none"/>
        </w:rPr>
        <w:sectPr>
          <w:pgSz w:w="11910" w:h="16840"/>
          <w:pgMar w:top="1440" w:right="1800" w:bottom="1440" w:left="1800" w:header="907" w:footer="973" w:gutter="0"/>
          <w:pgNumType w:fmt="numberInDash"/>
          <w:cols w:space="720" w:num="1"/>
        </w:sectPr>
      </w:pPr>
    </w:p>
    <w:p w14:paraId="6F2A4F04">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686" w:name="_bookmark59"/>
      <w:bookmarkEnd w:id="686"/>
      <w:bookmarkStart w:id="687" w:name="_Toc6020"/>
      <w:bookmarkStart w:id="688" w:name="_Toc20616"/>
      <w:bookmarkStart w:id="689" w:name="_Toc1386"/>
      <w:bookmarkStart w:id="690" w:name="_Toc13886"/>
      <w:bookmarkStart w:id="691" w:name="_Toc7036"/>
      <w:bookmarkStart w:id="692" w:name="_Toc31330"/>
      <w:bookmarkStart w:id="693" w:name="_Toc7110"/>
      <w:bookmarkStart w:id="694" w:name="_Toc4612"/>
      <w:bookmarkStart w:id="695" w:name="_Toc29978"/>
      <w:bookmarkStart w:id="696" w:name="_Toc14020"/>
      <w:bookmarkStart w:id="697" w:name="_Toc12990"/>
      <w:bookmarkStart w:id="698" w:name="_Toc10245"/>
      <w:bookmarkStart w:id="699" w:name="_Toc14245"/>
      <w:bookmarkStart w:id="700" w:name="_Toc17010"/>
      <w:bookmarkStart w:id="701" w:name="_Toc8966"/>
      <w:bookmarkStart w:id="702" w:name="_Toc3222"/>
      <w:bookmarkStart w:id="703" w:name="_Toc609"/>
      <w:bookmarkStart w:id="704" w:name="_Toc19147"/>
      <w:bookmarkStart w:id="705" w:name="_Toc31140"/>
      <w:bookmarkStart w:id="706" w:name="_Toc9366"/>
      <w:bookmarkStart w:id="707" w:name="_Toc140219124"/>
      <w:bookmarkStart w:id="708" w:name="_Toc14192"/>
      <w:r>
        <w:rPr>
          <w:rFonts w:eastAsia="黑体" w:cs="Times New Roman"/>
          <w:bCs/>
          <w:color w:val="auto"/>
          <w:sz w:val="24"/>
          <w:highlight w:val="none"/>
        </w:rPr>
        <w:t>附图11  BIM模型会审工作流程</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6B6930FF">
      <w:pPr>
        <w:spacing w:before="120" w:after="120"/>
        <w:ind w:firstLine="0" w:firstLineChars="0"/>
        <w:jc w:val="center"/>
        <w:rPr>
          <w:rFonts w:ascii="宋体" w:hAnsi="宋体" w:cs="宋体"/>
          <w:color w:val="auto"/>
          <w:sz w:val="20"/>
          <w:szCs w:val="20"/>
          <w:highlight w:val="none"/>
        </w:rPr>
      </w:pPr>
      <w:r>
        <w:rPr>
          <w:rFonts w:cs="Times New Roman"/>
          <w:color w:val="auto"/>
          <w:highlight w:val="none"/>
        </w:rPr>
        <w:drawing>
          <wp:inline distT="0" distB="0" distL="114300" distR="114300">
            <wp:extent cx="7200265" cy="3938270"/>
            <wp:effectExtent l="0" t="0" r="63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7200265" cy="3938270"/>
                    </a:xfrm>
                    <a:prstGeom prst="rect">
                      <a:avLst/>
                    </a:prstGeom>
                    <a:noFill/>
                    <a:ln>
                      <a:noFill/>
                    </a:ln>
                  </pic:spPr>
                </pic:pic>
              </a:graphicData>
            </a:graphic>
          </wp:inline>
        </w:drawing>
      </w:r>
      <w:bookmarkStart w:id="709" w:name="_Toc20007"/>
      <w:bookmarkStart w:id="710" w:name="_Toc23527"/>
      <w:bookmarkStart w:id="711" w:name="_Toc29084"/>
      <w:bookmarkStart w:id="712" w:name="_Toc8203"/>
      <w:bookmarkStart w:id="713" w:name="_Toc27072"/>
      <w:bookmarkStart w:id="714" w:name="_Toc17643"/>
      <w:bookmarkStart w:id="715" w:name="_Toc23140"/>
      <w:bookmarkStart w:id="716" w:name="_Toc11919"/>
      <w:bookmarkStart w:id="717" w:name="_Toc11067"/>
      <w:bookmarkStart w:id="718" w:name="_Toc11168"/>
      <w:bookmarkStart w:id="719" w:name="_Toc32497"/>
      <w:bookmarkStart w:id="720" w:name="_Toc18572"/>
      <w:bookmarkStart w:id="721" w:name="_Toc140219125"/>
      <w:bookmarkStart w:id="722" w:name="_Toc3701"/>
      <w:bookmarkStart w:id="723" w:name="_Toc26353"/>
    </w:p>
    <w:p w14:paraId="1394B054">
      <w:pPr>
        <w:spacing w:before="120" w:after="120"/>
        <w:ind w:firstLine="480"/>
        <w:rPr>
          <w:rFonts w:eastAsia="黑体"/>
          <w:bCs/>
          <w:color w:val="auto"/>
          <w:sz w:val="24"/>
          <w:highlight w:val="none"/>
        </w:rPr>
        <w:sectPr>
          <w:pgSz w:w="16840" w:h="11910" w:orient="landscape"/>
          <w:pgMar w:top="1800" w:right="1440" w:bottom="1800" w:left="1440" w:header="907" w:footer="973" w:gutter="0"/>
          <w:pgNumType w:fmt="numberInDash"/>
          <w:cols w:space="720" w:num="1"/>
        </w:sectPr>
      </w:pPr>
    </w:p>
    <w:p w14:paraId="2D39BA35">
      <w:pPr>
        <w:keepNext/>
        <w:keepLines/>
        <w:numPr>
          <w:ilvl w:val="0"/>
          <w:numId w:val="0"/>
        </w:numPr>
        <w:tabs>
          <w:tab w:val="center" w:pos="6980"/>
          <w:tab w:val="left" w:pos="10650"/>
        </w:tabs>
        <w:spacing w:before="960" w:beforeLines="400" w:after="480" w:afterLines="200"/>
        <w:jc w:val="left"/>
        <w:outlineLvl w:val="1"/>
        <w:rPr>
          <w:rFonts w:eastAsia="黑体" w:cs="Times New Roman"/>
          <w:bCs/>
          <w:color w:val="auto"/>
          <w:sz w:val="24"/>
          <w:highlight w:val="none"/>
        </w:rPr>
      </w:pPr>
      <w:bookmarkStart w:id="724" w:name="_Toc23731"/>
      <w:bookmarkStart w:id="725" w:name="_Toc18074"/>
      <w:bookmarkStart w:id="726" w:name="_Toc28305"/>
      <w:bookmarkStart w:id="727" w:name="_Toc19851"/>
      <w:bookmarkStart w:id="728" w:name="_Toc30680"/>
      <w:bookmarkStart w:id="729" w:name="_Toc380"/>
      <w:bookmarkStart w:id="730" w:name="_Toc14928"/>
      <w:r>
        <w:rPr>
          <w:rFonts w:eastAsia="黑体" w:cs="Times New Roman"/>
          <w:bCs/>
          <w:color w:val="auto"/>
          <w:sz w:val="24"/>
          <w:highlight w:val="none"/>
        </w:rPr>
        <w:tab/>
      </w:r>
      <w:r>
        <w:rPr>
          <w:rFonts w:eastAsia="黑体" w:cs="Times New Roman"/>
          <w:bCs/>
          <w:color w:val="auto"/>
          <w:sz w:val="24"/>
          <w:highlight w:val="none"/>
        </w:rPr>
        <w:t>附图12  BIM深化设计管理流程</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7F5FF25F">
      <w:pPr>
        <w:spacing w:before="120" w:after="120"/>
        <w:ind w:firstLine="0" w:firstLineChars="0"/>
        <w:jc w:val="center"/>
        <w:rPr>
          <w:rFonts w:ascii="宋体" w:hAnsi="宋体" w:cs="宋体"/>
          <w:color w:val="auto"/>
          <w:sz w:val="20"/>
          <w:szCs w:val="20"/>
          <w:highlight w:val="none"/>
        </w:rPr>
      </w:pPr>
      <w:r>
        <w:rPr>
          <w:rFonts w:ascii="宋体" w:hAnsi="宋体" w:cs="宋体"/>
          <w:color w:val="auto"/>
          <w:position w:val="-128"/>
          <w:sz w:val="20"/>
          <w:szCs w:val="20"/>
          <w:highlight w:val="none"/>
        </w:rPr>
        <w:drawing>
          <wp:inline distT="0" distB="0" distL="114300" distR="114300">
            <wp:extent cx="5552440" cy="4087495"/>
            <wp:effectExtent l="0" t="0" r="635" b="8255"/>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30"/>
                    <a:stretch>
                      <a:fillRect/>
                    </a:stretch>
                  </pic:blipFill>
                  <pic:spPr>
                    <a:xfrm>
                      <a:off x="0" y="0"/>
                      <a:ext cx="5552440" cy="4087495"/>
                    </a:xfrm>
                    <a:prstGeom prst="rect">
                      <a:avLst/>
                    </a:prstGeom>
                    <a:noFill/>
                    <a:ln>
                      <a:noFill/>
                    </a:ln>
                  </pic:spPr>
                </pic:pic>
              </a:graphicData>
            </a:graphic>
          </wp:inline>
        </w:drawing>
      </w:r>
    </w:p>
    <w:p w14:paraId="0DEDA6CB">
      <w:pPr>
        <w:spacing w:before="120" w:after="120"/>
        <w:ind w:firstLine="400"/>
        <w:rPr>
          <w:rFonts w:ascii="宋体" w:hAnsi="宋体" w:cs="宋体"/>
          <w:color w:val="auto"/>
          <w:sz w:val="20"/>
          <w:szCs w:val="20"/>
          <w:highlight w:val="none"/>
        </w:rPr>
        <w:sectPr>
          <w:pgSz w:w="16840" w:h="11910" w:orient="landscape"/>
          <w:pgMar w:top="1800" w:right="1440" w:bottom="1800" w:left="1440" w:header="907" w:footer="973" w:gutter="0"/>
          <w:pgNumType w:fmt="numberInDash"/>
          <w:cols w:space="720" w:num="1"/>
        </w:sectPr>
      </w:pPr>
    </w:p>
    <w:p w14:paraId="6FD28A67">
      <w:pPr>
        <w:pStyle w:val="584"/>
        <w:spacing w:before="120" w:after="120"/>
        <w:ind w:firstLine="331"/>
        <w:rPr>
          <w:rFonts w:ascii="宋体" w:hAnsi="宋体" w:cs="宋体"/>
          <w:b/>
          <w:bCs/>
          <w:color w:val="auto"/>
          <w:sz w:val="11"/>
          <w:szCs w:val="11"/>
          <w:highlight w:val="none"/>
        </w:rPr>
      </w:pPr>
    </w:p>
    <w:p w14:paraId="2B827F63">
      <w:pPr>
        <w:keepNext/>
        <w:keepLines/>
        <w:numPr>
          <w:ilvl w:val="0"/>
          <w:numId w:val="0"/>
        </w:numPr>
        <w:spacing w:before="960" w:beforeLines="400" w:after="480" w:afterLines="200"/>
        <w:jc w:val="center"/>
        <w:outlineLvl w:val="1"/>
        <w:rPr>
          <w:rFonts w:eastAsia="黑体" w:cs="Times New Roman"/>
          <w:bCs/>
          <w:color w:val="auto"/>
          <w:sz w:val="24"/>
          <w:highlight w:val="none"/>
        </w:rPr>
      </w:pPr>
      <w:bookmarkStart w:id="731" w:name="_bookmark60"/>
      <w:bookmarkEnd w:id="731"/>
      <w:bookmarkStart w:id="732" w:name="_Toc29226"/>
      <w:bookmarkStart w:id="733" w:name="_Toc28542"/>
      <w:bookmarkStart w:id="734" w:name="_Toc29842"/>
      <w:bookmarkStart w:id="735" w:name="_Toc7312"/>
      <w:bookmarkStart w:id="736" w:name="_Toc11331"/>
      <w:bookmarkStart w:id="737" w:name="_Toc7790"/>
      <w:bookmarkStart w:id="738" w:name="_Toc9487"/>
      <w:bookmarkStart w:id="739" w:name="_Toc3474"/>
      <w:bookmarkStart w:id="740" w:name="_Toc25799"/>
      <w:bookmarkStart w:id="741" w:name="_Toc2396"/>
      <w:bookmarkStart w:id="742" w:name="_Toc140219126"/>
      <w:bookmarkStart w:id="743" w:name="_Toc9276"/>
      <w:bookmarkStart w:id="744" w:name="_Toc26604"/>
      <w:bookmarkStart w:id="745" w:name="_Toc26429"/>
      <w:bookmarkStart w:id="746" w:name="_Toc14956"/>
      <w:bookmarkStart w:id="747" w:name="_Toc25866"/>
      <w:bookmarkStart w:id="748" w:name="_Toc15195"/>
      <w:bookmarkStart w:id="749" w:name="_Toc9108"/>
      <w:bookmarkStart w:id="750" w:name="_Toc12453"/>
      <w:bookmarkStart w:id="751" w:name="_Toc11472"/>
      <w:bookmarkStart w:id="752" w:name="_Toc25298"/>
      <w:bookmarkStart w:id="753" w:name="_Toc26614"/>
      <w:r>
        <w:rPr>
          <w:rFonts w:eastAsia="黑体" w:cs="Times New Roman"/>
          <w:bCs/>
          <w:color w:val="auto"/>
          <w:sz w:val="24"/>
          <w:highlight w:val="none"/>
        </w:rPr>
        <w:t>附图13  运维管理系统架构</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185D603B">
      <w:pPr>
        <w:pStyle w:val="584"/>
        <w:ind w:firstLine="720"/>
        <w:rPr>
          <w:rFonts w:eastAsia="黑体"/>
          <w:bCs/>
          <w:color w:val="auto"/>
          <w:sz w:val="24"/>
          <w:szCs w:val="24"/>
          <w:highlight w:val="none"/>
        </w:rPr>
      </w:pPr>
    </w:p>
    <w:p w14:paraId="4AF069B4">
      <w:pPr>
        <w:pStyle w:val="584"/>
        <w:ind w:firstLine="720"/>
        <w:rPr>
          <w:rFonts w:eastAsia="黑体"/>
          <w:bCs/>
          <w:color w:val="auto"/>
          <w:sz w:val="24"/>
          <w:szCs w:val="24"/>
          <w:highlight w:val="none"/>
        </w:rPr>
      </w:pPr>
    </w:p>
    <w:p w14:paraId="279423C8">
      <w:pPr>
        <w:spacing w:before="120" w:after="120"/>
        <w:ind w:firstLine="0" w:firstLineChars="0"/>
        <w:jc w:val="center"/>
        <w:rPr>
          <w:rFonts w:ascii="宋体" w:hAnsi="宋体" w:cs="宋体"/>
          <w:color w:val="auto"/>
          <w:sz w:val="20"/>
          <w:szCs w:val="20"/>
          <w:highlight w:val="none"/>
        </w:rPr>
      </w:pPr>
      <w:r>
        <w:rPr>
          <w:rFonts w:ascii="宋体" w:hAnsi="宋体" w:cs="宋体"/>
          <w:color w:val="auto"/>
          <w:position w:val="-165"/>
          <w:sz w:val="20"/>
          <w:szCs w:val="20"/>
          <w:highlight w:val="none"/>
        </w:rPr>
        <w:drawing>
          <wp:inline distT="0" distB="0" distL="114300" distR="114300">
            <wp:extent cx="5039995" cy="5285105"/>
            <wp:effectExtent l="0" t="0" r="8255"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31"/>
                    <a:stretch>
                      <a:fillRect/>
                    </a:stretch>
                  </pic:blipFill>
                  <pic:spPr>
                    <a:xfrm>
                      <a:off x="0" y="0"/>
                      <a:ext cx="5039995" cy="5285105"/>
                    </a:xfrm>
                    <a:prstGeom prst="rect">
                      <a:avLst/>
                    </a:prstGeom>
                    <a:noFill/>
                    <a:ln>
                      <a:noFill/>
                    </a:ln>
                  </pic:spPr>
                </pic:pic>
              </a:graphicData>
            </a:graphic>
          </wp:inline>
        </w:drawing>
      </w:r>
    </w:p>
    <w:p w14:paraId="791070E2">
      <w:pPr>
        <w:spacing w:before="120" w:after="120"/>
        <w:rPr>
          <w:color w:val="auto"/>
          <w:highlight w:val="none"/>
        </w:rPr>
      </w:pPr>
      <w:bookmarkStart w:id="754" w:name="_Toc611"/>
      <w:bookmarkStart w:id="755" w:name="_Toc4228"/>
      <w:bookmarkStart w:id="756" w:name="_Toc22122"/>
      <w:bookmarkStart w:id="757" w:name="_Toc17574"/>
      <w:bookmarkStart w:id="758" w:name="_Toc14798"/>
      <w:bookmarkStart w:id="759" w:name="_Toc2088"/>
      <w:bookmarkStart w:id="760" w:name="_Toc4114"/>
      <w:bookmarkStart w:id="761" w:name="_Toc14197"/>
      <w:bookmarkStart w:id="762" w:name="_Toc5871"/>
      <w:bookmarkStart w:id="763" w:name="_Toc3011"/>
      <w:bookmarkStart w:id="764" w:name="_Toc9835"/>
      <w:bookmarkStart w:id="765" w:name="_Toc26223"/>
      <w:bookmarkStart w:id="766" w:name="_Toc140219127"/>
      <w:bookmarkStart w:id="767" w:name="_Toc22334"/>
      <w:bookmarkStart w:id="768" w:name="_Toc3608"/>
    </w:p>
    <w:p w14:paraId="5FB88995">
      <w:pPr>
        <w:tabs>
          <w:tab w:val="left" w:pos="0"/>
          <w:tab w:val="left" w:pos="5424"/>
        </w:tabs>
        <w:spacing w:before="120" w:after="120"/>
        <w:ind w:firstLine="0" w:firstLineChars="0"/>
        <w:outlineLvl w:val="1"/>
        <w:rPr>
          <w:rFonts w:eastAsia="黑体"/>
          <w:bCs/>
          <w:color w:val="auto"/>
          <w:sz w:val="24"/>
          <w:highlight w:val="none"/>
        </w:rPr>
        <w:sectPr>
          <w:pgSz w:w="11910" w:h="16840"/>
          <w:pgMar w:top="1580" w:right="1080" w:bottom="1160" w:left="1100" w:header="907" w:footer="973" w:gutter="0"/>
          <w:pgNumType w:fmt="numberInDash"/>
          <w:cols w:space="720" w:num="1"/>
        </w:sectPr>
      </w:pPr>
    </w:p>
    <w:p w14:paraId="5A7D4A39">
      <w:pPr>
        <w:keepNext/>
        <w:keepLines/>
        <w:numPr>
          <w:ilvl w:val="0"/>
          <w:numId w:val="0"/>
        </w:numPr>
        <w:spacing w:before="1248" w:beforeLines="400" w:after="624" w:afterLines="200"/>
        <w:jc w:val="center"/>
        <w:outlineLvl w:val="1"/>
        <w:rPr>
          <w:rFonts w:eastAsia="黑体" w:cs="Times New Roman"/>
          <w:bCs/>
          <w:color w:val="auto"/>
          <w:sz w:val="24"/>
          <w:highlight w:val="none"/>
        </w:rPr>
      </w:pPr>
      <w:bookmarkStart w:id="769" w:name="_Toc133"/>
      <w:bookmarkStart w:id="770" w:name="_Toc6980"/>
      <w:bookmarkStart w:id="771" w:name="_Toc7682"/>
      <w:bookmarkStart w:id="772" w:name="_Toc31959"/>
      <w:bookmarkStart w:id="773" w:name="_Toc11583"/>
      <w:bookmarkStart w:id="774" w:name="_Toc31529"/>
      <w:bookmarkStart w:id="775" w:name="_Toc5149"/>
      <w:r>
        <w:rPr>
          <w:rFonts w:eastAsia="黑体" w:cs="Times New Roman"/>
          <w:bCs/>
          <w:color w:val="auto"/>
          <w:sz w:val="24"/>
          <w:highlight w:val="none"/>
        </w:rPr>
        <w:t>附图14  协同平台架构</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06EB762E">
      <w:pPr>
        <w:spacing w:before="156" w:after="156"/>
        <w:ind w:firstLine="0" w:firstLineChars="0"/>
        <w:jc w:val="center"/>
        <w:rPr>
          <w:rFonts w:ascii="宋体" w:hAnsi="宋体" w:cs="宋体"/>
          <w:color w:val="auto"/>
          <w:sz w:val="20"/>
          <w:szCs w:val="20"/>
          <w:highlight w:val="none"/>
        </w:rPr>
      </w:pPr>
      <w:r>
        <w:rPr>
          <w:rFonts w:cs="Times New Roman"/>
          <w:color w:val="auto"/>
          <w:highlight w:val="none"/>
        </w:rPr>
        <w:drawing>
          <wp:inline distT="0" distB="0" distL="114300" distR="114300">
            <wp:extent cx="2879725" cy="2276475"/>
            <wp:effectExtent l="0" t="0" r="635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2"/>
                    <a:stretch>
                      <a:fillRect/>
                    </a:stretch>
                  </pic:blipFill>
                  <pic:spPr>
                    <a:xfrm>
                      <a:off x="0" y="0"/>
                      <a:ext cx="2879725" cy="2276475"/>
                    </a:xfrm>
                    <a:prstGeom prst="rect">
                      <a:avLst/>
                    </a:prstGeom>
                    <a:noFill/>
                    <a:ln>
                      <a:noFill/>
                    </a:ln>
                  </pic:spPr>
                </pic:pic>
              </a:graphicData>
            </a:graphic>
          </wp:inline>
        </w:drawing>
      </w:r>
    </w:p>
    <w:p w14:paraId="7A0F58C6">
      <w:pPr>
        <w:keepNext/>
        <w:keepLines/>
        <w:numPr>
          <w:ilvl w:val="0"/>
          <w:numId w:val="0"/>
        </w:numPr>
        <w:spacing w:before="1248" w:beforeLines="400" w:after="624" w:afterLines="200"/>
        <w:jc w:val="center"/>
        <w:outlineLvl w:val="1"/>
        <w:rPr>
          <w:rFonts w:eastAsia="黑体" w:cs="Times New Roman"/>
          <w:bCs/>
          <w:color w:val="auto"/>
          <w:sz w:val="24"/>
          <w:highlight w:val="none"/>
        </w:rPr>
      </w:pPr>
      <w:bookmarkStart w:id="776" w:name="_bookmark61"/>
      <w:bookmarkEnd w:id="776"/>
      <w:bookmarkStart w:id="777" w:name="_Toc27562"/>
      <w:bookmarkStart w:id="778" w:name="_Toc27842"/>
      <w:bookmarkStart w:id="779" w:name="_Toc29137"/>
      <w:bookmarkStart w:id="780" w:name="_Toc12886"/>
      <w:bookmarkStart w:id="781" w:name="_Toc9349"/>
      <w:bookmarkStart w:id="782" w:name="_Toc28732"/>
      <w:bookmarkStart w:id="783" w:name="_Toc26876"/>
      <w:bookmarkStart w:id="784" w:name="_Toc20124"/>
      <w:bookmarkStart w:id="785" w:name="_Toc23669"/>
      <w:bookmarkStart w:id="786" w:name="_Toc16600"/>
      <w:bookmarkStart w:id="787" w:name="_Toc140219128"/>
      <w:bookmarkStart w:id="788" w:name="_Toc21893"/>
      <w:bookmarkStart w:id="789" w:name="_Toc6223"/>
      <w:bookmarkStart w:id="790" w:name="_Toc14292"/>
      <w:bookmarkStart w:id="791" w:name="_Toc27606"/>
      <w:bookmarkStart w:id="792" w:name="_Toc27901"/>
      <w:bookmarkStart w:id="793" w:name="_Toc13299"/>
      <w:bookmarkStart w:id="794" w:name="_Toc7160"/>
      <w:bookmarkStart w:id="795" w:name="_Toc26252"/>
      <w:bookmarkStart w:id="796" w:name="_Toc13319"/>
      <w:bookmarkStart w:id="797" w:name="_Toc1001"/>
      <w:bookmarkStart w:id="798" w:name="_Toc12198"/>
      <w:r>
        <w:rPr>
          <w:rFonts w:eastAsia="黑体" w:cs="Times New Roman"/>
          <w:bCs/>
          <w:color w:val="auto"/>
          <w:sz w:val="24"/>
          <w:highlight w:val="none"/>
        </w:rPr>
        <w:t>附图15  BIM协同平台架构</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3BF3D5D6">
      <w:pPr>
        <w:pStyle w:val="584"/>
        <w:ind w:firstLine="630"/>
        <w:rPr>
          <w:color w:val="auto"/>
          <w:highlight w:val="none"/>
        </w:rPr>
      </w:pPr>
    </w:p>
    <w:p w14:paraId="6801B411">
      <w:pPr>
        <w:spacing w:before="156" w:after="156"/>
        <w:ind w:firstLine="0" w:firstLineChars="0"/>
        <w:jc w:val="center"/>
        <w:rPr>
          <w:rFonts w:ascii="宋体" w:hAnsi="宋体" w:cs="宋体"/>
          <w:color w:val="auto"/>
          <w:sz w:val="20"/>
          <w:szCs w:val="20"/>
          <w:highlight w:val="none"/>
        </w:rPr>
      </w:pPr>
      <w:r>
        <w:rPr>
          <w:rFonts w:ascii="宋体" w:hAnsi="宋体" w:cs="宋体"/>
          <w:color w:val="auto"/>
          <w:position w:val="-89"/>
          <w:sz w:val="20"/>
          <w:szCs w:val="20"/>
          <w:highlight w:val="none"/>
        </w:rPr>
        <w:drawing>
          <wp:inline distT="0" distB="0" distL="114300" distR="114300">
            <wp:extent cx="4619625" cy="2721610"/>
            <wp:effectExtent l="0" t="0" r="0" b="2540"/>
            <wp:docPr id="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pic:cNvPicPr>
                      <a:picLocks noChangeAspect="1"/>
                    </pic:cNvPicPr>
                  </pic:nvPicPr>
                  <pic:blipFill>
                    <a:blip r:embed="rId33"/>
                    <a:stretch>
                      <a:fillRect/>
                    </a:stretch>
                  </pic:blipFill>
                  <pic:spPr>
                    <a:xfrm>
                      <a:off x="0" y="0"/>
                      <a:ext cx="4619625" cy="2721610"/>
                    </a:xfrm>
                    <a:prstGeom prst="rect">
                      <a:avLst/>
                    </a:prstGeom>
                    <a:noFill/>
                    <a:ln>
                      <a:noFill/>
                    </a:ln>
                  </pic:spPr>
                </pic:pic>
              </a:graphicData>
            </a:graphic>
          </wp:inline>
        </w:drawing>
      </w:r>
    </w:p>
    <w:p w14:paraId="43062C56">
      <w:pPr>
        <w:widowControl/>
        <w:jc w:val="left"/>
        <w:rPr>
          <w:rFonts w:ascii="宋体" w:hAnsi="宋体" w:eastAsia="宋体"/>
          <w:strike/>
          <w:color w:val="auto"/>
          <w:sz w:val="24"/>
          <w:szCs w:val="24"/>
          <w:highlight w:val="none"/>
        </w:rPr>
      </w:pPr>
    </w:p>
    <w:p w14:paraId="6DEE3A2C">
      <w:pPr>
        <w:spacing w:line="560" w:lineRule="exact"/>
        <w:rPr>
          <w:rFonts w:hint="eastAsia" w:ascii="宋体" w:hAnsi="宋体" w:eastAsia="宋体"/>
          <w:bCs/>
          <w:color w:val="auto"/>
          <w:sz w:val="24"/>
          <w:szCs w:val="24"/>
          <w:highlight w:val="none"/>
          <w:lang w:eastAsia="zh-Hans"/>
        </w:rPr>
      </w:pPr>
    </w:p>
    <w:p w14:paraId="091D6875">
      <w:pPr>
        <w:rPr>
          <w:color w:val="auto"/>
          <w:highlight w:val="none"/>
        </w:rPr>
      </w:pPr>
      <w:r>
        <w:rPr>
          <w:rFonts w:hint="eastAsia" w:ascii="宋体" w:hAnsi="宋体" w:eastAsia="宋体"/>
          <w:bCs/>
          <w:color w:val="auto"/>
          <w:sz w:val="24"/>
          <w:szCs w:val="24"/>
          <w:highlight w:val="none"/>
          <w:lang w:val="en-US" w:eastAsia="zh-CN"/>
        </w:rPr>
        <w:t>附件11：省代建项目管理局BIM实施管理标准2023修订版</w:t>
      </w:r>
    </w:p>
    <w:p w14:paraId="32EBFAC7">
      <w:pPr>
        <w:rPr>
          <w:color w:val="auto"/>
          <w:highlight w:val="none"/>
        </w:rPr>
      </w:pPr>
    </w:p>
    <w:p w14:paraId="44E559D3">
      <w:pPr>
        <w:rPr>
          <w:color w:val="auto"/>
          <w:highlight w:val="none"/>
        </w:rPr>
      </w:pPr>
    </w:p>
    <w:p w14:paraId="6E3E5928">
      <w:pPr>
        <w:rPr>
          <w:color w:val="auto"/>
          <w:highlight w:val="none"/>
        </w:rPr>
      </w:pPr>
    </w:p>
    <w:p w14:paraId="3E628967">
      <w:pPr>
        <w:widowControl/>
        <w:spacing w:before="0" w:after="0"/>
        <w:jc w:val="center"/>
        <w:rPr>
          <w:rFonts w:ascii="Times New Roman" w:hAnsi="Times New Roman" w:eastAsia="宋体" w:cs="Times New Roman"/>
          <w:b/>
          <w:bCs/>
          <w:color w:val="auto"/>
          <w:sz w:val="52"/>
          <w:highlight w:val="none"/>
        </w:rPr>
      </w:pPr>
      <w:r>
        <w:rPr>
          <w:rFonts w:ascii="Times New Roman" w:hAnsi="Times New Roman" w:eastAsia="宋体" w:cs="Times New Roman"/>
          <w:b/>
          <w:bCs/>
          <w:color w:val="auto"/>
          <w:sz w:val="52"/>
          <w:highlight w:val="none"/>
        </w:rPr>
        <w:t>BIM实施管理标准</w:t>
      </w:r>
    </w:p>
    <w:p w14:paraId="21DDBD27">
      <w:pPr>
        <w:ind w:firstLine="681"/>
        <w:jc w:val="center"/>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2023修订版</w:t>
      </w:r>
    </w:p>
    <w:p w14:paraId="27C1A547">
      <w:pPr>
        <w:rPr>
          <w:color w:val="auto"/>
          <w:highlight w:val="none"/>
        </w:rPr>
      </w:pPr>
    </w:p>
    <w:p w14:paraId="32CF64F5">
      <w:pPr>
        <w:rPr>
          <w:color w:val="auto"/>
          <w:highlight w:val="none"/>
        </w:rPr>
      </w:pPr>
    </w:p>
    <w:p w14:paraId="582AB792">
      <w:pPr>
        <w:rPr>
          <w:color w:val="auto"/>
          <w:highlight w:val="none"/>
        </w:rPr>
      </w:pPr>
    </w:p>
    <w:p w14:paraId="204FB98A">
      <w:pPr>
        <w:rPr>
          <w:color w:val="auto"/>
          <w:highlight w:val="none"/>
        </w:rPr>
      </w:pPr>
    </w:p>
    <w:p w14:paraId="029450D6">
      <w:pPr>
        <w:rPr>
          <w:color w:val="auto"/>
          <w:highlight w:val="none"/>
        </w:rPr>
      </w:pPr>
    </w:p>
    <w:p w14:paraId="4CAE6157">
      <w:pPr>
        <w:rPr>
          <w:color w:val="auto"/>
          <w:highlight w:val="none"/>
        </w:rPr>
      </w:pPr>
    </w:p>
    <w:p w14:paraId="2CAE0620">
      <w:pPr>
        <w:rPr>
          <w:color w:val="auto"/>
          <w:highlight w:val="none"/>
        </w:rPr>
      </w:pPr>
    </w:p>
    <w:p w14:paraId="6A62B642">
      <w:pPr>
        <w:rPr>
          <w:color w:val="auto"/>
          <w:highlight w:val="none"/>
        </w:rPr>
      </w:pPr>
    </w:p>
    <w:p w14:paraId="695360D0">
      <w:pPr>
        <w:rPr>
          <w:color w:val="auto"/>
          <w:highlight w:val="none"/>
        </w:rPr>
      </w:pPr>
    </w:p>
    <w:p w14:paraId="78F1A2EF">
      <w:pPr>
        <w:rPr>
          <w:color w:val="auto"/>
          <w:highlight w:val="none"/>
        </w:rPr>
      </w:pPr>
    </w:p>
    <w:p w14:paraId="71B743C2">
      <w:pPr>
        <w:rPr>
          <w:color w:val="auto"/>
          <w:highlight w:val="none"/>
        </w:rPr>
      </w:pPr>
    </w:p>
    <w:p w14:paraId="715A67F7">
      <w:pPr>
        <w:widowControl/>
        <w:spacing w:before="0" w:after="100" w:afterAutospacing="1" w:line="240" w:lineRule="auto"/>
        <w:jc w:val="center"/>
        <w:rPr>
          <w:rFonts w:ascii="Times New Roman" w:hAnsi="Times New Roman" w:eastAsia="宋体" w:cs="Times New Roman"/>
          <w:color w:val="auto"/>
          <w:sz w:val="28"/>
          <w:szCs w:val="22"/>
          <w:highlight w:val="none"/>
        </w:rPr>
      </w:pPr>
      <w:r>
        <w:rPr>
          <w:rFonts w:ascii="Times New Roman" w:hAnsi="Times New Roman" w:eastAsia="宋体" w:cs="Times New Roman"/>
          <w:color w:val="auto"/>
          <w:sz w:val="28"/>
          <w:szCs w:val="22"/>
          <w:highlight w:val="none"/>
        </w:rPr>
        <w:t>广东省代建项目管理局</w:t>
      </w:r>
    </w:p>
    <w:p w14:paraId="1B86B74F">
      <w:pPr>
        <w:widowControl/>
        <w:spacing w:before="0" w:after="100" w:afterAutospacing="1" w:line="240" w:lineRule="auto"/>
        <w:jc w:val="center"/>
        <w:rPr>
          <w:rFonts w:ascii="Times New Roman" w:hAnsi="Times New Roman" w:eastAsia="宋体" w:cs="Times New Roman"/>
          <w:color w:val="auto"/>
          <w:sz w:val="28"/>
          <w:szCs w:val="22"/>
          <w:highlight w:val="none"/>
        </w:rPr>
      </w:pPr>
      <w:r>
        <w:rPr>
          <w:rFonts w:ascii="Times New Roman" w:hAnsi="Times New Roman" w:eastAsia="宋体" w:cs="Times New Roman"/>
          <w:color w:val="auto"/>
          <w:sz w:val="28"/>
          <w:szCs w:val="22"/>
          <w:highlight w:val="none"/>
        </w:rPr>
        <w:t>2023年09月</w:t>
      </w:r>
    </w:p>
    <w:p w14:paraId="6133D933">
      <w:pPr>
        <w:widowControl/>
        <w:spacing w:before="0" w:after="100" w:afterAutospacing="1" w:line="240" w:lineRule="auto"/>
        <w:jc w:val="center"/>
        <w:rPr>
          <w:rFonts w:ascii="Times New Roman" w:hAnsi="Times New Roman" w:eastAsia="宋体" w:cs="Times New Roman"/>
          <w:color w:val="auto"/>
          <w:sz w:val="28"/>
          <w:szCs w:val="22"/>
          <w:highlight w:val="none"/>
        </w:rPr>
        <w:sectPr>
          <w:footerReference r:id="rId11" w:type="default"/>
          <w:pgSz w:w="11906" w:h="16838"/>
          <w:pgMar w:top="1440" w:right="1800" w:bottom="1440" w:left="1800" w:header="851" w:footer="992" w:gutter="0"/>
          <w:cols w:space="720" w:num="1"/>
          <w:docGrid w:type="lines" w:linePitch="312" w:charSpace="0"/>
        </w:sectPr>
      </w:pPr>
    </w:p>
    <w:p w14:paraId="6C477A8E">
      <w:pPr>
        <w:rPr>
          <w:color w:val="auto"/>
          <w:highlight w:val="none"/>
        </w:rPr>
      </w:pPr>
    </w:p>
    <w:p w14:paraId="5C42724A">
      <w:pPr>
        <w:jc w:val="center"/>
        <w:rPr>
          <w:b/>
          <w:bCs/>
          <w:color w:val="auto"/>
          <w:sz w:val="32"/>
          <w:szCs w:val="40"/>
          <w:highlight w:val="none"/>
        </w:rPr>
      </w:pPr>
      <w:r>
        <w:rPr>
          <w:b/>
          <w:bCs/>
          <w:color w:val="auto"/>
          <w:sz w:val="32"/>
          <w:szCs w:val="40"/>
          <w:highlight w:val="none"/>
        </w:rPr>
        <w:t>前  言</w:t>
      </w:r>
    </w:p>
    <w:p w14:paraId="08417E10">
      <w:pPr>
        <w:rPr>
          <w:color w:val="auto"/>
          <w:highlight w:val="none"/>
        </w:rPr>
      </w:pPr>
    </w:p>
    <w:p w14:paraId="3F462E82">
      <w:pPr>
        <w:ind w:firstLine="420" w:firstLineChars="200"/>
        <w:rPr>
          <w:color w:val="auto"/>
          <w:highlight w:val="none"/>
        </w:rPr>
      </w:pPr>
      <w:r>
        <w:rPr>
          <w:color w:val="auto"/>
          <w:highlight w:val="none"/>
        </w:rPr>
        <w:t>为规范我局政府投资项目BIM实施管理流程，实现规范化、科学化、标准化的项目管理目标。标准编制组经调查研究，总结我局BIM应用的实践经验，参考有关国际、国内标准和先进项目经验，并广泛征求意见和结合广东省实际，组织进行专题研讨，制定本标准。</w:t>
      </w:r>
    </w:p>
    <w:p w14:paraId="6D65D130">
      <w:pPr>
        <w:ind w:firstLine="420" w:firstLineChars="200"/>
        <w:rPr>
          <w:color w:val="auto"/>
          <w:highlight w:val="none"/>
        </w:rPr>
      </w:pPr>
      <w:r>
        <w:rPr>
          <w:color w:val="auto"/>
          <w:highlight w:val="none"/>
        </w:rPr>
        <w:t>标准总结广东省代建项目管理局在建设工程项目中运用BIM的管理方法及经验，规范BIM实施管理。标准主要内容包括：1.总则；2.术语；3.基本规定；4.管理组织规定；5.职责要求；6.项目应用实施管理；7.交付成果；8.协同要求及附件等。附件为《广东省代建项目管理局BIM实施导则》，内容包括：1.模型体现及应用点；2.BIM模型实施管理；3.项目控制；4.交付成果要求；5.协同平台要求；6.软件标准；7.全地形BIM应用及控制要求及附表、附图。</w:t>
      </w:r>
    </w:p>
    <w:p w14:paraId="7F7BDCB6">
      <w:pPr>
        <w:ind w:firstLine="420" w:firstLineChars="200"/>
        <w:rPr>
          <w:color w:val="auto"/>
          <w:highlight w:val="none"/>
        </w:rPr>
      </w:pPr>
      <w:r>
        <w:rPr>
          <w:color w:val="auto"/>
          <w:highlight w:val="none"/>
        </w:rPr>
        <w:t>本标准由广东省代建项目管理局组织局BIM技术应用管理领导小组及小组技术顾问单位联合编制，由局BIM技术应用管理领导小组及技术顾问单位负责具体技术内容的解释，且本标准未涉及专利。</w:t>
      </w:r>
    </w:p>
    <w:p w14:paraId="346FE607">
      <w:pPr>
        <w:ind w:firstLine="422" w:firstLineChars="200"/>
        <w:rPr>
          <w:color w:val="auto"/>
          <w:highlight w:val="none"/>
        </w:rPr>
      </w:pPr>
      <w:r>
        <w:rPr>
          <w:b/>
          <w:bCs/>
          <w:color w:val="auto"/>
          <w:highlight w:val="none"/>
        </w:rPr>
        <w:t>本标准主编单位</w:t>
      </w:r>
      <w:r>
        <w:rPr>
          <w:color w:val="auto"/>
          <w:highlight w:val="none"/>
        </w:rPr>
        <w:t>：广东省代建项目管理局</w:t>
      </w:r>
    </w:p>
    <w:p w14:paraId="059B1A48">
      <w:pPr>
        <w:rPr>
          <w:color w:val="auto"/>
          <w:highlight w:val="none"/>
        </w:rPr>
      </w:pPr>
    </w:p>
    <w:p w14:paraId="6C68A27B">
      <w:pPr>
        <w:ind w:firstLine="422" w:firstLineChars="200"/>
        <w:rPr>
          <w:color w:val="auto"/>
          <w:highlight w:val="none"/>
        </w:rPr>
      </w:pPr>
      <w:r>
        <w:rPr>
          <w:b/>
          <w:bCs/>
          <w:color w:val="auto"/>
          <w:highlight w:val="none"/>
        </w:rPr>
        <w:t>本标准参编单位</w:t>
      </w:r>
      <w:r>
        <w:rPr>
          <w:color w:val="auto"/>
          <w:highlight w:val="none"/>
        </w:rPr>
        <w:t>：中国建筑第</w:t>
      </w:r>
      <w:r>
        <w:rPr>
          <w:rFonts w:hint="eastAsia"/>
          <w:color w:val="auto"/>
          <w:highlight w:val="none"/>
        </w:rPr>
        <w:t>八</w:t>
      </w:r>
      <w:r>
        <w:rPr>
          <w:color w:val="auto"/>
          <w:highlight w:val="none"/>
        </w:rPr>
        <w:t>工程局有限公司</w:t>
      </w:r>
    </w:p>
    <w:p w14:paraId="15567555">
      <w:pPr>
        <w:ind w:firstLine="2100" w:firstLineChars="1000"/>
        <w:rPr>
          <w:color w:val="auto"/>
          <w:highlight w:val="none"/>
        </w:rPr>
      </w:pPr>
      <w:r>
        <w:rPr>
          <w:color w:val="auto"/>
          <w:highlight w:val="none"/>
        </w:rPr>
        <w:t>中国建筑第</w:t>
      </w:r>
      <w:r>
        <w:rPr>
          <w:rFonts w:hint="eastAsia"/>
          <w:color w:val="auto"/>
          <w:highlight w:val="none"/>
        </w:rPr>
        <w:t>四</w:t>
      </w:r>
      <w:r>
        <w:rPr>
          <w:color w:val="auto"/>
          <w:highlight w:val="none"/>
        </w:rPr>
        <w:t>工程局有限公司</w:t>
      </w:r>
    </w:p>
    <w:p w14:paraId="2F5F3047">
      <w:pPr>
        <w:ind w:firstLine="2100" w:firstLineChars="1000"/>
        <w:rPr>
          <w:color w:val="auto"/>
          <w:highlight w:val="none"/>
        </w:rPr>
      </w:pPr>
      <w:r>
        <w:rPr>
          <w:color w:val="auto"/>
          <w:highlight w:val="none"/>
        </w:rPr>
        <w:t>中建三局集团有限公司</w:t>
      </w:r>
    </w:p>
    <w:p w14:paraId="649257A2">
      <w:pPr>
        <w:ind w:firstLine="2100" w:firstLineChars="1000"/>
        <w:rPr>
          <w:color w:val="auto"/>
          <w:highlight w:val="none"/>
        </w:rPr>
      </w:pPr>
      <w:r>
        <w:rPr>
          <w:color w:val="auto"/>
          <w:highlight w:val="none"/>
        </w:rPr>
        <w:t>中国建筑西南设计研究院有限公司</w:t>
      </w:r>
    </w:p>
    <w:p w14:paraId="34E2CF86">
      <w:pPr>
        <w:ind w:firstLine="2100" w:firstLineChars="1000"/>
        <w:rPr>
          <w:color w:val="auto"/>
          <w:highlight w:val="none"/>
        </w:rPr>
      </w:pPr>
      <w:r>
        <w:rPr>
          <w:color w:val="auto"/>
          <w:highlight w:val="none"/>
        </w:rPr>
        <w:t>广东省建筑科学研究院集团股份有限公司</w:t>
      </w:r>
    </w:p>
    <w:p w14:paraId="3A9E2534">
      <w:pPr>
        <w:ind w:firstLine="2100" w:firstLineChars="1000"/>
        <w:rPr>
          <w:color w:val="auto"/>
          <w:highlight w:val="none"/>
        </w:rPr>
      </w:pPr>
      <w:r>
        <w:rPr>
          <w:rFonts w:hint="eastAsia"/>
          <w:color w:val="auto"/>
          <w:highlight w:val="none"/>
        </w:rPr>
        <w:t>广东省建筑设计研究院有有限公司</w:t>
      </w:r>
    </w:p>
    <w:p w14:paraId="76325116">
      <w:pPr>
        <w:rPr>
          <w:color w:val="auto"/>
          <w:highlight w:val="none"/>
        </w:rPr>
      </w:pPr>
    </w:p>
    <w:p w14:paraId="44DA9403">
      <w:pPr>
        <w:rPr>
          <w:rFonts w:hint="eastAsia"/>
          <w:color w:val="auto"/>
          <w:highlight w:val="none"/>
        </w:rPr>
      </w:pPr>
    </w:p>
    <w:p w14:paraId="0981D385">
      <w:pPr>
        <w:ind w:firstLine="422" w:firstLineChars="200"/>
        <w:rPr>
          <w:color w:val="auto"/>
          <w:highlight w:val="none"/>
        </w:rPr>
      </w:pPr>
      <w:r>
        <w:rPr>
          <w:b/>
          <w:bCs/>
          <w:color w:val="auto"/>
          <w:highlight w:val="none"/>
        </w:rPr>
        <w:t>本标准主要编制人员</w:t>
      </w:r>
      <w:r>
        <w:rPr>
          <w:color w:val="auto"/>
          <w:highlight w:val="none"/>
        </w:rPr>
        <w:t>：杜  挺 曹剑锋 张为健</w:t>
      </w:r>
      <w:r>
        <w:rPr>
          <w:rFonts w:hint="eastAsia"/>
          <w:color w:val="auto"/>
          <w:highlight w:val="none"/>
        </w:rPr>
        <w:t xml:space="preserve"> </w:t>
      </w:r>
      <w:r>
        <w:rPr>
          <w:color w:val="auto"/>
          <w:highlight w:val="none"/>
        </w:rPr>
        <w:t xml:space="preserve">杨友才 </w:t>
      </w:r>
      <w:r>
        <w:rPr>
          <w:rFonts w:hint="eastAsia"/>
          <w:color w:val="auto"/>
          <w:highlight w:val="none"/>
        </w:rPr>
        <w:t xml:space="preserve">吴 </w:t>
      </w:r>
      <w:r>
        <w:rPr>
          <w:color w:val="auto"/>
          <w:highlight w:val="none"/>
        </w:rPr>
        <w:t xml:space="preserve"> </w:t>
      </w:r>
      <w:r>
        <w:rPr>
          <w:rFonts w:hint="eastAsia"/>
          <w:color w:val="auto"/>
          <w:highlight w:val="none"/>
        </w:rPr>
        <w:t>桥</w:t>
      </w:r>
      <w:r>
        <w:rPr>
          <w:color w:val="auto"/>
          <w:highlight w:val="none"/>
        </w:rPr>
        <w:t xml:space="preserve"> </w:t>
      </w:r>
    </w:p>
    <w:p w14:paraId="53AB9BBC">
      <w:pPr>
        <w:ind w:firstLine="2520" w:firstLineChars="1200"/>
        <w:rPr>
          <w:color w:val="auto"/>
          <w:highlight w:val="none"/>
        </w:rPr>
      </w:pPr>
      <w:r>
        <w:rPr>
          <w:color w:val="auto"/>
          <w:highlight w:val="none"/>
        </w:rPr>
        <w:t>张雪</w:t>
      </w:r>
      <w:r>
        <w:rPr>
          <w:rFonts w:hint="eastAsia"/>
          <w:color w:val="auto"/>
          <w:highlight w:val="none"/>
        </w:rPr>
        <w:t xml:space="preserve">普 </w:t>
      </w:r>
      <w:r>
        <w:rPr>
          <w:color w:val="auto"/>
          <w:highlight w:val="none"/>
        </w:rPr>
        <w:t>龙定洲</w:t>
      </w:r>
      <w:r>
        <w:rPr>
          <w:rFonts w:hint="eastAsia"/>
          <w:color w:val="auto"/>
          <w:highlight w:val="none"/>
        </w:rPr>
        <w:t xml:space="preserve"> </w:t>
      </w:r>
      <w:r>
        <w:rPr>
          <w:color w:val="auto"/>
          <w:highlight w:val="none"/>
        </w:rPr>
        <w:t>邱佐军</w:t>
      </w:r>
      <w:r>
        <w:rPr>
          <w:rFonts w:hint="eastAsia"/>
          <w:color w:val="auto"/>
          <w:highlight w:val="none"/>
        </w:rPr>
        <w:t xml:space="preserve"> </w:t>
      </w:r>
      <w:r>
        <w:rPr>
          <w:color w:val="auto"/>
          <w:highlight w:val="none"/>
        </w:rPr>
        <w:t>陈嘉庆</w:t>
      </w:r>
      <w:r>
        <w:rPr>
          <w:rFonts w:hint="eastAsia"/>
          <w:color w:val="auto"/>
          <w:highlight w:val="none"/>
        </w:rPr>
        <w:t xml:space="preserve"> </w:t>
      </w:r>
      <w:r>
        <w:rPr>
          <w:color w:val="auto"/>
          <w:highlight w:val="none"/>
        </w:rPr>
        <w:t>周子璐</w:t>
      </w:r>
    </w:p>
    <w:p w14:paraId="486C15ED">
      <w:pPr>
        <w:ind w:firstLine="2520" w:firstLineChars="1200"/>
        <w:rPr>
          <w:color w:val="auto"/>
          <w:highlight w:val="none"/>
        </w:rPr>
      </w:pPr>
      <w:r>
        <w:rPr>
          <w:color w:val="auto"/>
          <w:highlight w:val="none"/>
        </w:rPr>
        <w:t>桂峥嵘 张国真 刘  杰</w:t>
      </w:r>
      <w:r>
        <w:rPr>
          <w:rFonts w:hint="eastAsia"/>
          <w:color w:val="auto"/>
          <w:highlight w:val="none"/>
        </w:rPr>
        <w:t xml:space="preserve"> </w:t>
      </w:r>
      <w:r>
        <w:rPr>
          <w:color w:val="auto"/>
          <w:highlight w:val="none"/>
        </w:rPr>
        <w:t>方明洋</w:t>
      </w:r>
      <w:r>
        <w:rPr>
          <w:rFonts w:hint="eastAsia"/>
          <w:color w:val="auto"/>
          <w:highlight w:val="none"/>
        </w:rPr>
        <w:t xml:space="preserve"> </w:t>
      </w:r>
      <w:r>
        <w:rPr>
          <w:color w:val="auto"/>
          <w:highlight w:val="none"/>
        </w:rPr>
        <w:t>刘梦豪</w:t>
      </w:r>
    </w:p>
    <w:p w14:paraId="6B4041FE">
      <w:pPr>
        <w:ind w:firstLine="2520" w:firstLineChars="1200"/>
        <w:rPr>
          <w:color w:val="auto"/>
          <w:highlight w:val="none"/>
        </w:rPr>
      </w:pPr>
      <w:r>
        <w:rPr>
          <w:rFonts w:hint="eastAsia"/>
          <w:color w:val="auto"/>
          <w:highlight w:val="none"/>
        </w:rPr>
        <w:t>姚守俨</w:t>
      </w:r>
      <w:r>
        <w:rPr>
          <w:color w:val="auto"/>
          <w:highlight w:val="none"/>
        </w:rPr>
        <w:t xml:space="preserve"> </w:t>
      </w:r>
      <w:r>
        <w:rPr>
          <w:rFonts w:hint="eastAsia"/>
          <w:color w:val="auto"/>
          <w:highlight w:val="none"/>
        </w:rPr>
        <w:t>方速昌</w:t>
      </w:r>
      <w:r>
        <w:rPr>
          <w:color w:val="auto"/>
          <w:highlight w:val="none"/>
        </w:rPr>
        <w:t xml:space="preserve"> </w:t>
      </w:r>
      <w:r>
        <w:rPr>
          <w:rFonts w:hint="eastAsia"/>
          <w:color w:val="auto"/>
          <w:highlight w:val="none"/>
        </w:rPr>
        <w:t xml:space="preserve">韩 </w:t>
      </w:r>
      <w:r>
        <w:rPr>
          <w:color w:val="auto"/>
          <w:highlight w:val="none"/>
        </w:rPr>
        <w:t xml:space="preserve"> </w:t>
      </w:r>
      <w:r>
        <w:rPr>
          <w:rFonts w:hint="eastAsia"/>
          <w:color w:val="auto"/>
          <w:highlight w:val="none"/>
        </w:rPr>
        <w:t xml:space="preserve">杰 </w:t>
      </w:r>
      <w:r>
        <w:rPr>
          <w:color w:val="auto"/>
          <w:highlight w:val="none"/>
        </w:rPr>
        <w:t>严  达 莫林昊</w:t>
      </w:r>
    </w:p>
    <w:p w14:paraId="7799ABAB">
      <w:pPr>
        <w:ind w:firstLine="2520" w:firstLineChars="1200"/>
        <w:rPr>
          <w:color w:val="auto"/>
          <w:highlight w:val="none"/>
        </w:rPr>
      </w:pPr>
      <w:r>
        <w:rPr>
          <w:color w:val="auto"/>
          <w:highlight w:val="none"/>
        </w:rPr>
        <w:t>许志坚</w:t>
      </w:r>
      <w:r>
        <w:rPr>
          <w:rFonts w:hint="eastAsia"/>
          <w:color w:val="auto"/>
          <w:highlight w:val="none"/>
        </w:rPr>
        <w:t xml:space="preserve"> </w:t>
      </w:r>
    </w:p>
    <w:p w14:paraId="0B1F9D91">
      <w:pPr>
        <w:rPr>
          <w:color w:val="auto"/>
          <w:highlight w:val="none"/>
        </w:rPr>
      </w:pPr>
    </w:p>
    <w:p w14:paraId="130EC1CC">
      <w:pPr>
        <w:ind w:firstLine="422" w:firstLineChars="200"/>
        <w:rPr>
          <w:color w:val="auto"/>
          <w:highlight w:val="none"/>
        </w:rPr>
      </w:pPr>
      <w:r>
        <w:rPr>
          <w:b/>
          <w:bCs/>
          <w:color w:val="auto"/>
          <w:highlight w:val="none"/>
        </w:rPr>
        <w:t>本标准主要审查人员</w:t>
      </w:r>
      <w:r>
        <w:rPr>
          <w:color w:val="auto"/>
          <w:highlight w:val="none"/>
        </w:rPr>
        <w:t>：</w:t>
      </w:r>
      <w:r>
        <w:rPr>
          <w:rFonts w:hint="eastAsia"/>
          <w:color w:val="auto"/>
          <w:highlight w:val="none"/>
        </w:rPr>
        <w:t>冯家星</w:t>
      </w:r>
    </w:p>
    <w:p w14:paraId="1E50BE2B">
      <w:pPr>
        <w:rPr>
          <w:color w:val="auto"/>
          <w:highlight w:val="none"/>
        </w:rPr>
      </w:pPr>
    </w:p>
    <w:p w14:paraId="34E6442E">
      <w:pPr>
        <w:widowControl/>
        <w:spacing w:before="0" w:after="100" w:afterAutospacing="1" w:line="240" w:lineRule="auto"/>
        <w:jc w:val="center"/>
        <w:rPr>
          <w:rFonts w:ascii="Times New Roman" w:hAnsi="Times New Roman" w:eastAsia="宋体" w:cs="Times New Roman"/>
          <w:color w:val="auto"/>
          <w:sz w:val="28"/>
          <w:szCs w:val="22"/>
          <w:highlight w:val="none"/>
        </w:rPr>
      </w:pPr>
    </w:p>
    <w:p w14:paraId="65AEEF22">
      <w:pPr>
        <w:widowControl/>
        <w:spacing w:before="0" w:after="100" w:afterAutospacing="1" w:line="240" w:lineRule="auto"/>
        <w:jc w:val="center"/>
        <w:rPr>
          <w:rFonts w:ascii="Times New Roman" w:hAnsi="Times New Roman" w:eastAsia="宋体" w:cs="Times New Roman"/>
          <w:color w:val="auto"/>
          <w:sz w:val="28"/>
          <w:szCs w:val="22"/>
          <w:highlight w:val="none"/>
        </w:rPr>
      </w:pPr>
    </w:p>
    <w:p w14:paraId="38EB33F1">
      <w:pPr>
        <w:widowControl/>
        <w:spacing w:before="0" w:after="100" w:afterAutospacing="1" w:line="240" w:lineRule="auto"/>
        <w:jc w:val="center"/>
        <w:rPr>
          <w:rFonts w:ascii="Times New Roman" w:hAnsi="Times New Roman" w:eastAsia="宋体" w:cs="Times New Roman"/>
          <w:color w:val="auto"/>
          <w:sz w:val="28"/>
          <w:szCs w:val="22"/>
          <w:highlight w:val="none"/>
        </w:rPr>
        <w:sectPr>
          <w:pgSz w:w="11906" w:h="16838"/>
          <w:pgMar w:top="1440" w:right="1800" w:bottom="1440" w:left="1800" w:header="851" w:footer="992" w:gutter="0"/>
          <w:cols w:space="720" w:num="1"/>
          <w:docGrid w:type="lines" w:linePitch="312" w:charSpace="0"/>
        </w:sectPr>
      </w:pPr>
    </w:p>
    <w:p w14:paraId="24F3CD09">
      <w:pPr>
        <w:spacing w:before="0" w:after="0"/>
        <w:ind w:left="10" w:hanging="10"/>
        <w:jc w:val="center"/>
        <w:outlineLvl w:val="0"/>
        <w:rPr>
          <w:rFonts w:ascii="Times New Roman" w:hAnsi="Times New Roman" w:eastAsia="宋体" w:cs="Times New Roman"/>
          <w:b/>
          <w:bCs/>
          <w:color w:val="auto"/>
          <w:sz w:val="32"/>
          <w:szCs w:val="40"/>
          <w:highlight w:val="none"/>
        </w:rPr>
      </w:pPr>
      <w:bookmarkStart w:id="799" w:name="_Toc23010"/>
      <w:bookmarkStart w:id="800" w:name="_Toc19083"/>
      <w:bookmarkStart w:id="801" w:name="_Toc5799"/>
      <w:bookmarkStart w:id="802" w:name="_Toc22778"/>
      <w:r>
        <w:rPr>
          <w:rFonts w:hint="eastAsia" w:ascii="Times New Roman" w:hAnsi="Times New Roman" w:eastAsia="宋体" w:cs="Times New Roman"/>
          <w:b/>
          <w:bCs/>
          <w:color w:val="auto"/>
          <w:sz w:val="32"/>
          <w:szCs w:val="40"/>
          <w:highlight w:val="none"/>
        </w:rPr>
        <w:t>目  次</w:t>
      </w:r>
      <w:bookmarkEnd w:id="799"/>
      <w:bookmarkEnd w:id="800"/>
      <w:bookmarkEnd w:id="801"/>
      <w:bookmarkEnd w:id="802"/>
    </w:p>
    <w:p w14:paraId="7F28CCA4">
      <w:pPr>
        <w:pStyle w:val="38"/>
        <w:tabs>
          <w:tab w:val="right" w:leader="dot" w:pos="8306"/>
          <w:tab w:val="clear" w:pos="8296"/>
        </w:tabs>
        <w:rPr>
          <w:color w:val="auto"/>
          <w:highlight w:val="none"/>
        </w:rPr>
      </w:pPr>
      <w:r>
        <w:rPr>
          <w:rFonts w:ascii="Times New Roman" w:hAnsi="Times New Roman" w:eastAsia="宋体" w:cs="Times New Roman"/>
          <w:b/>
          <w:bCs/>
          <w:color w:val="auto"/>
          <w:sz w:val="32"/>
          <w:szCs w:val="40"/>
          <w:highlight w:val="none"/>
        </w:rPr>
        <w:fldChar w:fldCharType="begin"/>
      </w:r>
      <w:r>
        <w:rPr>
          <w:rFonts w:ascii="Times New Roman" w:hAnsi="Times New Roman" w:eastAsia="宋体" w:cs="Times New Roman"/>
          <w:b/>
          <w:bCs/>
          <w:color w:val="auto"/>
          <w:sz w:val="32"/>
          <w:szCs w:val="40"/>
          <w:highlight w:val="none"/>
        </w:rPr>
        <w:instrText xml:space="preserve">TOC \o "1-2" \h \u </w:instrText>
      </w:r>
      <w:r>
        <w:rPr>
          <w:rFonts w:ascii="Times New Roman" w:hAnsi="Times New Roman" w:eastAsia="宋体" w:cs="Times New Roman"/>
          <w:b/>
          <w:bCs/>
          <w:color w:val="auto"/>
          <w:sz w:val="32"/>
          <w:szCs w:val="40"/>
          <w:highlight w:val="none"/>
        </w:rPr>
        <w:fldChar w:fldCharType="separate"/>
      </w:r>
      <w:r>
        <w:rPr>
          <w:color w:val="auto"/>
          <w:highlight w:val="none"/>
        </w:rPr>
        <w:fldChar w:fldCharType="begin"/>
      </w:r>
      <w:r>
        <w:rPr>
          <w:color w:val="auto"/>
          <w:highlight w:val="none"/>
        </w:rPr>
        <w:instrText xml:space="preserve"> HYPERLINK \l "_Toc26258" </w:instrText>
      </w:r>
      <w:r>
        <w:rPr>
          <w:color w:val="auto"/>
          <w:highlight w:val="none"/>
        </w:rPr>
        <w:fldChar w:fldCharType="separate"/>
      </w:r>
      <w:r>
        <w:rPr>
          <w:rFonts w:ascii="宋体" w:hAnsi="宋体" w:eastAsia="宋体" w:cs="宋体"/>
          <w:color w:val="auto"/>
          <w:highlight w:val="none"/>
        </w:rPr>
        <w:t xml:space="preserve">1. </w:t>
      </w:r>
      <w:r>
        <w:rPr>
          <w:color w:val="auto"/>
          <w:highlight w:val="none"/>
        </w:rPr>
        <w:t>总  则</w:t>
      </w:r>
      <w:r>
        <w:rPr>
          <w:color w:val="auto"/>
          <w:highlight w:val="none"/>
        </w:rPr>
        <w:tab/>
      </w:r>
      <w:r>
        <w:rPr>
          <w:color w:val="auto"/>
          <w:highlight w:val="none"/>
        </w:rPr>
        <w:fldChar w:fldCharType="begin"/>
      </w:r>
      <w:r>
        <w:rPr>
          <w:color w:val="auto"/>
          <w:highlight w:val="none"/>
        </w:rPr>
        <w:instrText xml:space="preserve"> PAGEREF _Toc26258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17983BEC">
      <w:pPr>
        <w:pStyle w:val="38"/>
        <w:tabs>
          <w:tab w:val="right" w:leader="dot" w:pos="8306"/>
          <w:tab w:val="clear" w:pos="8296"/>
        </w:tabs>
        <w:rPr>
          <w:color w:val="auto"/>
          <w:highlight w:val="none"/>
        </w:rPr>
      </w:pPr>
      <w:r>
        <w:rPr>
          <w:color w:val="auto"/>
          <w:highlight w:val="none"/>
        </w:rPr>
        <w:fldChar w:fldCharType="begin"/>
      </w:r>
      <w:r>
        <w:rPr>
          <w:color w:val="auto"/>
          <w:highlight w:val="none"/>
        </w:rPr>
        <w:instrText xml:space="preserve"> HYPERLINK \l "_Toc25615" </w:instrText>
      </w:r>
      <w:r>
        <w:rPr>
          <w:color w:val="auto"/>
          <w:highlight w:val="none"/>
        </w:rPr>
        <w:fldChar w:fldCharType="separate"/>
      </w:r>
      <w:r>
        <w:rPr>
          <w:rFonts w:ascii="宋体" w:hAnsi="宋体" w:eastAsia="宋体" w:cs="宋体"/>
          <w:color w:val="auto"/>
          <w:highlight w:val="none"/>
        </w:rPr>
        <w:t xml:space="preserve">2. </w:t>
      </w:r>
      <w:r>
        <w:rPr>
          <w:color w:val="auto"/>
          <w:highlight w:val="none"/>
        </w:rPr>
        <w:t>术  语</w:t>
      </w:r>
      <w:r>
        <w:rPr>
          <w:color w:val="auto"/>
          <w:highlight w:val="none"/>
        </w:rPr>
        <w:tab/>
      </w:r>
      <w:r>
        <w:rPr>
          <w:color w:val="auto"/>
          <w:highlight w:val="none"/>
        </w:rPr>
        <w:fldChar w:fldCharType="begin"/>
      </w:r>
      <w:r>
        <w:rPr>
          <w:color w:val="auto"/>
          <w:highlight w:val="none"/>
        </w:rPr>
        <w:instrText xml:space="preserve"> PAGEREF _Toc25615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03EAD460">
      <w:pPr>
        <w:pStyle w:val="38"/>
        <w:tabs>
          <w:tab w:val="right" w:leader="dot" w:pos="8306"/>
          <w:tab w:val="clear" w:pos="8296"/>
        </w:tabs>
        <w:rPr>
          <w:color w:val="auto"/>
          <w:highlight w:val="none"/>
        </w:rPr>
      </w:pPr>
      <w:r>
        <w:rPr>
          <w:color w:val="auto"/>
          <w:highlight w:val="none"/>
        </w:rPr>
        <w:fldChar w:fldCharType="begin"/>
      </w:r>
      <w:r>
        <w:rPr>
          <w:color w:val="auto"/>
          <w:highlight w:val="none"/>
        </w:rPr>
        <w:instrText xml:space="preserve"> HYPERLINK \l "_Toc27855" </w:instrText>
      </w:r>
      <w:r>
        <w:rPr>
          <w:color w:val="auto"/>
          <w:highlight w:val="none"/>
        </w:rPr>
        <w:fldChar w:fldCharType="separate"/>
      </w:r>
      <w:r>
        <w:rPr>
          <w:rFonts w:ascii="宋体" w:hAnsi="宋体" w:eastAsia="宋体" w:cs="宋体"/>
          <w:color w:val="auto"/>
          <w:highlight w:val="none"/>
        </w:rPr>
        <w:t xml:space="preserve">3. </w:t>
      </w:r>
      <w:r>
        <w:rPr>
          <w:color w:val="auto"/>
          <w:highlight w:val="none"/>
        </w:rPr>
        <w:t>基本规定</w:t>
      </w:r>
      <w:r>
        <w:rPr>
          <w:color w:val="auto"/>
          <w:highlight w:val="none"/>
        </w:rPr>
        <w:tab/>
      </w:r>
      <w:r>
        <w:rPr>
          <w:color w:val="auto"/>
          <w:highlight w:val="none"/>
        </w:rPr>
        <w:fldChar w:fldCharType="begin"/>
      </w:r>
      <w:r>
        <w:rPr>
          <w:color w:val="auto"/>
          <w:highlight w:val="none"/>
        </w:rPr>
        <w:instrText xml:space="preserve"> PAGEREF _Toc27855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00BB077C">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"_Toc13335" </w:instrText>
      </w:r>
      <w:r>
        <w:rPr>
          <w:color w:val="auto"/>
          <w:highlight w:val="none"/>
        </w:rPr>
        <w:fldChar w:fldCharType="separate"/>
      </w:r>
      <w:r>
        <w:rPr>
          <w:rFonts w:ascii="宋体" w:hAnsi="宋体" w:eastAsia="宋体" w:cs="宋体"/>
          <w:color w:val="auto"/>
          <w:highlight w:val="none"/>
        </w:rPr>
        <w:t xml:space="preserve">3.1. </w:t>
      </w:r>
      <w:r>
        <w:rPr>
          <w:color w:val="auto"/>
          <w:highlight w:val="none"/>
        </w:rPr>
        <w:t>BIM实施目标</w:t>
      </w:r>
      <w:r>
        <w:rPr>
          <w:color w:val="auto"/>
          <w:highlight w:val="none"/>
        </w:rPr>
        <w:tab/>
      </w:r>
      <w:r>
        <w:rPr>
          <w:color w:val="auto"/>
          <w:highlight w:val="none"/>
        </w:rPr>
        <w:fldChar w:fldCharType="begin"/>
      </w:r>
      <w:r>
        <w:rPr>
          <w:color w:val="auto"/>
          <w:highlight w:val="none"/>
        </w:rPr>
        <w:instrText xml:space="preserve"> PAGEREF _Toc13335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2A0D3C02">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"_Toc18965" </w:instrText>
      </w:r>
      <w:r>
        <w:rPr>
          <w:color w:val="auto"/>
          <w:highlight w:val="none"/>
        </w:rPr>
        <w:fldChar w:fldCharType="separate"/>
      </w:r>
      <w:r>
        <w:rPr>
          <w:rFonts w:ascii="宋体" w:hAnsi="宋体" w:eastAsia="宋体" w:cs="宋体"/>
          <w:color w:val="auto"/>
          <w:highlight w:val="none"/>
        </w:rPr>
        <w:t xml:space="preserve">3.2. </w:t>
      </w:r>
      <w:r>
        <w:rPr>
          <w:color w:val="auto"/>
          <w:highlight w:val="none"/>
        </w:rPr>
        <w:t>BIM实施原则</w:t>
      </w:r>
      <w:r>
        <w:rPr>
          <w:color w:val="auto"/>
          <w:highlight w:val="none"/>
        </w:rPr>
        <w:tab/>
      </w:r>
      <w:r>
        <w:rPr>
          <w:color w:val="auto"/>
          <w:highlight w:val="none"/>
        </w:rPr>
        <w:fldChar w:fldCharType="begin"/>
      </w:r>
      <w:r>
        <w:rPr>
          <w:color w:val="auto"/>
          <w:highlight w:val="none"/>
        </w:rPr>
        <w:instrText xml:space="preserve"> PAGEREF _Toc18965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7515B302">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"_Toc21326" </w:instrText>
      </w:r>
      <w:r>
        <w:rPr>
          <w:color w:val="auto"/>
          <w:highlight w:val="none"/>
        </w:rPr>
        <w:fldChar w:fldCharType="separate"/>
      </w:r>
      <w:r>
        <w:rPr>
          <w:rFonts w:ascii="宋体" w:hAnsi="宋体" w:eastAsia="宋体" w:cs="宋体"/>
          <w:color w:val="auto"/>
          <w:highlight w:val="none"/>
        </w:rPr>
        <w:t xml:space="preserve">3.3. </w:t>
      </w:r>
      <w:r>
        <w:rPr>
          <w:color w:val="auto"/>
          <w:highlight w:val="none"/>
        </w:rPr>
        <w:t>BIM实施要求</w:t>
      </w:r>
      <w:r>
        <w:rPr>
          <w:color w:val="auto"/>
          <w:highlight w:val="none"/>
        </w:rPr>
        <w:tab/>
      </w:r>
      <w:r>
        <w:rPr>
          <w:color w:val="auto"/>
          <w:highlight w:val="none"/>
        </w:rPr>
        <w:fldChar w:fldCharType="begin"/>
      </w:r>
      <w:r>
        <w:rPr>
          <w:color w:val="auto"/>
          <w:highlight w:val="none"/>
        </w:rPr>
        <w:instrText xml:space="preserve"> PAGEREF _Toc21326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31135E0B">
      <w:pPr>
        <w:pStyle w:val="38"/>
        <w:tabs>
          <w:tab w:val="right" w:leader="dot" w:pos="8306"/>
          <w:tab w:val="clear" w:pos="8296"/>
        </w:tabs>
        <w:rPr>
          <w:color w:val="auto"/>
          <w:highlight w:val="none"/>
        </w:rPr>
      </w:pPr>
      <w:r>
        <w:rPr>
          <w:color w:val="auto"/>
          <w:highlight w:val="none"/>
        </w:rPr>
        <w:fldChar w:fldCharType="begin"/>
      </w:r>
      <w:r>
        <w:rPr>
          <w:color w:val="auto"/>
          <w:highlight w:val="none"/>
        </w:rPr>
        <w:instrText xml:space="preserve"> HYPERLINK \l "_Toc27126" </w:instrText>
      </w:r>
      <w:r>
        <w:rPr>
          <w:color w:val="auto"/>
          <w:highlight w:val="none"/>
        </w:rPr>
        <w:fldChar w:fldCharType="separate"/>
      </w:r>
      <w:r>
        <w:rPr>
          <w:rFonts w:ascii="宋体" w:hAnsi="宋体" w:eastAsia="宋体" w:cs="宋体"/>
          <w:color w:val="auto"/>
          <w:highlight w:val="none"/>
        </w:rPr>
        <w:t xml:space="preserve">4. </w:t>
      </w:r>
      <w:r>
        <w:rPr>
          <w:color w:val="auto"/>
          <w:highlight w:val="none"/>
        </w:rPr>
        <w:t>管理组织规定</w:t>
      </w:r>
      <w:r>
        <w:rPr>
          <w:color w:val="auto"/>
          <w:highlight w:val="none"/>
        </w:rPr>
        <w:tab/>
      </w:r>
      <w:r>
        <w:rPr>
          <w:color w:val="auto"/>
          <w:highlight w:val="none"/>
        </w:rPr>
        <w:fldChar w:fldCharType="begin"/>
      </w:r>
      <w:r>
        <w:rPr>
          <w:color w:val="auto"/>
          <w:highlight w:val="none"/>
        </w:rPr>
        <w:instrText xml:space="preserve"> PAGEREF _Toc27126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43B6D018">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"_Toc4916" </w:instrText>
      </w:r>
      <w:r>
        <w:rPr>
          <w:color w:val="auto"/>
          <w:highlight w:val="none"/>
        </w:rPr>
        <w:fldChar w:fldCharType="separate"/>
      </w:r>
      <w:r>
        <w:rPr>
          <w:rFonts w:ascii="宋体" w:hAnsi="宋体" w:eastAsia="宋体" w:cs="宋体"/>
          <w:color w:val="auto"/>
          <w:highlight w:val="none"/>
        </w:rPr>
        <w:t xml:space="preserve">4.1. </w:t>
      </w:r>
      <w:r>
        <w:rPr>
          <w:color w:val="auto"/>
          <w:highlight w:val="none"/>
        </w:rPr>
        <w:t>BIM管理组织架构</w:t>
      </w:r>
      <w:r>
        <w:rPr>
          <w:color w:val="auto"/>
          <w:highlight w:val="none"/>
        </w:rPr>
        <w:tab/>
      </w:r>
      <w:r>
        <w:rPr>
          <w:color w:val="auto"/>
          <w:highlight w:val="none"/>
        </w:rPr>
        <w:fldChar w:fldCharType="begin"/>
      </w:r>
      <w:r>
        <w:rPr>
          <w:color w:val="auto"/>
          <w:highlight w:val="none"/>
        </w:rPr>
        <w:instrText xml:space="preserve"> PAGEREF _Toc4916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34CB6E4B">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"_Toc841" </w:instrText>
      </w:r>
      <w:r>
        <w:rPr>
          <w:color w:val="auto"/>
          <w:highlight w:val="none"/>
        </w:rPr>
        <w:fldChar w:fldCharType="separate"/>
      </w:r>
      <w:r>
        <w:rPr>
          <w:rFonts w:ascii="宋体" w:hAnsi="宋体" w:eastAsia="宋体" w:cs="宋体"/>
          <w:color w:val="auto"/>
          <w:highlight w:val="none"/>
        </w:rPr>
        <w:t xml:space="preserve">4.2. </w:t>
      </w:r>
      <w:r>
        <w:rPr>
          <w:color w:val="auto"/>
          <w:highlight w:val="none"/>
        </w:rPr>
        <w:t>BIM项目管理内容</w:t>
      </w:r>
      <w:r>
        <w:rPr>
          <w:color w:val="auto"/>
          <w:highlight w:val="none"/>
        </w:rPr>
        <w:tab/>
      </w:r>
      <w:r>
        <w:rPr>
          <w:color w:val="auto"/>
          <w:highlight w:val="none"/>
        </w:rPr>
        <w:fldChar w:fldCharType="begin"/>
      </w:r>
      <w:r>
        <w:rPr>
          <w:color w:val="auto"/>
          <w:highlight w:val="none"/>
        </w:rPr>
        <w:instrText xml:space="preserve"> PAGEREF _Toc841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6B8CD338">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"_Toc5456" </w:instrText>
      </w:r>
      <w:r>
        <w:rPr>
          <w:color w:val="auto"/>
          <w:highlight w:val="none"/>
        </w:rPr>
        <w:fldChar w:fldCharType="separate"/>
      </w:r>
      <w:r>
        <w:rPr>
          <w:rFonts w:ascii="宋体" w:hAnsi="宋体" w:eastAsia="宋体" w:cs="宋体"/>
          <w:color w:val="auto"/>
          <w:highlight w:val="none"/>
        </w:rPr>
        <w:t xml:space="preserve">4.3. </w:t>
      </w:r>
      <w:r>
        <w:rPr>
          <w:color w:val="auto"/>
          <w:highlight w:val="none"/>
        </w:rPr>
        <w:t>BIM项目实施总体流程</w:t>
      </w:r>
      <w:r>
        <w:rPr>
          <w:color w:val="auto"/>
          <w:highlight w:val="none"/>
        </w:rPr>
        <w:tab/>
      </w:r>
      <w:r>
        <w:rPr>
          <w:color w:val="auto"/>
          <w:highlight w:val="none"/>
        </w:rPr>
        <w:fldChar w:fldCharType="begin"/>
      </w:r>
      <w:r>
        <w:rPr>
          <w:color w:val="auto"/>
          <w:highlight w:val="none"/>
        </w:rPr>
        <w:instrText xml:space="preserve"> PAGEREF _Toc5456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4572BBF0">
      <w:pPr>
        <w:pStyle w:val="38"/>
        <w:tabs>
          <w:tab w:val="right" w:leader="dot" w:pos="8306"/>
          <w:tab w:val="clear" w:pos="8296"/>
        </w:tabs>
        <w:rPr>
          <w:color w:val="auto"/>
          <w:highlight w:val="none"/>
        </w:rPr>
      </w:pPr>
      <w:r>
        <w:rPr>
          <w:color w:val="auto"/>
          <w:highlight w:val="none"/>
        </w:rPr>
        <w:fldChar w:fldCharType="begin"/>
      </w:r>
      <w:r>
        <w:rPr>
          <w:color w:val="auto"/>
          <w:highlight w:val="none"/>
        </w:rPr>
        <w:instrText xml:space="preserve"> HYPERLINK \l "_Toc1880" </w:instrText>
      </w:r>
      <w:r>
        <w:rPr>
          <w:color w:val="auto"/>
          <w:highlight w:val="none"/>
        </w:rPr>
        <w:fldChar w:fldCharType="separate"/>
      </w:r>
      <w:r>
        <w:rPr>
          <w:rFonts w:ascii="宋体" w:hAnsi="宋体" w:eastAsia="宋体" w:cs="宋体"/>
          <w:color w:val="auto"/>
          <w:highlight w:val="none"/>
        </w:rPr>
        <w:t xml:space="preserve">5. </w:t>
      </w:r>
      <w:r>
        <w:rPr>
          <w:color w:val="auto"/>
          <w:highlight w:val="none"/>
        </w:rPr>
        <w:t>职责要求</w:t>
      </w:r>
      <w:r>
        <w:rPr>
          <w:color w:val="auto"/>
          <w:highlight w:val="none"/>
        </w:rPr>
        <w:tab/>
      </w:r>
      <w:r>
        <w:rPr>
          <w:color w:val="auto"/>
          <w:highlight w:val="none"/>
        </w:rPr>
        <w:fldChar w:fldCharType="begin"/>
      </w:r>
      <w:r>
        <w:rPr>
          <w:color w:val="auto"/>
          <w:highlight w:val="none"/>
        </w:rPr>
        <w:instrText xml:space="preserve"> PAGEREF _Toc1880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62F36560">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"_Toc3102" </w:instrText>
      </w:r>
      <w:r>
        <w:rPr>
          <w:color w:val="auto"/>
          <w:highlight w:val="none"/>
        </w:rPr>
        <w:fldChar w:fldCharType="separate"/>
      </w:r>
      <w:r>
        <w:rPr>
          <w:rFonts w:ascii="宋体" w:hAnsi="宋体" w:eastAsia="宋体" w:cs="宋体"/>
          <w:color w:val="auto"/>
          <w:highlight w:val="none"/>
        </w:rPr>
        <w:t xml:space="preserve">5.1. </w:t>
      </w:r>
      <w:r>
        <w:rPr>
          <w:color w:val="auto"/>
          <w:highlight w:val="none"/>
        </w:rPr>
        <w:t>各参与方能力要求</w:t>
      </w:r>
      <w:r>
        <w:rPr>
          <w:color w:val="auto"/>
          <w:highlight w:val="none"/>
        </w:rPr>
        <w:tab/>
      </w:r>
      <w:r>
        <w:rPr>
          <w:color w:val="auto"/>
          <w:highlight w:val="none"/>
        </w:rPr>
        <w:fldChar w:fldCharType="begin"/>
      </w:r>
      <w:r>
        <w:rPr>
          <w:color w:val="auto"/>
          <w:highlight w:val="none"/>
        </w:rPr>
        <w:instrText xml:space="preserve"> PAGEREF _Toc3102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00AA2036">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"_Toc13214" </w:instrText>
      </w:r>
      <w:r>
        <w:rPr>
          <w:color w:val="auto"/>
          <w:highlight w:val="none"/>
        </w:rPr>
        <w:fldChar w:fldCharType="separate"/>
      </w:r>
      <w:r>
        <w:rPr>
          <w:rFonts w:ascii="宋体" w:hAnsi="宋体" w:eastAsia="宋体" w:cs="宋体"/>
          <w:color w:val="auto"/>
          <w:highlight w:val="none"/>
        </w:rPr>
        <w:t xml:space="preserve">5.2. </w:t>
      </w:r>
      <w:r>
        <w:rPr>
          <w:color w:val="auto"/>
          <w:highlight w:val="none"/>
        </w:rPr>
        <w:t>各参与方工作职责</w:t>
      </w:r>
      <w:r>
        <w:rPr>
          <w:color w:val="auto"/>
          <w:highlight w:val="none"/>
        </w:rPr>
        <w:tab/>
      </w:r>
      <w:r>
        <w:rPr>
          <w:color w:val="auto"/>
          <w:highlight w:val="none"/>
        </w:rPr>
        <w:fldChar w:fldCharType="begin"/>
      </w:r>
      <w:r>
        <w:rPr>
          <w:color w:val="auto"/>
          <w:highlight w:val="none"/>
        </w:rPr>
        <w:instrText xml:space="preserve"> PAGEREF _Toc13214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587188EB">
      <w:pPr>
        <w:pStyle w:val="38"/>
        <w:tabs>
          <w:tab w:val="right" w:leader="dot" w:pos="8306"/>
          <w:tab w:val="clear" w:pos="8296"/>
        </w:tabs>
        <w:rPr>
          <w:color w:val="auto"/>
          <w:highlight w:val="none"/>
        </w:rPr>
      </w:pPr>
      <w:r>
        <w:rPr>
          <w:color w:val="auto"/>
          <w:highlight w:val="none"/>
        </w:rPr>
        <w:fldChar w:fldCharType="begin"/>
      </w:r>
      <w:r>
        <w:rPr>
          <w:color w:val="auto"/>
          <w:highlight w:val="none"/>
        </w:rPr>
        <w:instrText xml:space="preserve"> HYPERLINK \l "_Toc2133" </w:instrText>
      </w:r>
      <w:r>
        <w:rPr>
          <w:color w:val="auto"/>
          <w:highlight w:val="none"/>
        </w:rPr>
        <w:fldChar w:fldCharType="separate"/>
      </w:r>
      <w:r>
        <w:rPr>
          <w:rFonts w:ascii="宋体" w:hAnsi="宋体" w:eastAsia="宋体" w:cs="宋体"/>
          <w:color w:val="auto"/>
          <w:highlight w:val="none"/>
        </w:rPr>
        <w:t xml:space="preserve">6. </w:t>
      </w:r>
      <w:r>
        <w:rPr>
          <w:color w:val="auto"/>
          <w:highlight w:val="none"/>
        </w:rPr>
        <w:t>项目应用实施管理</w:t>
      </w:r>
      <w:r>
        <w:rPr>
          <w:color w:val="auto"/>
          <w:highlight w:val="none"/>
        </w:rPr>
        <w:tab/>
      </w:r>
      <w:r>
        <w:rPr>
          <w:color w:val="auto"/>
          <w:highlight w:val="none"/>
        </w:rPr>
        <w:fldChar w:fldCharType="begin"/>
      </w:r>
      <w:r>
        <w:rPr>
          <w:color w:val="auto"/>
          <w:highlight w:val="none"/>
        </w:rPr>
        <w:instrText xml:space="preserve"> PAGEREF _Toc2133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57CB8B05">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"_Toc8830" </w:instrText>
      </w:r>
      <w:r>
        <w:rPr>
          <w:color w:val="auto"/>
          <w:highlight w:val="none"/>
        </w:rPr>
        <w:fldChar w:fldCharType="separate"/>
      </w:r>
      <w:r>
        <w:rPr>
          <w:rFonts w:ascii="宋体" w:hAnsi="宋体" w:eastAsia="宋体" w:cs="宋体"/>
          <w:color w:val="auto"/>
          <w:highlight w:val="none"/>
        </w:rPr>
        <w:t xml:space="preserve">6.1. </w:t>
      </w:r>
      <w:r>
        <w:rPr>
          <w:color w:val="auto"/>
          <w:highlight w:val="none"/>
        </w:rPr>
        <w:t>一般规定</w:t>
      </w:r>
      <w:r>
        <w:rPr>
          <w:color w:val="auto"/>
          <w:highlight w:val="none"/>
        </w:rPr>
        <w:tab/>
      </w:r>
      <w:r>
        <w:rPr>
          <w:color w:val="auto"/>
          <w:highlight w:val="none"/>
        </w:rPr>
        <w:fldChar w:fldCharType="begin"/>
      </w:r>
      <w:r>
        <w:rPr>
          <w:color w:val="auto"/>
          <w:highlight w:val="none"/>
        </w:rPr>
        <w:instrText xml:space="preserve"> PAGEREF _Toc8830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53326F2F">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"_Toc23879" </w:instrText>
      </w:r>
      <w:r>
        <w:rPr>
          <w:color w:val="auto"/>
          <w:highlight w:val="none"/>
        </w:rPr>
        <w:fldChar w:fldCharType="separate"/>
      </w:r>
      <w:r>
        <w:rPr>
          <w:rFonts w:ascii="宋体" w:hAnsi="宋体" w:eastAsia="宋体" w:cs="宋体"/>
          <w:color w:val="auto"/>
          <w:highlight w:val="none"/>
        </w:rPr>
        <w:t xml:space="preserve">6.2. </w:t>
      </w:r>
      <w:r>
        <w:rPr>
          <w:color w:val="auto"/>
          <w:highlight w:val="none"/>
        </w:rPr>
        <w:t>项目前期管理</w:t>
      </w:r>
      <w:r>
        <w:rPr>
          <w:color w:val="auto"/>
          <w:highlight w:val="none"/>
        </w:rPr>
        <w:tab/>
      </w:r>
      <w:r>
        <w:rPr>
          <w:color w:val="auto"/>
          <w:highlight w:val="none"/>
        </w:rPr>
        <w:fldChar w:fldCharType="begin"/>
      </w:r>
      <w:r>
        <w:rPr>
          <w:color w:val="auto"/>
          <w:highlight w:val="none"/>
        </w:rPr>
        <w:instrText xml:space="preserve"> PAGEREF _Toc23879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00B351C9">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"_Toc23185" </w:instrText>
      </w:r>
      <w:r>
        <w:rPr>
          <w:color w:val="auto"/>
          <w:highlight w:val="none"/>
        </w:rPr>
        <w:fldChar w:fldCharType="separate"/>
      </w:r>
      <w:r>
        <w:rPr>
          <w:rFonts w:ascii="宋体" w:hAnsi="宋体" w:eastAsia="宋体" w:cs="宋体"/>
          <w:color w:val="auto"/>
          <w:highlight w:val="none"/>
        </w:rPr>
        <w:t xml:space="preserve">6.3. </w:t>
      </w:r>
      <w:r>
        <w:rPr>
          <w:color w:val="auto"/>
          <w:highlight w:val="none"/>
        </w:rPr>
        <w:t>设计阶段管理</w:t>
      </w:r>
      <w:r>
        <w:rPr>
          <w:color w:val="auto"/>
          <w:highlight w:val="none"/>
        </w:rPr>
        <w:tab/>
      </w:r>
      <w:r>
        <w:rPr>
          <w:color w:val="auto"/>
          <w:highlight w:val="none"/>
        </w:rPr>
        <w:fldChar w:fldCharType="begin"/>
      </w:r>
      <w:r>
        <w:rPr>
          <w:color w:val="auto"/>
          <w:highlight w:val="none"/>
        </w:rPr>
        <w:instrText xml:space="preserve"> PAGEREF _Toc23185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37C5FA34">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"_Toc15731" </w:instrText>
      </w:r>
      <w:r>
        <w:rPr>
          <w:color w:val="auto"/>
          <w:highlight w:val="none"/>
        </w:rPr>
        <w:fldChar w:fldCharType="separate"/>
      </w:r>
      <w:r>
        <w:rPr>
          <w:rFonts w:ascii="宋体" w:hAnsi="宋体" w:eastAsia="宋体" w:cs="宋体"/>
          <w:color w:val="auto"/>
          <w:highlight w:val="none"/>
        </w:rPr>
        <w:t xml:space="preserve">6.4. </w:t>
      </w:r>
      <w:r>
        <w:rPr>
          <w:color w:val="auto"/>
          <w:highlight w:val="none"/>
        </w:rPr>
        <w:t>施工阶段管理</w:t>
      </w:r>
      <w:r>
        <w:rPr>
          <w:color w:val="auto"/>
          <w:highlight w:val="none"/>
        </w:rPr>
        <w:tab/>
      </w:r>
      <w:r>
        <w:rPr>
          <w:color w:val="auto"/>
          <w:highlight w:val="none"/>
        </w:rPr>
        <w:fldChar w:fldCharType="begin"/>
      </w:r>
      <w:r>
        <w:rPr>
          <w:color w:val="auto"/>
          <w:highlight w:val="none"/>
        </w:rPr>
        <w:instrText xml:space="preserve"> PAGEREF _Toc15731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3FC4084E">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"_Toc6525" </w:instrText>
      </w:r>
      <w:r>
        <w:rPr>
          <w:color w:val="auto"/>
          <w:highlight w:val="none"/>
        </w:rPr>
        <w:fldChar w:fldCharType="separate"/>
      </w:r>
      <w:r>
        <w:rPr>
          <w:rFonts w:ascii="宋体" w:hAnsi="宋体" w:eastAsia="宋体" w:cs="宋体"/>
          <w:color w:val="auto"/>
          <w:highlight w:val="none"/>
        </w:rPr>
        <w:t xml:space="preserve">6.5. </w:t>
      </w:r>
      <w:r>
        <w:rPr>
          <w:color w:val="auto"/>
          <w:highlight w:val="none"/>
        </w:rPr>
        <w:t>运维阶段管理</w:t>
      </w:r>
      <w:r>
        <w:rPr>
          <w:color w:val="auto"/>
          <w:highlight w:val="none"/>
        </w:rPr>
        <w:tab/>
      </w:r>
      <w:r>
        <w:rPr>
          <w:color w:val="auto"/>
          <w:highlight w:val="none"/>
        </w:rPr>
        <w:fldChar w:fldCharType="begin"/>
      </w:r>
      <w:r>
        <w:rPr>
          <w:color w:val="auto"/>
          <w:highlight w:val="none"/>
        </w:rPr>
        <w:instrText xml:space="preserve"> PAGEREF _Toc6525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5382B009">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"_Toc30850" </w:instrText>
      </w:r>
      <w:r>
        <w:rPr>
          <w:color w:val="auto"/>
          <w:highlight w:val="none"/>
        </w:rPr>
        <w:fldChar w:fldCharType="separate"/>
      </w:r>
      <w:r>
        <w:rPr>
          <w:rFonts w:ascii="宋体" w:hAnsi="宋体" w:eastAsia="宋体" w:cs="宋体"/>
          <w:color w:val="auto"/>
          <w:highlight w:val="none"/>
        </w:rPr>
        <w:t xml:space="preserve">6.6. </w:t>
      </w:r>
      <w:r>
        <w:rPr>
          <w:color w:val="auto"/>
          <w:highlight w:val="none"/>
        </w:rPr>
        <w:t>项目协调机制</w:t>
      </w:r>
      <w:r>
        <w:rPr>
          <w:color w:val="auto"/>
          <w:highlight w:val="none"/>
        </w:rPr>
        <w:tab/>
      </w:r>
      <w:r>
        <w:rPr>
          <w:color w:val="auto"/>
          <w:highlight w:val="none"/>
        </w:rPr>
        <w:fldChar w:fldCharType="begin"/>
      </w:r>
      <w:r>
        <w:rPr>
          <w:color w:val="auto"/>
          <w:highlight w:val="none"/>
        </w:rPr>
        <w:instrText xml:space="preserve"> PAGEREF _Toc30850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72BAFFE7">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"_Toc15990" </w:instrText>
      </w:r>
      <w:r>
        <w:rPr>
          <w:color w:val="auto"/>
          <w:highlight w:val="none"/>
        </w:rPr>
        <w:fldChar w:fldCharType="separate"/>
      </w:r>
      <w:r>
        <w:rPr>
          <w:rFonts w:ascii="宋体" w:hAnsi="宋体" w:eastAsia="宋体" w:cs="宋体"/>
          <w:color w:val="auto"/>
          <w:highlight w:val="none"/>
        </w:rPr>
        <w:t xml:space="preserve">6.7. </w:t>
      </w:r>
      <w:r>
        <w:rPr>
          <w:color w:val="auto"/>
          <w:highlight w:val="none"/>
        </w:rPr>
        <w:t>项目质量控制</w:t>
      </w:r>
      <w:r>
        <w:rPr>
          <w:color w:val="auto"/>
          <w:highlight w:val="none"/>
        </w:rPr>
        <w:tab/>
      </w:r>
      <w:r>
        <w:rPr>
          <w:color w:val="auto"/>
          <w:highlight w:val="none"/>
        </w:rPr>
        <w:fldChar w:fldCharType="begin"/>
      </w:r>
      <w:r>
        <w:rPr>
          <w:color w:val="auto"/>
          <w:highlight w:val="none"/>
        </w:rPr>
        <w:instrText xml:space="preserve"> PAGEREF _Toc15990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05CA8EA6">
      <w:pPr>
        <w:pStyle w:val="38"/>
        <w:tabs>
          <w:tab w:val="right" w:leader="dot" w:pos="8306"/>
          <w:tab w:val="clear" w:pos="8296"/>
        </w:tabs>
        <w:rPr>
          <w:color w:val="auto"/>
          <w:highlight w:val="none"/>
        </w:rPr>
      </w:pPr>
      <w:r>
        <w:rPr>
          <w:color w:val="auto"/>
          <w:highlight w:val="none"/>
        </w:rPr>
        <w:fldChar w:fldCharType="begin"/>
      </w:r>
      <w:r>
        <w:rPr>
          <w:color w:val="auto"/>
          <w:highlight w:val="none"/>
        </w:rPr>
        <w:instrText xml:space="preserve"> HYPERLINK \l "_Toc20035" </w:instrText>
      </w:r>
      <w:r>
        <w:rPr>
          <w:color w:val="auto"/>
          <w:highlight w:val="none"/>
        </w:rPr>
        <w:fldChar w:fldCharType="separate"/>
      </w:r>
      <w:r>
        <w:rPr>
          <w:rFonts w:ascii="宋体" w:hAnsi="宋体" w:eastAsia="宋体" w:cs="宋体"/>
          <w:color w:val="auto"/>
          <w:highlight w:val="none"/>
        </w:rPr>
        <w:t xml:space="preserve">7. </w:t>
      </w:r>
      <w:r>
        <w:rPr>
          <w:color w:val="auto"/>
          <w:highlight w:val="none"/>
        </w:rPr>
        <w:t>交付成果</w:t>
      </w:r>
      <w:r>
        <w:rPr>
          <w:color w:val="auto"/>
          <w:highlight w:val="none"/>
        </w:rPr>
        <w:tab/>
      </w:r>
      <w:r>
        <w:rPr>
          <w:color w:val="auto"/>
          <w:highlight w:val="none"/>
        </w:rPr>
        <w:fldChar w:fldCharType="begin"/>
      </w:r>
      <w:r>
        <w:rPr>
          <w:color w:val="auto"/>
          <w:highlight w:val="none"/>
        </w:rPr>
        <w:instrText xml:space="preserve"> PAGEREF _Toc20035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4F2BE40A">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"_Toc6614" </w:instrText>
      </w:r>
      <w:r>
        <w:rPr>
          <w:color w:val="auto"/>
          <w:highlight w:val="none"/>
        </w:rPr>
        <w:fldChar w:fldCharType="separate"/>
      </w:r>
      <w:r>
        <w:rPr>
          <w:rFonts w:ascii="宋体" w:hAnsi="宋体" w:eastAsia="宋体" w:cs="宋体"/>
          <w:color w:val="auto"/>
          <w:highlight w:val="none"/>
        </w:rPr>
        <w:t xml:space="preserve">7.1. </w:t>
      </w:r>
      <w:r>
        <w:rPr>
          <w:color w:val="auto"/>
          <w:highlight w:val="none"/>
        </w:rPr>
        <w:t>一般规定</w:t>
      </w:r>
      <w:r>
        <w:rPr>
          <w:color w:val="auto"/>
          <w:highlight w:val="none"/>
        </w:rPr>
        <w:tab/>
      </w:r>
      <w:r>
        <w:rPr>
          <w:color w:val="auto"/>
          <w:highlight w:val="none"/>
        </w:rPr>
        <w:fldChar w:fldCharType="begin"/>
      </w:r>
      <w:r>
        <w:rPr>
          <w:color w:val="auto"/>
          <w:highlight w:val="none"/>
        </w:rPr>
        <w:instrText xml:space="preserve"> PAGEREF _Toc6614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3386874A">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"_Toc9821" </w:instrText>
      </w:r>
      <w:r>
        <w:rPr>
          <w:color w:val="auto"/>
          <w:highlight w:val="none"/>
        </w:rPr>
        <w:fldChar w:fldCharType="separate"/>
      </w:r>
      <w:r>
        <w:rPr>
          <w:rFonts w:ascii="宋体" w:hAnsi="宋体" w:eastAsia="宋体" w:cs="宋体"/>
          <w:color w:val="auto"/>
          <w:highlight w:val="none"/>
        </w:rPr>
        <w:t xml:space="preserve">7.2. </w:t>
      </w:r>
      <w:r>
        <w:rPr>
          <w:color w:val="auto"/>
          <w:highlight w:val="none"/>
        </w:rPr>
        <w:t>成果要求</w:t>
      </w:r>
      <w:r>
        <w:rPr>
          <w:color w:val="auto"/>
          <w:highlight w:val="none"/>
        </w:rPr>
        <w:tab/>
      </w:r>
      <w:r>
        <w:rPr>
          <w:color w:val="auto"/>
          <w:highlight w:val="none"/>
        </w:rPr>
        <w:fldChar w:fldCharType="begin"/>
      </w:r>
      <w:r>
        <w:rPr>
          <w:color w:val="auto"/>
          <w:highlight w:val="none"/>
        </w:rPr>
        <w:instrText xml:space="preserve"> PAGEREF _Toc9821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3AD46944">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"_Toc21108" </w:instrText>
      </w:r>
      <w:r>
        <w:rPr>
          <w:color w:val="auto"/>
          <w:highlight w:val="none"/>
        </w:rPr>
        <w:fldChar w:fldCharType="separate"/>
      </w:r>
      <w:r>
        <w:rPr>
          <w:rFonts w:ascii="宋体" w:hAnsi="宋体" w:eastAsia="宋体" w:cs="宋体"/>
          <w:color w:val="auto"/>
          <w:highlight w:val="none"/>
        </w:rPr>
        <w:t xml:space="preserve">7.3. </w:t>
      </w:r>
      <w:r>
        <w:rPr>
          <w:color w:val="auto"/>
          <w:highlight w:val="none"/>
        </w:rPr>
        <w:t>成果交付审查</w:t>
      </w:r>
      <w:r>
        <w:rPr>
          <w:color w:val="auto"/>
          <w:highlight w:val="none"/>
        </w:rPr>
        <w:tab/>
      </w:r>
      <w:r>
        <w:rPr>
          <w:color w:val="auto"/>
          <w:highlight w:val="none"/>
        </w:rPr>
        <w:fldChar w:fldCharType="begin"/>
      </w:r>
      <w:r>
        <w:rPr>
          <w:color w:val="auto"/>
          <w:highlight w:val="none"/>
        </w:rPr>
        <w:instrText xml:space="preserve"> PAGEREF _Toc21108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36B6C89B">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"_Toc15066" </w:instrText>
      </w:r>
      <w:r>
        <w:rPr>
          <w:color w:val="auto"/>
          <w:highlight w:val="none"/>
        </w:rPr>
        <w:fldChar w:fldCharType="separate"/>
      </w:r>
      <w:r>
        <w:rPr>
          <w:rFonts w:ascii="宋体" w:hAnsi="宋体" w:eastAsia="宋体" w:cs="宋体"/>
          <w:color w:val="auto"/>
          <w:highlight w:val="none"/>
        </w:rPr>
        <w:t xml:space="preserve">7.4. </w:t>
      </w:r>
      <w:r>
        <w:rPr>
          <w:color w:val="auto"/>
          <w:highlight w:val="none"/>
        </w:rPr>
        <w:t>信息安全与知识产权规定</w:t>
      </w:r>
      <w:r>
        <w:rPr>
          <w:color w:val="auto"/>
          <w:highlight w:val="none"/>
        </w:rPr>
        <w:tab/>
      </w:r>
      <w:r>
        <w:rPr>
          <w:color w:val="auto"/>
          <w:highlight w:val="none"/>
        </w:rPr>
        <w:fldChar w:fldCharType="begin"/>
      </w:r>
      <w:r>
        <w:rPr>
          <w:color w:val="auto"/>
          <w:highlight w:val="none"/>
        </w:rPr>
        <w:instrText xml:space="preserve"> PAGEREF _Toc15066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70868463">
      <w:pPr>
        <w:pStyle w:val="38"/>
        <w:tabs>
          <w:tab w:val="right" w:leader="dot" w:pos="8306"/>
          <w:tab w:val="clear" w:pos="8296"/>
        </w:tabs>
        <w:rPr>
          <w:color w:val="auto"/>
          <w:highlight w:val="none"/>
        </w:rPr>
      </w:pPr>
      <w:r>
        <w:rPr>
          <w:color w:val="auto"/>
          <w:highlight w:val="none"/>
        </w:rPr>
        <w:fldChar w:fldCharType="begin"/>
      </w:r>
      <w:r>
        <w:rPr>
          <w:color w:val="auto"/>
          <w:highlight w:val="none"/>
        </w:rPr>
        <w:instrText xml:space="preserve"> HYPERLINK \l "_Toc22171" </w:instrText>
      </w:r>
      <w:r>
        <w:rPr>
          <w:color w:val="auto"/>
          <w:highlight w:val="none"/>
        </w:rPr>
        <w:fldChar w:fldCharType="separate"/>
      </w:r>
      <w:r>
        <w:rPr>
          <w:rFonts w:ascii="宋体" w:hAnsi="宋体" w:eastAsia="宋体" w:cs="宋体"/>
          <w:color w:val="auto"/>
          <w:highlight w:val="none"/>
        </w:rPr>
        <w:t xml:space="preserve">8. </w:t>
      </w:r>
      <w:r>
        <w:rPr>
          <w:color w:val="auto"/>
          <w:highlight w:val="none"/>
        </w:rPr>
        <w:t>协同要求</w:t>
      </w:r>
      <w:r>
        <w:rPr>
          <w:color w:val="auto"/>
          <w:highlight w:val="none"/>
        </w:rPr>
        <w:tab/>
      </w:r>
      <w:r>
        <w:rPr>
          <w:color w:val="auto"/>
          <w:highlight w:val="none"/>
        </w:rPr>
        <w:fldChar w:fldCharType="begin"/>
      </w:r>
      <w:r>
        <w:rPr>
          <w:color w:val="auto"/>
          <w:highlight w:val="none"/>
        </w:rPr>
        <w:instrText xml:space="preserve"> PAGEREF _Toc22171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05641A85">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"_Toc29617" </w:instrText>
      </w:r>
      <w:r>
        <w:rPr>
          <w:color w:val="auto"/>
          <w:highlight w:val="none"/>
        </w:rPr>
        <w:fldChar w:fldCharType="separate"/>
      </w:r>
      <w:r>
        <w:rPr>
          <w:rFonts w:ascii="宋体" w:hAnsi="宋体" w:eastAsia="宋体" w:cs="宋体"/>
          <w:color w:val="auto"/>
          <w:highlight w:val="none"/>
        </w:rPr>
        <w:t xml:space="preserve">8.1. </w:t>
      </w:r>
      <w:r>
        <w:rPr>
          <w:color w:val="auto"/>
          <w:highlight w:val="none"/>
        </w:rPr>
        <w:t>一般规定</w:t>
      </w:r>
      <w:r>
        <w:rPr>
          <w:color w:val="auto"/>
          <w:highlight w:val="none"/>
        </w:rPr>
        <w:tab/>
      </w:r>
      <w:r>
        <w:rPr>
          <w:color w:val="auto"/>
          <w:highlight w:val="none"/>
        </w:rPr>
        <w:fldChar w:fldCharType="begin"/>
      </w:r>
      <w:r>
        <w:rPr>
          <w:color w:val="auto"/>
          <w:highlight w:val="none"/>
        </w:rPr>
        <w:instrText xml:space="preserve"> PAGEREF _Toc29617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2C043332">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"_Toc15825" </w:instrText>
      </w:r>
      <w:r>
        <w:rPr>
          <w:color w:val="auto"/>
          <w:highlight w:val="none"/>
        </w:rPr>
        <w:fldChar w:fldCharType="separate"/>
      </w:r>
      <w:r>
        <w:rPr>
          <w:rFonts w:ascii="宋体" w:hAnsi="宋体" w:eastAsia="宋体" w:cs="宋体"/>
          <w:color w:val="auto"/>
          <w:highlight w:val="none"/>
        </w:rPr>
        <w:t xml:space="preserve">8.2. </w:t>
      </w:r>
      <w:r>
        <w:rPr>
          <w:color w:val="auto"/>
          <w:highlight w:val="none"/>
        </w:rPr>
        <w:t>协同管理</w:t>
      </w:r>
      <w:r>
        <w:rPr>
          <w:color w:val="auto"/>
          <w:highlight w:val="none"/>
        </w:rPr>
        <w:tab/>
      </w:r>
      <w:r>
        <w:rPr>
          <w:color w:val="auto"/>
          <w:highlight w:val="none"/>
        </w:rPr>
        <w:fldChar w:fldCharType="begin"/>
      </w:r>
      <w:r>
        <w:rPr>
          <w:color w:val="auto"/>
          <w:highlight w:val="none"/>
        </w:rPr>
        <w:instrText xml:space="preserve"> PAGEREF _Toc15825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4EE56091">
      <w:pPr>
        <w:pStyle w:val="44"/>
        <w:tabs>
          <w:tab w:val="right" w:leader="dot" w:pos="8306"/>
        </w:tabs>
        <w:rPr>
          <w:color w:val="auto"/>
          <w:highlight w:val="none"/>
        </w:rPr>
      </w:pPr>
      <w:r>
        <w:rPr>
          <w:color w:val="auto"/>
          <w:highlight w:val="none"/>
        </w:rPr>
        <w:fldChar w:fldCharType="begin"/>
      </w:r>
      <w:r>
        <w:rPr>
          <w:color w:val="auto"/>
          <w:highlight w:val="none"/>
        </w:rPr>
        <w:instrText xml:space="preserve"> HYPERLINK \l "_Toc25594" </w:instrText>
      </w:r>
      <w:r>
        <w:rPr>
          <w:color w:val="auto"/>
          <w:highlight w:val="none"/>
        </w:rPr>
        <w:fldChar w:fldCharType="separate"/>
      </w:r>
      <w:r>
        <w:rPr>
          <w:rFonts w:ascii="宋体" w:hAnsi="宋体" w:eastAsia="宋体" w:cs="宋体"/>
          <w:color w:val="auto"/>
          <w:highlight w:val="none"/>
        </w:rPr>
        <w:t xml:space="preserve">8.3. </w:t>
      </w:r>
      <w:r>
        <w:rPr>
          <w:color w:val="auto"/>
          <w:highlight w:val="none"/>
        </w:rPr>
        <w:t>各参与方协同工作</w:t>
      </w:r>
      <w:r>
        <w:rPr>
          <w:color w:val="auto"/>
          <w:highlight w:val="none"/>
        </w:rPr>
        <w:tab/>
      </w:r>
      <w:r>
        <w:rPr>
          <w:color w:val="auto"/>
          <w:highlight w:val="none"/>
        </w:rPr>
        <w:fldChar w:fldCharType="begin"/>
      </w:r>
      <w:r>
        <w:rPr>
          <w:color w:val="auto"/>
          <w:highlight w:val="none"/>
        </w:rPr>
        <w:instrText xml:space="preserve"> PAGEREF _Toc25594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57C3E44A">
      <w:pPr>
        <w:spacing w:before="0" w:after="0"/>
        <w:ind w:left="10" w:hanging="10"/>
        <w:jc w:val="center"/>
        <w:rPr>
          <w:rFonts w:ascii="Times New Roman" w:hAnsi="Times New Roman" w:eastAsia="宋体" w:cs="Times New Roman"/>
          <w:b/>
          <w:bCs/>
          <w:color w:val="auto"/>
          <w:sz w:val="32"/>
          <w:szCs w:val="40"/>
          <w:highlight w:val="none"/>
        </w:rPr>
      </w:pPr>
      <w:r>
        <w:rPr>
          <w:rFonts w:ascii="Times New Roman" w:hAnsi="Times New Roman" w:eastAsia="宋体" w:cs="Times New Roman"/>
          <w:bCs/>
          <w:color w:val="auto"/>
          <w:szCs w:val="40"/>
          <w:highlight w:val="none"/>
        </w:rPr>
        <w:fldChar w:fldCharType="end"/>
      </w:r>
    </w:p>
    <w:p w14:paraId="5BA44C4D">
      <w:pPr>
        <w:spacing w:before="312" w:beforeLines="100" w:after="312" w:afterLines="100"/>
        <w:jc w:val="center"/>
        <w:rPr>
          <w:color w:val="auto"/>
          <w:highlight w:val="none"/>
        </w:rPr>
      </w:pPr>
    </w:p>
    <w:p w14:paraId="0A38F782">
      <w:pPr>
        <w:spacing w:before="312" w:beforeLines="100" w:after="312" w:afterLines="100"/>
        <w:jc w:val="center"/>
        <w:rPr>
          <w:color w:val="auto"/>
          <w:highlight w:val="none"/>
        </w:rPr>
        <w:sectPr>
          <w:pgSz w:w="11906" w:h="16838"/>
          <w:pgMar w:top="1440" w:right="1800" w:bottom="1440" w:left="1800" w:header="851" w:footer="992" w:gutter="0"/>
          <w:cols w:space="720" w:num="1"/>
          <w:docGrid w:type="lines" w:linePitch="312" w:charSpace="0"/>
        </w:sectPr>
      </w:pPr>
    </w:p>
    <w:p w14:paraId="32EFE83E">
      <w:pPr>
        <w:pStyle w:val="2"/>
        <w:spacing w:before="936" w:after="624"/>
        <w:rPr>
          <w:color w:val="auto"/>
          <w:highlight w:val="none"/>
        </w:rPr>
      </w:pPr>
      <w:bookmarkStart w:id="803" w:name="_Toc32699"/>
      <w:bookmarkStart w:id="804" w:name="_Toc9511"/>
      <w:bookmarkStart w:id="805" w:name="_Toc11639"/>
      <w:bookmarkStart w:id="806" w:name="_Toc26193"/>
      <w:bookmarkStart w:id="807" w:name="_Toc26258"/>
      <w:r>
        <w:rPr>
          <w:color w:val="auto"/>
          <w:highlight w:val="none"/>
        </w:rPr>
        <w:t>总  则</w:t>
      </w:r>
      <w:bookmarkEnd w:id="803"/>
      <w:bookmarkEnd w:id="804"/>
      <w:bookmarkEnd w:id="805"/>
      <w:bookmarkEnd w:id="806"/>
      <w:bookmarkEnd w:id="807"/>
    </w:p>
    <w:p w14:paraId="57BF07F5">
      <w:pPr>
        <w:pStyle w:val="586"/>
        <w:numPr>
          <w:ilvl w:val="2"/>
          <w:numId w:val="0"/>
        </w:numPr>
        <w:tabs>
          <w:tab w:val="clear" w:pos="0"/>
        </w:tabs>
        <w:spacing w:before="156" w:after="156"/>
        <w:rPr>
          <w:color w:val="auto"/>
          <w:highlight w:val="none"/>
        </w:rPr>
      </w:pPr>
      <w:bookmarkStart w:id="808" w:name="_Toc10131"/>
      <w:bookmarkStart w:id="809" w:name="_Toc4741"/>
      <w:bookmarkStart w:id="810" w:name="_Toc17227"/>
      <w:bookmarkStart w:id="811" w:name="_Toc5088"/>
      <w:r>
        <w:rPr>
          <w:rFonts w:cs="宋体"/>
          <w:b/>
          <w:bCs/>
          <w:color w:val="auto"/>
          <w:highlight w:val="none"/>
        </w:rPr>
        <w:t>1.0.1.</w:t>
      </w:r>
      <w:r>
        <w:rPr>
          <w:color w:val="auto"/>
          <w:highlight w:val="none"/>
        </w:rPr>
        <w:t>为全面推进广东省代建项目管理局（简称“代建局”）BIM应用和信息化工作，推动建筑信息模型的应用，提升代建项目信息化水平，广东省代建项目管理局组织制定《广东省代建项目管理局BIM实施管理标准》（简称“标准”）。</w:t>
      </w:r>
      <w:bookmarkEnd w:id="808"/>
      <w:bookmarkEnd w:id="809"/>
      <w:bookmarkEnd w:id="810"/>
      <w:bookmarkEnd w:id="811"/>
    </w:p>
    <w:p w14:paraId="3838CF83">
      <w:pPr>
        <w:pStyle w:val="586"/>
        <w:numPr>
          <w:ilvl w:val="2"/>
          <w:numId w:val="0"/>
        </w:numPr>
        <w:tabs>
          <w:tab w:val="clear" w:pos="0"/>
        </w:tabs>
        <w:spacing w:before="156" w:after="156"/>
        <w:rPr>
          <w:color w:val="auto"/>
          <w:highlight w:val="none"/>
        </w:rPr>
      </w:pPr>
      <w:bookmarkStart w:id="812" w:name="_Toc13737"/>
      <w:bookmarkStart w:id="813" w:name="_Toc14137"/>
      <w:bookmarkStart w:id="814" w:name="_Toc25309"/>
      <w:bookmarkStart w:id="815" w:name="_Toc1891"/>
      <w:r>
        <w:rPr>
          <w:rFonts w:cs="宋体"/>
          <w:b/>
          <w:bCs/>
          <w:color w:val="auto"/>
          <w:highlight w:val="none"/>
        </w:rPr>
        <w:t>1.0.2.</w:t>
      </w:r>
      <w:r>
        <w:rPr>
          <w:color w:val="auto"/>
          <w:highlight w:val="none"/>
        </w:rPr>
        <w:t>本标准适用于广东省代建项目管理局管理范围内实施BIM管理的新建、改建、扩建政府公共工程。</w:t>
      </w:r>
      <w:bookmarkEnd w:id="812"/>
      <w:bookmarkEnd w:id="813"/>
      <w:bookmarkEnd w:id="814"/>
      <w:bookmarkEnd w:id="815"/>
    </w:p>
    <w:p w14:paraId="2E67D56F">
      <w:pPr>
        <w:pStyle w:val="586"/>
        <w:numPr>
          <w:ilvl w:val="2"/>
          <w:numId w:val="0"/>
        </w:numPr>
        <w:tabs>
          <w:tab w:val="clear" w:pos="0"/>
        </w:tabs>
        <w:spacing w:before="156" w:after="156"/>
        <w:rPr>
          <w:color w:val="auto"/>
          <w:highlight w:val="none"/>
        </w:rPr>
      </w:pPr>
      <w:bookmarkStart w:id="816" w:name="_Toc19526"/>
      <w:bookmarkStart w:id="817" w:name="_Toc12621"/>
      <w:bookmarkStart w:id="818" w:name="_Toc30468"/>
      <w:bookmarkStart w:id="819" w:name="_Toc19437"/>
      <w:r>
        <w:rPr>
          <w:rFonts w:cs="宋体"/>
          <w:b/>
          <w:bCs/>
          <w:color w:val="auto"/>
          <w:highlight w:val="none"/>
        </w:rPr>
        <w:t>1.0.3.</w:t>
      </w:r>
      <w:r>
        <w:rPr>
          <w:color w:val="auto"/>
          <w:highlight w:val="none"/>
        </w:rPr>
        <w:t>广东省代建项目管理局管理范围内建设工程全生命周期内建筑信息模型的建立、应用和管理，除应符合本标准外，尚应符合国家、行业、省市现行有关标准的规定。</w:t>
      </w:r>
      <w:bookmarkEnd w:id="816"/>
      <w:bookmarkEnd w:id="817"/>
      <w:bookmarkEnd w:id="818"/>
      <w:bookmarkEnd w:id="819"/>
    </w:p>
    <w:p w14:paraId="6828899A">
      <w:pPr>
        <w:pStyle w:val="586"/>
        <w:numPr>
          <w:ilvl w:val="2"/>
          <w:numId w:val="0"/>
        </w:numPr>
        <w:tabs>
          <w:tab w:val="clear" w:pos="0"/>
        </w:tabs>
        <w:spacing w:before="156" w:after="156"/>
        <w:rPr>
          <w:color w:val="auto"/>
          <w:highlight w:val="none"/>
        </w:rPr>
      </w:pPr>
      <w:bookmarkStart w:id="820" w:name="_Toc29975"/>
      <w:bookmarkStart w:id="821" w:name="_Toc16041"/>
      <w:bookmarkStart w:id="822" w:name="_Toc25216"/>
      <w:bookmarkStart w:id="823" w:name="_Toc31653"/>
      <w:r>
        <w:rPr>
          <w:rFonts w:cs="宋体"/>
          <w:b/>
          <w:bCs/>
          <w:color w:val="auto"/>
          <w:highlight w:val="none"/>
        </w:rPr>
        <w:t>1.0.4.</w:t>
      </w:r>
      <w:r>
        <w:rPr>
          <w:color w:val="auto"/>
          <w:highlight w:val="none"/>
        </w:rPr>
        <w:t>本标准作为广东省代建项目管理局管理范围内建设工程 BIM全过程实施指南以及建设工程管理中 BIM应用的基本原则和通用标准，在项目实际实施过程中，应遵循本标准的规定，并可根据实际内容进行调整和细化。</w:t>
      </w:r>
      <w:bookmarkEnd w:id="820"/>
      <w:bookmarkEnd w:id="821"/>
      <w:bookmarkEnd w:id="822"/>
      <w:bookmarkEnd w:id="823"/>
    </w:p>
    <w:p w14:paraId="565445CD">
      <w:pPr>
        <w:pStyle w:val="586"/>
        <w:numPr>
          <w:ilvl w:val="2"/>
          <w:numId w:val="0"/>
        </w:numPr>
        <w:tabs>
          <w:tab w:val="clear" w:pos="0"/>
        </w:tabs>
        <w:spacing w:before="156" w:after="156"/>
        <w:rPr>
          <w:color w:val="auto"/>
          <w:highlight w:val="none"/>
        </w:rPr>
      </w:pPr>
      <w:bookmarkStart w:id="824" w:name="_Toc30889"/>
      <w:bookmarkStart w:id="825" w:name="_Toc31631"/>
      <w:bookmarkStart w:id="826" w:name="_Toc27712"/>
      <w:bookmarkStart w:id="827" w:name="_Toc22840"/>
      <w:r>
        <w:rPr>
          <w:rFonts w:cs="宋体"/>
          <w:b/>
          <w:bCs/>
          <w:color w:val="auto"/>
          <w:highlight w:val="none"/>
        </w:rPr>
        <w:t>1.0.5.</w:t>
      </w:r>
      <w:r>
        <w:rPr>
          <w:color w:val="auto"/>
          <w:highlight w:val="none"/>
        </w:rPr>
        <w:t>为保证《标准》在项目中的贯彻实施，《标准》将随着BIM技术的发展及根据实施过程中的反馈意见进行持续性更新。</w:t>
      </w:r>
      <w:bookmarkEnd w:id="824"/>
      <w:bookmarkEnd w:id="825"/>
      <w:bookmarkEnd w:id="826"/>
      <w:bookmarkEnd w:id="827"/>
    </w:p>
    <w:p w14:paraId="5CFB1EE8">
      <w:pPr>
        <w:pStyle w:val="586"/>
        <w:numPr>
          <w:ilvl w:val="2"/>
          <w:numId w:val="0"/>
        </w:numPr>
        <w:tabs>
          <w:tab w:val="clear" w:pos="0"/>
        </w:tabs>
        <w:spacing w:before="156" w:after="156"/>
        <w:rPr>
          <w:color w:val="auto"/>
          <w:highlight w:val="none"/>
        </w:rPr>
      </w:pPr>
      <w:bookmarkStart w:id="828" w:name="_Toc8033"/>
      <w:bookmarkStart w:id="829" w:name="_Toc18733"/>
      <w:bookmarkStart w:id="830" w:name="_Toc4244"/>
      <w:bookmarkStart w:id="831" w:name="_Toc10219"/>
      <w:r>
        <w:rPr>
          <w:rFonts w:cs="宋体"/>
          <w:b/>
          <w:bCs/>
          <w:color w:val="auto"/>
          <w:highlight w:val="none"/>
        </w:rPr>
        <w:t>1.0.6.</w:t>
      </w:r>
      <w:r>
        <w:rPr>
          <w:color w:val="auto"/>
          <w:highlight w:val="none"/>
        </w:rPr>
        <w:t>本标准参考的标准如下：</w:t>
      </w:r>
      <w:bookmarkEnd w:id="828"/>
      <w:bookmarkEnd w:id="829"/>
      <w:bookmarkEnd w:id="830"/>
      <w:bookmarkEnd w:id="831"/>
    </w:p>
    <w:p w14:paraId="39E49A82">
      <w:pPr>
        <w:ind w:firstLine="420" w:firstLineChars="200"/>
        <w:rPr>
          <w:color w:val="auto"/>
          <w:highlight w:val="none"/>
        </w:rPr>
      </w:pPr>
      <w:r>
        <w:rPr>
          <w:color w:val="auto"/>
          <w:highlight w:val="none"/>
        </w:rPr>
        <w:t>1. 《建筑信息模型应用统一标准》GB/T 51212</w:t>
      </w:r>
    </w:p>
    <w:p w14:paraId="7F7EB1C3">
      <w:pPr>
        <w:ind w:firstLine="420" w:firstLineChars="200"/>
        <w:rPr>
          <w:color w:val="auto"/>
          <w:highlight w:val="none"/>
        </w:rPr>
      </w:pPr>
      <w:r>
        <w:rPr>
          <w:color w:val="auto"/>
          <w:highlight w:val="none"/>
        </w:rPr>
        <w:t>2. 《建筑信息模型施工应用标准》GB/T 51235</w:t>
      </w:r>
    </w:p>
    <w:p w14:paraId="26BD9523">
      <w:pPr>
        <w:ind w:firstLine="420" w:firstLineChars="200"/>
        <w:rPr>
          <w:color w:val="auto"/>
          <w:highlight w:val="none"/>
        </w:rPr>
      </w:pPr>
      <w:r>
        <w:rPr>
          <w:color w:val="auto"/>
          <w:highlight w:val="none"/>
        </w:rPr>
        <w:t>3. 《建筑信息模型分类和编码标准》GB/T 51269</w:t>
      </w:r>
    </w:p>
    <w:p w14:paraId="48EAB695">
      <w:pPr>
        <w:ind w:firstLine="420" w:firstLineChars="200"/>
        <w:rPr>
          <w:color w:val="auto"/>
          <w:highlight w:val="none"/>
        </w:rPr>
      </w:pPr>
      <w:r>
        <w:rPr>
          <w:color w:val="auto"/>
          <w:highlight w:val="none"/>
        </w:rPr>
        <w:t>4. 《建筑信息模型设计交付标准》GB/T 51301</w:t>
      </w:r>
    </w:p>
    <w:p w14:paraId="58B591ED">
      <w:pPr>
        <w:ind w:firstLine="420" w:firstLineChars="200"/>
        <w:rPr>
          <w:color w:val="auto"/>
          <w:highlight w:val="none"/>
        </w:rPr>
      </w:pPr>
      <w:r>
        <w:rPr>
          <w:color w:val="auto"/>
          <w:highlight w:val="none"/>
        </w:rPr>
        <w:t>5. 《建筑工程设计信息模型制图标准》JGJ/T 448</w:t>
      </w:r>
    </w:p>
    <w:p w14:paraId="6837D73C">
      <w:pPr>
        <w:ind w:firstLine="420" w:firstLineChars="200"/>
        <w:rPr>
          <w:color w:val="auto"/>
          <w:highlight w:val="none"/>
        </w:rPr>
      </w:pPr>
      <w:r>
        <w:rPr>
          <w:color w:val="auto"/>
          <w:highlight w:val="none"/>
        </w:rPr>
        <w:t>6. 《工程建设项目业务协同平台技术标准》CJJ/T 296</w:t>
      </w:r>
    </w:p>
    <w:p w14:paraId="151229C0">
      <w:pPr>
        <w:ind w:firstLine="420" w:firstLineChars="200"/>
        <w:rPr>
          <w:color w:val="auto"/>
          <w:highlight w:val="none"/>
        </w:rPr>
      </w:pPr>
      <w:r>
        <w:rPr>
          <w:color w:val="auto"/>
          <w:highlight w:val="none"/>
        </w:rPr>
        <w:t>7. 《广东省建筑信息模型应用统一标准》DBJ/T 15-142</w:t>
      </w:r>
    </w:p>
    <w:p w14:paraId="52ECEBCF">
      <w:pPr>
        <w:rPr>
          <w:color w:val="auto"/>
          <w:highlight w:val="none"/>
        </w:rPr>
        <w:sectPr>
          <w:footerReference r:id="rId12" w:type="default"/>
          <w:pgSz w:w="11906" w:h="16838"/>
          <w:pgMar w:top="1440" w:right="1800" w:bottom="1440" w:left="1800" w:header="851" w:footer="992" w:gutter="0"/>
          <w:cols w:space="720" w:num="1"/>
          <w:docGrid w:type="lines" w:linePitch="312" w:charSpace="0"/>
        </w:sectPr>
      </w:pPr>
    </w:p>
    <w:p w14:paraId="24D75CB1">
      <w:pPr>
        <w:pStyle w:val="2"/>
        <w:spacing w:before="936" w:after="624"/>
        <w:rPr>
          <w:color w:val="auto"/>
          <w:highlight w:val="none"/>
        </w:rPr>
      </w:pPr>
      <w:bookmarkStart w:id="832" w:name="_Toc19676"/>
      <w:bookmarkStart w:id="833" w:name="_Toc3390"/>
      <w:bookmarkStart w:id="834" w:name="_Toc8284"/>
      <w:bookmarkStart w:id="835" w:name="_Toc2719"/>
      <w:bookmarkStart w:id="836" w:name="_Toc25615"/>
      <w:r>
        <w:rPr>
          <w:color w:val="auto"/>
          <w:highlight w:val="none"/>
        </w:rPr>
        <w:t>术  语</w:t>
      </w:r>
      <w:bookmarkEnd w:id="832"/>
      <w:bookmarkEnd w:id="833"/>
      <w:bookmarkEnd w:id="834"/>
      <w:bookmarkEnd w:id="835"/>
      <w:bookmarkEnd w:id="836"/>
    </w:p>
    <w:p w14:paraId="590FEC69">
      <w:pPr>
        <w:pStyle w:val="586"/>
        <w:numPr>
          <w:ilvl w:val="2"/>
          <w:numId w:val="0"/>
        </w:numPr>
        <w:tabs>
          <w:tab w:val="clear" w:pos="0"/>
        </w:tabs>
        <w:spacing w:before="156" w:after="156"/>
        <w:rPr>
          <w:color w:val="auto"/>
          <w:highlight w:val="none"/>
        </w:rPr>
      </w:pPr>
      <w:bookmarkStart w:id="837" w:name="_Toc25841"/>
      <w:bookmarkStart w:id="838" w:name="_Toc27592"/>
      <w:bookmarkStart w:id="839" w:name="_Toc14618"/>
      <w:bookmarkStart w:id="840" w:name="_Toc19631"/>
      <w:r>
        <w:rPr>
          <w:rFonts w:hint="eastAsia" w:cs="宋体"/>
          <w:b/>
          <w:bCs/>
          <w:color w:val="auto"/>
          <w:highlight w:val="none"/>
        </w:rPr>
        <w:t>2</w:t>
      </w:r>
      <w:r>
        <w:rPr>
          <w:rFonts w:cs="宋体"/>
          <w:b/>
          <w:bCs/>
          <w:color w:val="auto"/>
          <w:highlight w:val="none"/>
        </w:rPr>
        <w:t>.0.</w:t>
      </w:r>
      <w:r>
        <w:rPr>
          <w:rFonts w:hint="eastAsia" w:cs="宋体"/>
          <w:b/>
          <w:bCs/>
          <w:color w:val="auto"/>
          <w:highlight w:val="none"/>
        </w:rPr>
        <w:t>1</w:t>
      </w:r>
      <w:r>
        <w:rPr>
          <w:rFonts w:cs="宋体"/>
          <w:b/>
          <w:bCs/>
          <w:color w:val="auto"/>
          <w:highlight w:val="none"/>
        </w:rPr>
        <w:t>.</w:t>
      </w:r>
      <w:r>
        <w:rPr>
          <w:color w:val="auto"/>
          <w:highlight w:val="none"/>
        </w:rPr>
        <w:t>建筑信息模型 building information modeling（BIM）</w:t>
      </w:r>
      <w:bookmarkEnd w:id="837"/>
      <w:bookmarkEnd w:id="838"/>
      <w:bookmarkEnd w:id="839"/>
      <w:bookmarkEnd w:id="840"/>
    </w:p>
    <w:p w14:paraId="4E4CA250">
      <w:pPr>
        <w:ind w:firstLine="420" w:firstLineChars="200"/>
        <w:rPr>
          <w:color w:val="auto"/>
          <w:highlight w:val="none"/>
        </w:rPr>
      </w:pPr>
      <w:r>
        <w:rPr>
          <w:color w:val="auto"/>
          <w:highlight w:val="none"/>
        </w:rPr>
        <w:t>建筑信息模型是指创建并利用数字化模型对建设工程项目的设计、建造和运维全过程进行管理和优化的过程、方法和技术。</w:t>
      </w:r>
    </w:p>
    <w:p w14:paraId="69772252">
      <w:pPr>
        <w:pStyle w:val="586"/>
        <w:numPr>
          <w:ilvl w:val="2"/>
          <w:numId w:val="0"/>
        </w:numPr>
        <w:tabs>
          <w:tab w:val="clear" w:pos="0"/>
        </w:tabs>
        <w:spacing w:before="156" w:after="156"/>
        <w:rPr>
          <w:color w:val="auto"/>
          <w:highlight w:val="none"/>
        </w:rPr>
      </w:pPr>
      <w:bookmarkStart w:id="841" w:name="_Toc18837"/>
      <w:bookmarkStart w:id="842" w:name="_Toc22239"/>
      <w:bookmarkStart w:id="843" w:name="_Toc15362"/>
      <w:bookmarkStart w:id="844" w:name="_Toc9053"/>
      <w:r>
        <w:rPr>
          <w:rFonts w:hint="eastAsia" w:cs="宋体"/>
          <w:b/>
          <w:bCs/>
          <w:color w:val="auto"/>
          <w:highlight w:val="none"/>
        </w:rPr>
        <w:t>2</w:t>
      </w:r>
      <w:r>
        <w:rPr>
          <w:rFonts w:cs="宋体"/>
          <w:b/>
          <w:bCs/>
          <w:color w:val="auto"/>
          <w:highlight w:val="none"/>
        </w:rPr>
        <w:t>.0.</w:t>
      </w:r>
      <w:r>
        <w:rPr>
          <w:rFonts w:hint="eastAsia" w:cs="宋体"/>
          <w:b/>
          <w:bCs/>
          <w:color w:val="auto"/>
          <w:highlight w:val="none"/>
        </w:rPr>
        <w:t>2</w:t>
      </w:r>
      <w:r>
        <w:rPr>
          <w:rFonts w:cs="宋体"/>
          <w:b/>
          <w:bCs/>
          <w:color w:val="auto"/>
          <w:highlight w:val="none"/>
        </w:rPr>
        <w:t>.</w:t>
      </w:r>
      <w:r>
        <w:rPr>
          <w:color w:val="auto"/>
          <w:highlight w:val="none"/>
        </w:rPr>
        <w:t>城市信息模型 city information modeling（CIM）</w:t>
      </w:r>
      <w:bookmarkEnd w:id="841"/>
      <w:bookmarkEnd w:id="842"/>
      <w:bookmarkEnd w:id="843"/>
      <w:bookmarkEnd w:id="844"/>
    </w:p>
    <w:p w14:paraId="207D5729">
      <w:pPr>
        <w:ind w:firstLine="420" w:firstLineChars="200"/>
        <w:rPr>
          <w:color w:val="auto"/>
          <w:highlight w:val="none"/>
        </w:rPr>
      </w:pPr>
      <w:r>
        <w:rPr>
          <w:color w:val="auto"/>
          <w:highlight w:val="none"/>
        </w:rPr>
        <w:t>以建筑信息模型（BIM）、地理信息系统（GIS）、数字孪生和物联网（IoT）等技术为基础，数字化重构城市空间、建筑与设施、资源与环境等实体，监测感知其发展变化、仿真表达历史现状未来多维多尺度信息，模拟城市规划、建设与管理运营过程，构建起数字空间的城市信息有机综合体。</w:t>
      </w:r>
    </w:p>
    <w:p w14:paraId="0AF05193">
      <w:pPr>
        <w:pStyle w:val="586"/>
        <w:numPr>
          <w:ilvl w:val="2"/>
          <w:numId w:val="0"/>
        </w:numPr>
        <w:tabs>
          <w:tab w:val="clear" w:pos="0"/>
        </w:tabs>
        <w:spacing w:before="156" w:after="156"/>
        <w:rPr>
          <w:color w:val="auto"/>
          <w:highlight w:val="none"/>
        </w:rPr>
      </w:pPr>
      <w:bookmarkStart w:id="845" w:name="_Toc31941"/>
      <w:bookmarkStart w:id="846" w:name="_Toc23667"/>
      <w:bookmarkStart w:id="847" w:name="_Toc12081"/>
      <w:bookmarkStart w:id="848" w:name="_Toc24640"/>
      <w:r>
        <w:rPr>
          <w:rFonts w:hint="eastAsia" w:cs="宋体"/>
          <w:b/>
          <w:bCs/>
          <w:color w:val="auto"/>
          <w:highlight w:val="none"/>
        </w:rPr>
        <w:t>2</w:t>
      </w:r>
      <w:r>
        <w:rPr>
          <w:rFonts w:cs="宋体"/>
          <w:b/>
          <w:bCs/>
          <w:color w:val="auto"/>
          <w:highlight w:val="none"/>
        </w:rPr>
        <w:t>.0.</w:t>
      </w:r>
      <w:r>
        <w:rPr>
          <w:rFonts w:hint="eastAsia" w:cs="宋体"/>
          <w:b/>
          <w:bCs/>
          <w:color w:val="auto"/>
          <w:highlight w:val="none"/>
        </w:rPr>
        <w:t>3</w:t>
      </w:r>
      <w:r>
        <w:rPr>
          <w:rFonts w:cs="宋体"/>
          <w:b/>
          <w:bCs/>
          <w:color w:val="auto"/>
          <w:highlight w:val="none"/>
        </w:rPr>
        <w:t>.</w:t>
      </w:r>
      <w:r>
        <w:rPr>
          <w:color w:val="auto"/>
          <w:highlight w:val="none"/>
        </w:rPr>
        <w:t>BIM 模型 BIM model</w:t>
      </w:r>
      <w:bookmarkEnd w:id="845"/>
      <w:bookmarkEnd w:id="846"/>
      <w:bookmarkEnd w:id="847"/>
      <w:bookmarkEnd w:id="848"/>
    </w:p>
    <w:p w14:paraId="3863FBE0">
      <w:pPr>
        <w:ind w:firstLine="420" w:firstLineChars="200"/>
        <w:rPr>
          <w:color w:val="auto"/>
          <w:highlight w:val="none"/>
        </w:rPr>
      </w:pPr>
      <w:r>
        <w:rPr>
          <w:color w:val="auto"/>
          <w:highlight w:val="none"/>
        </w:rPr>
        <w:t>BIM模型是指基于BIM所产生的数字化建筑模型。</w:t>
      </w:r>
    </w:p>
    <w:p w14:paraId="30D84202">
      <w:pPr>
        <w:pStyle w:val="586"/>
        <w:numPr>
          <w:ilvl w:val="2"/>
          <w:numId w:val="0"/>
        </w:numPr>
        <w:tabs>
          <w:tab w:val="clear" w:pos="0"/>
        </w:tabs>
        <w:spacing w:before="156" w:after="156"/>
        <w:rPr>
          <w:color w:val="auto"/>
          <w:highlight w:val="none"/>
        </w:rPr>
      </w:pPr>
      <w:bookmarkStart w:id="849" w:name="_Toc9785"/>
      <w:bookmarkStart w:id="850" w:name="_Toc13604"/>
      <w:bookmarkStart w:id="851" w:name="_Toc2504"/>
      <w:bookmarkStart w:id="852" w:name="_Toc11045"/>
      <w:r>
        <w:rPr>
          <w:rFonts w:hint="eastAsia" w:cs="宋体"/>
          <w:b/>
          <w:bCs/>
          <w:color w:val="auto"/>
          <w:highlight w:val="none"/>
        </w:rPr>
        <w:t>2</w:t>
      </w:r>
      <w:r>
        <w:rPr>
          <w:rFonts w:cs="宋体"/>
          <w:b/>
          <w:bCs/>
          <w:color w:val="auto"/>
          <w:highlight w:val="none"/>
        </w:rPr>
        <w:t>.0.</w:t>
      </w:r>
      <w:r>
        <w:rPr>
          <w:rFonts w:hint="eastAsia" w:cs="宋体"/>
          <w:b/>
          <w:bCs/>
          <w:color w:val="auto"/>
          <w:highlight w:val="none"/>
        </w:rPr>
        <w:t>4</w:t>
      </w:r>
      <w:r>
        <w:rPr>
          <w:rFonts w:cs="宋体"/>
          <w:b/>
          <w:bCs/>
          <w:color w:val="auto"/>
          <w:highlight w:val="none"/>
        </w:rPr>
        <w:t>.</w:t>
      </w:r>
      <w:r>
        <w:rPr>
          <w:color w:val="auto"/>
          <w:highlight w:val="none"/>
        </w:rPr>
        <w:t>建模软件 modeling software</w:t>
      </w:r>
      <w:bookmarkEnd w:id="849"/>
      <w:bookmarkEnd w:id="850"/>
      <w:bookmarkEnd w:id="851"/>
      <w:bookmarkEnd w:id="852"/>
    </w:p>
    <w:p w14:paraId="3F26764E">
      <w:pPr>
        <w:ind w:firstLine="420" w:firstLineChars="200"/>
        <w:rPr>
          <w:color w:val="auto"/>
          <w:highlight w:val="none"/>
        </w:rPr>
      </w:pPr>
      <w:r>
        <w:rPr>
          <w:color w:val="auto"/>
          <w:highlight w:val="none"/>
        </w:rPr>
        <w:t>建模软件是指用于创建BIM模型的软件，应具备三维数字化建模、非几何信息录入、多专业协同设计、二维图纸生成等基本功能。</w:t>
      </w:r>
    </w:p>
    <w:p w14:paraId="1B734E59">
      <w:pPr>
        <w:pStyle w:val="586"/>
        <w:numPr>
          <w:ilvl w:val="2"/>
          <w:numId w:val="0"/>
        </w:numPr>
        <w:tabs>
          <w:tab w:val="clear" w:pos="0"/>
        </w:tabs>
        <w:spacing w:before="156" w:after="156"/>
        <w:rPr>
          <w:color w:val="auto"/>
          <w:highlight w:val="none"/>
        </w:rPr>
      </w:pPr>
      <w:bookmarkStart w:id="853" w:name="_Toc19243"/>
      <w:bookmarkStart w:id="854" w:name="_Toc122"/>
      <w:bookmarkStart w:id="855" w:name="_Toc20811"/>
      <w:bookmarkStart w:id="856" w:name="_Toc9364"/>
      <w:r>
        <w:rPr>
          <w:rFonts w:hint="eastAsia" w:cs="宋体"/>
          <w:b/>
          <w:bCs/>
          <w:color w:val="auto"/>
          <w:highlight w:val="none"/>
        </w:rPr>
        <w:t>2</w:t>
      </w:r>
      <w:r>
        <w:rPr>
          <w:rFonts w:cs="宋体"/>
          <w:b/>
          <w:bCs/>
          <w:color w:val="auto"/>
          <w:highlight w:val="none"/>
        </w:rPr>
        <w:t>.0.</w:t>
      </w:r>
      <w:r>
        <w:rPr>
          <w:rFonts w:hint="eastAsia" w:cs="宋体"/>
          <w:b/>
          <w:bCs/>
          <w:color w:val="auto"/>
          <w:highlight w:val="none"/>
        </w:rPr>
        <w:t>5</w:t>
      </w:r>
      <w:r>
        <w:rPr>
          <w:rFonts w:cs="宋体"/>
          <w:b/>
          <w:bCs/>
          <w:color w:val="auto"/>
          <w:highlight w:val="none"/>
        </w:rPr>
        <w:t>.</w:t>
      </w:r>
      <w:r>
        <w:rPr>
          <w:color w:val="auto"/>
          <w:highlight w:val="none"/>
        </w:rPr>
        <w:t>构件 component</w:t>
      </w:r>
      <w:bookmarkEnd w:id="853"/>
      <w:bookmarkEnd w:id="854"/>
      <w:bookmarkEnd w:id="855"/>
      <w:bookmarkEnd w:id="856"/>
    </w:p>
    <w:p w14:paraId="6E711019">
      <w:pPr>
        <w:ind w:firstLine="420" w:firstLineChars="200"/>
        <w:rPr>
          <w:color w:val="auto"/>
          <w:highlight w:val="none"/>
        </w:rPr>
      </w:pPr>
      <w:r>
        <w:rPr>
          <w:color w:val="auto"/>
          <w:highlight w:val="none"/>
        </w:rPr>
        <w:t>构件是组成建模软件中BIM模型的基础元素，也是承载几何信息和非几何信息的最为基础的元素，在建模软件中构件可以是单个建筑逻辑的构件或多个建筑构件的集合。</w:t>
      </w:r>
    </w:p>
    <w:p w14:paraId="56FBE0AE">
      <w:pPr>
        <w:pStyle w:val="586"/>
        <w:numPr>
          <w:ilvl w:val="2"/>
          <w:numId w:val="0"/>
        </w:numPr>
        <w:tabs>
          <w:tab w:val="clear" w:pos="0"/>
        </w:tabs>
        <w:spacing w:before="156" w:after="156"/>
        <w:rPr>
          <w:color w:val="auto"/>
          <w:highlight w:val="none"/>
        </w:rPr>
      </w:pPr>
      <w:bookmarkStart w:id="857" w:name="_Toc5356"/>
      <w:bookmarkStart w:id="858" w:name="_Toc27876"/>
      <w:bookmarkStart w:id="859" w:name="_Toc22992"/>
      <w:bookmarkStart w:id="860" w:name="_Toc28258"/>
      <w:r>
        <w:rPr>
          <w:rFonts w:hint="eastAsia" w:cs="宋体"/>
          <w:b/>
          <w:bCs/>
          <w:color w:val="auto"/>
          <w:highlight w:val="none"/>
        </w:rPr>
        <w:t>2</w:t>
      </w:r>
      <w:r>
        <w:rPr>
          <w:rFonts w:cs="宋体"/>
          <w:b/>
          <w:bCs/>
          <w:color w:val="auto"/>
          <w:highlight w:val="none"/>
        </w:rPr>
        <w:t>.0.</w:t>
      </w:r>
      <w:r>
        <w:rPr>
          <w:rFonts w:hint="eastAsia" w:cs="宋体"/>
          <w:b/>
          <w:bCs/>
          <w:color w:val="auto"/>
          <w:highlight w:val="none"/>
        </w:rPr>
        <w:t>6</w:t>
      </w:r>
      <w:r>
        <w:rPr>
          <w:rFonts w:cs="宋体"/>
          <w:b/>
          <w:bCs/>
          <w:color w:val="auto"/>
          <w:highlight w:val="none"/>
        </w:rPr>
        <w:t>.</w:t>
      </w:r>
      <w:r>
        <w:rPr>
          <w:color w:val="auto"/>
          <w:highlight w:val="none"/>
        </w:rPr>
        <w:t>构件资源库 BIM component library</w:t>
      </w:r>
      <w:bookmarkEnd w:id="857"/>
      <w:bookmarkEnd w:id="858"/>
      <w:bookmarkEnd w:id="859"/>
      <w:bookmarkEnd w:id="860"/>
    </w:p>
    <w:p w14:paraId="2D710250">
      <w:pPr>
        <w:ind w:firstLine="420" w:firstLineChars="200"/>
        <w:rPr>
          <w:color w:val="auto"/>
          <w:highlight w:val="none"/>
        </w:rPr>
      </w:pPr>
      <w:r>
        <w:rPr>
          <w:color w:val="auto"/>
          <w:highlight w:val="none"/>
        </w:rPr>
        <w:t>构件资源库是指在BIM实施过程中开发、积累并经过加工处理，形成可重复利用的构件的集合。</w:t>
      </w:r>
    </w:p>
    <w:p w14:paraId="6C1324AE">
      <w:pPr>
        <w:pStyle w:val="586"/>
        <w:numPr>
          <w:ilvl w:val="2"/>
          <w:numId w:val="0"/>
        </w:numPr>
        <w:tabs>
          <w:tab w:val="clear" w:pos="0"/>
        </w:tabs>
        <w:spacing w:before="156" w:after="156"/>
        <w:rPr>
          <w:color w:val="auto"/>
          <w:highlight w:val="none"/>
        </w:rPr>
      </w:pPr>
      <w:bookmarkStart w:id="861" w:name="_Toc2554"/>
      <w:bookmarkStart w:id="862" w:name="_Toc18008"/>
      <w:bookmarkStart w:id="863" w:name="_Toc25349"/>
      <w:bookmarkStart w:id="864" w:name="_Toc27431"/>
      <w:r>
        <w:rPr>
          <w:rFonts w:hint="eastAsia" w:cs="宋体"/>
          <w:b/>
          <w:bCs/>
          <w:color w:val="auto"/>
          <w:highlight w:val="none"/>
        </w:rPr>
        <w:t>2</w:t>
      </w:r>
      <w:r>
        <w:rPr>
          <w:rFonts w:cs="宋体"/>
          <w:b/>
          <w:bCs/>
          <w:color w:val="auto"/>
          <w:highlight w:val="none"/>
        </w:rPr>
        <w:t>.0.</w:t>
      </w:r>
      <w:r>
        <w:rPr>
          <w:rFonts w:hint="eastAsia" w:cs="宋体"/>
          <w:b/>
          <w:bCs/>
          <w:color w:val="auto"/>
          <w:highlight w:val="none"/>
        </w:rPr>
        <w:t>7</w:t>
      </w:r>
      <w:r>
        <w:rPr>
          <w:rFonts w:cs="宋体"/>
          <w:b/>
          <w:bCs/>
          <w:color w:val="auto"/>
          <w:highlight w:val="none"/>
        </w:rPr>
        <w:t>.</w:t>
      </w:r>
      <w:r>
        <w:rPr>
          <w:color w:val="auto"/>
          <w:highlight w:val="none"/>
        </w:rPr>
        <w:t>交付成果 deliverables</w:t>
      </w:r>
      <w:bookmarkEnd w:id="861"/>
      <w:bookmarkEnd w:id="862"/>
      <w:bookmarkEnd w:id="863"/>
      <w:bookmarkEnd w:id="864"/>
    </w:p>
    <w:p w14:paraId="21F7B414">
      <w:pPr>
        <w:ind w:firstLine="420" w:firstLineChars="200"/>
        <w:rPr>
          <w:color w:val="auto"/>
          <w:highlight w:val="none"/>
        </w:rPr>
      </w:pPr>
      <w:r>
        <w:rPr>
          <w:color w:val="auto"/>
          <w:highlight w:val="none"/>
        </w:rPr>
        <w:t>交付成果是指在建筑工程工作中，各参与方利用BIM技术并按照一定工作流程所产生的并经过审核或批准的成果，包括建筑、结构、机电等BIM模型和与之对应的图纸、文档、工程表格以及综合协调、模拟分析、可视化等成果文件。</w:t>
      </w:r>
    </w:p>
    <w:p w14:paraId="3611DBBC">
      <w:pPr>
        <w:pStyle w:val="586"/>
        <w:numPr>
          <w:ilvl w:val="2"/>
          <w:numId w:val="0"/>
        </w:numPr>
        <w:tabs>
          <w:tab w:val="clear" w:pos="0"/>
        </w:tabs>
        <w:spacing w:before="156" w:after="156"/>
        <w:rPr>
          <w:color w:val="auto"/>
          <w:highlight w:val="none"/>
        </w:rPr>
      </w:pPr>
      <w:bookmarkStart w:id="865" w:name="_Toc12495"/>
      <w:bookmarkStart w:id="866" w:name="_Toc24398"/>
      <w:bookmarkStart w:id="867" w:name="_Toc7339"/>
      <w:bookmarkStart w:id="868" w:name="_Toc25319"/>
      <w:r>
        <w:rPr>
          <w:rFonts w:hint="eastAsia" w:cs="宋体"/>
          <w:b/>
          <w:bCs/>
          <w:color w:val="auto"/>
          <w:highlight w:val="none"/>
        </w:rPr>
        <w:t>2</w:t>
      </w:r>
      <w:r>
        <w:rPr>
          <w:rFonts w:cs="宋体"/>
          <w:b/>
          <w:bCs/>
          <w:color w:val="auto"/>
          <w:highlight w:val="none"/>
        </w:rPr>
        <w:t>.0.</w:t>
      </w:r>
      <w:r>
        <w:rPr>
          <w:rFonts w:hint="eastAsia" w:cs="宋体"/>
          <w:b/>
          <w:bCs/>
          <w:color w:val="auto"/>
          <w:highlight w:val="none"/>
        </w:rPr>
        <w:t>8</w:t>
      </w:r>
      <w:r>
        <w:rPr>
          <w:rFonts w:cs="宋体"/>
          <w:b/>
          <w:bCs/>
          <w:color w:val="auto"/>
          <w:highlight w:val="none"/>
        </w:rPr>
        <w:t>.</w:t>
      </w:r>
      <w:r>
        <w:rPr>
          <w:color w:val="auto"/>
          <w:highlight w:val="none"/>
        </w:rPr>
        <w:t>协同平台 project collaboration platform</w:t>
      </w:r>
      <w:bookmarkEnd w:id="865"/>
      <w:bookmarkEnd w:id="866"/>
      <w:bookmarkEnd w:id="867"/>
      <w:bookmarkEnd w:id="868"/>
    </w:p>
    <w:p w14:paraId="0334F394">
      <w:pPr>
        <w:ind w:firstLine="420" w:firstLineChars="200"/>
        <w:rPr>
          <w:color w:val="auto"/>
          <w:highlight w:val="none"/>
        </w:rPr>
      </w:pPr>
      <w:r>
        <w:rPr>
          <w:color w:val="auto"/>
          <w:highlight w:val="none"/>
        </w:rPr>
        <w:t>协同平台指实现建设工程项目间及项目内所有参与方之间协同工作的软硬件环境，具备工作成果的归档、共享、发布、交付及审核功能。</w:t>
      </w:r>
    </w:p>
    <w:p w14:paraId="323FD9FA">
      <w:pPr>
        <w:pStyle w:val="586"/>
        <w:numPr>
          <w:ilvl w:val="2"/>
          <w:numId w:val="0"/>
        </w:numPr>
        <w:tabs>
          <w:tab w:val="clear" w:pos="0"/>
        </w:tabs>
        <w:spacing w:before="156" w:after="156"/>
        <w:rPr>
          <w:color w:val="auto"/>
          <w:highlight w:val="none"/>
        </w:rPr>
      </w:pPr>
      <w:bookmarkStart w:id="869" w:name="_Toc15772"/>
      <w:bookmarkStart w:id="870" w:name="_Toc25127"/>
      <w:bookmarkStart w:id="871" w:name="_Toc25287"/>
      <w:bookmarkStart w:id="872" w:name="_Toc17442"/>
      <w:r>
        <w:rPr>
          <w:rFonts w:hint="eastAsia" w:cs="宋体"/>
          <w:b/>
          <w:bCs/>
          <w:color w:val="auto"/>
          <w:highlight w:val="none"/>
        </w:rPr>
        <w:t>2</w:t>
      </w:r>
      <w:r>
        <w:rPr>
          <w:rFonts w:cs="宋体"/>
          <w:b/>
          <w:bCs/>
          <w:color w:val="auto"/>
          <w:highlight w:val="none"/>
        </w:rPr>
        <w:t>.0.</w:t>
      </w:r>
      <w:r>
        <w:rPr>
          <w:rFonts w:hint="eastAsia" w:cs="宋体"/>
          <w:b/>
          <w:bCs/>
          <w:color w:val="auto"/>
          <w:highlight w:val="none"/>
        </w:rPr>
        <w:t>9</w:t>
      </w:r>
      <w:r>
        <w:rPr>
          <w:rFonts w:cs="宋体"/>
          <w:b/>
          <w:bCs/>
          <w:color w:val="auto"/>
          <w:highlight w:val="none"/>
        </w:rPr>
        <w:t>.</w:t>
      </w:r>
      <w:r>
        <w:rPr>
          <w:color w:val="auto"/>
          <w:highlight w:val="none"/>
        </w:rPr>
        <w:t>模型</w:t>
      </w:r>
      <w:r>
        <w:rPr>
          <w:rFonts w:hint="eastAsia"/>
          <w:color w:val="auto"/>
          <w:highlight w:val="none"/>
        </w:rPr>
        <w:t>精细度</w:t>
      </w:r>
      <w:r>
        <w:rPr>
          <w:color w:val="auto"/>
          <w:highlight w:val="none"/>
        </w:rPr>
        <w:t xml:space="preserve"> levels of detail（LOD）</w:t>
      </w:r>
      <w:bookmarkEnd w:id="869"/>
      <w:bookmarkEnd w:id="870"/>
      <w:bookmarkEnd w:id="871"/>
      <w:bookmarkEnd w:id="872"/>
    </w:p>
    <w:p w14:paraId="64899073">
      <w:pPr>
        <w:ind w:firstLine="420" w:firstLineChars="200"/>
        <w:rPr>
          <w:color w:val="auto"/>
          <w:highlight w:val="none"/>
        </w:rPr>
      </w:pPr>
      <w:r>
        <w:rPr>
          <w:color w:val="auto"/>
          <w:highlight w:val="none"/>
        </w:rPr>
        <w:t>参照美国建筑师协会（AIA）提出的LOD概念。LOD指模型精细的程度等级，又称模型精度。</w:t>
      </w:r>
    </w:p>
    <w:p w14:paraId="57B6F9B7">
      <w:pPr>
        <w:rPr>
          <w:color w:val="auto"/>
          <w:highlight w:val="none"/>
        </w:rPr>
        <w:sectPr>
          <w:pgSz w:w="11906" w:h="16838"/>
          <w:pgMar w:top="1440" w:right="1800" w:bottom="1440" w:left="1800" w:header="851" w:footer="992" w:gutter="0"/>
          <w:cols w:space="720" w:num="1"/>
          <w:docGrid w:type="lines" w:linePitch="312" w:charSpace="0"/>
        </w:sectPr>
      </w:pPr>
    </w:p>
    <w:p w14:paraId="76D060BB">
      <w:pPr>
        <w:pStyle w:val="2"/>
        <w:spacing w:before="936" w:after="624"/>
        <w:rPr>
          <w:color w:val="auto"/>
          <w:highlight w:val="none"/>
        </w:rPr>
      </w:pPr>
      <w:bookmarkStart w:id="873" w:name="_Toc20439"/>
      <w:bookmarkStart w:id="874" w:name="_Toc27855"/>
      <w:bookmarkStart w:id="875" w:name="_Toc12700"/>
      <w:bookmarkStart w:id="876" w:name="_Toc2260"/>
      <w:bookmarkStart w:id="877" w:name="_Toc16593"/>
      <w:r>
        <w:rPr>
          <w:color w:val="auto"/>
          <w:highlight w:val="none"/>
        </w:rPr>
        <w:t>基本规定</w:t>
      </w:r>
      <w:bookmarkEnd w:id="873"/>
      <w:bookmarkEnd w:id="874"/>
      <w:bookmarkEnd w:id="875"/>
      <w:bookmarkEnd w:id="876"/>
      <w:bookmarkEnd w:id="877"/>
    </w:p>
    <w:p w14:paraId="1D5A2E15">
      <w:pPr>
        <w:pStyle w:val="3"/>
        <w:rPr>
          <w:color w:val="auto"/>
          <w:highlight w:val="none"/>
        </w:rPr>
      </w:pPr>
      <w:bookmarkStart w:id="878" w:name="_Toc29059"/>
      <w:bookmarkStart w:id="879" w:name="_Toc20079"/>
      <w:r>
        <w:rPr>
          <w:color w:val="auto"/>
          <w:highlight w:val="none"/>
        </w:rPr>
        <w:t>BIM实施目标</w:t>
      </w:r>
      <w:bookmarkEnd w:id="878"/>
      <w:bookmarkEnd w:id="879"/>
    </w:p>
    <w:p w14:paraId="2D2EBDAF">
      <w:pPr>
        <w:pStyle w:val="587"/>
        <w:spacing w:before="156" w:after="156"/>
        <w:rPr>
          <w:color w:val="auto"/>
          <w:highlight w:val="none"/>
        </w:rPr>
      </w:pPr>
      <w:bookmarkStart w:id="880" w:name="_Toc15076"/>
      <w:bookmarkStart w:id="881" w:name="_Toc22371"/>
      <w:bookmarkStart w:id="882" w:name="_Toc15862"/>
      <w:bookmarkStart w:id="883" w:name="_Toc6185"/>
      <w:r>
        <w:rPr>
          <w:color w:val="auto"/>
          <w:highlight w:val="none"/>
        </w:rPr>
        <w:t>本标准将规范广东省代建项目管理局管理范围内建设工程项目的BIM应用实施路径及流程，为各参与方提供一个BIM项目实施的标准框架与流程，并为BIM项目实施及CIM应用提供指导依据。</w:t>
      </w:r>
      <w:bookmarkEnd w:id="880"/>
      <w:bookmarkEnd w:id="881"/>
      <w:bookmarkEnd w:id="882"/>
      <w:bookmarkEnd w:id="883"/>
    </w:p>
    <w:p w14:paraId="260006D6">
      <w:pPr>
        <w:pStyle w:val="587"/>
        <w:spacing w:before="156" w:after="156"/>
        <w:rPr>
          <w:color w:val="auto"/>
          <w:highlight w:val="none"/>
        </w:rPr>
      </w:pPr>
      <w:bookmarkStart w:id="884" w:name="_Toc18601"/>
      <w:bookmarkStart w:id="885" w:name="_Toc30497"/>
      <w:bookmarkStart w:id="886" w:name="_Toc14221"/>
      <w:bookmarkStart w:id="887" w:name="_Toc27943"/>
      <w:r>
        <w:rPr>
          <w:color w:val="auto"/>
          <w:highlight w:val="none"/>
        </w:rPr>
        <w:t>通过执行本标准内容，建立一套健全统一的贯穿策划与规划、勘察与设计、施工与监理、运行与维护、改造与拆除五个阶段的BIM项目流程体系，统一BIM项目各阶段的服务标准及服务成果交付细则。提高代建局管理下的各项目参与方项目BIM应用水平，并推动广东省代建项目管理局管理范围内建设项目BIM及CIM的应用与发展。</w:t>
      </w:r>
      <w:bookmarkEnd w:id="884"/>
      <w:bookmarkEnd w:id="885"/>
      <w:bookmarkEnd w:id="886"/>
      <w:bookmarkEnd w:id="887"/>
    </w:p>
    <w:p w14:paraId="7427588C">
      <w:pPr>
        <w:pStyle w:val="3"/>
        <w:rPr>
          <w:color w:val="auto"/>
          <w:highlight w:val="none"/>
        </w:rPr>
      </w:pPr>
      <w:bookmarkStart w:id="888" w:name="_Toc18965"/>
      <w:bookmarkStart w:id="889" w:name="_Toc8479"/>
      <w:bookmarkStart w:id="890" w:name="_Toc13187"/>
      <w:bookmarkStart w:id="891" w:name="_Toc25520"/>
      <w:r>
        <w:rPr>
          <w:color w:val="auto"/>
          <w:highlight w:val="none"/>
        </w:rPr>
        <w:t>BIM实施原则</w:t>
      </w:r>
      <w:bookmarkEnd w:id="888"/>
      <w:bookmarkEnd w:id="889"/>
      <w:bookmarkEnd w:id="890"/>
      <w:bookmarkEnd w:id="891"/>
    </w:p>
    <w:p w14:paraId="101A6CC5">
      <w:pPr>
        <w:pStyle w:val="587"/>
        <w:spacing w:before="156" w:after="156"/>
        <w:rPr>
          <w:color w:val="auto"/>
          <w:highlight w:val="none"/>
        </w:rPr>
      </w:pPr>
      <w:bookmarkStart w:id="892" w:name="_Toc9426"/>
      <w:bookmarkStart w:id="893" w:name="_Toc66"/>
      <w:bookmarkStart w:id="894" w:name="_Toc802"/>
      <w:bookmarkStart w:id="895" w:name="_Toc24729"/>
      <w:r>
        <w:rPr>
          <w:color w:val="auto"/>
          <w:highlight w:val="none"/>
        </w:rPr>
        <w:t>参与方职责范围一致性原则</w:t>
      </w:r>
      <w:bookmarkEnd w:id="892"/>
      <w:bookmarkEnd w:id="893"/>
      <w:bookmarkEnd w:id="894"/>
      <w:bookmarkEnd w:id="895"/>
    </w:p>
    <w:p w14:paraId="582492AD">
      <w:pPr>
        <w:ind w:firstLine="420" w:firstLineChars="200"/>
        <w:rPr>
          <w:color w:val="auto"/>
          <w:highlight w:val="none"/>
        </w:rPr>
      </w:pPr>
      <w:r>
        <w:rPr>
          <w:color w:val="auto"/>
          <w:highlight w:val="none"/>
        </w:rPr>
        <w:t>项目BIM技术实施过程中，各参与方对BIM模型所承担的工作职责及工作范围，应与各参与方项目承包范围和承包任务一致。BIM总协调方有责任监督、协调及管理各参与方的BIM实施质量及进度，并同时对项目范围内最终的BIM成果负责。各参与方有责任根据项目的进展及本标准的要求配合BIM总协调方开展BIM的实施工作，并根据合同范围按相关合同节点提交BIM工作成果，并确保提交的BIM工作成果的正确性及完整性。</w:t>
      </w:r>
    </w:p>
    <w:p w14:paraId="13D44479">
      <w:pPr>
        <w:pStyle w:val="587"/>
        <w:spacing w:before="156" w:after="156"/>
        <w:rPr>
          <w:color w:val="auto"/>
          <w:highlight w:val="none"/>
        </w:rPr>
      </w:pPr>
      <w:bookmarkStart w:id="896" w:name="_Toc23992"/>
      <w:bookmarkStart w:id="897" w:name="_Toc10327"/>
      <w:bookmarkStart w:id="898" w:name="_Toc2249"/>
      <w:bookmarkStart w:id="899" w:name="_Toc17547"/>
      <w:r>
        <w:rPr>
          <w:color w:val="auto"/>
          <w:highlight w:val="none"/>
        </w:rPr>
        <w:t>软件版本及接口一致性原则</w:t>
      </w:r>
      <w:bookmarkEnd w:id="896"/>
      <w:bookmarkEnd w:id="897"/>
      <w:bookmarkEnd w:id="898"/>
      <w:bookmarkEnd w:id="899"/>
    </w:p>
    <w:p w14:paraId="41C5FD22">
      <w:pPr>
        <w:ind w:firstLine="420" w:firstLineChars="200"/>
        <w:rPr>
          <w:color w:val="auto"/>
          <w:highlight w:val="none"/>
        </w:rPr>
      </w:pPr>
      <w:r>
        <w:rPr>
          <w:color w:val="auto"/>
          <w:highlight w:val="none"/>
        </w:rPr>
        <w:t>在项目启动前，由BIM总协调方指定BIM协同平台的权限及建模软件的类型及版本，并对交付成果的文件（数据）格式做统一规定。各参与方应按规定选用项目BIM实施软件，提交统一格式的成果文件（数据）。</w:t>
      </w:r>
    </w:p>
    <w:p w14:paraId="401033BA">
      <w:pPr>
        <w:ind w:firstLine="420" w:firstLineChars="200"/>
        <w:rPr>
          <w:color w:val="auto"/>
          <w:highlight w:val="none"/>
        </w:rPr>
      </w:pPr>
      <w:r>
        <w:rPr>
          <w:color w:val="auto"/>
          <w:highlight w:val="none"/>
        </w:rPr>
        <w:t>项目实施过程中不同专业软件之间的传递数据接口应符合标准规定，以保证最终BIM模型数据的正确性及完整性。</w:t>
      </w:r>
    </w:p>
    <w:p w14:paraId="7FD83924">
      <w:pPr>
        <w:pStyle w:val="587"/>
        <w:spacing w:before="156" w:after="156"/>
        <w:rPr>
          <w:color w:val="auto"/>
          <w:highlight w:val="none"/>
        </w:rPr>
      </w:pPr>
      <w:bookmarkStart w:id="900" w:name="_Toc23629"/>
      <w:bookmarkStart w:id="901" w:name="_Toc19444"/>
      <w:bookmarkStart w:id="902" w:name="_Toc29407"/>
      <w:bookmarkStart w:id="903" w:name="_Toc17523"/>
      <w:r>
        <w:rPr>
          <w:color w:val="auto"/>
          <w:highlight w:val="none"/>
        </w:rPr>
        <w:t>BIM模型维护与实际同步原则</w:t>
      </w:r>
      <w:bookmarkEnd w:id="900"/>
      <w:bookmarkEnd w:id="901"/>
      <w:bookmarkEnd w:id="902"/>
      <w:bookmarkEnd w:id="903"/>
    </w:p>
    <w:p w14:paraId="42BC48E8">
      <w:pPr>
        <w:ind w:firstLine="420" w:firstLineChars="200"/>
        <w:rPr>
          <w:color w:val="auto"/>
          <w:highlight w:val="none"/>
        </w:rPr>
      </w:pPr>
      <w:r>
        <w:rPr>
          <w:color w:val="auto"/>
          <w:highlight w:val="none"/>
        </w:rPr>
        <w:t>项目BIM应用在实施过程中，应与项目的实施进度保持同步，且过程中的BIM模型和相关成果应及时按规定节点更新，以确保BIM模型和相关成果的一致性。</w:t>
      </w:r>
    </w:p>
    <w:p w14:paraId="14DA7536">
      <w:pPr>
        <w:pStyle w:val="587"/>
        <w:spacing w:before="156" w:after="156"/>
        <w:rPr>
          <w:color w:val="auto"/>
          <w:highlight w:val="none"/>
        </w:rPr>
      </w:pPr>
      <w:bookmarkStart w:id="904" w:name="_Toc30283"/>
      <w:bookmarkStart w:id="905" w:name="_Toc31879"/>
      <w:bookmarkStart w:id="906" w:name="_Toc23241"/>
      <w:bookmarkStart w:id="907" w:name="_Toc30249"/>
      <w:r>
        <w:rPr>
          <w:color w:val="auto"/>
          <w:highlight w:val="none"/>
        </w:rPr>
        <w:t>标准可持续更新原则【调整到总则1.0.5】</w:t>
      </w:r>
      <w:bookmarkEnd w:id="904"/>
      <w:bookmarkEnd w:id="905"/>
      <w:bookmarkEnd w:id="906"/>
      <w:bookmarkEnd w:id="907"/>
    </w:p>
    <w:p w14:paraId="66CC12EB">
      <w:pPr>
        <w:pStyle w:val="3"/>
        <w:rPr>
          <w:color w:val="auto"/>
          <w:highlight w:val="none"/>
        </w:rPr>
      </w:pPr>
      <w:bookmarkStart w:id="908" w:name="_Toc24645"/>
      <w:bookmarkStart w:id="909" w:name="_Toc21326"/>
      <w:bookmarkStart w:id="910" w:name="_Toc16473"/>
      <w:bookmarkStart w:id="911" w:name="_Toc23821"/>
      <w:r>
        <w:rPr>
          <w:color w:val="auto"/>
          <w:highlight w:val="none"/>
        </w:rPr>
        <w:t>BIM实施要求</w:t>
      </w:r>
      <w:bookmarkEnd w:id="908"/>
      <w:bookmarkEnd w:id="909"/>
      <w:bookmarkEnd w:id="910"/>
      <w:bookmarkEnd w:id="911"/>
    </w:p>
    <w:p w14:paraId="206C3702">
      <w:pPr>
        <w:pStyle w:val="587"/>
        <w:spacing w:before="156" w:after="156"/>
        <w:rPr>
          <w:color w:val="auto"/>
          <w:highlight w:val="none"/>
        </w:rPr>
      </w:pPr>
      <w:bookmarkStart w:id="912" w:name="_Toc27019"/>
      <w:bookmarkStart w:id="913" w:name="_Toc12333"/>
      <w:bookmarkStart w:id="914" w:name="_Toc1458"/>
      <w:bookmarkStart w:id="915" w:name="_Toc11528"/>
      <w:r>
        <w:rPr>
          <w:color w:val="auto"/>
          <w:highlight w:val="none"/>
        </w:rPr>
        <w:t>在项目BIM应用实施前，应对BIM协同平台及建模软件的性能进行充分分析和验证，避免因无效性工作造成的损失。</w:t>
      </w:r>
      <w:bookmarkEnd w:id="912"/>
      <w:bookmarkEnd w:id="913"/>
      <w:bookmarkEnd w:id="914"/>
      <w:bookmarkEnd w:id="915"/>
    </w:p>
    <w:p w14:paraId="6555F668">
      <w:pPr>
        <w:pStyle w:val="587"/>
        <w:spacing w:before="156" w:after="156"/>
        <w:rPr>
          <w:color w:val="auto"/>
          <w:highlight w:val="none"/>
        </w:rPr>
      </w:pPr>
      <w:bookmarkStart w:id="916" w:name="_Toc17984"/>
      <w:bookmarkStart w:id="917" w:name="_Toc26351"/>
      <w:bookmarkStart w:id="918" w:name="_Toc20792"/>
      <w:bookmarkStart w:id="919" w:name="_Toc3492"/>
      <w:r>
        <w:rPr>
          <w:color w:val="auto"/>
          <w:highlight w:val="none"/>
        </w:rPr>
        <w:t>在项目各阶段BIM实施过程中，创建的BIM模型应充分考虑到BIM模型在工程全生命周期各阶段、各专业的应用。</w:t>
      </w:r>
      <w:bookmarkEnd w:id="916"/>
      <w:bookmarkEnd w:id="917"/>
      <w:bookmarkEnd w:id="918"/>
      <w:bookmarkEnd w:id="919"/>
    </w:p>
    <w:p w14:paraId="75B66004">
      <w:pPr>
        <w:pStyle w:val="587"/>
        <w:spacing w:before="156" w:after="156"/>
        <w:rPr>
          <w:color w:val="auto"/>
          <w:highlight w:val="none"/>
        </w:rPr>
      </w:pPr>
      <w:bookmarkStart w:id="920" w:name="_Toc26181"/>
      <w:bookmarkStart w:id="921" w:name="_Toc7639"/>
      <w:bookmarkStart w:id="922" w:name="_Toc16143"/>
      <w:bookmarkStart w:id="923" w:name="_Toc8775"/>
      <w:r>
        <w:rPr>
          <w:color w:val="auto"/>
          <w:highlight w:val="none"/>
        </w:rPr>
        <w:t>在各阶段BIM实施过程中，应充分利用BIM模型所含的信息进行协同工作，实现各阶段信息的有效传递。</w:t>
      </w:r>
      <w:bookmarkEnd w:id="920"/>
      <w:bookmarkEnd w:id="921"/>
      <w:bookmarkEnd w:id="922"/>
      <w:bookmarkEnd w:id="923"/>
    </w:p>
    <w:p w14:paraId="371E8D5D">
      <w:pPr>
        <w:rPr>
          <w:color w:val="auto"/>
          <w:highlight w:val="none"/>
        </w:rPr>
        <w:sectPr>
          <w:pgSz w:w="11906" w:h="16838"/>
          <w:pgMar w:top="1440" w:right="1800" w:bottom="1440" w:left="1800" w:header="851" w:footer="992" w:gutter="0"/>
          <w:cols w:space="720" w:num="1"/>
          <w:docGrid w:type="lines" w:linePitch="312" w:charSpace="0"/>
        </w:sectPr>
      </w:pPr>
    </w:p>
    <w:p w14:paraId="53C4E44C">
      <w:pPr>
        <w:jc w:val="center"/>
        <w:rPr>
          <w:color w:val="auto"/>
          <w:highlight w:val="none"/>
        </w:rPr>
      </w:pPr>
    </w:p>
    <w:p w14:paraId="29F518BE">
      <w:pPr>
        <w:pStyle w:val="2"/>
        <w:spacing w:before="936" w:after="624"/>
        <w:rPr>
          <w:color w:val="auto"/>
          <w:highlight w:val="none"/>
        </w:rPr>
      </w:pPr>
      <w:bookmarkStart w:id="924" w:name="_Toc421"/>
      <w:bookmarkStart w:id="925" w:name="_Toc29872"/>
      <w:bookmarkStart w:id="926" w:name="_Toc12790"/>
      <w:bookmarkStart w:id="927" w:name="_Toc27126"/>
      <w:bookmarkStart w:id="928" w:name="_Toc10305"/>
      <w:r>
        <w:rPr>
          <w:color w:val="auto"/>
          <w:highlight w:val="none"/>
        </w:rPr>
        <w:t>管理组织规定</w:t>
      </w:r>
      <w:bookmarkEnd w:id="924"/>
      <w:bookmarkEnd w:id="925"/>
      <w:bookmarkEnd w:id="926"/>
      <w:bookmarkEnd w:id="927"/>
      <w:bookmarkEnd w:id="928"/>
    </w:p>
    <w:p w14:paraId="38D119E0">
      <w:pPr>
        <w:pStyle w:val="3"/>
        <w:rPr>
          <w:color w:val="auto"/>
          <w:highlight w:val="none"/>
        </w:rPr>
      </w:pPr>
      <w:bookmarkStart w:id="929" w:name="_Toc2470"/>
      <w:bookmarkStart w:id="930" w:name="_Toc25043"/>
      <w:bookmarkStart w:id="931" w:name="_Toc4916"/>
      <w:r>
        <w:rPr>
          <w:color w:val="auto"/>
          <w:highlight w:val="none"/>
        </w:rPr>
        <w:t>BIM管理组织架构</w:t>
      </w:r>
      <w:bookmarkEnd w:id="929"/>
      <w:bookmarkEnd w:id="930"/>
      <w:bookmarkEnd w:id="931"/>
    </w:p>
    <w:p w14:paraId="60FF7831">
      <w:pPr>
        <w:pStyle w:val="587"/>
        <w:spacing w:before="156" w:after="156"/>
        <w:rPr>
          <w:color w:val="auto"/>
          <w:highlight w:val="none"/>
        </w:rPr>
      </w:pPr>
      <w:bookmarkStart w:id="932" w:name="_Toc17793"/>
      <w:bookmarkStart w:id="933" w:name="_Toc28095"/>
      <w:bookmarkStart w:id="934" w:name="_Toc20619"/>
      <w:bookmarkStart w:id="935" w:name="_Toc277"/>
      <w:r>
        <w:rPr>
          <w:color w:val="auto"/>
          <w:highlight w:val="none"/>
        </w:rPr>
        <w:t>代建局项目BIM管理模式采用BIM总协调方负责模式。</w:t>
      </w:r>
      <w:bookmarkEnd w:id="932"/>
      <w:bookmarkEnd w:id="933"/>
      <w:bookmarkEnd w:id="934"/>
      <w:bookmarkEnd w:id="935"/>
    </w:p>
    <w:p w14:paraId="3EC1E2F3">
      <w:pPr>
        <w:pStyle w:val="587"/>
        <w:spacing w:before="156" w:after="156"/>
        <w:rPr>
          <w:color w:val="auto"/>
          <w:highlight w:val="none"/>
        </w:rPr>
      </w:pPr>
      <w:bookmarkStart w:id="936" w:name="_Toc971"/>
      <w:bookmarkStart w:id="937" w:name="_Toc14976"/>
      <w:bookmarkStart w:id="938" w:name="_Toc26590"/>
      <w:bookmarkStart w:id="939" w:name="_Toc27290"/>
      <w:r>
        <w:rPr>
          <w:color w:val="auto"/>
          <w:highlight w:val="none"/>
        </w:rPr>
        <w:t>BIM总协调方负责项目全过程BIM实施的统筹管理，责任包括：</w:t>
      </w:r>
      <w:bookmarkEnd w:id="936"/>
      <w:bookmarkEnd w:id="937"/>
      <w:bookmarkEnd w:id="938"/>
      <w:bookmarkEnd w:id="939"/>
    </w:p>
    <w:p w14:paraId="0576F9D7">
      <w:pPr>
        <w:ind w:firstLine="840" w:firstLineChars="400"/>
        <w:rPr>
          <w:color w:val="auto"/>
          <w:highlight w:val="none"/>
        </w:rPr>
      </w:pPr>
      <w:r>
        <w:rPr>
          <w:color w:val="auto"/>
          <w:highlight w:val="none"/>
        </w:rPr>
        <w:t>1. 制定统一的BIM技术标准；</w:t>
      </w:r>
    </w:p>
    <w:p w14:paraId="242A399D">
      <w:pPr>
        <w:ind w:firstLine="840" w:firstLineChars="400"/>
        <w:rPr>
          <w:color w:val="auto"/>
          <w:highlight w:val="none"/>
        </w:rPr>
      </w:pPr>
      <w:r>
        <w:rPr>
          <w:color w:val="auto"/>
          <w:highlight w:val="none"/>
        </w:rPr>
        <w:t>2. 编制各阶段BIM实施计划；</w:t>
      </w:r>
    </w:p>
    <w:p w14:paraId="18E4C76C">
      <w:pPr>
        <w:ind w:firstLine="840" w:firstLineChars="400"/>
        <w:rPr>
          <w:color w:val="auto"/>
          <w:highlight w:val="none"/>
        </w:rPr>
      </w:pPr>
      <w:r>
        <w:rPr>
          <w:color w:val="auto"/>
          <w:highlight w:val="none"/>
        </w:rPr>
        <w:t>3. 审核各参与方BIM实施方案；</w:t>
      </w:r>
    </w:p>
    <w:p w14:paraId="0112FFF1">
      <w:pPr>
        <w:ind w:firstLine="840" w:firstLineChars="400"/>
        <w:rPr>
          <w:color w:val="auto"/>
          <w:highlight w:val="none"/>
        </w:rPr>
      </w:pPr>
      <w:r>
        <w:rPr>
          <w:color w:val="auto"/>
          <w:highlight w:val="none"/>
        </w:rPr>
        <w:t>4. 组织协调各参与方的BIM实施落地；</w:t>
      </w:r>
    </w:p>
    <w:p w14:paraId="06E4F934">
      <w:pPr>
        <w:ind w:firstLine="840" w:firstLineChars="400"/>
        <w:rPr>
          <w:color w:val="auto"/>
          <w:highlight w:val="none"/>
        </w:rPr>
      </w:pPr>
      <w:r>
        <w:rPr>
          <w:color w:val="auto"/>
          <w:highlight w:val="none"/>
        </w:rPr>
        <w:t>5. 审核汇总各参与方提交的BIM成果；</w:t>
      </w:r>
    </w:p>
    <w:p w14:paraId="4FE9123F">
      <w:pPr>
        <w:ind w:firstLine="840" w:firstLineChars="400"/>
        <w:rPr>
          <w:color w:val="auto"/>
          <w:highlight w:val="none"/>
        </w:rPr>
      </w:pPr>
      <w:r>
        <w:rPr>
          <w:color w:val="auto"/>
          <w:highlight w:val="none"/>
        </w:rPr>
        <w:t>6. 对项目BIM工作进行整体规划、监督、指导。</w:t>
      </w:r>
    </w:p>
    <w:p w14:paraId="0AC685BC">
      <w:pPr>
        <w:pStyle w:val="587"/>
        <w:spacing w:before="156" w:after="156"/>
        <w:rPr>
          <w:color w:val="auto"/>
          <w:highlight w:val="none"/>
        </w:rPr>
      </w:pPr>
      <w:bookmarkStart w:id="940" w:name="_Toc19126"/>
      <w:bookmarkStart w:id="941" w:name="_Toc7323"/>
      <w:bookmarkStart w:id="942" w:name="_Toc27405"/>
      <w:bookmarkStart w:id="943" w:name="_Toc29534"/>
      <w:r>
        <w:rPr>
          <w:color w:val="auto"/>
          <w:highlight w:val="none"/>
        </w:rPr>
        <w:t>BIM总协调方可由代建局项目管理团队兼任，也可委托专业BIM咨询机构。原则上BIM总协调方不宜由项目设计BIM团队或施工BIM团队兼任。</w:t>
      </w:r>
      <w:bookmarkEnd w:id="940"/>
      <w:bookmarkEnd w:id="941"/>
      <w:bookmarkEnd w:id="942"/>
      <w:bookmarkEnd w:id="943"/>
    </w:p>
    <w:p w14:paraId="4E53A359">
      <w:pPr>
        <w:pStyle w:val="587"/>
        <w:spacing w:before="156" w:after="156"/>
        <w:rPr>
          <w:color w:val="auto"/>
          <w:highlight w:val="none"/>
        </w:rPr>
      </w:pPr>
      <w:bookmarkStart w:id="944" w:name="_Toc21227"/>
      <w:bookmarkStart w:id="945" w:name="_Toc18774"/>
      <w:bookmarkStart w:id="946" w:name="_Toc10197"/>
      <w:bookmarkStart w:id="947" w:name="_Toc22860"/>
      <w:r>
        <w:rPr>
          <w:color w:val="auto"/>
          <w:highlight w:val="none"/>
        </w:rPr>
        <w:t>代建局BIM管理组织架构宜按《附件；BIM实施导则》附图1设置。</w:t>
      </w:r>
      <w:bookmarkEnd w:id="944"/>
      <w:bookmarkEnd w:id="945"/>
      <w:bookmarkEnd w:id="946"/>
      <w:bookmarkEnd w:id="947"/>
    </w:p>
    <w:p w14:paraId="53B463AB">
      <w:pPr>
        <w:rPr>
          <w:color w:val="auto"/>
          <w:highlight w:val="none"/>
        </w:rPr>
      </w:pPr>
    </w:p>
    <w:p w14:paraId="3921D0CC">
      <w:pPr>
        <w:pStyle w:val="3"/>
        <w:rPr>
          <w:color w:val="auto"/>
          <w:highlight w:val="none"/>
        </w:rPr>
      </w:pPr>
      <w:bookmarkStart w:id="948" w:name="_Toc20234"/>
      <w:bookmarkStart w:id="949" w:name="_Toc27676"/>
      <w:bookmarkStart w:id="950" w:name="_Toc841"/>
      <w:bookmarkStart w:id="951" w:name="_Toc3997"/>
      <w:r>
        <w:rPr>
          <w:color w:val="auto"/>
          <w:highlight w:val="none"/>
        </w:rPr>
        <w:t>BIM项目管理内容</w:t>
      </w:r>
      <w:bookmarkEnd w:id="948"/>
      <w:bookmarkEnd w:id="949"/>
      <w:bookmarkEnd w:id="950"/>
      <w:bookmarkEnd w:id="951"/>
    </w:p>
    <w:p w14:paraId="3D040A66">
      <w:pPr>
        <w:pStyle w:val="587"/>
        <w:spacing w:before="156" w:after="156"/>
        <w:rPr>
          <w:color w:val="auto"/>
          <w:highlight w:val="none"/>
        </w:rPr>
      </w:pPr>
      <w:bookmarkStart w:id="952" w:name="_Toc24881"/>
      <w:bookmarkStart w:id="953" w:name="_Toc11194"/>
      <w:bookmarkStart w:id="954" w:name="_Toc17235"/>
      <w:bookmarkStart w:id="955" w:name="_Toc22865"/>
      <w:r>
        <w:rPr>
          <w:color w:val="auto"/>
          <w:highlight w:val="none"/>
        </w:rPr>
        <w:t>代建局项目BIM策划工作应依照《附件：BIM实施导则》中附图2执行，且符合相关标准要求。</w:t>
      </w:r>
      <w:bookmarkEnd w:id="952"/>
      <w:bookmarkEnd w:id="953"/>
      <w:bookmarkEnd w:id="954"/>
      <w:bookmarkEnd w:id="955"/>
    </w:p>
    <w:p w14:paraId="5B84355B">
      <w:pPr>
        <w:pStyle w:val="587"/>
        <w:spacing w:before="156" w:after="156"/>
        <w:rPr>
          <w:color w:val="auto"/>
          <w:highlight w:val="none"/>
        </w:rPr>
      </w:pPr>
      <w:bookmarkStart w:id="956" w:name="_Toc24780"/>
      <w:bookmarkStart w:id="957" w:name="_Toc29204"/>
      <w:bookmarkStart w:id="958" w:name="_Toc3584"/>
      <w:bookmarkStart w:id="959" w:name="_Toc13930"/>
      <w:r>
        <w:rPr>
          <w:color w:val="auto"/>
          <w:highlight w:val="none"/>
        </w:rPr>
        <w:t>BIM项目管理全过程主要分为BIM项目实施可行性研究、提出BIM实施目标、确定项目BIM总协调方、确定各参与方及相关职责要求、确定BIM实施大纲、开展BIM项目实施过程管理、接收并审核BIM成果、BIM实施效果评估等步骤。</w:t>
      </w:r>
      <w:bookmarkEnd w:id="956"/>
      <w:bookmarkEnd w:id="957"/>
      <w:bookmarkEnd w:id="958"/>
      <w:bookmarkEnd w:id="959"/>
    </w:p>
    <w:p w14:paraId="707A5C29">
      <w:pPr>
        <w:pStyle w:val="587"/>
        <w:spacing w:before="156" w:after="156"/>
        <w:rPr>
          <w:color w:val="auto"/>
          <w:highlight w:val="none"/>
        </w:rPr>
      </w:pPr>
      <w:bookmarkStart w:id="960" w:name="_Toc11786"/>
      <w:bookmarkStart w:id="961" w:name="_Toc15326"/>
      <w:bookmarkStart w:id="962" w:name="_Toc3411"/>
      <w:bookmarkStart w:id="963" w:name="_Toc31662"/>
      <w:r>
        <w:rPr>
          <w:color w:val="auto"/>
          <w:highlight w:val="none"/>
        </w:rPr>
        <w:t>BIM项目实施可行性研究由代建局前期工作部负责，应根据代建局项目类别、规模及特点，确定BIM技术使用的方向、应用点、费用投入等内容，可行性成果获得审批通过后方可实施。</w:t>
      </w:r>
      <w:bookmarkEnd w:id="960"/>
      <w:bookmarkEnd w:id="961"/>
      <w:bookmarkEnd w:id="962"/>
      <w:bookmarkEnd w:id="963"/>
    </w:p>
    <w:p w14:paraId="0383C4D2">
      <w:pPr>
        <w:pStyle w:val="587"/>
        <w:spacing w:before="156" w:after="156"/>
        <w:rPr>
          <w:color w:val="auto"/>
          <w:highlight w:val="none"/>
        </w:rPr>
      </w:pPr>
      <w:bookmarkStart w:id="964" w:name="_Toc9745"/>
      <w:bookmarkStart w:id="965" w:name="_Toc9969"/>
      <w:bookmarkStart w:id="966" w:name="_Toc13968"/>
      <w:bookmarkStart w:id="967" w:name="_Toc29834"/>
      <w:r>
        <w:rPr>
          <w:rFonts w:hint="eastAsia"/>
          <w:color w:val="auto"/>
          <w:highlight w:val="none"/>
        </w:rPr>
        <w:t>BIM技术应用管理领导小组</w:t>
      </w:r>
      <w:r>
        <w:rPr>
          <w:color w:val="auto"/>
          <w:highlight w:val="none"/>
        </w:rPr>
        <w:t>应根据代建局BIM发展及BIM项目管理经验，确定新建项目BIM实施目标，明确BIM项目管理方法，逐步打通策划、设计、施工、运维全生命周期传递性的环节。</w:t>
      </w:r>
      <w:bookmarkEnd w:id="964"/>
      <w:bookmarkEnd w:id="965"/>
      <w:bookmarkEnd w:id="966"/>
      <w:bookmarkEnd w:id="967"/>
    </w:p>
    <w:p w14:paraId="292EE139">
      <w:pPr>
        <w:pStyle w:val="587"/>
        <w:spacing w:before="156" w:after="156"/>
        <w:rPr>
          <w:color w:val="auto"/>
          <w:highlight w:val="none"/>
        </w:rPr>
      </w:pPr>
      <w:bookmarkStart w:id="968" w:name="_Toc14148"/>
      <w:bookmarkStart w:id="969" w:name="_Toc32731"/>
      <w:bookmarkStart w:id="970" w:name="_Toc30169"/>
      <w:bookmarkStart w:id="971" w:name="_Toc24537"/>
      <w:r>
        <w:rPr>
          <w:rFonts w:hint="eastAsia"/>
          <w:color w:val="auto"/>
          <w:highlight w:val="none"/>
        </w:rPr>
        <w:t>BIM技术应用管理领导小组</w:t>
      </w:r>
      <w:r>
        <w:rPr>
          <w:color w:val="auto"/>
          <w:highlight w:val="none"/>
        </w:rPr>
        <w:t>应综合评估项目BIM实施目标和深度、项目特点、各参与方管理水平等因素，确定项目BIM总协调方。项目BIM总协调方的能力要求及工作职责应符合“第五章”要求。</w:t>
      </w:r>
      <w:bookmarkEnd w:id="968"/>
      <w:bookmarkEnd w:id="969"/>
      <w:bookmarkEnd w:id="970"/>
      <w:bookmarkEnd w:id="971"/>
    </w:p>
    <w:p w14:paraId="378BE308">
      <w:pPr>
        <w:pStyle w:val="587"/>
        <w:spacing w:before="156" w:after="156"/>
        <w:rPr>
          <w:color w:val="auto"/>
          <w:highlight w:val="none"/>
        </w:rPr>
      </w:pPr>
      <w:bookmarkStart w:id="972" w:name="_Toc7212"/>
      <w:bookmarkStart w:id="973" w:name="_Toc19612"/>
      <w:bookmarkStart w:id="974" w:name="_Toc32354"/>
      <w:bookmarkStart w:id="975" w:name="_Toc13602"/>
      <w:r>
        <w:rPr>
          <w:color w:val="auto"/>
          <w:highlight w:val="none"/>
        </w:rPr>
        <w:t>BIM总协调方应根据项目特点、项目组织方式，将各参与方BIM技术能力、人员配置、设备投入、工作范围的职责和要求的信息提交前期工作部审批。具体要求参考“第五章”内容。</w:t>
      </w:r>
      <w:bookmarkEnd w:id="972"/>
      <w:bookmarkEnd w:id="973"/>
      <w:bookmarkEnd w:id="974"/>
      <w:bookmarkEnd w:id="975"/>
    </w:p>
    <w:p w14:paraId="5E36D116">
      <w:pPr>
        <w:pStyle w:val="587"/>
        <w:spacing w:before="156" w:after="156"/>
        <w:rPr>
          <w:color w:val="auto"/>
          <w:highlight w:val="none"/>
        </w:rPr>
      </w:pPr>
      <w:bookmarkStart w:id="976" w:name="_Toc17718"/>
      <w:bookmarkStart w:id="977" w:name="_Toc11822"/>
      <w:bookmarkStart w:id="978" w:name="_Toc22792"/>
      <w:bookmarkStart w:id="979" w:name="_Toc2338"/>
      <w:r>
        <w:rPr>
          <w:color w:val="auto"/>
          <w:highlight w:val="none"/>
        </w:rPr>
        <w:t>在项目前期准备阶段，BIM总协调方应根据项目BIM实施目标、项目特点和项目组织方式，制定《项目BIM实施大纲》，提交代建局前期工作部审核。《项目BIM实施大纲》应包含下列基本内容：</w:t>
      </w:r>
      <w:bookmarkEnd w:id="976"/>
      <w:bookmarkEnd w:id="977"/>
      <w:bookmarkEnd w:id="978"/>
      <w:bookmarkEnd w:id="979"/>
    </w:p>
    <w:p w14:paraId="26ED6254">
      <w:pPr>
        <w:ind w:firstLine="840" w:firstLineChars="400"/>
        <w:rPr>
          <w:color w:val="auto"/>
          <w:highlight w:val="none"/>
        </w:rPr>
      </w:pPr>
      <w:r>
        <w:rPr>
          <w:color w:val="auto"/>
          <w:highlight w:val="none"/>
        </w:rPr>
        <w:t>1.项目基本情况；</w:t>
      </w:r>
    </w:p>
    <w:p w14:paraId="538CFDF8">
      <w:pPr>
        <w:ind w:firstLine="840" w:firstLineChars="400"/>
        <w:rPr>
          <w:color w:val="auto"/>
          <w:highlight w:val="none"/>
        </w:rPr>
      </w:pPr>
      <w:r>
        <w:rPr>
          <w:color w:val="auto"/>
          <w:highlight w:val="none"/>
        </w:rPr>
        <w:t>2.BIM项目实施组织架构；</w:t>
      </w:r>
    </w:p>
    <w:p w14:paraId="085CD29A">
      <w:pPr>
        <w:ind w:firstLine="840" w:firstLineChars="400"/>
        <w:rPr>
          <w:color w:val="auto"/>
          <w:highlight w:val="none"/>
        </w:rPr>
      </w:pPr>
      <w:r>
        <w:rPr>
          <w:color w:val="auto"/>
          <w:highlight w:val="none"/>
        </w:rPr>
        <w:t>3.BIM实施总体概述；</w:t>
      </w:r>
    </w:p>
    <w:p w14:paraId="716BAC91">
      <w:pPr>
        <w:ind w:firstLine="840" w:firstLineChars="400"/>
        <w:rPr>
          <w:color w:val="auto"/>
          <w:highlight w:val="none"/>
        </w:rPr>
      </w:pPr>
      <w:r>
        <w:rPr>
          <w:color w:val="auto"/>
          <w:highlight w:val="none"/>
        </w:rPr>
        <w:t>4.项目BIM应用流程。</w:t>
      </w:r>
    </w:p>
    <w:p w14:paraId="522F3623">
      <w:pPr>
        <w:pStyle w:val="587"/>
        <w:spacing w:before="156" w:after="156"/>
        <w:rPr>
          <w:color w:val="auto"/>
          <w:highlight w:val="none"/>
        </w:rPr>
      </w:pPr>
      <w:bookmarkStart w:id="980" w:name="_Toc31871"/>
      <w:bookmarkStart w:id="981" w:name="_Toc20194"/>
      <w:bookmarkStart w:id="982" w:name="_Toc13869"/>
      <w:bookmarkStart w:id="983" w:name="_Toc32673"/>
      <w:r>
        <w:rPr>
          <w:color w:val="auto"/>
          <w:highlight w:val="none"/>
        </w:rPr>
        <w:t>在代建局BIM项目实施过程中，代建局前期工作部和项目建设管理部应负责：</w:t>
      </w:r>
      <w:bookmarkEnd w:id="980"/>
      <w:bookmarkEnd w:id="981"/>
      <w:bookmarkEnd w:id="982"/>
      <w:bookmarkEnd w:id="983"/>
    </w:p>
    <w:p w14:paraId="667FCAEC">
      <w:pPr>
        <w:ind w:firstLine="840" w:firstLineChars="400"/>
        <w:rPr>
          <w:color w:val="auto"/>
          <w:highlight w:val="none"/>
        </w:rPr>
      </w:pPr>
      <w:r>
        <w:rPr>
          <w:color w:val="auto"/>
          <w:highlight w:val="none"/>
        </w:rPr>
        <w:t>1. 开通项目设计协同平台；</w:t>
      </w:r>
    </w:p>
    <w:p w14:paraId="6D378BDD">
      <w:pPr>
        <w:ind w:firstLine="840" w:firstLineChars="400"/>
        <w:rPr>
          <w:color w:val="auto"/>
          <w:highlight w:val="none"/>
        </w:rPr>
      </w:pPr>
      <w:r>
        <w:rPr>
          <w:color w:val="auto"/>
          <w:highlight w:val="none"/>
        </w:rPr>
        <w:t>2. 监督并管理项目BIM总协调方的BIM实施工作。</w:t>
      </w:r>
    </w:p>
    <w:p w14:paraId="767CF350">
      <w:pPr>
        <w:pStyle w:val="587"/>
        <w:spacing w:before="156" w:after="156"/>
        <w:rPr>
          <w:color w:val="auto"/>
          <w:highlight w:val="none"/>
        </w:rPr>
      </w:pPr>
      <w:bookmarkStart w:id="984" w:name="_Toc16212"/>
      <w:bookmarkStart w:id="985" w:name="_Toc1872"/>
      <w:bookmarkStart w:id="986" w:name="_Toc14957"/>
      <w:bookmarkStart w:id="987" w:name="_Toc19324"/>
      <w:r>
        <w:rPr>
          <w:color w:val="auto"/>
          <w:highlight w:val="none"/>
        </w:rPr>
        <w:t>代建局前期工作部和项目建设管理部接收由BIM总协调方汇总审定后的BIM成果后，应通过代建局项目管理平台进行项目的监督、管理及归档，形成代建局项目BIM管理标准模式。</w:t>
      </w:r>
      <w:bookmarkEnd w:id="984"/>
      <w:bookmarkEnd w:id="985"/>
      <w:bookmarkEnd w:id="986"/>
      <w:bookmarkEnd w:id="987"/>
    </w:p>
    <w:p w14:paraId="22A485A3">
      <w:pPr>
        <w:pStyle w:val="587"/>
        <w:spacing w:before="156" w:after="156"/>
        <w:rPr>
          <w:color w:val="auto"/>
          <w:highlight w:val="none"/>
        </w:rPr>
      </w:pPr>
      <w:bookmarkStart w:id="988" w:name="_Toc24367"/>
      <w:bookmarkStart w:id="989" w:name="_Toc10584"/>
      <w:bookmarkStart w:id="990" w:name="_Toc3536"/>
      <w:bookmarkStart w:id="991" w:name="_Toc27617"/>
      <w:r>
        <w:rPr>
          <w:color w:val="auto"/>
          <w:highlight w:val="none"/>
        </w:rPr>
        <w:t>代建局项目建设管理部应根据项目BIM实施目标，评估项目BIM完成情况，总结实施经验并改进管理办法。</w:t>
      </w:r>
      <w:bookmarkEnd w:id="988"/>
      <w:bookmarkEnd w:id="989"/>
      <w:bookmarkEnd w:id="990"/>
      <w:bookmarkEnd w:id="991"/>
    </w:p>
    <w:p w14:paraId="303B19F9">
      <w:pPr>
        <w:pStyle w:val="3"/>
        <w:rPr>
          <w:color w:val="auto"/>
          <w:highlight w:val="none"/>
        </w:rPr>
      </w:pPr>
      <w:bookmarkStart w:id="992" w:name="_Toc5456"/>
      <w:bookmarkStart w:id="993" w:name="_Toc15338"/>
      <w:bookmarkStart w:id="994" w:name="_Toc10834"/>
      <w:bookmarkStart w:id="995" w:name="_Toc1375"/>
      <w:r>
        <w:rPr>
          <w:color w:val="auto"/>
          <w:highlight w:val="none"/>
        </w:rPr>
        <w:t>BIM项目实施总体流程</w:t>
      </w:r>
      <w:bookmarkEnd w:id="992"/>
      <w:bookmarkEnd w:id="993"/>
      <w:bookmarkEnd w:id="994"/>
      <w:bookmarkEnd w:id="995"/>
    </w:p>
    <w:p w14:paraId="7BDE6479">
      <w:pPr>
        <w:pStyle w:val="587"/>
        <w:spacing w:before="156" w:after="156"/>
        <w:rPr>
          <w:color w:val="auto"/>
          <w:highlight w:val="none"/>
        </w:rPr>
      </w:pPr>
      <w:bookmarkStart w:id="996" w:name="_Toc18073"/>
      <w:bookmarkStart w:id="997" w:name="_Toc25511"/>
      <w:bookmarkStart w:id="998" w:name="_Toc16598"/>
      <w:bookmarkStart w:id="999" w:name="_Toc31134"/>
      <w:r>
        <w:rPr>
          <w:color w:val="auto"/>
          <w:highlight w:val="none"/>
        </w:rPr>
        <w:t>在代建局BIM总协调管理模式下，BIM总协调方实施工作应包括策划阶段、设计阶段、施工阶段、运营维护阶段等全过程。前期工作部主要负责设计阶段BIM实施，项目建设管理部主要负责施工、运营维护阶段BIM实施。</w:t>
      </w:r>
      <w:bookmarkEnd w:id="996"/>
      <w:bookmarkEnd w:id="997"/>
      <w:bookmarkEnd w:id="998"/>
      <w:bookmarkEnd w:id="999"/>
    </w:p>
    <w:p w14:paraId="1E1CF990">
      <w:pPr>
        <w:pStyle w:val="587"/>
        <w:spacing w:before="156" w:after="156"/>
        <w:rPr>
          <w:color w:val="auto"/>
          <w:highlight w:val="none"/>
        </w:rPr>
      </w:pPr>
      <w:bookmarkStart w:id="1000" w:name="_Toc16208"/>
      <w:bookmarkStart w:id="1001" w:name="_Toc14373"/>
      <w:bookmarkStart w:id="1002" w:name="_Toc32205"/>
      <w:bookmarkStart w:id="1003" w:name="_Toc11370"/>
      <w:r>
        <w:rPr>
          <w:color w:val="auto"/>
          <w:highlight w:val="none"/>
        </w:rPr>
        <w:t>BIM总协调方协助代建局在项目每个阶段充分落实BIM技术的应用，进行项目全过程的BIM管理。</w:t>
      </w:r>
      <w:bookmarkEnd w:id="1000"/>
      <w:bookmarkEnd w:id="1001"/>
      <w:bookmarkEnd w:id="1002"/>
      <w:bookmarkEnd w:id="1003"/>
    </w:p>
    <w:p w14:paraId="4FB4CBC7">
      <w:pPr>
        <w:pStyle w:val="587"/>
        <w:spacing w:before="156" w:after="156"/>
        <w:rPr>
          <w:color w:val="auto"/>
          <w:highlight w:val="none"/>
        </w:rPr>
      </w:pPr>
      <w:bookmarkStart w:id="1004" w:name="_Toc11860"/>
      <w:bookmarkStart w:id="1005" w:name="_Toc20074"/>
      <w:bookmarkStart w:id="1006" w:name="_Toc22880"/>
      <w:bookmarkStart w:id="1007" w:name="_Toc17335"/>
      <w:r>
        <w:rPr>
          <w:color w:val="auto"/>
          <w:highlight w:val="none"/>
        </w:rPr>
        <w:t>代建局BIM项目管理流程详见《附件：BIM实施导则》附图3。</w:t>
      </w:r>
      <w:bookmarkEnd w:id="1004"/>
      <w:bookmarkEnd w:id="1005"/>
      <w:bookmarkEnd w:id="1006"/>
      <w:bookmarkEnd w:id="1007"/>
    </w:p>
    <w:p w14:paraId="22849767">
      <w:pPr>
        <w:rPr>
          <w:color w:val="auto"/>
          <w:highlight w:val="none"/>
        </w:rPr>
      </w:pPr>
    </w:p>
    <w:p w14:paraId="4324C4DB">
      <w:pPr>
        <w:rPr>
          <w:color w:val="auto"/>
          <w:highlight w:val="none"/>
        </w:rPr>
        <w:sectPr>
          <w:pgSz w:w="11906" w:h="16838"/>
          <w:pgMar w:top="1440" w:right="1800" w:bottom="1440" w:left="1800" w:header="851" w:footer="992" w:gutter="0"/>
          <w:cols w:space="720" w:num="1"/>
          <w:docGrid w:type="lines" w:linePitch="312" w:charSpace="0"/>
        </w:sectPr>
      </w:pPr>
    </w:p>
    <w:p w14:paraId="60DFB1B8">
      <w:pPr>
        <w:pStyle w:val="2"/>
        <w:spacing w:before="936" w:after="624"/>
        <w:rPr>
          <w:color w:val="auto"/>
          <w:highlight w:val="none"/>
        </w:rPr>
      </w:pPr>
      <w:bookmarkStart w:id="1008" w:name="_Toc1880"/>
      <w:bookmarkStart w:id="1009" w:name="_Toc4990"/>
      <w:bookmarkStart w:id="1010" w:name="_Toc9551"/>
      <w:bookmarkStart w:id="1011" w:name="_Toc32665"/>
      <w:bookmarkStart w:id="1012" w:name="_Toc22372"/>
      <w:r>
        <w:rPr>
          <w:color w:val="auto"/>
          <w:highlight w:val="none"/>
        </w:rPr>
        <w:t>职责要求</w:t>
      </w:r>
      <w:bookmarkEnd w:id="1008"/>
      <w:bookmarkEnd w:id="1009"/>
      <w:bookmarkEnd w:id="1010"/>
      <w:bookmarkEnd w:id="1011"/>
      <w:bookmarkEnd w:id="1012"/>
    </w:p>
    <w:p w14:paraId="6C449A31">
      <w:pPr>
        <w:pStyle w:val="3"/>
        <w:rPr>
          <w:color w:val="auto"/>
          <w:highlight w:val="none"/>
        </w:rPr>
      </w:pPr>
      <w:bookmarkStart w:id="1013" w:name="_Toc3102"/>
      <w:bookmarkStart w:id="1014" w:name="_Toc24038"/>
      <w:bookmarkStart w:id="1015" w:name="_Toc17616"/>
      <w:bookmarkStart w:id="1016" w:name="_Toc22514"/>
      <w:r>
        <w:rPr>
          <w:color w:val="auto"/>
          <w:highlight w:val="none"/>
        </w:rPr>
        <w:t>各参与方能力要求</w:t>
      </w:r>
      <w:bookmarkEnd w:id="1013"/>
      <w:bookmarkEnd w:id="1014"/>
      <w:bookmarkEnd w:id="1015"/>
      <w:bookmarkEnd w:id="1016"/>
    </w:p>
    <w:p w14:paraId="5154F253">
      <w:pPr>
        <w:pStyle w:val="587"/>
        <w:spacing w:before="156" w:after="156"/>
        <w:rPr>
          <w:color w:val="auto"/>
          <w:highlight w:val="none"/>
        </w:rPr>
      </w:pPr>
      <w:bookmarkStart w:id="1017" w:name="_Toc24021"/>
      <w:bookmarkStart w:id="1018" w:name="_Toc14284"/>
      <w:bookmarkStart w:id="1019" w:name="_Toc14044"/>
      <w:bookmarkStart w:id="1020" w:name="_Toc10078"/>
      <w:r>
        <w:rPr>
          <w:color w:val="auto"/>
          <w:highlight w:val="none"/>
        </w:rPr>
        <w:t>BIM总协调方应具备以下要求：</w:t>
      </w:r>
      <w:bookmarkEnd w:id="1017"/>
      <w:bookmarkEnd w:id="1018"/>
      <w:bookmarkEnd w:id="1019"/>
      <w:bookmarkEnd w:id="1020"/>
    </w:p>
    <w:p w14:paraId="4DD12B86">
      <w:pPr>
        <w:ind w:firstLine="840" w:firstLineChars="400"/>
        <w:rPr>
          <w:color w:val="auto"/>
          <w:highlight w:val="none"/>
        </w:rPr>
      </w:pPr>
      <w:r>
        <w:rPr>
          <w:color w:val="auto"/>
          <w:highlight w:val="none"/>
        </w:rPr>
        <w:t>1. 应拥有丰富的BIM技术及项目管理经验的专业团队，能针对项目的特点和要求制定BIM实施大纲并贯彻实行；</w:t>
      </w:r>
    </w:p>
    <w:p w14:paraId="2B66970C">
      <w:pPr>
        <w:ind w:firstLine="840" w:firstLineChars="400"/>
        <w:rPr>
          <w:color w:val="auto"/>
          <w:highlight w:val="none"/>
        </w:rPr>
      </w:pPr>
      <w:r>
        <w:rPr>
          <w:color w:val="auto"/>
          <w:highlight w:val="none"/>
        </w:rPr>
        <w:t>2. 应拥有协助代建局完成BIM成果的收集并对项目各参与方提供BIM技术支持的能力；</w:t>
      </w:r>
    </w:p>
    <w:p w14:paraId="7B2E8238">
      <w:pPr>
        <w:ind w:firstLine="840" w:firstLineChars="400"/>
        <w:rPr>
          <w:color w:val="auto"/>
          <w:highlight w:val="none"/>
        </w:rPr>
      </w:pPr>
      <w:r>
        <w:rPr>
          <w:color w:val="auto"/>
          <w:highlight w:val="none"/>
        </w:rPr>
        <w:t>3. 在项目实施阶段能整合各参与方的模型，指导设计单位、施工单位的BIM实施及应用；</w:t>
      </w:r>
    </w:p>
    <w:p w14:paraId="60134EB2">
      <w:pPr>
        <w:ind w:firstLine="840" w:firstLineChars="400"/>
        <w:rPr>
          <w:color w:val="auto"/>
          <w:highlight w:val="none"/>
        </w:rPr>
      </w:pPr>
      <w:r>
        <w:rPr>
          <w:color w:val="auto"/>
          <w:highlight w:val="none"/>
        </w:rPr>
        <w:t>4. 应协助代建局开通、管理与维护BIM平台；</w:t>
      </w:r>
    </w:p>
    <w:p w14:paraId="603A9A3B">
      <w:pPr>
        <w:ind w:firstLine="840" w:firstLineChars="400"/>
        <w:rPr>
          <w:color w:val="auto"/>
          <w:highlight w:val="none"/>
        </w:rPr>
      </w:pPr>
      <w:r>
        <w:rPr>
          <w:color w:val="auto"/>
          <w:highlight w:val="none"/>
        </w:rPr>
        <w:t>5. 应针对BIM项目特点及需求拓展应用。</w:t>
      </w:r>
    </w:p>
    <w:p w14:paraId="4A35CCB8">
      <w:pPr>
        <w:pStyle w:val="587"/>
        <w:spacing w:before="156" w:after="156"/>
        <w:rPr>
          <w:color w:val="auto"/>
          <w:highlight w:val="none"/>
        </w:rPr>
      </w:pPr>
      <w:bookmarkStart w:id="1021" w:name="_Toc9288"/>
      <w:bookmarkStart w:id="1022" w:name="_Toc15595"/>
      <w:bookmarkStart w:id="1023" w:name="_Toc2989"/>
      <w:bookmarkStart w:id="1024" w:name="_Toc21172"/>
      <w:r>
        <w:rPr>
          <w:color w:val="auto"/>
          <w:highlight w:val="none"/>
        </w:rPr>
        <w:t>监理单位应具备以下要求：</w:t>
      </w:r>
      <w:bookmarkEnd w:id="1021"/>
      <w:bookmarkEnd w:id="1022"/>
      <w:bookmarkEnd w:id="1023"/>
      <w:bookmarkEnd w:id="1024"/>
    </w:p>
    <w:p w14:paraId="2AC8B94A">
      <w:pPr>
        <w:ind w:firstLine="840" w:firstLineChars="400"/>
        <w:rPr>
          <w:color w:val="auto"/>
          <w:highlight w:val="none"/>
        </w:rPr>
      </w:pPr>
      <w:r>
        <w:rPr>
          <w:color w:val="auto"/>
          <w:highlight w:val="none"/>
        </w:rPr>
        <w:t>1. 应具备现场管理经验；</w:t>
      </w:r>
    </w:p>
    <w:p w14:paraId="1DCEC7BB">
      <w:pPr>
        <w:ind w:firstLine="840" w:firstLineChars="400"/>
        <w:rPr>
          <w:color w:val="auto"/>
          <w:highlight w:val="none"/>
        </w:rPr>
      </w:pPr>
      <w:r>
        <w:rPr>
          <w:color w:val="auto"/>
          <w:highlight w:val="none"/>
        </w:rPr>
        <w:t>2. 熟悉BIM软件和施工规范规程；</w:t>
      </w:r>
    </w:p>
    <w:p w14:paraId="414870E3">
      <w:pPr>
        <w:ind w:firstLine="840" w:firstLineChars="400"/>
        <w:rPr>
          <w:color w:val="auto"/>
          <w:highlight w:val="none"/>
        </w:rPr>
      </w:pPr>
      <w:r>
        <w:rPr>
          <w:color w:val="auto"/>
          <w:highlight w:val="none"/>
        </w:rPr>
        <w:t>3. 能审阅BIM模型，提供可行性建议，保证BIM模型的正确性及可实行性；</w:t>
      </w:r>
    </w:p>
    <w:p w14:paraId="41085C5C">
      <w:pPr>
        <w:ind w:firstLine="840" w:firstLineChars="400"/>
        <w:rPr>
          <w:color w:val="auto"/>
          <w:highlight w:val="none"/>
        </w:rPr>
      </w:pPr>
      <w:bookmarkStart w:id="1025" w:name="_Toc29260"/>
      <w:bookmarkStart w:id="1026" w:name="_Toc16887"/>
      <w:bookmarkStart w:id="1027" w:name="_Toc4894"/>
      <w:bookmarkStart w:id="1028" w:name="_Toc21792"/>
      <w:r>
        <w:rPr>
          <w:color w:val="auto"/>
          <w:highlight w:val="none"/>
        </w:rPr>
        <w:t>4. 能在项目实施过程中进行联系工作，记录BIM管理工作。</w:t>
      </w:r>
      <w:bookmarkEnd w:id="1025"/>
      <w:bookmarkEnd w:id="1026"/>
      <w:bookmarkEnd w:id="1027"/>
      <w:bookmarkEnd w:id="1028"/>
    </w:p>
    <w:p w14:paraId="2F6034CD">
      <w:pPr>
        <w:pStyle w:val="587"/>
        <w:spacing w:before="156" w:after="156"/>
        <w:rPr>
          <w:color w:val="auto"/>
          <w:highlight w:val="none"/>
        </w:rPr>
      </w:pPr>
      <w:bookmarkStart w:id="1029" w:name="_Toc2114"/>
      <w:bookmarkStart w:id="1030" w:name="_Toc11182"/>
      <w:bookmarkStart w:id="1031" w:name="_Toc319"/>
      <w:r>
        <w:rPr>
          <w:color w:val="auto"/>
          <w:highlight w:val="none"/>
        </w:rPr>
        <w:t>设计单位应具备以下要求：</w:t>
      </w:r>
      <w:bookmarkEnd w:id="1029"/>
      <w:bookmarkEnd w:id="1030"/>
      <w:bookmarkEnd w:id="1031"/>
    </w:p>
    <w:p w14:paraId="2E6BF8D9">
      <w:pPr>
        <w:ind w:firstLine="840" w:firstLineChars="400"/>
        <w:rPr>
          <w:color w:val="auto"/>
          <w:highlight w:val="none"/>
        </w:rPr>
      </w:pPr>
      <w:r>
        <w:rPr>
          <w:color w:val="auto"/>
          <w:highlight w:val="none"/>
        </w:rPr>
        <w:t>1. BIM设计团队应具备BIM经验，能在建筑项目设计过程中实施全专业、全流程BIM设计应用，提高项目设计质量和效率；</w:t>
      </w:r>
    </w:p>
    <w:p w14:paraId="484EA1AC">
      <w:pPr>
        <w:ind w:firstLine="840" w:firstLineChars="400"/>
        <w:rPr>
          <w:color w:val="auto"/>
          <w:highlight w:val="none"/>
        </w:rPr>
      </w:pPr>
      <w:r>
        <w:rPr>
          <w:color w:val="auto"/>
          <w:highlight w:val="none"/>
        </w:rPr>
        <w:t>2. 应能利用BIM技术在方案设计和初步设计阶段出具建筑性能分析，运用BIM技术完成工程设计；</w:t>
      </w:r>
    </w:p>
    <w:p w14:paraId="3A2AF60D">
      <w:pPr>
        <w:ind w:firstLine="840" w:firstLineChars="400"/>
        <w:rPr>
          <w:color w:val="auto"/>
          <w:highlight w:val="none"/>
        </w:rPr>
        <w:sectPr>
          <w:pgSz w:w="11906" w:h="16838"/>
          <w:pgMar w:top="1440" w:right="1800" w:bottom="1440" w:left="1800" w:header="851" w:footer="992" w:gutter="0"/>
          <w:cols w:space="720" w:num="1"/>
          <w:docGrid w:type="lines" w:linePitch="312" w:charSpace="0"/>
        </w:sectPr>
      </w:pPr>
    </w:p>
    <w:p w14:paraId="644A566D">
      <w:pPr>
        <w:ind w:firstLine="840" w:firstLineChars="400"/>
        <w:rPr>
          <w:color w:val="auto"/>
          <w:highlight w:val="none"/>
        </w:rPr>
      </w:pPr>
      <w:r>
        <w:rPr>
          <w:color w:val="auto"/>
          <w:highlight w:val="none"/>
        </w:rPr>
        <w:t>3. 能利用BIM技术在工程实施前进行详细到位的图纸交底和技术交底，同时保证设计阶段BIM模型信息的正确性及完整性。</w:t>
      </w:r>
    </w:p>
    <w:p w14:paraId="428430F2">
      <w:pPr>
        <w:pStyle w:val="587"/>
        <w:spacing w:before="156" w:after="156"/>
        <w:rPr>
          <w:color w:val="auto"/>
          <w:highlight w:val="none"/>
        </w:rPr>
      </w:pPr>
      <w:bookmarkStart w:id="1032" w:name="_Toc17246"/>
      <w:bookmarkStart w:id="1033" w:name="_Toc8809"/>
      <w:bookmarkStart w:id="1034" w:name="_Toc18702"/>
      <w:bookmarkStart w:id="1035" w:name="_Toc10397"/>
      <w:r>
        <w:rPr>
          <w:color w:val="auto"/>
          <w:highlight w:val="none"/>
        </w:rPr>
        <w:t>施工总承包应具备以下要求：</w:t>
      </w:r>
      <w:bookmarkEnd w:id="1032"/>
      <w:bookmarkEnd w:id="1033"/>
      <w:bookmarkEnd w:id="1034"/>
      <w:bookmarkEnd w:id="1035"/>
    </w:p>
    <w:p w14:paraId="66A1F4F7">
      <w:pPr>
        <w:ind w:firstLine="840" w:firstLineChars="400"/>
        <w:rPr>
          <w:color w:val="auto"/>
          <w:highlight w:val="none"/>
        </w:rPr>
      </w:pPr>
      <w:r>
        <w:rPr>
          <w:color w:val="auto"/>
          <w:highlight w:val="none"/>
        </w:rPr>
        <w:t>1. 应具备BIM施工管理经验；</w:t>
      </w:r>
    </w:p>
    <w:p w14:paraId="01A7BAD5">
      <w:pPr>
        <w:ind w:firstLine="840" w:firstLineChars="400"/>
        <w:rPr>
          <w:color w:val="auto"/>
          <w:highlight w:val="none"/>
        </w:rPr>
      </w:pPr>
      <w:r>
        <w:rPr>
          <w:color w:val="auto"/>
          <w:highlight w:val="none"/>
        </w:rPr>
        <w:t>2. 配置专业的BIM技术团队；</w:t>
      </w:r>
    </w:p>
    <w:p w14:paraId="09226868">
      <w:pPr>
        <w:ind w:firstLine="840" w:firstLineChars="400"/>
        <w:rPr>
          <w:color w:val="auto"/>
          <w:highlight w:val="none"/>
        </w:rPr>
      </w:pPr>
      <w:r>
        <w:rPr>
          <w:color w:val="auto"/>
          <w:highlight w:val="none"/>
        </w:rPr>
        <w:t>3. 了解BIM技术应用特点，能利用BIM技术进行进度、质量、安全、成本等多维度的管理。</w:t>
      </w:r>
    </w:p>
    <w:p w14:paraId="0C6280E1">
      <w:pPr>
        <w:pStyle w:val="587"/>
        <w:spacing w:before="156" w:after="156"/>
        <w:rPr>
          <w:color w:val="auto"/>
          <w:highlight w:val="none"/>
        </w:rPr>
      </w:pPr>
      <w:bookmarkStart w:id="1036" w:name="_Toc25130"/>
      <w:bookmarkStart w:id="1037" w:name="_Toc1863"/>
      <w:bookmarkStart w:id="1038" w:name="_Toc22796"/>
      <w:bookmarkStart w:id="1039" w:name="_Toc8061"/>
      <w:r>
        <w:rPr>
          <w:color w:val="auto"/>
          <w:highlight w:val="none"/>
        </w:rPr>
        <w:t>专业分包单位应具备以下要求：</w:t>
      </w:r>
      <w:bookmarkEnd w:id="1036"/>
      <w:bookmarkEnd w:id="1037"/>
      <w:bookmarkEnd w:id="1038"/>
      <w:bookmarkEnd w:id="1039"/>
    </w:p>
    <w:p w14:paraId="7519E81E">
      <w:pPr>
        <w:ind w:firstLine="840" w:firstLineChars="400"/>
        <w:rPr>
          <w:color w:val="auto"/>
          <w:highlight w:val="none"/>
        </w:rPr>
      </w:pPr>
      <w:bookmarkStart w:id="1040" w:name="_Toc18865"/>
      <w:bookmarkStart w:id="1041" w:name="_Toc10354"/>
      <w:bookmarkStart w:id="1042" w:name="_Toc25465"/>
      <w:bookmarkStart w:id="1043" w:name="_Toc30271"/>
      <w:r>
        <w:rPr>
          <w:color w:val="auto"/>
          <w:highlight w:val="none"/>
        </w:rPr>
        <w:t>1. 应具有专业BIM模型深化、更新、维护的能力；</w:t>
      </w:r>
      <w:bookmarkEnd w:id="1040"/>
      <w:bookmarkEnd w:id="1041"/>
      <w:bookmarkEnd w:id="1042"/>
      <w:bookmarkEnd w:id="1043"/>
    </w:p>
    <w:p w14:paraId="7D0FFE2B">
      <w:pPr>
        <w:ind w:firstLine="840" w:firstLineChars="400"/>
        <w:rPr>
          <w:color w:val="auto"/>
          <w:highlight w:val="none"/>
        </w:rPr>
      </w:pPr>
      <w:r>
        <w:rPr>
          <w:color w:val="auto"/>
          <w:highlight w:val="none"/>
        </w:rPr>
        <w:t>2. 能利用BIM模型指导现场施工及配合总承包单位完成BIM技术应用。</w:t>
      </w:r>
    </w:p>
    <w:p w14:paraId="6EEC7E43">
      <w:pPr>
        <w:pStyle w:val="587"/>
        <w:spacing w:before="156" w:after="156"/>
        <w:rPr>
          <w:color w:val="auto"/>
          <w:highlight w:val="none"/>
        </w:rPr>
      </w:pPr>
      <w:bookmarkStart w:id="1044" w:name="_Toc19551"/>
      <w:bookmarkStart w:id="1045" w:name="_Toc5326"/>
      <w:bookmarkStart w:id="1046" w:name="_Toc30298"/>
      <w:bookmarkStart w:id="1047" w:name="_Toc18625"/>
      <w:r>
        <w:rPr>
          <w:color w:val="auto"/>
          <w:highlight w:val="none"/>
        </w:rPr>
        <w:t>造价咨询单位应具备以下要求：</w:t>
      </w:r>
      <w:bookmarkEnd w:id="1044"/>
      <w:bookmarkEnd w:id="1045"/>
      <w:bookmarkEnd w:id="1046"/>
      <w:bookmarkEnd w:id="1047"/>
    </w:p>
    <w:p w14:paraId="30F8C5F5">
      <w:pPr>
        <w:ind w:firstLine="840" w:firstLineChars="400"/>
        <w:rPr>
          <w:color w:val="auto"/>
          <w:highlight w:val="none"/>
        </w:rPr>
      </w:pPr>
      <w:bookmarkStart w:id="1048" w:name="_Toc9992"/>
      <w:bookmarkStart w:id="1049" w:name="_Toc17513"/>
      <w:bookmarkStart w:id="1050" w:name="_Toc4935"/>
      <w:bookmarkStart w:id="1051" w:name="_Toc25232"/>
      <w:r>
        <w:rPr>
          <w:color w:val="auto"/>
          <w:highlight w:val="none"/>
        </w:rPr>
        <w:t>1. 应具有BIM工程量统计方面软件及技术应用的能力；</w:t>
      </w:r>
      <w:bookmarkEnd w:id="1048"/>
      <w:bookmarkEnd w:id="1049"/>
      <w:bookmarkEnd w:id="1050"/>
      <w:bookmarkEnd w:id="1051"/>
    </w:p>
    <w:p w14:paraId="5487BE2F">
      <w:pPr>
        <w:ind w:firstLine="840" w:firstLineChars="400"/>
        <w:rPr>
          <w:color w:val="auto"/>
          <w:highlight w:val="none"/>
        </w:rPr>
      </w:pPr>
      <w:r>
        <w:rPr>
          <w:color w:val="auto"/>
          <w:highlight w:val="none"/>
        </w:rPr>
        <w:t>2. 应能根据设计图纸、施工图纸的工程量信息与实际工程量进行辅助工程量统计，服务项目概算、预算及结算等过程。</w:t>
      </w:r>
    </w:p>
    <w:p w14:paraId="5CF1E5C8">
      <w:pPr>
        <w:pStyle w:val="3"/>
        <w:rPr>
          <w:color w:val="auto"/>
          <w:highlight w:val="none"/>
        </w:rPr>
      </w:pPr>
      <w:bookmarkStart w:id="1052" w:name="_Toc31094"/>
      <w:bookmarkStart w:id="1053" w:name="_Toc31532"/>
      <w:bookmarkStart w:id="1054" w:name="_Toc13214"/>
      <w:bookmarkStart w:id="1055" w:name="_Toc22940"/>
      <w:r>
        <w:rPr>
          <w:color w:val="auto"/>
          <w:highlight w:val="none"/>
        </w:rPr>
        <w:t>各参与方工作职责</w:t>
      </w:r>
      <w:bookmarkEnd w:id="1052"/>
      <w:bookmarkEnd w:id="1053"/>
      <w:bookmarkEnd w:id="1054"/>
      <w:bookmarkEnd w:id="1055"/>
    </w:p>
    <w:p w14:paraId="7BF71C88">
      <w:pPr>
        <w:pStyle w:val="587"/>
        <w:spacing w:before="156" w:after="156"/>
        <w:rPr>
          <w:color w:val="auto"/>
          <w:highlight w:val="none"/>
        </w:rPr>
      </w:pPr>
      <w:bookmarkStart w:id="1056" w:name="_Toc18990"/>
      <w:bookmarkStart w:id="1057" w:name="_Toc9687"/>
      <w:bookmarkStart w:id="1058" w:name="_Toc27895"/>
      <w:bookmarkStart w:id="1059" w:name="_Toc7285"/>
      <w:r>
        <w:rPr>
          <w:color w:val="auto"/>
          <w:highlight w:val="none"/>
        </w:rPr>
        <w:t>BIM总协调方对项目各阶段BIM实施进行统筹、协调、管理，包括：</w:t>
      </w:r>
      <w:bookmarkEnd w:id="1056"/>
      <w:bookmarkEnd w:id="1057"/>
      <w:bookmarkEnd w:id="1058"/>
      <w:bookmarkEnd w:id="1059"/>
    </w:p>
    <w:p w14:paraId="478E4A4A">
      <w:pPr>
        <w:ind w:firstLine="840" w:firstLineChars="400"/>
        <w:rPr>
          <w:color w:val="auto"/>
          <w:highlight w:val="none"/>
        </w:rPr>
      </w:pPr>
      <w:r>
        <w:rPr>
          <w:color w:val="auto"/>
          <w:highlight w:val="none"/>
        </w:rPr>
        <w:t>1. 应根据项目要求，制定《BIM实施大纲》，组织管理项目BIM实施；</w:t>
      </w:r>
    </w:p>
    <w:p w14:paraId="2065A9EF">
      <w:pPr>
        <w:ind w:firstLine="840" w:firstLineChars="400"/>
        <w:rPr>
          <w:color w:val="auto"/>
          <w:highlight w:val="none"/>
        </w:rPr>
      </w:pPr>
      <w:r>
        <w:rPr>
          <w:color w:val="auto"/>
          <w:highlight w:val="none"/>
        </w:rPr>
        <w:t>2. 在设计及施工阶段，组织项目各参与方分别制定《项目BIM实施方案》，监督各参与方贯彻实施；</w:t>
      </w:r>
    </w:p>
    <w:p w14:paraId="1E13CC86">
      <w:pPr>
        <w:ind w:firstLine="840" w:firstLineChars="400"/>
        <w:rPr>
          <w:color w:val="auto"/>
          <w:highlight w:val="none"/>
        </w:rPr>
      </w:pPr>
      <w:r>
        <w:rPr>
          <w:color w:val="auto"/>
          <w:highlight w:val="none"/>
        </w:rPr>
        <w:t>3. 审核与验收参与方提交的BIM成果，给出BIM成果审核意见，协助代建局前期工作部和项目建设管理部完成BIM成果归档；</w:t>
      </w:r>
    </w:p>
    <w:p w14:paraId="2D144303">
      <w:pPr>
        <w:ind w:firstLine="840" w:firstLineChars="400"/>
        <w:rPr>
          <w:color w:val="auto"/>
          <w:highlight w:val="none"/>
        </w:rPr>
      </w:pPr>
      <w:r>
        <w:rPr>
          <w:color w:val="auto"/>
          <w:highlight w:val="none"/>
        </w:rPr>
        <w:t>4. 利用BIM技术工程价值，实现工程质量、进度及效益的提高；</w:t>
      </w:r>
    </w:p>
    <w:p w14:paraId="15F5C4D1">
      <w:pPr>
        <w:ind w:firstLine="840" w:firstLineChars="400"/>
        <w:rPr>
          <w:color w:val="auto"/>
          <w:highlight w:val="none"/>
        </w:rPr>
      </w:pPr>
      <w:bookmarkStart w:id="1060" w:name="_Toc15299"/>
      <w:bookmarkStart w:id="1061" w:name="_Toc5624"/>
      <w:bookmarkStart w:id="1062" w:name="_Toc26884"/>
      <w:bookmarkStart w:id="1063" w:name="_Toc30277"/>
      <w:r>
        <w:rPr>
          <w:color w:val="auto"/>
          <w:highlight w:val="none"/>
        </w:rPr>
        <w:t>5. 为各参与方提供BIM支持。</w:t>
      </w:r>
      <w:bookmarkEnd w:id="1060"/>
      <w:bookmarkEnd w:id="1061"/>
      <w:bookmarkEnd w:id="1062"/>
      <w:bookmarkEnd w:id="1063"/>
    </w:p>
    <w:p w14:paraId="1BDE34E1">
      <w:pPr>
        <w:pStyle w:val="587"/>
        <w:spacing w:before="156" w:after="156"/>
        <w:rPr>
          <w:color w:val="auto"/>
          <w:highlight w:val="none"/>
        </w:rPr>
      </w:pPr>
      <w:bookmarkStart w:id="1064" w:name="_Toc670"/>
      <w:bookmarkStart w:id="1065" w:name="_Toc15923"/>
      <w:bookmarkStart w:id="1066" w:name="_Toc22296"/>
      <w:bookmarkStart w:id="1067" w:name="_Toc6330"/>
      <w:r>
        <w:rPr>
          <w:color w:val="auto"/>
          <w:highlight w:val="none"/>
        </w:rPr>
        <w:t>设计单位应基于BIM平台完成项目设计阶段BIM工作</w:t>
      </w:r>
      <w:r>
        <w:rPr>
          <w:rFonts w:hint="eastAsia"/>
          <w:color w:val="auto"/>
          <w:highlight w:val="none"/>
        </w:rPr>
        <w:t>并</w:t>
      </w:r>
      <w:r>
        <w:rPr>
          <w:color w:val="auto"/>
          <w:highlight w:val="none"/>
        </w:rPr>
        <w:t>做到以下</w:t>
      </w:r>
      <w:r>
        <w:rPr>
          <w:rFonts w:hint="eastAsia"/>
          <w:color w:val="auto"/>
          <w:highlight w:val="none"/>
        </w:rPr>
        <w:t>要求</w:t>
      </w:r>
      <w:r>
        <w:rPr>
          <w:color w:val="auto"/>
          <w:highlight w:val="none"/>
        </w:rPr>
        <w:t>：</w:t>
      </w:r>
      <w:bookmarkEnd w:id="1064"/>
      <w:bookmarkEnd w:id="1065"/>
      <w:bookmarkEnd w:id="1066"/>
      <w:bookmarkEnd w:id="1067"/>
    </w:p>
    <w:p w14:paraId="1CEF24FC">
      <w:pPr>
        <w:ind w:firstLine="840" w:firstLineChars="400"/>
        <w:rPr>
          <w:color w:val="auto"/>
          <w:highlight w:val="none"/>
        </w:rPr>
      </w:pPr>
      <w:r>
        <w:rPr>
          <w:color w:val="auto"/>
          <w:highlight w:val="none"/>
        </w:rPr>
        <w:t>1. 设计BIM实施应与设计进度保持一致；</w:t>
      </w:r>
    </w:p>
    <w:p w14:paraId="210A057B">
      <w:pPr>
        <w:ind w:firstLine="840" w:firstLineChars="400"/>
        <w:rPr>
          <w:color w:val="auto"/>
          <w:highlight w:val="none"/>
        </w:rPr>
      </w:pPr>
      <w:r>
        <w:rPr>
          <w:color w:val="auto"/>
          <w:highlight w:val="none"/>
        </w:rPr>
        <w:t>2. 应使用BIM技术与项目各参与方进行BIM设计交底。</w:t>
      </w:r>
    </w:p>
    <w:p w14:paraId="0A98C71D">
      <w:pPr>
        <w:pStyle w:val="587"/>
        <w:spacing w:before="156" w:after="156"/>
        <w:rPr>
          <w:color w:val="auto"/>
          <w:highlight w:val="none"/>
        </w:rPr>
      </w:pPr>
      <w:bookmarkStart w:id="1068" w:name="_Toc22490"/>
      <w:bookmarkStart w:id="1069" w:name="_Toc14815"/>
      <w:bookmarkStart w:id="1070" w:name="_Toc4714"/>
      <w:bookmarkStart w:id="1071" w:name="_Toc1306"/>
      <w:r>
        <w:rPr>
          <w:color w:val="auto"/>
          <w:highlight w:val="none"/>
        </w:rPr>
        <w:t>监理单位应配合BIM总协调方开展以下工作：</w:t>
      </w:r>
      <w:bookmarkEnd w:id="1068"/>
      <w:bookmarkEnd w:id="1069"/>
      <w:bookmarkEnd w:id="1070"/>
      <w:bookmarkEnd w:id="1071"/>
    </w:p>
    <w:p w14:paraId="10EA6393">
      <w:pPr>
        <w:ind w:firstLine="840" w:firstLineChars="400"/>
        <w:rPr>
          <w:color w:val="auto"/>
          <w:highlight w:val="none"/>
        </w:rPr>
      </w:pPr>
      <w:r>
        <w:rPr>
          <w:color w:val="auto"/>
          <w:highlight w:val="none"/>
        </w:rPr>
        <w:t>1. 对各参与方提交的BIM成果进行监督和审查；</w:t>
      </w:r>
    </w:p>
    <w:p w14:paraId="06965B31">
      <w:pPr>
        <w:ind w:firstLine="840" w:firstLineChars="400"/>
        <w:rPr>
          <w:color w:val="auto"/>
          <w:highlight w:val="none"/>
        </w:rPr>
      </w:pPr>
      <w:r>
        <w:rPr>
          <w:color w:val="auto"/>
          <w:highlight w:val="none"/>
        </w:rPr>
        <w:t>2. 对图纸及BIM模型中存在的问题，应提出书面意见和建议；</w:t>
      </w:r>
    </w:p>
    <w:p w14:paraId="25254B23">
      <w:pPr>
        <w:ind w:firstLine="840" w:firstLineChars="400"/>
        <w:rPr>
          <w:color w:val="auto"/>
          <w:highlight w:val="none"/>
        </w:rPr>
      </w:pPr>
      <w:r>
        <w:rPr>
          <w:color w:val="auto"/>
          <w:highlight w:val="none"/>
        </w:rPr>
        <w:t>3. 按照BIM总协调方的要求，针对重要节点提交BIM质量评估报告。</w:t>
      </w:r>
    </w:p>
    <w:p w14:paraId="4B7A5AFB">
      <w:pPr>
        <w:pStyle w:val="587"/>
        <w:spacing w:before="156" w:after="156"/>
        <w:rPr>
          <w:color w:val="auto"/>
          <w:highlight w:val="none"/>
        </w:rPr>
      </w:pPr>
      <w:r>
        <w:rPr>
          <w:color w:val="auto"/>
          <w:highlight w:val="none"/>
        </w:rPr>
        <w:t>施工总承包</w:t>
      </w:r>
      <w:r>
        <w:rPr>
          <w:rFonts w:hint="eastAsia"/>
          <w:color w:val="auto"/>
          <w:highlight w:val="none"/>
        </w:rPr>
        <w:t>单位</w:t>
      </w:r>
      <w:r>
        <w:rPr>
          <w:color w:val="auto"/>
          <w:highlight w:val="none"/>
        </w:rPr>
        <w:t>的工作</w:t>
      </w:r>
      <w:r>
        <w:rPr>
          <w:rFonts w:hint="eastAsia"/>
          <w:color w:val="auto"/>
          <w:highlight w:val="none"/>
        </w:rPr>
        <w:t>应</w:t>
      </w:r>
      <w:r>
        <w:rPr>
          <w:color w:val="auto"/>
          <w:highlight w:val="none"/>
        </w:rPr>
        <w:t>包括：</w:t>
      </w:r>
    </w:p>
    <w:p w14:paraId="0C4911E3">
      <w:pPr>
        <w:ind w:firstLine="840" w:firstLineChars="400"/>
        <w:rPr>
          <w:color w:val="auto"/>
          <w:highlight w:val="none"/>
        </w:rPr>
      </w:pPr>
      <w:r>
        <w:rPr>
          <w:color w:val="auto"/>
          <w:highlight w:val="none"/>
        </w:rPr>
        <w:t>1. 应配合总协调方审核并接收设计单位提供的设计阶段BIM模型，对自身合同范围内的设计阶段BIM模型进行校核和调整；</w:t>
      </w:r>
    </w:p>
    <w:p w14:paraId="20EB43A8">
      <w:pPr>
        <w:ind w:firstLine="840" w:firstLineChars="400"/>
        <w:rPr>
          <w:color w:val="auto"/>
          <w:highlight w:val="none"/>
        </w:rPr>
      </w:pPr>
      <w:r>
        <w:rPr>
          <w:color w:val="auto"/>
          <w:highlight w:val="none"/>
        </w:rPr>
        <w:t>2. 应根据项目实际施工进展，完成施工阶段BIM模型；在施工过程中及时更新模型，与施工进度保持一致并指导施工；</w:t>
      </w:r>
    </w:p>
    <w:p w14:paraId="0C6BE6FC">
      <w:pPr>
        <w:ind w:firstLine="840" w:firstLineChars="400"/>
        <w:rPr>
          <w:color w:val="auto"/>
          <w:highlight w:val="none"/>
        </w:rPr>
      </w:pPr>
      <w:r>
        <w:rPr>
          <w:color w:val="auto"/>
          <w:highlight w:val="none"/>
        </w:rPr>
        <w:t>3. 编制项目《施工阶段BIM实施方案》，并报总协调方及项目管理部审核后执行；</w:t>
      </w:r>
    </w:p>
    <w:p w14:paraId="76CA060E">
      <w:pPr>
        <w:ind w:firstLine="840" w:firstLineChars="400"/>
        <w:rPr>
          <w:color w:val="auto"/>
          <w:highlight w:val="none"/>
        </w:rPr>
      </w:pPr>
      <w:r>
        <w:rPr>
          <w:color w:val="auto"/>
          <w:highlight w:val="none"/>
        </w:rPr>
        <w:t>4. 应统筹管理好各分包单位施工阶段的BIM模型及BIM应用；</w:t>
      </w:r>
    </w:p>
    <w:p w14:paraId="1F56BC8F">
      <w:pPr>
        <w:ind w:firstLine="840" w:firstLineChars="400"/>
        <w:rPr>
          <w:color w:val="auto"/>
          <w:highlight w:val="none"/>
        </w:rPr>
      </w:pPr>
      <w:r>
        <w:rPr>
          <w:color w:val="auto"/>
          <w:highlight w:val="none"/>
        </w:rPr>
        <w:t>5. 保证BIM模型与施工现场相结合，并配合BIM总协调方完成施工阶段BIM应用；</w:t>
      </w:r>
    </w:p>
    <w:p w14:paraId="28B428E8">
      <w:pPr>
        <w:ind w:firstLine="840" w:firstLineChars="400"/>
        <w:rPr>
          <w:color w:val="auto"/>
          <w:highlight w:val="none"/>
        </w:rPr>
      </w:pPr>
      <w:bookmarkStart w:id="1072" w:name="_Toc20416"/>
      <w:bookmarkStart w:id="1073" w:name="_Toc30085"/>
      <w:bookmarkStart w:id="1074" w:name="_Toc13382"/>
      <w:bookmarkStart w:id="1075" w:name="_Toc8190"/>
      <w:r>
        <w:rPr>
          <w:color w:val="auto"/>
          <w:highlight w:val="none"/>
        </w:rPr>
        <w:t>6. 竣工后负责提交竣工BIM模型及相关成果，须通过审核。</w:t>
      </w:r>
      <w:bookmarkEnd w:id="1072"/>
      <w:bookmarkEnd w:id="1073"/>
      <w:bookmarkEnd w:id="1074"/>
      <w:bookmarkEnd w:id="1075"/>
    </w:p>
    <w:p w14:paraId="7CA517ED">
      <w:pPr>
        <w:pStyle w:val="587"/>
        <w:spacing w:before="156" w:after="156"/>
        <w:rPr>
          <w:color w:val="auto"/>
          <w:highlight w:val="none"/>
        </w:rPr>
      </w:pPr>
      <w:bookmarkStart w:id="1076" w:name="_Toc19294"/>
      <w:bookmarkStart w:id="1077" w:name="_Toc17862"/>
      <w:bookmarkStart w:id="1078" w:name="_Toc3564"/>
      <w:r>
        <w:rPr>
          <w:color w:val="auto"/>
          <w:highlight w:val="none"/>
        </w:rPr>
        <w:t>专业分包单位的工作应包括：</w:t>
      </w:r>
      <w:bookmarkEnd w:id="1076"/>
      <w:bookmarkEnd w:id="1077"/>
      <w:bookmarkEnd w:id="1078"/>
    </w:p>
    <w:p w14:paraId="64C0B36C">
      <w:pPr>
        <w:ind w:firstLine="840" w:firstLineChars="400"/>
        <w:rPr>
          <w:color w:val="auto"/>
          <w:highlight w:val="none"/>
        </w:rPr>
      </w:pPr>
      <w:r>
        <w:rPr>
          <w:color w:val="auto"/>
          <w:highlight w:val="none"/>
        </w:rPr>
        <w:t>1. 应负责合同范围内的BIM模型深化、更新和维护工作；</w:t>
      </w:r>
    </w:p>
    <w:p w14:paraId="5121AF1C">
      <w:pPr>
        <w:ind w:firstLine="840" w:firstLineChars="400"/>
        <w:rPr>
          <w:color w:val="auto"/>
          <w:highlight w:val="none"/>
        </w:rPr>
      </w:pPr>
      <w:r>
        <w:rPr>
          <w:color w:val="auto"/>
          <w:highlight w:val="none"/>
        </w:rPr>
        <w:t>2. 利用BIM模型指导施工，完成专业BIM应用；</w:t>
      </w:r>
    </w:p>
    <w:p w14:paraId="5E5BDF8D">
      <w:pPr>
        <w:ind w:firstLine="840" w:firstLineChars="400"/>
        <w:rPr>
          <w:color w:val="auto"/>
          <w:highlight w:val="none"/>
        </w:rPr>
      </w:pPr>
      <w:r>
        <w:rPr>
          <w:color w:val="auto"/>
          <w:highlight w:val="none"/>
        </w:rPr>
        <w:t>3. 配合总承包单位的BIM工作，提供相应的BIM应用成果。</w:t>
      </w:r>
    </w:p>
    <w:p w14:paraId="12CDF940">
      <w:pPr>
        <w:pStyle w:val="587"/>
        <w:spacing w:before="156" w:after="156"/>
        <w:rPr>
          <w:color w:val="auto"/>
          <w:highlight w:val="none"/>
        </w:rPr>
      </w:pPr>
      <w:bookmarkStart w:id="1079" w:name="_Toc24915"/>
      <w:bookmarkStart w:id="1080" w:name="_Toc20796"/>
      <w:bookmarkStart w:id="1081" w:name="_Toc31680"/>
      <w:bookmarkStart w:id="1082" w:name="_Toc24757"/>
      <w:r>
        <w:rPr>
          <w:color w:val="auto"/>
          <w:highlight w:val="none"/>
        </w:rPr>
        <w:t>造价咨询单位的工作应包括：</w:t>
      </w:r>
      <w:bookmarkEnd w:id="1079"/>
      <w:bookmarkEnd w:id="1080"/>
      <w:bookmarkEnd w:id="1081"/>
      <w:bookmarkEnd w:id="1082"/>
    </w:p>
    <w:p w14:paraId="45D15BD7">
      <w:pPr>
        <w:ind w:firstLine="840" w:firstLineChars="400"/>
        <w:rPr>
          <w:color w:val="auto"/>
          <w:highlight w:val="none"/>
        </w:rPr>
      </w:pPr>
      <w:bookmarkStart w:id="1083" w:name="_Toc29523"/>
      <w:bookmarkStart w:id="1084" w:name="_Toc16042"/>
      <w:bookmarkStart w:id="1085" w:name="_Toc1369"/>
      <w:bookmarkStart w:id="1086" w:name="_Toc11120"/>
      <w:r>
        <w:rPr>
          <w:color w:val="auto"/>
          <w:highlight w:val="none"/>
        </w:rPr>
        <w:t>1. 制定可用于定额套价的BIM建模标准；</w:t>
      </w:r>
      <w:bookmarkEnd w:id="1083"/>
      <w:bookmarkEnd w:id="1084"/>
      <w:bookmarkEnd w:id="1085"/>
      <w:bookmarkEnd w:id="1086"/>
    </w:p>
    <w:p w14:paraId="4EA85462">
      <w:pPr>
        <w:ind w:firstLine="840" w:firstLineChars="400"/>
        <w:rPr>
          <w:color w:val="auto"/>
          <w:highlight w:val="none"/>
        </w:rPr>
      </w:pPr>
      <w:r>
        <w:rPr>
          <w:color w:val="auto"/>
          <w:highlight w:val="none"/>
        </w:rPr>
        <w:t>2. 协助BIM总协调方开展BIM管理工作，利用BIM技术辅助进行工程概算、预算及竣工结算工作；</w:t>
      </w:r>
    </w:p>
    <w:p w14:paraId="6EA2ED7D">
      <w:pPr>
        <w:ind w:firstLine="840" w:firstLineChars="400"/>
        <w:rPr>
          <w:color w:val="auto"/>
          <w:highlight w:val="none"/>
        </w:rPr>
      </w:pPr>
      <w:r>
        <w:rPr>
          <w:color w:val="auto"/>
          <w:highlight w:val="none"/>
        </w:rPr>
        <w:t>3. 在出现变更时，运用BIM技术进行变更前后造价对比。</w:t>
      </w:r>
    </w:p>
    <w:p w14:paraId="0B6038E4">
      <w:pPr>
        <w:rPr>
          <w:color w:val="auto"/>
          <w:highlight w:val="none"/>
        </w:rPr>
      </w:pPr>
    </w:p>
    <w:p w14:paraId="2A28553D">
      <w:pPr>
        <w:rPr>
          <w:color w:val="auto"/>
          <w:highlight w:val="none"/>
        </w:rPr>
        <w:sectPr>
          <w:footerReference r:id="rId13" w:type="default"/>
          <w:type w:val="continuous"/>
          <w:pgSz w:w="11906" w:h="16838"/>
          <w:pgMar w:top="1440" w:right="1800" w:bottom="1440" w:left="1800" w:header="851" w:footer="992" w:gutter="0"/>
          <w:cols w:space="720" w:num="1"/>
          <w:docGrid w:type="lines" w:linePitch="312" w:charSpace="0"/>
        </w:sectPr>
      </w:pPr>
    </w:p>
    <w:p w14:paraId="0FB0D64E">
      <w:pPr>
        <w:pStyle w:val="2"/>
        <w:spacing w:before="936" w:after="624"/>
        <w:rPr>
          <w:color w:val="auto"/>
          <w:highlight w:val="none"/>
        </w:rPr>
      </w:pPr>
      <w:bookmarkStart w:id="1087" w:name="_Toc2133"/>
      <w:bookmarkStart w:id="1088" w:name="_Toc21147"/>
      <w:bookmarkStart w:id="1089" w:name="_Toc19411"/>
      <w:bookmarkStart w:id="1090" w:name="_Toc28480"/>
      <w:bookmarkStart w:id="1091" w:name="_Toc6732"/>
      <w:r>
        <w:rPr>
          <w:color w:val="auto"/>
          <w:highlight w:val="none"/>
        </w:rPr>
        <w:t>项目应用实施管理</w:t>
      </w:r>
      <w:bookmarkEnd w:id="1087"/>
      <w:bookmarkEnd w:id="1088"/>
      <w:bookmarkEnd w:id="1089"/>
      <w:bookmarkEnd w:id="1090"/>
      <w:bookmarkEnd w:id="1091"/>
    </w:p>
    <w:p w14:paraId="795A0E9C">
      <w:pPr>
        <w:pStyle w:val="3"/>
        <w:rPr>
          <w:color w:val="auto"/>
          <w:highlight w:val="none"/>
        </w:rPr>
      </w:pPr>
      <w:bookmarkStart w:id="1092" w:name="_Toc22432"/>
      <w:bookmarkStart w:id="1093" w:name="_Toc30821"/>
      <w:bookmarkStart w:id="1094" w:name="_Toc8830"/>
      <w:bookmarkStart w:id="1095" w:name="_Toc7962"/>
      <w:r>
        <w:rPr>
          <w:color w:val="auto"/>
          <w:highlight w:val="none"/>
        </w:rPr>
        <w:t>一般规定</w:t>
      </w:r>
      <w:bookmarkEnd w:id="1092"/>
      <w:bookmarkEnd w:id="1093"/>
      <w:bookmarkEnd w:id="1094"/>
      <w:bookmarkEnd w:id="1095"/>
    </w:p>
    <w:p w14:paraId="683CDEE6">
      <w:pPr>
        <w:pStyle w:val="587"/>
        <w:spacing w:before="156" w:after="156"/>
        <w:rPr>
          <w:color w:val="auto"/>
          <w:highlight w:val="none"/>
        </w:rPr>
      </w:pPr>
      <w:bookmarkStart w:id="1096" w:name="_Toc15388"/>
      <w:bookmarkStart w:id="1097" w:name="_Toc14342"/>
      <w:bookmarkStart w:id="1098" w:name="_Toc23329"/>
      <w:r>
        <w:rPr>
          <w:color w:val="auto"/>
          <w:highlight w:val="none"/>
        </w:rPr>
        <w:t>代建局前期工作部委托BIM总协调方，由BIM总协调方代表代建局对整个项目的BIM工作进行牵头，整体把控BIM实施质量及进度。</w:t>
      </w:r>
      <w:bookmarkEnd w:id="1096"/>
      <w:bookmarkEnd w:id="1097"/>
      <w:bookmarkEnd w:id="1098"/>
    </w:p>
    <w:p w14:paraId="73DF38F7">
      <w:pPr>
        <w:pStyle w:val="587"/>
        <w:spacing w:before="156" w:after="156"/>
        <w:rPr>
          <w:color w:val="auto"/>
          <w:highlight w:val="none"/>
        </w:rPr>
      </w:pPr>
      <w:bookmarkStart w:id="1099" w:name="_Toc19272"/>
      <w:bookmarkStart w:id="1100" w:name="_Toc69"/>
      <w:bookmarkStart w:id="1101" w:name="_Toc24765"/>
      <w:bookmarkStart w:id="1102" w:name="_Toc29882"/>
      <w:r>
        <w:rPr>
          <w:color w:val="auto"/>
          <w:highlight w:val="none"/>
        </w:rPr>
        <w:t>设计阶段BIM把控要点包括：</w:t>
      </w:r>
      <w:bookmarkEnd w:id="1099"/>
      <w:bookmarkEnd w:id="1100"/>
      <w:bookmarkEnd w:id="1101"/>
      <w:bookmarkEnd w:id="1102"/>
    </w:p>
    <w:p w14:paraId="41CE83E3">
      <w:pPr>
        <w:ind w:firstLine="840" w:firstLineChars="400"/>
        <w:rPr>
          <w:color w:val="auto"/>
          <w:highlight w:val="none"/>
        </w:rPr>
      </w:pPr>
      <w:r>
        <w:rPr>
          <w:color w:val="auto"/>
          <w:highlight w:val="none"/>
        </w:rPr>
        <w:t>1. 督促设计单位根据《BIM实施大纲》制定《设计阶段BIM实施方案》；</w:t>
      </w:r>
    </w:p>
    <w:p w14:paraId="7BDBBFA8">
      <w:pPr>
        <w:ind w:firstLine="840" w:firstLineChars="400"/>
        <w:rPr>
          <w:color w:val="auto"/>
          <w:highlight w:val="none"/>
        </w:rPr>
      </w:pPr>
      <w:r>
        <w:rPr>
          <w:color w:val="auto"/>
          <w:highlight w:val="none"/>
        </w:rPr>
        <w:t>2. 协助代建局前期工作部对设计单位开通并管理BIM协同平台（包含权限的分配、使用原则的制定等）；</w:t>
      </w:r>
    </w:p>
    <w:p w14:paraId="280E1C6B">
      <w:pPr>
        <w:ind w:firstLine="840" w:firstLineChars="400"/>
        <w:rPr>
          <w:color w:val="auto"/>
          <w:highlight w:val="none"/>
        </w:rPr>
      </w:pPr>
      <w:r>
        <w:rPr>
          <w:color w:val="auto"/>
          <w:highlight w:val="none"/>
        </w:rPr>
        <w:t>3. 督促设计单位制定相应的BIM工作计划和组建各自的BIM工作团队，同时指定一个人作为本单位的BIM负责人进行内外部的总体沟通与协调；</w:t>
      </w:r>
    </w:p>
    <w:p w14:paraId="3BF587D0">
      <w:pPr>
        <w:ind w:firstLine="840" w:firstLineChars="400"/>
        <w:rPr>
          <w:color w:val="auto"/>
          <w:highlight w:val="none"/>
        </w:rPr>
      </w:pPr>
      <w:r>
        <w:rPr>
          <w:color w:val="auto"/>
          <w:highlight w:val="none"/>
        </w:rPr>
        <w:t>4. 督促设计单位执行合同约定的BIM内容，根据前期制定的BIM工作计划、BIM实施大纲及BIM实施标准开展工作，BIM总协调方应对设计单位提交的成果进行审核；</w:t>
      </w:r>
    </w:p>
    <w:p w14:paraId="1FBE6FE8">
      <w:pPr>
        <w:ind w:firstLine="840" w:firstLineChars="400"/>
        <w:rPr>
          <w:color w:val="auto"/>
          <w:highlight w:val="none"/>
        </w:rPr>
      </w:pPr>
      <w:r>
        <w:rPr>
          <w:color w:val="auto"/>
          <w:highlight w:val="none"/>
        </w:rPr>
        <w:t>5. 通过会议及邮件等形式，对设计单位的BIM工作进行过程监督，并对设计单位提交的BIM成果进行审核，及时反馈优化信息或修改意见；</w:t>
      </w:r>
    </w:p>
    <w:p w14:paraId="2AB2ABC4">
      <w:pPr>
        <w:ind w:firstLine="840" w:firstLineChars="400"/>
        <w:rPr>
          <w:color w:val="auto"/>
          <w:highlight w:val="none"/>
        </w:rPr>
      </w:pPr>
      <w:r>
        <w:rPr>
          <w:color w:val="auto"/>
          <w:highlight w:val="none"/>
        </w:rPr>
        <w:t>6. 督促并审核设计单位提交的设计阶段BIM成果，确保BIM模型及成果符合标准；</w:t>
      </w:r>
    </w:p>
    <w:p w14:paraId="1561AF89">
      <w:pPr>
        <w:ind w:firstLine="840" w:firstLineChars="400"/>
        <w:rPr>
          <w:color w:val="auto"/>
          <w:highlight w:val="none"/>
        </w:rPr>
      </w:pPr>
      <w:r>
        <w:rPr>
          <w:color w:val="auto"/>
          <w:highlight w:val="none"/>
        </w:rPr>
        <w:t>7. 设计阶段完成后，应对设计单位提交的BIM成果进行质量审核，保证成果的一致性。</w:t>
      </w:r>
    </w:p>
    <w:p w14:paraId="5CBE9618">
      <w:pPr>
        <w:pStyle w:val="587"/>
        <w:spacing w:before="156" w:after="156"/>
        <w:rPr>
          <w:color w:val="auto"/>
          <w:highlight w:val="none"/>
        </w:rPr>
      </w:pPr>
      <w:bookmarkStart w:id="1103" w:name="_Toc21691"/>
      <w:bookmarkStart w:id="1104" w:name="_Toc10704"/>
      <w:bookmarkStart w:id="1105" w:name="_Toc1252"/>
      <w:bookmarkStart w:id="1106" w:name="_Toc25120"/>
      <w:r>
        <w:rPr>
          <w:color w:val="auto"/>
          <w:highlight w:val="none"/>
        </w:rPr>
        <w:t>施工阶段BIM把控要点包括：</w:t>
      </w:r>
      <w:bookmarkEnd w:id="1103"/>
      <w:bookmarkEnd w:id="1104"/>
      <w:bookmarkEnd w:id="1105"/>
      <w:bookmarkEnd w:id="1106"/>
    </w:p>
    <w:p w14:paraId="282DB1C0">
      <w:pPr>
        <w:ind w:firstLine="840" w:firstLineChars="400"/>
        <w:rPr>
          <w:color w:val="auto"/>
          <w:highlight w:val="none"/>
        </w:rPr>
      </w:pPr>
      <w:r>
        <w:rPr>
          <w:color w:val="auto"/>
          <w:highlight w:val="none"/>
        </w:rPr>
        <w:t>1. 督促施工总承包根据《BIM实施大纲》编写《施工阶段BIM实施方案》；</w:t>
      </w:r>
    </w:p>
    <w:p w14:paraId="744496AA">
      <w:pPr>
        <w:ind w:firstLine="840" w:firstLineChars="400"/>
        <w:rPr>
          <w:color w:val="auto"/>
          <w:highlight w:val="none"/>
        </w:rPr>
      </w:pPr>
      <w:r>
        <w:rPr>
          <w:color w:val="auto"/>
          <w:highlight w:val="none"/>
        </w:rPr>
        <w:t>2. 协助代建局项目建设管理部对施工单位开通并管理BIM协同平台（包含权限的分配、使用原则的制定等）；</w:t>
      </w:r>
    </w:p>
    <w:p w14:paraId="598F2374">
      <w:pPr>
        <w:ind w:firstLine="840" w:firstLineChars="400"/>
        <w:rPr>
          <w:color w:val="auto"/>
          <w:highlight w:val="none"/>
        </w:rPr>
      </w:pPr>
      <w:r>
        <w:rPr>
          <w:color w:val="auto"/>
          <w:highlight w:val="none"/>
        </w:rPr>
        <w:t>3. 督促各参与方制定相应的BIM工作计划和组建各自的BIM工作团队，同时指定一人作为本单位的BIM负责人，此BIM负责人负责内外部的总体沟通与协调工作；</w:t>
      </w:r>
    </w:p>
    <w:p w14:paraId="4A09B656">
      <w:pPr>
        <w:ind w:firstLine="840" w:firstLineChars="400"/>
        <w:rPr>
          <w:color w:val="auto"/>
          <w:highlight w:val="none"/>
        </w:rPr>
      </w:pPr>
      <w:r>
        <w:rPr>
          <w:color w:val="auto"/>
          <w:highlight w:val="none"/>
        </w:rPr>
        <w:t>4. 督促各专业分包在施工总承包统筹下，完成各专业优化，并将优化内容在BIM模型中进行反映，预先提出施工重点、难点，并进行重难点施工方案模拟，解决施工过程中潜在的错漏碰缺等问题；</w:t>
      </w:r>
    </w:p>
    <w:p w14:paraId="7D447557">
      <w:pPr>
        <w:ind w:firstLine="840" w:firstLineChars="400"/>
        <w:rPr>
          <w:color w:val="auto"/>
          <w:highlight w:val="none"/>
        </w:rPr>
      </w:pPr>
      <w:r>
        <w:rPr>
          <w:color w:val="auto"/>
          <w:highlight w:val="none"/>
        </w:rPr>
        <w:t>5. 制定《BIM信息录入标准》，由各参与方配合完成BIM模型信息录入工作；</w:t>
      </w:r>
    </w:p>
    <w:p w14:paraId="57FD7473">
      <w:pPr>
        <w:ind w:firstLine="840" w:firstLineChars="400"/>
        <w:rPr>
          <w:color w:val="auto"/>
          <w:highlight w:val="none"/>
        </w:rPr>
      </w:pPr>
      <w:bookmarkStart w:id="1107" w:name="_Toc11186"/>
      <w:bookmarkStart w:id="1108" w:name="_Toc8629"/>
      <w:bookmarkStart w:id="1109" w:name="_Toc18407"/>
      <w:bookmarkStart w:id="1110" w:name="_Toc4448"/>
      <w:r>
        <w:rPr>
          <w:color w:val="auto"/>
          <w:highlight w:val="none"/>
        </w:rPr>
        <w:t>6. 定期归档BIM深化阶段成果；</w:t>
      </w:r>
      <w:bookmarkEnd w:id="1107"/>
      <w:bookmarkEnd w:id="1108"/>
      <w:bookmarkEnd w:id="1109"/>
      <w:bookmarkEnd w:id="1110"/>
    </w:p>
    <w:p w14:paraId="6C5B5F78">
      <w:pPr>
        <w:ind w:firstLine="840" w:firstLineChars="400"/>
        <w:rPr>
          <w:color w:val="auto"/>
          <w:highlight w:val="none"/>
        </w:rPr>
      </w:pPr>
      <w:r>
        <w:rPr>
          <w:color w:val="auto"/>
          <w:highlight w:val="none"/>
        </w:rPr>
        <w:t>7. 根据BIM技术应用与实际工程的研究及摸索，制定运维信息化框架及信息输入接口的标准，各参与方应配合实施；</w:t>
      </w:r>
    </w:p>
    <w:p w14:paraId="3ECE230F">
      <w:pPr>
        <w:ind w:firstLine="840" w:firstLineChars="400"/>
        <w:rPr>
          <w:color w:val="auto"/>
          <w:highlight w:val="none"/>
        </w:rPr>
      </w:pPr>
      <w:r>
        <w:rPr>
          <w:color w:val="auto"/>
          <w:highlight w:val="none"/>
        </w:rPr>
        <w:t>8. 督促各参与方针对工程实际完成情况及设计变更，分阶段完成BIM模型细化，利用BIM技术辅助现场管理施工，安排施工顺序节点，确保现场施工顺畅，按进度计划保质保量完成项目建设。</w:t>
      </w:r>
    </w:p>
    <w:p w14:paraId="24557CCF">
      <w:pPr>
        <w:ind w:firstLine="840" w:firstLineChars="400"/>
        <w:rPr>
          <w:color w:val="auto"/>
          <w:highlight w:val="none"/>
        </w:rPr>
      </w:pPr>
      <w:r>
        <w:rPr>
          <w:color w:val="auto"/>
          <w:highlight w:val="none"/>
        </w:rPr>
        <w:t>9. 根据项目实施进度，督促施工总承包单位协调各参与方逐步添加项目信息，完善BIM模型信息。</w:t>
      </w:r>
    </w:p>
    <w:p w14:paraId="2B5A2C07">
      <w:pPr>
        <w:pStyle w:val="3"/>
        <w:rPr>
          <w:color w:val="auto"/>
          <w:highlight w:val="none"/>
        </w:rPr>
      </w:pPr>
      <w:bookmarkStart w:id="1111" w:name="_Toc21281"/>
      <w:bookmarkStart w:id="1112" w:name="_Toc10285"/>
      <w:bookmarkStart w:id="1113" w:name="_Toc23879"/>
      <w:bookmarkStart w:id="1114" w:name="_Toc9029"/>
      <w:r>
        <w:rPr>
          <w:color w:val="auto"/>
          <w:highlight w:val="none"/>
        </w:rPr>
        <w:t>项目前期管理</w:t>
      </w:r>
      <w:bookmarkEnd w:id="1111"/>
      <w:bookmarkEnd w:id="1112"/>
      <w:bookmarkEnd w:id="1113"/>
      <w:bookmarkEnd w:id="1114"/>
    </w:p>
    <w:p w14:paraId="28ADF0FE">
      <w:pPr>
        <w:pStyle w:val="587"/>
        <w:spacing w:before="156" w:after="156"/>
        <w:rPr>
          <w:color w:val="auto"/>
          <w:highlight w:val="none"/>
        </w:rPr>
      </w:pPr>
      <w:bookmarkStart w:id="1115" w:name="_Toc5821"/>
      <w:bookmarkStart w:id="1116" w:name="_Toc1299"/>
      <w:bookmarkStart w:id="1117" w:name="_Toc30634"/>
      <w:bookmarkStart w:id="1118" w:name="_Toc21224"/>
      <w:r>
        <w:rPr>
          <w:color w:val="auto"/>
          <w:highlight w:val="none"/>
        </w:rPr>
        <w:t>在项目实施策划阶段中，BIM总协调方应制定《项目BIM实施大纲》，统一各参与方的BIM实施标准。</w:t>
      </w:r>
      <w:bookmarkEnd w:id="1115"/>
      <w:bookmarkEnd w:id="1116"/>
      <w:bookmarkEnd w:id="1117"/>
      <w:bookmarkEnd w:id="1118"/>
    </w:p>
    <w:p w14:paraId="1B40B9F2">
      <w:pPr>
        <w:pStyle w:val="587"/>
        <w:spacing w:before="156" w:after="156"/>
        <w:rPr>
          <w:color w:val="auto"/>
          <w:highlight w:val="none"/>
        </w:rPr>
      </w:pPr>
      <w:bookmarkStart w:id="1119" w:name="_Toc6253"/>
      <w:bookmarkStart w:id="1120" w:name="_Toc26342"/>
      <w:bookmarkStart w:id="1121" w:name="_Toc4938"/>
      <w:bookmarkStart w:id="1122" w:name="_Toc7996"/>
      <w:r>
        <w:rPr>
          <w:color w:val="auto"/>
          <w:highlight w:val="none"/>
        </w:rPr>
        <w:t>《项目BIM实施大纲》至少应包含以下方面：</w:t>
      </w:r>
      <w:bookmarkEnd w:id="1119"/>
      <w:bookmarkEnd w:id="1120"/>
      <w:bookmarkEnd w:id="1121"/>
      <w:bookmarkEnd w:id="1122"/>
    </w:p>
    <w:p w14:paraId="5DD181FE">
      <w:pPr>
        <w:ind w:firstLine="840" w:firstLineChars="400"/>
        <w:rPr>
          <w:color w:val="auto"/>
          <w:highlight w:val="none"/>
        </w:rPr>
      </w:pPr>
      <w:bookmarkStart w:id="1123" w:name="_Toc2459"/>
      <w:bookmarkStart w:id="1124" w:name="_Toc15612"/>
      <w:bookmarkStart w:id="1125" w:name="_Toc29082"/>
      <w:bookmarkStart w:id="1126" w:name="_Toc6774"/>
      <w:r>
        <w:rPr>
          <w:color w:val="auto"/>
          <w:highlight w:val="none"/>
        </w:rPr>
        <w:t>1. 建模标准：明确项目中采用的BIM建模标准；</w:t>
      </w:r>
      <w:bookmarkEnd w:id="1123"/>
      <w:bookmarkEnd w:id="1124"/>
      <w:bookmarkEnd w:id="1125"/>
      <w:bookmarkEnd w:id="1126"/>
    </w:p>
    <w:p w14:paraId="64EF19EB">
      <w:pPr>
        <w:ind w:firstLine="840" w:firstLineChars="400"/>
        <w:rPr>
          <w:color w:val="auto"/>
          <w:highlight w:val="none"/>
        </w:rPr>
      </w:pPr>
      <w:r>
        <w:rPr>
          <w:color w:val="auto"/>
          <w:highlight w:val="none"/>
        </w:rPr>
        <w:t>2. 软件版本：确定将要使用的BIM软件，及确定软件一致性原则；</w:t>
      </w:r>
    </w:p>
    <w:p w14:paraId="622A2CBC">
      <w:pPr>
        <w:ind w:firstLine="840" w:firstLineChars="400"/>
        <w:rPr>
          <w:color w:val="auto"/>
          <w:highlight w:val="none"/>
        </w:rPr>
      </w:pPr>
      <w:r>
        <w:rPr>
          <w:color w:val="auto"/>
          <w:highlight w:val="none"/>
        </w:rPr>
        <w:t>3. 项目相关方：确定项目各参与方的要求及职责；</w:t>
      </w:r>
    </w:p>
    <w:p w14:paraId="458DDF90">
      <w:pPr>
        <w:ind w:firstLine="840" w:firstLineChars="400"/>
        <w:rPr>
          <w:color w:val="auto"/>
          <w:highlight w:val="none"/>
        </w:rPr>
      </w:pPr>
      <w:r>
        <w:rPr>
          <w:color w:val="auto"/>
          <w:highlight w:val="none"/>
        </w:rPr>
        <w:t>4. 项目成果交付：确定项目交付成果的要求；</w:t>
      </w:r>
    </w:p>
    <w:p w14:paraId="21A7168C">
      <w:pPr>
        <w:ind w:firstLine="840" w:firstLineChars="400"/>
        <w:rPr>
          <w:color w:val="auto"/>
          <w:highlight w:val="none"/>
        </w:rPr>
      </w:pPr>
      <w:r>
        <w:rPr>
          <w:color w:val="auto"/>
          <w:highlight w:val="none"/>
        </w:rPr>
        <w:t>5. 实施计划：确定项目BIM执行计划及相关方工作时间节点；</w:t>
      </w:r>
    </w:p>
    <w:p w14:paraId="200CE6E6">
      <w:pPr>
        <w:ind w:firstLine="840" w:firstLineChars="400"/>
        <w:rPr>
          <w:color w:val="auto"/>
          <w:highlight w:val="none"/>
        </w:rPr>
      </w:pPr>
      <w:r>
        <w:rPr>
          <w:color w:val="auto"/>
          <w:highlight w:val="none"/>
        </w:rPr>
        <w:t>6. 文档结构：确定统一的文档结构；</w:t>
      </w:r>
    </w:p>
    <w:p w14:paraId="08957E44">
      <w:pPr>
        <w:ind w:firstLine="840" w:firstLineChars="400"/>
        <w:rPr>
          <w:color w:val="auto"/>
          <w:highlight w:val="none"/>
        </w:rPr>
      </w:pPr>
      <w:r>
        <w:rPr>
          <w:color w:val="auto"/>
          <w:highlight w:val="none"/>
        </w:rPr>
        <w:t>7. 命名规则：确定统一的文档、模型、提交成果等命名规则；</w:t>
      </w:r>
    </w:p>
    <w:p w14:paraId="0E30D180">
      <w:pPr>
        <w:ind w:firstLine="840" w:firstLineChars="400"/>
        <w:rPr>
          <w:color w:val="auto"/>
          <w:highlight w:val="none"/>
        </w:rPr>
      </w:pPr>
      <w:r>
        <w:rPr>
          <w:color w:val="auto"/>
          <w:highlight w:val="none"/>
        </w:rPr>
        <w:t>8. 色彩规则：确定统一的色彩规则；</w:t>
      </w:r>
    </w:p>
    <w:p w14:paraId="3A0D5F79">
      <w:pPr>
        <w:ind w:firstLine="840" w:firstLineChars="400"/>
        <w:rPr>
          <w:color w:val="auto"/>
          <w:highlight w:val="none"/>
        </w:rPr>
      </w:pPr>
      <w:r>
        <w:rPr>
          <w:color w:val="auto"/>
          <w:highlight w:val="none"/>
        </w:rPr>
        <w:t>9. 度量标准：确定统一的度量单位；</w:t>
      </w:r>
    </w:p>
    <w:p w14:paraId="5F39A433">
      <w:pPr>
        <w:ind w:firstLine="840" w:firstLineChars="400"/>
        <w:rPr>
          <w:color w:val="auto"/>
          <w:highlight w:val="none"/>
        </w:rPr>
      </w:pPr>
      <w:r>
        <w:rPr>
          <w:color w:val="auto"/>
          <w:highlight w:val="none"/>
        </w:rPr>
        <w:t>10. 坐标系统：为所有BIM模型定义统一的通用坐标系；</w:t>
      </w:r>
    </w:p>
    <w:p w14:paraId="15328804">
      <w:pPr>
        <w:ind w:firstLine="840" w:firstLineChars="400"/>
        <w:rPr>
          <w:color w:val="auto"/>
          <w:highlight w:val="none"/>
        </w:rPr>
      </w:pPr>
      <w:r>
        <w:rPr>
          <w:color w:val="auto"/>
          <w:highlight w:val="none"/>
        </w:rPr>
        <w:t>11. 权限分配：指定各参与方在协同平台上的权限，明确项目BIM成果数据的协同方式，以实现多专业、多用户的数据访问；</w:t>
      </w:r>
    </w:p>
    <w:p w14:paraId="58889727">
      <w:pPr>
        <w:ind w:firstLine="840" w:firstLineChars="400"/>
        <w:rPr>
          <w:color w:val="auto"/>
          <w:highlight w:val="none"/>
        </w:rPr>
      </w:pPr>
      <w:bookmarkStart w:id="1127" w:name="_Toc25832"/>
      <w:bookmarkStart w:id="1128" w:name="_Toc18796"/>
      <w:bookmarkStart w:id="1129" w:name="_Toc15792"/>
      <w:bookmarkStart w:id="1130" w:name="_Toc30492"/>
      <w:r>
        <w:rPr>
          <w:color w:val="auto"/>
          <w:highlight w:val="none"/>
        </w:rPr>
        <w:t>12. 审核/确认：确定图纸和BIM数据的审核/确认流程。</w:t>
      </w:r>
      <w:bookmarkEnd w:id="1127"/>
      <w:bookmarkEnd w:id="1128"/>
      <w:bookmarkEnd w:id="1129"/>
      <w:bookmarkEnd w:id="1130"/>
    </w:p>
    <w:p w14:paraId="5E528383">
      <w:pPr>
        <w:pStyle w:val="587"/>
        <w:spacing w:before="156" w:after="156"/>
        <w:rPr>
          <w:color w:val="auto"/>
          <w:highlight w:val="none"/>
        </w:rPr>
      </w:pPr>
      <w:bookmarkStart w:id="1131" w:name="_Toc29833"/>
      <w:bookmarkStart w:id="1132" w:name="_Toc22541"/>
      <w:bookmarkStart w:id="1133" w:name="_Toc6320"/>
      <w:bookmarkStart w:id="1134" w:name="_Toc32331"/>
      <w:r>
        <w:rPr>
          <w:color w:val="auto"/>
          <w:highlight w:val="none"/>
        </w:rPr>
        <w:t>BIM总协调方根据项目实施目标，确定项目BIM实施应用点。项目各阶段BIM实施应用点详见《附件：BIM实施导则》附表4。</w:t>
      </w:r>
      <w:bookmarkEnd w:id="1131"/>
      <w:bookmarkEnd w:id="1132"/>
      <w:bookmarkEnd w:id="1133"/>
      <w:bookmarkEnd w:id="1134"/>
    </w:p>
    <w:p w14:paraId="6D9D7B4C">
      <w:pPr>
        <w:pStyle w:val="3"/>
        <w:rPr>
          <w:color w:val="auto"/>
          <w:highlight w:val="none"/>
        </w:rPr>
      </w:pPr>
      <w:bookmarkStart w:id="1135" w:name="_Toc23185"/>
      <w:bookmarkStart w:id="1136" w:name="_Toc4251"/>
      <w:bookmarkStart w:id="1137" w:name="_Toc11481"/>
      <w:bookmarkStart w:id="1138" w:name="_Toc31438"/>
      <w:r>
        <w:rPr>
          <w:color w:val="auto"/>
          <w:highlight w:val="none"/>
        </w:rPr>
        <w:t>设计阶段管理</w:t>
      </w:r>
      <w:bookmarkEnd w:id="1135"/>
      <w:bookmarkEnd w:id="1136"/>
      <w:bookmarkEnd w:id="1137"/>
      <w:bookmarkEnd w:id="1138"/>
    </w:p>
    <w:p w14:paraId="38EF7F8E">
      <w:pPr>
        <w:pStyle w:val="587"/>
        <w:spacing w:before="156" w:after="156"/>
        <w:rPr>
          <w:color w:val="auto"/>
          <w:highlight w:val="none"/>
        </w:rPr>
      </w:pPr>
      <w:bookmarkStart w:id="1139" w:name="_Toc24564"/>
      <w:bookmarkStart w:id="1140" w:name="_Toc16990"/>
      <w:bookmarkStart w:id="1141" w:name="_Toc1216"/>
      <w:bookmarkStart w:id="1142" w:name="_Toc10027"/>
      <w:r>
        <w:rPr>
          <w:color w:val="auto"/>
          <w:highlight w:val="none"/>
        </w:rPr>
        <w:t>设计单位应完成和提交《设计阶段BIM实施方案》，方案应包括以下内容：</w:t>
      </w:r>
      <w:bookmarkEnd w:id="1139"/>
      <w:bookmarkEnd w:id="1140"/>
      <w:bookmarkEnd w:id="1141"/>
      <w:bookmarkEnd w:id="1142"/>
    </w:p>
    <w:p w14:paraId="6C451B84">
      <w:pPr>
        <w:ind w:firstLine="840" w:firstLineChars="400"/>
        <w:rPr>
          <w:color w:val="auto"/>
          <w:highlight w:val="none"/>
        </w:rPr>
      </w:pPr>
      <w:r>
        <w:rPr>
          <w:color w:val="auto"/>
          <w:highlight w:val="none"/>
        </w:rPr>
        <w:t>1. 项目概况；</w:t>
      </w:r>
    </w:p>
    <w:p w14:paraId="758851CC">
      <w:pPr>
        <w:ind w:firstLine="840" w:firstLineChars="400"/>
        <w:rPr>
          <w:color w:val="auto"/>
          <w:highlight w:val="none"/>
        </w:rPr>
      </w:pPr>
      <w:r>
        <w:rPr>
          <w:color w:val="auto"/>
          <w:highlight w:val="none"/>
        </w:rPr>
        <w:t>2. 设计阶段BIM应用目标；</w:t>
      </w:r>
    </w:p>
    <w:p w14:paraId="3552219E">
      <w:pPr>
        <w:ind w:firstLine="840" w:firstLineChars="400"/>
        <w:rPr>
          <w:color w:val="auto"/>
          <w:highlight w:val="none"/>
        </w:rPr>
      </w:pPr>
      <w:r>
        <w:rPr>
          <w:color w:val="auto"/>
          <w:highlight w:val="none"/>
        </w:rPr>
        <w:t>3. 软硬件配置；</w:t>
      </w:r>
    </w:p>
    <w:p w14:paraId="05ADB9CB">
      <w:pPr>
        <w:ind w:firstLine="840" w:firstLineChars="400"/>
        <w:rPr>
          <w:color w:val="auto"/>
          <w:highlight w:val="none"/>
        </w:rPr>
      </w:pPr>
      <w:r>
        <w:rPr>
          <w:color w:val="auto"/>
          <w:highlight w:val="none"/>
        </w:rPr>
        <w:t>4. BIM团队组织架构；</w:t>
      </w:r>
    </w:p>
    <w:p w14:paraId="5A3603D2">
      <w:pPr>
        <w:ind w:firstLine="840" w:firstLineChars="400"/>
        <w:rPr>
          <w:color w:val="auto"/>
          <w:highlight w:val="none"/>
        </w:rPr>
      </w:pPr>
      <w:r>
        <w:rPr>
          <w:color w:val="auto"/>
          <w:highlight w:val="none"/>
        </w:rPr>
        <w:t>5. BIM应用范围及内容；</w:t>
      </w:r>
    </w:p>
    <w:p w14:paraId="5FAD8DA2">
      <w:pPr>
        <w:ind w:firstLine="840" w:firstLineChars="400"/>
        <w:rPr>
          <w:color w:val="auto"/>
          <w:highlight w:val="none"/>
        </w:rPr>
      </w:pPr>
      <w:r>
        <w:rPr>
          <w:color w:val="auto"/>
          <w:highlight w:val="none"/>
        </w:rPr>
        <w:t>6. 和设计进度保持一致的BIM工作进度计划；</w:t>
      </w:r>
    </w:p>
    <w:p w14:paraId="454B0340">
      <w:pPr>
        <w:ind w:firstLine="840" w:firstLineChars="400"/>
        <w:rPr>
          <w:color w:val="auto"/>
          <w:highlight w:val="none"/>
        </w:rPr>
      </w:pPr>
      <w:r>
        <w:rPr>
          <w:color w:val="auto"/>
          <w:highlight w:val="none"/>
        </w:rPr>
        <w:t>7. BIM建模标准（组织形式、颜色要求、建模规则等）；</w:t>
      </w:r>
    </w:p>
    <w:p w14:paraId="3E5FFB44">
      <w:pPr>
        <w:ind w:firstLine="840" w:firstLineChars="400"/>
        <w:rPr>
          <w:color w:val="auto"/>
          <w:highlight w:val="none"/>
        </w:rPr>
      </w:pPr>
      <w:r>
        <w:rPr>
          <w:color w:val="auto"/>
          <w:highlight w:val="none"/>
        </w:rPr>
        <w:t>8. BIM应用落地（实施流程、效果要求）</w:t>
      </w:r>
    </w:p>
    <w:p w14:paraId="16C57EA2">
      <w:pPr>
        <w:ind w:firstLine="840" w:firstLineChars="400"/>
        <w:rPr>
          <w:color w:val="auto"/>
          <w:highlight w:val="none"/>
        </w:rPr>
      </w:pPr>
      <w:r>
        <w:rPr>
          <w:color w:val="auto"/>
          <w:highlight w:val="none"/>
        </w:rPr>
        <w:t>9. 成果交付格式及内容。</w:t>
      </w:r>
    </w:p>
    <w:p w14:paraId="3693F8D1">
      <w:pPr>
        <w:pStyle w:val="587"/>
        <w:spacing w:before="156" w:after="156"/>
        <w:rPr>
          <w:color w:val="auto"/>
          <w:highlight w:val="none"/>
        </w:rPr>
      </w:pPr>
      <w:bookmarkStart w:id="1143" w:name="_Toc2217"/>
      <w:bookmarkStart w:id="1144" w:name="_Toc28853"/>
      <w:bookmarkStart w:id="1145" w:name="_Toc6263"/>
      <w:bookmarkStart w:id="1146" w:name="_Toc17454"/>
      <w:r>
        <w:rPr>
          <w:color w:val="auto"/>
          <w:highlight w:val="none"/>
        </w:rPr>
        <w:t>设计阶段BIM应把握工程设计方向，解决设计阶段多方沟通、协调问题，控制设计质量，避免下阶段的工程风险。通过模拟项目的建设过程对项目进行优化。</w:t>
      </w:r>
      <w:bookmarkEnd w:id="1143"/>
      <w:bookmarkEnd w:id="1144"/>
      <w:bookmarkEnd w:id="1145"/>
      <w:bookmarkEnd w:id="1146"/>
    </w:p>
    <w:p w14:paraId="43134080">
      <w:pPr>
        <w:pStyle w:val="587"/>
        <w:spacing w:before="156" w:after="156"/>
        <w:rPr>
          <w:color w:val="auto"/>
          <w:highlight w:val="none"/>
        </w:rPr>
      </w:pPr>
      <w:bookmarkStart w:id="1147" w:name="_Toc800"/>
      <w:bookmarkStart w:id="1148" w:name="_Toc12123"/>
      <w:bookmarkStart w:id="1149" w:name="_Toc22441"/>
      <w:bookmarkStart w:id="1150" w:name="_Toc17876"/>
      <w:r>
        <w:rPr>
          <w:color w:val="auto"/>
          <w:highlight w:val="none"/>
        </w:rPr>
        <w:t>设计阶段BIM应用要求包括：</w:t>
      </w:r>
      <w:bookmarkEnd w:id="1147"/>
      <w:bookmarkEnd w:id="1148"/>
      <w:bookmarkEnd w:id="1149"/>
      <w:bookmarkEnd w:id="1150"/>
    </w:p>
    <w:p w14:paraId="3B0FE5C6">
      <w:pPr>
        <w:ind w:firstLine="840" w:firstLineChars="400"/>
        <w:rPr>
          <w:color w:val="auto"/>
          <w:highlight w:val="none"/>
        </w:rPr>
      </w:pPr>
      <w:bookmarkStart w:id="1151" w:name="_Toc32472"/>
      <w:bookmarkStart w:id="1152" w:name="_Toc6342"/>
      <w:bookmarkStart w:id="1153" w:name="_Toc271"/>
      <w:bookmarkStart w:id="1154" w:name="_Toc7700"/>
      <w:r>
        <w:rPr>
          <w:color w:val="auto"/>
          <w:highlight w:val="none"/>
        </w:rPr>
        <w:t>1. 应根据模型信息版本进行清晰的版次管理；</w:t>
      </w:r>
      <w:bookmarkEnd w:id="1151"/>
      <w:bookmarkEnd w:id="1152"/>
      <w:bookmarkEnd w:id="1153"/>
      <w:bookmarkEnd w:id="1154"/>
    </w:p>
    <w:p w14:paraId="02D85A6D">
      <w:pPr>
        <w:ind w:firstLine="840" w:firstLineChars="400"/>
        <w:rPr>
          <w:color w:val="auto"/>
          <w:highlight w:val="none"/>
        </w:rPr>
      </w:pPr>
      <w:r>
        <w:rPr>
          <w:color w:val="auto"/>
          <w:highlight w:val="none"/>
        </w:rPr>
        <w:t>2. 设计各专业模型均应考虑后续算量、施工要求，严格按照BIM建模标准进行创建；</w:t>
      </w:r>
    </w:p>
    <w:p w14:paraId="7DBC83EA">
      <w:pPr>
        <w:ind w:firstLine="840" w:firstLineChars="400"/>
        <w:rPr>
          <w:color w:val="auto"/>
          <w:highlight w:val="none"/>
        </w:rPr>
      </w:pPr>
      <w:r>
        <w:rPr>
          <w:color w:val="auto"/>
          <w:highlight w:val="none"/>
        </w:rPr>
        <w:t>3. 项目设计单位应根据设计范围，创建各专业设计BIM模型，设计模型须真实反映设计的内容，用于沟通、协调、分析以及设计优化工作；</w:t>
      </w:r>
    </w:p>
    <w:p w14:paraId="627835F9">
      <w:pPr>
        <w:ind w:firstLine="840" w:firstLineChars="400"/>
        <w:rPr>
          <w:color w:val="auto"/>
          <w:highlight w:val="none"/>
        </w:rPr>
      </w:pPr>
      <w:r>
        <w:rPr>
          <w:color w:val="auto"/>
          <w:highlight w:val="none"/>
        </w:rPr>
        <w:t>4. 应充分利用BIM模型所含信息进行协同工作，以确保工程建设各阶段、各专业的信息有效传递；</w:t>
      </w:r>
    </w:p>
    <w:p w14:paraId="6B819629">
      <w:pPr>
        <w:ind w:firstLine="840" w:firstLineChars="400"/>
        <w:rPr>
          <w:color w:val="auto"/>
          <w:highlight w:val="none"/>
        </w:rPr>
      </w:pPr>
      <w:r>
        <w:rPr>
          <w:color w:val="auto"/>
          <w:highlight w:val="none"/>
        </w:rPr>
        <w:t>5. 设计单位提交BIM成果中的图元信息应与设计单位提供的图纸信息一致；</w:t>
      </w:r>
    </w:p>
    <w:p w14:paraId="52445F26">
      <w:pPr>
        <w:ind w:firstLine="840" w:firstLineChars="400"/>
        <w:rPr>
          <w:color w:val="auto"/>
          <w:highlight w:val="none"/>
        </w:rPr>
      </w:pPr>
      <w:r>
        <w:rPr>
          <w:color w:val="auto"/>
          <w:highlight w:val="none"/>
        </w:rPr>
        <w:t>6. 当设计发生修改时，设计单位应及时进行BIM模型的更新，以确保模型与图纸始终保持一致；</w:t>
      </w:r>
    </w:p>
    <w:p w14:paraId="4247E0A4">
      <w:pPr>
        <w:ind w:firstLine="840" w:firstLineChars="400"/>
        <w:rPr>
          <w:color w:val="auto"/>
          <w:highlight w:val="none"/>
        </w:rPr>
      </w:pPr>
      <w:r>
        <w:rPr>
          <w:color w:val="auto"/>
          <w:highlight w:val="none"/>
        </w:rPr>
        <w:t>7. 各专业设计阶段BIM应用职责分配详见《附件：BIM实施导则》附表1；</w:t>
      </w:r>
    </w:p>
    <w:p w14:paraId="4794DA15">
      <w:pPr>
        <w:ind w:firstLine="840" w:firstLineChars="400"/>
        <w:rPr>
          <w:color w:val="auto"/>
          <w:highlight w:val="none"/>
        </w:rPr>
      </w:pPr>
      <w:r>
        <w:rPr>
          <w:color w:val="auto"/>
          <w:highlight w:val="none"/>
        </w:rPr>
        <w:t>8. 利用模型进行可建性分析、可视性分析、能耗物理分析及造价分析等；</w:t>
      </w:r>
    </w:p>
    <w:p w14:paraId="4D9F5570">
      <w:pPr>
        <w:ind w:firstLine="840" w:firstLineChars="400"/>
        <w:rPr>
          <w:color w:val="auto"/>
          <w:highlight w:val="none"/>
        </w:rPr>
      </w:pPr>
      <w:bookmarkStart w:id="1155" w:name="_Toc12938"/>
      <w:bookmarkStart w:id="1156" w:name="_Toc9630"/>
      <w:bookmarkStart w:id="1157" w:name="_Toc17467"/>
      <w:bookmarkStart w:id="1158" w:name="_Toc20107"/>
      <w:r>
        <w:rPr>
          <w:color w:val="auto"/>
          <w:highlight w:val="none"/>
        </w:rPr>
        <w:t>9. 完成设计阶段全地形BIM应用。</w:t>
      </w:r>
      <w:bookmarkEnd w:id="1155"/>
      <w:bookmarkEnd w:id="1156"/>
      <w:bookmarkEnd w:id="1157"/>
      <w:bookmarkEnd w:id="1158"/>
    </w:p>
    <w:p w14:paraId="62E14CF0">
      <w:pPr>
        <w:pStyle w:val="587"/>
        <w:spacing w:before="156" w:after="156"/>
        <w:rPr>
          <w:color w:val="auto"/>
          <w:highlight w:val="none"/>
        </w:rPr>
      </w:pPr>
      <w:bookmarkStart w:id="1159" w:name="_Toc5437"/>
      <w:bookmarkStart w:id="1160" w:name="_Toc27012"/>
      <w:bookmarkStart w:id="1161" w:name="_Toc14391"/>
      <w:bookmarkStart w:id="1162" w:name="_Toc10835"/>
      <w:r>
        <w:rPr>
          <w:color w:val="auto"/>
          <w:highlight w:val="none"/>
        </w:rPr>
        <w:t>方案设计阶段BIM应用流程宜按《附件：BIM实施导则》附图5执行，实施要点包括：</w:t>
      </w:r>
      <w:bookmarkEnd w:id="1159"/>
      <w:bookmarkEnd w:id="1160"/>
      <w:bookmarkEnd w:id="1161"/>
      <w:bookmarkEnd w:id="1162"/>
    </w:p>
    <w:p w14:paraId="5EB2B47D">
      <w:pPr>
        <w:ind w:firstLine="840" w:firstLineChars="400"/>
        <w:rPr>
          <w:color w:val="auto"/>
          <w:highlight w:val="none"/>
        </w:rPr>
      </w:pPr>
      <w:r>
        <w:rPr>
          <w:color w:val="auto"/>
          <w:highlight w:val="none"/>
        </w:rPr>
        <w:t>1. 采用方案设计BIM模型开展建筑外形体推敲、功能空间分析统计等应用；</w:t>
      </w:r>
    </w:p>
    <w:p w14:paraId="553AC413">
      <w:pPr>
        <w:ind w:firstLine="840" w:firstLineChars="400"/>
        <w:rPr>
          <w:color w:val="auto"/>
          <w:highlight w:val="none"/>
        </w:rPr>
      </w:pPr>
      <w:r>
        <w:rPr>
          <w:color w:val="auto"/>
          <w:highlight w:val="none"/>
        </w:rPr>
        <w:t>2. 采用BIM开展多专业协同设计，应制定统一建模标准和协同机制；</w:t>
      </w:r>
    </w:p>
    <w:p w14:paraId="4EE921A0">
      <w:pPr>
        <w:ind w:firstLine="840" w:firstLineChars="400"/>
        <w:rPr>
          <w:color w:val="auto"/>
          <w:highlight w:val="none"/>
        </w:rPr>
      </w:pPr>
      <w:r>
        <w:rPr>
          <w:color w:val="auto"/>
          <w:highlight w:val="none"/>
        </w:rPr>
        <w:t>3. BIM总协调应负责方案设计过程BIM模型创建、审核、更新和维护；</w:t>
      </w:r>
    </w:p>
    <w:p w14:paraId="0A2589DC">
      <w:pPr>
        <w:ind w:firstLine="840" w:firstLineChars="400"/>
        <w:rPr>
          <w:color w:val="auto"/>
          <w:highlight w:val="none"/>
        </w:rPr>
      </w:pPr>
      <w:bookmarkStart w:id="1163" w:name="_Toc22459"/>
      <w:bookmarkStart w:id="1164" w:name="_Toc13324"/>
      <w:bookmarkStart w:id="1165" w:name="_Toc19327"/>
      <w:bookmarkStart w:id="1166" w:name="_Toc2241"/>
      <w:r>
        <w:rPr>
          <w:color w:val="auto"/>
          <w:highlight w:val="none"/>
        </w:rPr>
        <w:t>4. BIM总协调应按归档要求将方案设计BIM成果进行存档。</w:t>
      </w:r>
      <w:bookmarkEnd w:id="1163"/>
      <w:bookmarkEnd w:id="1164"/>
      <w:bookmarkEnd w:id="1165"/>
      <w:bookmarkEnd w:id="1166"/>
    </w:p>
    <w:p w14:paraId="08085F03">
      <w:pPr>
        <w:pStyle w:val="587"/>
        <w:spacing w:before="156" w:after="156"/>
        <w:rPr>
          <w:color w:val="auto"/>
          <w:highlight w:val="none"/>
        </w:rPr>
      </w:pPr>
      <w:bookmarkStart w:id="1167" w:name="_Toc10186"/>
      <w:bookmarkStart w:id="1168" w:name="_Toc11065"/>
      <w:bookmarkStart w:id="1169" w:name="_Toc1684"/>
      <w:bookmarkStart w:id="1170" w:name="_Toc5448"/>
      <w:r>
        <w:rPr>
          <w:color w:val="auto"/>
          <w:highlight w:val="none"/>
        </w:rPr>
        <w:t>初步设计阶段BIM应用流程宜按《附件：BIM实施导则》附图6执行，实施要点包括：</w:t>
      </w:r>
      <w:bookmarkEnd w:id="1167"/>
      <w:bookmarkEnd w:id="1168"/>
      <w:bookmarkEnd w:id="1169"/>
      <w:bookmarkEnd w:id="1170"/>
    </w:p>
    <w:p w14:paraId="0C2152FD">
      <w:pPr>
        <w:ind w:firstLine="840" w:firstLineChars="400"/>
        <w:rPr>
          <w:color w:val="auto"/>
          <w:highlight w:val="none"/>
        </w:rPr>
      </w:pPr>
      <w:r>
        <w:rPr>
          <w:color w:val="auto"/>
          <w:highlight w:val="none"/>
        </w:rPr>
        <w:t>1. 采用初步设计BIM模型开展功能空间分析、地面交通模拟、消防人流疏散模拟、建筑内部人行模拟、通风空调性能分析、承载力分析等应用；</w:t>
      </w:r>
    </w:p>
    <w:p w14:paraId="4BF85080">
      <w:pPr>
        <w:ind w:firstLine="840" w:firstLineChars="400"/>
        <w:rPr>
          <w:color w:val="auto"/>
          <w:highlight w:val="none"/>
        </w:rPr>
      </w:pPr>
      <w:r>
        <w:rPr>
          <w:color w:val="auto"/>
          <w:highlight w:val="none"/>
        </w:rPr>
        <w:t>2. 根据BIM应用技术要求，创建或调整初步设计BIM模型，模型关联或附加BIM应用需要的信息；</w:t>
      </w:r>
    </w:p>
    <w:p w14:paraId="0463FBE5">
      <w:pPr>
        <w:ind w:firstLine="840" w:firstLineChars="400"/>
        <w:rPr>
          <w:color w:val="auto"/>
          <w:highlight w:val="none"/>
        </w:rPr>
      </w:pPr>
      <w:r>
        <w:rPr>
          <w:color w:val="auto"/>
          <w:highlight w:val="none"/>
        </w:rPr>
        <w:t>3. BIM总协调应负责初步设计过程BIM模型创建、审核、更新和维护；</w:t>
      </w:r>
    </w:p>
    <w:p w14:paraId="52F6CED3">
      <w:pPr>
        <w:ind w:firstLine="840" w:firstLineChars="400"/>
        <w:rPr>
          <w:color w:val="auto"/>
          <w:highlight w:val="none"/>
        </w:rPr>
      </w:pPr>
      <w:bookmarkStart w:id="1171" w:name="_Toc14096"/>
      <w:bookmarkStart w:id="1172" w:name="_Toc5731"/>
      <w:bookmarkStart w:id="1173" w:name="_Toc13014"/>
      <w:bookmarkStart w:id="1174" w:name="_Toc3951"/>
      <w:r>
        <w:rPr>
          <w:color w:val="auto"/>
          <w:highlight w:val="none"/>
        </w:rPr>
        <w:t>4. BIM总协调应按归档要求将初步设计BIM成果进行存档。</w:t>
      </w:r>
      <w:bookmarkEnd w:id="1171"/>
      <w:bookmarkEnd w:id="1172"/>
      <w:bookmarkEnd w:id="1173"/>
      <w:bookmarkEnd w:id="1174"/>
    </w:p>
    <w:p w14:paraId="30E0C45E">
      <w:pPr>
        <w:pStyle w:val="587"/>
        <w:spacing w:before="156" w:after="156"/>
        <w:rPr>
          <w:color w:val="auto"/>
          <w:highlight w:val="none"/>
        </w:rPr>
      </w:pPr>
      <w:bookmarkStart w:id="1175" w:name="_Toc3369"/>
      <w:bookmarkStart w:id="1176" w:name="_Toc26212"/>
      <w:bookmarkStart w:id="1177" w:name="_Toc32295"/>
      <w:bookmarkStart w:id="1178" w:name="_Toc2000"/>
      <w:r>
        <w:rPr>
          <w:color w:val="auto"/>
          <w:highlight w:val="none"/>
        </w:rPr>
        <w:t>施工图设计阶段BIM应用流程宜按《附件：BIM实施导则》附图7执行，实施要点包括：</w:t>
      </w:r>
      <w:bookmarkEnd w:id="1175"/>
      <w:bookmarkEnd w:id="1176"/>
      <w:bookmarkEnd w:id="1177"/>
      <w:bookmarkEnd w:id="1178"/>
    </w:p>
    <w:p w14:paraId="35FB721E">
      <w:pPr>
        <w:ind w:firstLine="840" w:firstLineChars="400"/>
        <w:rPr>
          <w:color w:val="auto"/>
          <w:highlight w:val="none"/>
        </w:rPr>
      </w:pPr>
      <w:r>
        <w:rPr>
          <w:color w:val="auto"/>
          <w:highlight w:val="none"/>
        </w:rPr>
        <w:t>1. 采用施工图设计BIM模型开展全专业管线综合、幕墙施工图模型审核、主材工程量统计、招标清单校核分析、功能及空间、解耦股体系、机电系统、核心机房、成本控制等应用；</w:t>
      </w:r>
    </w:p>
    <w:p w14:paraId="54F790CC">
      <w:pPr>
        <w:ind w:firstLine="840" w:firstLineChars="400"/>
        <w:rPr>
          <w:color w:val="auto"/>
          <w:highlight w:val="none"/>
        </w:rPr>
      </w:pPr>
      <w:r>
        <w:rPr>
          <w:color w:val="auto"/>
          <w:highlight w:val="none"/>
        </w:rPr>
        <w:t>2. 根据BIM应用技术要求，创建或调整施工图设计BIM模型，模型关联或附加BIM应用需要的信息；</w:t>
      </w:r>
    </w:p>
    <w:p w14:paraId="301C80E1">
      <w:pPr>
        <w:ind w:firstLine="840" w:firstLineChars="400"/>
        <w:rPr>
          <w:color w:val="auto"/>
          <w:highlight w:val="none"/>
        </w:rPr>
      </w:pPr>
      <w:r>
        <w:rPr>
          <w:color w:val="auto"/>
          <w:highlight w:val="none"/>
        </w:rPr>
        <w:t>3. BIM总协调应负责施工图设计过程BIM模型创建、审核、更新和维护；</w:t>
      </w:r>
    </w:p>
    <w:p w14:paraId="342E3A75">
      <w:pPr>
        <w:ind w:firstLine="840" w:firstLineChars="400"/>
        <w:rPr>
          <w:color w:val="auto"/>
          <w:highlight w:val="none"/>
        </w:rPr>
      </w:pPr>
      <w:r>
        <w:rPr>
          <w:color w:val="auto"/>
          <w:highlight w:val="none"/>
        </w:rPr>
        <w:t>4. BIM总协调应按归档要求将施工图设计BIM成果进行存档。</w:t>
      </w:r>
    </w:p>
    <w:p w14:paraId="5C518C83">
      <w:pPr>
        <w:pStyle w:val="587"/>
        <w:spacing w:before="156" w:after="156"/>
        <w:rPr>
          <w:color w:val="auto"/>
          <w:highlight w:val="none"/>
        </w:rPr>
      </w:pPr>
      <w:bookmarkStart w:id="1179" w:name="_Toc10272"/>
      <w:bookmarkStart w:id="1180" w:name="_Toc8100"/>
      <w:bookmarkStart w:id="1181" w:name="_Toc28025"/>
      <w:bookmarkStart w:id="1182" w:name="_Toc1119"/>
      <w:r>
        <w:rPr>
          <w:color w:val="auto"/>
          <w:highlight w:val="none"/>
        </w:rPr>
        <w:t>设计阶段BIM管理内容包括：</w:t>
      </w:r>
      <w:bookmarkEnd w:id="1179"/>
      <w:bookmarkEnd w:id="1180"/>
      <w:bookmarkEnd w:id="1181"/>
      <w:bookmarkEnd w:id="1182"/>
    </w:p>
    <w:p w14:paraId="354D40C9">
      <w:pPr>
        <w:ind w:firstLine="840" w:firstLineChars="400"/>
        <w:rPr>
          <w:color w:val="auto"/>
          <w:highlight w:val="none"/>
        </w:rPr>
      </w:pPr>
      <w:r>
        <w:rPr>
          <w:color w:val="auto"/>
          <w:highlight w:val="none"/>
        </w:rPr>
        <w:t>1. 根据《设计阶段的BIM实施方案》中的BIM设计工作计划，设计单位应提供设计任务书规定的BIM模型；</w:t>
      </w:r>
    </w:p>
    <w:p w14:paraId="55E7ECEC">
      <w:pPr>
        <w:ind w:firstLine="840" w:firstLineChars="400"/>
        <w:rPr>
          <w:color w:val="auto"/>
          <w:highlight w:val="none"/>
        </w:rPr>
      </w:pPr>
      <w:r>
        <w:rPr>
          <w:color w:val="auto"/>
          <w:highlight w:val="none"/>
        </w:rPr>
        <w:t>2. 设计各阶段BIM应用内容及提交成果详见《附件：BIM实施导则》附图4~附图7。</w:t>
      </w:r>
    </w:p>
    <w:p w14:paraId="352AE35F">
      <w:pPr>
        <w:ind w:firstLine="840" w:firstLineChars="400"/>
        <w:rPr>
          <w:color w:val="auto"/>
          <w:highlight w:val="none"/>
        </w:rPr>
      </w:pPr>
      <w:r>
        <w:rPr>
          <w:color w:val="auto"/>
          <w:highlight w:val="none"/>
        </w:rPr>
        <w:t>3. 设计阶段BIM成果经BIM负责人确认后提交，BIM总协调方进行BIM模型评审，确保设计阶段BIM模型成果符合阶段模型精细度要求及大纲制定的BIM建模标准要求；</w:t>
      </w:r>
    </w:p>
    <w:p w14:paraId="4AFC3E51">
      <w:pPr>
        <w:ind w:firstLine="840" w:firstLineChars="400"/>
        <w:rPr>
          <w:color w:val="auto"/>
          <w:highlight w:val="none"/>
        </w:rPr>
      </w:pPr>
      <w:r>
        <w:rPr>
          <w:color w:val="auto"/>
          <w:highlight w:val="none"/>
        </w:rPr>
        <w:t>4. BIM总协调方对设计阶段BIM应用成果进行评审后，整理归档至项目协同平台，该设计阶段BIM成果性文件将作为施工阶段BIM实施依据性文件；</w:t>
      </w:r>
    </w:p>
    <w:p w14:paraId="0E040A41">
      <w:pPr>
        <w:pStyle w:val="587"/>
        <w:spacing w:before="156" w:after="156"/>
        <w:rPr>
          <w:color w:val="auto"/>
          <w:highlight w:val="none"/>
        </w:rPr>
      </w:pPr>
      <w:bookmarkStart w:id="1183" w:name="_Toc26592"/>
      <w:bookmarkStart w:id="1184" w:name="_Toc21141"/>
      <w:bookmarkStart w:id="1185" w:name="_Toc24524"/>
      <w:bookmarkStart w:id="1186" w:name="_Toc16158"/>
      <w:r>
        <w:rPr>
          <w:color w:val="auto"/>
          <w:highlight w:val="none"/>
        </w:rPr>
        <w:t>设计阶段BIM项目参与方包括代建局前期工作部、BIM总协调、设计单位等。各设计单位应完成代建局合同制定范围内的设计工作以及BIM技术应用，设计单位负责通过BIM平台整合设计分包的BIM设计资源并提交至BIM总协调方进行统一性审核。</w:t>
      </w:r>
      <w:bookmarkEnd w:id="1183"/>
      <w:bookmarkEnd w:id="1184"/>
      <w:bookmarkEnd w:id="1185"/>
      <w:bookmarkEnd w:id="1186"/>
    </w:p>
    <w:p w14:paraId="636B5660">
      <w:pPr>
        <w:pStyle w:val="3"/>
        <w:rPr>
          <w:color w:val="auto"/>
          <w:highlight w:val="none"/>
        </w:rPr>
      </w:pPr>
      <w:bookmarkStart w:id="1187" w:name="_Toc12233"/>
      <w:bookmarkStart w:id="1188" w:name="_Toc21744"/>
      <w:bookmarkStart w:id="1189" w:name="_Toc15731"/>
      <w:bookmarkStart w:id="1190" w:name="_Toc5685"/>
      <w:r>
        <w:rPr>
          <w:color w:val="auto"/>
          <w:highlight w:val="none"/>
        </w:rPr>
        <w:t>施工阶段管理</w:t>
      </w:r>
      <w:bookmarkEnd w:id="1187"/>
      <w:bookmarkEnd w:id="1188"/>
      <w:bookmarkEnd w:id="1189"/>
      <w:bookmarkEnd w:id="1190"/>
    </w:p>
    <w:p w14:paraId="0FC3E7B8">
      <w:pPr>
        <w:pStyle w:val="587"/>
        <w:spacing w:before="156" w:after="156"/>
        <w:rPr>
          <w:color w:val="auto"/>
          <w:highlight w:val="none"/>
        </w:rPr>
      </w:pPr>
      <w:bookmarkStart w:id="1191" w:name="_Toc4981"/>
      <w:bookmarkStart w:id="1192" w:name="_Toc20965"/>
      <w:bookmarkStart w:id="1193" w:name="_Toc5002"/>
      <w:bookmarkStart w:id="1194" w:name="_Toc3002"/>
      <w:r>
        <w:rPr>
          <w:color w:val="auto"/>
          <w:highlight w:val="none"/>
        </w:rPr>
        <w:t>施工阶段BIM实施目标包括：</w:t>
      </w:r>
      <w:bookmarkEnd w:id="1191"/>
      <w:bookmarkEnd w:id="1192"/>
      <w:bookmarkEnd w:id="1193"/>
      <w:bookmarkEnd w:id="1194"/>
    </w:p>
    <w:p w14:paraId="3ED661F1">
      <w:pPr>
        <w:ind w:firstLine="840" w:firstLineChars="400"/>
        <w:rPr>
          <w:color w:val="auto"/>
          <w:highlight w:val="none"/>
        </w:rPr>
      </w:pPr>
      <w:r>
        <w:rPr>
          <w:color w:val="auto"/>
          <w:highlight w:val="none"/>
        </w:rPr>
        <w:t>1. 在项目施工阶段应用BIM技术，建立项目施工阶段BIM实施体系及准则，为BIM项目管理提供技术支持；</w:t>
      </w:r>
    </w:p>
    <w:p w14:paraId="404B9054">
      <w:pPr>
        <w:ind w:firstLine="840" w:firstLineChars="400"/>
        <w:rPr>
          <w:color w:val="auto"/>
          <w:highlight w:val="none"/>
        </w:rPr>
      </w:pPr>
      <w:bookmarkStart w:id="1195" w:name="_Toc24717"/>
      <w:bookmarkStart w:id="1196" w:name="_Toc24396"/>
      <w:bookmarkStart w:id="1197" w:name="_Toc27194"/>
      <w:bookmarkStart w:id="1198" w:name="_Toc7251"/>
      <w:r>
        <w:rPr>
          <w:color w:val="auto"/>
          <w:highlight w:val="none"/>
        </w:rPr>
        <w:t>2. 通过信息化管理的手段，提升项目施工精细化管理水平；</w:t>
      </w:r>
      <w:bookmarkEnd w:id="1195"/>
      <w:bookmarkEnd w:id="1196"/>
      <w:bookmarkEnd w:id="1197"/>
      <w:bookmarkEnd w:id="1198"/>
    </w:p>
    <w:p w14:paraId="00536CA4">
      <w:pPr>
        <w:ind w:firstLine="840" w:firstLineChars="400"/>
        <w:rPr>
          <w:color w:val="auto"/>
          <w:highlight w:val="none"/>
        </w:rPr>
      </w:pPr>
      <w:r>
        <w:rPr>
          <w:color w:val="auto"/>
          <w:highlight w:val="none"/>
        </w:rPr>
        <w:t>3. 实现工程实体与BIM信息化技术的同步交付成果，为运营方后期物业运维提供信息化支持，打通全生命周期中施工至运维的BIM应用环节。</w:t>
      </w:r>
    </w:p>
    <w:p w14:paraId="773E59B9">
      <w:pPr>
        <w:pStyle w:val="587"/>
        <w:spacing w:before="156" w:after="156"/>
        <w:rPr>
          <w:color w:val="auto"/>
          <w:highlight w:val="none"/>
        </w:rPr>
      </w:pPr>
      <w:bookmarkStart w:id="1199" w:name="_Toc6840"/>
      <w:bookmarkStart w:id="1200" w:name="_Toc785"/>
      <w:bookmarkStart w:id="1201" w:name="_Toc13539"/>
      <w:bookmarkStart w:id="1202" w:name="_Toc5132"/>
      <w:r>
        <w:rPr>
          <w:color w:val="auto"/>
          <w:highlight w:val="none"/>
        </w:rPr>
        <w:t>BIM总协调单位应在项目开始前编制《施工阶段BIM实施大纲》，规定BIM实施标准、节点及交付要求。BIM总协调方对项目BIM实施技术交底。</w:t>
      </w:r>
      <w:bookmarkEnd w:id="1199"/>
      <w:bookmarkEnd w:id="1200"/>
      <w:bookmarkEnd w:id="1201"/>
      <w:bookmarkEnd w:id="1202"/>
    </w:p>
    <w:p w14:paraId="21BB53C7">
      <w:pPr>
        <w:pStyle w:val="587"/>
        <w:spacing w:before="156" w:after="156"/>
        <w:rPr>
          <w:color w:val="auto"/>
          <w:highlight w:val="none"/>
        </w:rPr>
      </w:pPr>
      <w:bookmarkStart w:id="1203" w:name="_Toc1797"/>
      <w:bookmarkStart w:id="1204" w:name="_Toc11322"/>
      <w:bookmarkStart w:id="1205" w:name="_Toc16424"/>
      <w:bookmarkStart w:id="1206" w:name="_Toc24531"/>
      <w:r>
        <w:rPr>
          <w:color w:val="auto"/>
          <w:highlight w:val="none"/>
        </w:rPr>
        <w:t>项目施工实施前，施工总承包单位应根据项目特点、项目组织方式、项目BIM实施大纲等要求，完成和提交《项目施工阶段BIM实施方案》，方案应包括：</w:t>
      </w:r>
      <w:bookmarkEnd w:id="1203"/>
      <w:bookmarkEnd w:id="1204"/>
      <w:bookmarkEnd w:id="1205"/>
      <w:bookmarkEnd w:id="1206"/>
    </w:p>
    <w:p w14:paraId="317E59BF">
      <w:pPr>
        <w:ind w:firstLine="840" w:firstLineChars="400"/>
        <w:rPr>
          <w:color w:val="auto"/>
          <w:highlight w:val="none"/>
        </w:rPr>
      </w:pPr>
      <w:r>
        <w:rPr>
          <w:color w:val="auto"/>
          <w:highlight w:val="none"/>
        </w:rPr>
        <w:t>1. 项目施工阶段BIM实施目标；</w:t>
      </w:r>
    </w:p>
    <w:p w14:paraId="07922B4A">
      <w:pPr>
        <w:ind w:firstLine="840" w:firstLineChars="400"/>
        <w:rPr>
          <w:color w:val="auto"/>
          <w:highlight w:val="none"/>
        </w:rPr>
      </w:pPr>
      <w:r>
        <w:rPr>
          <w:color w:val="auto"/>
          <w:highlight w:val="none"/>
        </w:rPr>
        <w:t>2. 各参与方的BIM实施职责及团队配置要求；</w:t>
      </w:r>
    </w:p>
    <w:p w14:paraId="487F2B3F">
      <w:pPr>
        <w:ind w:firstLine="840" w:firstLineChars="400"/>
        <w:rPr>
          <w:color w:val="auto"/>
          <w:highlight w:val="none"/>
        </w:rPr>
      </w:pPr>
      <w:r>
        <w:rPr>
          <w:color w:val="auto"/>
          <w:highlight w:val="none"/>
        </w:rPr>
        <w:t>3. 和施工进度保持一致的施工阶段BIM实施计划；</w:t>
      </w:r>
    </w:p>
    <w:p w14:paraId="017FE4D6">
      <w:pPr>
        <w:ind w:firstLine="840" w:firstLineChars="400"/>
        <w:rPr>
          <w:color w:val="auto"/>
          <w:highlight w:val="none"/>
        </w:rPr>
      </w:pPr>
      <w:r>
        <w:rPr>
          <w:color w:val="auto"/>
          <w:highlight w:val="none"/>
        </w:rPr>
        <w:t>4. 施工阶段各参与方项目协同权限分配及协同机制；</w:t>
      </w:r>
    </w:p>
    <w:p w14:paraId="67A4715E">
      <w:pPr>
        <w:ind w:firstLine="840" w:firstLineChars="400"/>
        <w:rPr>
          <w:color w:val="auto"/>
          <w:highlight w:val="none"/>
        </w:rPr>
      </w:pPr>
      <w:r>
        <w:rPr>
          <w:color w:val="auto"/>
          <w:highlight w:val="none"/>
        </w:rPr>
        <w:t>5. 软件版本及数据格式的统一；</w:t>
      </w:r>
    </w:p>
    <w:p w14:paraId="2D8A6C24">
      <w:pPr>
        <w:ind w:firstLine="840" w:firstLineChars="400"/>
        <w:rPr>
          <w:color w:val="auto"/>
          <w:highlight w:val="none"/>
        </w:rPr>
      </w:pPr>
      <w:r>
        <w:rPr>
          <w:color w:val="auto"/>
          <w:highlight w:val="none"/>
        </w:rPr>
        <w:t>6. 项目BIM实施应用管理办法；</w:t>
      </w:r>
    </w:p>
    <w:p w14:paraId="712F5204">
      <w:pPr>
        <w:ind w:firstLine="840" w:firstLineChars="400"/>
        <w:rPr>
          <w:color w:val="auto"/>
          <w:highlight w:val="none"/>
        </w:rPr>
      </w:pPr>
      <w:r>
        <w:rPr>
          <w:color w:val="auto"/>
          <w:highlight w:val="none"/>
        </w:rPr>
        <w:t>7. 信息录入标准；</w:t>
      </w:r>
    </w:p>
    <w:p w14:paraId="6249F3F3">
      <w:pPr>
        <w:ind w:firstLine="840" w:firstLineChars="400"/>
        <w:rPr>
          <w:color w:val="auto"/>
          <w:highlight w:val="none"/>
        </w:rPr>
      </w:pPr>
      <w:r>
        <w:rPr>
          <w:color w:val="auto"/>
          <w:highlight w:val="none"/>
        </w:rPr>
        <w:t>8. 项目成果交付要求；</w:t>
      </w:r>
    </w:p>
    <w:p w14:paraId="5A41FB3E">
      <w:pPr>
        <w:ind w:firstLine="840" w:firstLineChars="400"/>
        <w:rPr>
          <w:color w:val="auto"/>
          <w:highlight w:val="none"/>
        </w:rPr>
      </w:pPr>
      <w:r>
        <w:rPr>
          <w:color w:val="auto"/>
          <w:highlight w:val="none"/>
        </w:rPr>
        <w:t>9. 审核/确认：BIM和数据的审核/确认流程。</w:t>
      </w:r>
    </w:p>
    <w:p w14:paraId="7AE90E76">
      <w:pPr>
        <w:pStyle w:val="587"/>
        <w:spacing w:before="156" w:after="156"/>
        <w:rPr>
          <w:color w:val="auto"/>
          <w:highlight w:val="none"/>
        </w:rPr>
      </w:pPr>
      <w:bookmarkStart w:id="1207" w:name="_Toc14806"/>
      <w:bookmarkStart w:id="1208" w:name="_Toc5160"/>
      <w:bookmarkStart w:id="1209" w:name="_Toc31651"/>
      <w:bookmarkStart w:id="1210" w:name="_Toc24622"/>
      <w:r>
        <w:rPr>
          <w:color w:val="auto"/>
          <w:highlight w:val="none"/>
        </w:rPr>
        <w:t>施工单位进场后，施工单位组建BIM实施团队，应满足：</w:t>
      </w:r>
      <w:bookmarkEnd w:id="1207"/>
      <w:bookmarkEnd w:id="1208"/>
      <w:bookmarkEnd w:id="1209"/>
      <w:bookmarkEnd w:id="1210"/>
    </w:p>
    <w:p w14:paraId="10A5D644">
      <w:pPr>
        <w:ind w:firstLine="840" w:firstLineChars="400"/>
        <w:rPr>
          <w:color w:val="auto"/>
          <w:highlight w:val="none"/>
        </w:rPr>
      </w:pPr>
      <w:bookmarkStart w:id="1211" w:name="_Toc29784"/>
      <w:bookmarkStart w:id="1212" w:name="_Toc6314"/>
      <w:bookmarkStart w:id="1213" w:name="_Toc21750"/>
      <w:bookmarkStart w:id="1214" w:name="_Toc25162"/>
      <w:r>
        <w:rPr>
          <w:color w:val="auto"/>
          <w:highlight w:val="none"/>
        </w:rPr>
        <w:t>1. 配置足够的人员参与代建局项目BIM实施中；</w:t>
      </w:r>
      <w:bookmarkEnd w:id="1211"/>
      <w:bookmarkEnd w:id="1212"/>
      <w:bookmarkEnd w:id="1213"/>
      <w:bookmarkEnd w:id="1214"/>
    </w:p>
    <w:p w14:paraId="1D39FC95">
      <w:pPr>
        <w:ind w:firstLine="840" w:firstLineChars="400"/>
        <w:rPr>
          <w:color w:val="auto"/>
          <w:highlight w:val="none"/>
        </w:rPr>
      </w:pPr>
      <w:r>
        <w:rPr>
          <w:color w:val="auto"/>
          <w:highlight w:val="none"/>
        </w:rPr>
        <w:t>2. 每个承建队伍应配置一名熟悉BIM实施管理的BIM专业负责人；</w:t>
      </w:r>
    </w:p>
    <w:p w14:paraId="33B89434">
      <w:pPr>
        <w:ind w:firstLine="840" w:firstLineChars="400"/>
        <w:rPr>
          <w:color w:val="auto"/>
          <w:highlight w:val="none"/>
        </w:rPr>
      </w:pPr>
      <w:r>
        <w:rPr>
          <w:color w:val="auto"/>
          <w:highlight w:val="none"/>
        </w:rPr>
        <w:t>3. 各承建单位的BIM实施团队在BIM总协调单位管理下完成项目实施工作。</w:t>
      </w:r>
    </w:p>
    <w:p w14:paraId="14B43245">
      <w:pPr>
        <w:pStyle w:val="587"/>
        <w:spacing w:before="156" w:after="156"/>
        <w:rPr>
          <w:color w:val="auto"/>
          <w:highlight w:val="none"/>
        </w:rPr>
      </w:pPr>
      <w:bookmarkStart w:id="1215" w:name="_Toc28161"/>
      <w:bookmarkStart w:id="1216" w:name="_Toc1065"/>
      <w:bookmarkStart w:id="1217" w:name="_Toc11485"/>
      <w:bookmarkStart w:id="1218" w:name="_Toc9170"/>
      <w:r>
        <w:rPr>
          <w:color w:val="auto"/>
          <w:highlight w:val="none"/>
        </w:rPr>
        <w:t>BIM总协调单位应根据项目总进度计划编制项目BIM实施计划，项目BIM实施计划如《附件：BIM实施导则》附表2所示。</w:t>
      </w:r>
      <w:bookmarkEnd w:id="1215"/>
      <w:bookmarkEnd w:id="1216"/>
      <w:bookmarkEnd w:id="1217"/>
      <w:bookmarkEnd w:id="1218"/>
    </w:p>
    <w:p w14:paraId="7A5AC899">
      <w:pPr>
        <w:pStyle w:val="587"/>
        <w:spacing w:before="156" w:after="156"/>
        <w:rPr>
          <w:color w:val="auto"/>
          <w:highlight w:val="none"/>
        </w:rPr>
      </w:pPr>
      <w:bookmarkStart w:id="1219" w:name="_Toc10688"/>
      <w:bookmarkStart w:id="1220" w:name="_Toc26739"/>
      <w:bookmarkStart w:id="1221" w:name="_Toc4306"/>
      <w:bookmarkStart w:id="1222" w:name="_Toc16573"/>
      <w:r>
        <w:rPr>
          <w:color w:val="auto"/>
          <w:highlight w:val="none"/>
        </w:rPr>
        <w:t>BIM总协调方根据项目施工组织方式，分配施工单位协同平台权限，施工各参与方通过项目协同平台共同维护及更新施工阶段BIM数据。</w:t>
      </w:r>
      <w:bookmarkEnd w:id="1219"/>
      <w:bookmarkEnd w:id="1220"/>
      <w:bookmarkEnd w:id="1221"/>
      <w:bookmarkEnd w:id="1222"/>
    </w:p>
    <w:p w14:paraId="3F5FBF2E">
      <w:pPr>
        <w:pStyle w:val="587"/>
        <w:spacing w:before="156" w:after="156"/>
        <w:rPr>
          <w:color w:val="auto"/>
          <w:highlight w:val="none"/>
        </w:rPr>
      </w:pPr>
      <w:bookmarkStart w:id="1223" w:name="_Toc31152"/>
      <w:bookmarkStart w:id="1224" w:name="_Toc3441"/>
      <w:bookmarkStart w:id="1225" w:name="_Toc5872"/>
      <w:bookmarkStart w:id="1226" w:name="_Toc31077"/>
      <w:r>
        <w:rPr>
          <w:color w:val="auto"/>
          <w:highlight w:val="none"/>
        </w:rPr>
        <w:t>BIM总协调方管理、协调、整合施工单位的BIM工作，并对施工单位提供技术支持。施工单位对其模型进行深化、更新和维护。</w:t>
      </w:r>
      <w:bookmarkEnd w:id="1223"/>
      <w:bookmarkEnd w:id="1224"/>
      <w:bookmarkEnd w:id="1225"/>
      <w:bookmarkEnd w:id="1226"/>
    </w:p>
    <w:p w14:paraId="3B004BDE">
      <w:pPr>
        <w:pStyle w:val="587"/>
        <w:spacing w:before="156" w:after="156"/>
        <w:rPr>
          <w:color w:val="auto"/>
          <w:highlight w:val="none"/>
        </w:rPr>
      </w:pPr>
      <w:bookmarkStart w:id="1227" w:name="_Toc24497"/>
      <w:bookmarkStart w:id="1228" w:name="_Toc14230"/>
      <w:bookmarkStart w:id="1229" w:name="_Toc32478"/>
      <w:bookmarkStart w:id="1230" w:name="_Toc23921"/>
      <w:r>
        <w:rPr>
          <w:color w:val="auto"/>
          <w:highlight w:val="none"/>
        </w:rPr>
        <w:t>施工单位收到设计BIM成果后，进行BIM成果会审，统计工程量，编写施工组织方案，应用设计成果进行施工组织设计及施工方案的模拟与优化。</w:t>
      </w:r>
      <w:bookmarkEnd w:id="1227"/>
      <w:bookmarkEnd w:id="1228"/>
      <w:bookmarkEnd w:id="1229"/>
      <w:bookmarkEnd w:id="1230"/>
    </w:p>
    <w:p w14:paraId="2FFFDEC4">
      <w:pPr>
        <w:pStyle w:val="587"/>
        <w:spacing w:before="156" w:after="156"/>
        <w:rPr>
          <w:color w:val="auto"/>
          <w:highlight w:val="none"/>
        </w:rPr>
      </w:pPr>
      <w:bookmarkStart w:id="1231" w:name="_Toc28537"/>
      <w:bookmarkStart w:id="1232" w:name="_Toc15286"/>
      <w:bookmarkStart w:id="1233" w:name="_Toc7750"/>
      <w:bookmarkStart w:id="1234" w:name="_Toc146"/>
      <w:r>
        <w:rPr>
          <w:color w:val="auto"/>
          <w:highlight w:val="none"/>
        </w:rPr>
        <w:t>施工单位按工作范围及施工阶段BIM实施计划提交施工各阶段BIM成果，对施工阶段的BIM成果进行校核和调整，确保BIM成果与各参与方提供的施工深化成果一致。</w:t>
      </w:r>
      <w:bookmarkEnd w:id="1231"/>
      <w:bookmarkEnd w:id="1232"/>
      <w:bookmarkEnd w:id="1233"/>
      <w:bookmarkEnd w:id="1234"/>
    </w:p>
    <w:p w14:paraId="70B7CAA1">
      <w:pPr>
        <w:pStyle w:val="587"/>
        <w:spacing w:before="156" w:after="156"/>
        <w:rPr>
          <w:color w:val="auto"/>
          <w:highlight w:val="none"/>
        </w:rPr>
      </w:pPr>
      <w:bookmarkStart w:id="1235" w:name="_Toc18805"/>
      <w:bookmarkStart w:id="1236" w:name="_Toc6401"/>
      <w:bookmarkStart w:id="1237" w:name="_Toc3567"/>
      <w:bookmarkStart w:id="1238" w:name="_Toc9307"/>
      <w:r>
        <w:rPr>
          <w:color w:val="auto"/>
          <w:highlight w:val="none"/>
        </w:rPr>
        <w:t>在施工过程模型中进行添加或更新施工阶段信息，对施工变更的内容进行BIM模型和信息的更新，最终形成竣工BIM成果。</w:t>
      </w:r>
      <w:bookmarkEnd w:id="1235"/>
      <w:bookmarkEnd w:id="1236"/>
      <w:bookmarkEnd w:id="1237"/>
      <w:bookmarkEnd w:id="1238"/>
    </w:p>
    <w:p w14:paraId="226ADF0B">
      <w:pPr>
        <w:pStyle w:val="587"/>
        <w:spacing w:before="156" w:after="156"/>
        <w:rPr>
          <w:color w:val="auto"/>
          <w:highlight w:val="none"/>
        </w:rPr>
      </w:pPr>
      <w:bookmarkStart w:id="1239" w:name="_Toc20367"/>
      <w:bookmarkStart w:id="1240" w:name="_Toc22783"/>
      <w:bookmarkStart w:id="1241" w:name="_Toc14333"/>
      <w:bookmarkStart w:id="1242" w:name="_Toc15977"/>
      <w:r>
        <w:rPr>
          <w:color w:val="auto"/>
          <w:highlight w:val="none"/>
        </w:rPr>
        <w:t>施工阶段项目BIM实施总体流程及工作内容详见《附件：BIM实施导则》附图8。</w:t>
      </w:r>
      <w:bookmarkEnd w:id="1239"/>
      <w:bookmarkEnd w:id="1240"/>
      <w:bookmarkEnd w:id="1241"/>
      <w:bookmarkEnd w:id="1242"/>
    </w:p>
    <w:p w14:paraId="04D142A7">
      <w:pPr>
        <w:pStyle w:val="587"/>
        <w:spacing w:before="156" w:after="156"/>
        <w:rPr>
          <w:color w:val="auto"/>
          <w:highlight w:val="none"/>
        </w:rPr>
      </w:pPr>
      <w:bookmarkStart w:id="1243" w:name="_Toc19606"/>
      <w:bookmarkStart w:id="1244" w:name="_Toc4824"/>
      <w:bookmarkStart w:id="1245" w:name="_Toc24662"/>
      <w:bookmarkStart w:id="1246" w:name="_Toc1015"/>
      <w:r>
        <w:rPr>
          <w:color w:val="auto"/>
          <w:highlight w:val="none"/>
        </w:rPr>
        <w:t>施工阶段项目BIM团队主要有施工总承包单位BIM团队和各专业分包BIM团队。BIM团队在BIM总协调方统一管理和组织下开展BIM项目管理工作，项目BIM团队组织架构详见《附件：BIM实施导则》附图9。</w:t>
      </w:r>
      <w:bookmarkEnd w:id="1243"/>
      <w:bookmarkEnd w:id="1244"/>
      <w:bookmarkEnd w:id="1245"/>
      <w:bookmarkEnd w:id="1246"/>
    </w:p>
    <w:p w14:paraId="076CA4CB">
      <w:pPr>
        <w:pStyle w:val="587"/>
        <w:spacing w:before="156" w:after="156"/>
        <w:rPr>
          <w:color w:val="auto"/>
          <w:highlight w:val="none"/>
        </w:rPr>
      </w:pPr>
      <w:bookmarkStart w:id="1247" w:name="_Toc30404"/>
      <w:bookmarkStart w:id="1248" w:name="_Toc14271"/>
      <w:bookmarkStart w:id="1249" w:name="_Toc28216"/>
      <w:bookmarkStart w:id="1250" w:name="_Toc26366"/>
      <w:r>
        <w:rPr>
          <w:color w:val="auto"/>
          <w:highlight w:val="none"/>
        </w:rPr>
        <w:t>在代建局施工阶段BIM管理组织架构下，各团队职责详见《附件：BIM实施导则》中附表5。</w:t>
      </w:r>
      <w:bookmarkEnd w:id="1247"/>
      <w:bookmarkEnd w:id="1248"/>
      <w:bookmarkEnd w:id="1249"/>
      <w:bookmarkEnd w:id="1250"/>
    </w:p>
    <w:p w14:paraId="3791B105">
      <w:pPr>
        <w:pStyle w:val="587"/>
        <w:spacing w:before="156" w:after="156"/>
        <w:rPr>
          <w:color w:val="auto"/>
          <w:highlight w:val="none"/>
        </w:rPr>
      </w:pPr>
      <w:bookmarkStart w:id="1251" w:name="_Toc29979"/>
      <w:bookmarkStart w:id="1252" w:name="_Toc22986"/>
      <w:bookmarkStart w:id="1253" w:name="_Toc14907"/>
      <w:bookmarkStart w:id="1254" w:name="_Toc17957"/>
      <w:r>
        <w:rPr>
          <w:color w:val="auto"/>
          <w:highlight w:val="none"/>
        </w:rPr>
        <w:t>BIM设计成果会审流程宜按《附件：BIM实施导则》附图11执行，实施要点包括：</w:t>
      </w:r>
      <w:bookmarkEnd w:id="1251"/>
      <w:bookmarkEnd w:id="1252"/>
      <w:bookmarkEnd w:id="1253"/>
      <w:bookmarkEnd w:id="1254"/>
    </w:p>
    <w:p w14:paraId="33FB488E">
      <w:pPr>
        <w:ind w:firstLine="840" w:firstLineChars="400"/>
        <w:rPr>
          <w:color w:val="auto"/>
          <w:highlight w:val="none"/>
        </w:rPr>
      </w:pPr>
      <w:r>
        <w:rPr>
          <w:color w:val="auto"/>
          <w:highlight w:val="none"/>
        </w:rPr>
        <w:t>1. 设计的BIM成果由BIM总协调方分配协同平台权限，各参与方登陆协同平台获取相关专业的设计BIM模型；</w:t>
      </w:r>
    </w:p>
    <w:p w14:paraId="79E78547">
      <w:pPr>
        <w:ind w:firstLine="840" w:firstLineChars="400"/>
        <w:rPr>
          <w:color w:val="auto"/>
          <w:highlight w:val="none"/>
        </w:rPr>
      </w:pPr>
      <w:r>
        <w:rPr>
          <w:color w:val="auto"/>
          <w:highlight w:val="none"/>
        </w:rPr>
        <w:t>2. BIM模型会审阶段应将施工蓝图和BIM模型结合，不同BIM软件制作的BIM模型应遵循统一的格式，施工单位应组织各专业间分区分段分层的利用轻量化进行碰撞检查；</w:t>
      </w:r>
    </w:p>
    <w:p w14:paraId="00CE82AE">
      <w:pPr>
        <w:ind w:firstLine="840" w:firstLineChars="400"/>
        <w:rPr>
          <w:color w:val="auto"/>
          <w:highlight w:val="none"/>
        </w:rPr>
      </w:pPr>
      <w:r>
        <w:rPr>
          <w:color w:val="auto"/>
          <w:highlight w:val="none"/>
        </w:rPr>
        <w:t>3. 在多方会审过程中，将三维模型作为多方会审的沟通平台，在多方会审前将图纸中出现的问题在三维模型中进行标记，在会审时对问题进行逐个的评审并提出修改意见；</w:t>
      </w:r>
    </w:p>
    <w:p w14:paraId="38353D66">
      <w:pPr>
        <w:ind w:firstLine="840" w:firstLineChars="400"/>
        <w:rPr>
          <w:color w:val="auto"/>
          <w:highlight w:val="none"/>
        </w:rPr>
      </w:pPr>
      <w:r>
        <w:rPr>
          <w:color w:val="auto"/>
          <w:highlight w:val="none"/>
        </w:rPr>
        <w:t>4. 在会审交底过程中，通过三维模型把会审的相关结果进行交底，向各参与方展示模型中相关问题的修改情况。</w:t>
      </w:r>
    </w:p>
    <w:p w14:paraId="151D39C8">
      <w:pPr>
        <w:pStyle w:val="587"/>
        <w:spacing w:before="156" w:after="156"/>
        <w:rPr>
          <w:color w:val="auto"/>
          <w:highlight w:val="none"/>
        </w:rPr>
      </w:pPr>
      <w:bookmarkStart w:id="1255" w:name="_Toc4976"/>
      <w:bookmarkStart w:id="1256" w:name="_Toc5210"/>
      <w:bookmarkStart w:id="1257" w:name="_Toc25602"/>
      <w:bookmarkStart w:id="1258" w:name="_Toc31430"/>
      <w:r>
        <w:rPr>
          <w:color w:val="auto"/>
          <w:highlight w:val="none"/>
        </w:rPr>
        <w:t>BIM深化设计管理流程宜按《附件：BIM实施导则》附图12执行，实施要点包括：</w:t>
      </w:r>
      <w:bookmarkEnd w:id="1255"/>
      <w:bookmarkEnd w:id="1256"/>
      <w:bookmarkEnd w:id="1257"/>
      <w:bookmarkEnd w:id="1258"/>
    </w:p>
    <w:p w14:paraId="3B03E9C6">
      <w:pPr>
        <w:ind w:firstLine="840" w:firstLineChars="400"/>
        <w:rPr>
          <w:color w:val="auto"/>
          <w:highlight w:val="none"/>
        </w:rPr>
      </w:pPr>
      <w:r>
        <w:rPr>
          <w:color w:val="auto"/>
          <w:highlight w:val="none"/>
        </w:rPr>
        <w:t>1. 施工阶段各分包BIM团队在原设计BIM模型基础上进行深化工作，形成施工阶段BIM模型。施工阶段BIM模型必须遵循《施工阶段BIM实施方案》上关于模型建立的要求；</w:t>
      </w:r>
    </w:p>
    <w:p w14:paraId="0668F957">
      <w:pPr>
        <w:ind w:firstLine="840" w:firstLineChars="400"/>
        <w:rPr>
          <w:color w:val="auto"/>
          <w:highlight w:val="none"/>
        </w:rPr>
      </w:pPr>
      <w:r>
        <w:rPr>
          <w:color w:val="auto"/>
          <w:highlight w:val="none"/>
        </w:rPr>
        <w:t>2. 在多专业进行协调深化时，各专业深化后的模型应按照统一的原点以及轴网标高进行整合，形成项目施工阶段的整体模型。通过碰撞检查发现各专业之间的碰撞点，以第三人的视角对三维模型进行巡视，并检查相关净高以及净宽是否符合要求，最后由各方协调解决相关问题。</w:t>
      </w:r>
    </w:p>
    <w:p w14:paraId="7C653369">
      <w:pPr>
        <w:ind w:firstLine="840" w:firstLineChars="400"/>
        <w:rPr>
          <w:color w:val="auto"/>
          <w:highlight w:val="none"/>
        </w:rPr>
      </w:pPr>
      <w:r>
        <w:rPr>
          <w:color w:val="auto"/>
          <w:highlight w:val="none"/>
        </w:rPr>
        <w:t>3. BIM深化模型深度应符合附件《附件：BIM实施导则》中“附表3各阶段BIM模型精细度要求”中LOD400的要求；</w:t>
      </w:r>
    </w:p>
    <w:p w14:paraId="5AE4441F">
      <w:pPr>
        <w:ind w:firstLine="840" w:firstLineChars="400"/>
        <w:rPr>
          <w:color w:val="auto"/>
          <w:highlight w:val="none"/>
        </w:rPr>
      </w:pPr>
      <w:r>
        <w:rPr>
          <w:color w:val="auto"/>
          <w:highlight w:val="none"/>
        </w:rPr>
        <w:t>4. 在施工单位针对设计BIM模型深化后，监理单位、设计单位、BIM总协调方通过协同平台确定深化模型的正确性，并做好深化记录和图纸确认单记录。</w:t>
      </w:r>
    </w:p>
    <w:p w14:paraId="16438F35">
      <w:pPr>
        <w:pStyle w:val="587"/>
        <w:spacing w:before="156" w:after="156"/>
        <w:rPr>
          <w:color w:val="auto"/>
          <w:highlight w:val="none"/>
        </w:rPr>
      </w:pPr>
      <w:bookmarkStart w:id="1259" w:name="_Toc7277"/>
      <w:bookmarkStart w:id="1260" w:name="_Toc11821"/>
      <w:bookmarkStart w:id="1261" w:name="_Toc5716"/>
      <w:bookmarkStart w:id="1262" w:name="_Toc31847"/>
      <w:r>
        <w:rPr>
          <w:color w:val="auto"/>
          <w:highlight w:val="none"/>
        </w:rPr>
        <w:t>BIM施工组织优化管理要求应满足：</w:t>
      </w:r>
      <w:bookmarkEnd w:id="1259"/>
      <w:bookmarkEnd w:id="1260"/>
      <w:bookmarkEnd w:id="1261"/>
      <w:bookmarkEnd w:id="1262"/>
    </w:p>
    <w:p w14:paraId="53651BBC">
      <w:pPr>
        <w:ind w:firstLine="840" w:firstLineChars="400"/>
        <w:rPr>
          <w:color w:val="auto"/>
          <w:highlight w:val="none"/>
        </w:rPr>
      </w:pPr>
      <w:r>
        <w:rPr>
          <w:color w:val="auto"/>
          <w:highlight w:val="none"/>
        </w:rPr>
        <w:t>1. BIM施工组织设计应结合三维模型对施工进度相关控制节点进行施工模拟，展示不同的进度控制节点及工程各专业的施工进度；</w:t>
      </w:r>
    </w:p>
    <w:p w14:paraId="30E91BA1">
      <w:pPr>
        <w:ind w:firstLine="840" w:firstLineChars="400"/>
        <w:rPr>
          <w:color w:val="auto"/>
          <w:highlight w:val="none"/>
        </w:rPr>
      </w:pPr>
      <w:r>
        <w:rPr>
          <w:color w:val="auto"/>
          <w:highlight w:val="none"/>
        </w:rPr>
        <w:t>2. 施工方案比选应通过创建不同施工方案的三维模型进行模拟，自动统计工程量；</w:t>
      </w:r>
    </w:p>
    <w:p w14:paraId="38A1484B">
      <w:pPr>
        <w:ind w:firstLine="840" w:firstLineChars="400"/>
        <w:rPr>
          <w:color w:val="auto"/>
          <w:highlight w:val="none"/>
        </w:rPr>
      </w:pPr>
      <w:r>
        <w:rPr>
          <w:color w:val="auto"/>
          <w:highlight w:val="none"/>
        </w:rPr>
        <w:t>3. BIM施工组织模拟应将资金以及相关材料资源数据录入到模型中，施工模拟可查看不同进度节点的资源投入情况。</w:t>
      </w:r>
    </w:p>
    <w:p w14:paraId="2EFD7C51">
      <w:pPr>
        <w:pStyle w:val="587"/>
        <w:spacing w:before="156" w:after="156"/>
        <w:rPr>
          <w:color w:val="auto"/>
          <w:highlight w:val="none"/>
        </w:rPr>
      </w:pPr>
      <w:bookmarkStart w:id="1263" w:name="_Toc15633"/>
      <w:bookmarkStart w:id="1264" w:name="_Toc29777"/>
      <w:bookmarkStart w:id="1265" w:name="_Toc24586"/>
      <w:bookmarkStart w:id="1266" w:name="_Toc29205"/>
      <w:r>
        <w:rPr>
          <w:color w:val="auto"/>
          <w:highlight w:val="none"/>
        </w:rPr>
        <w:t>BIM施工现场变更管理要求应满足：</w:t>
      </w:r>
      <w:bookmarkEnd w:id="1263"/>
      <w:bookmarkEnd w:id="1264"/>
      <w:bookmarkEnd w:id="1265"/>
      <w:bookmarkEnd w:id="1266"/>
    </w:p>
    <w:p w14:paraId="13D95A3E">
      <w:pPr>
        <w:ind w:firstLine="840" w:firstLineChars="400"/>
        <w:rPr>
          <w:color w:val="auto"/>
          <w:highlight w:val="none"/>
        </w:rPr>
      </w:pPr>
      <w:r>
        <w:rPr>
          <w:color w:val="auto"/>
          <w:highlight w:val="none"/>
        </w:rPr>
        <w:t>1. 应由设计单位进行审核设计变更。依据设计变更内容，由施工单位对施工阶段模型进行设计变更的更新；</w:t>
      </w:r>
    </w:p>
    <w:p w14:paraId="6350CB15">
      <w:pPr>
        <w:ind w:firstLine="840" w:firstLineChars="400"/>
        <w:rPr>
          <w:color w:val="auto"/>
          <w:highlight w:val="none"/>
        </w:rPr>
      </w:pPr>
      <w:r>
        <w:rPr>
          <w:color w:val="auto"/>
          <w:highlight w:val="none"/>
        </w:rPr>
        <w:t>2. 变更完成之后，利用变更后BIM模型自动生成并导出施工图纸，确保变更图纸和模型一致，指导施工工作；</w:t>
      </w:r>
    </w:p>
    <w:p w14:paraId="66949390">
      <w:pPr>
        <w:ind w:firstLine="840" w:firstLineChars="400"/>
        <w:rPr>
          <w:color w:val="auto"/>
          <w:highlight w:val="none"/>
        </w:rPr>
      </w:pPr>
      <w:r>
        <w:rPr>
          <w:color w:val="auto"/>
          <w:highlight w:val="none"/>
        </w:rPr>
        <w:t>3. 自动统计变更前和变更后以及不同的变更方案所产生的相关工程量的变化，为设计变更的审核提供参考。</w:t>
      </w:r>
    </w:p>
    <w:p w14:paraId="1A148844">
      <w:pPr>
        <w:pStyle w:val="587"/>
        <w:spacing w:before="156" w:after="156"/>
        <w:rPr>
          <w:color w:val="auto"/>
          <w:highlight w:val="none"/>
        </w:rPr>
      </w:pPr>
      <w:bookmarkStart w:id="1267" w:name="_Toc939"/>
      <w:bookmarkStart w:id="1268" w:name="_Toc5571"/>
      <w:bookmarkStart w:id="1269" w:name="_Toc15482"/>
      <w:bookmarkStart w:id="1270" w:name="_Toc23097"/>
      <w:r>
        <w:rPr>
          <w:color w:val="auto"/>
          <w:highlight w:val="none"/>
        </w:rPr>
        <w:t>BIM质量管理包括技术交底、现场实体检查、现场资料填写、样板引路等应用，实施要点包括：</w:t>
      </w:r>
      <w:bookmarkEnd w:id="1267"/>
      <w:bookmarkEnd w:id="1268"/>
      <w:bookmarkEnd w:id="1269"/>
      <w:bookmarkEnd w:id="1270"/>
    </w:p>
    <w:p w14:paraId="1F82C579">
      <w:pPr>
        <w:ind w:firstLine="840" w:firstLineChars="400"/>
        <w:rPr>
          <w:color w:val="auto"/>
          <w:highlight w:val="none"/>
        </w:rPr>
      </w:pPr>
      <w:r>
        <w:rPr>
          <w:color w:val="auto"/>
          <w:highlight w:val="none"/>
        </w:rPr>
        <w:t>1. 针对比较复杂的建筑构件或难以二维表达的施工部位应利用BIM技术导出相关图片及视频，加入到技术交底资料中，便于分包方及施工班组的理解；</w:t>
      </w:r>
    </w:p>
    <w:p w14:paraId="4FA9F836">
      <w:pPr>
        <w:ind w:firstLine="840" w:firstLineChars="400"/>
        <w:rPr>
          <w:color w:val="auto"/>
          <w:highlight w:val="none"/>
        </w:rPr>
      </w:pPr>
      <w:r>
        <w:rPr>
          <w:color w:val="auto"/>
          <w:highlight w:val="none"/>
        </w:rPr>
        <w:t>2. 利用技术交底协调会，将重要工序、质量检查重要部位在电脑上进行模型交底和动画模拟，确定质量措施，实现交底内容的无缝传递；</w:t>
      </w:r>
    </w:p>
    <w:p w14:paraId="528BCEA8">
      <w:pPr>
        <w:ind w:firstLine="840" w:firstLineChars="400"/>
        <w:rPr>
          <w:color w:val="auto"/>
          <w:highlight w:val="none"/>
        </w:rPr>
      </w:pPr>
      <w:r>
        <w:rPr>
          <w:color w:val="auto"/>
          <w:highlight w:val="none"/>
        </w:rPr>
        <w:t>3. 将BIM模型导入到移动终端设备，利用BIM模型进行现场工作布置和实体对比。发现现场质量问题，拍摄并记录，生成整改通知单下发，保证问题处理的及时性。</w:t>
      </w:r>
    </w:p>
    <w:p w14:paraId="04068541">
      <w:pPr>
        <w:ind w:firstLine="840" w:firstLineChars="400"/>
        <w:rPr>
          <w:color w:val="auto"/>
          <w:highlight w:val="none"/>
        </w:rPr>
      </w:pPr>
      <w:r>
        <w:rPr>
          <w:color w:val="auto"/>
          <w:highlight w:val="none"/>
        </w:rPr>
        <w:t>4. 通过BIM展示施工重要样板做法、质量管控要点、施工模拟动画、现场平面布置等，为现场质量管控提供服务。</w:t>
      </w:r>
    </w:p>
    <w:p w14:paraId="515EF0CA">
      <w:pPr>
        <w:pStyle w:val="587"/>
        <w:spacing w:before="156" w:after="156"/>
        <w:rPr>
          <w:color w:val="auto"/>
          <w:highlight w:val="none"/>
        </w:rPr>
      </w:pPr>
      <w:bookmarkStart w:id="1271" w:name="_Toc13939"/>
      <w:bookmarkStart w:id="1272" w:name="_Toc32601"/>
      <w:bookmarkStart w:id="1273" w:name="_Toc14935"/>
      <w:bookmarkStart w:id="1274" w:name="_Toc318"/>
      <w:r>
        <w:rPr>
          <w:color w:val="auto"/>
          <w:highlight w:val="none"/>
        </w:rPr>
        <w:t>BIM进度管理实施要点包括：</w:t>
      </w:r>
      <w:bookmarkEnd w:id="1271"/>
      <w:bookmarkEnd w:id="1272"/>
      <w:bookmarkEnd w:id="1273"/>
      <w:bookmarkEnd w:id="1274"/>
    </w:p>
    <w:p w14:paraId="34D301A9">
      <w:pPr>
        <w:ind w:firstLine="840" w:firstLineChars="400"/>
        <w:rPr>
          <w:color w:val="auto"/>
          <w:highlight w:val="none"/>
        </w:rPr>
      </w:pPr>
      <w:r>
        <w:rPr>
          <w:color w:val="auto"/>
          <w:highlight w:val="none"/>
        </w:rPr>
        <w:t>1. 通过BIM模型制作施工进度模拟，通过动画的方式表现进度安排情况，直观检查不合理安排，实现施工进度优化；</w:t>
      </w:r>
    </w:p>
    <w:p w14:paraId="23175888">
      <w:pPr>
        <w:ind w:firstLine="840" w:firstLineChars="400"/>
        <w:rPr>
          <w:color w:val="auto"/>
          <w:highlight w:val="none"/>
        </w:rPr>
      </w:pPr>
      <w:r>
        <w:rPr>
          <w:color w:val="auto"/>
          <w:highlight w:val="none"/>
        </w:rPr>
        <w:t>2. 进度计划交底采取施工模拟与工作计划表相结合的方式进行，需要调整的部分在会议上进行讨论、记录，进度管理实施小组各组员意见达成一致后，修改总进度计划及施工模拟；</w:t>
      </w:r>
    </w:p>
    <w:p w14:paraId="7AC68DBF">
      <w:pPr>
        <w:ind w:firstLine="840" w:firstLineChars="400"/>
        <w:rPr>
          <w:color w:val="auto"/>
          <w:highlight w:val="none"/>
        </w:rPr>
      </w:pPr>
      <w:r>
        <w:rPr>
          <w:color w:val="auto"/>
          <w:highlight w:val="none"/>
        </w:rPr>
        <w:t>3. 根据项目实施节点，制定BIM实施关键节点，召开专项BIM工作会议，</w:t>
      </w:r>
      <w:r>
        <w:rPr>
          <w:rFonts w:hint="eastAsia"/>
          <w:color w:val="auto"/>
          <w:highlight w:val="none"/>
        </w:rPr>
        <w:t>对</w:t>
      </w:r>
      <w:r>
        <w:rPr>
          <w:color w:val="auto"/>
          <w:highlight w:val="none"/>
        </w:rPr>
        <w:t>BIM工作进行相关内容的讨论和决议。</w:t>
      </w:r>
    </w:p>
    <w:p w14:paraId="772C0EA0">
      <w:pPr>
        <w:pStyle w:val="587"/>
        <w:spacing w:before="156" w:after="156"/>
        <w:rPr>
          <w:color w:val="auto"/>
          <w:highlight w:val="none"/>
        </w:rPr>
      </w:pPr>
      <w:bookmarkStart w:id="1275" w:name="_Toc13354"/>
      <w:bookmarkStart w:id="1276" w:name="_Toc6244"/>
      <w:bookmarkStart w:id="1277" w:name="_Toc29582"/>
      <w:bookmarkStart w:id="1278" w:name="_Toc10912"/>
      <w:r>
        <w:rPr>
          <w:color w:val="auto"/>
          <w:highlight w:val="none"/>
        </w:rPr>
        <w:t>BIM安全管理实施要点包括：</w:t>
      </w:r>
      <w:bookmarkEnd w:id="1275"/>
      <w:bookmarkEnd w:id="1276"/>
      <w:bookmarkEnd w:id="1277"/>
      <w:bookmarkEnd w:id="1278"/>
    </w:p>
    <w:p w14:paraId="169C93E4">
      <w:pPr>
        <w:ind w:firstLine="840" w:firstLineChars="400"/>
        <w:rPr>
          <w:color w:val="auto"/>
          <w:highlight w:val="none"/>
        </w:rPr>
      </w:pPr>
      <w:r>
        <w:rPr>
          <w:color w:val="auto"/>
          <w:highlight w:val="none"/>
        </w:rPr>
        <w:t>1. 通过建立的BIM三维模型让各分包管理人员提前对施工面的危险源进行判断；</w:t>
      </w:r>
    </w:p>
    <w:p w14:paraId="3EC720F4">
      <w:pPr>
        <w:ind w:firstLine="840" w:firstLineChars="400"/>
        <w:rPr>
          <w:color w:val="auto"/>
          <w:highlight w:val="none"/>
        </w:rPr>
      </w:pPr>
      <w:r>
        <w:rPr>
          <w:color w:val="auto"/>
          <w:highlight w:val="none"/>
        </w:rPr>
        <w:t>2. 通过建立施工过程的防护设施模型，对项目管理人员进行仿真模拟交底，确保现场施工按照模型布置执行。</w:t>
      </w:r>
    </w:p>
    <w:p w14:paraId="2C5E3B95">
      <w:pPr>
        <w:pStyle w:val="587"/>
        <w:spacing w:before="156" w:after="156"/>
        <w:rPr>
          <w:color w:val="auto"/>
          <w:highlight w:val="none"/>
        </w:rPr>
      </w:pPr>
      <w:bookmarkStart w:id="1279" w:name="_Toc4301"/>
      <w:bookmarkStart w:id="1280" w:name="_Toc9628"/>
      <w:bookmarkStart w:id="1281" w:name="_Toc20919"/>
      <w:bookmarkStart w:id="1282" w:name="_Toc1987"/>
      <w:r>
        <w:rPr>
          <w:color w:val="auto"/>
          <w:highlight w:val="none"/>
        </w:rPr>
        <w:t>BIM现场协调管理实施要点包括：</w:t>
      </w:r>
      <w:bookmarkEnd w:id="1279"/>
      <w:bookmarkEnd w:id="1280"/>
      <w:bookmarkEnd w:id="1281"/>
      <w:bookmarkEnd w:id="1282"/>
    </w:p>
    <w:p w14:paraId="0A43439F">
      <w:pPr>
        <w:ind w:firstLine="840" w:firstLineChars="400"/>
        <w:rPr>
          <w:color w:val="auto"/>
          <w:highlight w:val="none"/>
        </w:rPr>
      </w:pPr>
      <w:r>
        <w:rPr>
          <w:color w:val="auto"/>
          <w:highlight w:val="none"/>
        </w:rPr>
        <w:t>1. 管理内容包括办公与生活临时设施协调、施工平面协调、施工工序与工作面协调等；</w:t>
      </w:r>
    </w:p>
    <w:p w14:paraId="61515371">
      <w:pPr>
        <w:ind w:firstLine="840" w:firstLineChars="400"/>
        <w:rPr>
          <w:color w:val="auto"/>
          <w:highlight w:val="none"/>
        </w:rPr>
      </w:pPr>
      <w:r>
        <w:rPr>
          <w:color w:val="auto"/>
          <w:highlight w:val="none"/>
        </w:rPr>
        <w:t>2. BIM现场协调管理宜满足《附件：BIM实施导则》附表8规定。</w:t>
      </w:r>
    </w:p>
    <w:p w14:paraId="20AF867B">
      <w:pPr>
        <w:pStyle w:val="587"/>
        <w:spacing w:before="156" w:after="156"/>
        <w:rPr>
          <w:color w:val="auto"/>
          <w:highlight w:val="none"/>
        </w:rPr>
      </w:pPr>
      <w:bookmarkStart w:id="1283" w:name="_Toc30050"/>
      <w:bookmarkStart w:id="1284" w:name="_Toc25482"/>
      <w:bookmarkStart w:id="1285" w:name="_Toc27702"/>
      <w:bookmarkStart w:id="1286" w:name="_Toc20004"/>
      <w:r>
        <w:rPr>
          <w:color w:val="auto"/>
          <w:highlight w:val="none"/>
        </w:rPr>
        <w:t>BIM造价管理实施要点包括：</w:t>
      </w:r>
      <w:bookmarkEnd w:id="1283"/>
      <w:bookmarkEnd w:id="1284"/>
      <w:bookmarkEnd w:id="1285"/>
      <w:bookmarkEnd w:id="1286"/>
    </w:p>
    <w:p w14:paraId="0E6A9894">
      <w:pPr>
        <w:ind w:firstLine="840" w:firstLineChars="400"/>
        <w:rPr>
          <w:color w:val="auto"/>
          <w:highlight w:val="none"/>
        </w:rPr>
      </w:pPr>
      <w:r>
        <w:rPr>
          <w:color w:val="auto"/>
          <w:highlight w:val="none"/>
        </w:rPr>
        <w:t>1. 应基于统一的BIM建模标准；</w:t>
      </w:r>
    </w:p>
    <w:p w14:paraId="58A014FB">
      <w:pPr>
        <w:ind w:firstLine="840" w:firstLineChars="400"/>
        <w:rPr>
          <w:color w:val="auto"/>
          <w:highlight w:val="none"/>
        </w:rPr>
      </w:pPr>
      <w:r>
        <w:rPr>
          <w:color w:val="auto"/>
          <w:highlight w:val="none"/>
        </w:rPr>
        <w:t>2. BIM模型命名规则及参数应包含工程信息；</w:t>
      </w:r>
    </w:p>
    <w:p w14:paraId="4F017491">
      <w:pPr>
        <w:ind w:firstLine="840" w:firstLineChars="400"/>
        <w:rPr>
          <w:color w:val="auto"/>
          <w:highlight w:val="none"/>
        </w:rPr>
      </w:pPr>
      <w:r>
        <w:rPr>
          <w:color w:val="auto"/>
          <w:highlight w:val="none"/>
        </w:rPr>
        <w:t>3. 造价数据应基于时间维度、空间划分、构件类型对工程进行汇总统计；</w:t>
      </w:r>
    </w:p>
    <w:p w14:paraId="336B7D93">
      <w:pPr>
        <w:ind w:firstLine="840" w:firstLineChars="400"/>
        <w:rPr>
          <w:color w:val="auto"/>
          <w:highlight w:val="none"/>
        </w:rPr>
      </w:pPr>
      <w:r>
        <w:rPr>
          <w:color w:val="auto"/>
          <w:highlight w:val="none"/>
        </w:rPr>
        <w:t>2. 各阶段模型深化应根据项目节点和进度，逐步完善BIM模型并添加造价信息；</w:t>
      </w:r>
    </w:p>
    <w:p w14:paraId="76E3F8DA">
      <w:pPr>
        <w:ind w:firstLine="840" w:firstLineChars="400"/>
        <w:rPr>
          <w:color w:val="auto"/>
          <w:highlight w:val="none"/>
        </w:rPr>
      </w:pPr>
      <w:r>
        <w:rPr>
          <w:color w:val="auto"/>
          <w:highlight w:val="none"/>
        </w:rPr>
        <w:t>3. 造价咨询方宜通过项目工作平台访问施工模型，针对BIM模型进行工程量及造价信息提取并统计，利用BIM技术辅助进行工程概算、预算及竣工结算工作。在出现变更时，运用BIM技术进行变更前后造价对比。</w:t>
      </w:r>
    </w:p>
    <w:p w14:paraId="13D424F8">
      <w:pPr>
        <w:pStyle w:val="587"/>
        <w:spacing w:before="156" w:after="156"/>
        <w:rPr>
          <w:color w:val="auto"/>
          <w:highlight w:val="none"/>
        </w:rPr>
      </w:pPr>
      <w:bookmarkStart w:id="1287" w:name="_Toc24709"/>
      <w:bookmarkStart w:id="1288" w:name="_Toc22035"/>
      <w:bookmarkStart w:id="1289" w:name="_Toc3805"/>
      <w:bookmarkStart w:id="1290" w:name="_Toc30623"/>
      <w:r>
        <w:rPr>
          <w:color w:val="auto"/>
          <w:highlight w:val="none"/>
        </w:rPr>
        <w:t>施工阶段全地形BIM应用要点包括：</w:t>
      </w:r>
      <w:bookmarkEnd w:id="1287"/>
      <w:bookmarkEnd w:id="1288"/>
      <w:bookmarkEnd w:id="1289"/>
      <w:bookmarkEnd w:id="1290"/>
    </w:p>
    <w:p w14:paraId="4CC5B352">
      <w:pPr>
        <w:ind w:firstLine="840" w:firstLineChars="400"/>
        <w:rPr>
          <w:color w:val="auto"/>
          <w:highlight w:val="none"/>
        </w:rPr>
      </w:pPr>
      <w:bookmarkStart w:id="1291" w:name="_Toc29215"/>
      <w:bookmarkStart w:id="1292" w:name="_Toc3730"/>
      <w:bookmarkStart w:id="1293" w:name="_Toc23846"/>
      <w:bookmarkStart w:id="1294" w:name="_Toc8308"/>
      <w:r>
        <w:rPr>
          <w:color w:val="auto"/>
          <w:highlight w:val="none"/>
        </w:rPr>
        <w:t>1. 施工阶段全地形BIM模型</w:t>
      </w:r>
      <w:r>
        <w:rPr>
          <w:rFonts w:hint="eastAsia"/>
          <w:color w:val="auto"/>
          <w:highlight w:val="none"/>
        </w:rPr>
        <w:t>精细度</w:t>
      </w:r>
      <w:r>
        <w:rPr>
          <w:color w:val="auto"/>
          <w:highlight w:val="none"/>
        </w:rPr>
        <w:t>不低于LOD</w:t>
      </w:r>
      <w:r>
        <w:rPr>
          <w:rFonts w:hint="eastAsia"/>
          <w:color w:val="auto"/>
          <w:highlight w:val="none"/>
        </w:rPr>
        <w:t>400</w:t>
      </w:r>
      <w:r>
        <w:rPr>
          <w:color w:val="auto"/>
          <w:highlight w:val="none"/>
        </w:rPr>
        <w:t>；</w:t>
      </w:r>
      <w:bookmarkEnd w:id="1291"/>
      <w:bookmarkEnd w:id="1292"/>
      <w:bookmarkEnd w:id="1293"/>
      <w:bookmarkEnd w:id="1294"/>
    </w:p>
    <w:p w14:paraId="38DC3533">
      <w:pPr>
        <w:ind w:firstLine="840" w:firstLineChars="400"/>
        <w:rPr>
          <w:color w:val="auto"/>
          <w:highlight w:val="none"/>
        </w:rPr>
      </w:pPr>
      <w:r>
        <w:rPr>
          <w:color w:val="auto"/>
          <w:highlight w:val="none"/>
        </w:rPr>
        <w:t>2. 利用施工全地形BIM模型进行基坑开挖方案分析、土石方量平衡、施工场地布置优化应用；</w:t>
      </w:r>
    </w:p>
    <w:p w14:paraId="2D39FB7D">
      <w:pPr>
        <w:ind w:firstLine="840" w:firstLineChars="400"/>
        <w:rPr>
          <w:color w:val="auto"/>
          <w:highlight w:val="none"/>
        </w:rPr>
      </w:pPr>
      <w:r>
        <w:rPr>
          <w:color w:val="auto"/>
          <w:highlight w:val="none"/>
        </w:rPr>
        <w:t>3. 全地形数据底座可辅助施工管理，材料管理、成本管理等，根据具体应用补充工程数据。</w:t>
      </w:r>
    </w:p>
    <w:p w14:paraId="595EDBBB">
      <w:pPr>
        <w:pStyle w:val="587"/>
        <w:spacing w:before="156" w:after="156"/>
        <w:rPr>
          <w:color w:val="auto"/>
          <w:highlight w:val="none"/>
        </w:rPr>
      </w:pPr>
      <w:bookmarkStart w:id="1295" w:name="_Toc4022"/>
      <w:bookmarkStart w:id="1296" w:name="_Toc25639"/>
      <w:bookmarkStart w:id="1297" w:name="_Toc4321"/>
      <w:bookmarkStart w:id="1298" w:name="_Toc27263"/>
      <w:r>
        <w:rPr>
          <w:color w:val="auto"/>
          <w:highlight w:val="none"/>
        </w:rPr>
        <w:t>施工单位通过对现场与BIM模型进行分析对比，确保BIM模型与现场的一致性，并向BIM总协调方提交《BIM辅助验收报告》。</w:t>
      </w:r>
      <w:bookmarkEnd w:id="1295"/>
      <w:bookmarkEnd w:id="1296"/>
      <w:bookmarkEnd w:id="1297"/>
      <w:bookmarkEnd w:id="1298"/>
    </w:p>
    <w:p w14:paraId="666311B7">
      <w:pPr>
        <w:pStyle w:val="587"/>
        <w:spacing w:before="156" w:after="156"/>
        <w:rPr>
          <w:color w:val="auto"/>
          <w:highlight w:val="none"/>
        </w:rPr>
      </w:pPr>
      <w:bookmarkStart w:id="1299" w:name="_Toc3462"/>
      <w:bookmarkStart w:id="1300" w:name="_Toc27166"/>
      <w:bookmarkStart w:id="1301" w:name="_Toc31205"/>
      <w:bookmarkStart w:id="1302" w:name="_Toc15251"/>
      <w:r>
        <w:rPr>
          <w:color w:val="auto"/>
          <w:highlight w:val="none"/>
        </w:rPr>
        <w:t>总承包单位应保证BIM模型信息的完整性及正确性。</w:t>
      </w:r>
      <w:bookmarkEnd w:id="1299"/>
      <w:bookmarkEnd w:id="1300"/>
      <w:bookmarkEnd w:id="1301"/>
      <w:bookmarkEnd w:id="1302"/>
    </w:p>
    <w:p w14:paraId="00A909CD">
      <w:pPr>
        <w:pStyle w:val="587"/>
        <w:spacing w:before="156" w:after="156"/>
        <w:rPr>
          <w:color w:val="auto"/>
          <w:highlight w:val="none"/>
        </w:rPr>
      </w:pPr>
      <w:bookmarkStart w:id="1303" w:name="_Toc23694"/>
      <w:bookmarkStart w:id="1304" w:name="_Toc990"/>
      <w:bookmarkStart w:id="1305" w:name="_Toc20623"/>
      <w:bookmarkStart w:id="1306" w:name="_Toc1258"/>
      <w:r>
        <w:rPr>
          <w:color w:val="auto"/>
          <w:highlight w:val="none"/>
        </w:rPr>
        <w:t>施工单位与造价咨询单位利用一致的BIM模型测算工程量，辅助完成项目工程结算工作，提供《BIM辅助工程量测算报告》。</w:t>
      </w:r>
      <w:bookmarkEnd w:id="1303"/>
      <w:bookmarkEnd w:id="1304"/>
      <w:bookmarkEnd w:id="1305"/>
      <w:bookmarkEnd w:id="1306"/>
    </w:p>
    <w:p w14:paraId="64A5711C">
      <w:pPr>
        <w:pStyle w:val="587"/>
        <w:spacing w:before="156" w:after="156"/>
        <w:rPr>
          <w:color w:val="auto"/>
          <w:highlight w:val="none"/>
        </w:rPr>
      </w:pPr>
      <w:bookmarkStart w:id="1307" w:name="_Toc6258"/>
      <w:bookmarkStart w:id="1308" w:name="_Toc13463"/>
      <w:bookmarkStart w:id="1309" w:name="_Toc4487"/>
      <w:bookmarkStart w:id="1310" w:name="_Toc6214"/>
      <w:r>
        <w:rPr>
          <w:color w:val="auto"/>
          <w:highlight w:val="none"/>
        </w:rPr>
        <w:t>施工总承包单位应汇集各参与方施工阶段BIM成果，提交BIM总协调方，形成竣工BIM成果。竣工BIM模型的深度应符合“附表3各阶段BIM模型精细度要求”中LOD500的</w:t>
      </w:r>
      <w:r>
        <w:rPr>
          <w:rFonts w:hint="eastAsia"/>
          <w:color w:val="auto"/>
          <w:highlight w:val="none"/>
        </w:rPr>
        <w:t>精细度</w:t>
      </w:r>
      <w:r>
        <w:rPr>
          <w:color w:val="auto"/>
          <w:highlight w:val="none"/>
        </w:rPr>
        <w:t>要求。竣工BIM成果应包括但不限于以下内容：</w:t>
      </w:r>
      <w:bookmarkEnd w:id="1307"/>
      <w:bookmarkEnd w:id="1308"/>
      <w:bookmarkEnd w:id="1309"/>
      <w:bookmarkEnd w:id="1310"/>
    </w:p>
    <w:p w14:paraId="5FD3F927">
      <w:pPr>
        <w:ind w:firstLine="840" w:firstLineChars="400"/>
        <w:rPr>
          <w:color w:val="auto"/>
          <w:highlight w:val="none"/>
        </w:rPr>
      </w:pPr>
      <w:r>
        <w:rPr>
          <w:color w:val="auto"/>
          <w:highlight w:val="none"/>
        </w:rPr>
        <w:t>1. 竣工BIM模型（包含正确的施工阶段几何信息及非几何信息）；</w:t>
      </w:r>
    </w:p>
    <w:p w14:paraId="08377364">
      <w:pPr>
        <w:ind w:firstLine="840" w:firstLineChars="400"/>
        <w:rPr>
          <w:color w:val="auto"/>
          <w:highlight w:val="none"/>
        </w:rPr>
      </w:pPr>
      <w:r>
        <w:rPr>
          <w:color w:val="auto"/>
          <w:highlight w:val="none"/>
        </w:rPr>
        <w:t>2. 竣工BIM成果资料（过程实施资料及多媒体资料、工程量清单、模拟方案、汇报报告）；</w:t>
      </w:r>
    </w:p>
    <w:p w14:paraId="031AAA41">
      <w:pPr>
        <w:ind w:firstLine="840" w:firstLineChars="400"/>
        <w:rPr>
          <w:color w:val="auto"/>
          <w:highlight w:val="none"/>
        </w:rPr>
      </w:pPr>
      <w:r>
        <w:rPr>
          <w:color w:val="auto"/>
          <w:highlight w:val="none"/>
        </w:rPr>
        <w:t>3. 施工阶段BIM应用构件资源库；</w:t>
      </w:r>
    </w:p>
    <w:p w14:paraId="3F564425">
      <w:pPr>
        <w:ind w:firstLine="840" w:firstLineChars="400"/>
        <w:rPr>
          <w:color w:val="auto"/>
          <w:highlight w:val="none"/>
        </w:rPr>
      </w:pPr>
      <w:r>
        <w:rPr>
          <w:color w:val="auto"/>
          <w:highlight w:val="none"/>
        </w:rPr>
        <w:t>4. 《BIM辅助验收报告》；</w:t>
      </w:r>
    </w:p>
    <w:p w14:paraId="1C71E441">
      <w:pPr>
        <w:ind w:firstLine="840" w:firstLineChars="400"/>
        <w:rPr>
          <w:color w:val="auto"/>
          <w:highlight w:val="none"/>
        </w:rPr>
      </w:pPr>
      <w:r>
        <w:rPr>
          <w:color w:val="auto"/>
          <w:highlight w:val="none"/>
        </w:rPr>
        <w:t>5. 《BIM辅助工程量测算报告》。</w:t>
      </w:r>
    </w:p>
    <w:p w14:paraId="6C1382C8">
      <w:pPr>
        <w:pStyle w:val="587"/>
        <w:spacing w:before="156" w:after="156"/>
        <w:rPr>
          <w:color w:val="auto"/>
          <w:highlight w:val="none"/>
        </w:rPr>
      </w:pPr>
      <w:bookmarkStart w:id="1311" w:name="_Toc5827"/>
      <w:bookmarkStart w:id="1312" w:name="_Toc6679"/>
      <w:bookmarkStart w:id="1313" w:name="_Toc16770"/>
      <w:bookmarkStart w:id="1314" w:name="_Toc18500"/>
      <w:r>
        <w:rPr>
          <w:color w:val="auto"/>
          <w:highlight w:val="none"/>
        </w:rPr>
        <w:t>BIM总协调方组织施工各参与单位进行竣工BIM验收，编制《竣工验收BIM报告》，BIM总协调方验收包括：</w:t>
      </w:r>
      <w:bookmarkEnd w:id="1311"/>
      <w:bookmarkEnd w:id="1312"/>
      <w:bookmarkEnd w:id="1313"/>
      <w:bookmarkEnd w:id="1314"/>
    </w:p>
    <w:p w14:paraId="7DAD25FF">
      <w:pPr>
        <w:ind w:firstLine="840" w:firstLineChars="400"/>
        <w:rPr>
          <w:color w:val="auto"/>
          <w:highlight w:val="none"/>
        </w:rPr>
      </w:pPr>
      <w:bookmarkStart w:id="1315" w:name="_Toc26734"/>
      <w:bookmarkStart w:id="1316" w:name="_Toc9241"/>
      <w:bookmarkStart w:id="1317" w:name="_Toc15241"/>
      <w:bookmarkStart w:id="1318" w:name="_Toc18912"/>
      <w:r>
        <w:rPr>
          <w:color w:val="auto"/>
          <w:highlight w:val="none"/>
        </w:rPr>
        <w:t>1. 竣工BIM模型深度是否满足LOD标准要求；</w:t>
      </w:r>
      <w:bookmarkEnd w:id="1315"/>
      <w:bookmarkEnd w:id="1316"/>
      <w:bookmarkEnd w:id="1317"/>
      <w:bookmarkEnd w:id="1318"/>
    </w:p>
    <w:p w14:paraId="3D7A8BF6">
      <w:pPr>
        <w:ind w:firstLine="840" w:firstLineChars="400"/>
        <w:rPr>
          <w:color w:val="auto"/>
          <w:highlight w:val="none"/>
        </w:rPr>
      </w:pPr>
      <w:r>
        <w:rPr>
          <w:color w:val="auto"/>
          <w:highlight w:val="none"/>
        </w:rPr>
        <w:t>2. 竣工BIM模型的几何信息与非几何信息的格式是否满足《施工阶段BIM实施方案》中关于交付成果的要求；</w:t>
      </w:r>
    </w:p>
    <w:p w14:paraId="7829099E">
      <w:pPr>
        <w:ind w:firstLine="840" w:firstLineChars="400"/>
        <w:rPr>
          <w:color w:val="auto"/>
          <w:highlight w:val="none"/>
        </w:rPr>
      </w:pPr>
      <w:r>
        <w:rPr>
          <w:color w:val="auto"/>
          <w:highlight w:val="none"/>
        </w:rPr>
        <w:t>3. BIM竣工成果资料是否齐全及符合要求；</w:t>
      </w:r>
    </w:p>
    <w:p w14:paraId="4B0DDAC6">
      <w:pPr>
        <w:ind w:firstLine="840" w:firstLineChars="400"/>
        <w:rPr>
          <w:color w:val="auto"/>
          <w:highlight w:val="none"/>
        </w:rPr>
      </w:pPr>
      <w:r>
        <w:rPr>
          <w:color w:val="auto"/>
          <w:highlight w:val="none"/>
        </w:rPr>
        <w:t>4. 施工阶段BIM应用构件资源库是否齐全及满足要求。</w:t>
      </w:r>
    </w:p>
    <w:p w14:paraId="7D762888">
      <w:pPr>
        <w:pStyle w:val="587"/>
        <w:spacing w:before="156" w:after="156"/>
        <w:rPr>
          <w:color w:val="auto"/>
          <w:highlight w:val="none"/>
        </w:rPr>
      </w:pPr>
      <w:bookmarkStart w:id="1319" w:name="_Toc9736"/>
      <w:bookmarkStart w:id="1320" w:name="_Toc20151"/>
      <w:bookmarkStart w:id="1321" w:name="_Toc6360"/>
      <w:bookmarkStart w:id="1322" w:name="_Toc29408"/>
      <w:r>
        <w:rPr>
          <w:color w:val="auto"/>
          <w:highlight w:val="none"/>
        </w:rPr>
        <w:t>监理单位验收内容如下：</w:t>
      </w:r>
      <w:bookmarkEnd w:id="1319"/>
      <w:bookmarkEnd w:id="1320"/>
      <w:bookmarkEnd w:id="1321"/>
      <w:bookmarkEnd w:id="1322"/>
    </w:p>
    <w:p w14:paraId="646DD249">
      <w:pPr>
        <w:ind w:firstLine="840" w:firstLineChars="400"/>
        <w:rPr>
          <w:color w:val="auto"/>
          <w:highlight w:val="none"/>
        </w:rPr>
      </w:pPr>
      <w:bookmarkStart w:id="1323" w:name="_Toc21348"/>
      <w:bookmarkStart w:id="1324" w:name="_Toc29661"/>
      <w:bookmarkStart w:id="1325" w:name="_Toc19471"/>
      <w:bookmarkStart w:id="1326" w:name="_Toc11944"/>
      <w:r>
        <w:rPr>
          <w:color w:val="auto"/>
          <w:highlight w:val="none"/>
        </w:rPr>
        <w:t>1. 竣工BIM模型的几何信息是否与现场实际施工完整且一致；</w:t>
      </w:r>
      <w:bookmarkEnd w:id="1323"/>
      <w:bookmarkEnd w:id="1324"/>
      <w:bookmarkEnd w:id="1325"/>
      <w:bookmarkEnd w:id="1326"/>
    </w:p>
    <w:p w14:paraId="30BAFEFD">
      <w:pPr>
        <w:ind w:firstLine="840" w:firstLineChars="400"/>
        <w:rPr>
          <w:color w:val="auto"/>
          <w:highlight w:val="none"/>
        </w:rPr>
      </w:pPr>
      <w:r>
        <w:rPr>
          <w:color w:val="auto"/>
          <w:highlight w:val="none"/>
        </w:rPr>
        <w:t>2. 竣工BIM模型的非几何信息是否与现场实际施工完整且一致；</w:t>
      </w:r>
    </w:p>
    <w:p w14:paraId="6B0F6769">
      <w:pPr>
        <w:ind w:firstLine="840" w:firstLineChars="400"/>
        <w:rPr>
          <w:color w:val="auto"/>
          <w:highlight w:val="none"/>
        </w:rPr>
      </w:pPr>
      <w:r>
        <w:rPr>
          <w:color w:val="auto"/>
          <w:highlight w:val="none"/>
        </w:rPr>
        <w:t>3. 《BIM辅助验收报告》是否满足竣工验收要求；</w:t>
      </w:r>
    </w:p>
    <w:p w14:paraId="6357DB69">
      <w:pPr>
        <w:ind w:firstLine="840" w:firstLineChars="400"/>
        <w:rPr>
          <w:color w:val="auto"/>
          <w:highlight w:val="none"/>
        </w:rPr>
      </w:pPr>
      <w:r>
        <w:rPr>
          <w:color w:val="auto"/>
          <w:highlight w:val="none"/>
        </w:rPr>
        <w:t>4. 《BIM辅助工程量测算报告》是否满足工程结算要求。</w:t>
      </w:r>
    </w:p>
    <w:p w14:paraId="5235E6A5">
      <w:pPr>
        <w:pStyle w:val="587"/>
        <w:spacing w:before="156" w:after="156"/>
        <w:rPr>
          <w:color w:val="auto"/>
          <w:highlight w:val="none"/>
        </w:rPr>
      </w:pPr>
      <w:bookmarkStart w:id="1327" w:name="_Toc20054"/>
      <w:bookmarkStart w:id="1328" w:name="_Toc29547"/>
      <w:bookmarkStart w:id="1329" w:name="_Toc22062"/>
      <w:bookmarkStart w:id="1330" w:name="_Toc32451"/>
      <w:r>
        <w:rPr>
          <w:color w:val="auto"/>
          <w:highlight w:val="none"/>
        </w:rPr>
        <w:t>竣工BIM模型验收通过后，BIM总协调方整理工程竣工最终BIM成果资料，提交代建局项目建设管理部备案。</w:t>
      </w:r>
      <w:bookmarkEnd w:id="1327"/>
      <w:bookmarkEnd w:id="1328"/>
      <w:bookmarkEnd w:id="1329"/>
      <w:bookmarkEnd w:id="1330"/>
    </w:p>
    <w:p w14:paraId="7F8C5924">
      <w:pPr>
        <w:pStyle w:val="587"/>
        <w:spacing w:before="156" w:after="156"/>
        <w:rPr>
          <w:color w:val="auto"/>
          <w:highlight w:val="none"/>
        </w:rPr>
      </w:pPr>
      <w:bookmarkStart w:id="1331" w:name="_Toc20273"/>
      <w:bookmarkStart w:id="1332" w:name="_Toc27580"/>
      <w:bookmarkStart w:id="1333" w:name="_Toc15086"/>
      <w:bookmarkStart w:id="1334" w:name="_Toc5486"/>
      <w:r>
        <w:rPr>
          <w:color w:val="auto"/>
          <w:highlight w:val="none"/>
        </w:rPr>
        <w:t>BIM总协调方应提交《项目BIM实施最终成果报告》，报告应包括但不限于以下内容：</w:t>
      </w:r>
      <w:bookmarkEnd w:id="1331"/>
      <w:bookmarkEnd w:id="1332"/>
      <w:bookmarkEnd w:id="1333"/>
      <w:bookmarkEnd w:id="1334"/>
    </w:p>
    <w:p w14:paraId="4C26833C">
      <w:pPr>
        <w:ind w:firstLine="840" w:firstLineChars="400"/>
        <w:rPr>
          <w:color w:val="auto"/>
          <w:highlight w:val="none"/>
        </w:rPr>
      </w:pPr>
      <w:r>
        <w:rPr>
          <w:color w:val="auto"/>
          <w:highlight w:val="none"/>
        </w:rPr>
        <w:t>1. 工程BIM实施概述；</w:t>
      </w:r>
    </w:p>
    <w:p w14:paraId="7A263582">
      <w:pPr>
        <w:ind w:firstLine="840" w:firstLineChars="400"/>
        <w:rPr>
          <w:color w:val="auto"/>
          <w:highlight w:val="none"/>
        </w:rPr>
      </w:pPr>
      <w:r>
        <w:rPr>
          <w:color w:val="auto"/>
          <w:highlight w:val="none"/>
        </w:rPr>
        <w:t>2. 应用成果点；</w:t>
      </w:r>
    </w:p>
    <w:p w14:paraId="7B5E549B">
      <w:pPr>
        <w:ind w:firstLine="840" w:firstLineChars="400"/>
        <w:rPr>
          <w:color w:val="auto"/>
          <w:highlight w:val="none"/>
        </w:rPr>
      </w:pPr>
      <w:r>
        <w:rPr>
          <w:color w:val="auto"/>
          <w:highlight w:val="none"/>
        </w:rPr>
        <w:t>3. 实施总结；</w:t>
      </w:r>
    </w:p>
    <w:p w14:paraId="6DA6A2D3">
      <w:pPr>
        <w:ind w:firstLine="840" w:firstLineChars="400"/>
        <w:rPr>
          <w:color w:val="auto"/>
          <w:highlight w:val="none"/>
        </w:rPr>
      </w:pPr>
      <w:r>
        <w:rPr>
          <w:color w:val="auto"/>
          <w:highlight w:val="none"/>
        </w:rPr>
        <w:t>4. 优化建议。</w:t>
      </w:r>
    </w:p>
    <w:p w14:paraId="0E4CE2FC">
      <w:pPr>
        <w:ind w:firstLine="840" w:firstLineChars="400"/>
        <w:rPr>
          <w:color w:val="auto"/>
          <w:highlight w:val="none"/>
        </w:rPr>
      </w:pPr>
    </w:p>
    <w:p w14:paraId="0A38A775">
      <w:pPr>
        <w:pStyle w:val="3"/>
        <w:rPr>
          <w:color w:val="auto"/>
          <w:highlight w:val="none"/>
        </w:rPr>
      </w:pPr>
      <w:bookmarkStart w:id="1335" w:name="_Toc17859"/>
      <w:bookmarkStart w:id="1336" w:name="_Toc11199"/>
      <w:bookmarkStart w:id="1337" w:name="_Toc1352"/>
      <w:bookmarkStart w:id="1338" w:name="_Toc6525"/>
      <w:r>
        <w:rPr>
          <w:color w:val="auto"/>
          <w:highlight w:val="none"/>
        </w:rPr>
        <w:t>运维阶段管理</w:t>
      </w:r>
      <w:bookmarkEnd w:id="1335"/>
      <w:bookmarkEnd w:id="1336"/>
      <w:bookmarkEnd w:id="1337"/>
      <w:bookmarkEnd w:id="1338"/>
    </w:p>
    <w:p w14:paraId="70CD8181">
      <w:pPr>
        <w:pStyle w:val="587"/>
        <w:spacing w:before="156" w:after="156"/>
        <w:rPr>
          <w:color w:val="auto"/>
          <w:highlight w:val="none"/>
        </w:rPr>
      </w:pPr>
      <w:bookmarkStart w:id="1339" w:name="_Toc22054"/>
      <w:bookmarkStart w:id="1340" w:name="_Toc4814"/>
      <w:bookmarkStart w:id="1341" w:name="_Toc15492"/>
      <w:bookmarkStart w:id="1342" w:name="_Toc14085"/>
      <w:r>
        <w:rPr>
          <w:color w:val="auto"/>
          <w:highlight w:val="none"/>
        </w:rPr>
        <w:t>项目运维方搭建基于BIM的项目运维管理平台并提出BIM信息提取及格式要求。</w:t>
      </w:r>
      <w:bookmarkEnd w:id="1339"/>
      <w:bookmarkEnd w:id="1340"/>
      <w:bookmarkEnd w:id="1341"/>
      <w:bookmarkEnd w:id="1342"/>
    </w:p>
    <w:p w14:paraId="498E0B77">
      <w:pPr>
        <w:pStyle w:val="587"/>
        <w:spacing w:before="156" w:after="156"/>
        <w:rPr>
          <w:color w:val="auto"/>
          <w:highlight w:val="none"/>
        </w:rPr>
      </w:pPr>
      <w:bookmarkStart w:id="1343" w:name="_Toc19543"/>
      <w:bookmarkStart w:id="1344" w:name="_Toc10161"/>
      <w:bookmarkStart w:id="1345" w:name="_Toc16355"/>
      <w:bookmarkStart w:id="1346" w:name="_Toc32426"/>
      <w:r>
        <w:rPr>
          <w:color w:val="auto"/>
          <w:highlight w:val="none"/>
        </w:rPr>
        <w:t>BIM总协调方与项目运维单位确定BIM数据交付要求及数据格式。</w:t>
      </w:r>
      <w:bookmarkEnd w:id="1343"/>
      <w:bookmarkEnd w:id="1344"/>
      <w:bookmarkEnd w:id="1345"/>
      <w:bookmarkEnd w:id="1346"/>
    </w:p>
    <w:p w14:paraId="3CE145A0">
      <w:pPr>
        <w:pStyle w:val="587"/>
        <w:spacing w:before="156" w:after="156"/>
        <w:rPr>
          <w:color w:val="auto"/>
          <w:highlight w:val="none"/>
        </w:rPr>
      </w:pPr>
      <w:bookmarkStart w:id="1347" w:name="_Toc14019"/>
      <w:bookmarkStart w:id="1348" w:name="_Toc19809"/>
      <w:bookmarkStart w:id="1349" w:name="_Toc18737"/>
      <w:bookmarkStart w:id="1350" w:name="_Toc19962"/>
      <w:r>
        <w:rPr>
          <w:color w:val="auto"/>
          <w:highlight w:val="none"/>
        </w:rPr>
        <w:t>BIM总协调根据运维单位的要求，整理BIM竣工模型信息及格式要求后，向运维单位进行BIM成果移交。</w:t>
      </w:r>
      <w:bookmarkEnd w:id="1347"/>
      <w:bookmarkEnd w:id="1348"/>
      <w:bookmarkEnd w:id="1349"/>
      <w:bookmarkEnd w:id="1350"/>
    </w:p>
    <w:p w14:paraId="3F724649">
      <w:pPr>
        <w:pStyle w:val="587"/>
        <w:spacing w:before="156" w:after="156"/>
        <w:rPr>
          <w:color w:val="auto"/>
          <w:highlight w:val="none"/>
        </w:rPr>
      </w:pPr>
      <w:bookmarkStart w:id="1351" w:name="_Toc9475"/>
      <w:bookmarkStart w:id="1352" w:name="_Toc27182"/>
      <w:bookmarkStart w:id="1353" w:name="_Toc8911"/>
      <w:bookmarkStart w:id="1354" w:name="_Toc6813"/>
      <w:r>
        <w:rPr>
          <w:color w:val="auto"/>
          <w:highlight w:val="none"/>
        </w:rPr>
        <w:t>BIM总协调方对运维单位进行BIM成果移交技术交底。</w:t>
      </w:r>
      <w:bookmarkEnd w:id="1351"/>
      <w:bookmarkEnd w:id="1352"/>
      <w:bookmarkEnd w:id="1353"/>
      <w:bookmarkEnd w:id="1354"/>
    </w:p>
    <w:p w14:paraId="627BB728">
      <w:pPr>
        <w:pStyle w:val="587"/>
        <w:spacing w:before="156" w:after="156"/>
        <w:rPr>
          <w:color w:val="auto"/>
          <w:highlight w:val="none"/>
        </w:rPr>
      </w:pPr>
      <w:bookmarkStart w:id="1355" w:name="_Toc8909"/>
      <w:bookmarkStart w:id="1356" w:name="_Toc29517"/>
      <w:bookmarkStart w:id="1357" w:name="_Toc5806"/>
      <w:bookmarkStart w:id="1358" w:name="_Toc17398"/>
      <w:r>
        <w:rPr>
          <w:color w:val="auto"/>
          <w:highlight w:val="none"/>
        </w:rPr>
        <w:t>BIM总协调方与运维单位进行实时沟通和回访，线上处理运维单位提出的问题并根据合同要求进行模型信息维护和更新。</w:t>
      </w:r>
      <w:bookmarkEnd w:id="1355"/>
      <w:bookmarkEnd w:id="1356"/>
      <w:bookmarkEnd w:id="1357"/>
      <w:bookmarkEnd w:id="1358"/>
    </w:p>
    <w:p w14:paraId="0EA1B978">
      <w:pPr>
        <w:pStyle w:val="587"/>
        <w:spacing w:before="156" w:after="156"/>
        <w:rPr>
          <w:color w:val="auto"/>
          <w:highlight w:val="none"/>
        </w:rPr>
      </w:pPr>
      <w:bookmarkStart w:id="1359" w:name="_Toc28469"/>
      <w:bookmarkStart w:id="1360" w:name="_Toc885"/>
      <w:bookmarkStart w:id="1361" w:name="_Toc23933"/>
      <w:bookmarkStart w:id="1362" w:name="_Toc7314"/>
      <w:r>
        <w:rPr>
          <w:color w:val="auto"/>
          <w:highlight w:val="none"/>
        </w:rPr>
        <w:t>BIM运维管理主要应包括五个方面内容：空间管理、资产管理、运维管理、公共安全管理、能耗管理，其功能包括但不限于的内容详见《附件：BIM实施导则》附图13。</w:t>
      </w:r>
      <w:bookmarkEnd w:id="1359"/>
      <w:bookmarkEnd w:id="1360"/>
      <w:bookmarkEnd w:id="1361"/>
      <w:bookmarkEnd w:id="1362"/>
    </w:p>
    <w:p w14:paraId="50F2DECB">
      <w:pPr>
        <w:pStyle w:val="3"/>
        <w:rPr>
          <w:color w:val="auto"/>
          <w:highlight w:val="none"/>
        </w:rPr>
      </w:pPr>
      <w:bookmarkStart w:id="1363" w:name="_Toc26172"/>
      <w:bookmarkStart w:id="1364" w:name="_Toc20353"/>
      <w:bookmarkStart w:id="1365" w:name="_Toc17954"/>
      <w:bookmarkStart w:id="1366" w:name="_Toc30850"/>
      <w:r>
        <w:rPr>
          <w:color w:val="auto"/>
          <w:highlight w:val="none"/>
        </w:rPr>
        <w:t>项目协调机制</w:t>
      </w:r>
      <w:bookmarkEnd w:id="1363"/>
      <w:bookmarkEnd w:id="1364"/>
      <w:bookmarkEnd w:id="1365"/>
      <w:bookmarkEnd w:id="1366"/>
    </w:p>
    <w:p w14:paraId="48577B19">
      <w:pPr>
        <w:pStyle w:val="587"/>
        <w:spacing w:before="156" w:after="156"/>
        <w:rPr>
          <w:color w:val="auto"/>
          <w:highlight w:val="none"/>
        </w:rPr>
      </w:pPr>
      <w:bookmarkStart w:id="1367" w:name="_Toc21567"/>
      <w:bookmarkStart w:id="1368" w:name="_Toc28484"/>
      <w:bookmarkStart w:id="1369" w:name="_Toc4819"/>
      <w:bookmarkStart w:id="1370" w:name="_Toc10234"/>
      <w:r>
        <w:rPr>
          <w:color w:val="auto"/>
          <w:highlight w:val="none"/>
        </w:rPr>
        <w:t>在项目实施过程中，项目协调例会应使用BIM三维可视化技术进行方案讨论及定案。</w:t>
      </w:r>
      <w:bookmarkEnd w:id="1367"/>
      <w:bookmarkEnd w:id="1368"/>
      <w:bookmarkEnd w:id="1369"/>
      <w:bookmarkEnd w:id="1370"/>
    </w:p>
    <w:p w14:paraId="5543D57E">
      <w:pPr>
        <w:pStyle w:val="587"/>
        <w:spacing w:before="156" w:after="156"/>
        <w:rPr>
          <w:color w:val="auto"/>
          <w:highlight w:val="none"/>
        </w:rPr>
      </w:pPr>
      <w:bookmarkStart w:id="1371" w:name="_Toc15562"/>
      <w:bookmarkStart w:id="1372" w:name="_Toc12307"/>
      <w:bookmarkStart w:id="1373" w:name="_Toc31234"/>
      <w:bookmarkStart w:id="1374" w:name="_Toc3110"/>
      <w:r>
        <w:rPr>
          <w:color w:val="auto"/>
          <w:highlight w:val="none"/>
        </w:rPr>
        <w:t>BIM总协调方应定期组织BIM协调例会，各参与方BIM负责人参与。BIM协调例会包括BIM设计例会及BIM工程管理例会。BIM协调例会议程包括：</w:t>
      </w:r>
      <w:bookmarkEnd w:id="1371"/>
      <w:bookmarkEnd w:id="1372"/>
      <w:bookmarkEnd w:id="1373"/>
      <w:bookmarkEnd w:id="1374"/>
    </w:p>
    <w:p w14:paraId="180244C9">
      <w:pPr>
        <w:ind w:firstLine="840" w:firstLineChars="400"/>
        <w:rPr>
          <w:color w:val="auto"/>
          <w:highlight w:val="none"/>
        </w:rPr>
      </w:pPr>
      <w:bookmarkStart w:id="1375" w:name="_Toc26176"/>
      <w:bookmarkStart w:id="1376" w:name="_Toc22458"/>
      <w:bookmarkStart w:id="1377" w:name="_Toc3949"/>
      <w:bookmarkStart w:id="1378" w:name="_Toc12387"/>
      <w:r>
        <w:rPr>
          <w:color w:val="auto"/>
          <w:highlight w:val="none"/>
        </w:rPr>
        <w:t>1. 对上次例会中关于BIM工作要求落实情况的检查；</w:t>
      </w:r>
      <w:bookmarkEnd w:id="1375"/>
      <w:bookmarkEnd w:id="1376"/>
      <w:bookmarkEnd w:id="1377"/>
      <w:bookmarkEnd w:id="1378"/>
    </w:p>
    <w:p w14:paraId="73C8FB9F">
      <w:pPr>
        <w:ind w:firstLine="840" w:firstLineChars="400"/>
        <w:rPr>
          <w:color w:val="auto"/>
          <w:highlight w:val="none"/>
        </w:rPr>
      </w:pPr>
      <w:r>
        <w:rPr>
          <w:color w:val="auto"/>
          <w:highlight w:val="none"/>
        </w:rPr>
        <w:t>2. 对本次例会的BIM工作存在问题进行讨论并提出解决方案（包含落实方、完成时间等）；</w:t>
      </w:r>
    </w:p>
    <w:p w14:paraId="2347D71D">
      <w:pPr>
        <w:ind w:firstLine="840" w:firstLineChars="400"/>
        <w:rPr>
          <w:color w:val="auto"/>
          <w:highlight w:val="none"/>
        </w:rPr>
      </w:pPr>
      <w:r>
        <w:rPr>
          <w:color w:val="auto"/>
          <w:highlight w:val="none"/>
        </w:rPr>
        <w:t>3. 对下一阶段BIM工作的要求；</w:t>
      </w:r>
    </w:p>
    <w:p w14:paraId="1C18C11C">
      <w:pPr>
        <w:ind w:firstLine="840" w:firstLineChars="400"/>
        <w:rPr>
          <w:color w:val="auto"/>
          <w:highlight w:val="none"/>
        </w:rPr>
      </w:pPr>
      <w:r>
        <w:rPr>
          <w:color w:val="auto"/>
          <w:highlight w:val="none"/>
        </w:rPr>
        <w:t>4. 其他关于BIM的工作。</w:t>
      </w:r>
    </w:p>
    <w:p w14:paraId="31677D50">
      <w:pPr>
        <w:pStyle w:val="587"/>
        <w:spacing w:before="156" w:after="156"/>
        <w:rPr>
          <w:color w:val="auto"/>
          <w:highlight w:val="none"/>
        </w:rPr>
      </w:pPr>
      <w:bookmarkStart w:id="1379" w:name="_Toc11615"/>
      <w:bookmarkStart w:id="1380" w:name="_Toc22340"/>
      <w:bookmarkStart w:id="1381" w:name="_Toc15931"/>
      <w:bookmarkStart w:id="1382" w:name="_Toc13936"/>
      <w:r>
        <w:rPr>
          <w:color w:val="auto"/>
          <w:highlight w:val="none"/>
        </w:rPr>
        <w:t>BIM总协调方在会议结束后及时整理好会议纪要发给各参与方确认，在整理好会议纪要后提交给代建局前期工作部或项目建设管理部。</w:t>
      </w:r>
      <w:bookmarkEnd w:id="1379"/>
      <w:bookmarkEnd w:id="1380"/>
      <w:bookmarkEnd w:id="1381"/>
      <w:bookmarkEnd w:id="1382"/>
    </w:p>
    <w:p w14:paraId="057132BC">
      <w:pPr>
        <w:pStyle w:val="3"/>
        <w:rPr>
          <w:color w:val="auto"/>
          <w:highlight w:val="none"/>
        </w:rPr>
      </w:pPr>
      <w:bookmarkStart w:id="1383" w:name="_Toc23534"/>
      <w:bookmarkStart w:id="1384" w:name="_Toc15990"/>
      <w:bookmarkStart w:id="1385" w:name="_Toc18887"/>
      <w:bookmarkStart w:id="1386" w:name="_Toc7588"/>
      <w:r>
        <w:rPr>
          <w:color w:val="auto"/>
          <w:highlight w:val="none"/>
        </w:rPr>
        <w:t>项目质量控制</w:t>
      </w:r>
      <w:bookmarkEnd w:id="1383"/>
      <w:bookmarkEnd w:id="1384"/>
      <w:bookmarkEnd w:id="1385"/>
      <w:bookmarkEnd w:id="1386"/>
    </w:p>
    <w:p w14:paraId="16531C1D">
      <w:pPr>
        <w:pStyle w:val="587"/>
        <w:spacing w:before="156" w:after="156"/>
        <w:rPr>
          <w:color w:val="auto"/>
          <w:highlight w:val="none"/>
        </w:rPr>
      </w:pPr>
      <w:bookmarkStart w:id="1387" w:name="_Toc6440"/>
      <w:bookmarkStart w:id="1388" w:name="_Toc491"/>
      <w:bookmarkStart w:id="1389" w:name="_Toc9115"/>
      <w:bookmarkStart w:id="1390" w:name="_Toc23861"/>
      <w:r>
        <w:rPr>
          <w:color w:val="auto"/>
          <w:highlight w:val="none"/>
        </w:rPr>
        <w:t>BIM总协调方作为本项目BIM实施工作质量监督管理单位，应协助代建局前期工作部或项目建设管理部对各参与方交付的BIM模型及成果进行质量检查。</w:t>
      </w:r>
      <w:bookmarkEnd w:id="1387"/>
      <w:bookmarkEnd w:id="1388"/>
      <w:bookmarkEnd w:id="1389"/>
      <w:bookmarkEnd w:id="1390"/>
    </w:p>
    <w:p w14:paraId="647DAF1D">
      <w:pPr>
        <w:pStyle w:val="587"/>
        <w:spacing w:before="156" w:after="156"/>
        <w:rPr>
          <w:color w:val="auto"/>
          <w:highlight w:val="none"/>
        </w:rPr>
      </w:pPr>
      <w:bookmarkStart w:id="1391" w:name="_Toc3498"/>
      <w:bookmarkStart w:id="1392" w:name="_Toc361"/>
      <w:bookmarkStart w:id="1393" w:name="_Toc18611"/>
      <w:bookmarkStart w:id="1394" w:name="_Toc12737"/>
      <w:r>
        <w:rPr>
          <w:color w:val="auto"/>
          <w:highlight w:val="none"/>
        </w:rPr>
        <w:t>BIM总协调方根据质量检查结果出具整改通知单，各参与单位根据整改通知单内容对BIM模型及成果进行修改。</w:t>
      </w:r>
      <w:bookmarkEnd w:id="1391"/>
      <w:bookmarkEnd w:id="1392"/>
      <w:bookmarkEnd w:id="1393"/>
      <w:bookmarkEnd w:id="1394"/>
    </w:p>
    <w:p w14:paraId="43EFD4C7">
      <w:pPr>
        <w:pStyle w:val="587"/>
        <w:spacing w:before="156" w:after="156"/>
        <w:rPr>
          <w:color w:val="auto"/>
          <w:highlight w:val="none"/>
        </w:rPr>
      </w:pPr>
      <w:bookmarkStart w:id="1395" w:name="_Toc25095"/>
      <w:bookmarkStart w:id="1396" w:name="_Toc32408"/>
      <w:bookmarkStart w:id="1397" w:name="_Toc17313"/>
      <w:bookmarkStart w:id="1398" w:name="_Toc25801"/>
      <w:r>
        <w:rPr>
          <w:color w:val="auto"/>
          <w:highlight w:val="none"/>
        </w:rPr>
        <w:t>质量检查的结果及整改通知单文件记录由BIM总协调单位归档后提交代建局前期工作部或项目建设管理部。</w:t>
      </w:r>
      <w:bookmarkEnd w:id="1395"/>
      <w:bookmarkEnd w:id="1396"/>
      <w:bookmarkEnd w:id="1397"/>
      <w:bookmarkEnd w:id="1398"/>
    </w:p>
    <w:p w14:paraId="31D1B8E7">
      <w:pPr>
        <w:rPr>
          <w:color w:val="auto"/>
          <w:highlight w:val="none"/>
        </w:rPr>
      </w:pPr>
    </w:p>
    <w:p w14:paraId="1B46833C">
      <w:pPr>
        <w:rPr>
          <w:color w:val="auto"/>
          <w:highlight w:val="none"/>
        </w:rPr>
      </w:pPr>
    </w:p>
    <w:p w14:paraId="49B81596">
      <w:pPr>
        <w:rPr>
          <w:color w:val="auto"/>
          <w:highlight w:val="none"/>
        </w:rPr>
        <w:sectPr>
          <w:pgSz w:w="11906" w:h="16838"/>
          <w:pgMar w:top="1440" w:right="1800" w:bottom="1440" w:left="1800" w:header="851" w:footer="992" w:gutter="0"/>
          <w:cols w:space="720" w:num="1"/>
          <w:docGrid w:type="lines" w:linePitch="312" w:charSpace="0"/>
        </w:sectPr>
      </w:pPr>
    </w:p>
    <w:p w14:paraId="53011630">
      <w:pPr>
        <w:pStyle w:val="2"/>
        <w:spacing w:before="936" w:after="624"/>
        <w:rPr>
          <w:color w:val="auto"/>
          <w:highlight w:val="none"/>
        </w:rPr>
      </w:pPr>
      <w:bookmarkStart w:id="1399" w:name="_Toc20035"/>
      <w:bookmarkStart w:id="1400" w:name="_Toc24776"/>
      <w:bookmarkStart w:id="1401" w:name="_Toc448"/>
      <w:bookmarkStart w:id="1402" w:name="_Toc30447"/>
      <w:bookmarkStart w:id="1403" w:name="_Toc8353"/>
      <w:r>
        <w:rPr>
          <w:color w:val="auto"/>
          <w:highlight w:val="none"/>
        </w:rPr>
        <w:t>交付成果</w:t>
      </w:r>
      <w:bookmarkEnd w:id="1399"/>
      <w:bookmarkEnd w:id="1400"/>
      <w:bookmarkEnd w:id="1401"/>
      <w:bookmarkEnd w:id="1402"/>
      <w:bookmarkEnd w:id="1403"/>
    </w:p>
    <w:p w14:paraId="59BFB7F6">
      <w:pPr>
        <w:pStyle w:val="3"/>
        <w:rPr>
          <w:color w:val="auto"/>
          <w:highlight w:val="none"/>
        </w:rPr>
      </w:pPr>
      <w:bookmarkStart w:id="1404" w:name="_Toc31308"/>
      <w:bookmarkStart w:id="1405" w:name="_Toc6614"/>
      <w:bookmarkStart w:id="1406" w:name="_Toc31069"/>
      <w:bookmarkStart w:id="1407" w:name="_Toc3794"/>
      <w:r>
        <w:rPr>
          <w:color w:val="auto"/>
          <w:highlight w:val="none"/>
        </w:rPr>
        <w:t>一般规定</w:t>
      </w:r>
      <w:bookmarkEnd w:id="1404"/>
      <w:bookmarkEnd w:id="1405"/>
      <w:bookmarkEnd w:id="1406"/>
      <w:bookmarkEnd w:id="1407"/>
    </w:p>
    <w:p w14:paraId="03C71D91">
      <w:pPr>
        <w:pStyle w:val="587"/>
        <w:spacing w:before="156" w:after="156"/>
        <w:rPr>
          <w:color w:val="auto"/>
          <w:highlight w:val="none"/>
        </w:rPr>
      </w:pPr>
      <w:bookmarkStart w:id="1408" w:name="_Toc6869"/>
      <w:bookmarkStart w:id="1409" w:name="_Toc19065"/>
      <w:bookmarkStart w:id="1410" w:name="_Toc16519"/>
      <w:bookmarkStart w:id="1411" w:name="_Toc20434"/>
      <w:r>
        <w:rPr>
          <w:color w:val="auto"/>
          <w:highlight w:val="none"/>
        </w:rPr>
        <w:t>在项目BIM实施前期准备阶段，BIM总协调单位方应根据代建局项目BIM实施目标，制定项目BIM模型的应用实施大纲并规定各阶段成果应用，交予代建局前期工作部审查备案。</w:t>
      </w:r>
      <w:bookmarkEnd w:id="1408"/>
      <w:bookmarkEnd w:id="1409"/>
      <w:bookmarkEnd w:id="1410"/>
      <w:bookmarkEnd w:id="1411"/>
    </w:p>
    <w:p w14:paraId="188E748D">
      <w:pPr>
        <w:pStyle w:val="587"/>
        <w:spacing w:before="156" w:after="156"/>
        <w:rPr>
          <w:color w:val="auto"/>
          <w:highlight w:val="none"/>
        </w:rPr>
      </w:pPr>
      <w:bookmarkStart w:id="1412" w:name="_Toc11512"/>
      <w:bookmarkStart w:id="1413" w:name="_Toc13653"/>
      <w:bookmarkStart w:id="1414" w:name="_Toc16191"/>
      <w:bookmarkStart w:id="1415" w:name="_Toc23083"/>
      <w:r>
        <w:rPr>
          <w:color w:val="auto"/>
          <w:highlight w:val="none"/>
        </w:rPr>
        <w:t>在项目各阶段实施前，BIM总协调方应向各参与方进行BIM技术交底，明确本项目BIM实施目标及成果交付要求。</w:t>
      </w:r>
      <w:bookmarkEnd w:id="1412"/>
      <w:bookmarkEnd w:id="1413"/>
      <w:bookmarkEnd w:id="1414"/>
      <w:bookmarkEnd w:id="1415"/>
    </w:p>
    <w:p w14:paraId="705BD487">
      <w:pPr>
        <w:pStyle w:val="587"/>
        <w:spacing w:before="156" w:after="156"/>
        <w:rPr>
          <w:color w:val="auto"/>
          <w:highlight w:val="none"/>
        </w:rPr>
      </w:pPr>
      <w:bookmarkStart w:id="1416" w:name="_Toc17128"/>
      <w:bookmarkStart w:id="1417" w:name="_Toc25007"/>
      <w:bookmarkStart w:id="1418" w:name="_Toc20695"/>
      <w:bookmarkStart w:id="1419" w:name="_Toc12570"/>
      <w:r>
        <w:rPr>
          <w:color w:val="auto"/>
          <w:highlight w:val="none"/>
        </w:rPr>
        <w:t>项目各参与方在BIM工作实施前，应根据BIM总协调方审核后的BIM实施方案，制定本单位在合同范围内所定的BIM模型及分类资料的交付计划。</w:t>
      </w:r>
      <w:bookmarkEnd w:id="1416"/>
      <w:bookmarkEnd w:id="1417"/>
      <w:bookmarkEnd w:id="1418"/>
      <w:bookmarkEnd w:id="1419"/>
    </w:p>
    <w:p w14:paraId="70270DE4">
      <w:pPr>
        <w:pStyle w:val="587"/>
        <w:spacing w:before="156" w:after="156"/>
        <w:rPr>
          <w:color w:val="auto"/>
          <w:highlight w:val="none"/>
        </w:rPr>
      </w:pPr>
      <w:bookmarkStart w:id="1420" w:name="_Toc703"/>
      <w:bookmarkStart w:id="1421" w:name="_Toc30165"/>
      <w:bookmarkStart w:id="1422" w:name="_Toc7812"/>
      <w:bookmarkStart w:id="1423" w:name="_Toc29296"/>
      <w:r>
        <w:rPr>
          <w:color w:val="auto"/>
          <w:highlight w:val="none"/>
        </w:rPr>
        <w:t>项目各参与方提交BIM成果的同时，应同时提交由该单位BIM负责人签发的BIM成果交付函件、签收单等。</w:t>
      </w:r>
      <w:bookmarkEnd w:id="1420"/>
      <w:bookmarkEnd w:id="1421"/>
      <w:bookmarkEnd w:id="1422"/>
      <w:bookmarkEnd w:id="1423"/>
    </w:p>
    <w:p w14:paraId="44D71078">
      <w:pPr>
        <w:pStyle w:val="3"/>
        <w:rPr>
          <w:color w:val="auto"/>
          <w:highlight w:val="none"/>
        </w:rPr>
      </w:pPr>
      <w:bookmarkStart w:id="1424" w:name="_Toc8224"/>
      <w:bookmarkStart w:id="1425" w:name="_Toc9821"/>
      <w:bookmarkStart w:id="1426" w:name="_Toc679"/>
      <w:bookmarkStart w:id="1427" w:name="_Toc15616"/>
      <w:r>
        <w:rPr>
          <w:color w:val="auto"/>
          <w:highlight w:val="none"/>
        </w:rPr>
        <w:t>成果要求</w:t>
      </w:r>
      <w:bookmarkEnd w:id="1424"/>
      <w:bookmarkEnd w:id="1425"/>
      <w:bookmarkEnd w:id="1426"/>
      <w:bookmarkEnd w:id="1427"/>
    </w:p>
    <w:p w14:paraId="06BD00F4">
      <w:pPr>
        <w:pStyle w:val="587"/>
        <w:spacing w:before="156" w:after="156"/>
        <w:rPr>
          <w:color w:val="auto"/>
          <w:highlight w:val="none"/>
        </w:rPr>
      </w:pPr>
      <w:bookmarkStart w:id="1428" w:name="_Toc11647"/>
      <w:bookmarkStart w:id="1429" w:name="_Toc2059"/>
      <w:bookmarkStart w:id="1430" w:name="_Toc19778"/>
      <w:bookmarkStart w:id="1431" w:name="_Toc10343"/>
      <w:r>
        <w:rPr>
          <w:color w:val="auto"/>
          <w:highlight w:val="none"/>
        </w:rPr>
        <w:t>交付成果应满足一致性要求，包括：</w:t>
      </w:r>
      <w:bookmarkEnd w:id="1428"/>
      <w:bookmarkEnd w:id="1429"/>
      <w:bookmarkEnd w:id="1430"/>
      <w:bookmarkEnd w:id="1431"/>
    </w:p>
    <w:p w14:paraId="4DA3FFDD">
      <w:pPr>
        <w:ind w:firstLine="840" w:firstLineChars="400"/>
        <w:rPr>
          <w:color w:val="auto"/>
          <w:highlight w:val="none"/>
        </w:rPr>
      </w:pPr>
      <w:r>
        <w:rPr>
          <w:color w:val="auto"/>
          <w:highlight w:val="none"/>
        </w:rPr>
        <w:t>1. 各参与方应按规定选用项目BIM实施软件。各阶段的成果内容，实施单位应按合同及《实施导则》中提出的要求进行，按规定提交统一格式的成果文件（数据），以保证最终BIM模型数据的正确性及完整性；</w:t>
      </w:r>
    </w:p>
    <w:p w14:paraId="0C5DFC2C">
      <w:pPr>
        <w:ind w:firstLine="840" w:firstLineChars="400"/>
        <w:rPr>
          <w:color w:val="auto"/>
          <w:highlight w:val="none"/>
        </w:rPr>
      </w:pPr>
      <w:r>
        <w:rPr>
          <w:color w:val="auto"/>
          <w:highlight w:val="none"/>
        </w:rPr>
        <w:t>2. 项目BIM应用在实施过程中，每个阶段提交的BIM模型成果，应与同期项目的实施进度保持同步；</w:t>
      </w:r>
    </w:p>
    <w:p w14:paraId="171637C9">
      <w:pPr>
        <w:ind w:firstLine="840" w:firstLineChars="400"/>
        <w:rPr>
          <w:color w:val="auto"/>
          <w:highlight w:val="none"/>
        </w:rPr>
      </w:pPr>
      <w:r>
        <w:rPr>
          <w:color w:val="auto"/>
          <w:highlight w:val="none"/>
        </w:rPr>
        <w:t>3. 成果移交单位需确保移交成果的完整性。除特殊要求外，不应存在缺项、漏项、模型精度不足、图模不一致等问题。</w:t>
      </w:r>
    </w:p>
    <w:p w14:paraId="723B9285">
      <w:pPr>
        <w:pStyle w:val="587"/>
        <w:spacing w:before="156" w:after="156"/>
        <w:rPr>
          <w:color w:val="auto"/>
          <w:highlight w:val="none"/>
        </w:rPr>
      </w:pPr>
      <w:bookmarkStart w:id="1432" w:name="_Toc24163"/>
      <w:bookmarkStart w:id="1433" w:name="_Toc4770"/>
      <w:bookmarkStart w:id="1434" w:name="_Toc11732"/>
      <w:bookmarkStart w:id="1435" w:name="_Toc24402"/>
      <w:r>
        <w:rPr>
          <w:color w:val="auto"/>
          <w:highlight w:val="none"/>
        </w:rPr>
        <w:t>交付成果应满足</w:t>
      </w:r>
      <w:r>
        <w:rPr>
          <w:rFonts w:hint="eastAsia"/>
          <w:color w:val="auto"/>
          <w:highlight w:val="none"/>
        </w:rPr>
        <w:t>精细度</w:t>
      </w:r>
      <w:r>
        <w:rPr>
          <w:color w:val="auto"/>
          <w:highlight w:val="none"/>
        </w:rPr>
        <w:t>要求，包括：</w:t>
      </w:r>
      <w:bookmarkEnd w:id="1432"/>
      <w:bookmarkEnd w:id="1433"/>
      <w:bookmarkEnd w:id="1434"/>
      <w:bookmarkEnd w:id="1435"/>
    </w:p>
    <w:p w14:paraId="289E4648">
      <w:pPr>
        <w:ind w:firstLine="840" w:firstLineChars="400"/>
        <w:rPr>
          <w:color w:val="auto"/>
          <w:highlight w:val="none"/>
        </w:rPr>
      </w:pPr>
      <w:r>
        <w:rPr>
          <w:color w:val="auto"/>
          <w:highlight w:val="none"/>
        </w:rPr>
        <w:t>1. 各阶段提交的BIM模型及成果信息应符合《附件：BIM实施导则》中附表3中的“各阶段BIM模型精细度要求”；</w:t>
      </w:r>
    </w:p>
    <w:p w14:paraId="17EA9869">
      <w:pPr>
        <w:ind w:firstLine="840" w:firstLineChars="400"/>
        <w:rPr>
          <w:color w:val="auto"/>
          <w:highlight w:val="none"/>
        </w:rPr>
      </w:pPr>
      <w:r>
        <w:rPr>
          <w:color w:val="auto"/>
          <w:highlight w:val="none"/>
        </w:rPr>
        <w:t>2. BIM模型和模型构件的形状和尺寸及模型构件之间的位置关系准确无误，并且可以根据项目实施进度深化及补充，最终反映实际施工成果。</w:t>
      </w:r>
    </w:p>
    <w:p w14:paraId="6B5AA303">
      <w:pPr>
        <w:pStyle w:val="587"/>
        <w:spacing w:before="156" w:after="156"/>
        <w:rPr>
          <w:color w:val="auto"/>
          <w:highlight w:val="none"/>
        </w:rPr>
      </w:pPr>
      <w:bookmarkStart w:id="1436" w:name="_Toc23735"/>
      <w:bookmarkStart w:id="1437" w:name="_Toc29691"/>
      <w:bookmarkStart w:id="1438" w:name="_Toc10685"/>
      <w:bookmarkStart w:id="1439" w:name="_Toc3055"/>
      <w:r>
        <w:rPr>
          <w:color w:val="auto"/>
          <w:highlight w:val="none"/>
        </w:rPr>
        <w:t>交付成果应满足进度要求，包括：</w:t>
      </w:r>
      <w:bookmarkEnd w:id="1436"/>
      <w:bookmarkEnd w:id="1437"/>
      <w:bookmarkEnd w:id="1438"/>
      <w:bookmarkEnd w:id="1439"/>
    </w:p>
    <w:p w14:paraId="30101788">
      <w:pPr>
        <w:ind w:firstLine="840" w:firstLineChars="400"/>
        <w:rPr>
          <w:color w:val="auto"/>
          <w:highlight w:val="none"/>
        </w:rPr>
      </w:pPr>
      <w:r>
        <w:rPr>
          <w:color w:val="auto"/>
          <w:highlight w:val="none"/>
        </w:rPr>
        <w:t>1. 各阶段项目各参与方的BIM模型及应用成果应根据项目实施阶段节点进行交付；</w:t>
      </w:r>
    </w:p>
    <w:p w14:paraId="52CEA048">
      <w:pPr>
        <w:ind w:firstLine="840" w:firstLineChars="400"/>
        <w:rPr>
          <w:color w:val="auto"/>
          <w:highlight w:val="none"/>
        </w:rPr>
      </w:pPr>
      <w:r>
        <w:rPr>
          <w:color w:val="auto"/>
          <w:highlight w:val="none"/>
        </w:rPr>
        <w:t>2. 方案设计、初步设计和施工图设计阶段BIM成果经BIM总协调单位审核通过后，与各阶段设计文件同步提交至局前期工作部；</w:t>
      </w:r>
    </w:p>
    <w:p w14:paraId="6569B6F9">
      <w:pPr>
        <w:ind w:firstLine="840" w:firstLineChars="400"/>
        <w:rPr>
          <w:color w:val="auto"/>
          <w:highlight w:val="none"/>
        </w:rPr>
      </w:pPr>
      <w:r>
        <w:rPr>
          <w:color w:val="auto"/>
          <w:highlight w:val="none"/>
        </w:rPr>
        <w:t>3. 施工阶段BIM成果提交时间应能满足施工现场生产任务的需求，在施工管理工作或施工工序开展之前提交至BIM总协调方；</w:t>
      </w:r>
    </w:p>
    <w:p w14:paraId="27DE684C">
      <w:pPr>
        <w:ind w:firstLine="840" w:firstLineChars="400"/>
        <w:rPr>
          <w:color w:val="auto"/>
          <w:highlight w:val="none"/>
        </w:rPr>
      </w:pPr>
      <w:r>
        <w:rPr>
          <w:color w:val="auto"/>
          <w:highlight w:val="none"/>
        </w:rPr>
        <w:t>4. 项目各参与方原则上7个工作日内根据BIM总协调方审查意见完成BIM模型的修改和整理，重新提交成果。</w:t>
      </w:r>
    </w:p>
    <w:p w14:paraId="3361146A">
      <w:pPr>
        <w:pStyle w:val="3"/>
        <w:rPr>
          <w:color w:val="auto"/>
          <w:highlight w:val="none"/>
        </w:rPr>
      </w:pPr>
      <w:bookmarkStart w:id="1440" w:name="_Toc17603"/>
      <w:bookmarkStart w:id="1441" w:name="_Toc2524"/>
      <w:bookmarkStart w:id="1442" w:name="_Toc21108"/>
      <w:bookmarkStart w:id="1443" w:name="_Toc4520"/>
      <w:r>
        <w:rPr>
          <w:color w:val="auto"/>
          <w:highlight w:val="none"/>
        </w:rPr>
        <w:t>成果交付审查</w:t>
      </w:r>
      <w:bookmarkEnd w:id="1440"/>
      <w:bookmarkEnd w:id="1441"/>
      <w:bookmarkEnd w:id="1442"/>
      <w:bookmarkEnd w:id="1443"/>
    </w:p>
    <w:p w14:paraId="29693391">
      <w:pPr>
        <w:pStyle w:val="587"/>
        <w:spacing w:before="156" w:after="156"/>
        <w:rPr>
          <w:color w:val="auto"/>
          <w:highlight w:val="none"/>
        </w:rPr>
      </w:pPr>
      <w:bookmarkStart w:id="1444" w:name="_Toc14497"/>
      <w:bookmarkStart w:id="1445" w:name="_Toc5830"/>
      <w:bookmarkStart w:id="1446" w:name="_Toc19308"/>
      <w:bookmarkStart w:id="1447" w:name="_Toc26980"/>
      <w:r>
        <w:rPr>
          <w:color w:val="auto"/>
          <w:highlight w:val="none"/>
        </w:rPr>
        <w:t>BIM交付成果审查工作要求包括：</w:t>
      </w:r>
      <w:bookmarkEnd w:id="1444"/>
      <w:bookmarkEnd w:id="1445"/>
      <w:bookmarkEnd w:id="1446"/>
      <w:bookmarkEnd w:id="1447"/>
    </w:p>
    <w:p w14:paraId="4DC6CE7B">
      <w:pPr>
        <w:ind w:firstLine="840" w:firstLineChars="400"/>
        <w:rPr>
          <w:color w:val="auto"/>
          <w:highlight w:val="none"/>
        </w:rPr>
      </w:pPr>
      <w:r>
        <w:rPr>
          <w:color w:val="auto"/>
          <w:highlight w:val="none"/>
        </w:rPr>
        <w:t>1. BIM总协调方作为BIM工作质量监督方，应协助代建局前期工作部和项目建设管理部对各参与方交付的BIM模型成果和BIM应用成果进行质量检查。</w:t>
      </w:r>
    </w:p>
    <w:p w14:paraId="58F7CB9B">
      <w:pPr>
        <w:ind w:firstLine="840" w:firstLineChars="400"/>
        <w:rPr>
          <w:color w:val="auto"/>
          <w:highlight w:val="none"/>
        </w:rPr>
      </w:pPr>
      <w:r>
        <w:rPr>
          <w:color w:val="auto"/>
          <w:highlight w:val="none"/>
        </w:rPr>
        <w:t>2. BIM交付成果审查应包括2个环节的审查工作，其中包括自检、BIM总协调方审查。</w:t>
      </w:r>
    </w:p>
    <w:p w14:paraId="26D2655B">
      <w:pPr>
        <w:ind w:firstLine="840" w:firstLineChars="400"/>
        <w:rPr>
          <w:color w:val="auto"/>
          <w:highlight w:val="none"/>
        </w:rPr>
      </w:pPr>
      <w:r>
        <w:rPr>
          <w:color w:val="auto"/>
          <w:highlight w:val="none"/>
        </w:rPr>
        <w:t>3. BIM总协调方审查反馈时间原则上不超过5个工作日，以书面记录的方式把质量检查的结果提交代建局前期工作部和项目建设管理部审阅，各参与方根据BIM总协调方的要求进行校核和调整。</w:t>
      </w:r>
    </w:p>
    <w:p w14:paraId="1AADA123">
      <w:pPr>
        <w:ind w:firstLine="840" w:firstLineChars="400"/>
        <w:rPr>
          <w:color w:val="auto"/>
          <w:highlight w:val="none"/>
        </w:rPr>
      </w:pPr>
      <w:r>
        <w:rPr>
          <w:color w:val="auto"/>
          <w:highlight w:val="none"/>
        </w:rPr>
        <w:t>4. 对于不合格的模型交付物，将明确告知相关参与方不合格的情况和整改意见，由相关参与方进行整改。</w:t>
      </w:r>
    </w:p>
    <w:p w14:paraId="5FFF151F">
      <w:pPr>
        <w:ind w:firstLine="840" w:firstLineChars="400"/>
        <w:rPr>
          <w:color w:val="auto"/>
          <w:highlight w:val="none"/>
        </w:rPr>
      </w:pPr>
      <w:r>
        <w:rPr>
          <w:color w:val="auto"/>
          <w:highlight w:val="none"/>
        </w:rPr>
        <w:t>5. 全部验收合格的BIM成果，由BIM总协调方汇总并提交给代建局前期工作部或项目建设管理部。</w:t>
      </w:r>
    </w:p>
    <w:p w14:paraId="0D749609">
      <w:pPr>
        <w:pStyle w:val="587"/>
        <w:spacing w:before="156" w:after="156"/>
        <w:rPr>
          <w:color w:val="auto"/>
          <w:highlight w:val="none"/>
        </w:rPr>
      </w:pPr>
      <w:bookmarkStart w:id="1448" w:name="_Toc28478"/>
      <w:bookmarkStart w:id="1449" w:name="_Toc22310"/>
      <w:bookmarkStart w:id="1450" w:name="_Toc862"/>
      <w:bookmarkStart w:id="1451" w:name="_Toc11820"/>
      <w:r>
        <w:rPr>
          <w:color w:val="auto"/>
          <w:highlight w:val="none"/>
        </w:rPr>
        <w:t>各阶段BIM交付成果审查方法及要点宜满足《附件：BIM实施导则》3.1.4规定：</w:t>
      </w:r>
      <w:bookmarkEnd w:id="1448"/>
      <w:bookmarkEnd w:id="1449"/>
      <w:bookmarkEnd w:id="1450"/>
      <w:bookmarkEnd w:id="1451"/>
    </w:p>
    <w:p w14:paraId="1AD1F233">
      <w:pPr>
        <w:ind w:firstLine="840" w:firstLineChars="400"/>
        <w:rPr>
          <w:color w:val="auto"/>
          <w:highlight w:val="none"/>
        </w:rPr>
      </w:pPr>
      <w:r>
        <w:rPr>
          <w:color w:val="auto"/>
          <w:highlight w:val="none"/>
        </w:rPr>
        <w:t>1. 设计阶段该阶段应对方案设计阶段、初步设计阶段、施工图设计阶段的目标建立各专业模型，包括方案比选模型、设计性能化分析模型、施工图模型（包含了混凝土结构、钢结构、建筑、幕墙、屋面、机电、装饰装修）等；</w:t>
      </w:r>
    </w:p>
    <w:p w14:paraId="67E9C1A8">
      <w:pPr>
        <w:ind w:firstLine="840" w:firstLineChars="400"/>
        <w:rPr>
          <w:color w:val="auto"/>
          <w:highlight w:val="none"/>
        </w:rPr>
      </w:pPr>
      <w:r>
        <w:rPr>
          <w:color w:val="auto"/>
          <w:highlight w:val="none"/>
        </w:rPr>
        <w:t>2. 各个设计阶段宜利用模型进行成果审查，包括方案阶段（方案效果展示图、方案展示视频），初步设计阶段（性能化分析报告、分析过程视频），施工图设计阶段（管线综合、碰撞检查报告、净空分析报告）等；</w:t>
      </w:r>
    </w:p>
    <w:p w14:paraId="20946515">
      <w:pPr>
        <w:ind w:firstLine="840" w:firstLineChars="400"/>
        <w:rPr>
          <w:color w:val="auto"/>
          <w:highlight w:val="none"/>
        </w:rPr>
      </w:pPr>
      <w:r>
        <w:rPr>
          <w:color w:val="auto"/>
          <w:highlight w:val="none"/>
        </w:rPr>
        <w:t>3. 施工阶段应在设计阶段模型基础上，建立各专业的深化模型、深化设计节点模型、设计及施工变更进行更新的模型、施工方案和施工工艺制作的应用点模型、场地布置模型等；</w:t>
      </w:r>
    </w:p>
    <w:p w14:paraId="43FD12A1">
      <w:pPr>
        <w:ind w:firstLine="840" w:firstLineChars="400"/>
        <w:rPr>
          <w:color w:val="auto"/>
          <w:highlight w:val="none"/>
        </w:rPr>
      </w:pPr>
      <w:r>
        <w:rPr>
          <w:color w:val="auto"/>
          <w:highlight w:val="none"/>
        </w:rPr>
        <w:t>4. 施工阶段BIM应用成果包括施工进度模拟、施工工艺模拟、施工方案模拟、工程协调、工程算量、工程节点三维视频展示。</w:t>
      </w:r>
    </w:p>
    <w:p w14:paraId="1A0D9CE7">
      <w:pPr>
        <w:pStyle w:val="587"/>
        <w:spacing w:before="156" w:after="156"/>
        <w:rPr>
          <w:color w:val="auto"/>
          <w:highlight w:val="none"/>
        </w:rPr>
      </w:pPr>
      <w:bookmarkStart w:id="1452" w:name="_Toc19598"/>
      <w:bookmarkStart w:id="1453" w:name="_Toc21200"/>
      <w:bookmarkStart w:id="1454" w:name="_Toc4850"/>
      <w:bookmarkStart w:id="1455" w:name="_Toc28256"/>
      <w:r>
        <w:rPr>
          <w:color w:val="auto"/>
          <w:highlight w:val="none"/>
        </w:rPr>
        <w:t>成果审查归档实施要点包括：</w:t>
      </w:r>
      <w:bookmarkEnd w:id="1452"/>
      <w:bookmarkEnd w:id="1453"/>
      <w:bookmarkEnd w:id="1454"/>
      <w:bookmarkEnd w:id="1455"/>
    </w:p>
    <w:p w14:paraId="27451608">
      <w:pPr>
        <w:ind w:firstLine="840" w:firstLineChars="400"/>
        <w:rPr>
          <w:color w:val="auto"/>
          <w:highlight w:val="none"/>
        </w:rPr>
      </w:pPr>
      <w:r>
        <w:rPr>
          <w:color w:val="auto"/>
          <w:highlight w:val="none"/>
        </w:rPr>
        <w:t>1. 审查结果意见根据检查的内容，需要将最终的检查结果意见形成规范的格式文件并归档。审查结果中，应该以截图形式辅助说明模型（成果）中存在的问题，同时应准确描述模型（成果）问题的位置；</w:t>
      </w:r>
    </w:p>
    <w:p w14:paraId="3536EBE2">
      <w:pPr>
        <w:ind w:firstLine="840" w:firstLineChars="400"/>
        <w:rPr>
          <w:color w:val="auto"/>
          <w:highlight w:val="none"/>
        </w:rPr>
      </w:pPr>
      <w:r>
        <w:rPr>
          <w:color w:val="auto"/>
          <w:highlight w:val="none"/>
        </w:rPr>
        <w:t>2. 形成模型（成果）审核报告，应该转换为规定文件格式，统一由BIM总协调方提交代建局前期工作部或项目建设管理部，同时抄送给各参与方；</w:t>
      </w:r>
    </w:p>
    <w:p w14:paraId="3A05B78E">
      <w:pPr>
        <w:ind w:firstLine="840" w:firstLineChars="400"/>
        <w:rPr>
          <w:color w:val="auto"/>
          <w:highlight w:val="none"/>
        </w:rPr>
      </w:pPr>
      <w:r>
        <w:rPr>
          <w:color w:val="auto"/>
          <w:highlight w:val="none"/>
        </w:rPr>
        <w:t>3. 模型（成果）审核文件由BIM总协调方整理保存，上传至项目管理平台归档。</w:t>
      </w:r>
    </w:p>
    <w:p w14:paraId="5339FAB1">
      <w:pPr>
        <w:pStyle w:val="3"/>
        <w:rPr>
          <w:color w:val="auto"/>
          <w:highlight w:val="none"/>
        </w:rPr>
      </w:pPr>
      <w:bookmarkStart w:id="1456" w:name="_Toc31015"/>
      <w:bookmarkStart w:id="1457" w:name="_Toc11372"/>
      <w:bookmarkStart w:id="1458" w:name="_Toc4885"/>
      <w:bookmarkStart w:id="1459" w:name="_Toc15066"/>
      <w:r>
        <w:rPr>
          <w:color w:val="auto"/>
          <w:highlight w:val="none"/>
        </w:rPr>
        <w:t>信息安全与知识产权规定</w:t>
      </w:r>
      <w:bookmarkEnd w:id="1456"/>
      <w:bookmarkEnd w:id="1457"/>
      <w:bookmarkEnd w:id="1458"/>
      <w:bookmarkEnd w:id="1459"/>
    </w:p>
    <w:p w14:paraId="552E619C">
      <w:pPr>
        <w:pStyle w:val="587"/>
        <w:spacing w:before="156" w:after="156"/>
        <w:rPr>
          <w:color w:val="auto"/>
          <w:highlight w:val="none"/>
        </w:rPr>
      </w:pPr>
      <w:bookmarkStart w:id="1460" w:name="_Toc20405"/>
      <w:bookmarkStart w:id="1461" w:name="_Toc19882"/>
      <w:bookmarkStart w:id="1462" w:name="_Toc31758"/>
      <w:bookmarkStart w:id="1463" w:name="_Toc12878"/>
      <w:r>
        <w:rPr>
          <w:color w:val="auto"/>
          <w:highlight w:val="none"/>
        </w:rPr>
        <w:t>项目人员应通过受控的权限访问网络服务器上的BIM项目数据。</w:t>
      </w:r>
      <w:bookmarkEnd w:id="1460"/>
      <w:bookmarkEnd w:id="1461"/>
      <w:bookmarkEnd w:id="1462"/>
      <w:bookmarkEnd w:id="1463"/>
    </w:p>
    <w:p w14:paraId="53368652">
      <w:pPr>
        <w:pStyle w:val="587"/>
        <w:spacing w:before="156" w:after="156"/>
        <w:rPr>
          <w:color w:val="auto"/>
          <w:highlight w:val="none"/>
        </w:rPr>
      </w:pPr>
      <w:bookmarkStart w:id="1464" w:name="_Toc11307"/>
      <w:bookmarkStart w:id="1465" w:name="_Toc1910"/>
      <w:bookmarkStart w:id="1466" w:name="_Toc6889"/>
      <w:bookmarkStart w:id="1467" w:name="_Toc4059"/>
      <w:r>
        <w:rPr>
          <w:color w:val="auto"/>
          <w:highlight w:val="none"/>
        </w:rPr>
        <w:t>所有BIM项目数据应存放在网络服务器上，并对其进行定期备份。</w:t>
      </w:r>
      <w:bookmarkEnd w:id="1464"/>
      <w:bookmarkEnd w:id="1465"/>
      <w:bookmarkEnd w:id="1466"/>
      <w:bookmarkEnd w:id="1467"/>
    </w:p>
    <w:p w14:paraId="4C80D43D">
      <w:pPr>
        <w:pStyle w:val="587"/>
        <w:spacing w:before="156" w:after="156"/>
        <w:rPr>
          <w:color w:val="auto"/>
          <w:highlight w:val="none"/>
        </w:rPr>
      </w:pPr>
      <w:bookmarkStart w:id="1468" w:name="_Toc9368"/>
      <w:bookmarkStart w:id="1469" w:name="_Toc19079"/>
      <w:bookmarkStart w:id="1470" w:name="_Toc3539"/>
      <w:r>
        <w:rPr>
          <w:color w:val="auto"/>
          <w:highlight w:val="none"/>
        </w:rPr>
        <w:t>各项目BIM相关成果的知识产权受各项目参与方的合同条款保护。在项目过程中，未经代建局允许，不允许向第三方公开或发布相关资料。</w:t>
      </w:r>
      <w:bookmarkEnd w:id="1468"/>
      <w:bookmarkEnd w:id="1469"/>
      <w:bookmarkEnd w:id="1470"/>
    </w:p>
    <w:p w14:paraId="1AD4D3FA">
      <w:pPr>
        <w:rPr>
          <w:color w:val="auto"/>
          <w:highlight w:val="none"/>
        </w:rPr>
      </w:pPr>
    </w:p>
    <w:p w14:paraId="5C4C003F">
      <w:pPr>
        <w:rPr>
          <w:color w:val="auto"/>
          <w:highlight w:val="none"/>
        </w:rPr>
        <w:sectPr>
          <w:pgSz w:w="11906" w:h="16838"/>
          <w:pgMar w:top="1440" w:right="1800" w:bottom="1440" w:left="1800" w:header="851" w:footer="992" w:gutter="0"/>
          <w:cols w:space="720" w:num="1"/>
          <w:docGrid w:type="lines" w:linePitch="312" w:charSpace="0"/>
        </w:sectPr>
      </w:pPr>
    </w:p>
    <w:p w14:paraId="23FE14D3">
      <w:pPr>
        <w:pStyle w:val="2"/>
        <w:spacing w:before="936" w:after="624"/>
        <w:rPr>
          <w:color w:val="auto"/>
          <w:highlight w:val="none"/>
        </w:rPr>
      </w:pPr>
      <w:bookmarkStart w:id="1471" w:name="_Toc1166"/>
      <w:bookmarkStart w:id="1472" w:name="_Toc22171"/>
      <w:bookmarkStart w:id="1473" w:name="_Toc4309"/>
      <w:bookmarkStart w:id="1474" w:name="_Toc4652"/>
      <w:bookmarkStart w:id="1475" w:name="_Toc883"/>
      <w:r>
        <w:rPr>
          <w:color w:val="auto"/>
          <w:highlight w:val="none"/>
        </w:rPr>
        <w:t>协同要求</w:t>
      </w:r>
      <w:bookmarkEnd w:id="1471"/>
      <w:bookmarkEnd w:id="1472"/>
      <w:bookmarkEnd w:id="1473"/>
      <w:bookmarkEnd w:id="1474"/>
      <w:bookmarkEnd w:id="1475"/>
    </w:p>
    <w:p w14:paraId="6F0DDC46">
      <w:pPr>
        <w:pStyle w:val="3"/>
        <w:rPr>
          <w:color w:val="auto"/>
          <w:highlight w:val="none"/>
        </w:rPr>
      </w:pPr>
      <w:bookmarkStart w:id="1476" w:name="_Toc1028"/>
      <w:bookmarkStart w:id="1477" w:name="_Toc17075"/>
      <w:bookmarkStart w:id="1478" w:name="_Toc29617"/>
      <w:bookmarkStart w:id="1479" w:name="_Toc31714"/>
      <w:r>
        <w:rPr>
          <w:color w:val="auto"/>
          <w:highlight w:val="none"/>
        </w:rPr>
        <w:t>一般规定</w:t>
      </w:r>
      <w:bookmarkEnd w:id="1476"/>
      <w:bookmarkEnd w:id="1477"/>
      <w:bookmarkEnd w:id="1478"/>
      <w:bookmarkEnd w:id="1479"/>
    </w:p>
    <w:p w14:paraId="09F1E9E9">
      <w:pPr>
        <w:pStyle w:val="587"/>
        <w:spacing w:before="156" w:after="156"/>
        <w:rPr>
          <w:color w:val="auto"/>
          <w:highlight w:val="none"/>
        </w:rPr>
      </w:pPr>
      <w:bookmarkStart w:id="1480" w:name="_Toc2173"/>
      <w:bookmarkStart w:id="1481" w:name="_Toc20898"/>
      <w:bookmarkStart w:id="1482" w:name="_Toc8774"/>
      <w:bookmarkStart w:id="1483" w:name="_Toc5355"/>
      <w:r>
        <w:rPr>
          <w:color w:val="auto"/>
          <w:highlight w:val="none"/>
        </w:rPr>
        <w:t>宜采用BIM协同平台，确保BIM模型数据的统一性与准确性，提升BIM模型数据传输效率及质量，提高各参与方协作效率，为工程项目的设计、施工、运营、维护提供数字化基础。</w:t>
      </w:r>
      <w:bookmarkEnd w:id="1480"/>
      <w:bookmarkEnd w:id="1481"/>
      <w:bookmarkEnd w:id="1482"/>
      <w:bookmarkEnd w:id="1483"/>
    </w:p>
    <w:p w14:paraId="033A053D">
      <w:pPr>
        <w:pStyle w:val="587"/>
        <w:spacing w:before="156" w:after="156"/>
        <w:rPr>
          <w:color w:val="auto"/>
          <w:highlight w:val="none"/>
        </w:rPr>
      </w:pPr>
      <w:bookmarkStart w:id="1484" w:name="_Toc17050"/>
      <w:bookmarkStart w:id="1485" w:name="_Toc17414"/>
      <w:bookmarkStart w:id="1486" w:name="_Toc29649"/>
      <w:bookmarkStart w:id="1487" w:name="_Toc23245"/>
      <w:r>
        <w:rPr>
          <w:color w:val="auto"/>
          <w:highlight w:val="none"/>
        </w:rPr>
        <w:t>代建局BIM项目协同基于代建局项目管理平台。在项目策划阶段，代建局前期工作部应组织开通项目管理平台的项目权限。项目管理平台总架构详见《附件：BIM实施导则》附图14。</w:t>
      </w:r>
      <w:bookmarkEnd w:id="1484"/>
      <w:bookmarkEnd w:id="1485"/>
      <w:bookmarkEnd w:id="1486"/>
      <w:bookmarkEnd w:id="1487"/>
    </w:p>
    <w:p w14:paraId="0C2EEEC3">
      <w:pPr>
        <w:pStyle w:val="587"/>
        <w:spacing w:before="156" w:after="156"/>
        <w:rPr>
          <w:color w:val="auto"/>
          <w:highlight w:val="none"/>
        </w:rPr>
      </w:pPr>
      <w:bookmarkStart w:id="1488" w:name="_Toc1118"/>
      <w:bookmarkStart w:id="1489" w:name="_Toc27458"/>
      <w:bookmarkStart w:id="1490" w:name="_Toc22759"/>
      <w:bookmarkStart w:id="1491" w:name="_Toc20189"/>
      <w:r>
        <w:rPr>
          <w:color w:val="auto"/>
          <w:highlight w:val="none"/>
        </w:rPr>
        <w:t>在BIM项目实施协同工作中，项目协同应用包括文档管理平台和BIM协同平台，架构宜按《附件：BIM实施导则》附图15搭建。</w:t>
      </w:r>
      <w:bookmarkEnd w:id="1488"/>
      <w:bookmarkEnd w:id="1489"/>
      <w:bookmarkEnd w:id="1490"/>
      <w:bookmarkEnd w:id="1491"/>
    </w:p>
    <w:p w14:paraId="1BC9BD59">
      <w:pPr>
        <w:pStyle w:val="587"/>
        <w:spacing w:before="156" w:after="156"/>
        <w:rPr>
          <w:color w:val="auto"/>
          <w:highlight w:val="none"/>
        </w:rPr>
      </w:pPr>
      <w:bookmarkStart w:id="1492" w:name="_Toc28658"/>
      <w:bookmarkStart w:id="1493" w:name="_Toc23952"/>
      <w:bookmarkStart w:id="1494" w:name="_Toc23232"/>
      <w:bookmarkStart w:id="1495" w:name="_Toc3419"/>
      <w:r>
        <w:rPr>
          <w:color w:val="auto"/>
          <w:highlight w:val="none"/>
        </w:rPr>
        <w:t>应以代建局项目协同平台作为项目BIM协同工作中心，工作要求包括：</w:t>
      </w:r>
      <w:bookmarkEnd w:id="1492"/>
      <w:bookmarkEnd w:id="1493"/>
      <w:bookmarkEnd w:id="1494"/>
      <w:bookmarkEnd w:id="1495"/>
    </w:p>
    <w:p w14:paraId="1910FA92">
      <w:pPr>
        <w:ind w:firstLine="840" w:firstLineChars="400"/>
        <w:rPr>
          <w:color w:val="auto"/>
          <w:highlight w:val="none"/>
        </w:rPr>
      </w:pPr>
      <w:bookmarkStart w:id="1496" w:name="_Toc21287"/>
      <w:bookmarkStart w:id="1497" w:name="_Toc26031"/>
      <w:bookmarkStart w:id="1498" w:name="_Toc3810"/>
      <w:bookmarkStart w:id="1499" w:name="_Toc14777"/>
      <w:r>
        <w:rPr>
          <w:color w:val="auto"/>
          <w:highlight w:val="none"/>
        </w:rPr>
        <w:t>1. 所有项目BIM模型文件及资料均通过协同平台传递；</w:t>
      </w:r>
      <w:bookmarkEnd w:id="1496"/>
      <w:bookmarkEnd w:id="1497"/>
      <w:bookmarkEnd w:id="1498"/>
      <w:bookmarkEnd w:id="1499"/>
    </w:p>
    <w:p w14:paraId="2C9F54A6">
      <w:pPr>
        <w:ind w:firstLine="840" w:firstLineChars="400"/>
        <w:rPr>
          <w:color w:val="auto"/>
          <w:highlight w:val="none"/>
        </w:rPr>
      </w:pPr>
      <w:r>
        <w:rPr>
          <w:color w:val="auto"/>
          <w:highlight w:val="none"/>
        </w:rPr>
        <w:t>2. 各参与方在BIM总协调方的统一管理下完成本项目在实施阶段的BIM应用；</w:t>
      </w:r>
    </w:p>
    <w:p w14:paraId="77732E0B">
      <w:pPr>
        <w:ind w:firstLine="840" w:firstLineChars="400"/>
        <w:rPr>
          <w:color w:val="auto"/>
          <w:highlight w:val="none"/>
        </w:rPr>
      </w:pPr>
      <w:r>
        <w:rPr>
          <w:color w:val="auto"/>
          <w:highlight w:val="none"/>
        </w:rPr>
        <w:t>3. 项目资料通过项目服务器上传至协同平台，作为成果归档及信息传递内容。</w:t>
      </w:r>
    </w:p>
    <w:p w14:paraId="2D47B076">
      <w:pPr>
        <w:pStyle w:val="3"/>
        <w:rPr>
          <w:color w:val="auto"/>
          <w:highlight w:val="none"/>
        </w:rPr>
      </w:pPr>
      <w:bookmarkStart w:id="1500" w:name="_Toc2736"/>
      <w:bookmarkStart w:id="1501" w:name="_Toc28073"/>
      <w:bookmarkStart w:id="1502" w:name="_Toc15825"/>
      <w:bookmarkStart w:id="1503" w:name="_Toc23400"/>
      <w:r>
        <w:rPr>
          <w:color w:val="auto"/>
          <w:highlight w:val="none"/>
        </w:rPr>
        <w:t>协同管理</w:t>
      </w:r>
      <w:bookmarkEnd w:id="1500"/>
      <w:bookmarkEnd w:id="1501"/>
      <w:bookmarkEnd w:id="1502"/>
      <w:bookmarkEnd w:id="1503"/>
    </w:p>
    <w:p w14:paraId="2DDF282B">
      <w:pPr>
        <w:pStyle w:val="587"/>
        <w:spacing w:before="156" w:after="156"/>
        <w:rPr>
          <w:color w:val="auto"/>
          <w:highlight w:val="none"/>
        </w:rPr>
      </w:pPr>
      <w:bookmarkStart w:id="1504" w:name="_Toc10049"/>
      <w:bookmarkStart w:id="1505" w:name="_Toc23543"/>
      <w:bookmarkStart w:id="1506" w:name="_Toc8494"/>
      <w:bookmarkStart w:id="1507" w:name="_Toc20837"/>
      <w:r>
        <w:rPr>
          <w:color w:val="auto"/>
          <w:highlight w:val="none"/>
        </w:rPr>
        <w:t>BIM成果提交及审核实施要求：</w:t>
      </w:r>
      <w:bookmarkEnd w:id="1504"/>
      <w:bookmarkEnd w:id="1505"/>
      <w:bookmarkEnd w:id="1506"/>
      <w:bookmarkEnd w:id="1507"/>
    </w:p>
    <w:p w14:paraId="376B7768">
      <w:pPr>
        <w:ind w:firstLine="840" w:firstLineChars="400"/>
        <w:rPr>
          <w:color w:val="auto"/>
          <w:highlight w:val="none"/>
        </w:rPr>
      </w:pPr>
      <w:r>
        <w:rPr>
          <w:color w:val="auto"/>
          <w:highlight w:val="none"/>
        </w:rPr>
        <w:t>1. BIM成果在项目服务器整合汇总后，参与方将BIM成果提交至BIM总协调服务器，由BIM总协调方进行审核，形成修改意见及审核记录；</w:t>
      </w:r>
    </w:p>
    <w:p w14:paraId="77B16675">
      <w:pPr>
        <w:ind w:firstLine="840" w:firstLineChars="400"/>
        <w:rPr>
          <w:color w:val="auto"/>
          <w:highlight w:val="none"/>
        </w:rPr>
      </w:pPr>
      <w:r>
        <w:rPr>
          <w:color w:val="auto"/>
          <w:highlight w:val="none"/>
        </w:rPr>
        <w:t>2. BIM总协调方将通过书面文件、会议纪要及邮件等方式将修改意见及审核记录反馈给成果提交方，成果提交方应在规定时间内根据意见进行修改，修改后重新提交BIM总协调方审核；</w:t>
      </w:r>
    </w:p>
    <w:p w14:paraId="00526985">
      <w:pPr>
        <w:ind w:firstLine="840" w:firstLineChars="400"/>
        <w:rPr>
          <w:color w:val="auto"/>
          <w:highlight w:val="none"/>
        </w:rPr>
      </w:pPr>
      <w:r>
        <w:rPr>
          <w:color w:val="auto"/>
          <w:highlight w:val="none"/>
        </w:rPr>
        <w:t>3. BIM成果经BIM总协调方检查审核后，整合BIM成果，提交代建局项目协同平台归档，形成BIM成果归档记录。</w:t>
      </w:r>
    </w:p>
    <w:p w14:paraId="668A15BA">
      <w:pPr>
        <w:pStyle w:val="587"/>
        <w:spacing w:before="156" w:after="156"/>
        <w:rPr>
          <w:color w:val="auto"/>
          <w:highlight w:val="none"/>
        </w:rPr>
      </w:pPr>
      <w:bookmarkStart w:id="1508" w:name="_Toc21157"/>
      <w:bookmarkStart w:id="1509" w:name="_Toc22784"/>
      <w:bookmarkStart w:id="1510" w:name="_Toc16769"/>
      <w:bookmarkStart w:id="1511" w:name="_Toc25180"/>
      <w:r>
        <w:rPr>
          <w:color w:val="auto"/>
          <w:highlight w:val="none"/>
        </w:rPr>
        <w:t>BIM成果提取及分配实施要求：</w:t>
      </w:r>
      <w:bookmarkEnd w:id="1508"/>
      <w:bookmarkEnd w:id="1509"/>
      <w:bookmarkEnd w:id="1510"/>
      <w:bookmarkEnd w:id="1511"/>
    </w:p>
    <w:p w14:paraId="31D0B682">
      <w:pPr>
        <w:ind w:firstLine="840" w:firstLineChars="400"/>
        <w:rPr>
          <w:color w:val="auto"/>
          <w:highlight w:val="none"/>
        </w:rPr>
      </w:pPr>
      <w:r>
        <w:rPr>
          <w:color w:val="auto"/>
          <w:highlight w:val="none"/>
        </w:rPr>
        <w:t>1. BIM总协调方根据项目实施进展，在代建局项目协同平台提取上一阶段的BIM成果，作为下一阶段的BIM依据文件。根据下一阶段的项目组织架构及各参与方的职责范围，将BIM成果拆分并分配到各参与方；</w:t>
      </w:r>
    </w:p>
    <w:p w14:paraId="5434CF8F">
      <w:pPr>
        <w:ind w:firstLine="840" w:firstLineChars="400"/>
        <w:rPr>
          <w:color w:val="auto"/>
          <w:highlight w:val="none"/>
        </w:rPr>
      </w:pPr>
      <w:r>
        <w:rPr>
          <w:color w:val="auto"/>
          <w:highlight w:val="none"/>
        </w:rPr>
        <w:t>2. 代建局及相关项目管理机构登陆代建局项目协同平台，浏览项目BIM阶段成果，了解项目实际进展，填报及审批表单，参与项目协同管理；</w:t>
      </w:r>
    </w:p>
    <w:p w14:paraId="50316A40">
      <w:pPr>
        <w:ind w:firstLine="840" w:firstLineChars="400"/>
        <w:rPr>
          <w:color w:val="auto"/>
          <w:highlight w:val="none"/>
        </w:rPr>
      </w:pPr>
      <w:r>
        <w:rPr>
          <w:color w:val="auto"/>
          <w:highlight w:val="none"/>
        </w:rPr>
        <w:t>3. 各参与方根据项目进展，在各阶段服务器上工作，在BIM总协调方的管理下，定期更新项目进展资料。</w:t>
      </w:r>
    </w:p>
    <w:p w14:paraId="181B32A3">
      <w:pPr>
        <w:pStyle w:val="587"/>
        <w:spacing w:before="156" w:after="156"/>
        <w:rPr>
          <w:color w:val="auto"/>
          <w:highlight w:val="none"/>
        </w:rPr>
      </w:pPr>
      <w:bookmarkStart w:id="1512" w:name="_Toc2103"/>
      <w:bookmarkStart w:id="1513" w:name="_Toc433"/>
      <w:bookmarkStart w:id="1514" w:name="_Toc31823"/>
      <w:bookmarkStart w:id="1515" w:name="_Toc23609"/>
      <w:r>
        <w:rPr>
          <w:color w:val="auto"/>
          <w:highlight w:val="none"/>
        </w:rPr>
        <w:t>协同配合管理工作包括：</w:t>
      </w:r>
      <w:bookmarkEnd w:id="1512"/>
      <w:bookmarkEnd w:id="1513"/>
      <w:bookmarkEnd w:id="1514"/>
      <w:bookmarkEnd w:id="1515"/>
    </w:p>
    <w:p w14:paraId="7FFCD38F">
      <w:pPr>
        <w:ind w:firstLine="840" w:firstLineChars="400"/>
        <w:rPr>
          <w:color w:val="auto"/>
          <w:highlight w:val="none"/>
        </w:rPr>
      </w:pPr>
      <w:r>
        <w:rPr>
          <w:color w:val="auto"/>
          <w:highlight w:val="none"/>
        </w:rPr>
        <w:t>1. 在项目设计及施工准备阶段，由BIM总协调方根据项目的实施进度及应用要点，进行各参与方的权限分配，制定统一的协同管理要求及多方协同机制，保证项目平台的正常运作。</w:t>
      </w:r>
    </w:p>
    <w:p w14:paraId="0A5CB670">
      <w:pPr>
        <w:ind w:firstLine="840" w:firstLineChars="400"/>
        <w:rPr>
          <w:color w:val="auto"/>
          <w:highlight w:val="none"/>
        </w:rPr>
      </w:pPr>
      <w:r>
        <w:rPr>
          <w:color w:val="auto"/>
          <w:highlight w:val="none"/>
        </w:rPr>
        <w:t>2. 项目参与方应根据项目实施进度，定期访问各阶段服务器，及时更新项目进展情况，获取最新的项目信息。</w:t>
      </w:r>
    </w:p>
    <w:p w14:paraId="28D43A38">
      <w:pPr>
        <w:ind w:firstLine="840" w:firstLineChars="400"/>
        <w:rPr>
          <w:color w:val="auto"/>
          <w:highlight w:val="none"/>
        </w:rPr>
      </w:pPr>
      <w:r>
        <w:rPr>
          <w:color w:val="auto"/>
          <w:highlight w:val="none"/>
        </w:rPr>
        <w:t>3. BIM总协调方通过BIM的协同功能，将各参与方的BIM模型进行模型合成或拆分。项目参与方必须按照已定的“模型拆分原则”、“模型搭建原则”及“模型命名原则”进行BIM模型管理。各参与方均按照统一的标准，保证文件引用的一致性。</w:t>
      </w:r>
    </w:p>
    <w:p w14:paraId="422EDBE6">
      <w:pPr>
        <w:ind w:firstLine="840" w:firstLineChars="400"/>
        <w:rPr>
          <w:color w:val="auto"/>
          <w:highlight w:val="none"/>
        </w:rPr>
      </w:pPr>
      <w:r>
        <w:rPr>
          <w:color w:val="auto"/>
          <w:highlight w:val="none"/>
        </w:rPr>
        <w:t>4. 各参与方应安排人员负责本单位的工作完成的情况检查。BIM总协调方应定时检查各参与方的BIM协同平台的执行情况；当各参与方负责的部分完成后，提交至项目协同平台，BIM总协调方在协同平台上审核是否符合模型标准的要求。</w:t>
      </w:r>
    </w:p>
    <w:p w14:paraId="63F47C48">
      <w:pPr>
        <w:ind w:firstLine="840" w:firstLineChars="400"/>
        <w:rPr>
          <w:color w:val="auto"/>
          <w:highlight w:val="none"/>
        </w:rPr>
      </w:pPr>
      <w:r>
        <w:rPr>
          <w:color w:val="auto"/>
          <w:highlight w:val="none"/>
        </w:rPr>
        <w:t>5. 项目全过程的信息（往来文件、信函、会议纪要等）应通过BIM总协调方审核归档后，收集到代建局项目协同平台备份。</w:t>
      </w:r>
    </w:p>
    <w:p w14:paraId="15C99510">
      <w:pPr>
        <w:pStyle w:val="3"/>
        <w:rPr>
          <w:color w:val="auto"/>
          <w:highlight w:val="none"/>
        </w:rPr>
      </w:pPr>
      <w:bookmarkStart w:id="1516" w:name="_Toc15213"/>
      <w:bookmarkStart w:id="1517" w:name="_Toc25594"/>
      <w:bookmarkStart w:id="1518" w:name="_Toc20287"/>
      <w:bookmarkStart w:id="1519" w:name="_Toc986"/>
      <w:r>
        <w:rPr>
          <w:color w:val="auto"/>
          <w:highlight w:val="none"/>
        </w:rPr>
        <w:t>各参与方协同工作</w:t>
      </w:r>
      <w:bookmarkEnd w:id="1516"/>
      <w:bookmarkEnd w:id="1517"/>
      <w:bookmarkEnd w:id="1518"/>
      <w:bookmarkEnd w:id="1519"/>
    </w:p>
    <w:p w14:paraId="0B8FBF3E">
      <w:pPr>
        <w:pStyle w:val="587"/>
        <w:spacing w:before="156" w:after="156"/>
        <w:rPr>
          <w:color w:val="auto"/>
          <w:highlight w:val="none"/>
        </w:rPr>
      </w:pPr>
      <w:bookmarkStart w:id="1520" w:name="_Toc1918"/>
      <w:bookmarkStart w:id="1521" w:name="_Toc31038"/>
      <w:bookmarkStart w:id="1522" w:name="_Toc6234"/>
      <w:bookmarkStart w:id="1523" w:name="_Toc18401"/>
      <w:r>
        <w:rPr>
          <w:color w:val="auto"/>
          <w:highlight w:val="none"/>
        </w:rPr>
        <w:t>设计阶段协同工作包括设计单位内部协同和设计单位外部协同。</w:t>
      </w:r>
      <w:bookmarkEnd w:id="1520"/>
      <w:bookmarkEnd w:id="1521"/>
      <w:bookmarkEnd w:id="1522"/>
      <w:bookmarkEnd w:id="1523"/>
    </w:p>
    <w:p w14:paraId="0B3E00CC">
      <w:pPr>
        <w:pStyle w:val="587"/>
        <w:spacing w:before="156" w:after="156"/>
        <w:rPr>
          <w:color w:val="auto"/>
          <w:highlight w:val="none"/>
        </w:rPr>
      </w:pPr>
      <w:bookmarkStart w:id="1524" w:name="_Toc9723"/>
      <w:bookmarkStart w:id="1525" w:name="_Toc12519"/>
      <w:bookmarkStart w:id="1526" w:name="_Toc32348"/>
      <w:bookmarkStart w:id="1527" w:name="_Toc7799"/>
      <w:r>
        <w:rPr>
          <w:color w:val="auto"/>
          <w:highlight w:val="none"/>
        </w:rPr>
        <w:t>在设计阶段项目BIM实施过程中，设计单位内部协同工作主要是建筑、结构、机电的专业内协同和专业间协同。</w:t>
      </w:r>
      <w:bookmarkEnd w:id="1524"/>
      <w:bookmarkEnd w:id="1525"/>
      <w:bookmarkEnd w:id="1526"/>
      <w:bookmarkEnd w:id="1527"/>
    </w:p>
    <w:p w14:paraId="277492AA">
      <w:pPr>
        <w:ind w:firstLine="840" w:firstLineChars="400"/>
        <w:rPr>
          <w:color w:val="auto"/>
          <w:highlight w:val="none"/>
        </w:rPr>
      </w:pPr>
      <w:bookmarkStart w:id="1528" w:name="_Toc25044"/>
      <w:bookmarkStart w:id="1529" w:name="_Toc24603"/>
      <w:bookmarkStart w:id="1530" w:name="_Toc20676"/>
      <w:bookmarkStart w:id="1531" w:name="_Toc5113"/>
      <w:r>
        <w:rPr>
          <w:color w:val="auto"/>
          <w:highlight w:val="none"/>
        </w:rPr>
        <w:t>1. 专业内协同具体要求：</w:t>
      </w:r>
      <w:bookmarkEnd w:id="1528"/>
      <w:bookmarkEnd w:id="1529"/>
      <w:bookmarkEnd w:id="1530"/>
      <w:bookmarkEnd w:id="1531"/>
    </w:p>
    <w:p w14:paraId="5915AA44">
      <w:pPr>
        <w:ind w:firstLine="840" w:firstLineChars="400"/>
        <w:rPr>
          <w:color w:val="auto"/>
          <w:highlight w:val="none"/>
        </w:rPr>
      </w:pPr>
      <w:r>
        <w:rPr>
          <w:color w:val="auto"/>
          <w:highlight w:val="none"/>
        </w:rPr>
        <w:t>（1）专业内协同采用“中心文件”协同方式，由建筑、结构、机电各专业分别创建，并且仅包含本专业负责的内容，设计人员单独创建、修改、访问各自专业内BIM成果；</w:t>
      </w:r>
    </w:p>
    <w:p w14:paraId="0883A26B">
      <w:pPr>
        <w:ind w:firstLine="840" w:firstLineChars="400"/>
        <w:rPr>
          <w:color w:val="auto"/>
          <w:highlight w:val="none"/>
        </w:rPr>
      </w:pPr>
      <w:r>
        <w:rPr>
          <w:color w:val="auto"/>
          <w:highlight w:val="none"/>
        </w:rPr>
        <w:t>（2）设计单位搭建设计服务器，所有设计成果保存在设计服务器中。在服务器项目文件系统中，应当为专业划分各自的文件位置，以便分别保存、更新BIM成果和多专业间协同。</w:t>
      </w:r>
    </w:p>
    <w:p w14:paraId="78CD8BED">
      <w:pPr>
        <w:ind w:firstLine="840" w:firstLineChars="400"/>
        <w:rPr>
          <w:color w:val="auto"/>
          <w:highlight w:val="none"/>
        </w:rPr>
      </w:pPr>
      <w:bookmarkStart w:id="1532" w:name="_Toc10515"/>
      <w:bookmarkStart w:id="1533" w:name="_Toc28448"/>
      <w:bookmarkStart w:id="1534" w:name="_Toc27185"/>
      <w:bookmarkStart w:id="1535" w:name="_Toc29974"/>
      <w:r>
        <w:rPr>
          <w:color w:val="auto"/>
          <w:highlight w:val="none"/>
        </w:rPr>
        <w:t>2. 专业间协同具体要求：</w:t>
      </w:r>
      <w:bookmarkEnd w:id="1532"/>
      <w:bookmarkEnd w:id="1533"/>
      <w:bookmarkEnd w:id="1534"/>
      <w:bookmarkEnd w:id="1535"/>
    </w:p>
    <w:p w14:paraId="4D5C7DB8">
      <w:pPr>
        <w:ind w:firstLine="840" w:firstLineChars="400"/>
        <w:rPr>
          <w:color w:val="auto"/>
          <w:highlight w:val="none"/>
        </w:rPr>
      </w:pPr>
      <w:r>
        <w:rPr>
          <w:color w:val="auto"/>
          <w:highlight w:val="none"/>
        </w:rPr>
        <w:t>（1）专业间协同采用“链接文件”的方式，各专业通过BIM文件链接到本专业模型中，进行设计参考资料；</w:t>
      </w:r>
    </w:p>
    <w:p w14:paraId="6A8D9750">
      <w:pPr>
        <w:ind w:firstLine="840" w:firstLineChars="400"/>
        <w:rPr>
          <w:color w:val="auto"/>
          <w:highlight w:val="none"/>
        </w:rPr>
      </w:pPr>
      <w:r>
        <w:rPr>
          <w:color w:val="auto"/>
          <w:highlight w:val="none"/>
        </w:rPr>
        <w:t>（2）其他设计分包单位的BIM设计成果经进行审核和确认后，上传到设计服务器的数据库并注明上传时间；</w:t>
      </w:r>
    </w:p>
    <w:p w14:paraId="17CD4B76">
      <w:pPr>
        <w:ind w:firstLine="840" w:firstLineChars="400"/>
        <w:rPr>
          <w:color w:val="auto"/>
          <w:highlight w:val="none"/>
        </w:rPr>
      </w:pPr>
      <w:r>
        <w:rPr>
          <w:color w:val="auto"/>
          <w:highlight w:val="none"/>
        </w:rPr>
        <w:t>（3）当共享BIM成果有变更时，应及时通知项目各专业设计团队，方便迅速处理变更问题。</w:t>
      </w:r>
    </w:p>
    <w:p w14:paraId="12F6642D">
      <w:pPr>
        <w:pStyle w:val="587"/>
        <w:spacing w:before="156" w:after="156"/>
        <w:rPr>
          <w:color w:val="auto"/>
          <w:highlight w:val="none"/>
        </w:rPr>
      </w:pPr>
      <w:bookmarkStart w:id="1536" w:name="_Toc14403"/>
      <w:bookmarkStart w:id="1537" w:name="_Toc21037"/>
      <w:bookmarkStart w:id="1538" w:name="_Toc6613"/>
      <w:bookmarkStart w:id="1539" w:name="_Toc182"/>
      <w:r>
        <w:rPr>
          <w:color w:val="auto"/>
          <w:highlight w:val="none"/>
        </w:rPr>
        <w:t>设计单位外部协同工作要点包括：</w:t>
      </w:r>
      <w:bookmarkEnd w:id="1536"/>
      <w:bookmarkEnd w:id="1537"/>
      <w:bookmarkEnd w:id="1538"/>
      <w:bookmarkEnd w:id="1539"/>
    </w:p>
    <w:p w14:paraId="357C1A4A">
      <w:pPr>
        <w:ind w:firstLine="840" w:firstLineChars="400"/>
        <w:rPr>
          <w:color w:val="auto"/>
          <w:highlight w:val="none"/>
        </w:rPr>
      </w:pPr>
      <w:r>
        <w:rPr>
          <w:color w:val="auto"/>
          <w:highlight w:val="none"/>
        </w:rPr>
        <w:t>1. 设计单位根据各阶段成果提交要求，按时间节点提交项目BIM设计成果，经BIM总协调方审核后，汇总至代建局项目管理平台作为设计各阶段BIM成果文件；</w:t>
      </w:r>
    </w:p>
    <w:p w14:paraId="448D2F7E">
      <w:pPr>
        <w:ind w:firstLine="840" w:firstLineChars="400"/>
        <w:rPr>
          <w:color w:val="auto"/>
          <w:highlight w:val="none"/>
        </w:rPr>
      </w:pPr>
      <w:r>
        <w:rPr>
          <w:color w:val="auto"/>
          <w:highlight w:val="none"/>
        </w:rPr>
        <w:t>2. 前期工作部及其他设计管理单位通过访问代建局项目协同平台，对设计各阶段BIM成果文件进行审阅，反馈设计修改意见，通知设计单位进行修改；</w:t>
      </w:r>
    </w:p>
    <w:p w14:paraId="76F156F1">
      <w:pPr>
        <w:ind w:firstLine="840" w:firstLineChars="400"/>
        <w:rPr>
          <w:color w:val="auto"/>
          <w:highlight w:val="none"/>
        </w:rPr>
      </w:pPr>
      <w:r>
        <w:rPr>
          <w:color w:val="auto"/>
          <w:highlight w:val="none"/>
        </w:rPr>
        <w:t>3. 设计的BIM成果归档后，BIM总协调方根据下一施工阶段的要求，在代建局项目协同平台提取设计BIM成果，分配到施工服务器。</w:t>
      </w:r>
    </w:p>
    <w:p w14:paraId="5C85DFE2">
      <w:pPr>
        <w:pStyle w:val="587"/>
        <w:spacing w:before="156" w:after="156"/>
        <w:rPr>
          <w:color w:val="auto"/>
          <w:highlight w:val="none"/>
        </w:rPr>
      </w:pPr>
      <w:bookmarkStart w:id="1540" w:name="_Toc13650"/>
      <w:bookmarkStart w:id="1541" w:name="_Toc8852"/>
      <w:bookmarkStart w:id="1542" w:name="_Toc15277"/>
      <w:bookmarkStart w:id="1543" w:name="_Toc2781"/>
      <w:r>
        <w:rPr>
          <w:color w:val="auto"/>
          <w:highlight w:val="none"/>
        </w:rPr>
        <w:t>施工阶段协同工作要点包括：</w:t>
      </w:r>
      <w:bookmarkEnd w:id="1540"/>
      <w:bookmarkEnd w:id="1541"/>
      <w:bookmarkEnd w:id="1542"/>
      <w:bookmarkEnd w:id="1543"/>
    </w:p>
    <w:p w14:paraId="41B097E2">
      <w:pPr>
        <w:ind w:firstLine="840" w:firstLineChars="400"/>
        <w:rPr>
          <w:color w:val="auto"/>
          <w:highlight w:val="none"/>
        </w:rPr>
      </w:pPr>
      <w:r>
        <w:rPr>
          <w:color w:val="auto"/>
          <w:highlight w:val="none"/>
        </w:rPr>
        <w:t>1. 施工单位收到设计BIM成果后，由施工总承包单位进行成果拆分，分配到专业承包单位；</w:t>
      </w:r>
    </w:p>
    <w:p w14:paraId="5244EA37">
      <w:pPr>
        <w:ind w:firstLine="840" w:firstLineChars="400"/>
        <w:rPr>
          <w:color w:val="auto"/>
          <w:highlight w:val="none"/>
        </w:rPr>
      </w:pPr>
      <w:r>
        <w:rPr>
          <w:color w:val="auto"/>
          <w:highlight w:val="none"/>
        </w:rPr>
        <w:t>2. 项目施工各参与单位采用“中心文件”方式，在施工服务器上深化、更新各施工承包范围内的BIM成果；</w:t>
      </w:r>
    </w:p>
    <w:p w14:paraId="789570AB">
      <w:pPr>
        <w:ind w:firstLine="840" w:firstLineChars="400"/>
        <w:rPr>
          <w:color w:val="auto"/>
          <w:highlight w:val="none"/>
        </w:rPr>
      </w:pPr>
      <w:r>
        <w:rPr>
          <w:color w:val="auto"/>
          <w:highlight w:val="none"/>
        </w:rPr>
        <w:t>3. 施工总承包单位采用“链接文件”方式，综合合成各施工分包单位BIM成果，在BIM总协调方配合指导下，应用BIM成果与现场施工管理工作中，优化施工组织方式、协调各施工分包单位工作、对重难点施工区域进行模拟，辅助工程过程控制，形成项目施工BIM应用成果，提交BIM总协调方审核，作为项目施工阶段实施管理BIM成果资料；</w:t>
      </w:r>
    </w:p>
    <w:p w14:paraId="70B21A00">
      <w:pPr>
        <w:ind w:firstLine="840" w:firstLineChars="400"/>
        <w:rPr>
          <w:color w:val="auto"/>
          <w:highlight w:val="none"/>
        </w:rPr>
      </w:pPr>
      <w:r>
        <w:rPr>
          <w:color w:val="auto"/>
          <w:highlight w:val="none"/>
        </w:rPr>
        <w:t>4. 施工总承包单位根据协商修改意见，提出设计变更，上传至代建局项目协同平台。项目建设管理部、设计单位、监理单位通过访问项目协同平台对变更进行确认并出具设计变更意见，施工总承包单位根据设计变更及时修改施工阶段BIM成果，提交BIM总协调方审核后，汇总至项目协同平台作为施工过程文件备份；</w:t>
      </w:r>
    </w:p>
    <w:p w14:paraId="3A87DDC4">
      <w:pPr>
        <w:ind w:firstLine="840" w:firstLineChars="400"/>
        <w:rPr>
          <w:color w:val="auto"/>
          <w:highlight w:val="none"/>
        </w:rPr>
      </w:pPr>
      <w:r>
        <w:rPr>
          <w:color w:val="auto"/>
          <w:highlight w:val="none"/>
        </w:rPr>
        <w:t>5. 施工单位根据现场实际条件更新施工阶段BIM成果，各阶段成果应与模型所表达的施工组织设计、施工方案、进度计划、现场实际保持一致。施工总承包单位组织各施工分包单位在施工过程中，根据实际施工资料录入施工阶段BIM信息，经项目建设管理部、监理单位及BIM总协调方验收后，形成竣工BIM成果并归档。</w:t>
      </w:r>
    </w:p>
    <w:p w14:paraId="21F61A1F">
      <w:pPr>
        <w:pStyle w:val="587"/>
        <w:spacing w:before="156" w:after="156"/>
        <w:rPr>
          <w:color w:val="auto"/>
          <w:highlight w:val="none"/>
        </w:rPr>
      </w:pPr>
      <w:bookmarkStart w:id="1544" w:name="_Toc32050"/>
      <w:bookmarkStart w:id="1545" w:name="_Toc9879"/>
      <w:bookmarkStart w:id="1546" w:name="_Toc23029"/>
      <w:r>
        <w:rPr>
          <w:color w:val="auto"/>
          <w:highlight w:val="none"/>
        </w:rPr>
        <w:t>运维阶段协同工作要点包括：</w:t>
      </w:r>
      <w:bookmarkEnd w:id="1544"/>
      <w:bookmarkEnd w:id="1545"/>
      <w:bookmarkEnd w:id="1546"/>
    </w:p>
    <w:p w14:paraId="46CD87C5">
      <w:pPr>
        <w:ind w:firstLine="840" w:firstLineChars="400"/>
        <w:rPr>
          <w:color w:val="auto"/>
          <w:highlight w:val="none"/>
        </w:rPr>
      </w:pPr>
      <w:r>
        <w:rPr>
          <w:color w:val="auto"/>
          <w:highlight w:val="none"/>
        </w:rPr>
        <w:t>1. BIM总协调方提取代建局项目协同平台的竣工BIM成果，交予运维单位；</w:t>
      </w:r>
    </w:p>
    <w:p w14:paraId="27EC68EA">
      <w:pPr>
        <w:ind w:firstLine="840" w:firstLineChars="400"/>
        <w:rPr>
          <w:color w:val="auto"/>
          <w:highlight w:val="none"/>
        </w:rPr>
      </w:pPr>
      <w:r>
        <w:rPr>
          <w:color w:val="auto"/>
          <w:highlight w:val="none"/>
        </w:rPr>
        <w:t>2. BIM总协调方配合运维单位的运维需求及信息格式条件，辅助运维单位进行BIM信息的提取和运维测试；</w:t>
      </w:r>
    </w:p>
    <w:p w14:paraId="4519B495">
      <w:pPr>
        <w:ind w:firstLine="840" w:firstLineChars="400"/>
        <w:rPr>
          <w:color w:val="auto"/>
          <w:highlight w:val="none"/>
        </w:rPr>
      </w:pPr>
      <w:r>
        <w:rPr>
          <w:color w:val="auto"/>
          <w:highlight w:val="none"/>
        </w:rPr>
        <w:t>3. 运维单位在运维服务器上进行对交付项目的运维管理，定期更新项目运维资料至项目管理协同平台备份，实现项目信息和代建局项目协同平台信息一致，为打造智慧城市信息奠定基础。</w:t>
      </w:r>
    </w:p>
    <w:p w14:paraId="3228CD44">
      <w:pPr>
        <w:rPr>
          <w:color w:val="auto"/>
          <w:highlight w:val="none"/>
        </w:rPr>
      </w:pPr>
    </w:p>
    <w:p w14:paraId="23B114A5">
      <w:pPr>
        <w:spacing w:line="560" w:lineRule="exact"/>
        <w:rPr>
          <w:rFonts w:hint="default" w:ascii="宋体" w:hAnsi="宋体" w:eastAsia="宋体"/>
          <w:bCs/>
          <w:color w:val="auto"/>
          <w:sz w:val="24"/>
          <w:szCs w:val="24"/>
          <w:highlight w:val="none"/>
          <w:lang w:val="en-US" w:eastAsia="zh-CN"/>
        </w:rPr>
      </w:pPr>
    </w:p>
    <w:p w14:paraId="0206AC60">
      <w:pPr>
        <w:spacing w:line="560" w:lineRule="exact"/>
        <w:rPr>
          <w:rFonts w:hint="eastAsia" w:ascii="宋体" w:hAnsi="宋体" w:eastAsia="宋体"/>
          <w:bCs/>
          <w:color w:val="auto"/>
          <w:sz w:val="24"/>
          <w:szCs w:val="24"/>
          <w:highlight w:val="none"/>
          <w:lang w:eastAsia="zh-Hans"/>
        </w:rPr>
      </w:pPr>
    </w:p>
    <w:p w14:paraId="05989312">
      <w:pPr>
        <w:spacing w:line="560" w:lineRule="exact"/>
        <w:rPr>
          <w:rFonts w:hint="eastAsia" w:ascii="宋体" w:hAnsi="宋体" w:eastAsia="宋体"/>
          <w:bCs/>
          <w:color w:val="auto"/>
          <w:sz w:val="24"/>
          <w:szCs w:val="24"/>
          <w:highlight w:val="none"/>
          <w:lang w:eastAsia="zh-Hans"/>
        </w:rPr>
      </w:pPr>
    </w:p>
    <w:p w14:paraId="17FE0FE9">
      <w:pPr>
        <w:spacing w:line="560" w:lineRule="exact"/>
        <w:rPr>
          <w:rFonts w:hint="eastAsia" w:ascii="宋体" w:hAnsi="宋体" w:eastAsia="宋体"/>
          <w:bCs/>
          <w:color w:val="auto"/>
          <w:sz w:val="24"/>
          <w:szCs w:val="24"/>
          <w:highlight w:val="none"/>
          <w:lang w:eastAsia="zh-Hans"/>
        </w:rPr>
      </w:pPr>
    </w:p>
    <w:p w14:paraId="0C238FA0">
      <w:pPr>
        <w:spacing w:line="560" w:lineRule="exact"/>
        <w:rPr>
          <w:rFonts w:hint="eastAsia" w:ascii="宋体" w:hAnsi="宋体" w:eastAsia="宋体"/>
          <w:bCs/>
          <w:color w:val="auto"/>
          <w:sz w:val="24"/>
          <w:szCs w:val="24"/>
          <w:highlight w:val="none"/>
          <w:lang w:eastAsia="zh-Hans"/>
        </w:rPr>
      </w:pPr>
    </w:p>
    <w:p w14:paraId="289BBD17">
      <w:pPr>
        <w:spacing w:line="560" w:lineRule="exact"/>
        <w:rPr>
          <w:rFonts w:hint="eastAsia" w:ascii="宋体" w:hAnsi="宋体" w:eastAsia="宋体"/>
          <w:bCs/>
          <w:color w:val="auto"/>
          <w:sz w:val="24"/>
          <w:szCs w:val="24"/>
          <w:highlight w:val="none"/>
          <w:lang w:eastAsia="zh-Hans"/>
        </w:rPr>
      </w:pPr>
    </w:p>
    <w:p w14:paraId="17EE2842">
      <w:pPr>
        <w:spacing w:line="560" w:lineRule="exact"/>
        <w:rPr>
          <w:rFonts w:hint="eastAsia" w:ascii="宋体" w:hAnsi="宋体" w:eastAsia="宋体"/>
          <w:bCs/>
          <w:color w:val="auto"/>
          <w:sz w:val="24"/>
          <w:szCs w:val="24"/>
          <w:highlight w:val="none"/>
          <w:lang w:eastAsia="zh-Hans"/>
        </w:rPr>
      </w:pPr>
    </w:p>
    <w:p w14:paraId="0E67AF71">
      <w:pPr>
        <w:spacing w:line="560" w:lineRule="exact"/>
        <w:rPr>
          <w:rFonts w:hint="eastAsia" w:ascii="宋体" w:hAnsi="宋体" w:eastAsia="宋体"/>
          <w:bCs/>
          <w:color w:val="auto"/>
          <w:sz w:val="24"/>
          <w:szCs w:val="24"/>
          <w:highlight w:val="none"/>
          <w:lang w:eastAsia="zh-Hans"/>
        </w:rPr>
      </w:pPr>
    </w:p>
    <w:p w14:paraId="3810F40C">
      <w:pPr>
        <w:spacing w:line="560" w:lineRule="exact"/>
        <w:rPr>
          <w:rFonts w:hint="eastAsia" w:ascii="宋体" w:hAnsi="宋体" w:eastAsia="宋体"/>
          <w:bCs/>
          <w:color w:val="auto"/>
          <w:sz w:val="24"/>
          <w:szCs w:val="24"/>
          <w:highlight w:val="none"/>
          <w:lang w:eastAsia="zh-Hans"/>
        </w:rPr>
      </w:pPr>
    </w:p>
    <w:p w14:paraId="33FD4443">
      <w:pPr>
        <w:spacing w:line="560" w:lineRule="exact"/>
        <w:rPr>
          <w:rFonts w:hint="eastAsia" w:ascii="宋体" w:hAnsi="宋体" w:eastAsia="宋体"/>
          <w:bCs/>
          <w:color w:val="auto"/>
          <w:sz w:val="24"/>
          <w:szCs w:val="24"/>
          <w:highlight w:val="none"/>
          <w:lang w:eastAsia="zh-Hans"/>
        </w:rPr>
      </w:pPr>
    </w:p>
    <w:p w14:paraId="53E4CDA2">
      <w:pPr>
        <w:spacing w:line="560" w:lineRule="exact"/>
        <w:rPr>
          <w:rFonts w:hint="eastAsia" w:ascii="宋体" w:hAnsi="宋体" w:eastAsia="宋体"/>
          <w:bCs/>
          <w:color w:val="auto"/>
          <w:sz w:val="24"/>
          <w:szCs w:val="24"/>
          <w:highlight w:val="none"/>
          <w:lang w:eastAsia="zh-Hans"/>
        </w:rPr>
      </w:pPr>
    </w:p>
    <w:p w14:paraId="5E43778E">
      <w:pPr>
        <w:spacing w:line="560" w:lineRule="exact"/>
        <w:rPr>
          <w:rFonts w:hint="eastAsia" w:ascii="宋体" w:hAnsi="宋体" w:eastAsia="宋体"/>
          <w:bCs/>
          <w:color w:val="auto"/>
          <w:sz w:val="24"/>
          <w:szCs w:val="24"/>
          <w:highlight w:val="none"/>
          <w:lang w:eastAsia="zh-Hans"/>
        </w:rPr>
      </w:pPr>
    </w:p>
    <w:p w14:paraId="4DC59C85">
      <w:pPr>
        <w:spacing w:line="560" w:lineRule="exact"/>
        <w:rPr>
          <w:rFonts w:hint="eastAsia" w:ascii="宋体" w:hAnsi="宋体" w:eastAsia="宋体"/>
          <w:bCs/>
          <w:color w:val="auto"/>
          <w:sz w:val="24"/>
          <w:szCs w:val="24"/>
          <w:highlight w:val="none"/>
          <w:lang w:eastAsia="zh-Hans"/>
        </w:rPr>
      </w:pPr>
    </w:p>
    <w:p w14:paraId="283CAFC9">
      <w:pPr>
        <w:spacing w:line="560" w:lineRule="exact"/>
        <w:rPr>
          <w:rFonts w:ascii="仿宋_GB2312" w:eastAsia="仿宋_GB2312"/>
          <w:bCs/>
          <w:color w:val="auto"/>
          <w:sz w:val="32"/>
          <w:szCs w:val="32"/>
          <w:highlight w:val="none"/>
        </w:rPr>
      </w:pPr>
      <w:r>
        <w:rPr>
          <w:rFonts w:hint="eastAsia" w:ascii="宋体" w:hAnsi="宋体" w:eastAsia="宋体"/>
          <w:bCs/>
          <w:color w:val="auto"/>
          <w:sz w:val="24"/>
          <w:szCs w:val="24"/>
          <w:highlight w:val="none"/>
          <w:lang w:eastAsia="zh-Hans"/>
        </w:rPr>
        <w:t>附件</w:t>
      </w:r>
      <w:r>
        <w:rPr>
          <w:rFonts w:ascii="宋体" w:hAnsi="宋体" w:eastAsia="宋体"/>
          <w:bCs/>
          <w:color w:val="auto"/>
          <w:sz w:val="24"/>
          <w:szCs w:val="24"/>
          <w:highlight w:val="none"/>
        </w:rPr>
        <w:t>1</w:t>
      </w:r>
      <w:r>
        <w:rPr>
          <w:rFonts w:hint="eastAsia" w:ascii="宋体" w:hAnsi="宋体" w:eastAsia="宋体"/>
          <w:bCs/>
          <w:color w:val="auto"/>
          <w:sz w:val="24"/>
          <w:szCs w:val="24"/>
          <w:highlight w:val="none"/>
          <w:lang w:val="en-US" w:eastAsia="zh-CN"/>
        </w:rPr>
        <w:t>2</w:t>
      </w:r>
      <w:r>
        <w:rPr>
          <w:rFonts w:ascii="宋体" w:hAnsi="宋体" w:eastAsia="宋体"/>
          <w:bCs/>
          <w:color w:val="auto"/>
          <w:sz w:val="24"/>
          <w:szCs w:val="24"/>
          <w:highlight w:val="none"/>
        </w:rPr>
        <w:t xml:space="preserve">: </w:t>
      </w:r>
      <w:r>
        <w:rPr>
          <w:rFonts w:hint="eastAsia" w:ascii="宋体" w:hAnsi="宋体" w:eastAsia="宋体"/>
          <w:bCs/>
          <w:color w:val="auto"/>
          <w:sz w:val="24"/>
          <w:szCs w:val="24"/>
          <w:highlight w:val="none"/>
        </w:rPr>
        <w:t>省代建局直接管理项目设计单位履约评价实施细则</w:t>
      </w:r>
    </w:p>
    <w:p w14:paraId="642BCFF9">
      <w:pPr>
        <w:pStyle w:val="2"/>
        <w:spacing w:line="240" w:lineRule="auto"/>
        <w:ind w:firstLine="866"/>
        <w:jc w:val="center"/>
        <w:rPr>
          <w:b w:val="0"/>
          <w:color w:val="auto"/>
          <w:highlight w:val="none"/>
        </w:rPr>
      </w:pPr>
      <w:r>
        <w:rPr>
          <w:rFonts w:hint="eastAsia"/>
          <w:b w:val="0"/>
          <w:color w:val="auto"/>
          <w:highlight w:val="none"/>
        </w:rPr>
        <w:t>省代建局直接管理项目设计单位</w:t>
      </w:r>
    </w:p>
    <w:p w14:paraId="5E2AA01F">
      <w:pPr>
        <w:pStyle w:val="2"/>
        <w:spacing w:line="240" w:lineRule="auto"/>
        <w:ind w:firstLine="866"/>
        <w:jc w:val="center"/>
        <w:rPr>
          <w:b w:val="0"/>
          <w:color w:val="auto"/>
          <w:highlight w:val="none"/>
        </w:rPr>
      </w:pPr>
      <w:r>
        <w:rPr>
          <w:rFonts w:hint="eastAsia"/>
          <w:b w:val="0"/>
          <w:color w:val="auto"/>
          <w:highlight w:val="none"/>
        </w:rPr>
        <w:t>履约评价实施细则</w:t>
      </w:r>
    </w:p>
    <w:p w14:paraId="721F411E">
      <w:pPr>
        <w:adjustRightInd w:val="0"/>
        <w:snapToGrid w:val="0"/>
        <w:rPr>
          <w:rFonts w:ascii="宋体" w:hAnsi="宋体"/>
          <w:color w:val="auto"/>
          <w:szCs w:val="21"/>
          <w:highlight w:val="none"/>
        </w:rPr>
      </w:pPr>
      <w:r>
        <w:rPr>
          <w:rFonts w:hint="eastAsia" w:ascii="宋体" w:hAnsi="宋体"/>
          <w:color w:val="auto"/>
          <w:szCs w:val="21"/>
          <w:highlight w:val="none"/>
        </w:rPr>
        <w:t xml:space="preserve">    </w:t>
      </w:r>
    </w:p>
    <w:p w14:paraId="7AE9B924">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第一条 根据《省代建局直接管理项目合同履约评价管理办法（试行）》的有关规定，</w:t>
      </w:r>
      <w:r>
        <w:rPr>
          <w:rFonts w:ascii="仿宋_GB2312" w:eastAsia="仿宋_GB2312"/>
          <w:color w:val="auto"/>
          <w:sz w:val="32"/>
          <w:szCs w:val="32"/>
          <w:highlight w:val="none"/>
        </w:rPr>
        <w:t>为</w:t>
      </w:r>
      <w:r>
        <w:rPr>
          <w:rFonts w:hint="eastAsia" w:ascii="仿宋_GB2312" w:eastAsia="仿宋_GB2312"/>
          <w:color w:val="auto"/>
          <w:sz w:val="32"/>
          <w:szCs w:val="32"/>
          <w:highlight w:val="none"/>
        </w:rPr>
        <w:t>规范建设工程设计管理工作，激励设计</w:t>
      </w:r>
      <w:r>
        <w:rPr>
          <w:rFonts w:ascii="仿宋_GB2312" w:eastAsia="仿宋_GB2312"/>
          <w:color w:val="auto"/>
          <w:sz w:val="32"/>
          <w:szCs w:val="32"/>
          <w:highlight w:val="none"/>
        </w:rPr>
        <w:t>单位加强</w:t>
      </w:r>
      <w:r>
        <w:rPr>
          <w:rFonts w:hint="eastAsia" w:ascii="仿宋_GB2312" w:eastAsia="仿宋_GB2312"/>
          <w:color w:val="auto"/>
          <w:sz w:val="32"/>
          <w:szCs w:val="32"/>
          <w:highlight w:val="none"/>
        </w:rPr>
        <w:t>内部</w:t>
      </w:r>
      <w:r>
        <w:rPr>
          <w:rFonts w:ascii="仿宋_GB2312" w:eastAsia="仿宋_GB2312"/>
          <w:color w:val="auto"/>
          <w:sz w:val="32"/>
          <w:szCs w:val="32"/>
          <w:highlight w:val="none"/>
        </w:rPr>
        <w:t>管理，</w:t>
      </w:r>
      <w:r>
        <w:rPr>
          <w:rFonts w:hint="eastAsia" w:ascii="仿宋_GB2312" w:eastAsia="仿宋_GB2312"/>
          <w:color w:val="auto"/>
          <w:sz w:val="32"/>
          <w:szCs w:val="32"/>
          <w:highlight w:val="none"/>
        </w:rPr>
        <w:t>提高服务意识和设计质量，</w:t>
      </w:r>
      <w:r>
        <w:rPr>
          <w:rFonts w:ascii="仿宋_GB2312" w:eastAsia="仿宋_GB2312"/>
          <w:color w:val="auto"/>
          <w:sz w:val="32"/>
          <w:szCs w:val="32"/>
          <w:highlight w:val="none"/>
        </w:rPr>
        <w:t>认真履行合同</w:t>
      </w:r>
      <w:r>
        <w:rPr>
          <w:rFonts w:hint="eastAsia" w:ascii="仿宋_GB2312" w:eastAsia="仿宋_GB2312"/>
          <w:color w:val="auto"/>
          <w:sz w:val="32"/>
          <w:szCs w:val="32"/>
          <w:highlight w:val="none"/>
        </w:rPr>
        <w:t>条款</w:t>
      </w:r>
      <w:r>
        <w:rPr>
          <w:rFonts w:ascii="仿宋_GB2312" w:eastAsia="仿宋_GB2312"/>
          <w:color w:val="auto"/>
          <w:sz w:val="32"/>
          <w:szCs w:val="32"/>
          <w:highlight w:val="none"/>
        </w:rPr>
        <w:t>，严格控制建设投资，</w:t>
      </w:r>
      <w:r>
        <w:rPr>
          <w:rFonts w:hint="eastAsia" w:ascii="仿宋_GB2312" w:eastAsia="仿宋_GB2312"/>
          <w:color w:val="auto"/>
          <w:sz w:val="32"/>
          <w:szCs w:val="32"/>
          <w:highlight w:val="none"/>
        </w:rPr>
        <w:t>满足</w:t>
      </w:r>
      <w:r>
        <w:rPr>
          <w:rFonts w:ascii="仿宋_GB2312" w:eastAsia="仿宋_GB2312"/>
          <w:color w:val="auto"/>
          <w:sz w:val="32"/>
          <w:szCs w:val="32"/>
          <w:highlight w:val="none"/>
        </w:rPr>
        <w:t>工程建设质量、安全、工期</w:t>
      </w:r>
      <w:r>
        <w:rPr>
          <w:rFonts w:hint="eastAsia" w:ascii="仿宋_GB2312" w:eastAsia="仿宋_GB2312"/>
          <w:color w:val="auto"/>
          <w:sz w:val="32"/>
          <w:szCs w:val="32"/>
          <w:highlight w:val="none"/>
        </w:rPr>
        <w:t>等要求</w:t>
      </w:r>
      <w:r>
        <w:rPr>
          <w:rFonts w:ascii="仿宋_GB2312" w:eastAsia="仿宋_GB2312"/>
          <w:color w:val="auto"/>
          <w:sz w:val="32"/>
          <w:szCs w:val="32"/>
          <w:highlight w:val="none"/>
        </w:rPr>
        <w:t>，</w:t>
      </w:r>
      <w:r>
        <w:rPr>
          <w:rFonts w:hint="eastAsia" w:ascii="仿宋_GB2312" w:eastAsia="仿宋_GB2312"/>
          <w:color w:val="auto"/>
          <w:sz w:val="32"/>
          <w:szCs w:val="32"/>
          <w:highlight w:val="none"/>
        </w:rPr>
        <w:t>在符合有关规范和标准的前提下</w:t>
      </w:r>
      <w:r>
        <w:rPr>
          <w:rFonts w:ascii="仿宋_GB2312" w:eastAsia="仿宋_GB2312"/>
          <w:color w:val="auto"/>
          <w:sz w:val="32"/>
          <w:szCs w:val="32"/>
          <w:highlight w:val="none"/>
        </w:rPr>
        <w:t>，快速、有序、优质、高效地完成</w:t>
      </w:r>
      <w:r>
        <w:rPr>
          <w:rFonts w:hint="eastAsia" w:ascii="仿宋_GB2312" w:eastAsia="仿宋_GB2312"/>
          <w:color w:val="auto"/>
          <w:sz w:val="32"/>
          <w:szCs w:val="32"/>
          <w:highlight w:val="none"/>
        </w:rPr>
        <w:t>合同约定</w:t>
      </w:r>
      <w:r>
        <w:rPr>
          <w:rFonts w:ascii="仿宋_GB2312" w:eastAsia="仿宋_GB2312"/>
          <w:color w:val="auto"/>
          <w:sz w:val="32"/>
          <w:szCs w:val="32"/>
          <w:highlight w:val="none"/>
        </w:rPr>
        <w:t>的</w:t>
      </w:r>
      <w:r>
        <w:rPr>
          <w:rFonts w:hint="eastAsia" w:ascii="仿宋_GB2312" w:eastAsia="仿宋_GB2312"/>
          <w:color w:val="auto"/>
          <w:sz w:val="32"/>
          <w:szCs w:val="32"/>
          <w:highlight w:val="none"/>
        </w:rPr>
        <w:t>设计</w:t>
      </w:r>
      <w:r>
        <w:rPr>
          <w:rFonts w:ascii="仿宋_GB2312" w:eastAsia="仿宋_GB2312"/>
          <w:color w:val="auto"/>
          <w:sz w:val="32"/>
          <w:szCs w:val="32"/>
          <w:highlight w:val="none"/>
        </w:rPr>
        <w:t>任务</w:t>
      </w:r>
      <w:r>
        <w:rPr>
          <w:rFonts w:hint="eastAsia" w:ascii="仿宋_GB2312" w:eastAsia="仿宋_GB2312"/>
          <w:color w:val="auto"/>
          <w:sz w:val="32"/>
          <w:szCs w:val="32"/>
          <w:highlight w:val="none"/>
        </w:rPr>
        <w:t>，确保达到预期的建设目标，特制定本实施细则。</w:t>
      </w:r>
    </w:p>
    <w:p w14:paraId="47B6A294">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第二条 本实施细则适用于与我局签订勘察设计施工总承包合同、全过程工程咨询合同、勘察设计合同、工程设计合同等涉及项目工程设计工作内容的设计单位，以单项合同为单位进行履约评价，评价内容不含BIM技术应用。</w:t>
      </w:r>
    </w:p>
    <w:p w14:paraId="042CFE8C">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第三条 评价阶段</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440"/>
        <w:gridCol w:w="1620"/>
        <w:gridCol w:w="1620"/>
        <w:gridCol w:w="3778"/>
      </w:tblGrid>
      <w:tr w14:paraId="2D00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1F655EFE">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序号</w:t>
            </w:r>
          </w:p>
        </w:tc>
        <w:tc>
          <w:tcPr>
            <w:tcW w:w="3060" w:type="dxa"/>
            <w:gridSpan w:val="2"/>
            <w:noWrap w:val="0"/>
            <w:vAlign w:val="center"/>
          </w:tcPr>
          <w:p w14:paraId="15A0AE85">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阶段</w:t>
            </w:r>
          </w:p>
        </w:tc>
        <w:tc>
          <w:tcPr>
            <w:tcW w:w="1620" w:type="dxa"/>
            <w:noWrap w:val="0"/>
            <w:vAlign w:val="center"/>
          </w:tcPr>
          <w:p w14:paraId="2A6E619E">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负责部门</w:t>
            </w:r>
          </w:p>
        </w:tc>
        <w:tc>
          <w:tcPr>
            <w:tcW w:w="3778" w:type="dxa"/>
            <w:noWrap w:val="0"/>
            <w:vAlign w:val="center"/>
          </w:tcPr>
          <w:p w14:paraId="34DB2B93">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评价时间</w:t>
            </w:r>
          </w:p>
        </w:tc>
      </w:tr>
      <w:tr w14:paraId="688B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28" w:type="dxa"/>
            <w:vMerge w:val="restart"/>
            <w:noWrap w:val="0"/>
            <w:vAlign w:val="center"/>
          </w:tcPr>
          <w:p w14:paraId="3784E710">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1</w:t>
            </w:r>
          </w:p>
        </w:tc>
        <w:tc>
          <w:tcPr>
            <w:tcW w:w="1440" w:type="dxa"/>
            <w:vMerge w:val="restart"/>
            <w:noWrap w:val="0"/>
            <w:vAlign w:val="center"/>
          </w:tcPr>
          <w:p w14:paraId="0CF44151">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设计阶段</w:t>
            </w:r>
          </w:p>
        </w:tc>
        <w:tc>
          <w:tcPr>
            <w:tcW w:w="1620" w:type="dxa"/>
            <w:noWrap w:val="0"/>
            <w:vAlign w:val="center"/>
          </w:tcPr>
          <w:p w14:paraId="0A474D37">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方案设计</w:t>
            </w:r>
          </w:p>
        </w:tc>
        <w:tc>
          <w:tcPr>
            <w:tcW w:w="1620" w:type="dxa"/>
            <w:vMerge w:val="restart"/>
            <w:noWrap w:val="0"/>
            <w:vAlign w:val="center"/>
          </w:tcPr>
          <w:p w14:paraId="5F3A72EC">
            <w:pPr>
              <w:spacing w:line="560" w:lineRule="exac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前期工作部</w:t>
            </w:r>
          </w:p>
        </w:tc>
        <w:tc>
          <w:tcPr>
            <w:tcW w:w="3778" w:type="dxa"/>
            <w:noWrap w:val="0"/>
            <w:vAlign w:val="center"/>
          </w:tcPr>
          <w:p w14:paraId="2A70B3FE">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取得规划部门对工程方案或修规的批复</w:t>
            </w:r>
          </w:p>
        </w:tc>
      </w:tr>
      <w:tr w14:paraId="4B3F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28" w:type="dxa"/>
            <w:vMerge w:val="continue"/>
            <w:noWrap w:val="0"/>
            <w:vAlign w:val="center"/>
          </w:tcPr>
          <w:p w14:paraId="68D1DD9D">
            <w:pPr>
              <w:adjustRightInd w:val="0"/>
              <w:snapToGrid w:val="0"/>
              <w:ind w:firstLine="549"/>
              <w:jc w:val="center"/>
              <w:rPr>
                <w:rFonts w:ascii="仿宋_GB2312" w:hAnsi="宋体" w:eastAsia="仿宋_GB2312"/>
                <w:color w:val="auto"/>
                <w:sz w:val="28"/>
                <w:szCs w:val="28"/>
                <w:highlight w:val="none"/>
              </w:rPr>
            </w:pPr>
          </w:p>
        </w:tc>
        <w:tc>
          <w:tcPr>
            <w:tcW w:w="1440" w:type="dxa"/>
            <w:vMerge w:val="continue"/>
            <w:noWrap w:val="0"/>
            <w:vAlign w:val="center"/>
          </w:tcPr>
          <w:p w14:paraId="430DE506">
            <w:pPr>
              <w:adjustRightInd w:val="0"/>
              <w:snapToGrid w:val="0"/>
              <w:ind w:firstLine="549"/>
              <w:jc w:val="center"/>
              <w:rPr>
                <w:rFonts w:ascii="仿宋_GB2312" w:hAnsi="宋体" w:eastAsia="仿宋_GB2312"/>
                <w:color w:val="auto"/>
                <w:sz w:val="28"/>
                <w:szCs w:val="28"/>
                <w:highlight w:val="none"/>
              </w:rPr>
            </w:pPr>
          </w:p>
        </w:tc>
        <w:tc>
          <w:tcPr>
            <w:tcW w:w="1620" w:type="dxa"/>
            <w:noWrap w:val="0"/>
            <w:vAlign w:val="center"/>
          </w:tcPr>
          <w:p w14:paraId="522D8B6E">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初步设计</w:t>
            </w:r>
          </w:p>
        </w:tc>
        <w:tc>
          <w:tcPr>
            <w:tcW w:w="1620" w:type="dxa"/>
            <w:vMerge w:val="continue"/>
            <w:noWrap w:val="0"/>
            <w:vAlign w:val="center"/>
          </w:tcPr>
          <w:p w14:paraId="5764CF3F">
            <w:pPr>
              <w:spacing w:line="560" w:lineRule="exact"/>
              <w:ind w:firstLine="549"/>
              <w:jc w:val="center"/>
              <w:rPr>
                <w:rFonts w:ascii="仿宋_GB2312" w:hAnsi="宋体" w:eastAsia="仿宋_GB2312"/>
                <w:color w:val="auto"/>
                <w:sz w:val="28"/>
                <w:szCs w:val="28"/>
                <w:highlight w:val="none"/>
              </w:rPr>
            </w:pPr>
          </w:p>
        </w:tc>
        <w:tc>
          <w:tcPr>
            <w:tcW w:w="3778" w:type="dxa"/>
            <w:noWrap w:val="0"/>
            <w:vAlign w:val="center"/>
          </w:tcPr>
          <w:p w14:paraId="13F48AEF">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取得发改部门对初步设计概算的批复</w:t>
            </w:r>
          </w:p>
        </w:tc>
      </w:tr>
      <w:tr w14:paraId="53EB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28" w:type="dxa"/>
            <w:vMerge w:val="continue"/>
            <w:noWrap w:val="0"/>
            <w:vAlign w:val="center"/>
          </w:tcPr>
          <w:p w14:paraId="7DD32670">
            <w:pPr>
              <w:adjustRightInd w:val="0"/>
              <w:snapToGrid w:val="0"/>
              <w:ind w:firstLine="549"/>
              <w:jc w:val="center"/>
              <w:rPr>
                <w:rFonts w:ascii="仿宋_GB2312" w:hAnsi="宋体" w:eastAsia="仿宋_GB2312"/>
                <w:color w:val="auto"/>
                <w:sz w:val="28"/>
                <w:szCs w:val="28"/>
                <w:highlight w:val="none"/>
              </w:rPr>
            </w:pPr>
          </w:p>
        </w:tc>
        <w:tc>
          <w:tcPr>
            <w:tcW w:w="1440" w:type="dxa"/>
            <w:vMerge w:val="continue"/>
            <w:noWrap w:val="0"/>
            <w:vAlign w:val="center"/>
          </w:tcPr>
          <w:p w14:paraId="7DE5ECB8">
            <w:pPr>
              <w:adjustRightInd w:val="0"/>
              <w:snapToGrid w:val="0"/>
              <w:ind w:firstLine="549"/>
              <w:jc w:val="center"/>
              <w:rPr>
                <w:rFonts w:ascii="仿宋_GB2312" w:hAnsi="宋体" w:eastAsia="仿宋_GB2312"/>
                <w:color w:val="auto"/>
                <w:sz w:val="28"/>
                <w:szCs w:val="28"/>
                <w:highlight w:val="none"/>
              </w:rPr>
            </w:pPr>
          </w:p>
        </w:tc>
        <w:tc>
          <w:tcPr>
            <w:tcW w:w="1620" w:type="dxa"/>
            <w:noWrap w:val="0"/>
            <w:vAlign w:val="center"/>
          </w:tcPr>
          <w:p w14:paraId="3092F150">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施工图设计</w:t>
            </w:r>
          </w:p>
        </w:tc>
        <w:tc>
          <w:tcPr>
            <w:tcW w:w="1620" w:type="dxa"/>
            <w:vMerge w:val="continue"/>
            <w:noWrap w:val="0"/>
            <w:vAlign w:val="center"/>
          </w:tcPr>
          <w:p w14:paraId="1BC3A0E7">
            <w:pPr>
              <w:spacing w:line="560" w:lineRule="exact"/>
              <w:ind w:firstLine="549"/>
              <w:jc w:val="center"/>
              <w:rPr>
                <w:rFonts w:ascii="仿宋_GB2312" w:hAnsi="宋体" w:eastAsia="仿宋_GB2312"/>
                <w:color w:val="auto"/>
                <w:sz w:val="28"/>
                <w:szCs w:val="28"/>
                <w:highlight w:val="none"/>
              </w:rPr>
            </w:pPr>
          </w:p>
        </w:tc>
        <w:tc>
          <w:tcPr>
            <w:tcW w:w="3778" w:type="dxa"/>
            <w:noWrap w:val="0"/>
            <w:vAlign w:val="center"/>
          </w:tcPr>
          <w:p w14:paraId="6D8D2012">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取得施工图审查合格报告，其它专业施工图及各专业深化施工图完成施工图审查，且局计划财务部完成施工图预算审定（</w:t>
            </w:r>
            <w:r>
              <w:rPr>
                <w:rFonts w:ascii="仿宋_GB2312" w:hAnsi="宋体" w:eastAsia="仿宋_GB2312"/>
                <w:color w:val="auto"/>
                <w:sz w:val="28"/>
                <w:szCs w:val="28"/>
                <w:highlight w:val="none"/>
              </w:rPr>
              <w:t>EPC模式），或完成工程量清单编制并确定招标控制价（传统模式）</w:t>
            </w:r>
          </w:p>
        </w:tc>
      </w:tr>
      <w:tr w14:paraId="2263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7F5106C4">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2</w:t>
            </w:r>
          </w:p>
        </w:tc>
        <w:tc>
          <w:tcPr>
            <w:tcW w:w="3060" w:type="dxa"/>
            <w:gridSpan w:val="2"/>
            <w:noWrap w:val="0"/>
            <w:vAlign w:val="center"/>
          </w:tcPr>
          <w:p w14:paraId="0A8C608D">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施工阶段</w:t>
            </w:r>
          </w:p>
        </w:tc>
        <w:tc>
          <w:tcPr>
            <w:tcW w:w="1620" w:type="dxa"/>
            <w:noWrap w:val="0"/>
            <w:vAlign w:val="center"/>
          </w:tcPr>
          <w:p w14:paraId="2ECEFB07">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项目建设管理部</w:t>
            </w:r>
          </w:p>
        </w:tc>
        <w:tc>
          <w:tcPr>
            <w:tcW w:w="3778" w:type="dxa"/>
            <w:noWrap w:val="0"/>
            <w:vAlign w:val="center"/>
          </w:tcPr>
          <w:p w14:paraId="2FB51F35">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季度末月度下旬进行当季（年）度评价，至完成竣工验收，向城建档案管理部门移交全套工程资料并取得相关证明，并完成所有设计变更审批手续</w:t>
            </w:r>
            <w:r>
              <w:rPr>
                <w:rFonts w:ascii="仿宋_GB2312" w:hAnsi="宋体" w:eastAsia="仿宋_GB2312"/>
                <w:color w:val="auto"/>
                <w:sz w:val="28"/>
                <w:szCs w:val="28"/>
                <w:highlight w:val="none"/>
              </w:rPr>
              <w:t xml:space="preserve"> </w:t>
            </w:r>
          </w:p>
        </w:tc>
      </w:tr>
      <w:tr w14:paraId="1486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4DCA4EB4">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3</w:t>
            </w:r>
          </w:p>
        </w:tc>
        <w:tc>
          <w:tcPr>
            <w:tcW w:w="3060" w:type="dxa"/>
            <w:gridSpan w:val="2"/>
            <w:noWrap w:val="0"/>
            <w:vAlign w:val="center"/>
          </w:tcPr>
          <w:p w14:paraId="4720BD48">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缺陷责任期阶段</w:t>
            </w:r>
          </w:p>
        </w:tc>
        <w:tc>
          <w:tcPr>
            <w:tcW w:w="1620" w:type="dxa"/>
            <w:noWrap w:val="0"/>
            <w:vAlign w:val="center"/>
          </w:tcPr>
          <w:p w14:paraId="18732BD0">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项目建设管理部</w:t>
            </w:r>
          </w:p>
        </w:tc>
        <w:tc>
          <w:tcPr>
            <w:tcW w:w="3778" w:type="dxa"/>
            <w:noWrap w:val="0"/>
            <w:vAlign w:val="center"/>
          </w:tcPr>
          <w:p w14:paraId="511294E1">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年度末月度下旬进行当年评价，至缺陷责任期届满</w:t>
            </w:r>
          </w:p>
        </w:tc>
      </w:tr>
    </w:tbl>
    <w:p w14:paraId="788F67FA">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（一）设计阶段</w:t>
      </w:r>
    </w:p>
    <w:p w14:paraId="073685E4">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对设计单位进行分阶段三次评价，分别为：</w:t>
      </w:r>
    </w:p>
    <w:p w14:paraId="42B7B544">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1、方案设计评价</w:t>
      </w:r>
    </w:p>
    <w:p w14:paraId="5AA2593F">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取得规划部门对工程方案或修规的批复后，由前期工作部项目负责人填写《方案设计阶段合同履约评价表》（按附件一格式），报前期工作部部长审定。</w:t>
      </w:r>
    </w:p>
    <w:p w14:paraId="5187EF61">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2、初步设计评价</w:t>
      </w:r>
    </w:p>
    <w:p w14:paraId="06B5AAF5">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取得发改部门对初步设计概算的批复后，由前期工作部项目负责人填写《初步设计阶段合同履约评价表》（按附件二格式），报前期工作部部长审定。</w:t>
      </w:r>
    </w:p>
    <w:p w14:paraId="70F0D67F">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3、施工图设计评价</w:t>
      </w:r>
    </w:p>
    <w:p w14:paraId="5BDB374B">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取得施工图审查合格报告，且局计划财务部完成施工图预算审定（适用于EPC模式），或完成工程量清单编制并确定招标控制价（适用于传统模式）后，由前期工作部项目负责人填写《施工图设计阶段合同履约评价表》（按附件三格式），报前期工作部部长审定。</w:t>
      </w:r>
    </w:p>
    <w:p w14:paraId="1C06EFE4">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（二）施工阶段</w:t>
      </w:r>
    </w:p>
    <w:p w14:paraId="7A9D8F9A">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对设计单位进行季度评价，评价时间为季度末月度下旬（第四季度末月度下旬进行当年度评价），自取得施工许可证起，至向城建档案管理部门移交全套工程资料并取得相关证明后止，由项目建设管理部派驻现场项目负责人会同前期工作部项目负责人填写《施工阶段设计合同履约评价表》（按附件四格式），报项目建设管理部部长审定。</w:t>
      </w:r>
    </w:p>
    <w:p w14:paraId="3F3919B2">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（三）缺陷责任期阶段</w:t>
      </w:r>
    </w:p>
    <w:p w14:paraId="0B14AA78">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对设计单位进行年度评价，评价时间为年度末月度下旬，自取得竣工验收相关证明之日起，至缺陷责任期（除基础设施工程、房屋建筑地基基础工程和主体结构工程外最长的保修期计）届满止，由项目建设管理部派驻现场项目负责人会同前期工作部项目负责人填写《缺陷责任期阶段设计合同履约评价表》（按附件五格式），报项目建设管理部部长审定。</w:t>
      </w:r>
    </w:p>
    <w:p w14:paraId="52DF3620">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第四条 评价内容</w:t>
      </w:r>
    </w:p>
    <w:p w14:paraId="529A2A70">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（一）各责任部门按照本办法附件中所列项目进行独立打分，凡出现扣分项的，应在设计合同履约评分表中说明具体扣分原因。</w:t>
      </w:r>
    </w:p>
    <w:p w14:paraId="6929D760">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（二）评价期内建设行政主管部门、使用单位、设计单位上级主管单位（部门）、局下发的整改通知或通报所提问题，凡符合附件中有关内容的，均应纳入评价结果。</w:t>
      </w:r>
    </w:p>
    <w:p w14:paraId="7FABA128">
      <w:pPr>
        <w:spacing w:line="560" w:lineRule="exact"/>
        <w:ind w:firstLine="640" w:firstLineChars="200"/>
        <w:rPr>
          <w:rFonts w:ascii="仿宋_GB2312" w:eastAsia="仿宋_GB2312"/>
          <w:bCs/>
          <w:color w:val="auto"/>
          <w:sz w:val="32"/>
          <w:szCs w:val="32"/>
          <w:highlight w:val="none"/>
        </w:rPr>
      </w:pPr>
      <w:r>
        <w:rPr>
          <w:rFonts w:hint="eastAsia" w:ascii="仿宋_GB2312" w:eastAsia="仿宋_GB2312"/>
          <w:color w:val="auto"/>
          <w:sz w:val="32"/>
          <w:szCs w:val="32"/>
          <w:highlight w:val="none"/>
        </w:rPr>
        <w:t>第五条 设计费用的支付</w:t>
      </w:r>
    </w:p>
    <w:p w14:paraId="2DD43D9E">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（一）项目</w:t>
      </w:r>
      <w:bookmarkStart w:id="1547" w:name="OLE_LINK9"/>
      <w:r>
        <w:rPr>
          <w:rFonts w:hint="eastAsia" w:ascii="仿宋_GB2312" w:eastAsia="仿宋_GB2312"/>
          <w:color w:val="auto"/>
          <w:sz w:val="32"/>
          <w:szCs w:val="32"/>
          <w:highlight w:val="none"/>
        </w:rPr>
        <w:t>设计费用的支付节点</w:t>
      </w:r>
      <w:bookmarkEnd w:id="1547"/>
      <w:r>
        <w:rPr>
          <w:rFonts w:hint="eastAsia" w:ascii="仿宋_GB2312" w:eastAsia="仿宋_GB2312"/>
          <w:color w:val="auto"/>
          <w:sz w:val="32"/>
          <w:szCs w:val="32"/>
          <w:highlight w:val="none"/>
        </w:rPr>
        <w:t>分别为：</w:t>
      </w:r>
    </w:p>
    <w:p w14:paraId="6FEC5DC2">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1、全阶段设计模式（含全过程EPC模式、传统模式）</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5220"/>
        <w:gridCol w:w="2340"/>
        <w:gridCol w:w="905"/>
      </w:tblGrid>
      <w:tr w14:paraId="5566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2BC4793A">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支付节点</w:t>
            </w:r>
          </w:p>
        </w:tc>
        <w:tc>
          <w:tcPr>
            <w:tcW w:w="5220" w:type="dxa"/>
            <w:noWrap w:val="0"/>
            <w:vAlign w:val="center"/>
          </w:tcPr>
          <w:p w14:paraId="397042C7">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支付条件</w:t>
            </w:r>
          </w:p>
        </w:tc>
        <w:tc>
          <w:tcPr>
            <w:tcW w:w="2340" w:type="dxa"/>
            <w:noWrap w:val="0"/>
            <w:vAlign w:val="center"/>
          </w:tcPr>
          <w:p w14:paraId="74C767AA">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支付金额</w:t>
            </w:r>
          </w:p>
        </w:tc>
        <w:tc>
          <w:tcPr>
            <w:tcW w:w="898" w:type="dxa"/>
            <w:noWrap w:val="0"/>
            <w:vAlign w:val="center"/>
          </w:tcPr>
          <w:p w14:paraId="1AFB5CCB">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考评标准</w:t>
            </w:r>
          </w:p>
        </w:tc>
      </w:tr>
      <w:tr w14:paraId="6396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44442783">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1</w:t>
            </w:r>
          </w:p>
        </w:tc>
        <w:tc>
          <w:tcPr>
            <w:tcW w:w="5220" w:type="dxa"/>
            <w:noWrap w:val="0"/>
            <w:vAlign w:val="center"/>
          </w:tcPr>
          <w:p w14:paraId="5958DFC2">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签订合同并提交履约保函</w:t>
            </w:r>
          </w:p>
        </w:tc>
        <w:tc>
          <w:tcPr>
            <w:tcW w:w="2340" w:type="dxa"/>
            <w:noWrap w:val="0"/>
            <w:vAlign w:val="center"/>
          </w:tcPr>
          <w:p w14:paraId="062BE443">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10%</w:t>
            </w:r>
          </w:p>
        </w:tc>
        <w:tc>
          <w:tcPr>
            <w:tcW w:w="898" w:type="dxa"/>
            <w:noWrap w:val="0"/>
            <w:vAlign w:val="center"/>
          </w:tcPr>
          <w:p w14:paraId="53D70A57">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w:t>
            </w:r>
          </w:p>
        </w:tc>
      </w:tr>
      <w:tr w14:paraId="258A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4D3D843B">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2</w:t>
            </w:r>
          </w:p>
        </w:tc>
        <w:tc>
          <w:tcPr>
            <w:tcW w:w="5220" w:type="dxa"/>
            <w:noWrap w:val="0"/>
            <w:vAlign w:val="center"/>
          </w:tcPr>
          <w:p w14:paraId="1A386681">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取得规划部门对工程方案或修规的批复</w:t>
            </w:r>
          </w:p>
        </w:tc>
        <w:tc>
          <w:tcPr>
            <w:tcW w:w="2340" w:type="dxa"/>
            <w:noWrap w:val="0"/>
            <w:vAlign w:val="center"/>
          </w:tcPr>
          <w:p w14:paraId="0D75C991">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15%×A</w:t>
            </w:r>
          </w:p>
        </w:tc>
        <w:tc>
          <w:tcPr>
            <w:tcW w:w="898" w:type="dxa"/>
            <w:noWrap w:val="0"/>
            <w:vAlign w:val="center"/>
          </w:tcPr>
          <w:p w14:paraId="676A9A57">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按附件一</w:t>
            </w:r>
          </w:p>
        </w:tc>
      </w:tr>
      <w:tr w14:paraId="5EE1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1BBBB19F">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3</w:t>
            </w:r>
          </w:p>
        </w:tc>
        <w:tc>
          <w:tcPr>
            <w:tcW w:w="5220" w:type="dxa"/>
            <w:noWrap w:val="0"/>
            <w:vAlign w:val="center"/>
          </w:tcPr>
          <w:p w14:paraId="1EC54EBC">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取得发改部门对初步设计概算的批复</w:t>
            </w:r>
          </w:p>
        </w:tc>
        <w:tc>
          <w:tcPr>
            <w:tcW w:w="2340" w:type="dxa"/>
            <w:noWrap w:val="0"/>
            <w:vAlign w:val="center"/>
          </w:tcPr>
          <w:p w14:paraId="4FA3DB63">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20%×A</w:t>
            </w:r>
          </w:p>
        </w:tc>
        <w:tc>
          <w:tcPr>
            <w:tcW w:w="898" w:type="dxa"/>
            <w:noWrap w:val="0"/>
            <w:vAlign w:val="center"/>
          </w:tcPr>
          <w:p w14:paraId="33CA3C0D">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按附件二</w:t>
            </w:r>
          </w:p>
        </w:tc>
      </w:tr>
      <w:tr w14:paraId="1C22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37E1583C">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4</w:t>
            </w:r>
          </w:p>
        </w:tc>
        <w:tc>
          <w:tcPr>
            <w:tcW w:w="5220" w:type="dxa"/>
            <w:noWrap w:val="0"/>
            <w:vAlign w:val="center"/>
          </w:tcPr>
          <w:p w14:paraId="2A91E010">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取得施工图审查合格报告，且完成施工图预算审定（</w:t>
            </w:r>
            <w:r>
              <w:rPr>
                <w:rFonts w:ascii="仿宋_GB2312" w:hAnsi="宋体" w:eastAsia="仿宋_GB2312"/>
                <w:color w:val="auto"/>
                <w:sz w:val="28"/>
                <w:szCs w:val="28"/>
                <w:highlight w:val="none"/>
              </w:rPr>
              <w:t>EPC模式），或完成工程量清单编制并确定招标控制价（传统模式）</w:t>
            </w:r>
          </w:p>
        </w:tc>
        <w:tc>
          <w:tcPr>
            <w:tcW w:w="2340" w:type="dxa"/>
            <w:noWrap w:val="0"/>
            <w:vAlign w:val="center"/>
          </w:tcPr>
          <w:p w14:paraId="22100671">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20%×A+F</w:t>
            </w:r>
          </w:p>
        </w:tc>
        <w:tc>
          <w:tcPr>
            <w:tcW w:w="898" w:type="dxa"/>
            <w:noWrap w:val="0"/>
            <w:vAlign w:val="center"/>
          </w:tcPr>
          <w:p w14:paraId="5D9EF3B2">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按附件三</w:t>
            </w:r>
          </w:p>
        </w:tc>
      </w:tr>
      <w:tr w14:paraId="7366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6984FDC2">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5</w:t>
            </w:r>
          </w:p>
        </w:tc>
        <w:tc>
          <w:tcPr>
            <w:tcW w:w="5220" w:type="dxa"/>
            <w:noWrap w:val="0"/>
            <w:vAlign w:val="center"/>
          </w:tcPr>
          <w:p w14:paraId="7EFB882B">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向城建档案管理部门移交全套工程资料并取得相关证明，并完成所有设计变更审批手续</w:t>
            </w:r>
          </w:p>
        </w:tc>
        <w:tc>
          <w:tcPr>
            <w:tcW w:w="2340" w:type="dxa"/>
            <w:noWrap w:val="0"/>
            <w:vAlign w:val="center"/>
          </w:tcPr>
          <w:p w14:paraId="55EB80F8">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20%×B</w:t>
            </w:r>
          </w:p>
        </w:tc>
        <w:tc>
          <w:tcPr>
            <w:tcW w:w="898" w:type="dxa"/>
            <w:noWrap w:val="0"/>
            <w:vAlign w:val="center"/>
          </w:tcPr>
          <w:p w14:paraId="1C3060AC">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按附件四</w:t>
            </w:r>
          </w:p>
        </w:tc>
      </w:tr>
      <w:tr w14:paraId="4117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115AE809">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6</w:t>
            </w:r>
          </w:p>
        </w:tc>
        <w:tc>
          <w:tcPr>
            <w:tcW w:w="5220" w:type="dxa"/>
            <w:noWrap w:val="0"/>
            <w:vAlign w:val="center"/>
          </w:tcPr>
          <w:p w14:paraId="1D9731A8">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合同结算经省政府财政部门审定</w:t>
            </w:r>
          </w:p>
        </w:tc>
        <w:tc>
          <w:tcPr>
            <w:tcW w:w="2340" w:type="dxa"/>
            <w:noWrap w:val="0"/>
            <w:vAlign w:val="center"/>
          </w:tcPr>
          <w:p w14:paraId="135061CC">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10%或按省政府财政部门审定应付金额</w:t>
            </w:r>
          </w:p>
        </w:tc>
        <w:tc>
          <w:tcPr>
            <w:tcW w:w="898" w:type="dxa"/>
            <w:noWrap w:val="0"/>
            <w:vAlign w:val="center"/>
          </w:tcPr>
          <w:p w14:paraId="28905E36">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w:t>
            </w:r>
          </w:p>
        </w:tc>
      </w:tr>
      <w:tr w14:paraId="328F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42B09676">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7</w:t>
            </w:r>
          </w:p>
        </w:tc>
        <w:tc>
          <w:tcPr>
            <w:tcW w:w="5220" w:type="dxa"/>
            <w:noWrap w:val="0"/>
            <w:vAlign w:val="center"/>
          </w:tcPr>
          <w:p w14:paraId="266FF27C">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缺陷责任期届满</w:t>
            </w:r>
          </w:p>
        </w:tc>
        <w:tc>
          <w:tcPr>
            <w:tcW w:w="2340" w:type="dxa"/>
            <w:noWrap w:val="0"/>
            <w:vAlign w:val="center"/>
          </w:tcPr>
          <w:p w14:paraId="76C7942D">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5%×C</w:t>
            </w:r>
          </w:p>
        </w:tc>
        <w:tc>
          <w:tcPr>
            <w:tcW w:w="898" w:type="dxa"/>
            <w:noWrap w:val="0"/>
            <w:vAlign w:val="center"/>
          </w:tcPr>
          <w:p w14:paraId="48E388ED">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按附件五</w:t>
            </w:r>
          </w:p>
        </w:tc>
      </w:tr>
    </w:tbl>
    <w:p w14:paraId="5D2757F0">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2、分阶段设计模式（取得初步设计批复后的EPC模式）</w:t>
      </w:r>
    </w:p>
    <w:p w14:paraId="293C7F95">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（1）方案设计及初步设计单位</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5220"/>
        <w:gridCol w:w="2340"/>
        <w:gridCol w:w="905"/>
      </w:tblGrid>
      <w:tr w14:paraId="714B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4944F78E">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支付节点</w:t>
            </w:r>
          </w:p>
        </w:tc>
        <w:tc>
          <w:tcPr>
            <w:tcW w:w="5220" w:type="dxa"/>
            <w:noWrap w:val="0"/>
            <w:vAlign w:val="center"/>
          </w:tcPr>
          <w:p w14:paraId="7D340712">
            <w:pPr>
              <w:adjustRightInd w:val="0"/>
              <w:snapToGrid w:val="0"/>
              <w:ind w:firstLine="549"/>
              <w:jc w:val="center"/>
              <w:rPr>
                <w:rFonts w:ascii="仿宋_GB2312" w:hAnsi="宋体" w:eastAsia="仿宋_GB2312"/>
                <w:color w:val="auto"/>
                <w:sz w:val="28"/>
                <w:szCs w:val="28"/>
                <w:highlight w:val="none"/>
              </w:rPr>
            </w:pPr>
            <w:bookmarkStart w:id="1548" w:name="OLE_LINK10"/>
            <w:r>
              <w:rPr>
                <w:rFonts w:hint="eastAsia" w:ascii="仿宋_GB2312" w:hAnsi="宋体" w:eastAsia="仿宋_GB2312"/>
                <w:color w:val="auto"/>
                <w:sz w:val="28"/>
                <w:szCs w:val="28"/>
                <w:highlight w:val="none"/>
              </w:rPr>
              <w:t>支付条件</w:t>
            </w:r>
            <w:bookmarkEnd w:id="1548"/>
          </w:p>
        </w:tc>
        <w:tc>
          <w:tcPr>
            <w:tcW w:w="2340" w:type="dxa"/>
            <w:noWrap w:val="0"/>
            <w:vAlign w:val="center"/>
          </w:tcPr>
          <w:p w14:paraId="12046AEA">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支付金额</w:t>
            </w:r>
          </w:p>
        </w:tc>
        <w:tc>
          <w:tcPr>
            <w:tcW w:w="898" w:type="dxa"/>
            <w:noWrap w:val="0"/>
            <w:vAlign w:val="center"/>
          </w:tcPr>
          <w:p w14:paraId="223C081C">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考评标准</w:t>
            </w:r>
          </w:p>
        </w:tc>
      </w:tr>
      <w:tr w14:paraId="6559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6403815C">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w:t>
            </w:r>
          </w:p>
        </w:tc>
        <w:tc>
          <w:tcPr>
            <w:tcW w:w="5220" w:type="dxa"/>
            <w:noWrap w:val="0"/>
            <w:vAlign w:val="center"/>
          </w:tcPr>
          <w:p w14:paraId="43202B72">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签订合同并提交履约保函</w:t>
            </w:r>
          </w:p>
        </w:tc>
        <w:tc>
          <w:tcPr>
            <w:tcW w:w="2340" w:type="dxa"/>
            <w:noWrap w:val="0"/>
            <w:vAlign w:val="center"/>
          </w:tcPr>
          <w:p w14:paraId="50B1C4A3">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基数×10%</w:t>
            </w:r>
          </w:p>
        </w:tc>
        <w:tc>
          <w:tcPr>
            <w:tcW w:w="898" w:type="dxa"/>
            <w:noWrap w:val="0"/>
            <w:vAlign w:val="center"/>
          </w:tcPr>
          <w:p w14:paraId="09A4B4D1">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w:t>
            </w:r>
          </w:p>
        </w:tc>
      </w:tr>
      <w:tr w14:paraId="4A6C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24A459A0">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w:t>
            </w:r>
          </w:p>
        </w:tc>
        <w:tc>
          <w:tcPr>
            <w:tcW w:w="5220" w:type="dxa"/>
            <w:noWrap w:val="0"/>
            <w:vAlign w:val="center"/>
          </w:tcPr>
          <w:p w14:paraId="203D42ED">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取得规划部门对工程方案或修规的批复</w:t>
            </w:r>
          </w:p>
        </w:tc>
        <w:tc>
          <w:tcPr>
            <w:tcW w:w="2340" w:type="dxa"/>
            <w:noWrap w:val="0"/>
            <w:vAlign w:val="center"/>
          </w:tcPr>
          <w:p w14:paraId="603E99E5">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基数×30%×A</w:t>
            </w:r>
          </w:p>
        </w:tc>
        <w:tc>
          <w:tcPr>
            <w:tcW w:w="898" w:type="dxa"/>
            <w:noWrap w:val="0"/>
            <w:vAlign w:val="center"/>
          </w:tcPr>
          <w:p w14:paraId="4D749725">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按附件一</w:t>
            </w:r>
          </w:p>
        </w:tc>
      </w:tr>
      <w:tr w14:paraId="62D8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768D194D">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w:t>
            </w:r>
          </w:p>
        </w:tc>
        <w:tc>
          <w:tcPr>
            <w:tcW w:w="5220" w:type="dxa"/>
            <w:noWrap w:val="0"/>
            <w:vAlign w:val="center"/>
          </w:tcPr>
          <w:p w14:paraId="18CC3E44">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取得发改部门对初步设计概算的批复</w:t>
            </w:r>
          </w:p>
        </w:tc>
        <w:tc>
          <w:tcPr>
            <w:tcW w:w="2340" w:type="dxa"/>
            <w:noWrap w:val="0"/>
            <w:vAlign w:val="center"/>
          </w:tcPr>
          <w:p w14:paraId="669E0BD3">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基数×40%×A+F</w:t>
            </w:r>
          </w:p>
        </w:tc>
        <w:tc>
          <w:tcPr>
            <w:tcW w:w="898" w:type="dxa"/>
            <w:noWrap w:val="0"/>
            <w:vAlign w:val="center"/>
          </w:tcPr>
          <w:p w14:paraId="6049372D">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按附件二</w:t>
            </w:r>
          </w:p>
        </w:tc>
      </w:tr>
      <w:tr w14:paraId="2D08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553F3362">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4</w:t>
            </w:r>
          </w:p>
        </w:tc>
        <w:tc>
          <w:tcPr>
            <w:tcW w:w="5220" w:type="dxa"/>
            <w:noWrap w:val="0"/>
            <w:vAlign w:val="center"/>
          </w:tcPr>
          <w:p w14:paraId="48D98491">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完成对施工图设计单位的成果审核，取得施工图审查合格报告</w:t>
            </w:r>
          </w:p>
        </w:tc>
        <w:tc>
          <w:tcPr>
            <w:tcW w:w="2340" w:type="dxa"/>
            <w:noWrap w:val="0"/>
            <w:vAlign w:val="center"/>
          </w:tcPr>
          <w:p w14:paraId="072D00D1">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基数×10%×A</w:t>
            </w:r>
          </w:p>
        </w:tc>
        <w:tc>
          <w:tcPr>
            <w:tcW w:w="898" w:type="dxa"/>
            <w:noWrap w:val="0"/>
            <w:vAlign w:val="center"/>
          </w:tcPr>
          <w:p w14:paraId="09A664F1">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w:t>
            </w:r>
          </w:p>
        </w:tc>
      </w:tr>
      <w:tr w14:paraId="120A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1C6AB63D">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5</w:t>
            </w:r>
          </w:p>
        </w:tc>
        <w:tc>
          <w:tcPr>
            <w:tcW w:w="5220" w:type="dxa"/>
            <w:noWrap w:val="0"/>
            <w:vAlign w:val="center"/>
          </w:tcPr>
          <w:p w14:paraId="542D47C8">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合同结算经省政府财政部门审定</w:t>
            </w:r>
          </w:p>
        </w:tc>
        <w:tc>
          <w:tcPr>
            <w:tcW w:w="2340" w:type="dxa"/>
            <w:noWrap w:val="0"/>
            <w:vAlign w:val="center"/>
          </w:tcPr>
          <w:p w14:paraId="519A655D">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基数×10%或按省政府财政部门审定应付金额</w:t>
            </w:r>
          </w:p>
        </w:tc>
        <w:tc>
          <w:tcPr>
            <w:tcW w:w="898" w:type="dxa"/>
            <w:noWrap w:val="0"/>
            <w:vAlign w:val="center"/>
          </w:tcPr>
          <w:p w14:paraId="50C6826A">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w:t>
            </w:r>
          </w:p>
        </w:tc>
      </w:tr>
    </w:tbl>
    <w:p w14:paraId="476B8D2B">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（2）施工图设计单位</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5220"/>
        <w:gridCol w:w="2340"/>
        <w:gridCol w:w="905"/>
      </w:tblGrid>
      <w:tr w14:paraId="128F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312F4A10">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支付节点</w:t>
            </w:r>
          </w:p>
        </w:tc>
        <w:tc>
          <w:tcPr>
            <w:tcW w:w="5220" w:type="dxa"/>
            <w:noWrap w:val="0"/>
            <w:vAlign w:val="center"/>
          </w:tcPr>
          <w:p w14:paraId="4860C2EA">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支付条件</w:t>
            </w:r>
          </w:p>
        </w:tc>
        <w:tc>
          <w:tcPr>
            <w:tcW w:w="2340" w:type="dxa"/>
            <w:noWrap w:val="0"/>
            <w:vAlign w:val="center"/>
          </w:tcPr>
          <w:p w14:paraId="40A17E74">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支付金额</w:t>
            </w:r>
          </w:p>
        </w:tc>
        <w:tc>
          <w:tcPr>
            <w:tcW w:w="898" w:type="dxa"/>
            <w:noWrap w:val="0"/>
            <w:vAlign w:val="center"/>
          </w:tcPr>
          <w:p w14:paraId="16995AC6">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考评标准</w:t>
            </w:r>
          </w:p>
        </w:tc>
      </w:tr>
      <w:tr w14:paraId="7658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2388DF0D">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1</w:t>
            </w:r>
          </w:p>
        </w:tc>
        <w:tc>
          <w:tcPr>
            <w:tcW w:w="5220" w:type="dxa"/>
            <w:noWrap w:val="0"/>
            <w:vAlign w:val="center"/>
          </w:tcPr>
          <w:p w14:paraId="31DCAC8B">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签订合同并提交履约保函</w:t>
            </w:r>
          </w:p>
        </w:tc>
        <w:tc>
          <w:tcPr>
            <w:tcW w:w="2340" w:type="dxa"/>
            <w:noWrap w:val="0"/>
            <w:vAlign w:val="center"/>
          </w:tcPr>
          <w:p w14:paraId="6D3BCE7E">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10%</w:t>
            </w:r>
          </w:p>
        </w:tc>
        <w:tc>
          <w:tcPr>
            <w:tcW w:w="898" w:type="dxa"/>
            <w:noWrap w:val="0"/>
            <w:vAlign w:val="center"/>
          </w:tcPr>
          <w:p w14:paraId="6B0DD5A9">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w:t>
            </w:r>
          </w:p>
        </w:tc>
      </w:tr>
      <w:tr w14:paraId="06AB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3692C3D4">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2</w:t>
            </w:r>
          </w:p>
        </w:tc>
        <w:tc>
          <w:tcPr>
            <w:tcW w:w="5220" w:type="dxa"/>
            <w:noWrap w:val="0"/>
            <w:vAlign w:val="center"/>
          </w:tcPr>
          <w:p w14:paraId="51145E3A">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取得施工图审查合格报告</w:t>
            </w:r>
          </w:p>
        </w:tc>
        <w:tc>
          <w:tcPr>
            <w:tcW w:w="2340" w:type="dxa"/>
            <w:noWrap w:val="0"/>
            <w:vAlign w:val="center"/>
          </w:tcPr>
          <w:p w14:paraId="6DDE3F88">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35%×A</w:t>
            </w:r>
          </w:p>
        </w:tc>
        <w:tc>
          <w:tcPr>
            <w:tcW w:w="898" w:type="dxa"/>
            <w:noWrap w:val="0"/>
            <w:vAlign w:val="center"/>
          </w:tcPr>
          <w:p w14:paraId="77D3C871">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按附件三</w:t>
            </w:r>
          </w:p>
        </w:tc>
      </w:tr>
      <w:tr w14:paraId="3211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268C586B">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3</w:t>
            </w:r>
          </w:p>
        </w:tc>
        <w:tc>
          <w:tcPr>
            <w:tcW w:w="5220" w:type="dxa"/>
            <w:noWrap w:val="0"/>
            <w:vAlign w:val="center"/>
          </w:tcPr>
          <w:p w14:paraId="7B4DAD70">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其它专业施工图及各专业深化施工图完成施工图审查，且完成施工图预算审定</w:t>
            </w:r>
          </w:p>
        </w:tc>
        <w:tc>
          <w:tcPr>
            <w:tcW w:w="2340" w:type="dxa"/>
            <w:noWrap w:val="0"/>
            <w:vAlign w:val="center"/>
          </w:tcPr>
          <w:p w14:paraId="0896B886">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30%×A+F</w:t>
            </w:r>
          </w:p>
        </w:tc>
        <w:tc>
          <w:tcPr>
            <w:tcW w:w="898" w:type="dxa"/>
            <w:noWrap w:val="0"/>
            <w:vAlign w:val="center"/>
          </w:tcPr>
          <w:p w14:paraId="2CBF4DD3">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按附件三</w:t>
            </w:r>
          </w:p>
        </w:tc>
      </w:tr>
      <w:tr w14:paraId="6822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115D99BA">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4</w:t>
            </w:r>
          </w:p>
        </w:tc>
        <w:tc>
          <w:tcPr>
            <w:tcW w:w="5220" w:type="dxa"/>
            <w:noWrap w:val="0"/>
            <w:vAlign w:val="center"/>
          </w:tcPr>
          <w:p w14:paraId="29BA4434">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向城建档案管理部门移交全套工程资料并取得相关证明，并完成所有设计变更审批手续</w:t>
            </w:r>
          </w:p>
        </w:tc>
        <w:tc>
          <w:tcPr>
            <w:tcW w:w="2340" w:type="dxa"/>
            <w:noWrap w:val="0"/>
            <w:vAlign w:val="center"/>
          </w:tcPr>
          <w:p w14:paraId="4F4217C8">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10%×B</w:t>
            </w:r>
          </w:p>
        </w:tc>
        <w:tc>
          <w:tcPr>
            <w:tcW w:w="898" w:type="dxa"/>
            <w:noWrap w:val="0"/>
            <w:vAlign w:val="center"/>
          </w:tcPr>
          <w:p w14:paraId="2D0C3959">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按附件四</w:t>
            </w:r>
          </w:p>
        </w:tc>
      </w:tr>
      <w:tr w14:paraId="09E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3340A74D">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5</w:t>
            </w:r>
          </w:p>
        </w:tc>
        <w:tc>
          <w:tcPr>
            <w:tcW w:w="5220" w:type="dxa"/>
            <w:noWrap w:val="0"/>
            <w:vAlign w:val="center"/>
          </w:tcPr>
          <w:p w14:paraId="4C357B17">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合同结算经省政府财政部门审定</w:t>
            </w:r>
          </w:p>
        </w:tc>
        <w:tc>
          <w:tcPr>
            <w:tcW w:w="2340" w:type="dxa"/>
            <w:noWrap w:val="0"/>
            <w:vAlign w:val="center"/>
          </w:tcPr>
          <w:p w14:paraId="41FB7C5D">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10%或按省政府财政部门审定应付金额</w:t>
            </w:r>
          </w:p>
        </w:tc>
        <w:tc>
          <w:tcPr>
            <w:tcW w:w="898" w:type="dxa"/>
            <w:noWrap w:val="0"/>
            <w:vAlign w:val="center"/>
          </w:tcPr>
          <w:p w14:paraId="262E1C12">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w:t>
            </w:r>
          </w:p>
        </w:tc>
      </w:tr>
      <w:tr w14:paraId="15A2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0566ED29">
            <w:pPr>
              <w:adjustRightInd w:val="0"/>
              <w:snapToGrid w:val="0"/>
              <w:ind w:firstLine="549"/>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6</w:t>
            </w:r>
          </w:p>
        </w:tc>
        <w:tc>
          <w:tcPr>
            <w:tcW w:w="5220" w:type="dxa"/>
            <w:noWrap w:val="0"/>
            <w:vAlign w:val="center"/>
          </w:tcPr>
          <w:p w14:paraId="2E1C7CEC">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缺陷责任期届满</w:t>
            </w:r>
          </w:p>
        </w:tc>
        <w:tc>
          <w:tcPr>
            <w:tcW w:w="2340" w:type="dxa"/>
            <w:noWrap w:val="0"/>
            <w:vAlign w:val="center"/>
          </w:tcPr>
          <w:p w14:paraId="70A5A2C1">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5%×C</w:t>
            </w:r>
          </w:p>
        </w:tc>
        <w:tc>
          <w:tcPr>
            <w:tcW w:w="898" w:type="dxa"/>
            <w:noWrap w:val="0"/>
            <w:vAlign w:val="center"/>
          </w:tcPr>
          <w:p w14:paraId="6F382BE2">
            <w:pPr>
              <w:adjustRightInd w:val="0"/>
              <w:snapToGrid w:val="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按附件五</w:t>
            </w:r>
          </w:p>
        </w:tc>
      </w:tr>
    </w:tbl>
    <w:p w14:paraId="46A037A9">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注：</w:t>
      </w:r>
    </w:p>
    <w:p w14:paraId="79ABF53F">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①基数为合同设计费总额（不含BIM 设计费）扣除合同约定的方案补偿费。</w:t>
      </w:r>
    </w:p>
    <w:p w14:paraId="770A54DB">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②A为设计阶段合同履约评价得分对应的暂付设计费支付比例。</w:t>
      </w:r>
    </w:p>
    <w:p w14:paraId="1037E217">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③F为设计阶段合同履约评价综合得分对应的暂付设计费余额应返还金额。暂付设计费余额为设计阶段全额设计费与该阶段暂付设计费的差额。</w:t>
      </w:r>
    </w:p>
    <w:p w14:paraId="204410DE">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④B为施工阶段合同履约评价综合得分对应的设计费支付比例。</w:t>
      </w:r>
    </w:p>
    <w:p w14:paraId="7DB685F4">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⑤C为缺陷责任期阶段合同履约评价综合得分对应的设计费支付比例。</w:t>
      </w:r>
    </w:p>
    <w:p w14:paraId="5D5215D6">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（二）设计阶段合同履约评价得分对应的暂付设计费支付比例A的取值方式</w:t>
      </w:r>
    </w:p>
    <w:p w14:paraId="4C23B38A">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1、某阶段设计合同履约评价得分≥90的，该阶段设计费全额支付，即A=1。</w:t>
      </w:r>
    </w:p>
    <w:p w14:paraId="3237BC75">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2、某阶段设计合同履约评价得分≥75且</w:t>
      </w:r>
      <w:r>
        <w:rPr>
          <w:rFonts w:hint="eastAsia" w:ascii="仿宋_GB2312" w:hAnsi="仿宋_GB2312" w:eastAsia="仿宋_GB2312"/>
          <w:color w:val="auto"/>
          <w:sz w:val="32"/>
          <w:szCs w:val="32"/>
          <w:highlight w:val="none"/>
        </w:rPr>
        <w:t>&lt;</w:t>
      </w:r>
      <w:r>
        <w:rPr>
          <w:rFonts w:hint="eastAsia" w:ascii="仿宋_GB2312" w:eastAsia="仿宋_GB2312"/>
          <w:color w:val="auto"/>
          <w:sz w:val="32"/>
          <w:szCs w:val="32"/>
          <w:highlight w:val="none"/>
        </w:rPr>
        <w:t>90的，该阶段设计费暂付比例为90%，即A=90%。</w:t>
      </w:r>
    </w:p>
    <w:p w14:paraId="72734D64">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3、某阶段设计合同履约评价得分≥60且</w:t>
      </w:r>
      <w:r>
        <w:rPr>
          <w:rFonts w:hint="eastAsia" w:ascii="仿宋_GB2312" w:hAnsi="仿宋_GB2312" w:eastAsia="仿宋_GB2312"/>
          <w:color w:val="auto"/>
          <w:sz w:val="32"/>
          <w:szCs w:val="32"/>
          <w:highlight w:val="none"/>
        </w:rPr>
        <w:t>&lt;</w:t>
      </w:r>
      <w:r>
        <w:rPr>
          <w:rFonts w:hint="eastAsia" w:ascii="仿宋_GB2312" w:eastAsia="仿宋_GB2312"/>
          <w:color w:val="auto"/>
          <w:sz w:val="32"/>
          <w:szCs w:val="32"/>
          <w:highlight w:val="none"/>
        </w:rPr>
        <w:t>75的，该阶段设计费暂付比例为80%，即A=80%。</w:t>
      </w:r>
    </w:p>
    <w:p w14:paraId="4C121666">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4、某阶段设计合同履约评价得分</w:t>
      </w:r>
      <w:r>
        <w:rPr>
          <w:rFonts w:hint="eastAsia" w:ascii="仿宋_GB2312" w:hAnsi="仿宋_GB2312" w:eastAsia="仿宋_GB2312"/>
          <w:color w:val="auto"/>
          <w:sz w:val="32"/>
          <w:szCs w:val="32"/>
          <w:highlight w:val="none"/>
        </w:rPr>
        <w:t>&lt;</w:t>
      </w:r>
      <w:r>
        <w:rPr>
          <w:rFonts w:hint="eastAsia" w:ascii="仿宋_GB2312" w:eastAsia="仿宋_GB2312"/>
          <w:color w:val="auto"/>
          <w:sz w:val="32"/>
          <w:szCs w:val="32"/>
          <w:highlight w:val="none"/>
        </w:rPr>
        <w:t>60的，该阶段设计费暂付比例为70%，即A=70%。</w:t>
      </w:r>
    </w:p>
    <w:p w14:paraId="11F01E65">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（三）设计阶段合同履约评价暂付设计费余额应返还金额F的计算方式</w:t>
      </w:r>
    </w:p>
    <w:p w14:paraId="16D6C7C2">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1、设计阶段合同履约评价综合得分≥90的，前阶段暂付设计费全额返还（前阶段已全额支付的除外）。</w:t>
      </w:r>
    </w:p>
    <w:p w14:paraId="0ED1E370">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2、设计阶段合同履约评价综合得分≥75且</w:t>
      </w:r>
      <w:r>
        <w:rPr>
          <w:rFonts w:hint="eastAsia" w:ascii="仿宋_GB2312" w:hAnsi="仿宋_GB2312" w:eastAsia="仿宋_GB2312"/>
          <w:color w:val="auto"/>
          <w:sz w:val="32"/>
          <w:szCs w:val="32"/>
          <w:highlight w:val="none"/>
        </w:rPr>
        <w:t>&lt;</w:t>
      </w:r>
      <w:r>
        <w:rPr>
          <w:rFonts w:hint="eastAsia" w:ascii="仿宋_GB2312" w:eastAsia="仿宋_GB2312"/>
          <w:color w:val="auto"/>
          <w:sz w:val="32"/>
          <w:szCs w:val="32"/>
          <w:highlight w:val="none"/>
        </w:rPr>
        <w:t>90的，前阶段暂付设计费余额应返还比例为75%。</w:t>
      </w:r>
    </w:p>
    <w:p w14:paraId="0BAA1935">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3、设计阶段合同履约评价综合得分≥60且</w:t>
      </w:r>
      <w:r>
        <w:rPr>
          <w:rFonts w:hint="eastAsia" w:ascii="仿宋_GB2312" w:hAnsi="仿宋_GB2312" w:eastAsia="仿宋_GB2312"/>
          <w:color w:val="auto"/>
          <w:sz w:val="32"/>
          <w:szCs w:val="32"/>
          <w:highlight w:val="none"/>
        </w:rPr>
        <w:t>&lt;</w:t>
      </w:r>
      <w:r>
        <w:rPr>
          <w:rFonts w:hint="eastAsia" w:ascii="仿宋_GB2312" w:eastAsia="仿宋_GB2312"/>
          <w:color w:val="auto"/>
          <w:sz w:val="32"/>
          <w:szCs w:val="32"/>
          <w:highlight w:val="none"/>
        </w:rPr>
        <w:t>75的，前阶段暂付设计费余额应返还比例为50%。</w:t>
      </w:r>
    </w:p>
    <w:p w14:paraId="2765A6D9">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4、设计阶段合同履约评价综合得分</w:t>
      </w:r>
      <w:r>
        <w:rPr>
          <w:rFonts w:hint="eastAsia" w:ascii="仿宋_GB2312" w:hAnsi="仿宋_GB2312" w:eastAsia="仿宋_GB2312"/>
          <w:color w:val="auto"/>
          <w:sz w:val="32"/>
          <w:szCs w:val="32"/>
          <w:highlight w:val="none"/>
        </w:rPr>
        <w:t>&lt;</w:t>
      </w:r>
      <w:r>
        <w:rPr>
          <w:rFonts w:hint="eastAsia" w:ascii="仿宋_GB2312" w:eastAsia="仿宋_GB2312"/>
          <w:color w:val="auto"/>
          <w:sz w:val="32"/>
          <w:szCs w:val="32"/>
          <w:highlight w:val="none"/>
        </w:rPr>
        <w:t>60的，前阶段暂付设计费余额不返还。</w:t>
      </w:r>
    </w:p>
    <w:p w14:paraId="3993C119">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注：</w:t>
      </w:r>
    </w:p>
    <w:p w14:paraId="74A23A76">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①对于全阶段设计模式（含全过程EPC模式、传统模式）</w:t>
      </w:r>
    </w:p>
    <w:p w14:paraId="6741044C">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设计阶段合同履约评价综合得分=方案设计、初步设计、施工图设计三阶段合同履约评价得分的算术平均值。</w:t>
      </w:r>
    </w:p>
    <w:p w14:paraId="7475D9E8">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②对于分阶段设计模式（取得初步设计批复后的EPC模式）中的方案设计及初步设计单位</w:t>
      </w:r>
    </w:p>
    <w:p w14:paraId="7EB0341B">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设计阶段合同履约评价综合得分=方案设计、初步设计两阶段合同履约评价得分的算术平均值。</w:t>
      </w:r>
    </w:p>
    <w:p w14:paraId="75A7D00F">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③对于分阶段设计模式（取得初步设计批复后的EPC模式）中的施工图设计单位</w:t>
      </w:r>
    </w:p>
    <w:p w14:paraId="395C0640">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设计阶段合同履约评价综合得分=施工图设计（至取得施工图审查合格报告）、专业施工图及各专业深化施工图设计两阶段合同履约评价得分的算术平均值。</w:t>
      </w:r>
    </w:p>
    <w:p w14:paraId="388F6581">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（四）施工阶段设计合同履约评价得分对应的设计费支付比例B的取值方式</w:t>
      </w:r>
    </w:p>
    <w:p w14:paraId="4ABBF240">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1、施工阶段合同履约评价综合得分≥90的，该阶段设计费全额支付，即B=1。</w:t>
      </w:r>
    </w:p>
    <w:p w14:paraId="2B40F22A">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2、施工阶段合同履约评价综合得分≥75且</w:t>
      </w:r>
      <w:r>
        <w:rPr>
          <w:rFonts w:ascii="仿宋_GB2312" w:hAnsi="仿宋_GB2312" w:eastAsia="仿宋_GB2312"/>
          <w:color w:val="auto"/>
          <w:sz w:val="32"/>
          <w:szCs w:val="32"/>
          <w:highlight w:val="none"/>
        </w:rPr>
        <w:t>&lt;</w:t>
      </w:r>
      <w:r>
        <w:rPr>
          <w:rFonts w:hint="eastAsia" w:ascii="仿宋_GB2312" w:eastAsia="仿宋_GB2312"/>
          <w:color w:val="auto"/>
          <w:sz w:val="32"/>
          <w:szCs w:val="32"/>
          <w:highlight w:val="none"/>
        </w:rPr>
        <w:t>90的，该阶段设计费暂付比例为90%，即B=90%。</w:t>
      </w:r>
    </w:p>
    <w:p w14:paraId="383EB5A2">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3、施工阶段合同履约评价综合得分≥60且</w:t>
      </w:r>
      <w:r>
        <w:rPr>
          <w:rFonts w:ascii="仿宋_GB2312" w:hAnsi="仿宋_GB2312" w:eastAsia="仿宋_GB2312"/>
          <w:color w:val="auto"/>
          <w:sz w:val="32"/>
          <w:szCs w:val="32"/>
          <w:highlight w:val="none"/>
        </w:rPr>
        <w:t>&lt;</w:t>
      </w:r>
      <w:r>
        <w:rPr>
          <w:rFonts w:hint="eastAsia" w:ascii="仿宋_GB2312" w:eastAsia="仿宋_GB2312"/>
          <w:color w:val="auto"/>
          <w:sz w:val="32"/>
          <w:szCs w:val="32"/>
          <w:highlight w:val="none"/>
        </w:rPr>
        <w:t>75的，该阶段设计费暂付比例为80%，即B=80%。</w:t>
      </w:r>
    </w:p>
    <w:p w14:paraId="20DA2902">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4、施工阶段合同履约评价综合得分</w:t>
      </w:r>
      <w:r>
        <w:rPr>
          <w:rFonts w:ascii="仿宋_GB2312" w:hAnsi="仿宋_GB2312" w:eastAsia="仿宋_GB2312"/>
          <w:color w:val="auto"/>
          <w:sz w:val="32"/>
          <w:szCs w:val="32"/>
          <w:highlight w:val="none"/>
        </w:rPr>
        <w:t>&lt;</w:t>
      </w:r>
      <w:r>
        <w:rPr>
          <w:rFonts w:hint="eastAsia" w:ascii="仿宋_GB2312" w:eastAsia="仿宋_GB2312"/>
          <w:color w:val="auto"/>
          <w:sz w:val="32"/>
          <w:szCs w:val="32"/>
          <w:highlight w:val="none"/>
        </w:rPr>
        <w:t>60的，该阶段设计费暂付比例为70%，即B=70%。</w:t>
      </w:r>
    </w:p>
    <w:p w14:paraId="73A6BAC8">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注：施工阶段合同履约评价综合得分=施工阶段各季度评价算术平均值。</w:t>
      </w:r>
    </w:p>
    <w:p w14:paraId="7EE93166">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（五）缺陷责任期阶段设计合同履约评价得分对应的设计费支付比例C的取值方式</w:t>
      </w:r>
    </w:p>
    <w:p w14:paraId="0371CCF2">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1、缺陷责任期阶段合同履约评价综合得分≥90的，该阶段设计费全额支付，即C=1。</w:t>
      </w:r>
    </w:p>
    <w:p w14:paraId="4EE3C7B3">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2、缺陷责任期阶段合同履约评价综合得分≥75且</w:t>
      </w:r>
      <w:r>
        <w:rPr>
          <w:rFonts w:ascii="仿宋_GB2312" w:hAnsi="仿宋_GB2312" w:eastAsia="仿宋_GB2312"/>
          <w:color w:val="auto"/>
          <w:sz w:val="32"/>
          <w:szCs w:val="32"/>
          <w:highlight w:val="none"/>
        </w:rPr>
        <w:t>&lt;</w:t>
      </w:r>
      <w:r>
        <w:rPr>
          <w:rFonts w:hint="eastAsia" w:ascii="仿宋_GB2312" w:eastAsia="仿宋_GB2312"/>
          <w:color w:val="auto"/>
          <w:sz w:val="32"/>
          <w:szCs w:val="32"/>
          <w:highlight w:val="none"/>
        </w:rPr>
        <w:t>90的，该阶段设计费暂付比例为90%，即C=90%。</w:t>
      </w:r>
    </w:p>
    <w:p w14:paraId="39733722">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3、缺陷责任期阶段合同履约评价综合得分≥60且</w:t>
      </w:r>
      <w:r>
        <w:rPr>
          <w:rFonts w:ascii="仿宋_GB2312" w:hAnsi="仿宋_GB2312" w:eastAsia="仿宋_GB2312"/>
          <w:color w:val="auto"/>
          <w:sz w:val="32"/>
          <w:szCs w:val="32"/>
          <w:highlight w:val="none"/>
        </w:rPr>
        <w:t>&lt;</w:t>
      </w:r>
      <w:r>
        <w:rPr>
          <w:rFonts w:hint="eastAsia" w:ascii="仿宋_GB2312" w:eastAsia="仿宋_GB2312"/>
          <w:color w:val="auto"/>
          <w:sz w:val="32"/>
          <w:szCs w:val="32"/>
          <w:highlight w:val="none"/>
        </w:rPr>
        <w:t>75的，该阶段设计费暂付比例为80%，即C=80%。</w:t>
      </w:r>
    </w:p>
    <w:p w14:paraId="245D3972">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4、缺陷责任期阶段合同履约评价综合得分</w:t>
      </w:r>
      <w:r>
        <w:rPr>
          <w:rFonts w:ascii="仿宋_GB2312" w:hAnsi="仿宋_GB2312" w:eastAsia="仿宋_GB2312"/>
          <w:color w:val="auto"/>
          <w:sz w:val="32"/>
          <w:szCs w:val="32"/>
          <w:highlight w:val="none"/>
        </w:rPr>
        <w:t>&lt;</w:t>
      </w:r>
      <w:r>
        <w:rPr>
          <w:rFonts w:hint="eastAsia" w:ascii="仿宋_GB2312" w:eastAsia="仿宋_GB2312"/>
          <w:color w:val="auto"/>
          <w:sz w:val="32"/>
          <w:szCs w:val="32"/>
          <w:highlight w:val="none"/>
        </w:rPr>
        <w:t>60的，该阶段设计费暂付比例为70%，即C=70%。</w:t>
      </w:r>
    </w:p>
    <w:p w14:paraId="08E69CEA">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注：缺陷责任期阶段合同履约评价综合得分=缺陷责任期阶段各年度评价算术平均值。</w:t>
      </w:r>
    </w:p>
    <w:p w14:paraId="082AE536">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第六条 对项目建设全过程所有各阶段履约评价算术平均得分不低于90，且单次最低履约评价得分不低于80的履约单位，按《省代建局直接管理项目合同履约评价管理办法（试行）》中第十二条“履约评价结果的运用”中第（二）点的有关规定执行。</w:t>
      </w:r>
    </w:p>
    <w:p w14:paraId="02477CB3">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第七条 对项目建设全过程所有各阶段履约评价算术平均得分低于70，或出现一次履约评价最低得分低于60的履约单位，按《省代建局直接管理项目合同履约评价管理办法（试行）》中第十二条“履约评价结果的运用”中第（三）点的有关规定执行。</w:t>
      </w:r>
    </w:p>
    <w:p w14:paraId="5902FDF7">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第八条 对于经我局批准允许分包的专业专项设计，其分包设计单位合同履约行为计入总体设计单位履约评价。</w:t>
      </w:r>
    </w:p>
    <w:p w14:paraId="00E3636E">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第九条 设计合同履约评价表完成审定后函送设计单位，设计单位对各阶段履约评价结果有异议的，按《省代建局直接管理项目合同履约评价管理办法（试行）》中第十一条的有关规定执行。</w:t>
      </w:r>
    </w:p>
    <w:p w14:paraId="4750BD9B">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第十条 本实施细则纳入涉及工程项目设计工作内容的勘察设计施工总承包、全过程工程咨询、勘察设计、工程设计等招标文件及合同中作为附件组成部分之一。</w:t>
      </w:r>
    </w:p>
    <w:p w14:paraId="44A798B6">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第十一条 设计合同由使用单位签署的，经我局签订补充协议后，自补充协议签订之日起的设计工作，按本细则实施，由使用单位负责管理的阶段，经征求使用单位意见后，一并按本细则实施，设计合同履约评价表完成审定后抄送使用单位。</w:t>
      </w:r>
    </w:p>
    <w:p w14:paraId="76B1062D">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第十二条 本细则自广东省代建项目管理局办公会研究通过后开始试行。前期工作部可结合直接管理项目实施过程实际情况适时进行修订。</w:t>
      </w:r>
    </w:p>
    <w:p w14:paraId="5ACBD69C">
      <w:pPr>
        <w:spacing w:line="560" w:lineRule="exact"/>
        <w:ind w:firstLine="640" w:firstLineChars="200"/>
        <w:rPr>
          <w:rFonts w:ascii="仿宋_GB2312" w:eastAsia="仿宋_GB2312"/>
          <w:color w:val="auto"/>
          <w:sz w:val="32"/>
          <w:szCs w:val="32"/>
          <w:highlight w:val="none"/>
        </w:rPr>
      </w:pPr>
    </w:p>
    <w:p w14:paraId="26E62BAC">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附件：</w:t>
      </w:r>
    </w:p>
    <w:p w14:paraId="41E97DEF">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一、方案设计阶段设计合同履约评价表</w:t>
      </w:r>
    </w:p>
    <w:p w14:paraId="008DEB84">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二、初步设计阶段设计合同履约评价表</w:t>
      </w:r>
    </w:p>
    <w:p w14:paraId="54F6829F">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三、施工图设计阶段设计合同履约评价表</w:t>
      </w:r>
    </w:p>
    <w:p w14:paraId="5A804994">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四、施工阶段设计合同履约评价表</w:t>
      </w:r>
    </w:p>
    <w:p w14:paraId="24158C2D">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五、缺陷责任期阶段设计合同履约评价表</w:t>
      </w:r>
    </w:p>
    <w:p w14:paraId="4DA18ABA">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六、设计错误分类</w:t>
      </w:r>
    </w:p>
    <w:p w14:paraId="3DF11075">
      <w:pPr>
        <w:spacing w:line="560" w:lineRule="exact"/>
        <w:ind w:firstLine="627"/>
        <w:rPr>
          <w:rFonts w:ascii="仿宋_GB2312" w:eastAsia="仿宋_GB2312"/>
          <w:color w:val="auto"/>
          <w:sz w:val="32"/>
          <w:szCs w:val="32"/>
          <w:highlight w:val="none"/>
        </w:rPr>
      </w:pPr>
      <w:r>
        <w:rPr>
          <w:rFonts w:ascii="仿宋_GB2312" w:eastAsia="仿宋_GB2312"/>
          <w:color w:val="auto"/>
          <w:sz w:val="32"/>
          <w:szCs w:val="32"/>
          <w:highlight w:val="none"/>
        </w:rPr>
        <w:br w:type="page"/>
      </w:r>
      <w:r>
        <w:rPr>
          <w:rFonts w:hint="eastAsia" w:ascii="仿宋_GB2312" w:eastAsia="仿宋_GB2312"/>
          <w:color w:val="auto"/>
          <w:sz w:val="32"/>
          <w:szCs w:val="32"/>
          <w:highlight w:val="none"/>
        </w:rPr>
        <w:t>附件一</w:t>
      </w:r>
    </w:p>
    <w:tbl>
      <w:tblPr>
        <w:tblStyle w:val="54"/>
        <w:tblW w:w="9366" w:type="dxa"/>
        <w:jc w:val="center"/>
        <w:tblLayout w:type="fixed"/>
        <w:tblCellMar>
          <w:top w:w="0" w:type="dxa"/>
          <w:left w:w="108" w:type="dxa"/>
          <w:bottom w:w="0" w:type="dxa"/>
          <w:right w:w="108" w:type="dxa"/>
        </w:tblCellMar>
      </w:tblPr>
      <w:tblGrid>
        <w:gridCol w:w="460"/>
        <w:gridCol w:w="1393"/>
        <w:gridCol w:w="709"/>
        <w:gridCol w:w="2551"/>
        <w:gridCol w:w="3261"/>
        <w:gridCol w:w="992"/>
      </w:tblGrid>
      <w:tr w14:paraId="47410B5E">
        <w:tblPrEx>
          <w:tblCellMar>
            <w:top w:w="0" w:type="dxa"/>
            <w:left w:w="108" w:type="dxa"/>
            <w:bottom w:w="0" w:type="dxa"/>
            <w:right w:w="108" w:type="dxa"/>
          </w:tblCellMar>
        </w:tblPrEx>
        <w:trPr>
          <w:trHeight w:val="795" w:hRule="atLeast"/>
          <w:jc w:val="center"/>
        </w:trPr>
        <w:tc>
          <w:tcPr>
            <w:tcW w:w="9366" w:type="dxa"/>
            <w:gridSpan w:val="6"/>
            <w:tcBorders>
              <w:top w:val="nil"/>
              <w:left w:val="nil"/>
              <w:bottom w:val="nil"/>
              <w:right w:val="nil"/>
            </w:tcBorders>
            <w:noWrap w:val="0"/>
            <w:vAlign w:val="center"/>
          </w:tcPr>
          <w:p w14:paraId="437FC5B6">
            <w:pPr>
              <w:widowControl/>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方案设计阶段设计合同履约评价表</w:t>
            </w:r>
          </w:p>
        </w:tc>
      </w:tr>
      <w:tr w14:paraId="5CAB11D7">
        <w:tblPrEx>
          <w:tblCellMar>
            <w:top w:w="0" w:type="dxa"/>
            <w:left w:w="108" w:type="dxa"/>
            <w:bottom w:w="0" w:type="dxa"/>
            <w:right w:w="108" w:type="dxa"/>
          </w:tblCellMar>
        </w:tblPrEx>
        <w:trPr>
          <w:jc w:val="center"/>
        </w:trPr>
        <w:tc>
          <w:tcPr>
            <w:tcW w:w="460" w:type="dxa"/>
            <w:tcBorders>
              <w:top w:val="single" w:color="auto" w:sz="4" w:space="0"/>
              <w:left w:val="single" w:color="auto" w:sz="4" w:space="0"/>
              <w:bottom w:val="single" w:color="auto" w:sz="4" w:space="0"/>
              <w:right w:val="single" w:color="auto" w:sz="4" w:space="0"/>
            </w:tcBorders>
            <w:noWrap w:val="0"/>
            <w:vAlign w:val="center"/>
          </w:tcPr>
          <w:p w14:paraId="51947FAA">
            <w:pPr>
              <w:widowControl/>
              <w:ind w:firstLine="472"/>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序号</w:t>
            </w:r>
          </w:p>
        </w:tc>
        <w:tc>
          <w:tcPr>
            <w:tcW w:w="1393" w:type="dxa"/>
            <w:tcBorders>
              <w:top w:val="single" w:color="auto" w:sz="4" w:space="0"/>
              <w:left w:val="nil"/>
              <w:bottom w:val="single" w:color="auto" w:sz="4" w:space="0"/>
              <w:right w:val="single" w:color="auto" w:sz="4" w:space="0"/>
            </w:tcBorders>
            <w:noWrap w:val="0"/>
            <w:vAlign w:val="center"/>
          </w:tcPr>
          <w:p w14:paraId="39A298B4">
            <w:pPr>
              <w:widowControl/>
              <w:ind w:firstLine="472"/>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内容</w:t>
            </w:r>
          </w:p>
        </w:tc>
        <w:tc>
          <w:tcPr>
            <w:tcW w:w="709" w:type="dxa"/>
            <w:tcBorders>
              <w:top w:val="single" w:color="auto" w:sz="4" w:space="0"/>
              <w:left w:val="nil"/>
              <w:bottom w:val="single" w:color="auto" w:sz="4" w:space="0"/>
              <w:right w:val="single" w:color="auto" w:sz="4" w:space="0"/>
            </w:tcBorders>
            <w:noWrap w:val="0"/>
            <w:vAlign w:val="center"/>
          </w:tcPr>
          <w:p w14:paraId="52CDED2F">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单项</w:t>
            </w:r>
          </w:p>
          <w:p w14:paraId="153685D4">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分值</w:t>
            </w:r>
          </w:p>
        </w:tc>
        <w:tc>
          <w:tcPr>
            <w:tcW w:w="2551" w:type="dxa"/>
            <w:tcBorders>
              <w:top w:val="single" w:color="auto" w:sz="4" w:space="0"/>
              <w:left w:val="nil"/>
              <w:bottom w:val="single" w:color="auto" w:sz="4" w:space="0"/>
              <w:right w:val="single" w:color="auto" w:sz="4" w:space="0"/>
            </w:tcBorders>
            <w:noWrap w:val="0"/>
            <w:vAlign w:val="center"/>
          </w:tcPr>
          <w:p w14:paraId="4630F698">
            <w:pPr>
              <w:widowControl/>
              <w:ind w:firstLine="472"/>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评价指标</w:t>
            </w:r>
          </w:p>
        </w:tc>
        <w:tc>
          <w:tcPr>
            <w:tcW w:w="3261" w:type="dxa"/>
            <w:tcBorders>
              <w:top w:val="single" w:color="auto" w:sz="4" w:space="0"/>
              <w:left w:val="nil"/>
              <w:bottom w:val="single" w:color="auto" w:sz="4" w:space="0"/>
              <w:right w:val="single" w:color="auto" w:sz="4" w:space="0"/>
            </w:tcBorders>
            <w:noWrap w:val="0"/>
            <w:vAlign w:val="center"/>
          </w:tcPr>
          <w:p w14:paraId="7A050FB4">
            <w:pPr>
              <w:widowControl/>
              <w:ind w:firstLine="472"/>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评分标准</w:t>
            </w:r>
          </w:p>
        </w:tc>
        <w:tc>
          <w:tcPr>
            <w:tcW w:w="992" w:type="dxa"/>
            <w:tcBorders>
              <w:top w:val="single" w:color="auto" w:sz="4" w:space="0"/>
              <w:left w:val="nil"/>
              <w:bottom w:val="single" w:color="auto" w:sz="4" w:space="0"/>
              <w:right w:val="single" w:color="auto" w:sz="4" w:space="0"/>
            </w:tcBorders>
            <w:noWrap w:val="0"/>
            <w:vAlign w:val="center"/>
          </w:tcPr>
          <w:p w14:paraId="7A0F0C3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得分</w:t>
            </w:r>
          </w:p>
        </w:tc>
      </w:tr>
      <w:tr w14:paraId="4B014147">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1466F85C">
            <w:pPr>
              <w:widowControl/>
              <w:jc w:val="center"/>
              <w:rPr>
                <w:color w:val="auto"/>
                <w:kern w:val="0"/>
                <w:szCs w:val="21"/>
                <w:highlight w:val="none"/>
              </w:rPr>
            </w:pPr>
            <w:r>
              <w:rPr>
                <w:rFonts w:hint="eastAsia" w:ascii="宋体" w:hAnsi="宋体"/>
                <w:color w:val="auto"/>
                <w:kern w:val="0"/>
                <w:szCs w:val="21"/>
                <w:highlight w:val="none"/>
              </w:rPr>
              <w:t>一</w:t>
            </w:r>
          </w:p>
        </w:tc>
        <w:tc>
          <w:tcPr>
            <w:tcW w:w="1393" w:type="dxa"/>
            <w:tcBorders>
              <w:top w:val="nil"/>
              <w:left w:val="nil"/>
              <w:bottom w:val="single" w:color="auto" w:sz="4" w:space="0"/>
              <w:right w:val="single" w:color="auto" w:sz="4" w:space="0"/>
            </w:tcBorders>
            <w:noWrap w:val="0"/>
            <w:vAlign w:val="center"/>
          </w:tcPr>
          <w:p w14:paraId="3C6B70D6">
            <w:pPr>
              <w:widowControl/>
              <w:jc w:val="center"/>
              <w:rPr>
                <w:color w:val="auto"/>
                <w:kern w:val="0"/>
                <w:szCs w:val="21"/>
                <w:highlight w:val="none"/>
              </w:rPr>
            </w:pPr>
            <w:r>
              <w:rPr>
                <w:rFonts w:hint="eastAsia" w:ascii="宋体" w:hAnsi="宋体"/>
                <w:color w:val="auto"/>
                <w:kern w:val="0"/>
                <w:szCs w:val="21"/>
                <w:highlight w:val="none"/>
              </w:rPr>
              <w:t>人员配备</w:t>
            </w:r>
          </w:p>
        </w:tc>
        <w:tc>
          <w:tcPr>
            <w:tcW w:w="709" w:type="dxa"/>
            <w:tcBorders>
              <w:top w:val="nil"/>
              <w:left w:val="nil"/>
              <w:bottom w:val="single" w:color="auto" w:sz="4" w:space="0"/>
              <w:right w:val="single" w:color="auto" w:sz="4" w:space="0"/>
            </w:tcBorders>
            <w:noWrap w:val="0"/>
            <w:vAlign w:val="center"/>
          </w:tcPr>
          <w:p w14:paraId="514A060A">
            <w:pPr>
              <w:widowControl/>
              <w:jc w:val="center"/>
              <w:rPr>
                <w:color w:val="auto"/>
                <w:kern w:val="0"/>
                <w:szCs w:val="21"/>
                <w:highlight w:val="none"/>
              </w:rPr>
            </w:pPr>
            <w:r>
              <w:rPr>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21B867C7">
            <w:pPr>
              <w:widowControl/>
              <w:ind w:firstLine="472"/>
              <w:jc w:val="center"/>
              <w:rPr>
                <w:bCs/>
                <w:color w:val="auto"/>
                <w:kern w:val="0"/>
                <w:szCs w:val="21"/>
                <w:highlight w:val="none"/>
              </w:rPr>
            </w:pPr>
            <w:r>
              <w:rPr>
                <w:bCs/>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66C3FF0C">
            <w:pPr>
              <w:widowControl/>
              <w:ind w:firstLine="472"/>
              <w:jc w:val="center"/>
              <w:rPr>
                <w:bCs/>
                <w:color w:val="auto"/>
                <w:kern w:val="0"/>
                <w:szCs w:val="21"/>
                <w:highlight w:val="none"/>
              </w:rPr>
            </w:pPr>
            <w:r>
              <w:rPr>
                <w:bCs/>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68C4E7F3">
            <w:pPr>
              <w:widowControl/>
              <w:jc w:val="center"/>
              <w:rPr>
                <w:color w:val="auto"/>
                <w:kern w:val="0"/>
                <w:szCs w:val="21"/>
                <w:highlight w:val="none"/>
              </w:rPr>
            </w:pPr>
            <w:r>
              <w:rPr>
                <w:color w:val="auto"/>
                <w:kern w:val="0"/>
                <w:szCs w:val="21"/>
                <w:highlight w:val="none"/>
              </w:rPr>
              <w:t>　</w:t>
            </w:r>
          </w:p>
        </w:tc>
      </w:tr>
      <w:tr w14:paraId="2DC7F565">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63AF3D45">
            <w:pPr>
              <w:widowControl/>
              <w:jc w:val="center"/>
              <w:rPr>
                <w:color w:val="auto"/>
                <w:kern w:val="0"/>
                <w:szCs w:val="21"/>
                <w:highlight w:val="none"/>
              </w:rPr>
            </w:pPr>
            <w:r>
              <w:rPr>
                <w:color w:val="auto"/>
                <w:kern w:val="0"/>
                <w:szCs w:val="21"/>
                <w:highlight w:val="none"/>
              </w:rPr>
              <w:t>1</w:t>
            </w:r>
          </w:p>
        </w:tc>
        <w:tc>
          <w:tcPr>
            <w:tcW w:w="1393" w:type="dxa"/>
            <w:tcBorders>
              <w:top w:val="nil"/>
              <w:left w:val="nil"/>
              <w:bottom w:val="single" w:color="auto" w:sz="4" w:space="0"/>
              <w:right w:val="nil"/>
            </w:tcBorders>
            <w:noWrap w:val="0"/>
            <w:vAlign w:val="center"/>
          </w:tcPr>
          <w:p w14:paraId="2721E983">
            <w:pPr>
              <w:widowControl/>
              <w:jc w:val="center"/>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single" w:color="auto" w:sz="4" w:space="0"/>
              <w:bottom w:val="single" w:color="auto" w:sz="4" w:space="0"/>
              <w:right w:val="single" w:color="auto" w:sz="4" w:space="0"/>
            </w:tcBorders>
            <w:noWrap w:val="0"/>
            <w:vAlign w:val="center"/>
          </w:tcPr>
          <w:p w14:paraId="4C5E51AC">
            <w:pPr>
              <w:widowControl/>
              <w:jc w:val="center"/>
              <w:rPr>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4641ED29">
            <w:pPr>
              <w:widowControl/>
              <w:jc w:val="left"/>
              <w:rPr>
                <w:color w:val="auto"/>
                <w:kern w:val="0"/>
                <w:szCs w:val="21"/>
                <w:highlight w:val="none"/>
              </w:rPr>
            </w:pPr>
            <w:r>
              <w:rPr>
                <w:rFonts w:hint="eastAsia" w:ascii="宋体" w:hAnsi="宋体"/>
                <w:color w:val="auto"/>
                <w:kern w:val="0"/>
                <w:szCs w:val="21"/>
                <w:highlight w:val="none"/>
              </w:rPr>
              <w:t>是否按合同到位</w:t>
            </w:r>
          </w:p>
        </w:tc>
        <w:tc>
          <w:tcPr>
            <w:tcW w:w="3261" w:type="dxa"/>
            <w:tcBorders>
              <w:top w:val="nil"/>
              <w:left w:val="nil"/>
              <w:bottom w:val="single" w:color="auto" w:sz="4" w:space="0"/>
              <w:right w:val="single" w:color="auto" w:sz="4" w:space="0"/>
            </w:tcBorders>
            <w:noWrap w:val="0"/>
            <w:vAlign w:val="center"/>
          </w:tcPr>
          <w:p w14:paraId="14DEC809">
            <w:pPr>
              <w:widowControl/>
              <w:jc w:val="left"/>
              <w:rPr>
                <w:rFonts w:ascii="宋体" w:hAnsi="宋体"/>
                <w:color w:val="auto"/>
                <w:kern w:val="0"/>
                <w:szCs w:val="21"/>
                <w:highlight w:val="none"/>
              </w:rPr>
            </w:pPr>
            <w:r>
              <w:rPr>
                <w:rFonts w:hint="eastAsia" w:ascii="宋体" w:hAnsi="宋体"/>
                <w:color w:val="auto"/>
                <w:kern w:val="0"/>
                <w:szCs w:val="21"/>
                <w:highlight w:val="none"/>
              </w:rPr>
              <w:t>未按合同到位或未经甲方同意，每自行更换一次</w:t>
            </w:r>
            <w:r>
              <w:rPr>
                <w:rFonts w:hint="eastAsia"/>
                <w:color w:val="auto"/>
                <w:kern w:val="0"/>
                <w:szCs w:val="21"/>
                <w:highlight w:val="none"/>
              </w:rPr>
              <w:t>，</w:t>
            </w:r>
            <w:r>
              <w:rPr>
                <w:rFonts w:hint="eastAsia" w:ascii="宋体" w:hAnsi="宋体"/>
                <w:color w:val="auto"/>
                <w:kern w:val="0"/>
                <w:szCs w:val="21"/>
                <w:highlight w:val="none"/>
              </w:rPr>
              <w:t>扣</w:t>
            </w:r>
            <w:r>
              <w:rPr>
                <w:rFonts w:hint="eastAsia"/>
                <w:color w:val="auto"/>
                <w:kern w:val="0"/>
                <w:szCs w:val="21"/>
                <w:highlight w:val="none"/>
              </w:rPr>
              <w:t>2</w:t>
            </w:r>
            <w:r>
              <w:rPr>
                <w:rFonts w:hint="eastAsia" w:ascii="宋体" w:hAnsi="宋体"/>
                <w:color w:val="auto"/>
                <w:kern w:val="0"/>
                <w:szCs w:val="21"/>
                <w:highlight w:val="none"/>
              </w:rPr>
              <w:t>分；</w:t>
            </w:r>
          </w:p>
          <w:p w14:paraId="77C373EA">
            <w:pPr>
              <w:widowControl/>
              <w:jc w:val="left"/>
              <w:rPr>
                <w:color w:val="auto"/>
                <w:kern w:val="0"/>
                <w:szCs w:val="21"/>
                <w:highlight w:val="none"/>
              </w:rPr>
            </w:pPr>
            <w:r>
              <w:rPr>
                <w:rFonts w:hint="eastAsia" w:ascii="宋体" w:hAnsi="宋体"/>
                <w:color w:val="auto"/>
                <w:kern w:val="0"/>
                <w:szCs w:val="21"/>
                <w:highlight w:val="none"/>
              </w:rPr>
              <w:t>缺席甲方要求参加的重要会议，每次扣1分。</w:t>
            </w:r>
          </w:p>
        </w:tc>
        <w:tc>
          <w:tcPr>
            <w:tcW w:w="992" w:type="dxa"/>
            <w:tcBorders>
              <w:top w:val="nil"/>
              <w:left w:val="nil"/>
              <w:bottom w:val="single" w:color="auto" w:sz="4" w:space="0"/>
              <w:right w:val="single" w:color="auto" w:sz="4" w:space="0"/>
            </w:tcBorders>
            <w:noWrap w:val="0"/>
            <w:vAlign w:val="center"/>
          </w:tcPr>
          <w:p w14:paraId="6FB0D7DC">
            <w:pPr>
              <w:widowControl/>
              <w:jc w:val="center"/>
              <w:rPr>
                <w:color w:val="auto"/>
                <w:kern w:val="0"/>
                <w:szCs w:val="21"/>
                <w:highlight w:val="none"/>
              </w:rPr>
            </w:pPr>
            <w:r>
              <w:rPr>
                <w:color w:val="auto"/>
                <w:kern w:val="0"/>
                <w:szCs w:val="21"/>
                <w:highlight w:val="none"/>
              </w:rPr>
              <w:t>　</w:t>
            </w:r>
          </w:p>
        </w:tc>
      </w:tr>
      <w:tr w14:paraId="1C10992F">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70E0A46C">
            <w:pPr>
              <w:widowControl/>
              <w:jc w:val="center"/>
              <w:rPr>
                <w:color w:val="auto"/>
                <w:kern w:val="0"/>
                <w:szCs w:val="21"/>
                <w:highlight w:val="none"/>
              </w:rPr>
            </w:pPr>
            <w:r>
              <w:rPr>
                <w:rFonts w:hint="eastAsia"/>
                <w:color w:val="auto"/>
                <w:kern w:val="0"/>
                <w:szCs w:val="21"/>
                <w:highlight w:val="none"/>
              </w:rPr>
              <w:t>2</w:t>
            </w:r>
          </w:p>
        </w:tc>
        <w:tc>
          <w:tcPr>
            <w:tcW w:w="1393" w:type="dxa"/>
            <w:tcBorders>
              <w:top w:val="single" w:color="auto" w:sz="4" w:space="0"/>
              <w:left w:val="nil"/>
              <w:bottom w:val="nil"/>
              <w:right w:val="nil"/>
            </w:tcBorders>
            <w:noWrap w:val="0"/>
            <w:vAlign w:val="center"/>
          </w:tcPr>
          <w:p w14:paraId="66DD244E">
            <w:pPr>
              <w:widowControl/>
              <w:jc w:val="left"/>
              <w:rPr>
                <w:rFonts w:ascii="宋体" w:hAnsi="宋体"/>
                <w:color w:val="auto"/>
                <w:kern w:val="0"/>
                <w:szCs w:val="21"/>
                <w:highlight w:val="none"/>
              </w:rPr>
            </w:pPr>
            <w:r>
              <w:rPr>
                <w:rFonts w:hint="eastAsia" w:ascii="宋体" w:hAnsi="宋体"/>
                <w:color w:val="auto"/>
                <w:kern w:val="0"/>
                <w:szCs w:val="21"/>
                <w:highlight w:val="none"/>
              </w:rPr>
              <w:t>各专业负责人</w:t>
            </w:r>
          </w:p>
        </w:tc>
        <w:tc>
          <w:tcPr>
            <w:tcW w:w="709" w:type="dxa"/>
            <w:tcBorders>
              <w:top w:val="nil"/>
              <w:left w:val="single" w:color="auto" w:sz="4" w:space="0"/>
              <w:bottom w:val="single" w:color="auto" w:sz="4" w:space="0"/>
              <w:right w:val="single" w:color="auto" w:sz="4" w:space="0"/>
            </w:tcBorders>
            <w:noWrap w:val="0"/>
            <w:vAlign w:val="center"/>
          </w:tcPr>
          <w:p w14:paraId="6625083D">
            <w:pPr>
              <w:widowControl/>
              <w:jc w:val="center"/>
              <w:rPr>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5B54F7C8">
            <w:pPr>
              <w:widowControl/>
              <w:jc w:val="left"/>
              <w:rPr>
                <w:rFonts w:ascii="宋体" w:hAnsi="宋体"/>
                <w:color w:val="auto"/>
                <w:kern w:val="0"/>
                <w:szCs w:val="21"/>
                <w:highlight w:val="none"/>
              </w:rPr>
            </w:pPr>
            <w:r>
              <w:rPr>
                <w:rFonts w:hint="eastAsia" w:ascii="宋体" w:hAnsi="宋体"/>
                <w:color w:val="auto"/>
                <w:kern w:val="0"/>
                <w:szCs w:val="21"/>
                <w:highlight w:val="none"/>
              </w:rPr>
              <w:t>人员是否稳定无更换</w:t>
            </w:r>
          </w:p>
        </w:tc>
        <w:tc>
          <w:tcPr>
            <w:tcW w:w="3261" w:type="dxa"/>
            <w:tcBorders>
              <w:top w:val="nil"/>
              <w:left w:val="nil"/>
              <w:bottom w:val="single" w:color="auto" w:sz="4" w:space="0"/>
              <w:right w:val="single" w:color="auto" w:sz="4" w:space="0"/>
            </w:tcBorders>
            <w:noWrap w:val="0"/>
            <w:vAlign w:val="center"/>
          </w:tcPr>
          <w:p w14:paraId="74CCFB39">
            <w:pPr>
              <w:widowControl/>
              <w:jc w:val="left"/>
              <w:rPr>
                <w:rFonts w:ascii="宋体" w:hAnsi="宋体"/>
                <w:color w:val="auto"/>
                <w:kern w:val="0"/>
                <w:szCs w:val="21"/>
                <w:highlight w:val="none"/>
              </w:rPr>
            </w:pPr>
            <w:r>
              <w:rPr>
                <w:rFonts w:hint="eastAsia" w:ascii="宋体" w:hAnsi="宋体"/>
                <w:color w:val="auto"/>
                <w:kern w:val="0"/>
                <w:szCs w:val="21"/>
                <w:highlight w:val="none"/>
              </w:rPr>
              <w:t>未按合同到位且未经甲方同意，每自行更换一次</w:t>
            </w:r>
            <w:r>
              <w:rPr>
                <w:rFonts w:hint="eastAsia"/>
                <w:color w:val="auto"/>
                <w:kern w:val="0"/>
                <w:szCs w:val="21"/>
                <w:highlight w:val="none"/>
              </w:rPr>
              <w:t>，</w:t>
            </w:r>
            <w:r>
              <w:rPr>
                <w:rFonts w:hint="eastAsia" w:ascii="宋体" w:hAnsi="宋体"/>
                <w:color w:val="auto"/>
                <w:kern w:val="0"/>
                <w:szCs w:val="21"/>
                <w:highlight w:val="none"/>
              </w:rPr>
              <w:t>扣</w:t>
            </w:r>
            <w:r>
              <w:rPr>
                <w:rFonts w:hint="eastAsia"/>
                <w:color w:val="auto"/>
                <w:kern w:val="0"/>
                <w:szCs w:val="21"/>
                <w:highlight w:val="none"/>
              </w:rPr>
              <w:t>2</w:t>
            </w:r>
            <w:r>
              <w:rPr>
                <w:rFonts w:hint="eastAsia" w:ascii="宋体" w:hAnsi="宋体"/>
                <w:color w:val="auto"/>
                <w:kern w:val="0"/>
                <w:szCs w:val="21"/>
                <w:highlight w:val="none"/>
              </w:rPr>
              <w:t>分；</w:t>
            </w:r>
          </w:p>
          <w:p w14:paraId="58708F7D">
            <w:pPr>
              <w:widowControl/>
              <w:jc w:val="left"/>
              <w:rPr>
                <w:color w:val="auto"/>
                <w:kern w:val="0"/>
                <w:szCs w:val="21"/>
                <w:highlight w:val="none"/>
              </w:rPr>
            </w:pPr>
            <w:r>
              <w:rPr>
                <w:rFonts w:hint="eastAsia" w:ascii="宋体" w:hAnsi="宋体"/>
                <w:color w:val="auto"/>
                <w:kern w:val="0"/>
                <w:szCs w:val="21"/>
                <w:highlight w:val="none"/>
              </w:rPr>
              <w:t>缺席甲方要求参加的重要会议，每次扣1分。</w:t>
            </w:r>
          </w:p>
        </w:tc>
        <w:tc>
          <w:tcPr>
            <w:tcW w:w="992" w:type="dxa"/>
            <w:tcBorders>
              <w:top w:val="nil"/>
              <w:left w:val="nil"/>
              <w:bottom w:val="single" w:color="auto" w:sz="4" w:space="0"/>
              <w:right w:val="single" w:color="auto" w:sz="4" w:space="0"/>
            </w:tcBorders>
            <w:noWrap w:val="0"/>
            <w:vAlign w:val="center"/>
          </w:tcPr>
          <w:p w14:paraId="33CB7873">
            <w:pPr>
              <w:widowControl/>
              <w:jc w:val="center"/>
              <w:rPr>
                <w:color w:val="auto"/>
                <w:kern w:val="0"/>
                <w:szCs w:val="21"/>
                <w:highlight w:val="none"/>
              </w:rPr>
            </w:pPr>
          </w:p>
        </w:tc>
      </w:tr>
      <w:tr w14:paraId="01C842D8">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3FCBD920">
            <w:pPr>
              <w:widowControl/>
              <w:jc w:val="center"/>
              <w:rPr>
                <w:color w:val="auto"/>
                <w:kern w:val="0"/>
                <w:szCs w:val="21"/>
                <w:highlight w:val="none"/>
              </w:rPr>
            </w:pPr>
            <w:r>
              <w:rPr>
                <w:rFonts w:hint="eastAsia" w:ascii="宋体" w:hAnsi="宋体"/>
                <w:color w:val="auto"/>
                <w:kern w:val="0"/>
                <w:szCs w:val="21"/>
                <w:highlight w:val="none"/>
              </w:rPr>
              <w:t>二</w:t>
            </w:r>
          </w:p>
        </w:tc>
        <w:tc>
          <w:tcPr>
            <w:tcW w:w="1393" w:type="dxa"/>
            <w:tcBorders>
              <w:top w:val="single" w:color="auto" w:sz="4" w:space="0"/>
              <w:left w:val="nil"/>
              <w:bottom w:val="single" w:color="auto" w:sz="4" w:space="0"/>
              <w:right w:val="single" w:color="auto" w:sz="4" w:space="0"/>
            </w:tcBorders>
            <w:noWrap w:val="0"/>
            <w:vAlign w:val="center"/>
          </w:tcPr>
          <w:p w14:paraId="49F0B28B">
            <w:pPr>
              <w:widowControl/>
              <w:jc w:val="left"/>
              <w:rPr>
                <w:color w:val="auto"/>
                <w:kern w:val="0"/>
                <w:szCs w:val="21"/>
                <w:highlight w:val="none"/>
              </w:rPr>
            </w:pPr>
            <w:r>
              <w:rPr>
                <w:rFonts w:hint="eastAsia" w:ascii="宋体" w:hAnsi="宋体"/>
                <w:color w:val="auto"/>
                <w:kern w:val="0"/>
                <w:szCs w:val="21"/>
                <w:highlight w:val="none"/>
              </w:rPr>
              <w:t>能力水平及履约表现</w:t>
            </w:r>
          </w:p>
        </w:tc>
        <w:tc>
          <w:tcPr>
            <w:tcW w:w="709" w:type="dxa"/>
            <w:tcBorders>
              <w:top w:val="nil"/>
              <w:left w:val="nil"/>
              <w:bottom w:val="single" w:color="auto" w:sz="4" w:space="0"/>
              <w:right w:val="single" w:color="auto" w:sz="4" w:space="0"/>
            </w:tcBorders>
            <w:noWrap w:val="0"/>
            <w:vAlign w:val="center"/>
          </w:tcPr>
          <w:p w14:paraId="27EE4193">
            <w:pPr>
              <w:widowControl/>
              <w:jc w:val="center"/>
              <w:rPr>
                <w:color w:val="auto"/>
                <w:kern w:val="0"/>
                <w:szCs w:val="21"/>
                <w:highlight w:val="none"/>
              </w:rPr>
            </w:pPr>
            <w:r>
              <w:rPr>
                <w:rFonts w:hint="eastAsia"/>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222B424E">
            <w:pPr>
              <w:widowControl/>
              <w:jc w:val="left"/>
              <w:rPr>
                <w:color w:val="auto"/>
                <w:kern w:val="0"/>
                <w:szCs w:val="21"/>
                <w:highlight w:val="none"/>
              </w:rPr>
            </w:pPr>
            <w:r>
              <w:rPr>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6EF2FDFC">
            <w:pPr>
              <w:widowControl/>
              <w:jc w:val="left"/>
              <w:rPr>
                <w:color w:val="auto"/>
                <w:kern w:val="0"/>
                <w:szCs w:val="21"/>
                <w:highlight w:val="none"/>
              </w:rPr>
            </w:pPr>
            <w:r>
              <w:rPr>
                <w:color w:val="auto"/>
                <w:kern w:val="0"/>
                <w:szCs w:val="21"/>
                <w:highlight w:val="none"/>
              </w:rPr>
              <w:t xml:space="preserve"> </w:t>
            </w:r>
          </w:p>
        </w:tc>
        <w:tc>
          <w:tcPr>
            <w:tcW w:w="992" w:type="dxa"/>
            <w:tcBorders>
              <w:top w:val="nil"/>
              <w:left w:val="nil"/>
              <w:bottom w:val="single" w:color="auto" w:sz="4" w:space="0"/>
              <w:right w:val="single" w:color="auto" w:sz="4" w:space="0"/>
            </w:tcBorders>
            <w:noWrap w:val="0"/>
            <w:vAlign w:val="center"/>
          </w:tcPr>
          <w:p w14:paraId="5E37D591">
            <w:pPr>
              <w:widowControl/>
              <w:jc w:val="center"/>
              <w:rPr>
                <w:color w:val="auto"/>
                <w:kern w:val="0"/>
                <w:szCs w:val="21"/>
                <w:highlight w:val="none"/>
              </w:rPr>
            </w:pPr>
            <w:r>
              <w:rPr>
                <w:color w:val="auto"/>
                <w:kern w:val="0"/>
                <w:szCs w:val="21"/>
                <w:highlight w:val="none"/>
              </w:rPr>
              <w:t>　</w:t>
            </w:r>
          </w:p>
        </w:tc>
      </w:tr>
      <w:tr w14:paraId="3BE70411">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06BEA9D5">
            <w:pPr>
              <w:widowControl/>
              <w:jc w:val="center"/>
              <w:rPr>
                <w:color w:val="auto"/>
                <w:kern w:val="0"/>
                <w:szCs w:val="21"/>
                <w:highlight w:val="none"/>
              </w:rPr>
            </w:pPr>
            <w:r>
              <w:rPr>
                <w:rFonts w:hint="eastAsia"/>
                <w:color w:val="auto"/>
                <w:kern w:val="0"/>
                <w:szCs w:val="21"/>
                <w:highlight w:val="none"/>
              </w:rPr>
              <w:t>1</w:t>
            </w:r>
          </w:p>
        </w:tc>
        <w:tc>
          <w:tcPr>
            <w:tcW w:w="1393" w:type="dxa"/>
            <w:tcBorders>
              <w:top w:val="nil"/>
              <w:left w:val="nil"/>
              <w:bottom w:val="single" w:color="auto" w:sz="4" w:space="0"/>
              <w:right w:val="single" w:color="auto" w:sz="4" w:space="0"/>
            </w:tcBorders>
            <w:noWrap w:val="0"/>
            <w:vAlign w:val="center"/>
          </w:tcPr>
          <w:p w14:paraId="0287D3E1">
            <w:pPr>
              <w:widowControl/>
              <w:jc w:val="left"/>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nil"/>
              <w:bottom w:val="single" w:color="auto" w:sz="4" w:space="0"/>
              <w:right w:val="single" w:color="auto" w:sz="4" w:space="0"/>
            </w:tcBorders>
            <w:noWrap w:val="0"/>
            <w:vAlign w:val="center"/>
          </w:tcPr>
          <w:p w14:paraId="5CD88059">
            <w:pPr>
              <w:widowControl/>
              <w:jc w:val="center"/>
              <w:rPr>
                <w:color w:val="auto"/>
                <w:kern w:val="0"/>
                <w:szCs w:val="21"/>
                <w:highlight w:val="none"/>
              </w:rPr>
            </w:pPr>
            <w:r>
              <w:rPr>
                <w:rFonts w:hint="eastAsia"/>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483CA7B7">
            <w:pPr>
              <w:widowControl/>
              <w:jc w:val="left"/>
              <w:rPr>
                <w:color w:val="auto"/>
                <w:kern w:val="0"/>
                <w:szCs w:val="21"/>
                <w:highlight w:val="none"/>
              </w:rPr>
            </w:pPr>
            <w:r>
              <w:rPr>
                <w:rFonts w:hint="eastAsia" w:ascii="宋体" w:hAnsi="宋体"/>
                <w:color w:val="auto"/>
                <w:kern w:val="0"/>
                <w:szCs w:val="21"/>
                <w:highlight w:val="none"/>
              </w:rPr>
              <w:t>是否具有较强的协调组织能力；是否及时发现问题和处理问题；是否能与甲方、使用单位及业务主管部门等相关单位充分沟通</w:t>
            </w:r>
          </w:p>
        </w:tc>
        <w:tc>
          <w:tcPr>
            <w:tcW w:w="3261" w:type="dxa"/>
            <w:tcBorders>
              <w:top w:val="nil"/>
              <w:left w:val="nil"/>
              <w:bottom w:val="single" w:color="auto" w:sz="4" w:space="0"/>
              <w:right w:val="single" w:color="auto" w:sz="4" w:space="0"/>
            </w:tcBorders>
            <w:noWrap w:val="0"/>
            <w:vAlign w:val="center"/>
          </w:tcPr>
          <w:p w14:paraId="73A534A1">
            <w:pPr>
              <w:widowControl/>
              <w:jc w:val="left"/>
              <w:rPr>
                <w:rFonts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、责任心不强、工作协调不到位；</w:t>
            </w:r>
          </w:p>
          <w:p w14:paraId="74F37235">
            <w:pPr>
              <w:widowControl/>
              <w:jc w:val="left"/>
              <w:rPr>
                <w:rFonts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、发现问题后未及时处理；</w:t>
            </w:r>
          </w:p>
          <w:p w14:paraId="53553EE6">
            <w:pPr>
              <w:widowControl/>
              <w:jc w:val="left"/>
              <w:rPr>
                <w:rFonts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、未与相关参建单位或管理部门及时沟通；</w:t>
            </w:r>
          </w:p>
          <w:p w14:paraId="5AE064FD">
            <w:pPr>
              <w:widowControl/>
              <w:jc w:val="left"/>
              <w:rPr>
                <w:rFonts w:ascii="宋体" w:hAnsi="宋体"/>
                <w:color w:val="auto"/>
                <w:kern w:val="0"/>
                <w:szCs w:val="21"/>
                <w:highlight w:val="none"/>
              </w:rPr>
            </w:pPr>
            <w:r>
              <w:rPr>
                <w:color w:val="auto"/>
                <w:kern w:val="0"/>
                <w:szCs w:val="21"/>
                <w:highlight w:val="none"/>
              </w:rPr>
              <w:t>4</w:t>
            </w:r>
            <w:r>
              <w:rPr>
                <w:rFonts w:hint="eastAsia" w:ascii="宋体" w:hAnsi="宋体"/>
                <w:color w:val="auto"/>
                <w:kern w:val="0"/>
                <w:szCs w:val="21"/>
                <w:highlight w:val="none"/>
              </w:rPr>
              <w:t>、未落实甲方的相关要求或会议纪要等文件精神。</w:t>
            </w:r>
          </w:p>
          <w:p w14:paraId="4A9DD005">
            <w:pPr>
              <w:widowControl/>
              <w:jc w:val="left"/>
              <w:rPr>
                <w:color w:val="auto"/>
                <w:kern w:val="0"/>
                <w:szCs w:val="21"/>
                <w:highlight w:val="none"/>
              </w:rPr>
            </w:pPr>
            <w:r>
              <w:rPr>
                <w:rFonts w:hint="eastAsia" w:ascii="宋体" w:hAnsi="宋体"/>
                <w:color w:val="auto"/>
                <w:kern w:val="0"/>
                <w:szCs w:val="21"/>
                <w:highlight w:val="none"/>
              </w:rPr>
              <w:t>以上各项每发生一次扣</w:t>
            </w:r>
            <w:r>
              <w:rPr>
                <w:rFonts w:hint="eastAsia"/>
                <w:color w:val="auto"/>
                <w:kern w:val="0"/>
                <w:szCs w:val="21"/>
                <w:highlight w:val="none"/>
              </w:rPr>
              <w:t>2</w:t>
            </w:r>
            <w:r>
              <w:rPr>
                <w:rFonts w:hint="eastAsia" w:ascii="宋体" w:hAnsi="宋体"/>
                <w:color w:val="auto"/>
                <w:kern w:val="0"/>
                <w:szCs w:val="21"/>
                <w:highlight w:val="none"/>
              </w:rPr>
              <w:t>分。</w:t>
            </w:r>
          </w:p>
        </w:tc>
        <w:tc>
          <w:tcPr>
            <w:tcW w:w="992" w:type="dxa"/>
            <w:tcBorders>
              <w:top w:val="nil"/>
              <w:left w:val="nil"/>
              <w:bottom w:val="single" w:color="auto" w:sz="4" w:space="0"/>
              <w:right w:val="single" w:color="auto" w:sz="4" w:space="0"/>
            </w:tcBorders>
            <w:noWrap w:val="0"/>
            <w:vAlign w:val="center"/>
          </w:tcPr>
          <w:p w14:paraId="441B9AA5">
            <w:pPr>
              <w:widowControl/>
              <w:jc w:val="center"/>
              <w:rPr>
                <w:color w:val="auto"/>
                <w:kern w:val="0"/>
                <w:szCs w:val="21"/>
                <w:highlight w:val="none"/>
              </w:rPr>
            </w:pPr>
            <w:r>
              <w:rPr>
                <w:color w:val="auto"/>
                <w:kern w:val="0"/>
                <w:szCs w:val="21"/>
                <w:highlight w:val="none"/>
              </w:rPr>
              <w:t>　</w:t>
            </w:r>
          </w:p>
        </w:tc>
      </w:tr>
      <w:tr w14:paraId="7053F356">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6F7EEB52">
            <w:pPr>
              <w:widowControl/>
              <w:jc w:val="center"/>
              <w:rPr>
                <w:color w:val="auto"/>
                <w:kern w:val="0"/>
                <w:szCs w:val="21"/>
                <w:highlight w:val="none"/>
              </w:rPr>
            </w:pPr>
            <w:r>
              <w:rPr>
                <w:rFonts w:hint="eastAsia"/>
                <w:color w:val="auto"/>
                <w:kern w:val="0"/>
                <w:szCs w:val="21"/>
                <w:highlight w:val="none"/>
              </w:rPr>
              <w:t>2</w:t>
            </w:r>
          </w:p>
        </w:tc>
        <w:tc>
          <w:tcPr>
            <w:tcW w:w="1393" w:type="dxa"/>
            <w:tcBorders>
              <w:top w:val="nil"/>
              <w:left w:val="nil"/>
              <w:bottom w:val="single" w:color="auto" w:sz="4" w:space="0"/>
              <w:right w:val="single" w:color="auto" w:sz="4" w:space="0"/>
            </w:tcBorders>
            <w:noWrap w:val="0"/>
            <w:vAlign w:val="center"/>
          </w:tcPr>
          <w:p w14:paraId="3EC643C3">
            <w:pPr>
              <w:widowControl/>
              <w:jc w:val="left"/>
              <w:rPr>
                <w:color w:val="auto"/>
                <w:kern w:val="0"/>
                <w:szCs w:val="21"/>
                <w:highlight w:val="none"/>
              </w:rPr>
            </w:pPr>
            <w:r>
              <w:rPr>
                <w:rFonts w:hint="eastAsia" w:ascii="宋体" w:hAnsi="宋体"/>
                <w:color w:val="auto"/>
                <w:kern w:val="0"/>
                <w:szCs w:val="21"/>
                <w:highlight w:val="none"/>
              </w:rPr>
              <w:t>各专业负责人</w:t>
            </w:r>
          </w:p>
        </w:tc>
        <w:tc>
          <w:tcPr>
            <w:tcW w:w="709" w:type="dxa"/>
            <w:tcBorders>
              <w:top w:val="nil"/>
              <w:left w:val="nil"/>
              <w:bottom w:val="single" w:color="auto" w:sz="4" w:space="0"/>
              <w:right w:val="single" w:color="auto" w:sz="4" w:space="0"/>
            </w:tcBorders>
            <w:noWrap w:val="0"/>
            <w:vAlign w:val="center"/>
          </w:tcPr>
          <w:p w14:paraId="6D2EA410">
            <w:pPr>
              <w:widowControl/>
              <w:jc w:val="center"/>
              <w:rPr>
                <w:color w:val="auto"/>
                <w:kern w:val="0"/>
                <w:szCs w:val="21"/>
                <w:highlight w:val="none"/>
              </w:rPr>
            </w:pPr>
            <w:r>
              <w:rPr>
                <w:rFonts w:hint="eastAsia"/>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0AEF5917">
            <w:pPr>
              <w:widowControl/>
              <w:jc w:val="left"/>
              <w:rPr>
                <w:color w:val="auto"/>
                <w:kern w:val="0"/>
                <w:szCs w:val="21"/>
                <w:highlight w:val="none"/>
              </w:rPr>
            </w:pPr>
            <w:r>
              <w:rPr>
                <w:rFonts w:hint="eastAsia" w:ascii="宋体" w:hAnsi="宋体"/>
                <w:color w:val="auto"/>
                <w:kern w:val="0"/>
                <w:szCs w:val="21"/>
                <w:highlight w:val="none"/>
              </w:rPr>
              <w:t>是否有责任心；是否有较高的专业水平；与甲方、使用单位的沟通是否顺畅</w:t>
            </w:r>
          </w:p>
        </w:tc>
        <w:tc>
          <w:tcPr>
            <w:tcW w:w="3261" w:type="dxa"/>
            <w:tcBorders>
              <w:top w:val="nil"/>
              <w:left w:val="nil"/>
              <w:bottom w:val="single" w:color="auto" w:sz="4" w:space="0"/>
              <w:right w:val="single" w:color="auto" w:sz="4" w:space="0"/>
            </w:tcBorders>
            <w:noWrap w:val="0"/>
            <w:vAlign w:val="center"/>
          </w:tcPr>
          <w:p w14:paraId="4F9F1209">
            <w:pPr>
              <w:widowControl/>
              <w:jc w:val="left"/>
              <w:rPr>
                <w:rFonts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w:t>
            </w:r>
          </w:p>
          <w:p w14:paraId="2FB847D6">
            <w:pPr>
              <w:widowControl/>
              <w:jc w:val="left"/>
              <w:rPr>
                <w:rFonts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、专业水平不高；</w:t>
            </w:r>
          </w:p>
          <w:p w14:paraId="15AF4D8A">
            <w:pPr>
              <w:widowControl/>
              <w:jc w:val="left"/>
              <w:rPr>
                <w:rFonts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、与甲方、使用单位的沟通不到位。</w:t>
            </w:r>
          </w:p>
          <w:p w14:paraId="301C9614">
            <w:pPr>
              <w:widowControl/>
              <w:jc w:val="left"/>
              <w:rPr>
                <w:color w:val="auto"/>
                <w:kern w:val="0"/>
                <w:szCs w:val="21"/>
                <w:highlight w:val="none"/>
              </w:rPr>
            </w:pPr>
            <w:r>
              <w:rPr>
                <w:rFonts w:hint="eastAsia" w:ascii="宋体" w:hAnsi="宋体"/>
                <w:color w:val="auto"/>
                <w:kern w:val="0"/>
                <w:szCs w:val="21"/>
                <w:highlight w:val="none"/>
              </w:rPr>
              <w:t>以上各项每发生一次扣</w:t>
            </w:r>
            <w:r>
              <w:rPr>
                <w:color w:val="auto"/>
                <w:kern w:val="0"/>
                <w:szCs w:val="21"/>
                <w:highlight w:val="none"/>
              </w:rPr>
              <w:t>1</w:t>
            </w:r>
            <w:r>
              <w:rPr>
                <w:rFonts w:hint="eastAsia" w:ascii="宋体" w:hAnsi="宋体"/>
                <w:color w:val="auto"/>
                <w:kern w:val="0"/>
                <w:szCs w:val="21"/>
                <w:highlight w:val="none"/>
              </w:rPr>
              <w:t>分。</w:t>
            </w:r>
          </w:p>
        </w:tc>
        <w:tc>
          <w:tcPr>
            <w:tcW w:w="992" w:type="dxa"/>
            <w:tcBorders>
              <w:top w:val="nil"/>
              <w:left w:val="nil"/>
              <w:bottom w:val="single" w:color="auto" w:sz="4" w:space="0"/>
              <w:right w:val="single" w:color="auto" w:sz="4" w:space="0"/>
            </w:tcBorders>
            <w:noWrap w:val="0"/>
            <w:vAlign w:val="center"/>
          </w:tcPr>
          <w:p w14:paraId="3A9374FB">
            <w:pPr>
              <w:widowControl/>
              <w:jc w:val="center"/>
              <w:rPr>
                <w:color w:val="auto"/>
                <w:kern w:val="0"/>
                <w:szCs w:val="21"/>
                <w:highlight w:val="none"/>
              </w:rPr>
            </w:pPr>
            <w:r>
              <w:rPr>
                <w:color w:val="auto"/>
                <w:kern w:val="0"/>
                <w:szCs w:val="21"/>
                <w:highlight w:val="none"/>
              </w:rPr>
              <w:t>　</w:t>
            </w:r>
          </w:p>
        </w:tc>
      </w:tr>
      <w:tr w14:paraId="2AFA02BC">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64DBBB9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三</w:t>
            </w:r>
          </w:p>
        </w:tc>
        <w:tc>
          <w:tcPr>
            <w:tcW w:w="1393" w:type="dxa"/>
            <w:tcBorders>
              <w:top w:val="nil"/>
              <w:left w:val="nil"/>
              <w:bottom w:val="single" w:color="auto" w:sz="4" w:space="0"/>
              <w:right w:val="single" w:color="auto" w:sz="4" w:space="0"/>
            </w:tcBorders>
            <w:noWrap w:val="0"/>
            <w:vAlign w:val="center"/>
          </w:tcPr>
          <w:p w14:paraId="18E5DB9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设计质量</w:t>
            </w:r>
          </w:p>
        </w:tc>
        <w:tc>
          <w:tcPr>
            <w:tcW w:w="709" w:type="dxa"/>
            <w:tcBorders>
              <w:top w:val="nil"/>
              <w:left w:val="nil"/>
              <w:bottom w:val="single" w:color="auto" w:sz="4" w:space="0"/>
              <w:right w:val="single" w:color="auto" w:sz="4" w:space="0"/>
            </w:tcBorders>
            <w:noWrap w:val="0"/>
            <w:vAlign w:val="center"/>
          </w:tcPr>
          <w:p w14:paraId="704A9DD1">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40</w:t>
            </w:r>
          </w:p>
        </w:tc>
        <w:tc>
          <w:tcPr>
            <w:tcW w:w="2551" w:type="dxa"/>
            <w:tcBorders>
              <w:top w:val="nil"/>
              <w:left w:val="nil"/>
              <w:bottom w:val="single" w:color="auto" w:sz="4" w:space="0"/>
              <w:right w:val="single" w:color="auto" w:sz="4" w:space="0"/>
            </w:tcBorders>
            <w:noWrap w:val="0"/>
            <w:vAlign w:val="center"/>
          </w:tcPr>
          <w:p w14:paraId="3B13D37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7BA06D9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21CB966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65DB02D4">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2E41529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93" w:type="dxa"/>
            <w:tcBorders>
              <w:top w:val="nil"/>
              <w:left w:val="nil"/>
              <w:bottom w:val="single" w:color="auto" w:sz="4" w:space="0"/>
              <w:right w:val="single" w:color="auto" w:sz="4" w:space="0"/>
            </w:tcBorders>
            <w:noWrap w:val="0"/>
            <w:vAlign w:val="center"/>
          </w:tcPr>
          <w:p w14:paraId="6DE6FA3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建筑方案</w:t>
            </w:r>
          </w:p>
        </w:tc>
        <w:tc>
          <w:tcPr>
            <w:tcW w:w="709" w:type="dxa"/>
            <w:tcBorders>
              <w:top w:val="nil"/>
              <w:left w:val="nil"/>
              <w:bottom w:val="single" w:color="auto" w:sz="4" w:space="0"/>
              <w:right w:val="single" w:color="auto" w:sz="4" w:space="0"/>
            </w:tcBorders>
            <w:noWrap w:val="0"/>
            <w:vAlign w:val="center"/>
          </w:tcPr>
          <w:p w14:paraId="7BB4D708">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6CA28CE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是否达到招标文件或合同约定的方案设计要求。</w:t>
            </w:r>
          </w:p>
        </w:tc>
        <w:tc>
          <w:tcPr>
            <w:tcW w:w="3261" w:type="dxa"/>
            <w:tcBorders>
              <w:top w:val="nil"/>
              <w:left w:val="nil"/>
              <w:bottom w:val="single" w:color="auto" w:sz="4" w:space="0"/>
              <w:right w:val="single" w:color="auto" w:sz="4" w:space="0"/>
            </w:tcBorders>
            <w:noWrap w:val="0"/>
            <w:vAlign w:val="center"/>
          </w:tcPr>
          <w:p w14:paraId="1C1F406D">
            <w:pPr>
              <w:widowControl/>
              <w:jc w:val="left"/>
              <w:rPr>
                <w:color w:val="auto"/>
                <w:kern w:val="0"/>
                <w:szCs w:val="21"/>
                <w:highlight w:val="none"/>
              </w:rPr>
            </w:pPr>
            <w:r>
              <w:rPr>
                <w:rFonts w:hint="eastAsia"/>
                <w:color w:val="auto"/>
                <w:kern w:val="0"/>
                <w:szCs w:val="21"/>
                <w:highlight w:val="none"/>
              </w:rPr>
              <w:t>未</w:t>
            </w:r>
            <w:r>
              <w:rPr>
                <w:color w:val="auto"/>
                <w:kern w:val="0"/>
                <w:szCs w:val="21"/>
                <w:highlight w:val="none"/>
              </w:rPr>
              <w:t>达到</w:t>
            </w:r>
            <w:r>
              <w:rPr>
                <w:rFonts w:hint="eastAsia" w:ascii="宋体" w:hAnsi="宋体" w:cs="宋体"/>
                <w:color w:val="auto"/>
                <w:kern w:val="0"/>
                <w:szCs w:val="21"/>
                <w:highlight w:val="none"/>
              </w:rPr>
              <w:t>招标文件或</w:t>
            </w:r>
            <w:r>
              <w:rPr>
                <w:color w:val="auto"/>
                <w:kern w:val="0"/>
                <w:szCs w:val="21"/>
                <w:highlight w:val="none"/>
              </w:rPr>
              <w:t>合同约定</w:t>
            </w:r>
            <w:r>
              <w:rPr>
                <w:rFonts w:hint="eastAsia"/>
                <w:color w:val="auto"/>
                <w:kern w:val="0"/>
                <w:szCs w:val="21"/>
                <w:highlight w:val="none"/>
              </w:rPr>
              <w:t>、会议纪要、通知、函件等</w:t>
            </w:r>
            <w:r>
              <w:rPr>
                <w:color w:val="auto"/>
                <w:kern w:val="0"/>
                <w:szCs w:val="21"/>
                <w:highlight w:val="none"/>
              </w:rPr>
              <w:t>要求</w:t>
            </w:r>
            <w:r>
              <w:rPr>
                <w:rFonts w:hint="eastAsia"/>
                <w:color w:val="auto"/>
                <w:kern w:val="0"/>
                <w:szCs w:val="21"/>
                <w:highlight w:val="none"/>
              </w:rPr>
              <w:t>。</w:t>
            </w:r>
          </w:p>
          <w:p w14:paraId="3FE3B630">
            <w:pPr>
              <w:widowControl/>
              <w:jc w:val="left"/>
              <w:rPr>
                <w:color w:val="auto"/>
                <w:kern w:val="0"/>
                <w:szCs w:val="21"/>
                <w:highlight w:val="none"/>
              </w:rPr>
            </w:pPr>
            <w:r>
              <w:rPr>
                <w:rFonts w:hint="eastAsia"/>
                <w:color w:val="auto"/>
                <w:kern w:val="0"/>
                <w:szCs w:val="21"/>
                <w:highlight w:val="none"/>
              </w:rPr>
              <w:t>每发生一项扣1分。</w:t>
            </w:r>
          </w:p>
        </w:tc>
        <w:tc>
          <w:tcPr>
            <w:tcW w:w="992" w:type="dxa"/>
            <w:tcBorders>
              <w:top w:val="nil"/>
              <w:left w:val="nil"/>
              <w:bottom w:val="single" w:color="auto" w:sz="4" w:space="0"/>
              <w:right w:val="single" w:color="auto" w:sz="4" w:space="0"/>
            </w:tcBorders>
            <w:noWrap w:val="0"/>
            <w:vAlign w:val="center"/>
          </w:tcPr>
          <w:p w14:paraId="3E50A98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6E1AA2FB">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17A0900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393" w:type="dxa"/>
            <w:tcBorders>
              <w:top w:val="nil"/>
              <w:left w:val="nil"/>
              <w:bottom w:val="single" w:color="auto" w:sz="4" w:space="0"/>
              <w:right w:val="single" w:color="auto" w:sz="4" w:space="0"/>
            </w:tcBorders>
            <w:noWrap w:val="0"/>
            <w:vAlign w:val="center"/>
          </w:tcPr>
          <w:p w14:paraId="34A054A4">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规划报建</w:t>
            </w:r>
          </w:p>
        </w:tc>
        <w:tc>
          <w:tcPr>
            <w:tcW w:w="709" w:type="dxa"/>
            <w:tcBorders>
              <w:top w:val="nil"/>
              <w:left w:val="nil"/>
              <w:bottom w:val="single" w:color="auto" w:sz="4" w:space="0"/>
              <w:right w:val="single" w:color="auto" w:sz="4" w:space="0"/>
            </w:tcBorders>
            <w:noWrap w:val="0"/>
            <w:vAlign w:val="center"/>
          </w:tcPr>
          <w:p w14:paraId="16AD33FA">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15C92DC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是否满足规划管理部门对规划报建文件的要求</w:t>
            </w:r>
          </w:p>
        </w:tc>
        <w:tc>
          <w:tcPr>
            <w:tcW w:w="3261" w:type="dxa"/>
            <w:tcBorders>
              <w:top w:val="nil"/>
              <w:left w:val="nil"/>
              <w:bottom w:val="single" w:color="auto" w:sz="4" w:space="0"/>
              <w:right w:val="single" w:color="auto" w:sz="4" w:space="0"/>
            </w:tcBorders>
            <w:noWrap w:val="0"/>
            <w:vAlign w:val="center"/>
          </w:tcPr>
          <w:p w14:paraId="7BF2E90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经规划管理部门或其委托的专业机构审查，规划报建文件（含电子报建文件）不符合要求而退回的。每发生一次扣2分。</w:t>
            </w:r>
          </w:p>
        </w:tc>
        <w:tc>
          <w:tcPr>
            <w:tcW w:w="992" w:type="dxa"/>
            <w:tcBorders>
              <w:top w:val="nil"/>
              <w:left w:val="nil"/>
              <w:bottom w:val="single" w:color="auto" w:sz="4" w:space="0"/>
              <w:right w:val="single" w:color="auto" w:sz="4" w:space="0"/>
            </w:tcBorders>
            <w:noWrap w:val="0"/>
            <w:vAlign w:val="center"/>
          </w:tcPr>
          <w:p w14:paraId="1B34D2E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16193A9">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46B285A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393" w:type="dxa"/>
            <w:tcBorders>
              <w:top w:val="nil"/>
              <w:left w:val="nil"/>
              <w:bottom w:val="single" w:color="auto" w:sz="4" w:space="0"/>
              <w:right w:val="single" w:color="auto" w:sz="4" w:space="0"/>
            </w:tcBorders>
            <w:noWrap w:val="0"/>
            <w:vAlign w:val="center"/>
          </w:tcPr>
          <w:p w14:paraId="2379A5E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专业报建</w:t>
            </w:r>
          </w:p>
        </w:tc>
        <w:tc>
          <w:tcPr>
            <w:tcW w:w="709" w:type="dxa"/>
            <w:tcBorders>
              <w:top w:val="nil"/>
              <w:left w:val="nil"/>
              <w:bottom w:val="single" w:color="auto" w:sz="4" w:space="0"/>
              <w:right w:val="single" w:color="auto" w:sz="4" w:space="0"/>
            </w:tcBorders>
            <w:noWrap w:val="0"/>
            <w:vAlign w:val="center"/>
          </w:tcPr>
          <w:p w14:paraId="1FDFE5AD">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58CAAD0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是否满足各专业管理部门对专业报建文件的要求</w:t>
            </w:r>
          </w:p>
        </w:tc>
        <w:tc>
          <w:tcPr>
            <w:tcW w:w="3261" w:type="dxa"/>
            <w:tcBorders>
              <w:top w:val="nil"/>
              <w:left w:val="nil"/>
              <w:bottom w:val="single" w:color="auto" w:sz="4" w:space="0"/>
              <w:right w:val="single" w:color="auto" w:sz="4" w:space="0"/>
            </w:tcBorders>
            <w:noWrap w:val="0"/>
            <w:vAlign w:val="center"/>
          </w:tcPr>
          <w:p w14:paraId="0A81D9C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经各专业管理部门或其委托的第三方机构审查，专业报建文件（含电子报建文件）不符合要求而退回的，每发生一次扣2分。</w:t>
            </w:r>
          </w:p>
        </w:tc>
        <w:tc>
          <w:tcPr>
            <w:tcW w:w="992" w:type="dxa"/>
            <w:tcBorders>
              <w:top w:val="nil"/>
              <w:left w:val="nil"/>
              <w:bottom w:val="single" w:color="auto" w:sz="4" w:space="0"/>
              <w:right w:val="single" w:color="auto" w:sz="4" w:space="0"/>
            </w:tcBorders>
            <w:noWrap w:val="0"/>
            <w:vAlign w:val="center"/>
          </w:tcPr>
          <w:p w14:paraId="297F7B69">
            <w:pPr>
              <w:widowControl/>
              <w:jc w:val="left"/>
              <w:rPr>
                <w:rFonts w:ascii="宋体" w:hAnsi="宋体" w:cs="宋体"/>
                <w:color w:val="auto"/>
                <w:kern w:val="0"/>
                <w:szCs w:val="21"/>
                <w:highlight w:val="none"/>
              </w:rPr>
            </w:pPr>
          </w:p>
        </w:tc>
      </w:tr>
      <w:tr w14:paraId="3444075C">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4D9ED24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393" w:type="dxa"/>
            <w:tcBorders>
              <w:top w:val="nil"/>
              <w:left w:val="nil"/>
              <w:bottom w:val="single" w:color="auto" w:sz="4" w:space="0"/>
              <w:right w:val="single" w:color="auto" w:sz="4" w:space="0"/>
            </w:tcBorders>
            <w:noWrap w:val="0"/>
            <w:vAlign w:val="center"/>
          </w:tcPr>
          <w:p w14:paraId="7CB1EE6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设计图纸深度</w:t>
            </w:r>
          </w:p>
        </w:tc>
        <w:tc>
          <w:tcPr>
            <w:tcW w:w="709" w:type="dxa"/>
            <w:tcBorders>
              <w:top w:val="nil"/>
              <w:left w:val="nil"/>
              <w:bottom w:val="single" w:color="auto" w:sz="4" w:space="0"/>
              <w:right w:val="single" w:color="auto" w:sz="4" w:space="0"/>
            </w:tcBorders>
            <w:noWrap w:val="0"/>
            <w:vAlign w:val="center"/>
          </w:tcPr>
          <w:p w14:paraId="1D2876DF">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1B2A2F3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是否满足住建部《建筑工程设计文件编制深度规定》对该阶段设计深度的有关要求</w:t>
            </w:r>
          </w:p>
        </w:tc>
        <w:tc>
          <w:tcPr>
            <w:tcW w:w="3261" w:type="dxa"/>
            <w:tcBorders>
              <w:top w:val="nil"/>
              <w:left w:val="nil"/>
              <w:bottom w:val="single" w:color="auto" w:sz="4" w:space="0"/>
              <w:right w:val="single" w:color="auto" w:sz="4" w:space="0"/>
            </w:tcBorders>
            <w:noWrap w:val="0"/>
            <w:vAlign w:val="center"/>
          </w:tcPr>
          <w:p w14:paraId="0C0317D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经第三方单位审核，有一个专业达不到深度的，扣1分。</w:t>
            </w:r>
          </w:p>
        </w:tc>
        <w:tc>
          <w:tcPr>
            <w:tcW w:w="992" w:type="dxa"/>
            <w:tcBorders>
              <w:top w:val="nil"/>
              <w:left w:val="nil"/>
              <w:bottom w:val="single" w:color="auto" w:sz="4" w:space="0"/>
              <w:right w:val="single" w:color="auto" w:sz="4" w:space="0"/>
            </w:tcBorders>
            <w:noWrap w:val="0"/>
            <w:vAlign w:val="center"/>
          </w:tcPr>
          <w:p w14:paraId="0655752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257A09B">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4AFFAA6C">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393" w:type="dxa"/>
            <w:tcBorders>
              <w:top w:val="nil"/>
              <w:left w:val="nil"/>
              <w:bottom w:val="single" w:color="auto" w:sz="4" w:space="0"/>
              <w:right w:val="single" w:color="auto" w:sz="4" w:space="0"/>
            </w:tcBorders>
            <w:noWrap w:val="0"/>
            <w:vAlign w:val="center"/>
          </w:tcPr>
          <w:p w14:paraId="732EA9C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限额设计</w:t>
            </w:r>
          </w:p>
        </w:tc>
        <w:tc>
          <w:tcPr>
            <w:tcW w:w="709" w:type="dxa"/>
            <w:tcBorders>
              <w:top w:val="nil"/>
              <w:left w:val="nil"/>
              <w:bottom w:val="single" w:color="auto" w:sz="4" w:space="0"/>
              <w:right w:val="single" w:color="auto" w:sz="4" w:space="0"/>
            </w:tcBorders>
            <w:noWrap w:val="0"/>
            <w:vAlign w:val="center"/>
          </w:tcPr>
          <w:p w14:paraId="1CE14FDE">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311FAD0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方案估算是否满足经批复的投资估算</w:t>
            </w:r>
          </w:p>
        </w:tc>
        <w:tc>
          <w:tcPr>
            <w:tcW w:w="3261" w:type="dxa"/>
            <w:tcBorders>
              <w:top w:val="nil"/>
              <w:left w:val="nil"/>
              <w:bottom w:val="single" w:color="auto" w:sz="4" w:space="0"/>
              <w:right w:val="single" w:color="auto" w:sz="4" w:space="0"/>
            </w:tcBorders>
            <w:noWrap w:val="0"/>
            <w:vAlign w:val="center"/>
          </w:tcPr>
          <w:p w14:paraId="617025A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估算超出经批复的投资估算价，每报一版扣2分；</w:t>
            </w:r>
          </w:p>
          <w:p w14:paraId="6CB24BB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甲方委托的造价咨询公司审核价与乙方编制的估算价偏差每超出1%，扣1分。</w:t>
            </w:r>
          </w:p>
        </w:tc>
        <w:tc>
          <w:tcPr>
            <w:tcW w:w="992" w:type="dxa"/>
            <w:tcBorders>
              <w:top w:val="nil"/>
              <w:left w:val="nil"/>
              <w:bottom w:val="single" w:color="auto" w:sz="4" w:space="0"/>
              <w:right w:val="single" w:color="auto" w:sz="4" w:space="0"/>
            </w:tcBorders>
            <w:noWrap w:val="0"/>
            <w:vAlign w:val="center"/>
          </w:tcPr>
          <w:p w14:paraId="408810F9">
            <w:pPr>
              <w:widowControl/>
              <w:jc w:val="center"/>
              <w:rPr>
                <w:rFonts w:ascii="宋体" w:hAnsi="宋体" w:cs="宋体"/>
                <w:color w:val="auto"/>
                <w:kern w:val="0"/>
                <w:szCs w:val="21"/>
                <w:highlight w:val="none"/>
              </w:rPr>
            </w:pPr>
          </w:p>
        </w:tc>
      </w:tr>
      <w:tr w14:paraId="17246164">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124D3A35">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四</w:t>
            </w:r>
          </w:p>
        </w:tc>
        <w:tc>
          <w:tcPr>
            <w:tcW w:w="1393" w:type="dxa"/>
            <w:tcBorders>
              <w:top w:val="nil"/>
              <w:left w:val="nil"/>
              <w:bottom w:val="single" w:color="auto" w:sz="4" w:space="0"/>
              <w:right w:val="single" w:color="auto" w:sz="4" w:space="0"/>
            </w:tcBorders>
            <w:noWrap w:val="0"/>
            <w:vAlign w:val="center"/>
          </w:tcPr>
          <w:p w14:paraId="427F369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设计进度</w:t>
            </w:r>
          </w:p>
        </w:tc>
        <w:tc>
          <w:tcPr>
            <w:tcW w:w="709" w:type="dxa"/>
            <w:tcBorders>
              <w:top w:val="nil"/>
              <w:left w:val="nil"/>
              <w:bottom w:val="single" w:color="auto" w:sz="4" w:space="0"/>
              <w:right w:val="single" w:color="auto" w:sz="4" w:space="0"/>
            </w:tcBorders>
            <w:noWrap w:val="0"/>
            <w:vAlign w:val="center"/>
          </w:tcPr>
          <w:p w14:paraId="5B28C0B7">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4FC42DBE">
            <w:pPr>
              <w:widowControl/>
              <w:jc w:val="left"/>
              <w:rPr>
                <w:rFonts w:ascii="宋体" w:hAnsi="宋体" w:cs="宋体"/>
                <w:color w:val="auto"/>
                <w:kern w:val="0"/>
                <w:szCs w:val="21"/>
                <w:highlight w:val="none"/>
              </w:rPr>
            </w:pPr>
          </w:p>
        </w:tc>
        <w:tc>
          <w:tcPr>
            <w:tcW w:w="3261" w:type="dxa"/>
            <w:tcBorders>
              <w:top w:val="nil"/>
              <w:left w:val="nil"/>
              <w:bottom w:val="single" w:color="auto" w:sz="4" w:space="0"/>
              <w:right w:val="single" w:color="auto" w:sz="4" w:space="0"/>
            </w:tcBorders>
            <w:noWrap w:val="0"/>
            <w:vAlign w:val="center"/>
          </w:tcPr>
          <w:p w14:paraId="7B0508EA">
            <w:pPr>
              <w:widowControl/>
              <w:jc w:val="left"/>
              <w:rPr>
                <w:rFonts w:ascii="宋体" w:hAnsi="宋体" w:cs="宋体"/>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7938E86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4F6941D0">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345B9F6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93" w:type="dxa"/>
            <w:tcBorders>
              <w:top w:val="nil"/>
              <w:left w:val="nil"/>
              <w:bottom w:val="single" w:color="auto" w:sz="4" w:space="0"/>
              <w:right w:val="single" w:color="auto" w:sz="4" w:space="0"/>
            </w:tcBorders>
            <w:noWrap w:val="0"/>
            <w:vAlign w:val="center"/>
          </w:tcPr>
          <w:p w14:paraId="798FA41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设计进度</w:t>
            </w:r>
          </w:p>
        </w:tc>
        <w:tc>
          <w:tcPr>
            <w:tcW w:w="709" w:type="dxa"/>
            <w:tcBorders>
              <w:top w:val="nil"/>
              <w:left w:val="nil"/>
              <w:bottom w:val="single" w:color="auto" w:sz="4" w:space="0"/>
              <w:right w:val="single" w:color="auto" w:sz="4" w:space="0"/>
            </w:tcBorders>
            <w:noWrap w:val="0"/>
            <w:vAlign w:val="center"/>
          </w:tcPr>
          <w:p w14:paraId="7BC07D65">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70A2BE0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是否按照合同、会议纪要、通知、函件等对进度的要求完成各项工作；能否按期完成甲方交办的其它相关工作</w:t>
            </w:r>
          </w:p>
        </w:tc>
        <w:tc>
          <w:tcPr>
            <w:tcW w:w="3261" w:type="dxa"/>
            <w:tcBorders>
              <w:top w:val="nil"/>
              <w:left w:val="nil"/>
              <w:bottom w:val="single" w:color="auto" w:sz="4" w:space="0"/>
              <w:right w:val="single" w:color="auto" w:sz="4" w:space="0"/>
            </w:tcBorders>
            <w:noWrap w:val="0"/>
            <w:vAlign w:val="center"/>
          </w:tcPr>
          <w:p w14:paraId="4258C27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因乙方原因，每延误一天扣1分，至扣完为止。</w:t>
            </w:r>
          </w:p>
        </w:tc>
        <w:tc>
          <w:tcPr>
            <w:tcW w:w="992" w:type="dxa"/>
            <w:tcBorders>
              <w:top w:val="nil"/>
              <w:left w:val="nil"/>
              <w:bottom w:val="single" w:color="auto" w:sz="4" w:space="0"/>
              <w:right w:val="single" w:color="auto" w:sz="4" w:space="0"/>
            </w:tcBorders>
            <w:noWrap w:val="0"/>
            <w:vAlign w:val="center"/>
          </w:tcPr>
          <w:p w14:paraId="37D7304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6ED2DD8">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0017F42C">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五</w:t>
            </w:r>
          </w:p>
        </w:tc>
        <w:tc>
          <w:tcPr>
            <w:tcW w:w="1393" w:type="dxa"/>
            <w:tcBorders>
              <w:top w:val="nil"/>
              <w:left w:val="nil"/>
              <w:bottom w:val="single" w:color="auto" w:sz="4" w:space="0"/>
              <w:right w:val="single" w:color="auto" w:sz="4" w:space="0"/>
            </w:tcBorders>
            <w:noWrap w:val="0"/>
            <w:vAlign w:val="center"/>
          </w:tcPr>
          <w:p w14:paraId="2449EF7D">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设计配合</w:t>
            </w:r>
          </w:p>
        </w:tc>
        <w:tc>
          <w:tcPr>
            <w:tcW w:w="709" w:type="dxa"/>
            <w:tcBorders>
              <w:top w:val="nil"/>
              <w:left w:val="nil"/>
              <w:bottom w:val="single" w:color="auto" w:sz="4" w:space="0"/>
              <w:right w:val="single" w:color="auto" w:sz="4" w:space="0"/>
            </w:tcBorders>
            <w:noWrap w:val="0"/>
            <w:vAlign w:val="center"/>
          </w:tcPr>
          <w:p w14:paraId="296CF5D6">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74CA654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1861DC0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4426831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4E777EF1">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5EB7CB4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93" w:type="dxa"/>
            <w:tcBorders>
              <w:top w:val="nil"/>
              <w:left w:val="nil"/>
              <w:bottom w:val="single" w:color="auto" w:sz="4" w:space="0"/>
              <w:right w:val="single" w:color="auto" w:sz="4" w:space="0"/>
            </w:tcBorders>
            <w:noWrap w:val="0"/>
            <w:vAlign w:val="center"/>
          </w:tcPr>
          <w:p w14:paraId="65E8251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设计配合</w:t>
            </w:r>
          </w:p>
        </w:tc>
        <w:tc>
          <w:tcPr>
            <w:tcW w:w="709" w:type="dxa"/>
            <w:tcBorders>
              <w:top w:val="nil"/>
              <w:left w:val="nil"/>
              <w:bottom w:val="single" w:color="auto" w:sz="4" w:space="0"/>
              <w:right w:val="single" w:color="auto" w:sz="4" w:space="0"/>
            </w:tcBorders>
            <w:noWrap w:val="0"/>
            <w:vAlign w:val="center"/>
          </w:tcPr>
          <w:p w14:paraId="6E2DB85A">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63CCB2E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能否按合同及甲方要求及时协调配合甲方、专项设计单位及其它相关部门的工作；是否具有较强的沟通协调能力；能否在各报建报批环节积极协助甲方完成相关工作</w:t>
            </w:r>
          </w:p>
        </w:tc>
        <w:tc>
          <w:tcPr>
            <w:tcW w:w="3261" w:type="dxa"/>
            <w:tcBorders>
              <w:top w:val="nil"/>
              <w:left w:val="nil"/>
              <w:bottom w:val="single" w:color="auto" w:sz="4" w:space="0"/>
              <w:right w:val="single" w:color="auto" w:sz="4" w:space="0"/>
            </w:tcBorders>
            <w:noWrap w:val="0"/>
            <w:vAlign w:val="center"/>
          </w:tcPr>
          <w:p w14:paraId="44C066A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好：得10分</w:t>
            </w:r>
          </w:p>
          <w:p w14:paraId="1C62901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较好：得8分</w:t>
            </w:r>
          </w:p>
          <w:p w14:paraId="37BA42D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一般：得6分</w:t>
            </w:r>
          </w:p>
          <w:p w14:paraId="167EE20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较差：得4分</w:t>
            </w:r>
          </w:p>
          <w:p w14:paraId="33497E3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差：得2分</w:t>
            </w:r>
          </w:p>
        </w:tc>
        <w:tc>
          <w:tcPr>
            <w:tcW w:w="992" w:type="dxa"/>
            <w:tcBorders>
              <w:top w:val="nil"/>
              <w:left w:val="nil"/>
              <w:bottom w:val="single" w:color="auto" w:sz="4" w:space="0"/>
              <w:right w:val="single" w:color="auto" w:sz="4" w:space="0"/>
            </w:tcBorders>
            <w:noWrap w:val="0"/>
            <w:vAlign w:val="center"/>
          </w:tcPr>
          <w:p w14:paraId="0BCECFD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2DE1EBA9">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14E8F174">
            <w:pPr>
              <w:widowControl/>
              <w:jc w:val="center"/>
              <w:rPr>
                <w:color w:val="auto"/>
                <w:kern w:val="0"/>
                <w:szCs w:val="21"/>
                <w:highlight w:val="none"/>
              </w:rPr>
            </w:pPr>
            <w:r>
              <w:rPr>
                <w:color w:val="auto"/>
                <w:kern w:val="0"/>
                <w:szCs w:val="21"/>
                <w:highlight w:val="none"/>
              </w:rPr>
              <w:t>　</w:t>
            </w:r>
          </w:p>
        </w:tc>
        <w:tc>
          <w:tcPr>
            <w:tcW w:w="1393" w:type="dxa"/>
            <w:tcBorders>
              <w:top w:val="nil"/>
              <w:left w:val="nil"/>
              <w:bottom w:val="single" w:color="auto" w:sz="4" w:space="0"/>
              <w:right w:val="single" w:color="auto" w:sz="4" w:space="0"/>
            </w:tcBorders>
            <w:noWrap w:val="0"/>
            <w:vAlign w:val="center"/>
          </w:tcPr>
          <w:p w14:paraId="65DF357F">
            <w:pPr>
              <w:widowControl/>
              <w:jc w:val="center"/>
              <w:rPr>
                <w:color w:val="auto"/>
                <w:kern w:val="0"/>
                <w:szCs w:val="21"/>
                <w:highlight w:val="none"/>
              </w:rPr>
            </w:pPr>
            <w:r>
              <w:rPr>
                <w:color w:val="auto"/>
                <w:kern w:val="0"/>
                <w:szCs w:val="21"/>
                <w:highlight w:val="none"/>
              </w:rPr>
              <w:t>合计</w:t>
            </w:r>
          </w:p>
        </w:tc>
        <w:tc>
          <w:tcPr>
            <w:tcW w:w="709" w:type="dxa"/>
            <w:tcBorders>
              <w:top w:val="nil"/>
              <w:left w:val="nil"/>
              <w:bottom w:val="single" w:color="auto" w:sz="4" w:space="0"/>
              <w:right w:val="single" w:color="auto" w:sz="4" w:space="0"/>
            </w:tcBorders>
            <w:noWrap w:val="0"/>
            <w:vAlign w:val="center"/>
          </w:tcPr>
          <w:p w14:paraId="26626F6C">
            <w:pPr>
              <w:widowControl/>
              <w:jc w:val="center"/>
              <w:rPr>
                <w:color w:val="auto"/>
                <w:kern w:val="0"/>
                <w:szCs w:val="21"/>
                <w:highlight w:val="none"/>
              </w:rPr>
            </w:pPr>
            <w:r>
              <w:rPr>
                <w:color w:val="auto"/>
                <w:kern w:val="0"/>
                <w:szCs w:val="21"/>
                <w:highlight w:val="none"/>
              </w:rPr>
              <w:t>100</w:t>
            </w:r>
          </w:p>
        </w:tc>
        <w:tc>
          <w:tcPr>
            <w:tcW w:w="2551" w:type="dxa"/>
            <w:tcBorders>
              <w:top w:val="nil"/>
              <w:left w:val="nil"/>
              <w:bottom w:val="single" w:color="auto" w:sz="4" w:space="0"/>
              <w:right w:val="single" w:color="auto" w:sz="4" w:space="0"/>
            </w:tcBorders>
            <w:noWrap w:val="0"/>
            <w:vAlign w:val="center"/>
          </w:tcPr>
          <w:p w14:paraId="43B1A12E">
            <w:pPr>
              <w:widowControl/>
              <w:jc w:val="center"/>
              <w:rPr>
                <w:color w:val="auto"/>
                <w:kern w:val="0"/>
                <w:szCs w:val="21"/>
                <w:highlight w:val="none"/>
              </w:rPr>
            </w:pPr>
            <w:r>
              <w:rPr>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34A61248">
            <w:pPr>
              <w:widowControl/>
              <w:jc w:val="center"/>
              <w:rPr>
                <w:color w:val="auto"/>
                <w:kern w:val="0"/>
                <w:szCs w:val="21"/>
                <w:highlight w:val="none"/>
              </w:rPr>
            </w:pPr>
            <w:r>
              <w:rPr>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26AA4D5E">
            <w:pPr>
              <w:widowControl/>
              <w:jc w:val="center"/>
              <w:rPr>
                <w:color w:val="auto"/>
                <w:kern w:val="0"/>
                <w:szCs w:val="21"/>
                <w:highlight w:val="none"/>
              </w:rPr>
            </w:pPr>
            <w:r>
              <w:rPr>
                <w:color w:val="auto"/>
                <w:kern w:val="0"/>
                <w:szCs w:val="21"/>
                <w:highlight w:val="none"/>
              </w:rPr>
              <w:t>　</w:t>
            </w:r>
          </w:p>
        </w:tc>
      </w:tr>
    </w:tbl>
    <w:p w14:paraId="2ED55754">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一、注：</w:t>
      </w:r>
    </w:p>
    <w:p w14:paraId="446DB758">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1、每一评分项扣分，至该项对应分值扣完为止。</w:t>
      </w:r>
    </w:p>
    <w:p w14:paraId="783FE8C7">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2、应在岗实际未在岗累计达到3天的，或经问询明显不了解项目具体情况累计达到3次的，或未按甲方要求出席会议累计达到3次的，可认定自行更换</w:t>
      </w:r>
    </w:p>
    <w:p w14:paraId="5B2AF942">
      <w:pPr>
        <w:adjustRightInd w:val="0"/>
        <w:snapToGrid w:val="0"/>
        <w:rPr>
          <w:rFonts w:ascii="宋体" w:hAnsi="宋体" w:cs="宋体"/>
          <w:color w:val="auto"/>
          <w:kern w:val="0"/>
          <w:szCs w:val="21"/>
          <w:highlight w:val="none"/>
        </w:rPr>
      </w:pPr>
    </w:p>
    <w:p w14:paraId="0152B944">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二、扣分情况说明：</w:t>
      </w:r>
    </w:p>
    <w:p w14:paraId="47C6764B">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1、</w:t>
      </w:r>
    </w:p>
    <w:p w14:paraId="55623B9E">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2、</w:t>
      </w:r>
    </w:p>
    <w:p w14:paraId="3FF8EB66">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3、</w:t>
      </w:r>
    </w:p>
    <w:p w14:paraId="73A49409">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w:t>
      </w:r>
    </w:p>
    <w:p w14:paraId="093E6DC6">
      <w:pPr>
        <w:adjustRightInd w:val="0"/>
        <w:snapToGrid w:val="0"/>
        <w:rPr>
          <w:rFonts w:ascii="宋体" w:hAnsi="宋体" w:cs="宋体"/>
          <w:color w:val="auto"/>
          <w:kern w:val="0"/>
          <w:szCs w:val="21"/>
          <w:highlight w:val="none"/>
        </w:rPr>
      </w:pPr>
    </w:p>
    <w:p w14:paraId="3FAE6A18">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项目负责人：×××  签名：</w:t>
      </w:r>
      <w:r>
        <w:rPr>
          <w:rFonts w:hint="eastAsia" w:ascii="宋体" w:hAnsi="宋体" w:cs="宋体"/>
          <w:color w:val="auto"/>
          <w:kern w:val="0"/>
          <w:szCs w:val="21"/>
          <w:highlight w:val="none"/>
          <w:u w:val="single"/>
        </w:rPr>
        <w:t xml:space="preserve">             </w:t>
      </w:r>
    </w:p>
    <w:p w14:paraId="01627EDD">
      <w:pPr>
        <w:adjustRightInd w:val="0"/>
        <w:snapToGrid w:val="0"/>
        <w:rPr>
          <w:rFonts w:ascii="宋体" w:hAnsi="宋体" w:cs="宋体"/>
          <w:color w:val="auto"/>
          <w:kern w:val="0"/>
          <w:szCs w:val="21"/>
          <w:highlight w:val="none"/>
        </w:rPr>
      </w:pPr>
    </w:p>
    <w:p w14:paraId="11AA1D4D">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部门负责人：×××  签名：</w:t>
      </w:r>
      <w:r>
        <w:rPr>
          <w:rFonts w:hint="eastAsia" w:ascii="宋体" w:hAnsi="宋体" w:cs="宋体"/>
          <w:color w:val="auto"/>
          <w:kern w:val="0"/>
          <w:szCs w:val="21"/>
          <w:highlight w:val="none"/>
          <w:u w:val="single"/>
        </w:rPr>
        <w:t xml:space="preserve">             </w:t>
      </w:r>
    </w:p>
    <w:p w14:paraId="50B4FDF2">
      <w:pPr>
        <w:adjustRightInd w:val="0"/>
        <w:snapToGrid w:val="0"/>
        <w:rPr>
          <w:rFonts w:ascii="宋体" w:hAnsi="宋体" w:cs="宋体"/>
          <w:color w:val="auto"/>
          <w:kern w:val="0"/>
          <w:szCs w:val="21"/>
          <w:highlight w:val="none"/>
        </w:rPr>
      </w:pPr>
    </w:p>
    <w:p w14:paraId="3D022E3B">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日期：      年    月    日</w:t>
      </w:r>
    </w:p>
    <w:p w14:paraId="3E76965F">
      <w:pPr>
        <w:adjustRightInd w:val="0"/>
        <w:snapToGrid w:val="0"/>
        <w:rPr>
          <w:rFonts w:ascii="宋体" w:hAnsi="宋体" w:cs="宋体"/>
          <w:color w:val="auto"/>
          <w:kern w:val="0"/>
          <w:szCs w:val="21"/>
          <w:highlight w:val="none"/>
        </w:rPr>
      </w:pPr>
    </w:p>
    <w:p w14:paraId="3BF9BFC0">
      <w:pPr>
        <w:spacing w:line="560" w:lineRule="exact"/>
        <w:ind w:firstLine="472"/>
        <w:rPr>
          <w:rFonts w:ascii="仿宋_GB2312" w:eastAsia="仿宋_GB2312"/>
          <w:color w:val="auto"/>
          <w:sz w:val="32"/>
          <w:szCs w:val="32"/>
          <w:highlight w:val="none"/>
        </w:rPr>
      </w:pPr>
      <w:r>
        <w:rPr>
          <w:rFonts w:ascii="宋体" w:hAnsi="宋体"/>
          <w:color w:val="auto"/>
          <w:szCs w:val="21"/>
          <w:highlight w:val="none"/>
        </w:rPr>
        <w:br w:type="page"/>
      </w:r>
      <w:r>
        <w:rPr>
          <w:rFonts w:hint="eastAsia" w:ascii="仿宋_GB2312" w:eastAsia="仿宋_GB2312"/>
          <w:color w:val="auto"/>
          <w:sz w:val="32"/>
          <w:szCs w:val="32"/>
          <w:highlight w:val="none"/>
        </w:rPr>
        <w:t>附件二</w:t>
      </w:r>
    </w:p>
    <w:tbl>
      <w:tblPr>
        <w:tblStyle w:val="54"/>
        <w:tblW w:w="9366" w:type="dxa"/>
        <w:jc w:val="center"/>
        <w:tblLayout w:type="fixed"/>
        <w:tblCellMar>
          <w:top w:w="0" w:type="dxa"/>
          <w:left w:w="108" w:type="dxa"/>
          <w:bottom w:w="0" w:type="dxa"/>
          <w:right w:w="108" w:type="dxa"/>
        </w:tblCellMar>
      </w:tblPr>
      <w:tblGrid>
        <w:gridCol w:w="665"/>
        <w:gridCol w:w="1188"/>
        <w:gridCol w:w="709"/>
        <w:gridCol w:w="2551"/>
        <w:gridCol w:w="3261"/>
        <w:gridCol w:w="992"/>
      </w:tblGrid>
      <w:tr w14:paraId="4B1C433F">
        <w:tblPrEx>
          <w:tblCellMar>
            <w:top w:w="0" w:type="dxa"/>
            <w:left w:w="108" w:type="dxa"/>
            <w:bottom w:w="0" w:type="dxa"/>
            <w:right w:w="108" w:type="dxa"/>
          </w:tblCellMar>
        </w:tblPrEx>
        <w:trPr>
          <w:trHeight w:val="795" w:hRule="atLeast"/>
          <w:jc w:val="center"/>
        </w:trPr>
        <w:tc>
          <w:tcPr>
            <w:tcW w:w="9366" w:type="dxa"/>
            <w:gridSpan w:val="6"/>
            <w:tcBorders>
              <w:top w:val="nil"/>
              <w:left w:val="nil"/>
              <w:bottom w:val="nil"/>
              <w:right w:val="nil"/>
            </w:tcBorders>
            <w:noWrap w:val="0"/>
            <w:vAlign w:val="center"/>
          </w:tcPr>
          <w:p w14:paraId="49A0BEE2">
            <w:pPr>
              <w:widowControl/>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初步设计阶段设计合同履约评价表</w:t>
            </w:r>
          </w:p>
        </w:tc>
      </w:tr>
      <w:tr w14:paraId="0CD3ACE9">
        <w:tblPrEx>
          <w:tblCellMar>
            <w:top w:w="0" w:type="dxa"/>
            <w:left w:w="108" w:type="dxa"/>
            <w:bottom w:w="0" w:type="dxa"/>
            <w:right w:w="108" w:type="dxa"/>
          </w:tblCellMar>
        </w:tblPrEx>
        <w:trPr>
          <w:trHeight w:val="1779"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2EA98A02">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序号</w:t>
            </w:r>
          </w:p>
        </w:tc>
        <w:tc>
          <w:tcPr>
            <w:tcW w:w="1188" w:type="dxa"/>
            <w:tcBorders>
              <w:top w:val="single" w:color="auto" w:sz="4" w:space="0"/>
              <w:left w:val="nil"/>
              <w:bottom w:val="single" w:color="auto" w:sz="4" w:space="0"/>
              <w:right w:val="single" w:color="auto" w:sz="4" w:space="0"/>
            </w:tcBorders>
            <w:noWrap w:val="0"/>
            <w:vAlign w:val="center"/>
          </w:tcPr>
          <w:p w14:paraId="491C88B3">
            <w:pPr>
              <w:widowControl/>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内容</w:t>
            </w:r>
          </w:p>
        </w:tc>
        <w:tc>
          <w:tcPr>
            <w:tcW w:w="709" w:type="dxa"/>
            <w:tcBorders>
              <w:top w:val="single" w:color="auto" w:sz="4" w:space="0"/>
              <w:left w:val="nil"/>
              <w:bottom w:val="single" w:color="auto" w:sz="4" w:space="0"/>
              <w:right w:val="single" w:color="auto" w:sz="4" w:space="0"/>
            </w:tcBorders>
            <w:noWrap w:val="0"/>
            <w:vAlign w:val="center"/>
          </w:tcPr>
          <w:p w14:paraId="48A8817C">
            <w:pPr>
              <w:widowControl/>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单项</w:t>
            </w:r>
          </w:p>
          <w:p w14:paraId="48576705">
            <w:pPr>
              <w:widowControl/>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分值</w:t>
            </w:r>
          </w:p>
        </w:tc>
        <w:tc>
          <w:tcPr>
            <w:tcW w:w="2551" w:type="dxa"/>
            <w:tcBorders>
              <w:top w:val="single" w:color="auto" w:sz="4" w:space="0"/>
              <w:left w:val="nil"/>
              <w:bottom w:val="single" w:color="auto" w:sz="4" w:space="0"/>
              <w:right w:val="single" w:color="auto" w:sz="4" w:space="0"/>
            </w:tcBorders>
            <w:noWrap w:val="0"/>
            <w:vAlign w:val="center"/>
          </w:tcPr>
          <w:p w14:paraId="23E375BF">
            <w:pPr>
              <w:widowControl/>
              <w:ind w:firstLine="472"/>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评价指标</w:t>
            </w:r>
          </w:p>
        </w:tc>
        <w:tc>
          <w:tcPr>
            <w:tcW w:w="3261" w:type="dxa"/>
            <w:tcBorders>
              <w:top w:val="single" w:color="auto" w:sz="4" w:space="0"/>
              <w:left w:val="nil"/>
              <w:bottom w:val="single" w:color="auto" w:sz="4" w:space="0"/>
              <w:right w:val="single" w:color="auto" w:sz="4" w:space="0"/>
            </w:tcBorders>
            <w:noWrap w:val="0"/>
            <w:vAlign w:val="center"/>
          </w:tcPr>
          <w:p w14:paraId="1B5DEFC3">
            <w:pPr>
              <w:widowControl/>
              <w:ind w:firstLine="472"/>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评分标准</w:t>
            </w:r>
          </w:p>
        </w:tc>
        <w:tc>
          <w:tcPr>
            <w:tcW w:w="992" w:type="dxa"/>
            <w:tcBorders>
              <w:top w:val="single" w:color="auto" w:sz="4" w:space="0"/>
              <w:left w:val="nil"/>
              <w:bottom w:val="single" w:color="auto" w:sz="4" w:space="0"/>
              <w:right w:val="single" w:color="auto" w:sz="4" w:space="0"/>
            </w:tcBorders>
            <w:noWrap w:val="0"/>
            <w:vAlign w:val="center"/>
          </w:tcPr>
          <w:p w14:paraId="38F4A65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得分</w:t>
            </w:r>
          </w:p>
        </w:tc>
      </w:tr>
      <w:tr w14:paraId="59A320B6">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27A0E9DA">
            <w:pPr>
              <w:widowControl/>
              <w:jc w:val="center"/>
              <w:rPr>
                <w:color w:val="auto"/>
                <w:kern w:val="0"/>
                <w:szCs w:val="21"/>
                <w:highlight w:val="none"/>
              </w:rPr>
            </w:pPr>
            <w:r>
              <w:rPr>
                <w:rFonts w:hint="eastAsia" w:ascii="宋体" w:hAnsi="宋体"/>
                <w:color w:val="auto"/>
                <w:kern w:val="0"/>
                <w:szCs w:val="21"/>
                <w:highlight w:val="none"/>
              </w:rPr>
              <w:t>一</w:t>
            </w:r>
          </w:p>
        </w:tc>
        <w:tc>
          <w:tcPr>
            <w:tcW w:w="1188" w:type="dxa"/>
            <w:tcBorders>
              <w:top w:val="nil"/>
              <w:left w:val="nil"/>
              <w:bottom w:val="single" w:color="auto" w:sz="4" w:space="0"/>
              <w:right w:val="single" w:color="auto" w:sz="4" w:space="0"/>
            </w:tcBorders>
            <w:noWrap w:val="0"/>
            <w:vAlign w:val="center"/>
          </w:tcPr>
          <w:p w14:paraId="0E47B5B4">
            <w:pPr>
              <w:widowControl/>
              <w:jc w:val="center"/>
              <w:rPr>
                <w:color w:val="auto"/>
                <w:kern w:val="0"/>
                <w:szCs w:val="21"/>
                <w:highlight w:val="none"/>
              </w:rPr>
            </w:pPr>
            <w:r>
              <w:rPr>
                <w:rFonts w:hint="eastAsia" w:ascii="宋体" w:hAnsi="宋体"/>
                <w:color w:val="auto"/>
                <w:kern w:val="0"/>
                <w:szCs w:val="21"/>
                <w:highlight w:val="none"/>
              </w:rPr>
              <w:t>人员配备</w:t>
            </w:r>
          </w:p>
        </w:tc>
        <w:tc>
          <w:tcPr>
            <w:tcW w:w="709" w:type="dxa"/>
            <w:tcBorders>
              <w:top w:val="nil"/>
              <w:left w:val="nil"/>
              <w:bottom w:val="single" w:color="auto" w:sz="4" w:space="0"/>
              <w:right w:val="single" w:color="auto" w:sz="4" w:space="0"/>
            </w:tcBorders>
            <w:noWrap w:val="0"/>
            <w:vAlign w:val="center"/>
          </w:tcPr>
          <w:p w14:paraId="43B457F1">
            <w:pPr>
              <w:widowControl/>
              <w:jc w:val="center"/>
              <w:rPr>
                <w:color w:val="auto"/>
                <w:kern w:val="0"/>
                <w:szCs w:val="21"/>
                <w:highlight w:val="none"/>
              </w:rPr>
            </w:pPr>
            <w:r>
              <w:rPr>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2F3D3D4A">
            <w:pPr>
              <w:widowControl/>
              <w:ind w:firstLine="472"/>
              <w:jc w:val="center"/>
              <w:rPr>
                <w:bCs/>
                <w:color w:val="auto"/>
                <w:kern w:val="0"/>
                <w:szCs w:val="21"/>
                <w:highlight w:val="none"/>
              </w:rPr>
            </w:pPr>
            <w:r>
              <w:rPr>
                <w:bCs/>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591021DB">
            <w:pPr>
              <w:widowControl/>
              <w:ind w:firstLine="472"/>
              <w:jc w:val="center"/>
              <w:rPr>
                <w:bCs/>
                <w:color w:val="auto"/>
                <w:kern w:val="0"/>
                <w:szCs w:val="21"/>
                <w:highlight w:val="none"/>
              </w:rPr>
            </w:pPr>
            <w:r>
              <w:rPr>
                <w:bCs/>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457DC1CC">
            <w:pPr>
              <w:widowControl/>
              <w:jc w:val="center"/>
              <w:rPr>
                <w:color w:val="auto"/>
                <w:kern w:val="0"/>
                <w:szCs w:val="21"/>
                <w:highlight w:val="none"/>
              </w:rPr>
            </w:pPr>
            <w:r>
              <w:rPr>
                <w:color w:val="auto"/>
                <w:kern w:val="0"/>
                <w:szCs w:val="21"/>
                <w:highlight w:val="none"/>
              </w:rPr>
              <w:t>　</w:t>
            </w:r>
          </w:p>
        </w:tc>
      </w:tr>
      <w:tr w14:paraId="535F09D0">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244DA42F">
            <w:pPr>
              <w:widowControl/>
              <w:jc w:val="center"/>
              <w:rPr>
                <w:color w:val="auto"/>
                <w:kern w:val="0"/>
                <w:szCs w:val="21"/>
                <w:highlight w:val="none"/>
              </w:rPr>
            </w:pPr>
            <w:r>
              <w:rPr>
                <w:color w:val="auto"/>
                <w:kern w:val="0"/>
                <w:szCs w:val="21"/>
                <w:highlight w:val="none"/>
              </w:rPr>
              <w:t>1</w:t>
            </w:r>
          </w:p>
        </w:tc>
        <w:tc>
          <w:tcPr>
            <w:tcW w:w="1188" w:type="dxa"/>
            <w:tcBorders>
              <w:top w:val="nil"/>
              <w:left w:val="nil"/>
              <w:bottom w:val="single" w:color="auto" w:sz="4" w:space="0"/>
              <w:right w:val="nil"/>
            </w:tcBorders>
            <w:noWrap w:val="0"/>
            <w:vAlign w:val="center"/>
          </w:tcPr>
          <w:p w14:paraId="12F402D7">
            <w:pPr>
              <w:widowControl/>
              <w:jc w:val="center"/>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single" w:color="auto" w:sz="4" w:space="0"/>
              <w:bottom w:val="single" w:color="auto" w:sz="4" w:space="0"/>
              <w:right w:val="single" w:color="auto" w:sz="4" w:space="0"/>
            </w:tcBorders>
            <w:noWrap w:val="0"/>
            <w:vAlign w:val="center"/>
          </w:tcPr>
          <w:p w14:paraId="683C8399">
            <w:pPr>
              <w:widowControl/>
              <w:jc w:val="center"/>
              <w:rPr>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44203261">
            <w:pPr>
              <w:widowControl/>
              <w:jc w:val="left"/>
              <w:rPr>
                <w:color w:val="auto"/>
                <w:kern w:val="0"/>
                <w:szCs w:val="21"/>
                <w:highlight w:val="none"/>
              </w:rPr>
            </w:pPr>
            <w:r>
              <w:rPr>
                <w:rFonts w:hint="eastAsia" w:ascii="宋体" w:hAnsi="宋体"/>
                <w:color w:val="auto"/>
                <w:kern w:val="0"/>
                <w:szCs w:val="21"/>
                <w:highlight w:val="none"/>
              </w:rPr>
              <w:t>是否按合同到位</w:t>
            </w:r>
          </w:p>
        </w:tc>
        <w:tc>
          <w:tcPr>
            <w:tcW w:w="3261" w:type="dxa"/>
            <w:tcBorders>
              <w:top w:val="nil"/>
              <w:left w:val="nil"/>
              <w:bottom w:val="single" w:color="auto" w:sz="4" w:space="0"/>
              <w:right w:val="single" w:color="auto" w:sz="4" w:space="0"/>
            </w:tcBorders>
            <w:noWrap w:val="0"/>
            <w:vAlign w:val="center"/>
          </w:tcPr>
          <w:p w14:paraId="6D63A2F1">
            <w:pPr>
              <w:widowControl/>
              <w:jc w:val="left"/>
              <w:rPr>
                <w:rFonts w:ascii="宋体" w:hAnsi="宋体"/>
                <w:color w:val="auto"/>
                <w:kern w:val="0"/>
                <w:szCs w:val="21"/>
                <w:highlight w:val="none"/>
              </w:rPr>
            </w:pPr>
            <w:r>
              <w:rPr>
                <w:rFonts w:hint="eastAsia" w:ascii="宋体" w:hAnsi="宋体"/>
                <w:color w:val="auto"/>
                <w:kern w:val="0"/>
                <w:szCs w:val="21"/>
                <w:highlight w:val="none"/>
              </w:rPr>
              <w:t>未按合同到位且未经甲方同意，每自行更换一次</w:t>
            </w:r>
            <w:r>
              <w:rPr>
                <w:rFonts w:hint="eastAsia"/>
                <w:color w:val="auto"/>
                <w:kern w:val="0"/>
                <w:szCs w:val="21"/>
                <w:highlight w:val="none"/>
              </w:rPr>
              <w:t>，</w:t>
            </w:r>
            <w:r>
              <w:rPr>
                <w:rFonts w:hint="eastAsia" w:ascii="宋体" w:hAnsi="宋体"/>
                <w:color w:val="auto"/>
                <w:kern w:val="0"/>
                <w:szCs w:val="21"/>
                <w:highlight w:val="none"/>
              </w:rPr>
              <w:t>扣</w:t>
            </w:r>
            <w:r>
              <w:rPr>
                <w:rFonts w:hint="eastAsia"/>
                <w:color w:val="auto"/>
                <w:kern w:val="0"/>
                <w:szCs w:val="21"/>
                <w:highlight w:val="none"/>
              </w:rPr>
              <w:t>2</w:t>
            </w:r>
            <w:r>
              <w:rPr>
                <w:rFonts w:hint="eastAsia" w:ascii="宋体" w:hAnsi="宋体"/>
                <w:color w:val="auto"/>
                <w:kern w:val="0"/>
                <w:szCs w:val="21"/>
                <w:highlight w:val="none"/>
              </w:rPr>
              <w:t>分；</w:t>
            </w:r>
          </w:p>
          <w:p w14:paraId="4BA2571F">
            <w:pPr>
              <w:widowControl/>
              <w:jc w:val="left"/>
              <w:rPr>
                <w:color w:val="auto"/>
                <w:kern w:val="0"/>
                <w:szCs w:val="21"/>
                <w:highlight w:val="none"/>
              </w:rPr>
            </w:pPr>
            <w:r>
              <w:rPr>
                <w:rFonts w:hint="eastAsia" w:ascii="宋体" w:hAnsi="宋体"/>
                <w:color w:val="auto"/>
                <w:kern w:val="0"/>
                <w:szCs w:val="21"/>
                <w:highlight w:val="none"/>
              </w:rPr>
              <w:t>缺席甲方要求参加的重要会议，每次扣1分。</w:t>
            </w:r>
          </w:p>
        </w:tc>
        <w:tc>
          <w:tcPr>
            <w:tcW w:w="992" w:type="dxa"/>
            <w:tcBorders>
              <w:top w:val="nil"/>
              <w:left w:val="nil"/>
              <w:bottom w:val="single" w:color="auto" w:sz="4" w:space="0"/>
              <w:right w:val="single" w:color="auto" w:sz="4" w:space="0"/>
            </w:tcBorders>
            <w:noWrap w:val="0"/>
            <w:vAlign w:val="center"/>
          </w:tcPr>
          <w:p w14:paraId="1B51FA06">
            <w:pPr>
              <w:widowControl/>
              <w:jc w:val="center"/>
              <w:rPr>
                <w:color w:val="auto"/>
                <w:kern w:val="0"/>
                <w:szCs w:val="21"/>
                <w:highlight w:val="none"/>
              </w:rPr>
            </w:pPr>
            <w:r>
              <w:rPr>
                <w:color w:val="auto"/>
                <w:kern w:val="0"/>
                <w:szCs w:val="21"/>
                <w:highlight w:val="none"/>
              </w:rPr>
              <w:t>　</w:t>
            </w:r>
          </w:p>
        </w:tc>
      </w:tr>
      <w:tr w14:paraId="730AFA8F">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1BE3E501">
            <w:pPr>
              <w:widowControl/>
              <w:jc w:val="center"/>
              <w:rPr>
                <w:color w:val="auto"/>
                <w:kern w:val="0"/>
                <w:szCs w:val="21"/>
                <w:highlight w:val="none"/>
              </w:rPr>
            </w:pPr>
            <w:r>
              <w:rPr>
                <w:rFonts w:hint="eastAsia"/>
                <w:color w:val="auto"/>
                <w:kern w:val="0"/>
                <w:szCs w:val="21"/>
                <w:highlight w:val="none"/>
              </w:rPr>
              <w:t>2</w:t>
            </w:r>
          </w:p>
        </w:tc>
        <w:tc>
          <w:tcPr>
            <w:tcW w:w="1188" w:type="dxa"/>
            <w:tcBorders>
              <w:top w:val="single" w:color="auto" w:sz="4" w:space="0"/>
              <w:left w:val="nil"/>
              <w:bottom w:val="nil"/>
              <w:right w:val="nil"/>
            </w:tcBorders>
            <w:noWrap w:val="0"/>
            <w:vAlign w:val="center"/>
          </w:tcPr>
          <w:p w14:paraId="7E9D34B9">
            <w:pPr>
              <w:widowControl/>
              <w:jc w:val="left"/>
              <w:rPr>
                <w:rFonts w:ascii="宋体" w:hAnsi="宋体"/>
                <w:color w:val="auto"/>
                <w:kern w:val="0"/>
                <w:szCs w:val="21"/>
                <w:highlight w:val="none"/>
              </w:rPr>
            </w:pPr>
            <w:r>
              <w:rPr>
                <w:rFonts w:hint="eastAsia" w:ascii="宋体" w:hAnsi="宋体"/>
                <w:color w:val="auto"/>
                <w:kern w:val="0"/>
                <w:szCs w:val="21"/>
                <w:highlight w:val="none"/>
              </w:rPr>
              <w:t>各专业负责人</w:t>
            </w:r>
          </w:p>
        </w:tc>
        <w:tc>
          <w:tcPr>
            <w:tcW w:w="709" w:type="dxa"/>
            <w:tcBorders>
              <w:top w:val="nil"/>
              <w:left w:val="single" w:color="auto" w:sz="4" w:space="0"/>
              <w:bottom w:val="single" w:color="auto" w:sz="4" w:space="0"/>
              <w:right w:val="single" w:color="auto" w:sz="4" w:space="0"/>
            </w:tcBorders>
            <w:noWrap w:val="0"/>
            <w:vAlign w:val="center"/>
          </w:tcPr>
          <w:p w14:paraId="576D41DB">
            <w:pPr>
              <w:widowControl/>
              <w:jc w:val="center"/>
              <w:rPr>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5B2E4549">
            <w:pPr>
              <w:widowControl/>
              <w:jc w:val="left"/>
              <w:rPr>
                <w:rFonts w:ascii="宋体" w:hAnsi="宋体"/>
                <w:color w:val="auto"/>
                <w:kern w:val="0"/>
                <w:szCs w:val="21"/>
                <w:highlight w:val="none"/>
              </w:rPr>
            </w:pPr>
            <w:r>
              <w:rPr>
                <w:rFonts w:hint="eastAsia" w:ascii="宋体" w:hAnsi="宋体"/>
                <w:color w:val="auto"/>
                <w:kern w:val="0"/>
                <w:szCs w:val="21"/>
                <w:highlight w:val="none"/>
              </w:rPr>
              <w:t>人员是否稳定无更换</w:t>
            </w:r>
          </w:p>
        </w:tc>
        <w:tc>
          <w:tcPr>
            <w:tcW w:w="3261" w:type="dxa"/>
            <w:tcBorders>
              <w:top w:val="nil"/>
              <w:left w:val="nil"/>
              <w:bottom w:val="single" w:color="auto" w:sz="4" w:space="0"/>
              <w:right w:val="single" w:color="auto" w:sz="4" w:space="0"/>
            </w:tcBorders>
            <w:noWrap w:val="0"/>
            <w:vAlign w:val="center"/>
          </w:tcPr>
          <w:p w14:paraId="6CE0003A">
            <w:pPr>
              <w:widowControl/>
              <w:jc w:val="left"/>
              <w:rPr>
                <w:rFonts w:ascii="宋体" w:hAnsi="宋体"/>
                <w:color w:val="auto"/>
                <w:kern w:val="0"/>
                <w:szCs w:val="21"/>
                <w:highlight w:val="none"/>
              </w:rPr>
            </w:pPr>
            <w:r>
              <w:rPr>
                <w:rFonts w:hint="eastAsia" w:ascii="宋体" w:hAnsi="宋体"/>
                <w:color w:val="auto"/>
                <w:kern w:val="0"/>
                <w:szCs w:val="21"/>
                <w:highlight w:val="none"/>
              </w:rPr>
              <w:t>未按合同到位且未经甲方同意，每自行更换一次</w:t>
            </w:r>
            <w:r>
              <w:rPr>
                <w:rFonts w:hint="eastAsia"/>
                <w:color w:val="auto"/>
                <w:kern w:val="0"/>
                <w:szCs w:val="21"/>
                <w:highlight w:val="none"/>
              </w:rPr>
              <w:t>，</w:t>
            </w:r>
            <w:r>
              <w:rPr>
                <w:rFonts w:hint="eastAsia" w:ascii="宋体" w:hAnsi="宋体"/>
                <w:color w:val="auto"/>
                <w:kern w:val="0"/>
                <w:szCs w:val="21"/>
                <w:highlight w:val="none"/>
              </w:rPr>
              <w:t>扣</w:t>
            </w:r>
            <w:r>
              <w:rPr>
                <w:rFonts w:hint="eastAsia"/>
                <w:color w:val="auto"/>
                <w:kern w:val="0"/>
                <w:szCs w:val="21"/>
                <w:highlight w:val="none"/>
              </w:rPr>
              <w:t>2</w:t>
            </w:r>
            <w:r>
              <w:rPr>
                <w:rFonts w:hint="eastAsia" w:ascii="宋体" w:hAnsi="宋体"/>
                <w:color w:val="auto"/>
                <w:kern w:val="0"/>
                <w:szCs w:val="21"/>
                <w:highlight w:val="none"/>
              </w:rPr>
              <w:t>分；</w:t>
            </w:r>
          </w:p>
          <w:p w14:paraId="00844DE8">
            <w:pPr>
              <w:widowControl/>
              <w:jc w:val="left"/>
              <w:rPr>
                <w:color w:val="auto"/>
                <w:kern w:val="0"/>
                <w:szCs w:val="21"/>
                <w:highlight w:val="none"/>
              </w:rPr>
            </w:pPr>
            <w:r>
              <w:rPr>
                <w:rFonts w:hint="eastAsia" w:ascii="宋体" w:hAnsi="宋体"/>
                <w:color w:val="auto"/>
                <w:kern w:val="0"/>
                <w:szCs w:val="21"/>
                <w:highlight w:val="none"/>
              </w:rPr>
              <w:t>缺席甲方要求参加的有关会议，每次扣1分。</w:t>
            </w:r>
          </w:p>
        </w:tc>
        <w:tc>
          <w:tcPr>
            <w:tcW w:w="992" w:type="dxa"/>
            <w:tcBorders>
              <w:top w:val="nil"/>
              <w:left w:val="nil"/>
              <w:bottom w:val="single" w:color="auto" w:sz="4" w:space="0"/>
              <w:right w:val="single" w:color="auto" w:sz="4" w:space="0"/>
            </w:tcBorders>
            <w:noWrap w:val="0"/>
            <w:vAlign w:val="center"/>
          </w:tcPr>
          <w:p w14:paraId="53FBE65C">
            <w:pPr>
              <w:widowControl/>
              <w:jc w:val="center"/>
              <w:rPr>
                <w:color w:val="auto"/>
                <w:kern w:val="0"/>
                <w:szCs w:val="21"/>
                <w:highlight w:val="none"/>
              </w:rPr>
            </w:pPr>
          </w:p>
        </w:tc>
      </w:tr>
      <w:tr w14:paraId="43579C85">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7C7DB15C">
            <w:pPr>
              <w:widowControl/>
              <w:jc w:val="center"/>
              <w:rPr>
                <w:color w:val="auto"/>
                <w:kern w:val="0"/>
                <w:szCs w:val="21"/>
                <w:highlight w:val="none"/>
              </w:rPr>
            </w:pPr>
            <w:r>
              <w:rPr>
                <w:rFonts w:hint="eastAsia" w:ascii="宋体" w:hAnsi="宋体"/>
                <w:color w:val="auto"/>
                <w:kern w:val="0"/>
                <w:szCs w:val="21"/>
                <w:highlight w:val="none"/>
              </w:rPr>
              <w:t>二</w:t>
            </w:r>
          </w:p>
        </w:tc>
        <w:tc>
          <w:tcPr>
            <w:tcW w:w="1188" w:type="dxa"/>
            <w:tcBorders>
              <w:top w:val="single" w:color="auto" w:sz="4" w:space="0"/>
              <w:left w:val="nil"/>
              <w:bottom w:val="single" w:color="auto" w:sz="4" w:space="0"/>
              <w:right w:val="single" w:color="auto" w:sz="4" w:space="0"/>
            </w:tcBorders>
            <w:noWrap w:val="0"/>
            <w:vAlign w:val="center"/>
          </w:tcPr>
          <w:p w14:paraId="0FE0B802">
            <w:pPr>
              <w:widowControl/>
              <w:jc w:val="left"/>
              <w:rPr>
                <w:color w:val="auto"/>
                <w:kern w:val="0"/>
                <w:szCs w:val="21"/>
                <w:highlight w:val="none"/>
              </w:rPr>
            </w:pPr>
            <w:r>
              <w:rPr>
                <w:rFonts w:hint="eastAsia" w:ascii="宋体" w:hAnsi="宋体"/>
                <w:color w:val="auto"/>
                <w:kern w:val="0"/>
                <w:szCs w:val="21"/>
                <w:highlight w:val="none"/>
              </w:rPr>
              <w:t>能力水平及履约表现</w:t>
            </w:r>
          </w:p>
        </w:tc>
        <w:tc>
          <w:tcPr>
            <w:tcW w:w="709" w:type="dxa"/>
            <w:tcBorders>
              <w:top w:val="nil"/>
              <w:left w:val="nil"/>
              <w:bottom w:val="single" w:color="auto" w:sz="4" w:space="0"/>
              <w:right w:val="single" w:color="auto" w:sz="4" w:space="0"/>
            </w:tcBorders>
            <w:noWrap w:val="0"/>
            <w:vAlign w:val="center"/>
          </w:tcPr>
          <w:p w14:paraId="2B69BED2">
            <w:pPr>
              <w:widowControl/>
              <w:jc w:val="center"/>
              <w:rPr>
                <w:color w:val="auto"/>
                <w:kern w:val="0"/>
                <w:szCs w:val="21"/>
                <w:highlight w:val="none"/>
              </w:rPr>
            </w:pPr>
            <w:r>
              <w:rPr>
                <w:rFonts w:hint="eastAsia"/>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237E898A">
            <w:pPr>
              <w:widowControl/>
              <w:jc w:val="left"/>
              <w:rPr>
                <w:color w:val="auto"/>
                <w:kern w:val="0"/>
                <w:szCs w:val="21"/>
                <w:highlight w:val="none"/>
              </w:rPr>
            </w:pPr>
            <w:r>
              <w:rPr>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7D78672E">
            <w:pPr>
              <w:widowControl/>
              <w:jc w:val="left"/>
              <w:rPr>
                <w:color w:val="auto"/>
                <w:kern w:val="0"/>
                <w:szCs w:val="21"/>
                <w:highlight w:val="none"/>
              </w:rPr>
            </w:pPr>
            <w:r>
              <w:rPr>
                <w:color w:val="auto"/>
                <w:kern w:val="0"/>
                <w:szCs w:val="21"/>
                <w:highlight w:val="none"/>
              </w:rPr>
              <w:t xml:space="preserve"> </w:t>
            </w:r>
          </w:p>
        </w:tc>
        <w:tc>
          <w:tcPr>
            <w:tcW w:w="992" w:type="dxa"/>
            <w:tcBorders>
              <w:top w:val="nil"/>
              <w:left w:val="nil"/>
              <w:bottom w:val="single" w:color="auto" w:sz="4" w:space="0"/>
              <w:right w:val="single" w:color="auto" w:sz="4" w:space="0"/>
            </w:tcBorders>
            <w:noWrap w:val="0"/>
            <w:vAlign w:val="center"/>
          </w:tcPr>
          <w:p w14:paraId="23F3D66B">
            <w:pPr>
              <w:widowControl/>
              <w:jc w:val="center"/>
              <w:rPr>
                <w:color w:val="auto"/>
                <w:kern w:val="0"/>
                <w:szCs w:val="21"/>
                <w:highlight w:val="none"/>
              </w:rPr>
            </w:pPr>
            <w:r>
              <w:rPr>
                <w:color w:val="auto"/>
                <w:kern w:val="0"/>
                <w:szCs w:val="21"/>
                <w:highlight w:val="none"/>
              </w:rPr>
              <w:t>　</w:t>
            </w:r>
          </w:p>
        </w:tc>
      </w:tr>
      <w:tr w14:paraId="575D1466">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0EBBC699">
            <w:pPr>
              <w:widowControl/>
              <w:jc w:val="center"/>
              <w:rPr>
                <w:color w:val="auto"/>
                <w:kern w:val="0"/>
                <w:szCs w:val="21"/>
                <w:highlight w:val="none"/>
              </w:rPr>
            </w:pPr>
            <w:r>
              <w:rPr>
                <w:rFonts w:hint="eastAsia"/>
                <w:color w:val="auto"/>
                <w:kern w:val="0"/>
                <w:szCs w:val="21"/>
                <w:highlight w:val="none"/>
              </w:rPr>
              <w:t>1</w:t>
            </w:r>
          </w:p>
        </w:tc>
        <w:tc>
          <w:tcPr>
            <w:tcW w:w="1188" w:type="dxa"/>
            <w:tcBorders>
              <w:top w:val="nil"/>
              <w:left w:val="nil"/>
              <w:bottom w:val="single" w:color="auto" w:sz="4" w:space="0"/>
              <w:right w:val="single" w:color="auto" w:sz="4" w:space="0"/>
            </w:tcBorders>
            <w:noWrap w:val="0"/>
            <w:vAlign w:val="center"/>
          </w:tcPr>
          <w:p w14:paraId="6BA9056B">
            <w:pPr>
              <w:widowControl/>
              <w:jc w:val="left"/>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nil"/>
              <w:bottom w:val="single" w:color="auto" w:sz="4" w:space="0"/>
              <w:right w:val="single" w:color="auto" w:sz="4" w:space="0"/>
            </w:tcBorders>
            <w:noWrap w:val="0"/>
            <w:vAlign w:val="center"/>
          </w:tcPr>
          <w:p w14:paraId="0100CE2F">
            <w:pPr>
              <w:widowControl/>
              <w:jc w:val="center"/>
              <w:rPr>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55D0BE73">
            <w:pPr>
              <w:widowControl/>
              <w:jc w:val="left"/>
              <w:rPr>
                <w:color w:val="auto"/>
                <w:kern w:val="0"/>
                <w:szCs w:val="21"/>
                <w:highlight w:val="none"/>
              </w:rPr>
            </w:pPr>
            <w:r>
              <w:rPr>
                <w:rFonts w:hint="eastAsia" w:ascii="宋体" w:hAnsi="宋体"/>
                <w:color w:val="auto"/>
                <w:kern w:val="0"/>
                <w:szCs w:val="21"/>
                <w:highlight w:val="none"/>
              </w:rPr>
              <w:t>是否具有较强的协调组织能力；是否及时发现问题和处理问题；是否能与甲方、使用单位及业务主管部门等相关单位充分沟通</w:t>
            </w:r>
          </w:p>
        </w:tc>
        <w:tc>
          <w:tcPr>
            <w:tcW w:w="3261" w:type="dxa"/>
            <w:tcBorders>
              <w:top w:val="nil"/>
              <w:left w:val="nil"/>
              <w:bottom w:val="single" w:color="auto" w:sz="4" w:space="0"/>
              <w:right w:val="single" w:color="auto" w:sz="4" w:space="0"/>
            </w:tcBorders>
            <w:noWrap w:val="0"/>
            <w:vAlign w:val="center"/>
          </w:tcPr>
          <w:p w14:paraId="117BBBCC">
            <w:pPr>
              <w:widowControl/>
              <w:jc w:val="left"/>
              <w:rPr>
                <w:rFonts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、责任心不强、工作协调不到位；</w:t>
            </w:r>
          </w:p>
          <w:p w14:paraId="50ECDBEE">
            <w:pPr>
              <w:widowControl/>
              <w:jc w:val="left"/>
              <w:rPr>
                <w:rFonts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、发现问题后未及时处理；</w:t>
            </w:r>
          </w:p>
          <w:p w14:paraId="69C0A6FE">
            <w:pPr>
              <w:widowControl/>
              <w:jc w:val="left"/>
              <w:rPr>
                <w:rFonts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、未与相关参建单位或管理部门及时沟通；</w:t>
            </w:r>
          </w:p>
          <w:p w14:paraId="1B99D9E6">
            <w:pPr>
              <w:widowControl/>
              <w:jc w:val="left"/>
              <w:rPr>
                <w:rFonts w:ascii="宋体" w:hAnsi="宋体"/>
                <w:color w:val="auto"/>
                <w:kern w:val="0"/>
                <w:szCs w:val="21"/>
                <w:highlight w:val="none"/>
              </w:rPr>
            </w:pPr>
            <w:r>
              <w:rPr>
                <w:color w:val="auto"/>
                <w:kern w:val="0"/>
                <w:szCs w:val="21"/>
                <w:highlight w:val="none"/>
              </w:rPr>
              <w:t>4</w:t>
            </w:r>
            <w:r>
              <w:rPr>
                <w:rFonts w:hint="eastAsia" w:ascii="宋体" w:hAnsi="宋体"/>
                <w:color w:val="auto"/>
                <w:kern w:val="0"/>
                <w:szCs w:val="21"/>
                <w:highlight w:val="none"/>
              </w:rPr>
              <w:t>、未落实甲方的相关要求或会议纪要等文件精神。</w:t>
            </w:r>
          </w:p>
          <w:p w14:paraId="7FB0DE7A">
            <w:pPr>
              <w:widowControl/>
              <w:jc w:val="left"/>
              <w:rPr>
                <w:color w:val="auto"/>
                <w:kern w:val="0"/>
                <w:szCs w:val="21"/>
                <w:highlight w:val="none"/>
              </w:rPr>
            </w:pPr>
            <w:r>
              <w:rPr>
                <w:rFonts w:hint="eastAsia" w:ascii="宋体" w:hAnsi="宋体"/>
                <w:color w:val="auto"/>
                <w:kern w:val="0"/>
                <w:szCs w:val="21"/>
                <w:highlight w:val="none"/>
              </w:rPr>
              <w:t>以上各项每发生一次扣1分。</w:t>
            </w:r>
          </w:p>
        </w:tc>
        <w:tc>
          <w:tcPr>
            <w:tcW w:w="992" w:type="dxa"/>
            <w:tcBorders>
              <w:top w:val="nil"/>
              <w:left w:val="nil"/>
              <w:bottom w:val="single" w:color="auto" w:sz="4" w:space="0"/>
              <w:right w:val="single" w:color="auto" w:sz="4" w:space="0"/>
            </w:tcBorders>
            <w:noWrap w:val="0"/>
            <w:vAlign w:val="center"/>
          </w:tcPr>
          <w:p w14:paraId="398BC4B9">
            <w:pPr>
              <w:widowControl/>
              <w:jc w:val="center"/>
              <w:rPr>
                <w:color w:val="auto"/>
                <w:kern w:val="0"/>
                <w:szCs w:val="21"/>
                <w:highlight w:val="none"/>
              </w:rPr>
            </w:pPr>
            <w:r>
              <w:rPr>
                <w:color w:val="auto"/>
                <w:kern w:val="0"/>
                <w:szCs w:val="21"/>
                <w:highlight w:val="none"/>
              </w:rPr>
              <w:t>　</w:t>
            </w:r>
          </w:p>
        </w:tc>
      </w:tr>
      <w:tr w14:paraId="4A888AF4">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0BCE3C8D">
            <w:pPr>
              <w:widowControl/>
              <w:jc w:val="center"/>
              <w:rPr>
                <w:color w:val="auto"/>
                <w:kern w:val="0"/>
                <w:szCs w:val="21"/>
                <w:highlight w:val="none"/>
              </w:rPr>
            </w:pPr>
            <w:r>
              <w:rPr>
                <w:rFonts w:hint="eastAsia"/>
                <w:color w:val="auto"/>
                <w:kern w:val="0"/>
                <w:szCs w:val="21"/>
                <w:highlight w:val="none"/>
              </w:rPr>
              <w:t>2</w:t>
            </w:r>
          </w:p>
        </w:tc>
        <w:tc>
          <w:tcPr>
            <w:tcW w:w="1188" w:type="dxa"/>
            <w:tcBorders>
              <w:top w:val="nil"/>
              <w:left w:val="nil"/>
              <w:bottom w:val="single" w:color="auto" w:sz="4" w:space="0"/>
              <w:right w:val="single" w:color="auto" w:sz="4" w:space="0"/>
            </w:tcBorders>
            <w:noWrap w:val="0"/>
            <w:vAlign w:val="center"/>
          </w:tcPr>
          <w:p w14:paraId="1E7552B8">
            <w:pPr>
              <w:widowControl/>
              <w:jc w:val="left"/>
              <w:rPr>
                <w:color w:val="auto"/>
                <w:kern w:val="0"/>
                <w:szCs w:val="21"/>
                <w:highlight w:val="none"/>
              </w:rPr>
            </w:pPr>
            <w:r>
              <w:rPr>
                <w:rFonts w:hint="eastAsia" w:ascii="宋体" w:hAnsi="宋体"/>
                <w:color w:val="auto"/>
                <w:kern w:val="0"/>
                <w:szCs w:val="21"/>
                <w:highlight w:val="none"/>
              </w:rPr>
              <w:t>各专业负责人</w:t>
            </w:r>
          </w:p>
        </w:tc>
        <w:tc>
          <w:tcPr>
            <w:tcW w:w="709" w:type="dxa"/>
            <w:tcBorders>
              <w:top w:val="nil"/>
              <w:left w:val="nil"/>
              <w:bottom w:val="single" w:color="auto" w:sz="4" w:space="0"/>
              <w:right w:val="single" w:color="auto" w:sz="4" w:space="0"/>
            </w:tcBorders>
            <w:noWrap w:val="0"/>
            <w:vAlign w:val="center"/>
          </w:tcPr>
          <w:p w14:paraId="2A28951E">
            <w:pPr>
              <w:widowControl/>
              <w:jc w:val="center"/>
              <w:rPr>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661766C5">
            <w:pPr>
              <w:widowControl/>
              <w:jc w:val="left"/>
              <w:rPr>
                <w:color w:val="auto"/>
                <w:kern w:val="0"/>
                <w:szCs w:val="21"/>
                <w:highlight w:val="none"/>
              </w:rPr>
            </w:pPr>
            <w:r>
              <w:rPr>
                <w:rFonts w:hint="eastAsia" w:ascii="宋体" w:hAnsi="宋体"/>
                <w:color w:val="auto"/>
                <w:kern w:val="0"/>
                <w:szCs w:val="21"/>
                <w:highlight w:val="none"/>
              </w:rPr>
              <w:t>是否有责任心；是否有较高的专业水平；与甲方、使用单位的沟通是否顺畅</w:t>
            </w:r>
          </w:p>
        </w:tc>
        <w:tc>
          <w:tcPr>
            <w:tcW w:w="3261" w:type="dxa"/>
            <w:tcBorders>
              <w:top w:val="nil"/>
              <w:left w:val="nil"/>
              <w:bottom w:val="single" w:color="auto" w:sz="4" w:space="0"/>
              <w:right w:val="single" w:color="auto" w:sz="4" w:space="0"/>
            </w:tcBorders>
            <w:noWrap w:val="0"/>
            <w:vAlign w:val="center"/>
          </w:tcPr>
          <w:p w14:paraId="64CFD14C">
            <w:pPr>
              <w:widowControl/>
              <w:jc w:val="left"/>
              <w:rPr>
                <w:rFonts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w:t>
            </w:r>
          </w:p>
          <w:p w14:paraId="3F3B0E02">
            <w:pPr>
              <w:widowControl/>
              <w:jc w:val="left"/>
              <w:rPr>
                <w:rFonts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、专业水平不高；</w:t>
            </w:r>
          </w:p>
          <w:p w14:paraId="1856196D">
            <w:pPr>
              <w:widowControl/>
              <w:jc w:val="left"/>
              <w:rPr>
                <w:rFonts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、与甲方、使用单位的沟通不到位；</w:t>
            </w:r>
          </w:p>
          <w:p w14:paraId="78E19739">
            <w:pPr>
              <w:widowControl/>
              <w:jc w:val="left"/>
              <w:rPr>
                <w:color w:val="auto"/>
                <w:kern w:val="0"/>
                <w:szCs w:val="21"/>
                <w:highlight w:val="none"/>
              </w:rPr>
            </w:pPr>
            <w:r>
              <w:rPr>
                <w:rFonts w:hint="eastAsia" w:ascii="宋体" w:hAnsi="宋体"/>
                <w:color w:val="auto"/>
                <w:kern w:val="0"/>
                <w:szCs w:val="21"/>
                <w:highlight w:val="none"/>
              </w:rPr>
              <w:t>以上各项每发生一次扣</w:t>
            </w:r>
            <w:r>
              <w:rPr>
                <w:color w:val="auto"/>
                <w:kern w:val="0"/>
                <w:szCs w:val="21"/>
                <w:highlight w:val="none"/>
              </w:rPr>
              <w:t>1</w:t>
            </w:r>
            <w:r>
              <w:rPr>
                <w:rFonts w:hint="eastAsia" w:ascii="宋体" w:hAnsi="宋体"/>
                <w:color w:val="auto"/>
                <w:kern w:val="0"/>
                <w:szCs w:val="21"/>
                <w:highlight w:val="none"/>
              </w:rPr>
              <w:t>分。</w:t>
            </w:r>
          </w:p>
        </w:tc>
        <w:tc>
          <w:tcPr>
            <w:tcW w:w="992" w:type="dxa"/>
            <w:tcBorders>
              <w:top w:val="nil"/>
              <w:left w:val="nil"/>
              <w:bottom w:val="single" w:color="auto" w:sz="4" w:space="0"/>
              <w:right w:val="single" w:color="auto" w:sz="4" w:space="0"/>
            </w:tcBorders>
            <w:noWrap w:val="0"/>
            <w:vAlign w:val="center"/>
          </w:tcPr>
          <w:p w14:paraId="6D72D51C">
            <w:pPr>
              <w:widowControl/>
              <w:jc w:val="center"/>
              <w:rPr>
                <w:color w:val="auto"/>
                <w:kern w:val="0"/>
                <w:szCs w:val="21"/>
                <w:highlight w:val="none"/>
              </w:rPr>
            </w:pPr>
            <w:r>
              <w:rPr>
                <w:color w:val="auto"/>
                <w:kern w:val="0"/>
                <w:szCs w:val="21"/>
                <w:highlight w:val="none"/>
              </w:rPr>
              <w:t>　</w:t>
            </w:r>
          </w:p>
        </w:tc>
      </w:tr>
      <w:tr w14:paraId="1F0F5E05">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7344FF2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三</w:t>
            </w:r>
          </w:p>
        </w:tc>
        <w:tc>
          <w:tcPr>
            <w:tcW w:w="1188" w:type="dxa"/>
            <w:tcBorders>
              <w:top w:val="nil"/>
              <w:left w:val="nil"/>
              <w:bottom w:val="single" w:color="auto" w:sz="4" w:space="0"/>
              <w:right w:val="single" w:color="auto" w:sz="4" w:space="0"/>
            </w:tcBorders>
            <w:noWrap w:val="0"/>
            <w:vAlign w:val="center"/>
          </w:tcPr>
          <w:p w14:paraId="5C8E5734">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设计质量</w:t>
            </w:r>
          </w:p>
        </w:tc>
        <w:tc>
          <w:tcPr>
            <w:tcW w:w="709" w:type="dxa"/>
            <w:tcBorders>
              <w:top w:val="nil"/>
              <w:left w:val="nil"/>
              <w:bottom w:val="single" w:color="auto" w:sz="4" w:space="0"/>
              <w:right w:val="single" w:color="auto" w:sz="4" w:space="0"/>
            </w:tcBorders>
            <w:noWrap w:val="0"/>
            <w:vAlign w:val="center"/>
          </w:tcPr>
          <w:p w14:paraId="73C3115E">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55</w:t>
            </w:r>
          </w:p>
        </w:tc>
        <w:tc>
          <w:tcPr>
            <w:tcW w:w="2551" w:type="dxa"/>
            <w:tcBorders>
              <w:top w:val="nil"/>
              <w:left w:val="nil"/>
              <w:bottom w:val="single" w:color="auto" w:sz="4" w:space="0"/>
              <w:right w:val="single" w:color="auto" w:sz="4" w:space="0"/>
            </w:tcBorders>
            <w:noWrap w:val="0"/>
            <w:vAlign w:val="center"/>
          </w:tcPr>
          <w:p w14:paraId="72000B3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2CE5C8F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6B9B267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2043B59B">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01D26A5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188" w:type="dxa"/>
            <w:tcBorders>
              <w:top w:val="nil"/>
              <w:left w:val="nil"/>
              <w:bottom w:val="single" w:color="auto" w:sz="4" w:space="0"/>
              <w:right w:val="single" w:color="auto" w:sz="4" w:space="0"/>
            </w:tcBorders>
            <w:noWrap w:val="0"/>
            <w:vAlign w:val="center"/>
          </w:tcPr>
          <w:p w14:paraId="59670D7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建筑</w:t>
            </w:r>
          </w:p>
        </w:tc>
        <w:tc>
          <w:tcPr>
            <w:tcW w:w="709" w:type="dxa"/>
            <w:tcBorders>
              <w:top w:val="nil"/>
              <w:left w:val="nil"/>
              <w:bottom w:val="single" w:color="auto" w:sz="4" w:space="0"/>
              <w:right w:val="single" w:color="auto" w:sz="4" w:space="0"/>
            </w:tcBorders>
            <w:noWrap w:val="0"/>
            <w:vAlign w:val="center"/>
          </w:tcPr>
          <w:p w14:paraId="73A49302">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21AE6A0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建筑选型和立面、平面布局是否合理</w:t>
            </w:r>
          </w:p>
        </w:tc>
        <w:tc>
          <w:tcPr>
            <w:tcW w:w="3261" w:type="dxa"/>
            <w:tcBorders>
              <w:top w:val="nil"/>
              <w:left w:val="nil"/>
              <w:bottom w:val="single" w:color="auto" w:sz="4" w:space="0"/>
              <w:right w:val="single" w:color="auto" w:sz="4" w:space="0"/>
            </w:tcBorders>
            <w:noWrap w:val="0"/>
            <w:vAlign w:val="center"/>
          </w:tcPr>
          <w:p w14:paraId="109889E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经甲方、使用方、第三方专家或单位审核，建筑选型和立面、平面布局不当，每一处扣2分</w:t>
            </w:r>
          </w:p>
        </w:tc>
        <w:tc>
          <w:tcPr>
            <w:tcW w:w="992" w:type="dxa"/>
            <w:tcBorders>
              <w:top w:val="nil"/>
              <w:left w:val="nil"/>
              <w:bottom w:val="single" w:color="auto" w:sz="4" w:space="0"/>
              <w:right w:val="single" w:color="auto" w:sz="4" w:space="0"/>
            </w:tcBorders>
            <w:noWrap w:val="0"/>
            <w:vAlign w:val="center"/>
          </w:tcPr>
          <w:p w14:paraId="7C1C274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4C08BFC">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10BFE6B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188" w:type="dxa"/>
            <w:tcBorders>
              <w:top w:val="nil"/>
              <w:left w:val="nil"/>
              <w:bottom w:val="single" w:color="auto" w:sz="4" w:space="0"/>
              <w:right w:val="single" w:color="auto" w:sz="4" w:space="0"/>
            </w:tcBorders>
            <w:noWrap w:val="0"/>
            <w:vAlign w:val="center"/>
          </w:tcPr>
          <w:p w14:paraId="0D6C5A2C">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结构</w:t>
            </w:r>
          </w:p>
        </w:tc>
        <w:tc>
          <w:tcPr>
            <w:tcW w:w="709" w:type="dxa"/>
            <w:tcBorders>
              <w:top w:val="nil"/>
              <w:left w:val="nil"/>
              <w:bottom w:val="single" w:color="auto" w:sz="4" w:space="0"/>
              <w:right w:val="single" w:color="auto" w:sz="4" w:space="0"/>
            </w:tcBorders>
            <w:noWrap w:val="0"/>
            <w:vAlign w:val="center"/>
          </w:tcPr>
          <w:p w14:paraId="3FE7D76D">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134FFFB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基础和上部结构选型是否合理；结构方案是否便于实施；</w:t>
            </w:r>
          </w:p>
        </w:tc>
        <w:tc>
          <w:tcPr>
            <w:tcW w:w="3261" w:type="dxa"/>
            <w:tcBorders>
              <w:top w:val="nil"/>
              <w:left w:val="nil"/>
              <w:bottom w:val="single" w:color="auto" w:sz="4" w:space="0"/>
              <w:right w:val="single" w:color="auto" w:sz="4" w:space="0"/>
            </w:tcBorders>
            <w:noWrap w:val="0"/>
            <w:vAlign w:val="center"/>
          </w:tcPr>
          <w:p w14:paraId="45D6954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经第三方专家或单位审核，</w:t>
            </w:r>
          </w:p>
          <w:p w14:paraId="2838710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1、基坑支护、基础或上部结构选型不合理或不经济；</w:t>
            </w:r>
          </w:p>
          <w:p w14:paraId="31ACE7E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2、结构方案不便于实施；</w:t>
            </w:r>
          </w:p>
          <w:p w14:paraId="6847B4A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以上各项每一处扣2分。</w:t>
            </w:r>
          </w:p>
        </w:tc>
        <w:tc>
          <w:tcPr>
            <w:tcW w:w="992" w:type="dxa"/>
            <w:tcBorders>
              <w:top w:val="nil"/>
              <w:left w:val="nil"/>
              <w:bottom w:val="single" w:color="auto" w:sz="4" w:space="0"/>
              <w:right w:val="single" w:color="auto" w:sz="4" w:space="0"/>
            </w:tcBorders>
            <w:noWrap w:val="0"/>
            <w:vAlign w:val="center"/>
          </w:tcPr>
          <w:p w14:paraId="08B951B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6C7079F2">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1408967D">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188" w:type="dxa"/>
            <w:tcBorders>
              <w:top w:val="nil"/>
              <w:left w:val="nil"/>
              <w:bottom w:val="single" w:color="auto" w:sz="4" w:space="0"/>
              <w:right w:val="single" w:color="auto" w:sz="4" w:space="0"/>
            </w:tcBorders>
            <w:noWrap w:val="0"/>
            <w:vAlign w:val="center"/>
          </w:tcPr>
          <w:p w14:paraId="27B6CE83">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机电系统及设备选型</w:t>
            </w:r>
          </w:p>
        </w:tc>
        <w:tc>
          <w:tcPr>
            <w:tcW w:w="709" w:type="dxa"/>
            <w:tcBorders>
              <w:top w:val="nil"/>
              <w:left w:val="nil"/>
              <w:bottom w:val="single" w:color="auto" w:sz="4" w:space="0"/>
              <w:right w:val="single" w:color="auto" w:sz="4" w:space="0"/>
            </w:tcBorders>
            <w:noWrap w:val="0"/>
            <w:vAlign w:val="center"/>
          </w:tcPr>
          <w:p w14:paraId="3F0C0D1D">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2E50F4A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系统及设备选用是否恰当，能否满足功能要求；是否考虑使用和维护成本</w:t>
            </w:r>
          </w:p>
        </w:tc>
        <w:tc>
          <w:tcPr>
            <w:tcW w:w="3261" w:type="dxa"/>
            <w:tcBorders>
              <w:top w:val="nil"/>
              <w:left w:val="nil"/>
              <w:bottom w:val="single" w:color="auto" w:sz="4" w:space="0"/>
              <w:right w:val="single" w:color="auto" w:sz="4" w:space="0"/>
            </w:tcBorders>
            <w:noWrap w:val="0"/>
            <w:vAlign w:val="center"/>
          </w:tcPr>
          <w:p w14:paraId="756007A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经第三方专家或单位审核，</w:t>
            </w:r>
          </w:p>
          <w:p w14:paraId="2D3041A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1、系统及设备选用不合理或不经济；</w:t>
            </w:r>
          </w:p>
          <w:p w14:paraId="3D4231C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2、系统及设备不能满足功能要求；</w:t>
            </w:r>
          </w:p>
          <w:p w14:paraId="2C20350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3、选用设备的使用和维护成本大；</w:t>
            </w:r>
          </w:p>
          <w:p w14:paraId="708FE6E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以上各项每一项扣2分。</w:t>
            </w:r>
          </w:p>
        </w:tc>
        <w:tc>
          <w:tcPr>
            <w:tcW w:w="992" w:type="dxa"/>
            <w:tcBorders>
              <w:top w:val="nil"/>
              <w:left w:val="nil"/>
              <w:bottom w:val="single" w:color="auto" w:sz="4" w:space="0"/>
              <w:right w:val="single" w:color="auto" w:sz="4" w:space="0"/>
            </w:tcBorders>
            <w:noWrap w:val="0"/>
            <w:vAlign w:val="center"/>
          </w:tcPr>
          <w:p w14:paraId="07DF1E56">
            <w:pPr>
              <w:widowControl/>
              <w:jc w:val="left"/>
              <w:rPr>
                <w:rFonts w:ascii="宋体" w:hAnsi="宋体" w:cs="宋体"/>
                <w:color w:val="auto"/>
                <w:kern w:val="0"/>
                <w:szCs w:val="21"/>
                <w:highlight w:val="none"/>
              </w:rPr>
            </w:pPr>
          </w:p>
        </w:tc>
      </w:tr>
      <w:tr w14:paraId="2B3FD170">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48FB4053">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188" w:type="dxa"/>
            <w:tcBorders>
              <w:top w:val="nil"/>
              <w:left w:val="nil"/>
              <w:bottom w:val="single" w:color="auto" w:sz="4" w:space="0"/>
              <w:right w:val="single" w:color="auto" w:sz="4" w:space="0"/>
            </w:tcBorders>
            <w:noWrap w:val="0"/>
            <w:vAlign w:val="center"/>
          </w:tcPr>
          <w:p w14:paraId="7FBA624C">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设计图纸深度</w:t>
            </w:r>
          </w:p>
        </w:tc>
        <w:tc>
          <w:tcPr>
            <w:tcW w:w="709" w:type="dxa"/>
            <w:tcBorders>
              <w:top w:val="nil"/>
              <w:left w:val="nil"/>
              <w:bottom w:val="single" w:color="auto" w:sz="4" w:space="0"/>
              <w:right w:val="single" w:color="auto" w:sz="4" w:space="0"/>
            </w:tcBorders>
            <w:noWrap w:val="0"/>
            <w:vAlign w:val="center"/>
          </w:tcPr>
          <w:p w14:paraId="6BEABF10">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26C0FB6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是否满足住建部《建筑工程设计文件编制深度规定》对该阶段设计深度的有关要求</w:t>
            </w:r>
          </w:p>
        </w:tc>
        <w:tc>
          <w:tcPr>
            <w:tcW w:w="3261" w:type="dxa"/>
            <w:tcBorders>
              <w:top w:val="nil"/>
              <w:left w:val="nil"/>
              <w:bottom w:val="single" w:color="auto" w:sz="4" w:space="0"/>
              <w:right w:val="single" w:color="auto" w:sz="4" w:space="0"/>
            </w:tcBorders>
            <w:noWrap w:val="0"/>
            <w:vAlign w:val="center"/>
          </w:tcPr>
          <w:p w14:paraId="789769C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经第三方单位审核，有一个专业达不到深度的，扣2分。</w:t>
            </w:r>
          </w:p>
        </w:tc>
        <w:tc>
          <w:tcPr>
            <w:tcW w:w="992" w:type="dxa"/>
            <w:tcBorders>
              <w:top w:val="nil"/>
              <w:left w:val="nil"/>
              <w:bottom w:val="single" w:color="auto" w:sz="4" w:space="0"/>
              <w:right w:val="single" w:color="auto" w:sz="4" w:space="0"/>
            </w:tcBorders>
            <w:noWrap w:val="0"/>
            <w:vAlign w:val="center"/>
          </w:tcPr>
          <w:p w14:paraId="0FD5A1CD">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D1B8CD6">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0C9B871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188" w:type="dxa"/>
            <w:tcBorders>
              <w:top w:val="nil"/>
              <w:left w:val="nil"/>
              <w:bottom w:val="single" w:color="auto" w:sz="4" w:space="0"/>
              <w:right w:val="single" w:color="auto" w:sz="4" w:space="0"/>
            </w:tcBorders>
            <w:noWrap w:val="0"/>
            <w:vAlign w:val="center"/>
          </w:tcPr>
          <w:p w14:paraId="70FC6B5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限额设计</w:t>
            </w:r>
          </w:p>
        </w:tc>
        <w:tc>
          <w:tcPr>
            <w:tcW w:w="709" w:type="dxa"/>
            <w:tcBorders>
              <w:top w:val="nil"/>
              <w:left w:val="nil"/>
              <w:bottom w:val="single" w:color="auto" w:sz="4" w:space="0"/>
              <w:right w:val="single" w:color="auto" w:sz="4" w:space="0"/>
            </w:tcBorders>
            <w:noWrap w:val="0"/>
            <w:vAlign w:val="center"/>
          </w:tcPr>
          <w:p w14:paraId="0FE46FDD">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65DFA5E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是否按合同要求进行限额设计</w:t>
            </w:r>
          </w:p>
        </w:tc>
        <w:tc>
          <w:tcPr>
            <w:tcW w:w="3261" w:type="dxa"/>
            <w:tcBorders>
              <w:top w:val="nil"/>
              <w:left w:val="nil"/>
              <w:bottom w:val="single" w:color="auto" w:sz="4" w:space="0"/>
              <w:right w:val="single" w:color="auto" w:sz="4" w:space="0"/>
            </w:tcBorders>
            <w:noWrap w:val="0"/>
            <w:vAlign w:val="center"/>
          </w:tcPr>
          <w:p w14:paraId="228A4E1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编制的概算超出经批复的投资估算价，每报一版扣1分；</w:t>
            </w:r>
          </w:p>
          <w:p w14:paraId="68CEA02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甲方委托的造价咨询公司审核概算价与乙方编制的概算申报额偏差每超出1%，扣2分；</w:t>
            </w:r>
          </w:p>
          <w:p w14:paraId="0D27546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概算申报额与经投资主管部门批复的概算偏差每超出1%，扣3分。</w:t>
            </w:r>
          </w:p>
        </w:tc>
        <w:tc>
          <w:tcPr>
            <w:tcW w:w="992" w:type="dxa"/>
            <w:tcBorders>
              <w:top w:val="nil"/>
              <w:left w:val="nil"/>
              <w:bottom w:val="single" w:color="auto" w:sz="4" w:space="0"/>
              <w:right w:val="single" w:color="auto" w:sz="4" w:space="0"/>
            </w:tcBorders>
            <w:noWrap w:val="0"/>
            <w:vAlign w:val="center"/>
          </w:tcPr>
          <w:p w14:paraId="5A2ACD4A">
            <w:pPr>
              <w:widowControl/>
              <w:jc w:val="center"/>
              <w:rPr>
                <w:rFonts w:ascii="宋体" w:hAnsi="宋体" w:cs="宋体"/>
                <w:color w:val="auto"/>
                <w:kern w:val="0"/>
                <w:szCs w:val="21"/>
                <w:highlight w:val="none"/>
              </w:rPr>
            </w:pPr>
          </w:p>
        </w:tc>
      </w:tr>
      <w:tr w14:paraId="2875B3CC">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7AC72A7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四</w:t>
            </w:r>
          </w:p>
        </w:tc>
        <w:tc>
          <w:tcPr>
            <w:tcW w:w="1188" w:type="dxa"/>
            <w:tcBorders>
              <w:top w:val="nil"/>
              <w:left w:val="nil"/>
              <w:bottom w:val="single" w:color="auto" w:sz="4" w:space="0"/>
              <w:right w:val="single" w:color="auto" w:sz="4" w:space="0"/>
            </w:tcBorders>
            <w:noWrap w:val="0"/>
            <w:vAlign w:val="center"/>
          </w:tcPr>
          <w:p w14:paraId="70FF0AB5">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设计进度</w:t>
            </w:r>
          </w:p>
        </w:tc>
        <w:tc>
          <w:tcPr>
            <w:tcW w:w="709" w:type="dxa"/>
            <w:tcBorders>
              <w:top w:val="nil"/>
              <w:left w:val="nil"/>
              <w:bottom w:val="single" w:color="auto" w:sz="4" w:space="0"/>
              <w:right w:val="single" w:color="auto" w:sz="4" w:space="0"/>
            </w:tcBorders>
            <w:noWrap w:val="0"/>
            <w:vAlign w:val="center"/>
          </w:tcPr>
          <w:p w14:paraId="66274246">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02B57A0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17FBC07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28F3454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CEC0675">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14A135B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188" w:type="dxa"/>
            <w:tcBorders>
              <w:top w:val="nil"/>
              <w:left w:val="nil"/>
              <w:bottom w:val="single" w:color="auto" w:sz="4" w:space="0"/>
              <w:right w:val="single" w:color="auto" w:sz="4" w:space="0"/>
            </w:tcBorders>
            <w:noWrap w:val="0"/>
            <w:vAlign w:val="center"/>
          </w:tcPr>
          <w:p w14:paraId="4A79AD6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设计进度</w:t>
            </w:r>
          </w:p>
        </w:tc>
        <w:tc>
          <w:tcPr>
            <w:tcW w:w="709" w:type="dxa"/>
            <w:tcBorders>
              <w:top w:val="nil"/>
              <w:left w:val="nil"/>
              <w:bottom w:val="single" w:color="auto" w:sz="4" w:space="0"/>
              <w:right w:val="single" w:color="auto" w:sz="4" w:space="0"/>
            </w:tcBorders>
            <w:noWrap w:val="0"/>
            <w:vAlign w:val="center"/>
          </w:tcPr>
          <w:p w14:paraId="17002D4F">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128FEEE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是否按照合同、会议纪要、通知、函件等对进度的要求完成各项工作；能否按期完成甲方交办的其它相关工作</w:t>
            </w:r>
          </w:p>
        </w:tc>
        <w:tc>
          <w:tcPr>
            <w:tcW w:w="3261" w:type="dxa"/>
            <w:tcBorders>
              <w:top w:val="nil"/>
              <w:left w:val="nil"/>
              <w:bottom w:val="single" w:color="auto" w:sz="4" w:space="0"/>
              <w:right w:val="single" w:color="auto" w:sz="4" w:space="0"/>
            </w:tcBorders>
            <w:noWrap w:val="0"/>
            <w:vAlign w:val="center"/>
          </w:tcPr>
          <w:p w14:paraId="4C0EBC0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因乙方原因，每延误一天扣1分。</w:t>
            </w:r>
          </w:p>
        </w:tc>
        <w:tc>
          <w:tcPr>
            <w:tcW w:w="992" w:type="dxa"/>
            <w:tcBorders>
              <w:top w:val="nil"/>
              <w:left w:val="nil"/>
              <w:bottom w:val="single" w:color="auto" w:sz="4" w:space="0"/>
              <w:right w:val="single" w:color="auto" w:sz="4" w:space="0"/>
            </w:tcBorders>
            <w:noWrap w:val="0"/>
            <w:vAlign w:val="center"/>
          </w:tcPr>
          <w:p w14:paraId="267279D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48919EDC">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7D2EB62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五</w:t>
            </w:r>
          </w:p>
        </w:tc>
        <w:tc>
          <w:tcPr>
            <w:tcW w:w="1188" w:type="dxa"/>
            <w:tcBorders>
              <w:top w:val="nil"/>
              <w:left w:val="nil"/>
              <w:bottom w:val="single" w:color="auto" w:sz="4" w:space="0"/>
              <w:right w:val="single" w:color="auto" w:sz="4" w:space="0"/>
            </w:tcBorders>
            <w:noWrap w:val="0"/>
            <w:vAlign w:val="center"/>
          </w:tcPr>
          <w:p w14:paraId="12A131E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设计配合</w:t>
            </w:r>
          </w:p>
        </w:tc>
        <w:tc>
          <w:tcPr>
            <w:tcW w:w="709" w:type="dxa"/>
            <w:tcBorders>
              <w:top w:val="nil"/>
              <w:left w:val="nil"/>
              <w:bottom w:val="single" w:color="auto" w:sz="4" w:space="0"/>
              <w:right w:val="single" w:color="auto" w:sz="4" w:space="0"/>
            </w:tcBorders>
            <w:noWrap w:val="0"/>
            <w:vAlign w:val="center"/>
          </w:tcPr>
          <w:p w14:paraId="650A9440">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16B5832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041F742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4796825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F35C34D">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4D08EE6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188" w:type="dxa"/>
            <w:tcBorders>
              <w:top w:val="nil"/>
              <w:left w:val="nil"/>
              <w:bottom w:val="single" w:color="auto" w:sz="4" w:space="0"/>
              <w:right w:val="single" w:color="auto" w:sz="4" w:space="0"/>
            </w:tcBorders>
            <w:noWrap w:val="0"/>
            <w:vAlign w:val="center"/>
          </w:tcPr>
          <w:p w14:paraId="4251CD3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设计配合</w:t>
            </w:r>
          </w:p>
        </w:tc>
        <w:tc>
          <w:tcPr>
            <w:tcW w:w="709" w:type="dxa"/>
            <w:tcBorders>
              <w:top w:val="nil"/>
              <w:left w:val="nil"/>
              <w:bottom w:val="single" w:color="auto" w:sz="4" w:space="0"/>
              <w:right w:val="single" w:color="auto" w:sz="4" w:space="0"/>
            </w:tcBorders>
            <w:noWrap w:val="0"/>
            <w:vAlign w:val="center"/>
          </w:tcPr>
          <w:p w14:paraId="681DDCFC">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0478BE7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能否按合同及甲方要求及时协调配合甲方、专项设计单位及其它相关部门的工作；是否具有较强的沟通协调能力</w:t>
            </w:r>
          </w:p>
        </w:tc>
        <w:tc>
          <w:tcPr>
            <w:tcW w:w="3261" w:type="dxa"/>
            <w:tcBorders>
              <w:top w:val="nil"/>
              <w:left w:val="nil"/>
              <w:bottom w:val="single" w:color="auto" w:sz="4" w:space="0"/>
              <w:right w:val="single" w:color="auto" w:sz="4" w:space="0"/>
            </w:tcBorders>
            <w:noWrap w:val="0"/>
            <w:vAlign w:val="center"/>
          </w:tcPr>
          <w:p w14:paraId="05D03BB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好：得5分</w:t>
            </w:r>
          </w:p>
          <w:p w14:paraId="7F1A656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较好：得4分</w:t>
            </w:r>
          </w:p>
          <w:p w14:paraId="11C0938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一般：得2分</w:t>
            </w:r>
          </w:p>
          <w:p w14:paraId="163F728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较差：得1分</w:t>
            </w:r>
          </w:p>
          <w:p w14:paraId="2281F31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差：得0分</w:t>
            </w:r>
          </w:p>
        </w:tc>
        <w:tc>
          <w:tcPr>
            <w:tcW w:w="992" w:type="dxa"/>
            <w:tcBorders>
              <w:top w:val="nil"/>
              <w:left w:val="nil"/>
              <w:bottom w:val="single" w:color="auto" w:sz="4" w:space="0"/>
              <w:right w:val="single" w:color="auto" w:sz="4" w:space="0"/>
            </w:tcBorders>
            <w:noWrap w:val="0"/>
            <w:vAlign w:val="center"/>
          </w:tcPr>
          <w:p w14:paraId="5B430F2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2C552446">
        <w:tblPrEx>
          <w:tblCellMar>
            <w:top w:w="0" w:type="dxa"/>
            <w:left w:w="108" w:type="dxa"/>
            <w:bottom w:w="0" w:type="dxa"/>
            <w:right w:w="108" w:type="dxa"/>
          </w:tblCellMar>
        </w:tblPrEx>
        <w:trPr>
          <w:jc w:val="center"/>
        </w:trPr>
        <w:tc>
          <w:tcPr>
            <w:tcW w:w="665" w:type="dxa"/>
            <w:tcBorders>
              <w:top w:val="nil"/>
              <w:left w:val="single" w:color="auto" w:sz="4" w:space="0"/>
              <w:bottom w:val="single" w:color="auto" w:sz="4" w:space="0"/>
              <w:right w:val="single" w:color="auto" w:sz="4" w:space="0"/>
            </w:tcBorders>
            <w:noWrap w:val="0"/>
            <w:vAlign w:val="center"/>
          </w:tcPr>
          <w:p w14:paraId="5EC899D5">
            <w:pPr>
              <w:widowControl/>
              <w:jc w:val="center"/>
              <w:rPr>
                <w:color w:val="auto"/>
                <w:kern w:val="0"/>
                <w:szCs w:val="21"/>
                <w:highlight w:val="none"/>
              </w:rPr>
            </w:pPr>
            <w:r>
              <w:rPr>
                <w:color w:val="auto"/>
                <w:kern w:val="0"/>
                <w:szCs w:val="21"/>
                <w:highlight w:val="none"/>
              </w:rPr>
              <w:t>　</w:t>
            </w:r>
          </w:p>
        </w:tc>
        <w:tc>
          <w:tcPr>
            <w:tcW w:w="1188" w:type="dxa"/>
            <w:tcBorders>
              <w:top w:val="nil"/>
              <w:left w:val="nil"/>
              <w:bottom w:val="single" w:color="auto" w:sz="4" w:space="0"/>
              <w:right w:val="single" w:color="auto" w:sz="4" w:space="0"/>
            </w:tcBorders>
            <w:noWrap w:val="0"/>
            <w:vAlign w:val="center"/>
          </w:tcPr>
          <w:p w14:paraId="48C8C64B">
            <w:pPr>
              <w:widowControl/>
              <w:jc w:val="center"/>
              <w:rPr>
                <w:color w:val="auto"/>
                <w:kern w:val="0"/>
                <w:szCs w:val="21"/>
                <w:highlight w:val="none"/>
              </w:rPr>
            </w:pPr>
            <w:r>
              <w:rPr>
                <w:color w:val="auto"/>
                <w:kern w:val="0"/>
                <w:szCs w:val="21"/>
                <w:highlight w:val="none"/>
              </w:rPr>
              <w:t>合计</w:t>
            </w:r>
          </w:p>
        </w:tc>
        <w:tc>
          <w:tcPr>
            <w:tcW w:w="709" w:type="dxa"/>
            <w:tcBorders>
              <w:top w:val="nil"/>
              <w:left w:val="nil"/>
              <w:bottom w:val="single" w:color="auto" w:sz="4" w:space="0"/>
              <w:right w:val="single" w:color="auto" w:sz="4" w:space="0"/>
            </w:tcBorders>
            <w:noWrap w:val="0"/>
            <w:vAlign w:val="center"/>
          </w:tcPr>
          <w:p w14:paraId="012177EB">
            <w:pPr>
              <w:widowControl/>
              <w:jc w:val="center"/>
              <w:rPr>
                <w:color w:val="auto"/>
                <w:kern w:val="0"/>
                <w:szCs w:val="21"/>
                <w:highlight w:val="none"/>
              </w:rPr>
            </w:pPr>
            <w:r>
              <w:rPr>
                <w:color w:val="auto"/>
                <w:kern w:val="0"/>
                <w:szCs w:val="21"/>
                <w:highlight w:val="none"/>
              </w:rPr>
              <w:t>100</w:t>
            </w:r>
          </w:p>
        </w:tc>
        <w:tc>
          <w:tcPr>
            <w:tcW w:w="2551" w:type="dxa"/>
            <w:tcBorders>
              <w:top w:val="nil"/>
              <w:left w:val="nil"/>
              <w:bottom w:val="single" w:color="auto" w:sz="4" w:space="0"/>
              <w:right w:val="single" w:color="auto" w:sz="4" w:space="0"/>
            </w:tcBorders>
            <w:noWrap w:val="0"/>
            <w:vAlign w:val="center"/>
          </w:tcPr>
          <w:p w14:paraId="4FBD36AE">
            <w:pPr>
              <w:widowControl/>
              <w:jc w:val="center"/>
              <w:rPr>
                <w:color w:val="auto"/>
                <w:kern w:val="0"/>
                <w:szCs w:val="21"/>
                <w:highlight w:val="none"/>
              </w:rPr>
            </w:pPr>
            <w:r>
              <w:rPr>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25BFABA3">
            <w:pPr>
              <w:widowControl/>
              <w:jc w:val="center"/>
              <w:rPr>
                <w:color w:val="auto"/>
                <w:kern w:val="0"/>
                <w:szCs w:val="21"/>
                <w:highlight w:val="none"/>
              </w:rPr>
            </w:pPr>
            <w:r>
              <w:rPr>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4DC84B14">
            <w:pPr>
              <w:widowControl/>
              <w:jc w:val="center"/>
              <w:rPr>
                <w:color w:val="auto"/>
                <w:kern w:val="0"/>
                <w:szCs w:val="21"/>
                <w:highlight w:val="none"/>
              </w:rPr>
            </w:pPr>
            <w:r>
              <w:rPr>
                <w:color w:val="auto"/>
                <w:kern w:val="0"/>
                <w:szCs w:val="21"/>
                <w:highlight w:val="none"/>
              </w:rPr>
              <w:t>　</w:t>
            </w:r>
          </w:p>
        </w:tc>
      </w:tr>
    </w:tbl>
    <w:p w14:paraId="0176096D">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一、注：</w:t>
      </w:r>
    </w:p>
    <w:p w14:paraId="0494CC30">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1、每一评分项扣分，至该项对应分值扣完为止。</w:t>
      </w:r>
    </w:p>
    <w:p w14:paraId="7141F085">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2、应在岗实际未在岗累计达到3天的，或经问询明显不了解项目具体情况累计达到3次的，或未按甲方要求出席会议累计达到3次的，可认定自行更换</w:t>
      </w:r>
    </w:p>
    <w:p w14:paraId="39473A7D">
      <w:pPr>
        <w:adjustRightInd w:val="0"/>
        <w:snapToGrid w:val="0"/>
        <w:rPr>
          <w:rFonts w:ascii="宋体" w:hAnsi="宋体" w:cs="宋体"/>
          <w:color w:val="auto"/>
          <w:kern w:val="0"/>
          <w:szCs w:val="21"/>
          <w:highlight w:val="none"/>
        </w:rPr>
      </w:pPr>
    </w:p>
    <w:p w14:paraId="4E1FAB9F">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二、扣分情况说明：</w:t>
      </w:r>
    </w:p>
    <w:p w14:paraId="4B43DB1F">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1、</w:t>
      </w:r>
    </w:p>
    <w:p w14:paraId="09AD46D5">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2、</w:t>
      </w:r>
    </w:p>
    <w:p w14:paraId="4C0D2DE7">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3、</w:t>
      </w:r>
    </w:p>
    <w:p w14:paraId="752D4F98">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w:t>
      </w:r>
    </w:p>
    <w:p w14:paraId="72897E01">
      <w:pPr>
        <w:adjustRightInd w:val="0"/>
        <w:snapToGrid w:val="0"/>
        <w:rPr>
          <w:rFonts w:ascii="宋体" w:hAnsi="宋体" w:cs="宋体"/>
          <w:color w:val="auto"/>
          <w:kern w:val="0"/>
          <w:szCs w:val="21"/>
          <w:highlight w:val="none"/>
        </w:rPr>
      </w:pPr>
    </w:p>
    <w:p w14:paraId="5B0FBCC5">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项目负责人：×××  签名：</w:t>
      </w:r>
      <w:r>
        <w:rPr>
          <w:rFonts w:hint="eastAsia" w:ascii="宋体" w:hAnsi="宋体" w:cs="宋体"/>
          <w:color w:val="auto"/>
          <w:kern w:val="0"/>
          <w:szCs w:val="21"/>
          <w:highlight w:val="none"/>
          <w:u w:val="single"/>
        </w:rPr>
        <w:t xml:space="preserve">             </w:t>
      </w:r>
    </w:p>
    <w:p w14:paraId="6A0A08FC">
      <w:pPr>
        <w:adjustRightInd w:val="0"/>
        <w:snapToGrid w:val="0"/>
        <w:rPr>
          <w:rFonts w:ascii="宋体" w:hAnsi="宋体" w:cs="宋体"/>
          <w:color w:val="auto"/>
          <w:kern w:val="0"/>
          <w:szCs w:val="21"/>
          <w:highlight w:val="none"/>
        </w:rPr>
      </w:pPr>
    </w:p>
    <w:p w14:paraId="7FFEBDD0">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部门负责人：×××  签名：</w:t>
      </w:r>
      <w:r>
        <w:rPr>
          <w:rFonts w:hint="eastAsia" w:ascii="宋体" w:hAnsi="宋体" w:cs="宋体"/>
          <w:color w:val="auto"/>
          <w:kern w:val="0"/>
          <w:szCs w:val="21"/>
          <w:highlight w:val="none"/>
          <w:u w:val="single"/>
        </w:rPr>
        <w:t xml:space="preserve">             </w:t>
      </w:r>
    </w:p>
    <w:p w14:paraId="44AD2BBC">
      <w:pPr>
        <w:adjustRightInd w:val="0"/>
        <w:snapToGrid w:val="0"/>
        <w:rPr>
          <w:rFonts w:ascii="宋体" w:hAnsi="宋体" w:cs="宋体"/>
          <w:color w:val="auto"/>
          <w:kern w:val="0"/>
          <w:szCs w:val="21"/>
          <w:highlight w:val="none"/>
        </w:rPr>
      </w:pPr>
    </w:p>
    <w:p w14:paraId="58AD6E91">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日期：      年    月    日</w:t>
      </w:r>
    </w:p>
    <w:p w14:paraId="728D23F1">
      <w:pPr>
        <w:adjustRightInd w:val="0"/>
        <w:snapToGrid w:val="0"/>
        <w:rPr>
          <w:rFonts w:ascii="宋体" w:hAnsi="宋体" w:cs="宋体"/>
          <w:color w:val="auto"/>
          <w:kern w:val="0"/>
          <w:szCs w:val="21"/>
          <w:highlight w:val="none"/>
        </w:rPr>
      </w:pPr>
    </w:p>
    <w:p w14:paraId="395FD630">
      <w:pPr>
        <w:spacing w:line="560" w:lineRule="exact"/>
        <w:ind w:firstLine="472"/>
        <w:rPr>
          <w:rFonts w:ascii="仿宋_GB2312" w:eastAsia="仿宋_GB2312"/>
          <w:color w:val="auto"/>
          <w:sz w:val="32"/>
          <w:szCs w:val="32"/>
          <w:highlight w:val="none"/>
        </w:rPr>
      </w:pPr>
      <w:r>
        <w:rPr>
          <w:rFonts w:ascii="宋体" w:hAnsi="宋体"/>
          <w:color w:val="auto"/>
          <w:szCs w:val="21"/>
          <w:highlight w:val="none"/>
        </w:rPr>
        <w:br w:type="page"/>
      </w:r>
      <w:r>
        <w:rPr>
          <w:rFonts w:hint="eastAsia" w:ascii="仿宋_GB2312" w:eastAsia="仿宋_GB2312"/>
          <w:color w:val="auto"/>
          <w:sz w:val="32"/>
          <w:szCs w:val="32"/>
          <w:highlight w:val="none"/>
        </w:rPr>
        <w:t>附件三</w:t>
      </w:r>
    </w:p>
    <w:tbl>
      <w:tblPr>
        <w:tblStyle w:val="54"/>
        <w:tblW w:w="9366" w:type="dxa"/>
        <w:jc w:val="center"/>
        <w:tblLayout w:type="fixed"/>
        <w:tblCellMar>
          <w:top w:w="0" w:type="dxa"/>
          <w:left w:w="108" w:type="dxa"/>
          <w:bottom w:w="0" w:type="dxa"/>
          <w:right w:w="108" w:type="dxa"/>
        </w:tblCellMar>
      </w:tblPr>
      <w:tblGrid>
        <w:gridCol w:w="575"/>
        <w:gridCol w:w="1278"/>
        <w:gridCol w:w="709"/>
        <w:gridCol w:w="2551"/>
        <w:gridCol w:w="3261"/>
        <w:gridCol w:w="992"/>
      </w:tblGrid>
      <w:tr w14:paraId="435664D4">
        <w:tblPrEx>
          <w:tblCellMar>
            <w:top w:w="0" w:type="dxa"/>
            <w:left w:w="108" w:type="dxa"/>
            <w:bottom w:w="0" w:type="dxa"/>
            <w:right w:w="108" w:type="dxa"/>
          </w:tblCellMar>
        </w:tblPrEx>
        <w:trPr>
          <w:trHeight w:val="795" w:hRule="atLeast"/>
          <w:jc w:val="center"/>
        </w:trPr>
        <w:tc>
          <w:tcPr>
            <w:tcW w:w="9366" w:type="dxa"/>
            <w:gridSpan w:val="6"/>
            <w:tcBorders>
              <w:top w:val="nil"/>
              <w:left w:val="nil"/>
              <w:bottom w:val="nil"/>
              <w:right w:val="nil"/>
            </w:tcBorders>
            <w:noWrap w:val="0"/>
            <w:vAlign w:val="center"/>
          </w:tcPr>
          <w:p w14:paraId="3B30500E">
            <w:pPr>
              <w:widowControl/>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施工图设计阶段设计合同履约评价表</w:t>
            </w:r>
          </w:p>
        </w:tc>
      </w:tr>
      <w:tr w14:paraId="528250C1">
        <w:tblPrEx>
          <w:tblCellMar>
            <w:top w:w="0" w:type="dxa"/>
            <w:left w:w="108" w:type="dxa"/>
            <w:bottom w:w="0" w:type="dxa"/>
            <w:right w:w="108" w:type="dxa"/>
          </w:tblCellMar>
        </w:tblPrEx>
        <w:trPr>
          <w:jc w:val="center"/>
        </w:trPr>
        <w:tc>
          <w:tcPr>
            <w:tcW w:w="575" w:type="dxa"/>
            <w:tcBorders>
              <w:top w:val="single" w:color="auto" w:sz="4" w:space="0"/>
              <w:left w:val="single" w:color="auto" w:sz="4" w:space="0"/>
              <w:bottom w:val="single" w:color="auto" w:sz="4" w:space="0"/>
              <w:right w:val="single" w:color="auto" w:sz="4" w:space="0"/>
            </w:tcBorders>
            <w:noWrap w:val="0"/>
            <w:vAlign w:val="center"/>
          </w:tcPr>
          <w:p w14:paraId="47280F4E">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序号</w:t>
            </w:r>
          </w:p>
        </w:tc>
        <w:tc>
          <w:tcPr>
            <w:tcW w:w="1278" w:type="dxa"/>
            <w:tcBorders>
              <w:top w:val="single" w:color="auto" w:sz="4" w:space="0"/>
              <w:left w:val="nil"/>
              <w:bottom w:val="single" w:color="auto" w:sz="4" w:space="0"/>
              <w:right w:val="single" w:color="auto" w:sz="4" w:space="0"/>
            </w:tcBorders>
            <w:noWrap w:val="0"/>
            <w:vAlign w:val="center"/>
          </w:tcPr>
          <w:p w14:paraId="728D9EF5">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内容</w:t>
            </w:r>
          </w:p>
        </w:tc>
        <w:tc>
          <w:tcPr>
            <w:tcW w:w="709" w:type="dxa"/>
            <w:tcBorders>
              <w:top w:val="single" w:color="auto" w:sz="4" w:space="0"/>
              <w:left w:val="nil"/>
              <w:bottom w:val="single" w:color="auto" w:sz="4" w:space="0"/>
              <w:right w:val="single" w:color="auto" w:sz="4" w:space="0"/>
            </w:tcBorders>
            <w:noWrap w:val="0"/>
            <w:vAlign w:val="center"/>
          </w:tcPr>
          <w:p w14:paraId="4F168B32">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单项</w:t>
            </w:r>
          </w:p>
          <w:p w14:paraId="1CBD7CAE">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分值</w:t>
            </w:r>
          </w:p>
        </w:tc>
        <w:tc>
          <w:tcPr>
            <w:tcW w:w="2551" w:type="dxa"/>
            <w:tcBorders>
              <w:top w:val="single" w:color="auto" w:sz="4" w:space="0"/>
              <w:left w:val="nil"/>
              <w:bottom w:val="single" w:color="auto" w:sz="4" w:space="0"/>
              <w:right w:val="single" w:color="auto" w:sz="4" w:space="0"/>
            </w:tcBorders>
            <w:noWrap w:val="0"/>
            <w:vAlign w:val="center"/>
          </w:tcPr>
          <w:p w14:paraId="729CDDA4">
            <w:pPr>
              <w:widowControl/>
              <w:ind w:firstLine="472"/>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评价指标</w:t>
            </w:r>
          </w:p>
        </w:tc>
        <w:tc>
          <w:tcPr>
            <w:tcW w:w="3261" w:type="dxa"/>
            <w:tcBorders>
              <w:top w:val="single" w:color="auto" w:sz="4" w:space="0"/>
              <w:left w:val="nil"/>
              <w:bottom w:val="single" w:color="auto" w:sz="4" w:space="0"/>
              <w:right w:val="single" w:color="auto" w:sz="4" w:space="0"/>
            </w:tcBorders>
            <w:noWrap w:val="0"/>
            <w:vAlign w:val="center"/>
          </w:tcPr>
          <w:p w14:paraId="3F947424">
            <w:pPr>
              <w:widowControl/>
              <w:ind w:firstLine="472"/>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评分标准</w:t>
            </w:r>
          </w:p>
        </w:tc>
        <w:tc>
          <w:tcPr>
            <w:tcW w:w="992" w:type="dxa"/>
            <w:tcBorders>
              <w:top w:val="single" w:color="auto" w:sz="4" w:space="0"/>
              <w:left w:val="nil"/>
              <w:bottom w:val="single" w:color="auto" w:sz="4" w:space="0"/>
              <w:right w:val="single" w:color="auto" w:sz="4" w:space="0"/>
            </w:tcBorders>
            <w:noWrap w:val="0"/>
            <w:vAlign w:val="center"/>
          </w:tcPr>
          <w:p w14:paraId="590318B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得分</w:t>
            </w:r>
          </w:p>
        </w:tc>
      </w:tr>
      <w:tr w14:paraId="73B1912F">
        <w:tblPrEx>
          <w:tblCellMar>
            <w:top w:w="0" w:type="dxa"/>
            <w:left w:w="108" w:type="dxa"/>
            <w:bottom w:w="0" w:type="dxa"/>
            <w:right w:w="108" w:type="dxa"/>
          </w:tblCellMar>
        </w:tblPrEx>
        <w:trPr>
          <w:jc w:val="center"/>
        </w:trPr>
        <w:tc>
          <w:tcPr>
            <w:tcW w:w="575" w:type="dxa"/>
            <w:tcBorders>
              <w:top w:val="nil"/>
              <w:left w:val="single" w:color="auto" w:sz="4" w:space="0"/>
              <w:bottom w:val="single" w:color="auto" w:sz="4" w:space="0"/>
              <w:right w:val="single" w:color="auto" w:sz="4" w:space="0"/>
            </w:tcBorders>
            <w:noWrap w:val="0"/>
            <w:vAlign w:val="center"/>
          </w:tcPr>
          <w:p w14:paraId="62EF2AEE">
            <w:pPr>
              <w:widowControl/>
              <w:jc w:val="center"/>
              <w:rPr>
                <w:color w:val="auto"/>
                <w:kern w:val="0"/>
                <w:szCs w:val="21"/>
                <w:highlight w:val="none"/>
              </w:rPr>
            </w:pPr>
            <w:r>
              <w:rPr>
                <w:rFonts w:hint="eastAsia" w:ascii="宋体" w:hAnsi="宋体"/>
                <w:color w:val="auto"/>
                <w:kern w:val="0"/>
                <w:szCs w:val="21"/>
                <w:highlight w:val="none"/>
              </w:rPr>
              <w:t>一</w:t>
            </w:r>
          </w:p>
        </w:tc>
        <w:tc>
          <w:tcPr>
            <w:tcW w:w="1278" w:type="dxa"/>
            <w:tcBorders>
              <w:top w:val="nil"/>
              <w:left w:val="nil"/>
              <w:bottom w:val="single" w:color="auto" w:sz="4" w:space="0"/>
              <w:right w:val="single" w:color="auto" w:sz="4" w:space="0"/>
            </w:tcBorders>
            <w:noWrap w:val="0"/>
            <w:vAlign w:val="center"/>
          </w:tcPr>
          <w:p w14:paraId="5067052F">
            <w:pPr>
              <w:widowControl/>
              <w:jc w:val="center"/>
              <w:rPr>
                <w:color w:val="auto"/>
                <w:kern w:val="0"/>
                <w:szCs w:val="21"/>
                <w:highlight w:val="none"/>
              </w:rPr>
            </w:pPr>
            <w:r>
              <w:rPr>
                <w:rFonts w:hint="eastAsia" w:ascii="宋体" w:hAnsi="宋体"/>
                <w:color w:val="auto"/>
                <w:kern w:val="0"/>
                <w:szCs w:val="21"/>
                <w:highlight w:val="none"/>
              </w:rPr>
              <w:t>人员配备</w:t>
            </w:r>
          </w:p>
        </w:tc>
        <w:tc>
          <w:tcPr>
            <w:tcW w:w="709" w:type="dxa"/>
            <w:tcBorders>
              <w:top w:val="nil"/>
              <w:left w:val="nil"/>
              <w:bottom w:val="single" w:color="auto" w:sz="4" w:space="0"/>
              <w:right w:val="single" w:color="auto" w:sz="4" w:space="0"/>
            </w:tcBorders>
            <w:noWrap w:val="0"/>
            <w:vAlign w:val="center"/>
          </w:tcPr>
          <w:p w14:paraId="67580E6B">
            <w:pPr>
              <w:widowControl/>
              <w:jc w:val="center"/>
              <w:rPr>
                <w:color w:val="auto"/>
                <w:kern w:val="0"/>
                <w:szCs w:val="21"/>
                <w:highlight w:val="none"/>
              </w:rPr>
            </w:pPr>
            <w:r>
              <w:rPr>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78E12819">
            <w:pPr>
              <w:widowControl/>
              <w:ind w:firstLine="472"/>
              <w:jc w:val="center"/>
              <w:rPr>
                <w:bCs/>
                <w:color w:val="auto"/>
                <w:kern w:val="0"/>
                <w:szCs w:val="21"/>
                <w:highlight w:val="none"/>
              </w:rPr>
            </w:pPr>
            <w:r>
              <w:rPr>
                <w:rFonts w:hint="eastAsia"/>
                <w:bCs/>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33847EAF">
            <w:pPr>
              <w:widowControl/>
              <w:ind w:firstLine="472"/>
              <w:jc w:val="center"/>
              <w:rPr>
                <w:bCs/>
                <w:color w:val="auto"/>
                <w:kern w:val="0"/>
                <w:szCs w:val="21"/>
                <w:highlight w:val="none"/>
              </w:rPr>
            </w:pPr>
            <w:r>
              <w:rPr>
                <w:rFonts w:hint="eastAsia"/>
                <w:bCs/>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5375EBB6">
            <w:pPr>
              <w:widowControl/>
              <w:jc w:val="center"/>
              <w:rPr>
                <w:color w:val="auto"/>
                <w:kern w:val="0"/>
                <w:szCs w:val="21"/>
                <w:highlight w:val="none"/>
              </w:rPr>
            </w:pPr>
            <w:r>
              <w:rPr>
                <w:rFonts w:hint="eastAsia"/>
                <w:color w:val="auto"/>
                <w:kern w:val="0"/>
                <w:szCs w:val="21"/>
                <w:highlight w:val="none"/>
              </w:rPr>
              <w:t>　</w:t>
            </w:r>
          </w:p>
        </w:tc>
      </w:tr>
      <w:tr w14:paraId="587AECEE">
        <w:tblPrEx>
          <w:tblCellMar>
            <w:top w:w="0" w:type="dxa"/>
            <w:left w:w="108" w:type="dxa"/>
            <w:bottom w:w="0" w:type="dxa"/>
            <w:right w:w="108" w:type="dxa"/>
          </w:tblCellMar>
        </w:tblPrEx>
        <w:trPr>
          <w:jc w:val="center"/>
        </w:trPr>
        <w:tc>
          <w:tcPr>
            <w:tcW w:w="575" w:type="dxa"/>
            <w:tcBorders>
              <w:top w:val="nil"/>
              <w:left w:val="single" w:color="auto" w:sz="4" w:space="0"/>
              <w:bottom w:val="single" w:color="auto" w:sz="4" w:space="0"/>
              <w:right w:val="single" w:color="auto" w:sz="4" w:space="0"/>
            </w:tcBorders>
            <w:noWrap w:val="0"/>
            <w:vAlign w:val="center"/>
          </w:tcPr>
          <w:p w14:paraId="2DB7AB18">
            <w:pPr>
              <w:widowControl/>
              <w:jc w:val="center"/>
              <w:rPr>
                <w:color w:val="auto"/>
                <w:kern w:val="0"/>
                <w:szCs w:val="21"/>
                <w:highlight w:val="none"/>
              </w:rPr>
            </w:pPr>
            <w:r>
              <w:rPr>
                <w:color w:val="auto"/>
                <w:kern w:val="0"/>
                <w:szCs w:val="21"/>
                <w:highlight w:val="none"/>
              </w:rPr>
              <w:t>1</w:t>
            </w:r>
          </w:p>
        </w:tc>
        <w:tc>
          <w:tcPr>
            <w:tcW w:w="1278" w:type="dxa"/>
            <w:tcBorders>
              <w:top w:val="nil"/>
              <w:left w:val="nil"/>
              <w:bottom w:val="single" w:color="auto" w:sz="4" w:space="0"/>
              <w:right w:val="nil"/>
            </w:tcBorders>
            <w:noWrap w:val="0"/>
            <w:vAlign w:val="center"/>
          </w:tcPr>
          <w:p w14:paraId="030F5594">
            <w:pPr>
              <w:widowControl/>
              <w:jc w:val="center"/>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single" w:color="auto" w:sz="4" w:space="0"/>
              <w:bottom w:val="single" w:color="auto" w:sz="4" w:space="0"/>
              <w:right w:val="single" w:color="auto" w:sz="4" w:space="0"/>
            </w:tcBorders>
            <w:noWrap w:val="0"/>
            <w:vAlign w:val="center"/>
          </w:tcPr>
          <w:p w14:paraId="6D1AB02B">
            <w:pPr>
              <w:widowControl/>
              <w:jc w:val="center"/>
              <w:rPr>
                <w:color w:val="auto"/>
                <w:kern w:val="0"/>
                <w:szCs w:val="21"/>
                <w:highlight w:val="none"/>
              </w:rPr>
            </w:pPr>
            <w:r>
              <w:rPr>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32F93F82">
            <w:pPr>
              <w:widowControl/>
              <w:jc w:val="left"/>
              <w:rPr>
                <w:color w:val="auto"/>
                <w:kern w:val="0"/>
                <w:szCs w:val="21"/>
                <w:highlight w:val="none"/>
              </w:rPr>
            </w:pPr>
            <w:r>
              <w:rPr>
                <w:rFonts w:hint="eastAsia" w:ascii="宋体" w:hAnsi="宋体"/>
                <w:color w:val="auto"/>
                <w:kern w:val="0"/>
                <w:szCs w:val="21"/>
                <w:highlight w:val="none"/>
              </w:rPr>
              <w:t>是否按合同到位</w:t>
            </w:r>
          </w:p>
        </w:tc>
        <w:tc>
          <w:tcPr>
            <w:tcW w:w="3261" w:type="dxa"/>
            <w:tcBorders>
              <w:top w:val="nil"/>
              <w:left w:val="nil"/>
              <w:bottom w:val="single" w:color="auto" w:sz="4" w:space="0"/>
              <w:right w:val="single" w:color="auto" w:sz="4" w:space="0"/>
            </w:tcBorders>
            <w:noWrap w:val="0"/>
            <w:vAlign w:val="center"/>
          </w:tcPr>
          <w:p w14:paraId="25DCAA01">
            <w:pPr>
              <w:widowControl/>
              <w:jc w:val="left"/>
              <w:rPr>
                <w:rFonts w:ascii="宋体" w:hAnsi="宋体"/>
                <w:color w:val="auto"/>
                <w:kern w:val="0"/>
                <w:szCs w:val="21"/>
                <w:highlight w:val="none"/>
              </w:rPr>
            </w:pPr>
            <w:r>
              <w:rPr>
                <w:rFonts w:hint="eastAsia" w:ascii="宋体" w:hAnsi="宋体"/>
                <w:color w:val="auto"/>
                <w:kern w:val="0"/>
                <w:szCs w:val="21"/>
                <w:highlight w:val="none"/>
              </w:rPr>
              <w:t>未按合同到位且未经甲方同意，每自行更换一次</w:t>
            </w:r>
            <w:r>
              <w:rPr>
                <w:rFonts w:hint="eastAsia"/>
                <w:color w:val="auto"/>
                <w:kern w:val="0"/>
                <w:szCs w:val="21"/>
                <w:highlight w:val="none"/>
              </w:rPr>
              <w:t>，</w:t>
            </w:r>
            <w:r>
              <w:rPr>
                <w:rFonts w:hint="eastAsia" w:ascii="宋体" w:hAnsi="宋体"/>
                <w:color w:val="auto"/>
                <w:kern w:val="0"/>
                <w:szCs w:val="21"/>
                <w:highlight w:val="none"/>
              </w:rPr>
              <w:t>扣</w:t>
            </w:r>
            <w:r>
              <w:rPr>
                <w:color w:val="auto"/>
                <w:kern w:val="0"/>
                <w:szCs w:val="21"/>
                <w:highlight w:val="none"/>
              </w:rPr>
              <w:t>2</w:t>
            </w:r>
            <w:r>
              <w:rPr>
                <w:rFonts w:hint="eastAsia" w:ascii="宋体" w:hAnsi="宋体"/>
                <w:color w:val="auto"/>
                <w:kern w:val="0"/>
                <w:szCs w:val="21"/>
                <w:highlight w:val="none"/>
              </w:rPr>
              <w:t>分；</w:t>
            </w:r>
          </w:p>
          <w:p w14:paraId="1BF814BA">
            <w:pPr>
              <w:widowControl/>
              <w:jc w:val="left"/>
              <w:rPr>
                <w:color w:val="auto"/>
                <w:kern w:val="0"/>
                <w:szCs w:val="21"/>
                <w:highlight w:val="none"/>
              </w:rPr>
            </w:pPr>
            <w:r>
              <w:rPr>
                <w:rFonts w:hint="eastAsia" w:ascii="宋体" w:hAnsi="宋体"/>
                <w:color w:val="auto"/>
                <w:kern w:val="0"/>
                <w:szCs w:val="21"/>
                <w:highlight w:val="none"/>
              </w:rPr>
              <w:t>缺席甲方要求参加的重要会议，每次扣</w:t>
            </w:r>
            <w:r>
              <w:rPr>
                <w:rFonts w:ascii="宋体" w:hAnsi="宋体"/>
                <w:color w:val="auto"/>
                <w:kern w:val="0"/>
                <w:szCs w:val="21"/>
                <w:highlight w:val="none"/>
              </w:rPr>
              <w:t>1分。</w:t>
            </w:r>
          </w:p>
        </w:tc>
        <w:tc>
          <w:tcPr>
            <w:tcW w:w="992" w:type="dxa"/>
            <w:tcBorders>
              <w:top w:val="nil"/>
              <w:left w:val="nil"/>
              <w:bottom w:val="single" w:color="auto" w:sz="4" w:space="0"/>
              <w:right w:val="single" w:color="auto" w:sz="4" w:space="0"/>
            </w:tcBorders>
            <w:noWrap w:val="0"/>
            <w:vAlign w:val="center"/>
          </w:tcPr>
          <w:p w14:paraId="110E3D4B">
            <w:pPr>
              <w:widowControl/>
              <w:jc w:val="center"/>
              <w:rPr>
                <w:color w:val="auto"/>
                <w:kern w:val="0"/>
                <w:szCs w:val="21"/>
                <w:highlight w:val="none"/>
              </w:rPr>
            </w:pPr>
            <w:r>
              <w:rPr>
                <w:rFonts w:hint="eastAsia"/>
                <w:color w:val="auto"/>
                <w:kern w:val="0"/>
                <w:szCs w:val="21"/>
                <w:highlight w:val="none"/>
              </w:rPr>
              <w:t>　</w:t>
            </w:r>
          </w:p>
        </w:tc>
      </w:tr>
      <w:tr w14:paraId="4C4ECBDE">
        <w:tblPrEx>
          <w:tblCellMar>
            <w:top w:w="0" w:type="dxa"/>
            <w:left w:w="108" w:type="dxa"/>
            <w:bottom w:w="0" w:type="dxa"/>
            <w:right w:w="108" w:type="dxa"/>
          </w:tblCellMar>
        </w:tblPrEx>
        <w:trPr>
          <w:jc w:val="center"/>
        </w:trPr>
        <w:tc>
          <w:tcPr>
            <w:tcW w:w="575" w:type="dxa"/>
            <w:tcBorders>
              <w:top w:val="nil"/>
              <w:left w:val="single" w:color="auto" w:sz="4" w:space="0"/>
              <w:bottom w:val="single" w:color="auto" w:sz="4" w:space="0"/>
              <w:right w:val="single" w:color="auto" w:sz="4" w:space="0"/>
            </w:tcBorders>
            <w:noWrap w:val="0"/>
            <w:vAlign w:val="center"/>
          </w:tcPr>
          <w:p w14:paraId="3880DDD7">
            <w:pPr>
              <w:widowControl/>
              <w:jc w:val="center"/>
              <w:rPr>
                <w:color w:val="auto"/>
                <w:kern w:val="0"/>
                <w:szCs w:val="21"/>
                <w:highlight w:val="none"/>
              </w:rPr>
            </w:pPr>
            <w:r>
              <w:rPr>
                <w:color w:val="auto"/>
                <w:kern w:val="0"/>
                <w:szCs w:val="21"/>
                <w:highlight w:val="none"/>
              </w:rPr>
              <w:t>2</w:t>
            </w:r>
          </w:p>
        </w:tc>
        <w:tc>
          <w:tcPr>
            <w:tcW w:w="1278" w:type="dxa"/>
            <w:tcBorders>
              <w:top w:val="single" w:color="auto" w:sz="4" w:space="0"/>
              <w:left w:val="nil"/>
              <w:bottom w:val="nil"/>
              <w:right w:val="nil"/>
            </w:tcBorders>
            <w:noWrap w:val="0"/>
            <w:vAlign w:val="center"/>
          </w:tcPr>
          <w:p w14:paraId="01EE8098">
            <w:pPr>
              <w:widowControl/>
              <w:jc w:val="left"/>
              <w:rPr>
                <w:rFonts w:ascii="宋体" w:hAnsi="宋体"/>
                <w:color w:val="auto"/>
                <w:kern w:val="0"/>
                <w:szCs w:val="21"/>
                <w:highlight w:val="none"/>
              </w:rPr>
            </w:pPr>
            <w:r>
              <w:rPr>
                <w:rFonts w:hint="eastAsia" w:ascii="宋体" w:hAnsi="宋体"/>
                <w:color w:val="auto"/>
                <w:kern w:val="0"/>
                <w:szCs w:val="21"/>
                <w:highlight w:val="none"/>
              </w:rPr>
              <w:t>各专业负责人</w:t>
            </w:r>
          </w:p>
        </w:tc>
        <w:tc>
          <w:tcPr>
            <w:tcW w:w="709" w:type="dxa"/>
            <w:tcBorders>
              <w:top w:val="nil"/>
              <w:left w:val="single" w:color="auto" w:sz="4" w:space="0"/>
              <w:bottom w:val="single" w:color="auto" w:sz="4" w:space="0"/>
              <w:right w:val="single" w:color="auto" w:sz="4" w:space="0"/>
            </w:tcBorders>
            <w:noWrap w:val="0"/>
            <w:vAlign w:val="center"/>
          </w:tcPr>
          <w:p w14:paraId="6E360BB0">
            <w:pPr>
              <w:widowControl/>
              <w:jc w:val="center"/>
              <w:rPr>
                <w:color w:val="auto"/>
                <w:kern w:val="0"/>
                <w:szCs w:val="21"/>
                <w:highlight w:val="none"/>
              </w:rPr>
            </w:pPr>
            <w:r>
              <w:rPr>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11787D8A">
            <w:pPr>
              <w:widowControl/>
              <w:jc w:val="left"/>
              <w:rPr>
                <w:rFonts w:ascii="宋体" w:hAnsi="宋体"/>
                <w:color w:val="auto"/>
                <w:kern w:val="0"/>
                <w:szCs w:val="21"/>
                <w:highlight w:val="none"/>
              </w:rPr>
            </w:pPr>
            <w:r>
              <w:rPr>
                <w:rFonts w:hint="eastAsia" w:ascii="宋体" w:hAnsi="宋体"/>
                <w:color w:val="auto"/>
                <w:kern w:val="0"/>
                <w:szCs w:val="21"/>
                <w:highlight w:val="none"/>
              </w:rPr>
              <w:t>人员是否稳定无更换</w:t>
            </w:r>
          </w:p>
        </w:tc>
        <w:tc>
          <w:tcPr>
            <w:tcW w:w="3261" w:type="dxa"/>
            <w:tcBorders>
              <w:top w:val="nil"/>
              <w:left w:val="nil"/>
              <w:bottom w:val="single" w:color="auto" w:sz="4" w:space="0"/>
              <w:right w:val="single" w:color="auto" w:sz="4" w:space="0"/>
            </w:tcBorders>
            <w:noWrap w:val="0"/>
            <w:vAlign w:val="center"/>
          </w:tcPr>
          <w:p w14:paraId="76A08883">
            <w:pPr>
              <w:widowControl/>
              <w:jc w:val="left"/>
              <w:rPr>
                <w:rFonts w:ascii="宋体" w:hAnsi="宋体"/>
                <w:color w:val="auto"/>
                <w:kern w:val="0"/>
                <w:szCs w:val="21"/>
                <w:highlight w:val="none"/>
              </w:rPr>
            </w:pPr>
            <w:r>
              <w:rPr>
                <w:rFonts w:hint="eastAsia" w:ascii="宋体" w:hAnsi="宋体"/>
                <w:color w:val="auto"/>
                <w:kern w:val="0"/>
                <w:szCs w:val="21"/>
                <w:highlight w:val="none"/>
              </w:rPr>
              <w:t>未按合同到位且未经甲方同意，每自行更换一次</w:t>
            </w:r>
            <w:r>
              <w:rPr>
                <w:rFonts w:hint="eastAsia"/>
                <w:color w:val="auto"/>
                <w:kern w:val="0"/>
                <w:szCs w:val="21"/>
                <w:highlight w:val="none"/>
              </w:rPr>
              <w:t>，</w:t>
            </w:r>
            <w:r>
              <w:rPr>
                <w:rFonts w:hint="eastAsia" w:ascii="宋体" w:hAnsi="宋体"/>
                <w:color w:val="auto"/>
                <w:kern w:val="0"/>
                <w:szCs w:val="21"/>
                <w:highlight w:val="none"/>
              </w:rPr>
              <w:t>扣</w:t>
            </w:r>
            <w:r>
              <w:rPr>
                <w:color w:val="auto"/>
                <w:kern w:val="0"/>
                <w:szCs w:val="21"/>
                <w:highlight w:val="none"/>
              </w:rPr>
              <w:t>2</w:t>
            </w:r>
            <w:r>
              <w:rPr>
                <w:rFonts w:hint="eastAsia" w:ascii="宋体" w:hAnsi="宋体"/>
                <w:color w:val="auto"/>
                <w:kern w:val="0"/>
                <w:szCs w:val="21"/>
                <w:highlight w:val="none"/>
              </w:rPr>
              <w:t>分；</w:t>
            </w:r>
          </w:p>
          <w:p w14:paraId="2D8F25FB">
            <w:pPr>
              <w:widowControl/>
              <w:jc w:val="left"/>
              <w:rPr>
                <w:color w:val="auto"/>
                <w:kern w:val="0"/>
                <w:szCs w:val="21"/>
                <w:highlight w:val="none"/>
              </w:rPr>
            </w:pPr>
            <w:r>
              <w:rPr>
                <w:rFonts w:hint="eastAsia" w:ascii="宋体" w:hAnsi="宋体"/>
                <w:color w:val="auto"/>
                <w:kern w:val="0"/>
                <w:szCs w:val="21"/>
                <w:highlight w:val="none"/>
              </w:rPr>
              <w:t>缺席甲方要求参加的有关会议，每次扣</w:t>
            </w:r>
            <w:r>
              <w:rPr>
                <w:rFonts w:ascii="宋体" w:hAnsi="宋体"/>
                <w:color w:val="auto"/>
                <w:kern w:val="0"/>
                <w:szCs w:val="21"/>
                <w:highlight w:val="none"/>
              </w:rPr>
              <w:t>1分。</w:t>
            </w:r>
          </w:p>
        </w:tc>
        <w:tc>
          <w:tcPr>
            <w:tcW w:w="992" w:type="dxa"/>
            <w:tcBorders>
              <w:top w:val="nil"/>
              <w:left w:val="nil"/>
              <w:bottom w:val="single" w:color="auto" w:sz="4" w:space="0"/>
              <w:right w:val="single" w:color="auto" w:sz="4" w:space="0"/>
            </w:tcBorders>
            <w:noWrap w:val="0"/>
            <w:vAlign w:val="center"/>
          </w:tcPr>
          <w:p w14:paraId="672E0C72">
            <w:pPr>
              <w:widowControl/>
              <w:jc w:val="center"/>
              <w:rPr>
                <w:color w:val="auto"/>
                <w:kern w:val="0"/>
                <w:szCs w:val="21"/>
                <w:highlight w:val="none"/>
              </w:rPr>
            </w:pPr>
          </w:p>
        </w:tc>
      </w:tr>
      <w:tr w14:paraId="6C96E2D1">
        <w:tblPrEx>
          <w:tblCellMar>
            <w:top w:w="0" w:type="dxa"/>
            <w:left w:w="108" w:type="dxa"/>
            <w:bottom w:w="0" w:type="dxa"/>
            <w:right w:w="108" w:type="dxa"/>
          </w:tblCellMar>
        </w:tblPrEx>
        <w:trPr>
          <w:jc w:val="center"/>
        </w:trPr>
        <w:tc>
          <w:tcPr>
            <w:tcW w:w="575" w:type="dxa"/>
            <w:tcBorders>
              <w:top w:val="nil"/>
              <w:left w:val="single" w:color="auto" w:sz="4" w:space="0"/>
              <w:bottom w:val="single" w:color="auto" w:sz="4" w:space="0"/>
              <w:right w:val="single" w:color="auto" w:sz="4" w:space="0"/>
            </w:tcBorders>
            <w:noWrap w:val="0"/>
            <w:vAlign w:val="center"/>
          </w:tcPr>
          <w:p w14:paraId="45C64CA7">
            <w:pPr>
              <w:widowControl/>
              <w:jc w:val="center"/>
              <w:rPr>
                <w:color w:val="auto"/>
                <w:kern w:val="0"/>
                <w:szCs w:val="21"/>
                <w:highlight w:val="none"/>
              </w:rPr>
            </w:pPr>
            <w:r>
              <w:rPr>
                <w:rFonts w:hint="eastAsia" w:ascii="宋体" w:hAnsi="宋体"/>
                <w:color w:val="auto"/>
                <w:kern w:val="0"/>
                <w:szCs w:val="21"/>
                <w:highlight w:val="none"/>
              </w:rPr>
              <w:t>二</w:t>
            </w:r>
          </w:p>
        </w:tc>
        <w:tc>
          <w:tcPr>
            <w:tcW w:w="1278" w:type="dxa"/>
            <w:tcBorders>
              <w:top w:val="single" w:color="auto" w:sz="4" w:space="0"/>
              <w:left w:val="nil"/>
              <w:bottom w:val="single" w:color="auto" w:sz="4" w:space="0"/>
              <w:right w:val="single" w:color="auto" w:sz="4" w:space="0"/>
            </w:tcBorders>
            <w:noWrap w:val="0"/>
            <w:vAlign w:val="center"/>
          </w:tcPr>
          <w:p w14:paraId="754FCCEA">
            <w:pPr>
              <w:widowControl/>
              <w:jc w:val="left"/>
              <w:rPr>
                <w:color w:val="auto"/>
                <w:kern w:val="0"/>
                <w:szCs w:val="21"/>
                <w:highlight w:val="none"/>
              </w:rPr>
            </w:pPr>
            <w:r>
              <w:rPr>
                <w:rFonts w:hint="eastAsia" w:ascii="宋体" w:hAnsi="宋体"/>
                <w:color w:val="auto"/>
                <w:kern w:val="0"/>
                <w:szCs w:val="21"/>
                <w:highlight w:val="none"/>
              </w:rPr>
              <w:t>能力水平及履约表现</w:t>
            </w:r>
          </w:p>
        </w:tc>
        <w:tc>
          <w:tcPr>
            <w:tcW w:w="709" w:type="dxa"/>
            <w:tcBorders>
              <w:top w:val="nil"/>
              <w:left w:val="nil"/>
              <w:bottom w:val="single" w:color="auto" w:sz="4" w:space="0"/>
              <w:right w:val="single" w:color="auto" w:sz="4" w:space="0"/>
            </w:tcBorders>
            <w:noWrap w:val="0"/>
            <w:vAlign w:val="center"/>
          </w:tcPr>
          <w:p w14:paraId="400F430B">
            <w:pPr>
              <w:widowControl/>
              <w:jc w:val="center"/>
              <w:rPr>
                <w:color w:val="auto"/>
                <w:kern w:val="0"/>
                <w:szCs w:val="21"/>
                <w:highlight w:val="none"/>
              </w:rPr>
            </w:pPr>
            <w:r>
              <w:rPr>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23B15AA2">
            <w:pPr>
              <w:widowControl/>
              <w:jc w:val="left"/>
              <w:rPr>
                <w:color w:val="auto"/>
                <w:kern w:val="0"/>
                <w:szCs w:val="21"/>
                <w:highlight w:val="none"/>
              </w:rPr>
            </w:pPr>
            <w:r>
              <w:rPr>
                <w:rFonts w:hint="eastAsia"/>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77175C6A">
            <w:pPr>
              <w:widowControl/>
              <w:jc w:val="left"/>
              <w:rPr>
                <w:color w:val="auto"/>
                <w:kern w:val="0"/>
                <w:szCs w:val="21"/>
                <w:highlight w:val="none"/>
              </w:rPr>
            </w:pPr>
            <w:r>
              <w:rPr>
                <w:color w:val="auto"/>
                <w:kern w:val="0"/>
                <w:szCs w:val="21"/>
                <w:highlight w:val="none"/>
              </w:rPr>
              <w:t xml:space="preserve"> </w:t>
            </w:r>
          </w:p>
        </w:tc>
        <w:tc>
          <w:tcPr>
            <w:tcW w:w="992" w:type="dxa"/>
            <w:tcBorders>
              <w:top w:val="nil"/>
              <w:left w:val="nil"/>
              <w:bottom w:val="single" w:color="auto" w:sz="4" w:space="0"/>
              <w:right w:val="single" w:color="auto" w:sz="4" w:space="0"/>
            </w:tcBorders>
            <w:noWrap w:val="0"/>
            <w:vAlign w:val="center"/>
          </w:tcPr>
          <w:p w14:paraId="6487D209">
            <w:pPr>
              <w:widowControl/>
              <w:jc w:val="center"/>
              <w:rPr>
                <w:color w:val="auto"/>
                <w:kern w:val="0"/>
                <w:szCs w:val="21"/>
                <w:highlight w:val="none"/>
              </w:rPr>
            </w:pPr>
            <w:r>
              <w:rPr>
                <w:rFonts w:hint="eastAsia"/>
                <w:color w:val="auto"/>
                <w:kern w:val="0"/>
                <w:szCs w:val="21"/>
                <w:highlight w:val="none"/>
              </w:rPr>
              <w:t>　</w:t>
            </w:r>
          </w:p>
        </w:tc>
      </w:tr>
      <w:tr w14:paraId="03C6241F">
        <w:tblPrEx>
          <w:tblCellMar>
            <w:top w:w="0" w:type="dxa"/>
            <w:left w:w="108" w:type="dxa"/>
            <w:bottom w:w="0" w:type="dxa"/>
            <w:right w:w="108" w:type="dxa"/>
          </w:tblCellMar>
        </w:tblPrEx>
        <w:trPr>
          <w:jc w:val="center"/>
        </w:trPr>
        <w:tc>
          <w:tcPr>
            <w:tcW w:w="575" w:type="dxa"/>
            <w:tcBorders>
              <w:top w:val="nil"/>
              <w:left w:val="single" w:color="auto" w:sz="4" w:space="0"/>
              <w:bottom w:val="single" w:color="auto" w:sz="4" w:space="0"/>
              <w:right w:val="single" w:color="auto" w:sz="4" w:space="0"/>
            </w:tcBorders>
            <w:noWrap w:val="0"/>
            <w:vAlign w:val="center"/>
          </w:tcPr>
          <w:p w14:paraId="24FE206E">
            <w:pPr>
              <w:widowControl/>
              <w:jc w:val="center"/>
              <w:rPr>
                <w:color w:val="auto"/>
                <w:kern w:val="0"/>
                <w:szCs w:val="21"/>
                <w:highlight w:val="none"/>
              </w:rPr>
            </w:pPr>
            <w:r>
              <w:rPr>
                <w:color w:val="auto"/>
                <w:kern w:val="0"/>
                <w:szCs w:val="21"/>
                <w:highlight w:val="none"/>
              </w:rPr>
              <w:t>1</w:t>
            </w:r>
          </w:p>
        </w:tc>
        <w:tc>
          <w:tcPr>
            <w:tcW w:w="1278" w:type="dxa"/>
            <w:tcBorders>
              <w:top w:val="nil"/>
              <w:left w:val="nil"/>
              <w:bottom w:val="single" w:color="auto" w:sz="4" w:space="0"/>
              <w:right w:val="single" w:color="auto" w:sz="4" w:space="0"/>
            </w:tcBorders>
            <w:noWrap w:val="0"/>
            <w:vAlign w:val="center"/>
          </w:tcPr>
          <w:p w14:paraId="6D0796D9">
            <w:pPr>
              <w:widowControl/>
              <w:jc w:val="left"/>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nil"/>
              <w:bottom w:val="single" w:color="auto" w:sz="4" w:space="0"/>
              <w:right w:val="single" w:color="auto" w:sz="4" w:space="0"/>
            </w:tcBorders>
            <w:noWrap w:val="0"/>
            <w:vAlign w:val="center"/>
          </w:tcPr>
          <w:p w14:paraId="21147373">
            <w:pPr>
              <w:widowControl/>
              <w:jc w:val="center"/>
              <w:rPr>
                <w:color w:val="auto"/>
                <w:kern w:val="0"/>
                <w:szCs w:val="21"/>
                <w:highlight w:val="none"/>
              </w:rPr>
            </w:pPr>
            <w:r>
              <w:rPr>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5E81218E">
            <w:pPr>
              <w:widowControl/>
              <w:jc w:val="left"/>
              <w:rPr>
                <w:color w:val="auto"/>
                <w:kern w:val="0"/>
                <w:szCs w:val="21"/>
                <w:highlight w:val="none"/>
              </w:rPr>
            </w:pPr>
            <w:r>
              <w:rPr>
                <w:rFonts w:hint="eastAsia" w:ascii="宋体" w:hAnsi="宋体"/>
                <w:color w:val="auto"/>
                <w:kern w:val="0"/>
                <w:szCs w:val="21"/>
                <w:highlight w:val="none"/>
              </w:rPr>
              <w:t>是否具有较强的协调组织能力；是否及时发现问题和处理问题；是否能与甲方、使用单位及业务主管部门等相关单位充分沟通</w:t>
            </w:r>
          </w:p>
        </w:tc>
        <w:tc>
          <w:tcPr>
            <w:tcW w:w="3261" w:type="dxa"/>
            <w:tcBorders>
              <w:top w:val="nil"/>
              <w:left w:val="nil"/>
              <w:bottom w:val="single" w:color="auto" w:sz="4" w:space="0"/>
              <w:right w:val="single" w:color="auto" w:sz="4" w:space="0"/>
            </w:tcBorders>
            <w:noWrap w:val="0"/>
            <w:vAlign w:val="center"/>
          </w:tcPr>
          <w:p w14:paraId="00D3931F">
            <w:pPr>
              <w:widowControl/>
              <w:jc w:val="left"/>
              <w:rPr>
                <w:rFonts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、责任心不强、工作协调不到位；</w:t>
            </w:r>
          </w:p>
          <w:p w14:paraId="7E3B53AF">
            <w:pPr>
              <w:widowControl/>
              <w:jc w:val="left"/>
              <w:rPr>
                <w:rFonts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、发现问题后未及时处理；</w:t>
            </w:r>
          </w:p>
          <w:p w14:paraId="1DBF1DA3">
            <w:pPr>
              <w:widowControl/>
              <w:jc w:val="left"/>
              <w:rPr>
                <w:rFonts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、未与相关参建单位或管理部门及时沟通；</w:t>
            </w:r>
          </w:p>
          <w:p w14:paraId="0C65ADFD">
            <w:pPr>
              <w:widowControl/>
              <w:jc w:val="left"/>
              <w:rPr>
                <w:rFonts w:ascii="宋体" w:hAnsi="宋体"/>
                <w:color w:val="auto"/>
                <w:kern w:val="0"/>
                <w:szCs w:val="21"/>
                <w:highlight w:val="none"/>
              </w:rPr>
            </w:pPr>
            <w:r>
              <w:rPr>
                <w:color w:val="auto"/>
                <w:kern w:val="0"/>
                <w:szCs w:val="21"/>
                <w:highlight w:val="none"/>
              </w:rPr>
              <w:t>4</w:t>
            </w:r>
            <w:r>
              <w:rPr>
                <w:rFonts w:hint="eastAsia" w:ascii="宋体" w:hAnsi="宋体"/>
                <w:color w:val="auto"/>
                <w:kern w:val="0"/>
                <w:szCs w:val="21"/>
                <w:highlight w:val="none"/>
              </w:rPr>
              <w:t>、未落实甲方的相关要求或会议纪要等文件精神。</w:t>
            </w:r>
          </w:p>
          <w:p w14:paraId="593A3D55">
            <w:pPr>
              <w:widowControl/>
              <w:jc w:val="left"/>
              <w:rPr>
                <w:color w:val="auto"/>
                <w:kern w:val="0"/>
                <w:szCs w:val="21"/>
                <w:highlight w:val="none"/>
              </w:rPr>
            </w:pPr>
            <w:r>
              <w:rPr>
                <w:rFonts w:hint="eastAsia" w:ascii="宋体" w:hAnsi="宋体"/>
                <w:color w:val="auto"/>
                <w:kern w:val="0"/>
                <w:szCs w:val="21"/>
                <w:highlight w:val="none"/>
              </w:rPr>
              <w:t>以上各项每发生一次扣</w:t>
            </w:r>
            <w:r>
              <w:rPr>
                <w:color w:val="auto"/>
                <w:kern w:val="0"/>
                <w:szCs w:val="21"/>
                <w:highlight w:val="none"/>
              </w:rPr>
              <w:t>2</w:t>
            </w:r>
            <w:r>
              <w:rPr>
                <w:rFonts w:hint="eastAsia" w:ascii="宋体" w:hAnsi="宋体"/>
                <w:color w:val="auto"/>
                <w:kern w:val="0"/>
                <w:szCs w:val="21"/>
                <w:highlight w:val="none"/>
              </w:rPr>
              <w:t>分。</w:t>
            </w:r>
          </w:p>
        </w:tc>
        <w:tc>
          <w:tcPr>
            <w:tcW w:w="992" w:type="dxa"/>
            <w:tcBorders>
              <w:top w:val="nil"/>
              <w:left w:val="nil"/>
              <w:bottom w:val="single" w:color="auto" w:sz="4" w:space="0"/>
              <w:right w:val="single" w:color="auto" w:sz="4" w:space="0"/>
            </w:tcBorders>
            <w:noWrap w:val="0"/>
            <w:vAlign w:val="center"/>
          </w:tcPr>
          <w:p w14:paraId="4C52673E">
            <w:pPr>
              <w:widowControl/>
              <w:jc w:val="center"/>
              <w:rPr>
                <w:color w:val="auto"/>
                <w:kern w:val="0"/>
                <w:szCs w:val="21"/>
                <w:highlight w:val="none"/>
              </w:rPr>
            </w:pPr>
            <w:r>
              <w:rPr>
                <w:rFonts w:hint="eastAsia"/>
                <w:color w:val="auto"/>
                <w:kern w:val="0"/>
                <w:szCs w:val="21"/>
                <w:highlight w:val="none"/>
              </w:rPr>
              <w:t>　</w:t>
            </w:r>
          </w:p>
        </w:tc>
      </w:tr>
      <w:tr w14:paraId="10E51469">
        <w:tblPrEx>
          <w:tblCellMar>
            <w:top w:w="0" w:type="dxa"/>
            <w:left w:w="108" w:type="dxa"/>
            <w:bottom w:w="0" w:type="dxa"/>
            <w:right w:w="108" w:type="dxa"/>
          </w:tblCellMar>
        </w:tblPrEx>
        <w:trPr>
          <w:jc w:val="center"/>
        </w:trPr>
        <w:tc>
          <w:tcPr>
            <w:tcW w:w="575" w:type="dxa"/>
            <w:tcBorders>
              <w:top w:val="nil"/>
              <w:left w:val="single" w:color="auto" w:sz="4" w:space="0"/>
              <w:bottom w:val="single" w:color="auto" w:sz="4" w:space="0"/>
              <w:right w:val="single" w:color="auto" w:sz="4" w:space="0"/>
            </w:tcBorders>
            <w:noWrap w:val="0"/>
            <w:vAlign w:val="center"/>
          </w:tcPr>
          <w:p w14:paraId="7D023EC7">
            <w:pPr>
              <w:widowControl/>
              <w:jc w:val="center"/>
              <w:rPr>
                <w:color w:val="auto"/>
                <w:kern w:val="0"/>
                <w:szCs w:val="21"/>
                <w:highlight w:val="none"/>
              </w:rPr>
            </w:pPr>
            <w:r>
              <w:rPr>
                <w:color w:val="auto"/>
                <w:kern w:val="0"/>
                <w:szCs w:val="21"/>
                <w:highlight w:val="none"/>
              </w:rPr>
              <w:t>2</w:t>
            </w:r>
          </w:p>
        </w:tc>
        <w:tc>
          <w:tcPr>
            <w:tcW w:w="1278" w:type="dxa"/>
            <w:tcBorders>
              <w:top w:val="nil"/>
              <w:left w:val="nil"/>
              <w:bottom w:val="single" w:color="auto" w:sz="4" w:space="0"/>
              <w:right w:val="single" w:color="auto" w:sz="4" w:space="0"/>
            </w:tcBorders>
            <w:noWrap w:val="0"/>
            <w:vAlign w:val="center"/>
          </w:tcPr>
          <w:p w14:paraId="4D1E7A25">
            <w:pPr>
              <w:widowControl/>
              <w:jc w:val="left"/>
              <w:rPr>
                <w:color w:val="auto"/>
                <w:kern w:val="0"/>
                <w:szCs w:val="21"/>
                <w:highlight w:val="none"/>
              </w:rPr>
            </w:pPr>
            <w:r>
              <w:rPr>
                <w:rFonts w:hint="eastAsia" w:ascii="宋体" w:hAnsi="宋体"/>
                <w:color w:val="auto"/>
                <w:kern w:val="0"/>
                <w:szCs w:val="21"/>
                <w:highlight w:val="none"/>
              </w:rPr>
              <w:t>各专业负责人</w:t>
            </w:r>
          </w:p>
        </w:tc>
        <w:tc>
          <w:tcPr>
            <w:tcW w:w="709" w:type="dxa"/>
            <w:tcBorders>
              <w:top w:val="nil"/>
              <w:left w:val="nil"/>
              <w:bottom w:val="single" w:color="auto" w:sz="4" w:space="0"/>
              <w:right w:val="single" w:color="auto" w:sz="4" w:space="0"/>
            </w:tcBorders>
            <w:noWrap w:val="0"/>
            <w:vAlign w:val="center"/>
          </w:tcPr>
          <w:p w14:paraId="5B0C563A">
            <w:pPr>
              <w:widowControl/>
              <w:jc w:val="center"/>
              <w:rPr>
                <w:color w:val="auto"/>
                <w:kern w:val="0"/>
                <w:szCs w:val="21"/>
                <w:highlight w:val="none"/>
              </w:rPr>
            </w:pPr>
            <w:r>
              <w:rPr>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1E7F4A11">
            <w:pPr>
              <w:widowControl/>
              <w:jc w:val="left"/>
              <w:rPr>
                <w:color w:val="auto"/>
                <w:kern w:val="0"/>
                <w:szCs w:val="21"/>
                <w:highlight w:val="none"/>
              </w:rPr>
            </w:pPr>
            <w:r>
              <w:rPr>
                <w:rFonts w:hint="eastAsia" w:ascii="宋体" w:hAnsi="宋体"/>
                <w:color w:val="auto"/>
                <w:kern w:val="0"/>
                <w:szCs w:val="21"/>
                <w:highlight w:val="none"/>
              </w:rPr>
              <w:t>是否有责任心；是否有较高的专业水平；与甲方、使用单位的沟通是否顺畅</w:t>
            </w:r>
          </w:p>
        </w:tc>
        <w:tc>
          <w:tcPr>
            <w:tcW w:w="3261" w:type="dxa"/>
            <w:tcBorders>
              <w:top w:val="nil"/>
              <w:left w:val="nil"/>
              <w:bottom w:val="single" w:color="auto" w:sz="4" w:space="0"/>
              <w:right w:val="single" w:color="auto" w:sz="4" w:space="0"/>
            </w:tcBorders>
            <w:noWrap w:val="0"/>
            <w:vAlign w:val="center"/>
          </w:tcPr>
          <w:p w14:paraId="27C74B04">
            <w:pPr>
              <w:widowControl/>
              <w:jc w:val="left"/>
              <w:rPr>
                <w:rFonts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w:t>
            </w:r>
          </w:p>
          <w:p w14:paraId="1501DC35">
            <w:pPr>
              <w:widowControl/>
              <w:jc w:val="left"/>
              <w:rPr>
                <w:rFonts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、专业水平不高；</w:t>
            </w:r>
          </w:p>
          <w:p w14:paraId="1AD22DB0">
            <w:pPr>
              <w:widowControl/>
              <w:jc w:val="left"/>
              <w:rPr>
                <w:rFonts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、与甲方、使用单位的沟通不到位；</w:t>
            </w:r>
          </w:p>
          <w:p w14:paraId="5D068D6D">
            <w:pPr>
              <w:widowControl/>
              <w:jc w:val="left"/>
              <w:rPr>
                <w:color w:val="auto"/>
                <w:kern w:val="0"/>
                <w:szCs w:val="21"/>
                <w:highlight w:val="none"/>
              </w:rPr>
            </w:pPr>
            <w:r>
              <w:rPr>
                <w:rFonts w:hint="eastAsia" w:ascii="宋体" w:hAnsi="宋体"/>
                <w:color w:val="auto"/>
                <w:kern w:val="0"/>
                <w:szCs w:val="21"/>
                <w:highlight w:val="none"/>
              </w:rPr>
              <w:t>以上各项每发生一次扣</w:t>
            </w:r>
            <w:r>
              <w:rPr>
                <w:color w:val="auto"/>
                <w:kern w:val="0"/>
                <w:szCs w:val="21"/>
                <w:highlight w:val="none"/>
              </w:rPr>
              <w:t>1</w:t>
            </w:r>
            <w:r>
              <w:rPr>
                <w:rFonts w:hint="eastAsia" w:ascii="宋体" w:hAnsi="宋体"/>
                <w:color w:val="auto"/>
                <w:kern w:val="0"/>
                <w:szCs w:val="21"/>
                <w:highlight w:val="none"/>
              </w:rPr>
              <w:t>分。</w:t>
            </w:r>
          </w:p>
        </w:tc>
        <w:tc>
          <w:tcPr>
            <w:tcW w:w="992" w:type="dxa"/>
            <w:tcBorders>
              <w:top w:val="nil"/>
              <w:left w:val="nil"/>
              <w:bottom w:val="single" w:color="auto" w:sz="4" w:space="0"/>
              <w:right w:val="single" w:color="auto" w:sz="4" w:space="0"/>
            </w:tcBorders>
            <w:noWrap w:val="0"/>
            <w:vAlign w:val="center"/>
          </w:tcPr>
          <w:p w14:paraId="69C62DB1">
            <w:pPr>
              <w:widowControl/>
              <w:jc w:val="center"/>
              <w:rPr>
                <w:color w:val="auto"/>
                <w:kern w:val="0"/>
                <w:szCs w:val="21"/>
                <w:highlight w:val="none"/>
              </w:rPr>
            </w:pPr>
            <w:r>
              <w:rPr>
                <w:rFonts w:hint="eastAsia"/>
                <w:color w:val="auto"/>
                <w:kern w:val="0"/>
                <w:szCs w:val="21"/>
                <w:highlight w:val="none"/>
              </w:rPr>
              <w:t>　</w:t>
            </w:r>
          </w:p>
        </w:tc>
      </w:tr>
      <w:tr w14:paraId="5F2C2A81">
        <w:tblPrEx>
          <w:tblCellMar>
            <w:top w:w="0" w:type="dxa"/>
            <w:left w:w="108" w:type="dxa"/>
            <w:bottom w:w="0" w:type="dxa"/>
            <w:right w:w="108" w:type="dxa"/>
          </w:tblCellMar>
        </w:tblPrEx>
        <w:trPr>
          <w:jc w:val="center"/>
        </w:trPr>
        <w:tc>
          <w:tcPr>
            <w:tcW w:w="575" w:type="dxa"/>
            <w:tcBorders>
              <w:top w:val="nil"/>
              <w:left w:val="single" w:color="auto" w:sz="4" w:space="0"/>
              <w:bottom w:val="single" w:color="auto" w:sz="4" w:space="0"/>
              <w:right w:val="single" w:color="auto" w:sz="4" w:space="0"/>
            </w:tcBorders>
            <w:noWrap w:val="0"/>
            <w:vAlign w:val="center"/>
          </w:tcPr>
          <w:p w14:paraId="1CCF723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三</w:t>
            </w:r>
          </w:p>
        </w:tc>
        <w:tc>
          <w:tcPr>
            <w:tcW w:w="1278" w:type="dxa"/>
            <w:tcBorders>
              <w:top w:val="nil"/>
              <w:left w:val="nil"/>
              <w:bottom w:val="single" w:color="auto" w:sz="4" w:space="0"/>
              <w:right w:val="single" w:color="auto" w:sz="4" w:space="0"/>
            </w:tcBorders>
            <w:noWrap w:val="0"/>
            <w:vAlign w:val="center"/>
          </w:tcPr>
          <w:p w14:paraId="40D08C4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设计质量</w:t>
            </w:r>
          </w:p>
        </w:tc>
        <w:tc>
          <w:tcPr>
            <w:tcW w:w="709" w:type="dxa"/>
            <w:tcBorders>
              <w:top w:val="nil"/>
              <w:left w:val="nil"/>
              <w:bottom w:val="single" w:color="auto" w:sz="4" w:space="0"/>
              <w:right w:val="single" w:color="auto" w:sz="4" w:space="0"/>
            </w:tcBorders>
            <w:noWrap w:val="0"/>
            <w:vAlign w:val="center"/>
          </w:tcPr>
          <w:p w14:paraId="12F97A61">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50</w:t>
            </w:r>
          </w:p>
        </w:tc>
        <w:tc>
          <w:tcPr>
            <w:tcW w:w="2551" w:type="dxa"/>
            <w:tcBorders>
              <w:top w:val="nil"/>
              <w:left w:val="nil"/>
              <w:bottom w:val="single" w:color="auto" w:sz="4" w:space="0"/>
              <w:right w:val="single" w:color="auto" w:sz="4" w:space="0"/>
            </w:tcBorders>
            <w:noWrap w:val="0"/>
            <w:vAlign w:val="center"/>
          </w:tcPr>
          <w:p w14:paraId="2BDD951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414D4A5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645447B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56C49C21">
        <w:tblPrEx>
          <w:tblCellMar>
            <w:top w:w="0" w:type="dxa"/>
            <w:left w:w="108" w:type="dxa"/>
            <w:bottom w:w="0" w:type="dxa"/>
            <w:right w:w="108" w:type="dxa"/>
          </w:tblCellMar>
        </w:tblPrEx>
        <w:trPr>
          <w:jc w:val="center"/>
        </w:trPr>
        <w:tc>
          <w:tcPr>
            <w:tcW w:w="575" w:type="dxa"/>
            <w:tcBorders>
              <w:top w:val="nil"/>
              <w:left w:val="single" w:color="auto" w:sz="4" w:space="0"/>
              <w:bottom w:val="single" w:color="auto" w:sz="4" w:space="0"/>
              <w:right w:val="single" w:color="auto" w:sz="4" w:space="0"/>
            </w:tcBorders>
            <w:noWrap w:val="0"/>
            <w:vAlign w:val="center"/>
          </w:tcPr>
          <w:p w14:paraId="1ED2C485">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278" w:type="dxa"/>
            <w:tcBorders>
              <w:top w:val="nil"/>
              <w:left w:val="nil"/>
              <w:bottom w:val="single" w:color="auto" w:sz="4" w:space="0"/>
              <w:right w:val="single" w:color="auto" w:sz="4" w:space="0"/>
            </w:tcBorders>
            <w:noWrap w:val="0"/>
            <w:vAlign w:val="center"/>
          </w:tcPr>
          <w:p w14:paraId="036D2E5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设计错误</w:t>
            </w:r>
          </w:p>
        </w:tc>
        <w:tc>
          <w:tcPr>
            <w:tcW w:w="709" w:type="dxa"/>
            <w:tcBorders>
              <w:top w:val="nil"/>
              <w:left w:val="nil"/>
              <w:bottom w:val="single" w:color="auto" w:sz="4" w:space="0"/>
              <w:right w:val="single" w:color="auto" w:sz="4" w:space="0"/>
            </w:tcBorders>
            <w:noWrap w:val="0"/>
            <w:vAlign w:val="center"/>
          </w:tcPr>
          <w:p w14:paraId="20AE095A">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0104823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施工图审查过程中是否出现Ⅰ类错误、Ⅱ类错误、Ⅲ类错误、Ⅳ类错误（分类详见附件六）</w:t>
            </w:r>
          </w:p>
        </w:tc>
        <w:tc>
          <w:tcPr>
            <w:tcW w:w="3261" w:type="dxa"/>
            <w:tcBorders>
              <w:top w:val="nil"/>
              <w:left w:val="nil"/>
              <w:bottom w:val="single" w:color="auto" w:sz="4" w:space="0"/>
              <w:right w:val="single" w:color="auto" w:sz="4" w:space="0"/>
            </w:tcBorders>
            <w:noWrap w:val="0"/>
            <w:vAlign w:val="center"/>
          </w:tcPr>
          <w:p w14:paraId="482DAC7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每出现Ⅰ类问题的一项一次扣</w:t>
            </w:r>
            <w:r>
              <w:rPr>
                <w:rFonts w:ascii="宋体" w:hAnsi="宋体" w:cs="宋体"/>
                <w:color w:val="auto"/>
                <w:kern w:val="0"/>
                <w:szCs w:val="21"/>
                <w:highlight w:val="none"/>
              </w:rPr>
              <w:t>4分；</w:t>
            </w:r>
          </w:p>
          <w:p w14:paraId="2E03010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每出现Ⅱ类问题的一项一次扣</w:t>
            </w:r>
            <w:r>
              <w:rPr>
                <w:rFonts w:ascii="宋体" w:hAnsi="宋体" w:cs="宋体"/>
                <w:color w:val="auto"/>
                <w:kern w:val="0"/>
                <w:szCs w:val="21"/>
                <w:highlight w:val="none"/>
              </w:rPr>
              <w:t>3分；</w:t>
            </w:r>
          </w:p>
          <w:p w14:paraId="5475397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每出现Ⅲ类问题的一项一次扣</w:t>
            </w:r>
            <w:r>
              <w:rPr>
                <w:rFonts w:ascii="宋体" w:hAnsi="宋体" w:cs="宋体"/>
                <w:color w:val="auto"/>
                <w:kern w:val="0"/>
                <w:szCs w:val="21"/>
                <w:highlight w:val="none"/>
              </w:rPr>
              <w:t>2分；</w:t>
            </w:r>
          </w:p>
          <w:p w14:paraId="32E6DED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每出现Ⅳ类问题的满五项一次扣</w:t>
            </w:r>
            <w:r>
              <w:rPr>
                <w:rFonts w:ascii="宋体" w:hAnsi="宋体" w:cs="宋体"/>
                <w:color w:val="auto"/>
                <w:kern w:val="0"/>
                <w:szCs w:val="21"/>
                <w:highlight w:val="none"/>
              </w:rPr>
              <w:t>1分</w:t>
            </w:r>
          </w:p>
        </w:tc>
        <w:tc>
          <w:tcPr>
            <w:tcW w:w="992" w:type="dxa"/>
            <w:tcBorders>
              <w:top w:val="nil"/>
              <w:left w:val="nil"/>
              <w:bottom w:val="single" w:color="auto" w:sz="4" w:space="0"/>
              <w:right w:val="single" w:color="auto" w:sz="4" w:space="0"/>
            </w:tcBorders>
            <w:noWrap w:val="0"/>
            <w:vAlign w:val="center"/>
          </w:tcPr>
          <w:p w14:paraId="6F2AD888">
            <w:pPr>
              <w:widowControl/>
              <w:jc w:val="center"/>
              <w:rPr>
                <w:rFonts w:ascii="宋体" w:hAnsi="宋体" w:cs="宋体"/>
                <w:color w:val="auto"/>
                <w:kern w:val="0"/>
                <w:szCs w:val="21"/>
                <w:highlight w:val="none"/>
              </w:rPr>
            </w:pPr>
          </w:p>
        </w:tc>
      </w:tr>
      <w:tr w14:paraId="5B2B8CF1">
        <w:tblPrEx>
          <w:tblCellMar>
            <w:top w:w="0" w:type="dxa"/>
            <w:left w:w="108" w:type="dxa"/>
            <w:bottom w:w="0" w:type="dxa"/>
            <w:right w:w="108" w:type="dxa"/>
          </w:tblCellMar>
        </w:tblPrEx>
        <w:trPr>
          <w:jc w:val="center"/>
        </w:trPr>
        <w:tc>
          <w:tcPr>
            <w:tcW w:w="575" w:type="dxa"/>
            <w:tcBorders>
              <w:top w:val="nil"/>
              <w:left w:val="single" w:color="auto" w:sz="4" w:space="0"/>
              <w:bottom w:val="single" w:color="auto" w:sz="4" w:space="0"/>
              <w:right w:val="single" w:color="auto" w:sz="4" w:space="0"/>
            </w:tcBorders>
            <w:noWrap w:val="0"/>
            <w:vAlign w:val="center"/>
          </w:tcPr>
          <w:p w14:paraId="1DD387D0">
            <w:pPr>
              <w:widowControl/>
              <w:jc w:val="center"/>
              <w:rPr>
                <w:rFonts w:ascii="宋体" w:hAnsi="宋体" w:cs="宋体"/>
                <w:color w:val="auto"/>
                <w:kern w:val="0"/>
                <w:szCs w:val="21"/>
                <w:highlight w:val="none"/>
              </w:rPr>
            </w:pPr>
            <w:r>
              <w:rPr>
                <w:rFonts w:ascii="宋体" w:hAnsi="宋体" w:cs="宋体"/>
                <w:color w:val="auto"/>
                <w:kern w:val="0"/>
                <w:szCs w:val="21"/>
                <w:highlight w:val="none"/>
              </w:rPr>
              <w:t>2</w:t>
            </w:r>
          </w:p>
        </w:tc>
        <w:tc>
          <w:tcPr>
            <w:tcW w:w="1278" w:type="dxa"/>
            <w:tcBorders>
              <w:top w:val="nil"/>
              <w:left w:val="nil"/>
              <w:bottom w:val="single" w:color="auto" w:sz="4" w:space="0"/>
              <w:right w:val="single" w:color="auto" w:sz="4" w:space="0"/>
            </w:tcBorders>
            <w:noWrap w:val="0"/>
            <w:vAlign w:val="center"/>
          </w:tcPr>
          <w:p w14:paraId="49A335C6">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限额设计</w:t>
            </w:r>
          </w:p>
        </w:tc>
        <w:tc>
          <w:tcPr>
            <w:tcW w:w="709" w:type="dxa"/>
            <w:tcBorders>
              <w:top w:val="nil"/>
              <w:left w:val="nil"/>
              <w:bottom w:val="single" w:color="auto" w:sz="4" w:space="0"/>
              <w:right w:val="single" w:color="auto" w:sz="4" w:space="0"/>
            </w:tcBorders>
            <w:noWrap w:val="0"/>
            <w:vAlign w:val="center"/>
          </w:tcPr>
          <w:p w14:paraId="4553221D">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30</w:t>
            </w:r>
          </w:p>
        </w:tc>
        <w:tc>
          <w:tcPr>
            <w:tcW w:w="2551" w:type="dxa"/>
            <w:tcBorders>
              <w:top w:val="nil"/>
              <w:left w:val="nil"/>
              <w:bottom w:val="single" w:color="auto" w:sz="4" w:space="0"/>
              <w:right w:val="single" w:color="auto" w:sz="4" w:space="0"/>
            </w:tcBorders>
            <w:noWrap w:val="0"/>
            <w:vAlign w:val="center"/>
          </w:tcPr>
          <w:p w14:paraId="67A1E63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是否按合同要求进行限额设计</w:t>
            </w:r>
          </w:p>
        </w:tc>
        <w:tc>
          <w:tcPr>
            <w:tcW w:w="3261" w:type="dxa"/>
            <w:tcBorders>
              <w:top w:val="nil"/>
              <w:left w:val="nil"/>
              <w:bottom w:val="single" w:color="auto" w:sz="4" w:space="0"/>
              <w:right w:val="single" w:color="auto" w:sz="4" w:space="0"/>
            </w:tcBorders>
            <w:noWrap w:val="0"/>
            <w:vAlign w:val="center"/>
          </w:tcPr>
          <w:p w14:paraId="6902269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编制的施工图预算由于设计原因</w:t>
            </w:r>
          </w:p>
          <w:p w14:paraId="7DE9E76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造成建安工程费超出经发改部门批复的初步设计概算，每超出</w:t>
            </w:r>
            <w:r>
              <w:rPr>
                <w:rFonts w:ascii="宋体" w:hAnsi="宋体" w:cs="宋体"/>
                <w:color w:val="auto"/>
                <w:kern w:val="0"/>
                <w:szCs w:val="21"/>
                <w:highlight w:val="none"/>
              </w:rPr>
              <w:t>1%扣2分。</w:t>
            </w:r>
          </w:p>
        </w:tc>
        <w:tc>
          <w:tcPr>
            <w:tcW w:w="992" w:type="dxa"/>
            <w:tcBorders>
              <w:top w:val="nil"/>
              <w:left w:val="nil"/>
              <w:bottom w:val="single" w:color="auto" w:sz="4" w:space="0"/>
              <w:right w:val="single" w:color="auto" w:sz="4" w:space="0"/>
            </w:tcBorders>
            <w:noWrap w:val="0"/>
            <w:vAlign w:val="center"/>
          </w:tcPr>
          <w:p w14:paraId="720BCB8B">
            <w:pPr>
              <w:widowControl/>
              <w:jc w:val="center"/>
              <w:rPr>
                <w:rFonts w:ascii="宋体" w:hAnsi="宋体" w:cs="宋体"/>
                <w:color w:val="auto"/>
                <w:kern w:val="0"/>
                <w:szCs w:val="21"/>
                <w:highlight w:val="none"/>
              </w:rPr>
            </w:pPr>
          </w:p>
        </w:tc>
      </w:tr>
      <w:tr w14:paraId="2FA04D29">
        <w:tblPrEx>
          <w:tblCellMar>
            <w:top w:w="0" w:type="dxa"/>
            <w:left w:w="108" w:type="dxa"/>
            <w:bottom w:w="0" w:type="dxa"/>
            <w:right w:w="108" w:type="dxa"/>
          </w:tblCellMar>
        </w:tblPrEx>
        <w:trPr>
          <w:jc w:val="center"/>
        </w:trPr>
        <w:tc>
          <w:tcPr>
            <w:tcW w:w="575" w:type="dxa"/>
            <w:tcBorders>
              <w:top w:val="nil"/>
              <w:left w:val="single" w:color="auto" w:sz="4" w:space="0"/>
              <w:bottom w:val="single" w:color="auto" w:sz="4" w:space="0"/>
              <w:right w:val="single" w:color="auto" w:sz="4" w:space="0"/>
            </w:tcBorders>
            <w:noWrap w:val="0"/>
            <w:vAlign w:val="center"/>
          </w:tcPr>
          <w:p w14:paraId="621566E5">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四</w:t>
            </w:r>
          </w:p>
        </w:tc>
        <w:tc>
          <w:tcPr>
            <w:tcW w:w="1278" w:type="dxa"/>
            <w:tcBorders>
              <w:top w:val="nil"/>
              <w:left w:val="nil"/>
              <w:bottom w:val="single" w:color="auto" w:sz="4" w:space="0"/>
              <w:right w:val="single" w:color="auto" w:sz="4" w:space="0"/>
            </w:tcBorders>
            <w:noWrap w:val="0"/>
            <w:vAlign w:val="center"/>
          </w:tcPr>
          <w:p w14:paraId="19674F7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设计进度</w:t>
            </w:r>
          </w:p>
        </w:tc>
        <w:tc>
          <w:tcPr>
            <w:tcW w:w="709" w:type="dxa"/>
            <w:tcBorders>
              <w:top w:val="nil"/>
              <w:left w:val="nil"/>
              <w:bottom w:val="single" w:color="auto" w:sz="4" w:space="0"/>
              <w:right w:val="single" w:color="auto" w:sz="4" w:space="0"/>
            </w:tcBorders>
            <w:noWrap w:val="0"/>
            <w:vAlign w:val="center"/>
          </w:tcPr>
          <w:p w14:paraId="19746B1E">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52D781F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481299A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38E9D73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CA083C7">
        <w:tblPrEx>
          <w:tblCellMar>
            <w:top w:w="0" w:type="dxa"/>
            <w:left w:w="108" w:type="dxa"/>
            <w:bottom w:w="0" w:type="dxa"/>
            <w:right w:w="108" w:type="dxa"/>
          </w:tblCellMar>
        </w:tblPrEx>
        <w:trPr>
          <w:jc w:val="center"/>
        </w:trPr>
        <w:tc>
          <w:tcPr>
            <w:tcW w:w="575" w:type="dxa"/>
            <w:tcBorders>
              <w:top w:val="nil"/>
              <w:left w:val="single" w:color="auto" w:sz="4" w:space="0"/>
              <w:bottom w:val="single" w:color="auto" w:sz="4" w:space="0"/>
              <w:right w:val="single" w:color="auto" w:sz="4" w:space="0"/>
            </w:tcBorders>
            <w:noWrap w:val="0"/>
            <w:vAlign w:val="center"/>
          </w:tcPr>
          <w:p w14:paraId="0C3675B8">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278" w:type="dxa"/>
            <w:tcBorders>
              <w:top w:val="nil"/>
              <w:left w:val="nil"/>
              <w:bottom w:val="single" w:color="auto" w:sz="4" w:space="0"/>
              <w:right w:val="single" w:color="auto" w:sz="4" w:space="0"/>
            </w:tcBorders>
            <w:noWrap w:val="0"/>
            <w:vAlign w:val="center"/>
          </w:tcPr>
          <w:p w14:paraId="57097995">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设计进度</w:t>
            </w:r>
          </w:p>
        </w:tc>
        <w:tc>
          <w:tcPr>
            <w:tcW w:w="709" w:type="dxa"/>
            <w:tcBorders>
              <w:top w:val="nil"/>
              <w:left w:val="nil"/>
              <w:bottom w:val="single" w:color="auto" w:sz="4" w:space="0"/>
              <w:right w:val="single" w:color="auto" w:sz="4" w:space="0"/>
            </w:tcBorders>
            <w:noWrap w:val="0"/>
            <w:vAlign w:val="center"/>
          </w:tcPr>
          <w:p w14:paraId="468E35DF">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5605B82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是否按照合同、会议纪要、通知、函件等对进度的要求完成各项工作；能否按期完成甲方交办的其它相关工作</w:t>
            </w:r>
          </w:p>
        </w:tc>
        <w:tc>
          <w:tcPr>
            <w:tcW w:w="3261" w:type="dxa"/>
            <w:tcBorders>
              <w:top w:val="nil"/>
              <w:left w:val="nil"/>
              <w:bottom w:val="single" w:color="auto" w:sz="4" w:space="0"/>
              <w:right w:val="single" w:color="auto" w:sz="4" w:space="0"/>
            </w:tcBorders>
            <w:noWrap w:val="0"/>
            <w:vAlign w:val="center"/>
          </w:tcPr>
          <w:p w14:paraId="3FB0E24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因乙方原因，每延误一天扣</w:t>
            </w:r>
            <w:r>
              <w:rPr>
                <w:rFonts w:ascii="宋体" w:hAnsi="宋体" w:cs="宋体"/>
                <w:color w:val="auto"/>
                <w:kern w:val="0"/>
                <w:szCs w:val="21"/>
                <w:highlight w:val="none"/>
              </w:rPr>
              <w:t>1分。</w:t>
            </w:r>
          </w:p>
        </w:tc>
        <w:tc>
          <w:tcPr>
            <w:tcW w:w="992" w:type="dxa"/>
            <w:tcBorders>
              <w:top w:val="nil"/>
              <w:left w:val="nil"/>
              <w:bottom w:val="single" w:color="auto" w:sz="4" w:space="0"/>
              <w:right w:val="single" w:color="auto" w:sz="4" w:space="0"/>
            </w:tcBorders>
            <w:noWrap w:val="0"/>
            <w:vAlign w:val="center"/>
          </w:tcPr>
          <w:p w14:paraId="2066E42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549D8348">
        <w:tblPrEx>
          <w:tblCellMar>
            <w:top w:w="0" w:type="dxa"/>
            <w:left w:w="108" w:type="dxa"/>
            <w:bottom w:w="0" w:type="dxa"/>
            <w:right w:w="108" w:type="dxa"/>
          </w:tblCellMar>
        </w:tblPrEx>
        <w:trPr>
          <w:jc w:val="center"/>
        </w:trPr>
        <w:tc>
          <w:tcPr>
            <w:tcW w:w="575" w:type="dxa"/>
            <w:tcBorders>
              <w:top w:val="nil"/>
              <w:left w:val="single" w:color="auto" w:sz="4" w:space="0"/>
              <w:bottom w:val="single" w:color="auto" w:sz="4" w:space="0"/>
              <w:right w:val="single" w:color="auto" w:sz="4" w:space="0"/>
            </w:tcBorders>
            <w:noWrap w:val="0"/>
            <w:vAlign w:val="center"/>
          </w:tcPr>
          <w:p w14:paraId="730C91B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五</w:t>
            </w:r>
          </w:p>
        </w:tc>
        <w:tc>
          <w:tcPr>
            <w:tcW w:w="1278" w:type="dxa"/>
            <w:tcBorders>
              <w:top w:val="nil"/>
              <w:left w:val="nil"/>
              <w:bottom w:val="single" w:color="auto" w:sz="4" w:space="0"/>
              <w:right w:val="single" w:color="auto" w:sz="4" w:space="0"/>
            </w:tcBorders>
            <w:noWrap w:val="0"/>
            <w:vAlign w:val="center"/>
          </w:tcPr>
          <w:p w14:paraId="075C569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设计配合</w:t>
            </w:r>
          </w:p>
        </w:tc>
        <w:tc>
          <w:tcPr>
            <w:tcW w:w="709" w:type="dxa"/>
            <w:tcBorders>
              <w:top w:val="nil"/>
              <w:left w:val="nil"/>
              <w:bottom w:val="single" w:color="auto" w:sz="4" w:space="0"/>
              <w:right w:val="single" w:color="auto" w:sz="4" w:space="0"/>
            </w:tcBorders>
            <w:noWrap w:val="0"/>
            <w:vAlign w:val="center"/>
          </w:tcPr>
          <w:p w14:paraId="71B1AE39">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538B57B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1EFDC54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11C80B4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3918FFD">
        <w:tblPrEx>
          <w:tblCellMar>
            <w:top w:w="0" w:type="dxa"/>
            <w:left w:w="108" w:type="dxa"/>
            <w:bottom w:w="0" w:type="dxa"/>
            <w:right w:w="108" w:type="dxa"/>
          </w:tblCellMar>
        </w:tblPrEx>
        <w:trPr>
          <w:jc w:val="center"/>
        </w:trPr>
        <w:tc>
          <w:tcPr>
            <w:tcW w:w="575" w:type="dxa"/>
            <w:tcBorders>
              <w:top w:val="nil"/>
              <w:left w:val="single" w:color="auto" w:sz="4" w:space="0"/>
              <w:bottom w:val="single" w:color="auto" w:sz="4" w:space="0"/>
              <w:right w:val="single" w:color="auto" w:sz="4" w:space="0"/>
            </w:tcBorders>
            <w:noWrap w:val="0"/>
            <w:vAlign w:val="center"/>
          </w:tcPr>
          <w:p w14:paraId="04D2A298">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278" w:type="dxa"/>
            <w:tcBorders>
              <w:top w:val="nil"/>
              <w:left w:val="nil"/>
              <w:bottom w:val="single" w:color="auto" w:sz="4" w:space="0"/>
              <w:right w:val="single" w:color="auto" w:sz="4" w:space="0"/>
            </w:tcBorders>
            <w:noWrap w:val="0"/>
            <w:vAlign w:val="center"/>
          </w:tcPr>
          <w:p w14:paraId="4848F66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设计配合</w:t>
            </w:r>
          </w:p>
        </w:tc>
        <w:tc>
          <w:tcPr>
            <w:tcW w:w="709" w:type="dxa"/>
            <w:tcBorders>
              <w:top w:val="nil"/>
              <w:left w:val="nil"/>
              <w:bottom w:val="single" w:color="auto" w:sz="4" w:space="0"/>
              <w:right w:val="single" w:color="auto" w:sz="4" w:space="0"/>
            </w:tcBorders>
            <w:noWrap w:val="0"/>
            <w:vAlign w:val="center"/>
          </w:tcPr>
          <w:p w14:paraId="09FCEEFD">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4322F44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能否按合同及甲方要求及时协调配合甲方、专项设计单位及其它相关部门的工作；是否具有较强的沟通协调能力</w:t>
            </w:r>
          </w:p>
        </w:tc>
        <w:tc>
          <w:tcPr>
            <w:tcW w:w="3261" w:type="dxa"/>
            <w:tcBorders>
              <w:top w:val="nil"/>
              <w:left w:val="nil"/>
              <w:bottom w:val="single" w:color="auto" w:sz="4" w:space="0"/>
              <w:right w:val="single" w:color="auto" w:sz="4" w:space="0"/>
            </w:tcBorders>
            <w:noWrap w:val="0"/>
            <w:vAlign w:val="center"/>
          </w:tcPr>
          <w:p w14:paraId="7CB94A4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w:t>
            </w:r>
            <w:r>
              <w:rPr>
                <w:rFonts w:ascii="宋体" w:hAnsi="宋体" w:cs="宋体"/>
                <w:color w:val="auto"/>
                <w:kern w:val="0"/>
                <w:szCs w:val="21"/>
                <w:highlight w:val="none"/>
              </w:rPr>
              <w:t>10分</w:t>
            </w:r>
          </w:p>
          <w:p w14:paraId="1458711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w:t>
            </w:r>
            <w:r>
              <w:rPr>
                <w:rFonts w:ascii="宋体" w:hAnsi="宋体" w:cs="宋体"/>
                <w:color w:val="auto"/>
                <w:kern w:val="0"/>
                <w:szCs w:val="21"/>
                <w:highlight w:val="none"/>
              </w:rPr>
              <w:t>8分</w:t>
            </w:r>
          </w:p>
          <w:p w14:paraId="6B635E4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w:t>
            </w:r>
            <w:r>
              <w:rPr>
                <w:rFonts w:ascii="宋体" w:hAnsi="宋体" w:cs="宋体"/>
                <w:color w:val="auto"/>
                <w:kern w:val="0"/>
                <w:szCs w:val="21"/>
                <w:highlight w:val="none"/>
              </w:rPr>
              <w:t>6分</w:t>
            </w:r>
          </w:p>
          <w:p w14:paraId="302EEB7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w:t>
            </w:r>
            <w:r>
              <w:rPr>
                <w:rFonts w:ascii="宋体" w:hAnsi="宋体" w:cs="宋体"/>
                <w:color w:val="auto"/>
                <w:kern w:val="0"/>
                <w:szCs w:val="21"/>
                <w:highlight w:val="none"/>
              </w:rPr>
              <w:t>4分</w:t>
            </w:r>
          </w:p>
          <w:p w14:paraId="6A18C9B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w:t>
            </w:r>
            <w:r>
              <w:rPr>
                <w:rFonts w:ascii="宋体" w:hAnsi="宋体" w:cs="宋体"/>
                <w:color w:val="auto"/>
                <w:kern w:val="0"/>
                <w:szCs w:val="21"/>
                <w:highlight w:val="none"/>
              </w:rPr>
              <w:t>2分</w:t>
            </w:r>
          </w:p>
        </w:tc>
        <w:tc>
          <w:tcPr>
            <w:tcW w:w="992" w:type="dxa"/>
            <w:tcBorders>
              <w:top w:val="nil"/>
              <w:left w:val="nil"/>
              <w:bottom w:val="single" w:color="auto" w:sz="4" w:space="0"/>
              <w:right w:val="single" w:color="auto" w:sz="4" w:space="0"/>
            </w:tcBorders>
            <w:noWrap w:val="0"/>
            <w:vAlign w:val="center"/>
          </w:tcPr>
          <w:p w14:paraId="1EE38C2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4072987E">
        <w:tblPrEx>
          <w:tblCellMar>
            <w:top w:w="0" w:type="dxa"/>
            <w:left w:w="108" w:type="dxa"/>
            <w:bottom w:w="0" w:type="dxa"/>
            <w:right w:w="108" w:type="dxa"/>
          </w:tblCellMar>
        </w:tblPrEx>
        <w:trPr>
          <w:jc w:val="center"/>
        </w:trPr>
        <w:tc>
          <w:tcPr>
            <w:tcW w:w="575" w:type="dxa"/>
            <w:tcBorders>
              <w:top w:val="nil"/>
              <w:left w:val="single" w:color="auto" w:sz="4" w:space="0"/>
              <w:bottom w:val="single" w:color="auto" w:sz="4" w:space="0"/>
              <w:right w:val="single" w:color="auto" w:sz="4" w:space="0"/>
            </w:tcBorders>
            <w:noWrap w:val="0"/>
            <w:vAlign w:val="center"/>
          </w:tcPr>
          <w:p w14:paraId="21DB334F">
            <w:pPr>
              <w:widowControl/>
              <w:jc w:val="center"/>
              <w:rPr>
                <w:color w:val="auto"/>
                <w:kern w:val="0"/>
                <w:szCs w:val="21"/>
                <w:highlight w:val="none"/>
              </w:rPr>
            </w:pPr>
            <w:r>
              <w:rPr>
                <w:rFonts w:hint="eastAsia"/>
                <w:color w:val="auto"/>
                <w:kern w:val="0"/>
                <w:szCs w:val="21"/>
                <w:highlight w:val="none"/>
              </w:rPr>
              <w:t>　</w:t>
            </w:r>
          </w:p>
        </w:tc>
        <w:tc>
          <w:tcPr>
            <w:tcW w:w="1278" w:type="dxa"/>
            <w:tcBorders>
              <w:top w:val="nil"/>
              <w:left w:val="nil"/>
              <w:bottom w:val="single" w:color="auto" w:sz="4" w:space="0"/>
              <w:right w:val="single" w:color="auto" w:sz="4" w:space="0"/>
            </w:tcBorders>
            <w:noWrap w:val="0"/>
            <w:vAlign w:val="center"/>
          </w:tcPr>
          <w:p w14:paraId="0BFBA719">
            <w:pPr>
              <w:widowControl/>
              <w:jc w:val="center"/>
              <w:rPr>
                <w:color w:val="auto"/>
                <w:kern w:val="0"/>
                <w:szCs w:val="21"/>
                <w:highlight w:val="none"/>
              </w:rPr>
            </w:pPr>
            <w:r>
              <w:rPr>
                <w:rFonts w:hint="eastAsia"/>
                <w:color w:val="auto"/>
                <w:kern w:val="0"/>
                <w:szCs w:val="21"/>
                <w:highlight w:val="none"/>
              </w:rPr>
              <w:t>合计</w:t>
            </w:r>
          </w:p>
        </w:tc>
        <w:tc>
          <w:tcPr>
            <w:tcW w:w="709" w:type="dxa"/>
            <w:tcBorders>
              <w:top w:val="nil"/>
              <w:left w:val="nil"/>
              <w:bottom w:val="single" w:color="auto" w:sz="4" w:space="0"/>
              <w:right w:val="single" w:color="auto" w:sz="4" w:space="0"/>
            </w:tcBorders>
            <w:noWrap w:val="0"/>
            <w:vAlign w:val="center"/>
          </w:tcPr>
          <w:p w14:paraId="5DD8E7B1">
            <w:pPr>
              <w:widowControl/>
              <w:jc w:val="center"/>
              <w:rPr>
                <w:color w:val="auto"/>
                <w:kern w:val="0"/>
                <w:szCs w:val="21"/>
                <w:highlight w:val="none"/>
              </w:rPr>
            </w:pPr>
            <w:r>
              <w:rPr>
                <w:color w:val="auto"/>
                <w:kern w:val="0"/>
                <w:szCs w:val="21"/>
                <w:highlight w:val="none"/>
              </w:rPr>
              <w:t>100</w:t>
            </w:r>
          </w:p>
        </w:tc>
        <w:tc>
          <w:tcPr>
            <w:tcW w:w="2551" w:type="dxa"/>
            <w:tcBorders>
              <w:top w:val="nil"/>
              <w:left w:val="nil"/>
              <w:bottom w:val="single" w:color="auto" w:sz="4" w:space="0"/>
              <w:right w:val="single" w:color="auto" w:sz="4" w:space="0"/>
            </w:tcBorders>
            <w:noWrap w:val="0"/>
            <w:vAlign w:val="center"/>
          </w:tcPr>
          <w:p w14:paraId="50361051">
            <w:pPr>
              <w:widowControl/>
              <w:jc w:val="center"/>
              <w:rPr>
                <w:color w:val="auto"/>
                <w:kern w:val="0"/>
                <w:szCs w:val="21"/>
                <w:highlight w:val="none"/>
              </w:rPr>
            </w:pPr>
            <w:r>
              <w:rPr>
                <w:rFonts w:hint="eastAsia"/>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06CC5EC4">
            <w:pPr>
              <w:widowControl/>
              <w:jc w:val="center"/>
              <w:rPr>
                <w:color w:val="auto"/>
                <w:kern w:val="0"/>
                <w:szCs w:val="21"/>
                <w:highlight w:val="none"/>
              </w:rPr>
            </w:pPr>
            <w:r>
              <w:rPr>
                <w:rFonts w:hint="eastAsia"/>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5C6F5D22">
            <w:pPr>
              <w:widowControl/>
              <w:jc w:val="center"/>
              <w:rPr>
                <w:color w:val="auto"/>
                <w:kern w:val="0"/>
                <w:szCs w:val="21"/>
                <w:highlight w:val="none"/>
              </w:rPr>
            </w:pPr>
            <w:r>
              <w:rPr>
                <w:rFonts w:hint="eastAsia"/>
                <w:color w:val="auto"/>
                <w:kern w:val="0"/>
                <w:szCs w:val="21"/>
                <w:highlight w:val="none"/>
              </w:rPr>
              <w:t>　</w:t>
            </w:r>
          </w:p>
        </w:tc>
      </w:tr>
    </w:tbl>
    <w:p w14:paraId="0B7D068F">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一、注：</w:t>
      </w:r>
    </w:p>
    <w:p w14:paraId="20DCF4E7">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1、每一评分项扣分，至该项对应分值扣完为止。</w:t>
      </w:r>
    </w:p>
    <w:p w14:paraId="14DCBB84">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2、应在岗实际未在岗累计达到3天的，或经问询明显不了解项目具体情况累计达到3次的，或未按甲方要求出席会议累计达到3次的，可认定自行更换</w:t>
      </w:r>
    </w:p>
    <w:p w14:paraId="6D90DB91">
      <w:pPr>
        <w:adjustRightInd w:val="0"/>
        <w:snapToGrid w:val="0"/>
        <w:rPr>
          <w:rFonts w:ascii="宋体" w:hAnsi="宋体" w:cs="宋体"/>
          <w:color w:val="auto"/>
          <w:kern w:val="0"/>
          <w:szCs w:val="21"/>
          <w:highlight w:val="none"/>
        </w:rPr>
      </w:pPr>
    </w:p>
    <w:p w14:paraId="754CE48F">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二、扣分情况说明：</w:t>
      </w:r>
    </w:p>
    <w:p w14:paraId="18E55D81">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1、</w:t>
      </w:r>
    </w:p>
    <w:p w14:paraId="19FAB85F">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2、</w:t>
      </w:r>
    </w:p>
    <w:p w14:paraId="46DE3ABD">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3、</w:t>
      </w:r>
    </w:p>
    <w:p w14:paraId="20D34750">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w:t>
      </w:r>
    </w:p>
    <w:p w14:paraId="28040767">
      <w:pPr>
        <w:adjustRightInd w:val="0"/>
        <w:snapToGrid w:val="0"/>
        <w:rPr>
          <w:rFonts w:ascii="宋体" w:hAnsi="宋体" w:cs="宋体"/>
          <w:color w:val="auto"/>
          <w:kern w:val="0"/>
          <w:szCs w:val="21"/>
          <w:highlight w:val="none"/>
        </w:rPr>
      </w:pPr>
    </w:p>
    <w:p w14:paraId="5A1DE23D">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项目负责人：×××</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签名：</w:t>
      </w:r>
      <w:r>
        <w:rPr>
          <w:rFonts w:ascii="宋体" w:hAnsi="宋体" w:cs="宋体"/>
          <w:color w:val="auto"/>
          <w:kern w:val="0"/>
          <w:szCs w:val="21"/>
          <w:highlight w:val="none"/>
          <w:u w:val="single"/>
        </w:rPr>
        <w:t xml:space="preserve">             </w:t>
      </w:r>
    </w:p>
    <w:p w14:paraId="484EE0E3">
      <w:pPr>
        <w:adjustRightInd w:val="0"/>
        <w:snapToGrid w:val="0"/>
        <w:rPr>
          <w:rFonts w:ascii="宋体" w:hAnsi="宋体" w:cs="宋体"/>
          <w:color w:val="auto"/>
          <w:kern w:val="0"/>
          <w:szCs w:val="21"/>
          <w:highlight w:val="none"/>
        </w:rPr>
      </w:pPr>
    </w:p>
    <w:p w14:paraId="00375715">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部门负责人：×××</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签名：</w:t>
      </w:r>
      <w:r>
        <w:rPr>
          <w:rFonts w:ascii="宋体" w:hAnsi="宋体" w:cs="宋体"/>
          <w:color w:val="auto"/>
          <w:kern w:val="0"/>
          <w:szCs w:val="21"/>
          <w:highlight w:val="none"/>
          <w:u w:val="single"/>
        </w:rPr>
        <w:t xml:space="preserve">             </w:t>
      </w:r>
    </w:p>
    <w:p w14:paraId="2D1962DA">
      <w:pPr>
        <w:adjustRightInd w:val="0"/>
        <w:snapToGrid w:val="0"/>
        <w:rPr>
          <w:rFonts w:ascii="宋体" w:hAnsi="宋体" w:cs="宋体"/>
          <w:color w:val="auto"/>
          <w:kern w:val="0"/>
          <w:szCs w:val="21"/>
          <w:highlight w:val="none"/>
        </w:rPr>
      </w:pPr>
    </w:p>
    <w:p w14:paraId="4358433C">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日期：</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年</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月</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日</w:t>
      </w:r>
    </w:p>
    <w:p w14:paraId="3FB9F2E1">
      <w:pPr>
        <w:adjustRightInd w:val="0"/>
        <w:snapToGrid w:val="0"/>
        <w:rPr>
          <w:rFonts w:ascii="宋体" w:hAnsi="宋体" w:cs="宋体"/>
          <w:color w:val="auto"/>
          <w:kern w:val="0"/>
          <w:szCs w:val="21"/>
          <w:highlight w:val="none"/>
        </w:rPr>
      </w:pPr>
    </w:p>
    <w:p w14:paraId="7A967C3D">
      <w:pPr>
        <w:spacing w:line="560" w:lineRule="exact"/>
        <w:ind w:firstLine="472"/>
        <w:rPr>
          <w:rFonts w:ascii="仿宋_GB2312" w:eastAsia="仿宋_GB2312"/>
          <w:color w:val="auto"/>
          <w:sz w:val="32"/>
          <w:szCs w:val="32"/>
          <w:highlight w:val="none"/>
        </w:rPr>
      </w:pPr>
      <w:r>
        <w:rPr>
          <w:rFonts w:ascii="宋体" w:hAnsi="宋体"/>
          <w:color w:val="auto"/>
          <w:szCs w:val="21"/>
          <w:highlight w:val="none"/>
        </w:rPr>
        <w:br w:type="page"/>
      </w:r>
      <w:r>
        <w:rPr>
          <w:rFonts w:hint="eastAsia" w:ascii="仿宋_GB2312" w:eastAsia="仿宋_GB2312"/>
          <w:color w:val="auto"/>
          <w:sz w:val="32"/>
          <w:szCs w:val="32"/>
          <w:highlight w:val="none"/>
        </w:rPr>
        <w:t>附件四</w:t>
      </w:r>
    </w:p>
    <w:tbl>
      <w:tblPr>
        <w:tblStyle w:val="54"/>
        <w:tblW w:w="9376" w:type="dxa"/>
        <w:jc w:val="center"/>
        <w:tblLayout w:type="fixed"/>
        <w:tblCellMar>
          <w:top w:w="0" w:type="dxa"/>
          <w:left w:w="108" w:type="dxa"/>
          <w:bottom w:w="0" w:type="dxa"/>
          <w:right w:w="108" w:type="dxa"/>
        </w:tblCellMar>
      </w:tblPr>
      <w:tblGrid>
        <w:gridCol w:w="640"/>
        <w:gridCol w:w="1133"/>
        <w:gridCol w:w="799"/>
        <w:gridCol w:w="2551"/>
        <w:gridCol w:w="3261"/>
        <w:gridCol w:w="992"/>
      </w:tblGrid>
      <w:tr w14:paraId="3265B4F9">
        <w:trPr>
          <w:trHeight w:val="570" w:hRule="atLeast"/>
          <w:jc w:val="center"/>
        </w:trPr>
        <w:tc>
          <w:tcPr>
            <w:tcW w:w="9376" w:type="dxa"/>
            <w:gridSpan w:val="6"/>
            <w:tcBorders>
              <w:top w:val="nil"/>
              <w:left w:val="nil"/>
              <w:bottom w:val="nil"/>
              <w:right w:val="nil"/>
            </w:tcBorders>
            <w:noWrap w:val="0"/>
            <w:vAlign w:val="center"/>
          </w:tcPr>
          <w:p w14:paraId="1E66F30A">
            <w:pPr>
              <w:widowControl/>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施工阶段设计合同履约评价表</w:t>
            </w:r>
          </w:p>
          <w:p w14:paraId="22D81CEA">
            <w:pPr>
              <w:widowControl/>
              <w:jc w:val="right"/>
              <w:rPr>
                <w:rFonts w:ascii="仿宋_GB2312" w:hAnsi="宋体" w:eastAsia="仿宋_GB2312"/>
                <w:color w:val="auto"/>
                <w:sz w:val="28"/>
                <w:szCs w:val="28"/>
                <w:highlight w:val="none"/>
              </w:rPr>
            </w:pPr>
            <w:r>
              <w:rPr>
                <w:rFonts w:ascii="仿宋_GB2312" w:hAnsi="宋体" w:eastAsia="仿宋_GB2312"/>
                <w:color w:val="auto"/>
                <w:sz w:val="24"/>
                <w:highlight w:val="none"/>
              </w:rPr>
              <w:t xml:space="preserve">20   </w:t>
            </w:r>
            <w:r>
              <w:rPr>
                <w:rFonts w:hint="eastAsia" w:ascii="仿宋_GB2312" w:hAnsi="宋体" w:eastAsia="仿宋_GB2312"/>
                <w:color w:val="auto"/>
                <w:sz w:val="24"/>
                <w:highlight w:val="none"/>
              </w:rPr>
              <w:t>年第</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季度</w:t>
            </w:r>
          </w:p>
        </w:tc>
      </w:tr>
      <w:tr w14:paraId="08C29EC5">
        <w:tblPrEx>
          <w:tblCellMar>
            <w:top w:w="0" w:type="dxa"/>
            <w:left w:w="108" w:type="dxa"/>
            <w:bottom w:w="0" w:type="dxa"/>
            <w:right w:w="108" w:type="dxa"/>
          </w:tblCellMar>
        </w:tblPrEx>
        <w:trPr>
          <w:jc w:val="center"/>
        </w:trPr>
        <w:tc>
          <w:tcPr>
            <w:tcW w:w="640" w:type="dxa"/>
            <w:tcBorders>
              <w:top w:val="single" w:color="auto" w:sz="4" w:space="0"/>
              <w:left w:val="single" w:color="auto" w:sz="4" w:space="0"/>
              <w:bottom w:val="single" w:color="auto" w:sz="4" w:space="0"/>
              <w:right w:val="single" w:color="auto" w:sz="4" w:space="0"/>
            </w:tcBorders>
            <w:noWrap w:val="0"/>
            <w:vAlign w:val="center"/>
          </w:tcPr>
          <w:p w14:paraId="63F5C96F">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序号</w:t>
            </w:r>
          </w:p>
        </w:tc>
        <w:tc>
          <w:tcPr>
            <w:tcW w:w="1133" w:type="dxa"/>
            <w:tcBorders>
              <w:top w:val="single" w:color="auto" w:sz="4" w:space="0"/>
              <w:left w:val="nil"/>
              <w:bottom w:val="single" w:color="auto" w:sz="4" w:space="0"/>
              <w:right w:val="single" w:color="auto" w:sz="4" w:space="0"/>
            </w:tcBorders>
            <w:noWrap w:val="0"/>
            <w:vAlign w:val="center"/>
          </w:tcPr>
          <w:p w14:paraId="1D9FF4BA">
            <w:pPr>
              <w:widowControl/>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内容</w:t>
            </w:r>
          </w:p>
        </w:tc>
        <w:tc>
          <w:tcPr>
            <w:tcW w:w="799" w:type="dxa"/>
            <w:tcBorders>
              <w:top w:val="single" w:color="auto" w:sz="4" w:space="0"/>
              <w:left w:val="nil"/>
              <w:bottom w:val="single" w:color="auto" w:sz="4" w:space="0"/>
              <w:right w:val="single" w:color="auto" w:sz="4" w:space="0"/>
            </w:tcBorders>
            <w:noWrap w:val="0"/>
            <w:vAlign w:val="center"/>
          </w:tcPr>
          <w:p w14:paraId="52B120AB">
            <w:pPr>
              <w:widowControl/>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单项</w:t>
            </w:r>
          </w:p>
          <w:p w14:paraId="6474339E">
            <w:pPr>
              <w:widowControl/>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分值</w:t>
            </w:r>
          </w:p>
        </w:tc>
        <w:tc>
          <w:tcPr>
            <w:tcW w:w="2551" w:type="dxa"/>
            <w:tcBorders>
              <w:top w:val="single" w:color="auto" w:sz="4" w:space="0"/>
              <w:left w:val="nil"/>
              <w:bottom w:val="single" w:color="auto" w:sz="4" w:space="0"/>
              <w:right w:val="single" w:color="auto" w:sz="4" w:space="0"/>
            </w:tcBorders>
            <w:noWrap w:val="0"/>
            <w:vAlign w:val="center"/>
          </w:tcPr>
          <w:p w14:paraId="1D04D022">
            <w:pPr>
              <w:widowControl/>
              <w:ind w:firstLine="472"/>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评价指标</w:t>
            </w:r>
          </w:p>
        </w:tc>
        <w:tc>
          <w:tcPr>
            <w:tcW w:w="3261" w:type="dxa"/>
            <w:tcBorders>
              <w:top w:val="single" w:color="auto" w:sz="4" w:space="0"/>
              <w:left w:val="nil"/>
              <w:bottom w:val="single" w:color="auto" w:sz="4" w:space="0"/>
              <w:right w:val="single" w:color="auto" w:sz="4" w:space="0"/>
            </w:tcBorders>
            <w:noWrap w:val="0"/>
            <w:vAlign w:val="center"/>
          </w:tcPr>
          <w:p w14:paraId="07814222">
            <w:pPr>
              <w:widowControl/>
              <w:ind w:firstLine="472"/>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评分标准</w:t>
            </w:r>
          </w:p>
        </w:tc>
        <w:tc>
          <w:tcPr>
            <w:tcW w:w="992" w:type="dxa"/>
            <w:tcBorders>
              <w:top w:val="single" w:color="auto" w:sz="4" w:space="0"/>
              <w:left w:val="nil"/>
              <w:bottom w:val="single" w:color="auto" w:sz="4" w:space="0"/>
              <w:right w:val="single" w:color="auto" w:sz="4" w:space="0"/>
            </w:tcBorders>
            <w:noWrap w:val="0"/>
            <w:vAlign w:val="center"/>
          </w:tcPr>
          <w:p w14:paraId="60F94D3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得分</w:t>
            </w:r>
          </w:p>
        </w:tc>
      </w:tr>
      <w:tr w14:paraId="5F99FA2C">
        <w:tblPrEx>
          <w:tblCellMar>
            <w:top w:w="0" w:type="dxa"/>
            <w:left w:w="108" w:type="dxa"/>
            <w:bottom w:w="0" w:type="dxa"/>
            <w:right w:w="108" w:type="dxa"/>
          </w:tblCellMar>
        </w:tblPrEx>
        <w:trPr>
          <w:jc w:val="center"/>
        </w:trPr>
        <w:tc>
          <w:tcPr>
            <w:tcW w:w="640" w:type="dxa"/>
            <w:tcBorders>
              <w:top w:val="nil"/>
              <w:left w:val="single" w:color="auto" w:sz="4" w:space="0"/>
              <w:bottom w:val="single" w:color="auto" w:sz="4" w:space="0"/>
              <w:right w:val="single" w:color="auto" w:sz="4" w:space="0"/>
            </w:tcBorders>
            <w:noWrap w:val="0"/>
            <w:vAlign w:val="center"/>
          </w:tcPr>
          <w:p w14:paraId="1687733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一</w:t>
            </w:r>
          </w:p>
        </w:tc>
        <w:tc>
          <w:tcPr>
            <w:tcW w:w="1133" w:type="dxa"/>
            <w:tcBorders>
              <w:top w:val="nil"/>
              <w:left w:val="nil"/>
              <w:bottom w:val="single" w:color="auto" w:sz="4" w:space="0"/>
              <w:right w:val="single" w:color="auto" w:sz="4" w:space="0"/>
            </w:tcBorders>
            <w:noWrap w:val="0"/>
            <w:vAlign w:val="center"/>
          </w:tcPr>
          <w:p w14:paraId="28F1F649">
            <w:pPr>
              <w:widowControl/>
              <w:jc w:val="left"/>
              <w:rPr>
                <w:color w:val="auto"/>
                <w:kern w:val="0"/>
                <w:szCs w:val="21"/>
                <w:highlight w:val="none"/>
              </w:rPr>
            </w:pPr>
            <w:r>
              <w:rPr>
                <w:rFonts w:hint="eastAsia" w:ascii="宋体" w:hAnsi="宋体"/>
                <w:color w:val="auto"/>
                <w:kern w:val="0"/>
                <w:szCs w:val="21"/>
                <w:highlight w:val="none"/>
              </w:rPr>
              <w:t>能力水平及履约表现</w:t>
            </w:r>
          </w:p>
        </w:tc>
        <w:tc>
          <w:tcPr>
            <w:tcW w:w="799" w:type="dxa"/>
            <w:tcBorders>
              <w:top w:val="nil"/>
              <w:left w:val="nil"/>
              <w:bottom w:val="single" w:color="auto" w:sz="4" w:space="0"/>
              <w:right w:val="single" w:color="auto" w:sz="4" w:space="0"/>
            </w:tcBorders>
            <w:noWrap w:val="0"/>
            <w:vAlign w:val="center"/>
          </w:tcPr>
          <w:p w14:paraId="1E9A875B">
            <w:pPr>
              <w:widowControl/>
              <w:jc w:val="center"/>
              <w:rPr>
                <w:color w:val="auto"/>
                <w:kern w:val="0"/>
                <w:szCs w:val="21"/>
                <w:highlight w:val="none"/>
              </w:rPr>
            </w:pPr>
            <w:r>
              <w:rPr>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2EEF7C94">
            <w:pPr>
              <w:widowControl/>
              <w:jc w:val="left"/>
              <w:rPr>
                <w:color w:val="auto"/>
                <w:kern w:val="0"/>
                <w:szCs w:val="21"/>
                <w:highlight w:val="none"/>
              </w:rPr>
            </w:pPr>
            <w:r>
              <w:rPr>
                <w:rFonts w:hint="eastAsia"/>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0FFA0E07">
            <w:pPr>
              <w:widowControl/>
              <w:jc w:val="left"/>
              <w:rPr>
                <w:color w:val="auto"/>
                <w:kern w:val="0"/>
                <w:szCs w:val="21"/>
                <w:highlight w:val="none"/>
              </w:rPr>
            </w:pPr>
            <w:r>
              <w:rPr>
                <w:color w:val="auto"/>
                <w:kern w:val="0"/>
                <w:szCs w:val="21"/>
                <w:highlight w:val="none"/>
              </w:rPr>
              <w:t xml:space="preserve"> </w:t>
            </w:r>
          </w:p>
        </w:tc>
        <w:tc>
          <w:tcPr>
            <w:tcW w:w="992" w:type="dxa"/>
            <w:tcBorders>
              <w:top w:val="nil"/>
              <w:left w:val="nil"/>
              <w:bottom w:val="single" w:color="auto" w:sz="4" w:space="0"/>
              <w:right w:val="single" w:color="auto" w:sz="4" w:space="0"/>
            </w:tcBorders>
            <w:noWrap w:val="0"/>
            <w:vAlign w:val="center"/>
          </w:tcPr>
          <w:p w14:paraId="6A744842">
            <w:pPr>
              <w:widowControl/>
              <w:jc w:val="center"/>
              <w:rPr>
                <w:color w:val="auto"/>
                <w:kern w:val="0"/>
                <w:szCs w:val="21"/>
                <w:highlight w:val="none"/>
              </w:rPr>
            </w:pPr>
            <w:r>
              <w:rPr>
                <w:rFonts w:hint="eastAsia"/>
                <w:color w:val="auto"/>
                <w:kern w:val="0"/>
                <w:szCs w:val="21"/>
                <w:highlight w:val="none"/>
              </w:rPr>
              <w:t>　</w:t>
            </w:r>
          </w:p>
        </w:tc>
      </w:tr>
      <w:tr w14:paraId="096E5B91">
        <w:tblPrEx>
          <w:tblCellMar>
            <w:top w:w="0" w:type="dxa"/>
            <w:left w:w="108" w:type="dxa"/>
            <w:bottom w:w="0" w:type="dxa"/>
            <w:right w:w="108" w:type="dxa"/>
          </w:tblCellMar>
        </w:tblPrEx>
        <w:trPr>
          <w:jc w:val="center"/>
        </w:trPr>
        <w:tc>
          <w:tcPr>
            <w:tcW w:w="640" w:type="dxa"/>
            <w:tcBorders>
              <w:top w:val="nil"/>
              <w:left w:val="single" w:color="auto" w:sz="4" w:space="0"/>
              <w:bottom w:val="single" w:color="auto" w:sz="4" w:space="0"/>
              <w:right w:val="single" w:color="auto" w:sz="4" w:space="0"/>
            </w:tcBorders>
            <w:noWrap w:val="0"/>
            <w:vAlign w:val="center"/>
          </w:tcPr>
          <w:p w14:paraId="051A4B71">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133" w:type="dxa"/>
            <w:tcBorders>
              <w:top w:val="nil"/>
              <w:left w:val="nil"/>
              <w:bottom w:val="single" w:color="auto" w:sz="4" w:space="0"/>
              <w:right w:val="single" w:color="auto" w:sz="4" w:space="0"/>
            </w:tcBorders>
            <w:noWrap w:val="0"/>
            <w:vAlign w:val="center"/>
          </w:tcPr>
          <w:p w14:paraId="56F5F3E5">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现场配合人员</w:t>
            </w:r>
          </w:p>
        </w:tc>
        <w:tc>
          <w:tcPr>
            <w:tcW w:w="799" w:type="dxa"/>
            <w:tcBorders>
              <w:top w:val="nil"/>
              <w:left w:val="nil"/>
              <w:bottom w:val="single" w:color="auto" w:sz="4" w:space="0"/>
              <w:right w:val="single" w:color="auto" w:sz="4" w:space="0"/>
            </w:tcBorders>
            <w:noWrap w:val="0"/>
            <w:vAlign w:val="center"/>
          </w:tcPr>
          <w:p w14:paraId="315DFA1C">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2089995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能否按合同及甲方要求及时协调配合甲方、专项设计单位及其它相关部门的工作；是否具有较强的沟通协调能力；能否在验收环节积极协助甲方完成相关工作；设计配合是否及时；能否按要求参加项目例会</w:t>
            </w:r>
          </w:p>
        </w:tc>
        <w:tc>
          <w:tcPr>
            <w:tcW w:w="3261" w:type="dxa"/>
            <w:tcBorders>
              <w:top w:val="nil"/>
              <w:left w:val="nil"/>
              <w:bottom w:val="single" w:color="auto" w:sz="4" w:space="0"/>
              <w:right w:val="single" w:color="auto" w:sz="4" w:space="0"/>
            </w:tcBorders>
            <w:noWrap w:val="0"/>
            <w:vAlign w:val="center"/>
          </w:tcPr>
          <w:p w14:paraId="163A454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w:t>
            </w:r>
            <w:r>
              <w:rPr>
                <w:rFonts w:ascii="宋体" w:hAnsi="宋体" w:cs="宋体"/>
                <w:color w:val="auto"/>
                <w:kern w:val="0"/>
                <w:szCs w:val="21"/>
                <w:highlight w:val="none"/>
              </w:rPr>
              <w:t>10分</w:t>
            </w:r>
          </w:p>
          <w:p w14:paraId="1188F3C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w:t>
            </w:r>
            <w:r>
              <w:rPr>
                <w:rFonts w:ascii="宋体" w:hAnsi="宋体" w:cs="宋体"/>
                <w:color w:val="auto"/>
                <w:kern w:val="0"/>
                <w:szCs w:val="21"/>
                <w:highlight w:val="none"/>
              </w:rPr>
              <w:t>8分</w:t>
            </w:r>
          </w:p>
          <w:p w14:paraId="3E925A2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w:t>
            </w:r>
            <w:r>
              <w:rPr>
                <w:rFonts w:ascii="宋体" w:hAnsi="宋体" w:cs="宋体"/>
                <w:color w:val="auto"/>
                <w:kern w:val="0"/>
                <w:szCs w:val="21"/>
                <w:highlight w:val="none"/>
              </w:rPr>
              <w:t>6分</w:t>
            </w:r>
          </w:p>
          <w:p w14:paraId="58A93ED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w:t>
            </w:r>
            <w:r>
              <w:rPr>
                <w:rFonts w:ascii="宋体" w:hAnsi="宋体" w:cs="宋体"/>
                <w:color w:val="auto"/>
                <w:kern w:val="0"/>
                <w:szCs w:val="21"/>
                <w:highlight w:val="none"/>
              </w:rPr>
              <w:t>4分</w:t>
            </w:r>
          </w:p>
          <w:p w14:paraId="5BEBED2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w:t>
            </w:r>
            <w:r>
              <w:rPr>
                <w:rFonts w:ascii="宋体" w:hAnsi="宋体" w:cs="宋体"/>
                <w:color w:val="auto"/>
                <w:kern w:val="0"/>
                <w:szCs w:val="21"/>
                <w:highlight w:val="none"/>
              </w:rPr>
              <w:t>2分</w:t>
            </w:r>
          </w:p>
        </w:tc>
        <w:tc>
          <w:tcPr>
            <w:tcW w:w="992" w:type="dxa"/>
            <w:tcBorders>
              <w:top w:val="nil"/>
              <w:left w:val="nil"/>
              <w:bottom w:val="single" w:color="auto" w:sz="4" w:space="0"/>
              <w:right w:val="single" w:color="auto" w:sz="4" w:space="0"/>
            </w:tcBorders>
            <w:noWrap w:val="0"/>
            <w:vAlign w:val="center"/>
          </w:tcPr>
          <w:p w14:paraId="467BBFA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0BF1347">
        <w:tblPrEx>
          <w:tblCellMar>
            <w:top w:w="0" w:type="dxa"/>
            <w:left w:w="108" w:type="dxa"/>
            <w:bottom w:w="0" w:type="dxa"/>
            <w:right w:w="108" w:type="dxa"/>
          </w:tblCellMar>
        </w:tblPrEx>
        <w:trPr>
          <w:jc w:val="center"/>
        </w:trPr>
        <w:tc>
          <w:tcPr>
            <w:tcW w:w="640" w:type="dxa"/>
            <w:tcBorders>
              <w:top w:val="nil"/>
              <w:left w:val="single" w:color="auto" w:sz="4" w:space="0"/>
              <w:bottom w:val="single" w:color="auto" w:sz="4" w:space="0"/>
              <w:right w:val="single" w:color="auto" w:sz="4" w:space="0"/>
            </w:tcBorders>
            <w:noWrap w:val="0"/>
            <w:vAlign w:val="center"/>
          </w:tcPr>
          <w:p w14:paraId="77DC2751">
            <w:pPr>
              <w:widowControl/>
              <w:jc w:val="center"/>
              <w:rPr>
                <w:rFonts w:ascii="宋体" w:hAnsi="宋体" w:cs="宋体"/>
                <w:color w:val="auto"/>
                <w:kern w:val="0"/>
                <w:szCs w:val="21"/>
                <w:highlight w:val="none"/>
              </w:rPr>
            </w:pPr>
            <w:r>
              <w:rPr>
                <w:rFonts w:ascii="宋体" w:hAnsi="宋体" w:cs="宋体"/>
                <w:color w:val="auto"/>
                <w:kern w:val="0"/>
                <w:szCs w:val="21"/>
                <w:highlight w:val="none"/>
              </w:rPr>
              <w:t>2</w:t>
            </w:r>
          </w:p>
        </w:tc>
        <w:tc>
          <w:tcPr>
            <w:tcW w:w="1133" w:type="dxa"/>
            <w:tcBorders>
              <w:top w:val="nil"/>
              <w:left w:val="nil"/>
              <w:bottom w:val="single" w:color="auto" w:sz="4" w:space="0"/>
              <w:right w:val="single" w:color="auto" w:sz="4" w:space="0"/>
            </w:tcBorders>
            <w:noWrap w:val="0"/>
            <w:vAlign w:val="center"/>
          </w:tcPr>
          <w:p w14:paraId="0E8547B6">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设计技术交底</w:t>
            </w:r>
          </w:p>
        </w:tc>
        <w:tc>
          <w:tcPr>
            <w:tcW w:w="799" w:type="dxa"/>
            <w:tcBorders>
              <w:top w:val="single" w:color="auto" w:sz="4" w:space="0"/>
              <w:left w:val="nil"/>
              <w:bottom w:val="nil"/>
              <w:right w:val="single" w:color="auto" w:sz="4" w:space="0"/>
            </w:tcBorders>
            <w:noWrap w:val="0"/>
            <w:vAlign w:val="center"/>
          </w:tcPr>
          <w:p w14:paraId="442DC75E">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11994CF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是否满足现场施工要求</w:t>
            </w:r>
          </w:p>
        </w:tc>
        <w:tc>
          <w:tcPr>
            <w:tcW w:w="3261" w:type="dxa"/>
            <w:tcBorders>
              <w:top w:val="nil"/>
              <w:left w:val="nil"/>
              <w:bottom w:val="single" w:color="auto" w:sz="4" w:space="0"/>
              <w:right w:val="single" w:color="auto" w:sz="4" w:space="0"/>
            </w:tcBorders>
            <w:noWrap w:val="0"/>
            <w:vAlign w:val="center"/>
          </w:tcPr>
          <w:p w14:paraId="3AF6D99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w:t>
            </w:r>
            <w:r>
              <w:rPr>
                <w:rFonts w:ascii="宋体" w:hAnsi="宋体" w:cs="宋体"/>
                <w:color w:val="auto"/>
                <w:kern w:val="0"/>
                <w:szCs w:val="21"/>
                <w:highlight w:val="none"/>
              </w:rPr>
              <w:t>10分</w:t>
            </w:r>
          </w:p>
          <w:p w14:paraId="2C0975E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w:t>
            </w:r>
            <w:r>
              <w:rPr>
                <w:rFonts w:ascii="宋体" w:hAnsi="宋体" w:cs="宋体"/>
                <w:color w:val="auto"/>
                <w:kern w:val="0"/>
                <w:szCs w:val="21"/>
                <w:highlight w:val="none"/>
              </w:rPr>
              <w:t>8分</w:t>
            </w:r>
          </w:p>
          <w:p w14:paraId="02DF861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w:t>
            </w:r>
            <w:r>
              <w:rPr>
                <w:rFonts w:ascii="宋体" w:hAnsi="宋体" w:cs="宋体"/>
                <w:color w:val="auto"/>
                <w:kern w:val="0"/>
                <w:szCs w:val="21"/>
                <w:highlight w:val="none"/>
              </w:rPr>
              <w:t>6分</w:t>
            </w:r>
          </w:p>
          <w:p w14:paraId="6F8FD5E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w:t>
            </w:r>
            <w:r>
              <w:rPr>
                <w:rFonts w:ascii="宋体" w:hAnsi="宋体" w:cs="宋体"/>
                <w:color w:val="auto"/>
                <w:kern w:val="0"/>
                <w:szCs w:val="21"/>
                <w:highlight w:val="none"/>
              </w:rPr>
              <w:t>4分</w:t>
            </w:r>
          </w:p>
          <w:p w14:paraId="7DDB4AA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w:t>
            </w:r>
            <w:r>
              <w:rPr>
                <w:rFonts w:ascii="宋体" w:hAnsi="宋体" w:cs="宋体"/>
                <w:color w:val="auto"/>
                <w:kern w:val="0"/>
                <w:szCs w:val="21"/>
                <w:highlight w:val="none"/>
              </w:rPr>
              <w:t>2分</w:t>
            </w:r>
          </w:p>
        </w:tc>
        <w:tc>
          <w:tcPr>
            <w:tcW w:w="992" w:type="dxa"/>
            <w:tcBorders>
              <w:top w:val="nil"/>
              <w:left w:val="nil"/>
              <w:bottom w:val="single" w:color="auto" w:sz="4" w:space="0"/>
              <w:right w:val="single" w:color="auto" w:sz="4" w:space="0"/>
            </w:tcBorders>
            <w:noWrap w:val="0"/>
            <w:vAlign w:val="center"/>
          </w:tcPr>
          <w:p w14:paraId="0E98E5BF">
            <w:pPr>
              <w:widowControl/>
              <w:jc w:val="center"/>
              <w:rPr>
                <w:rFonts w:ascii="宋体" w:hAnsi="宋体" w:cs="宋体"/>
                <w:color w:val="auto"/>
                <w:kern w:val="0"/>
                <w:szCs w:val="21"/>
                <w:highlight w:val="none"/>
              </w:rPr>
            </w:pPr>
          </w:p>
        </w:tc>
      </w:tr>
      <w:tr w14:paraId="48117BA0">
        <w:tblPrEx>
          <w:tblCellMar>
            <w:top w:w="0" w:type="dxa"/>
            <w:left w:w="108" w:type="dxa"/>
            <w:bottom w:w="0" w:type="dxa"/>
            <w:right w:w="108" w:type="dxa"/>
          </w:tblCellMar>
        </w:tblPrEx>
        <w:trPr>
          <w:jc w:val="center"/>
        </w:trPr>
        <w:tc>
          <w:tcPr>
            <w:tcW w:w="640" w:type="dxa"/>
            <w:tcBorders>
              <w:top w:val="nil"/>
              <w:left w:val="single" w:color="auto" w:sz="4" w:space="0"/>
              <w:bottom w:val="single" w:color="auto" w:sz="4" w:space="0"/>
              <w:right w:val="single" w:color="auto" w:sz="4" w:space="0"/>
            </w:tcBorders>
            <w:noWrap w:val="0"/>
            <w:vAlign w:val="center"/>
          </w:tcPr>
          <w:p w14:paraId="06F14F4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二</w:t>
            </w:r>
          </w:p>
        </w:tc>
        <w:tc>
          <w:tcPr>
            <w:tcW w:w="1133" w:type="dxa"/>
            <w:tcBorders>
              <w:top w:val="nil"/>
              <w:left w:val="nil"/>
              <w:bottom w:val="single" w:color="auto" w:sz="4" w:space="0"/>
              <w:right w:val="single" w:color="auto" w:sz="4" w:space="0"/>
            </w:tcBorders>
            <w:noWrap w:val="0"/>
            <w:vAlign w:val="center"/>
          </w:tcPr>
          <w:p w14:paraId="26D1820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设计图纸质量</w:t>
            </w:r>
          </w:p>
        </w:tc>
        <w:tc>
          <w:tcPr>
            <w:tcW w:w="799" w:type="dxa"/>
            <w:tcBorders>
              <w:top w:val="single" w:color="auto" w:sz="4" w:space="0"/>
              <w:left w:val="nil"/>
              <w:bottom w:val="single" w:color="auto" w:sz="4" w:space="0"/>
              <w:right w:val="single" w:color="auto" w:sz="4" w:space="0"/>
            </w:tcBorders>
            <w:noWrap w:val="0"/>
            <w:vAlign w:val="center"/>
          </w:tcPr>
          <w:p w14:paraId="3FED1950">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30</w:t>
            </w:r>
          </w:p>
        </w:tc>
        <w:tc>
          <w:tcPr>
            <w:tcW w:w="2551" w:type="dxa"/>
            <w:tcBorders>
              <w:top w:val="nil"/>
              <w:left w:val="nil"/>
              <w:bottom w:val="single" w:color="auto" w:sz="4" w:space="0"/>
              <w:right w:val="single" w:color="auto" w:sz="4" w:space="0"/>
            </w:tcBorders>
            <w:noWrap w:val="0"/>
            <w:vAlign w:val="center"/>
          </w:tcPr>
          <w:p w14:paraId="712B052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43125650">
            <w:pPr>
              <w:widowControl/>
              <w:jc w:val="left"/>
              <w:rPr>
                <w:rFonts w:ascii="宋体" w:hAnsi="宋体" w:cs="宋体"/>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0238612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28A45259">
        <w:tblPrEx>
          <w:tblCellMar>
            <w:top w:w="0" w:type="dxa"/>
            <w:left w:w="108" w:type="dxa"/>
            <w:bottom w:w="0" w:type="dxa"/>
            <w:right w:w="108" w:type="dxa"/>
          </w:tblCellMar>
        </w:tblPrEx>
        <w:trPr>
          <w:jc w:val="center"/>
        </w:trPr>
        <w:tc>
          <w:tcPr>
            <w:tcW w:w="640" w:type="dxa"/>
            <w:tcBorders>
              <w:top w:val="nil"/>
              <w:left w:val="single" w:color="auto" w:sz="4" w:space="0"/>
              <w:bottom w:val="single" w:color="auto" w:sz="4" w:space="0"/>
              <w:right w:val="single" w:color="auto" w:sz="4" w:space="0"/>
            </w:tcBorders>
            <w:noWrap w:val="0"/>
            <w:vAlign w:val="center"/>
          </w:tcPr>
          <w:p w14:paraId="67924954">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133" w:type="dxa"/>
            <w:tcBorders>
              <w:top w:val="nil"/>
              <w:left w:val="nil"/>
              <w:bottom w:val="single" w:color="auto" w:sz="4" w:space="0"/>
              <w:right w:val="single" w:color="auto" w:sz="4" w:space="0"/>
            </w:tcBorders>
            <w:noWrap w:val="0"/>
            <w:vAlign w:val="center"/>
          </w:tcPr>
          <w:p w14:paraId="7DB915D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错漏碰缺</w:t>
            </w:r>
          </w:p>
        </w:tc>
        <w:tc>
          <w:tcPr>
            <w:tcW w:w="799" w:type="dxa"/>
            <w:tcBorders>
              <w:top w:val="nil"/>
              <w:left w:val="nil"/>
              <w:bottom w:val="single" w:color="auto" w:sz="4" w:space="0"/>
              <w:right w:val="single" w:color="auto" w:sz="4" w:space="0"/>
            </w:tcBorders>
            <w:noWrap w:val="0"/>
            <w:vAlign w:val="center"/>
          </w:tcPr>
          <w:p w14:paraId="4B307EA6">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1EC4C58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施工过程中发现设计图纸上存在的错漏碰缺对造价及工期的影响</w:t>
            </w:r>
          </w:p>
        </w:tc>
        <w:tc>
          <w:tcPr>
            <w:tcW w:w="3261" w:type="dxa"/>
            <w:tcBorders>
              <w:top w:val="nil"/>
              <w:left w:val="nil"/>
              <w:bottom w:val="single" w:color="auto" w:sz="4" w:space="0"/>
              <w:right w:val="single" w:color="auto" w:sz="4" w:space="0"/>
            </w:tcBorders>
            <w:noWrap w:val="0"/>
            <w:vAlign w:val="center"/>
          </w:tcPr>
          <w:p w14:paraId="63854C7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设计图纸上存在的错漏碰缺，产生以下影响：</w:t>
            </w:r>
          </w:p>
          <w:p w14:paraId="6BEE8C51">
            <w:pPr>
              <w:widowControl/>
              <w:jc w:val="left"/>
              <w:rPr>
                <w:rFonts w:ascii="宋体" w:hAnsi="宋体" w:cs="宋体"/>
                <w:color w:val="auto"/>
                <w:kern w:val="0"/>
                <w:szCs w:val="21"/>
                <w:highlight w:val="none"/>
              </w:rPr>
            </w:pPr>
            <w:r>
              <w:rPr>
                <w:rFonts w:ascii="宋体" w:hAnsi="宋体" w:cs="宋体"/>
                <w:color w:val="auto"/>
                <w:kern w:val="0"/>
                <w:szCs w:val="21"/>
                <w:highlight w:val="none"/>
              </w:rPr>
              <w:t>1、工程造价增加10</w:t>
            </w:r>
            <w:r>
              <w:rPr>
                <w:rFonts w:hint="eastAsia" w:ascii="宋体" w:hAnsi="宋体" w:cs="宋体"/>
                <w:color w:val="auto"/>
                <w:kern w:val="0"/>
                <w:szCs w:val="21"/>
                <w:highlight w:val="none"/>
              </w:rPr>
              <w:t>万元（含）以上，或影响总工期</w:t>
            </w:r>
            <w:r>
              <w:rPr>
                <w:rFonts w:ascii="宋体" w:hAnsi="宋体" w:cs="宋体"/>
                <w:color w:val="auto"/>
                <w:kern w:val="0"/>
                <w:szCs w:val="21"/>
                <w:highlight w:val="none"/>
              </w:rPr>
              <w:t>10</w:t>
            </w:r>
            <w:r>
              <w:rPr>
                <w:rFonts w:hint="eastAsia" w:ascii="宋体" w:hAnsi="宋体" w:cs="宋体"/>
                <w:color w:val="auto"/>
                <w:kern w:val="0"/>
                <w:szCs w:val="21"/>
                <w:highlight w:val="none"/>
              </w:rPr>
              <w:t>天（含）以上的，扣</w:t>
            </w:r>
            <w:r>
              <w:rPr>
                <w:rFonts w:ascii="宋体" w:hAnsi="宋体" w:cs="宋体"/>
                <w:color w:val="auto"/>
                <w:kern w:val="0"/>
                <w:szCs w:val="21"/>
                <w:highlight w:val="none"/>
              </w:rPr>
              <w:t>10分；</w:t>
            </w:r>
          </w:p>
          <w:p w14:paraId="4D7BB950">
            <w:pPr>
              <w:widowControl/>
              <w:jc w:val="left"/>
              <w:rPr>
                <w:rFonts w:ascii="宋体" w:hAnsi="宋体" w:cs="宋体"/>
                <w:color w:val="auto"/>
                <w:kern w:val="0"/>
                <w:szCs w:val="21"/>
                <w:highlight w:val="none"/>
              </w:rPr>
            </w:pPr>
            <w:r>
              <w:rPr>
                <w:rFonts w:ascii="宋体" w:hAnsi="宋体" w:cs="宋体"/>
                <w:color w:val="auto"/>
                <w:kern w:val="0"/>
                <w:szCs w:val="21"/>
                <w:highlight w:val="none"/>
              </w:rPr>
              <w:t>2、工程造价增加5</w:t>
            </w:r>
            <w:r>
              <w:rPr>
                <w:rFonts w:hint="eastAsia" w:ascii="宋体" w:hAnsi="宋体" w:cs="宋体"/>
                <w:color w:val="auto"/>
                <w:kern w:val="0"/>
                <w:szCs w:val="21"/>
                <w:highlight w:val="none"/>
              </w:rPr>
              <w:t>万元（含）</w:t>
            </w:r>
            <w:r>
              <w:rPr>
                <w:rFonts w:ascii="宋体" w:hAnsi="宋体" w:cs="宋体"/>
                <w:color w:val="auto"/>
                <w:kern w:val="0"/>
                <w:szCs w:val="21"/>
                <w:highlight w:val="none"/>
              </w:rPr>
              <w:t>-10</w:t>
            </w:r>
            <w:r>
              <w:rPr>
                <w:rFonts w:hint="eastAsia" w:ascii="宋体" w:hAnsi="宋体" w:cs="宋体"/>
                <w:color w:val="auto"/>
                <w:kern w:val="0"/>
                <w:szCs w:val="21"/>
                <w:highlight w:val="none"/>
              </w:rPr>
              <w:t>万元的，或影响总工期</w:t>
            </w:r>
            <w:r>
              <w:rPr>
                <w:rFonts w:ascii="宋体" w:hAnsi="宋体" w:cs="宋体"/>
                <w:color w:val="auto"/>
                <w:kern w:val="0"/>
                <w:szCs w:val="21"/>
                <w:highlight w:val="none"/>
              </w:rPr>
              <w:t>5天（含）-10</w:t>
            </w:r>
            <w:r>
              <w:rPr>
                <w:rFonts w:hint="eastAsia" w:ascii="宋体" w:hAnsi="宋体" w:cs="宋体"/>
                <w:color w:val="auto"/>
                <w:kern w:val="0"/>
                <w:szCs w:val="21"/>
                <w:highlight w:val="none"/>
              </w:rPr>
              <w:t>天的，扣</w:t>
            </w:r>
            <w:r>
              <w:rPr>
                <w:rFonts w:ascii="宋体" w:hAnsi="宋体" w:cs="宋体"/>
                <w:color w:val="auto"/>
                <w:kern w:val="0"/>
                <w:szCs w:val="21"/>
                <w:highlight w:val="none"/>
              </w:rPr>
              <w:t>5分；</w:t>
            </w:r>
          </w:p>
          <w:p w14:paraId="547A4D1F">
            <w:pPr>
              <w:widowControl/>
              <w:jc w:val="left"/>
              <w:rPr>
                <w:rFonts w:ascii="宋体" w:hAnsi="宋体" w:cs="宋体"/>
                <w:color w:val="auto"/>
                <w:kern w:val="0"/>
                <w:szCs w:val="21"/>
                <w:highlight w:val="none"/>
              </w:rPr>
            </w:pPr>
            <w:r>
              <w:rPr>
                <w:rFonts w:ascii="宋体" w:hAnsi="宋体" w:cs="宋体"/>
                <w:color w:val="auto"/>
                <w:kern w:val="0"/>
                <w:szCs w:val="21"/>
                <w:highlight w:val="none"/>
              </w:rPr>
              <w:t>3、工程造价增加5</w:t>
            </w:r>
            <w:r>
              <w:rPr>
                <w:rFonts w:hint="eastAsia" w:ascii="宋体" w:hAnsi="宋体" w:cs="宋体"/>
                <w:color w:val="auto"/>
                <w:kern w:val="0"/>
                <w:szCs w:val="21"/>
                <w:highlight w:val="none"/>
              </w:rPr>
              <w:t>万元以下的，或影响总工期</w:t>
            </w:r>
            <w:r>
              <w:rPr>
                <w:rFonts w:ascii="宋体" w:hAnsi="宋体" w:cs="宋体"/>
                <w:color w:val="auto"/>
                <w:kern w:val="0"/>
                <w:szCs w:val="21"/>
                <w:highlight w:val="none"/>
              </w:rPr>
              <w:t>5天以内的，扣2分。</w:t>
            </w:r>
          </w:p>
        </w:tc>
        <w:tc>
          <w:tcPr>
            <w:tcW w:w="992" w:type="dxa"/>
            <w:tcBorders>
              <w:top w:val="nil"/>
              <w:left w:val="nil"/>
              <w:bottom w:val="single" w:color="auto" w:sz="4" w:space="0"/>
              <w:right w:val="single" w:color="auto" w:sz="4" w:space="0"/>
            </w:tcBorders>
            <w:noWrap w:val="0"/>
            <w:vAlign w:val="center"/>
          </w:tcPr>
          <w:p w14:paraId="1D3F5C8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DDE7694">
        <w:tblPrEx>
          <w:tblCellMar>
            <w:top w:w="0" w:type="dxa"/>
            <w:left w:w="108" w:type="dxa"/>
            <w:bottom w:w="0" w:type="dxa"/>
            <w:right w:w="108" w:type="dxa"/>
          </w:tblCellMar>
        </w:tblPrEx>
        <w:trPr>
          <w:jc w:val="center"/>
        </w:trPr>
        <w:tc>
          <w:tcPr>
            <w:tcW w:w="640" w:type="dxa"/>
            <w:tcBorders>
              <w:top w:val="nil"/>
              <w:left w:val="single" w:color="auto" w:sz="4" w:space="0"/>
              <w:bottom w:val="single" w:color="auto" w:sz="4" w:space="0"/>
              <w:right w:val="single" w:color="auto" w:sz="4" w:space="0"/>
            </w:tcBorders>
            <w:noWrap w:val="0"/>
            <w:vAlign w:val="center"/>
          </w:tcPr>
          <w:p w14:paraId="731AB18A">
            <w:pPr>
              <w:widowControl/>
              <w:jc w:val="center"/>
              <w:rPr>
                <w:rFonts w:ascii="宋体" w:hAnsi="宋体" w:cs="宋体"/>
                <w:color w:val="auto"/>
                <w:kern w:val="0"/>
                <w:szCs w:val="21"/>
                <w:highlight w:val="none"/>
              </w:rPr>
            </w:pPr>
            <w:r>
              <w:rPr>
                <w:rFonts w:ascii="宋体" w:hAnsi="宋体" w:cs="宋体"/>
                <w:color w:val="auto"/>
                <w:kern w:val="0"/>
                <w:szCs w:val="21"/>
                <w:highlight w:val="none"/>
              </w:rPr>
              <w:t>2</w:t>
            </w:r>
          </w:p>
        </w:tc>
        <w:tc>
          <w:tcPr>
            <w:tcW w:w="1133" w:type="dxa"/>
            <w:tcBorders>
              <w:top w:val="nil"/>
              <w:left w:val="nil"/>
              <w:bottom w:val="single" w:color="auto" w:sz="4" w:space="0"/>
              <w:right w:val="single" w:color="auto" w:sz="4" w:space="0"/>
            </w:tcBorders>
            <w:noWrap w:val="0"/>
            <w:vAlign w:val="center"/>
          </w:tcPr>
          <w:p w14:paraId="3AFAFBB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编制竣工图</w:t>
            </w:r>
          </w:p>
        </w:tc>
        <w:tc>
          <w:tcPr>
            <w:tcW w:w="799" w:type="dxa"/>
            <w:tcBorders>
              <w:top w:val="nil"/>
              <w:left w:val="nil"/>
              <w:bottom w:val="single" w:color="auto" w:sz="4" w:space="0"/>
              <w:right w:val="single" w:color="auto" w:sz="4" w:space="0"/>
            </w:tcBorders>
            <w:noWrap w:val="0"/>
            <w:vAlign w:val="center"/>
          </w:tcPr>
          <w:p w14:paraId="356005CF">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26C3060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竣工图是否准确反映实际情况</w:t>
            </w:r>
          </w:p>
        </w:tc>
        <w:tc>
          <w:tcPr>
            <w:tcW w:w="3261" w:type="dxa"/>
            <w:tcBorders>
              <w:top w:val="nil"/>
              <w:left w:val="nil"/>
              <w:bottom w:val="single" w:color="auto" w:sz="4" w:space="0"/>
              <w:right w:val="single" w:color="auto" w:sz="4" w:space="0"/>
            </w:tcBorders>
            <w:noWrap w:val="0"/>
            <w:vAlign w:val="center"/>
          </w:tcPr>
          <w:p w14:paraId="7AE781D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竣工图不符合实际情况的，每处扣</w:t>
            </w:r>
            <w:r>
              <w:rPr>
                <w:rFonts w:ascii="宋体" w:hAnsi="宋体" w:cs="宋体"/>
                <w:color w:val="auto"/>
                <w:kern w:val="0"/>
                <w:szCs w:val="21"/>
                <w:highlight w:val="none"/>
              </w:rPr>
              <w:t>2分。</w:t>
            </w:r>
          </w:p>
        </w:tc>
        <w:tc>
          <w:tcPr>
            <w:tcW w:w="992" w:type="dxa"/>
            <w:tcBorders>
              <w:top w:val="nil"/>
              <w:left w:val="nil"/>
              <w:bottom w:val="single" w:color="auto" w:sz="4" w:space="0"/>
              <w:right w:val="single" w:color="auto" w:sz="4" w:space="0"/>
            </w:tcBorders>
            <w:noWrap w:val="0"/>
            <w:vAlign w:val="center"/>
          </w:tcPr>
          <w:p w14:paraId="340F83E5">
            <w:pPr>
              <w:widowControl/>
              <w:jc w:val="left"/>
              <w:rPr>
                <w:rFonts w:ascii="宋体" w:hAnsi="宋体" w:cs="宋体"/>
                <w:color w:val="auto"/>
                <w:kern w:val="0"/>
                <w:szCs w:val="21"/>
                <w:highlight w:val="none"/>
              </w:rPr>
            </w:pPr>
          </w:p>
        </w:tc>
      </w:tr>
      <w:tr w14:paraId="4C4F63A0">
        <w:tblPrEx>
          <w:tblCellMar>
            <w:top w:w="0" w:type="dxa"/>
            <w:left w:w="108" w:type="dxa"/>
            <w:bottom w:w="0" w:type="dxa"/>
            <w:right w:w="108" w:type="dxa"/>
          </w:tblCellMar>
        </w:tblPrEx>
        <w:trPr>
          <w:jc w:val="center"/>
        </w:trPr>
        <w:tc>
          <w:tcPr>
            <w:tcW w:w="640" w:type="dxa"/>
            <w:tcBorders>
              <w:top w:val="nil"/>
              <w:left w:val="single" w:color="auto" w:sz="4" w:space="0"/>
              <w:bottom w:val="single" w:color="auto" w:sz="4" w:space="0"/>
              <w:right w:val="single" w:color="auto" w:sz="4" w:space="0"/>
            </w:tcBorders>
            <w:noWrap w:val="0"/>
            <w:vAlign w:val="center"/>
          </w:tcPr>
          <w:p w14:paraId="6787E30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三</w:t>
            </w:r>
          </w:p>
        </w:tc>
        <w:tc>
          <w:tcPr>
            <w:tcW w:w="1133" w:type="dxa"/>
            <w:tcBorders>
              <w:top w:val="nil"/>
              <w:left w:val="nil"/>
              <w:bottom w:val="single" w:color="auto" w:sz="4" w:space="0"/>
              <w:right w:val="single" w:color="auto" w:sz="4" w:space="0"/>
            </w:tcBorders>
            <w:noWrap w:val="0"/>
            <w:vAlign w:val="center"/>
          </w:tcPr>
          <w:p w14:paraId="1827340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工程变更</w:t>
            </w:r>
          </w:p>
        </w:tc>
        <w:tc>
          <w:tcPr>
            <w:tcW w:w="799" w:type="dxa"/>
            <w:tcBorders>
              <w:top w:val="nil"/>
              <w:left w:val="nil"/>
              <w:bottom w:val="single" w:color="auto" w:sz="4" w:space="0"/>
              <w:right w:val="single" w:color="auto" w:sz="4" w:space="0"/>
            </w:tcBorders>
            <w:noWrap w:val="0"/>
            <w:vAlign w:val="center"/>
          </w:tcPr>
          <w:p w14:paraId="38751BDE">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50</w:t>
            </w:r>
          </w:p>
        </w:tc>
        <w:tc>
          <w:tcPr>
            <w:tcW w:w="2551" w:type="dxa"/>
            <w:tcBorders>
              <w:top w:val="nil"/>
              <w:left w:val="nil"/>
              <w:bottom w:val="single" w:color="auto" w:sz="4" w:space="0"/>
              <w:right w:val="single" w:color="auto" w:sz="4" w:space="0"/>
            </w:tcBorders>
            <w:noWrap w:val="0"/>
            <w:vAlign w:val="center"/>
          </w:tcPr>
          <w:p w14:paraId="194D4592">
            <w:pPr>
              <w:widowControl/>
              <w:jc w:val="left"/>
              <w:rPr>
                <w:rFonts w:ascii="宋体" w:hAnsi="宋体" w:cs="宋体"/>
                <w:color w:val="auto"/>
                <w:kern w:val="0"/>
                <w:szCs w:val="21"/>
                <w:highlight w:val="none"/>
              </w:rPr>
            </w:pPr>
          </w:p>
        </w:tc>
        <w:tc>
          <w:tcPr>
            <w:tcW w:w="3261" w:type="dxa"/>
            <w:tcBorders>
              <w:top w:val="nil"/>
              <w:left w:val="nil"/>
              <w:bottom w:val="single" w:color="auto" w:sz="4" w:space="0"/>
              <w:right w:val="single" w:color="auto" w:sz="4" w:space="0"/>
            </w:tcBorders>
            <w:noWrap w:val="0"/>
            <w:vAlign w:val="center"/>
          </w:tcPr>
          <w:p w14:paraId="774E410C">
            <w:pPr>
              <w:widowControl/>
              <w:jc w:val="left"/>
              <w:rPr>
                <w:rFonts w:ascii="宋体" w:hAnsi="宋体" w:cs="宋体"/>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4E8D076B">
            <w:pPr>
              <w:widowControl/>
              <w:jc w:val="left"/>
              <w:rPr>
                <w:rFonts w:ascii="宋体" w:hAnsi="宋体" w:cs="宋体"/>
                <w:color w:val="auto"/>
                <w:kern w:val="0"/>
                <w:szCs w:val="21"/>
                <w:highlight w:val="none"/>
              </w:rPr>
            </w:pPr>
          </w:p>
        </w:tc>
      </w:tr>
      <w:tr w14:paraId="7383926E">
        <w:tblPrEx>
          <w:tblCellMar>
            <w:top w:w="0" w:type="dxa"/>
            <w:left w:w="108" w:type="dxa"/>
            <w:bottom w:w="0" w:type="dxa"/>
            <w:right w:w="108" w:type="dxa"/>
          </w:tblCellMar>
        </w:tblPrEx>
        <w:trPr>
          <w:jc w:val="center"/>
        </w:trPr>
        <w:tc>
          <w:tcPr>
            <w:tcW w:w="640" w:type="dxa"/>
            <w:tcBorders>
              <w:top w:val="nil"/>
              <w:left w:val="single" w:color="auto" w:sz="4" w:space="0"/>
              <w:bottom w:val="single" w:color="auto" w:sz="4" w:space="0"/>
              <w:right w:val="single" w:color="auto" w:sz="4" w:space="0"/>
            </w:tcBorders>
            <w:noWrap w:val="0"/>
            <w:vAlign w:val="center"/>
          </w:tcPr>
          <w:p w14:paraId="4D643863">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133" w:type="dxa"/>
            <w:tcBorders>
              <w:top w:val="nil"/>
              <w:left w:val="nil"/>
              <w:bottom w:val="single" w:color="auto" w:sz="4" w:space="0"/>
              <w:right w:val="single" w:color="auto" w:sz="4" w:space="0"/>
            </w:tcBorders>
            <w:noWrap w:val="0"/>
            <w:vAlign w:val="center"/>
          </w:tcPr>
          <w:p w14:paraId="4D3BE04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工程变更</w:t>
            </w:r>
          </w:p>
        </w:tc>
        <w:tc>
          <w:tcPr>
            <w:tcW w:w="799" w:type="dxa"/>
            <w:tcBorders>
              <w:top w:val="nil"/>
              <w:left w:val="nil"/>
              <w:bottom w:val="single" w:color="auto" w:sz="4" w:space="0"/>
              <w:right w:val="single" w:color="auto" w:sz="4" w:space="0"/>
            </w:tcBorders>
            <w:noWrap w:val="0"/>
            <w:vAlign w:val="center"/>
          </w:tcPr>
          <w:p w14:paraId="2812D094">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40</w:t>
            </w:r>
          </w:p>
        </w:tc>
        <w:tc>
          <w:tcPr>
            <w:tcW w:w="2551" w:type="dxa"/>
            <w:tcBorders>
              <w:top w:val="nil"/>
              <w:left w:val="nil"/>
              <w:bottom w:val="single" w:color="auto" w:sz="4" w:space="0"/>
              <w:right w:val="single" w:color="auto" w:sz="4" w:space="0"/>
            </w:tcBorders>
            <w:noWrap w:val="0"/>
            <w:vAlign w:val="center"/>
          </w:tcPr>
          <w:p w14:paraId="326A6B4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是否由乙方设计原因造成设计变更，设计变更是否引起工程费用增加，是否影响工程总工期</w:t>
            </w:r>
          </w:p>
        </w:tc>
        <w:tc>
          <w:tcPr>
            <w:tcW w:w="3261" w:type="dxa"/>
            <w:tcBorders>
              <w:top w:val="nil"/>
              <w:left w:val="nil"/>
              <w:bottom w:val="single" w:color="auto" w:sz="4" w:space="0"/>
              <w:right w:val="single" w:color="auto" w:sz="4" w:space="0"/>
            </w:tcBorders>
            <w:noWrap w:val="0"/>
            <w:vAlign w:val="center"/>
          </w:tcPr>
          <w:p w14:paraId="1AD2A77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由乙方原因造成的设计变更，产生以下影响：</w:t>
            </w:r>
          </w:p>
          <w:p w14:paraId="5C296CE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设计变更超过施工合同价</w:t>
            </w:r>
            <w:r>
              <w:rPr>
                <w:rFonts w:ascii="宋体" w:hAnsi="宋体" w:cs="宋体"/>
                <w:color w:val="auto"/>
                <w:kern w:val="0"/>
                <w:szCs w:val="21"/>
                <w:highlight w:val="none"/>
              </w:rPr>
              <w:t>10%的，扣40分；</w:t>
            </w:r>
          </w:p>
          <w:p w14:paraId="381B736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设计变更超过施工合同价</w:t>
            </w:r>
            <w:r>
              <w:rPr>
                <w:rFonts w:ascii="宋体" w:hAnsi="宋体" w:cs="宋体"/>
                <w:color w:val="auto"/>
                <w:kern w:val="0"/>
                <w:szCs w:val="21"/>
                <w:highlight w:val="none"/>
              </w:rPr>
              <w:t>5%的，扣20分；</w:t>
            </w:r>
          </w:p>
          <w:p w14:paraId="6EDD45F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需调整工程总概算来处理其费用变化，或影响总工期</w:t>
            </w:r>
            <w:r>
              <w:rPr>
                <w:rFonts w:ascii="宋体" w:hAnsi="宋体" w:cs="宋体"/>
                <w:color w:val="auto"/>
                <w:kern w:val="0"/>
                <w:szCs w:val="21"/>
                <w:highlight w:val="none"/>
              </w:rPr>
              <w:t>30天以上（含30天），每次扣20分；</w:t>
            </w:r>
          </w:p>
          <w:p w14:paraId="3017DB0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一次工程变更估算金额增加在</w:t>
            </w:r>
            <w:r>
              <w:rPr>
                <w:rFonts w:ascii="宋体" w:hAnsi="宋体" w:cs="宋体"/>
                <w:color w:val="auto"/>
                <w:kern w:val="0"/>
                <w:szCs w:val="21"/>
                <w:highlight w:val="none"/>
              </w:rPr>
              <w:t>50万元（含）以上，或影响总工期10-30天（含10天）的工程变更，扣10分；</w:t>
            </w:r>
          </w:p>
          <w:p w14:paraId="1CFA80A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一次工程变更估算金额增加在</w:t>
            </w:r>
            <w:r>
              <w:rPr>
                <w:rFonts w:ascii="宋体" w:hAnsi="宋体" w:cs="宋体"/>
                <w:color w:val="auto"/>
                <w:kern w:val="0"/>
                <w:szCs w:val="21"/>
                <w:highlight w:val="none"/>
              </w:rPr>
              <w:t>5-50万元（含5万元）的工程变更，或影响总工期10天以内的工程变更，扣5分；</w:t>
            </w:r>
          </w:p>
          <w:p w14:paraId="547735F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一次工程变更估算金额增加在</w:t>
            </w:r>
            <w:r>
              <w:rPr>
                <w:rFonts w:ascii="宋体" w:hAnsi="宋体" w:cs="宋体"/>
                <w:color w:val="auto"/>
                <w:kern w:val="0"/>
                <w:szCs w:val="21"/>
                <w:highlight w:val="none"/>
              </w:rPr>
              <w:t>5万元以下的工程变更，扣3分。</w:t>
            </w:r>
          </w:p>
        </w:tc>
        <w:tc>
          <w:tcPr>
            <w:tcW w:w="992" w:type="dxa"/>
            <w:tcBorders>
              <w:top w:val="nil"/>
              <w:left w:val="nil"/>
              <w:bottom w:val="single" w:color="auto" w:sz="4" w:space="0"/>
              <w:right w:val="single" w:color="auto" w:sz="4" w:space="0"/>
            </w:tcBorders>
            <w:noWrap w:val="0"/>
            <w:vAlign w:val="center"/>
          </w:tcPr>
          <w:p w14:paraId="4A874BA9">
            <w:pPr>
              <w:widowControl/>
              <w:jc w:val="left"/>
              <w:rPr>
                <w:rFonts w:ascii="宋体" w:hAnsi="宋体" w:cs="宋体"/>
                <w:color w:val="auto"/>
                <w:kern w:val="0"/>
                <w:szCs w:val="21"/>
                <w:highlight w:val="none"/>
              </w:rPr>
            </w:pPr>
          </w:p>
        </w:tc>
      </w:tr>
      <w:tr w14:paraId="6856F4AB">
        <w:tblPrEx>
          <w:tblCellMar>
            <w:top w:w="0" w:type="dxa"/>
            <w:left w:w="108" w:type="dxa"/>
            <w:bottom w:w="0" w:type="dxa"/>
            <w:right w:w="108" w:type="dxa"/>
          </w:tblCellMar>
        </w:tblPrEx>
        <w:trPr>
          <w:jc w:val="center"/>
        </w:trPr>
        <w:tc>
          <w:tcPr>
            <w:tcW w:w="640" w:type="dxa"/>
            <w:tcBorders>
              <w:top w:val="nil"/>
              <w:left w:val="single" w:color="auto" w:sz="4" w:space="0"/>
              <w:bottom w:val="single" w:color="auto" w:sz="4" w:space="0"/>
              <w:right w:val="single" w:color="auto" w:sz="4" w:space="0"/>
            </w:tcBorders>
            <w:noWrap w:val="0"/>
            <w:vAlign w:val="center"/>
          </w:tcPr>
          <w:p w14:paraId="28CB51D9">
            <w:pPr>
              <w:widowControl/>
              <w:jc w:val="center"/>
              <w:rPr>
                <w:rFonts w:ascii="宋体" w:hAnsi="宋体" w:cs="宋体"/>
                <w:color w:val="auto"/>
                <w:kern w:val="0"/>
                <w:szCs w:val="21"/>
                <w:highlight w:val="none"/>
              </w:rPr>
            </w:pPr>
            <w:r>
              <w:rPr>
                <w:rFonts w:ascii="宋体" w:hAnsi="宋体" w:cs="宋体"/>
                <w:color w:val="auto"/>
                <w:kern w:val="0"/>
                <w:szCs w:val="21"/>
                <w:highlight w:val="none"/>
              </w:rPr>
              <w:t>2</w:t>
            </w:r>
          </w:p>
        </w:tc>
        <w:tc>
          <w:tcPr>
            <w:tcW w:w="1133" w:type="dxa"/>
            <w:tcBorders>
              <w:top w:val="nil"/>
              <w:left w:val="nil"/>
              <w:bottom w:val="single" w:color="auto" w:sz="4" w:space="0"/>
              <w:right w:val="single" w:color="auto" w:sz="4" w:space="0"/>
            </w:tcBorders>
            <w:noWrap w:val="0"/>
            <w:vAlign w:val="center"/>
          </w:tcPr>
          <w:p w14:paraId="5212952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工程变更设计进度</w:t>
            </w:r>
          </w:p>
        </w:tc>
        <w:tc>
          <w:tcPr>
            <w:tcW w:w="799" w:type="dxa"/>
            <w:tcBorders>
              <w:top w:val="nil"/>
              <w:left w:val="nil"/>
              <w:bottom w:val="single" w:color="auto" w:sz="4" w:space="0"/>
              <w:right w:val="single" w:color="auto" w:sz="4" w:space="0"/>
            </w:tcBorders>
            <w:noWrap w:val="0"/>
            <w:vAlign w:val="center"/>
          </w:tcPr>
          <w:p w14:paraId="30C90322">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292CBA5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是否及时按甲方要求完成设计变更</w:t>
            </w:r>
          </w:p>
        </w:tc>
        <w:tc>
          <w:tcPr>
            <w:tcW w:w="3261" w:type="dxa"/>
            <w:tcBorders>
              <w:top w:val="nil"/>
              <w:left w:val="nil"/>
              <w:bottom w:val="single" w:color="auto" w:sz="4" w:space="0"/>
              <w:right w:val="single" w:color="auto" w:sz="4" w:space="0"/>
            </w:tcBorders>
            <w:noWrap w:val="0"/>
            <w:vAlign w:val="center"/>
          </w:tcPr>
          <w:p w14:paraId="5DD4E9F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w:t>
            </w:r>
            <w:r>
              <w:rPr>
                <w:rFonts w:ascii="宋体" w:hAnsi="宋体" w:cs="宋体"/>
                <w:color w:val="auto"/>
                <w:kern w:val="0"/>
                <w:szCs w:val="21"/>
                <w:highlight w:val="none"/>
              </w:rPr>
              <w:t>10分</w:t>
            </w:r>
          </w:p>
          <w:p w14:paraId="3432F8E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w:t>
            </w:r>
            <w:r>
              <w:rPr>
                <w:rFonts w:ascii="宋体" w:hAnsi="宋体" w:cs="宋体"/>
                <w:color w:val="auto"/>
                <w:kern w:val="0"/>
                <w:szCs w:val="21"/>
                <w:highlight w:val="none"/>
              </w:rPr>
              <w:t>8分</w:t>
            </w:r>
          </w:p>
          <w:p w14:paraId="61B0DF0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w:t>
            </w:r>
            <w:r>
              <w:rPr>
                <w:rFonts w:ascii="宋体" w:hAnsi="宋体" w:cs="宋体"/>
                <w:color w:val="auto"/>
                <w:kern w:val="0"/>
                <w:szCs w:val="21"/>
                <w:highlight w:val="none"/>
              </w:rPr>
              <w:t>6分</w:t>
            </w:r>
          </w:p>
          <w:p w14:paraId="0E56588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w:t>
            </w:r>
            <w:r>
              <w:rPr>
                <w:rFonts w:ascii="宋体" w:hAnsi="宋体" w:cs="宋体"/>
                <w:color w:val="auto"/>
                <w:kern w:val="0"/>
                <w:szCs w:val="21"/>
                <w:highlight w:val="none"/>
              </w:rPr>
              <w:t>4分</w:t>
            </w:r>
          </w:p>
          <w:p w14:paraId="471725A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w:t>
            </w:r>
            <w:r>
              <w:rPr>
                <w:rFonts w:ascii="宋体" w:hAnsi="宋体" w:cs="宋体"/>
                <w:color w:val="auto"/>
                <w:kern w:val="0"/>
                <w:szCs w:val="21"/>
                <w:highlight w:val="none"/>
              </w:rPr>
              <w:t>2分</w:t>
            </w:r>
          </w:p>
        </w:tc>
        <w:tc>
          <w:tcPr>
            <w:tcW w:w="992" w:type="dxa"/>
            <w:tcBorders>
              <w:top w:val="nil"/>
              <w:left w:val="nil"/>
              <w:bottom w:val="single" w:color="auto" w:sz="4" w:space="0"/>
              <w:right w:val="single" w:color="auto" w:sz="4" w:space="0"/>
            </w:tcBorders>
            <w:noWrap w:val="0"/>
            <w:vAlign w:val="center"/>
          </w:tcPr>
          <w:p w14:paraId="38DCF71D">
            <w:pPr>
              <w:widowControl/>
              <w:jc w:val="left"/>
              <w:rPr>
                <w:rFonts w:ascii="宋体" w:hAnsi="宋体" w:cs="宋体"/>
                <w:color w:val="auto"/>
                <w:kern w:val="0"/>
                <w:szCs w:val="21"/>
                <w:highlight w:val="none"/>
              </w:rPr>
            </w:pPr>
          </w:p>
        </w:tc>
      </w:tr>
      <w:tr w14:paraId="3C545E38">
        <w:tblPrEx>
          <w:tblCellMar>
            <w:top w:w="0" w:type="dxa"/>
            <w:left w:w="108" w:type="dxa"/>
            <w:bottom w:w="0" w:type="dxa"/>
            <w:right w:w="108" w:type="dxa"/>
          </w:tblCellMar>
        </w:tblPrEx>
        <w:trPr>
          <w:jc w:val="center"/>
        </w:trPr>
        <w:tc>
          <w:tcPr>
            <w:tcW w:w="640" w:type="dxa"/>
            <w:tcBorders>
              <w:top w:val="nil"/>
              <w:left w:val="single" w:color="auto" w:sz="4" w:space="0"/>
              <w:bottom w:val="single" w:color="auto" w:sz="4" w:space="0"/>
              <w:right w:val="single" w:color="auto" w:sz="4" w:space="0"/>
            </w:tcBorders>
            <w:noWrap w:val="0"/>
            <w:vAlign w:val="center"/>
          </w:tcPr>
          <w:p w14:paraId="62CD72B3">
            <w:pPr>
              <w:widowControl/>
              <w:jc w:val="center"/>
              <w:rPr>
                <w:color w:val="auto"/>
                <w:kern w:val="0"/>
                <w:szCs w:val="21"/>
                <w:highlight w:val="none"/>
              </w:rPr>
            </w:pPr>
            <w:r>
              <w:rPr>
                <w:rFonts w:hint="eastAsia"/>
                <w:color w:val="auto"/>
                <w:kern w:val="0"/>
                <w:szCs w:val="21"/>
                <w:highlight w:val="none"/>
              </w:rPr>
              <w:t>　</w:t>
            </w:r>
          </w:p>
        </w:tc>
        <w:tc>
          <w:tcPr>
            <w:tcW w:w="1133" w:type="dxa"/>
            <w:tcBorders>
              <w:top w:val="nil"/>
              <w:left w:val="nil"/>
              <w:bottom w:val="single" w:color="auto" w:sz="4" w:space="0"/>
              <w:right w:val="single" w:color="auto" w:sz="4" w:space="0"/>
            </w:tcBorders>
            <w:noWrap w:val="0"/>
            <w:vAlign w:val="center"/>
          </w:tcPr>
          <w:p w14:paraId="405FC8DC">
            <w:pPr>
              <w:widowControl/>
              <w:jc w:val="center"/>
              <w:rPr>
                <w:color w:val="auto"/>
                <w:kern w:val="0"/>
                <w:szCs w:val="21"/>
                <w:highlight w:val="none"/>
              </w:rPr>
            </w:pPr>
            <w:r>
              <w:rPr>
                <w:rFonts w:hint="eastAsia"/>
                <w:color w:val="auto"/>
                <w:kern w:val="0"/>
                <w:szCs w:val="21"/>
                <w:highlight w:val="none"/>
              </w:rPr>
              <w:t>合计</w:t>
            </w:r>
          </w:p>
        </w:tc>
        <w:tc>
          <w:tcPr>
            <w:tcW w:w="799" w:type="dxa"/>
            <w:tcBorders>
              <w:top w:val="nil"/>
              <w:left w:val="nil"/>
              <w:bottom w:val="single" w:color="auto" w:sz="4" w:space="0"/>
              <w:right w:val="single" w:color="auto" w:sz="4" w:space="0"/>
            </w:tcBorders>
            <w:noWrap w:val="0"/>
            <w:vAlign w:val="center"/>
          </w:tcPr>
          <w:p w14:paraId="0A03F545">
            <w:pPr>
              <w:widowControl/>
              <w:jc w:val="center"/>
              <w:rPr>
                <w:color w:val="auto"/>
                <w:kern w:val="0"/>
                <w:szCs w:val="21"/>
                <w:highlight w:val="none"/>
              </w:rPr>
            </w:pPr>
            <w:r>
              <w:rPr>
                <w:color w:val="auto"/>
                <w:kern w:val="0"/>
                <w:szCs w:val="21"/>
                <w:highlight w:val="none"/>
              </w:rPr>
              <w:t>100</w:t>
            </w:r>
          </w:p>
        </w:tc>
        <w:tc>
          <w:tcPr>
            <w:tcW w:w="2551" w:type="dxa"/>
            <w:tcBorders>
              <w:top w:val="nil"/>
              <w:left w:val="nil"/>
              <w:bottom w:val="single" w:color="auto" w:sz="4" w:space="0"/>
              <w:right w:val="single" w:color="auto" w:sz="4" w:space="0"/>
            </w:tcBorders>
            <w:noWrap w:val="0"/>
            <w:vAlign w:val="center"/>
          </w:tcPr>
          <w:p w14:paraId="69AA7023">
            <w:pPr>
              <w:widowControl/>
              <w:rPr>
                <w:color w:val="auto"/>
                <w:kern w:val="0"/>
                <w:szCs w:val="21"/>
                <w:highlight w:val="none"/>
              </w:rPr>
            </w:pPr>
          </w:p>
        </w:tc>
        <w:tc>
          <w:tcPr>
            <w:tcW w:w="3261" w:type="dxa"/>
            <w:tcBorders>
              <w:top w:val="nil"/>
              <w:left w:val="nil"/>
              <w:bottom w:val="single" w:color="auto" w:sz="4" w:space="0"/>
              <w:right w:val="single" w:color="auto" w:sz="4" w:space="0"/>
            </w:tcBorders>
            <w:noWrap w:val="0"/>
            <w:vAlign w:val="center"/>
          </w:tcPr>
          <w:p w14:paraId="1EB91CAA">
            <w:pPr>
              <w:widowControl/>
              <w:rPr>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2AE503A8">
            <w:pPr>
              <w:widowControl/>
              <w:rPr>
                <w:color w:val="auto"/>
                <w:kern w:val="0"/>
                <w:szCs w:val="21"/>
                <w:highlight w:val="none"/>
              </w:rPr>
            </w:pPr>
          </w:p>
        </w:tc>
      </w:tr>
    </w:tbl>
    <w:p w14:paraId="6521023F">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一、注：</w:t>
      </w:r>
    </w:p>
    <w:p w14:paraId="45D0612E">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1、每一评分项扣分，至该项对应分值扣完为止。</w:t>
      </w:r>
    </w:p>
    <w:p w14:paraId="792703E8">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2、应在岗实际未在岗累计达到3天的，或经问询明显不了解项目具体情况累计达到3次的，或未按甲方要求出席会议累计达到3次的，可认定自行更换</w:t>
      </w:r>
    </w:p>
    <w:p w14:paraId="5A76CB54">
      <w:pPr>
        <w:adjustRightInd w:val="0"/>
        <w:snapToGrid w:val="0"/>
        <w:rPr>
          <w:rFonts w:ascii="宋体" w:hAnsi="宋体" w:cs="宋体"/>
          <w:color w:val="auto"/>
          <w:kern w:val="0"/>
          <w:szCs w:val="21"/>
          <w:highlight w:val="none"/>
        </w:rPr>
      </w:pPr>
    </w:p>
    <w:p w14:paraId="37E8CB82">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二、扣分情况说明：</w:t>
      </w:r>
    </w:p>
    <w:p w14:paraId="39A21149">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1、</w:t>
      </w:r>
    </w:p>
    <w:p w14:paraId="07814D6D">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2、</w:t>
      </w:r>
    </w:p>
    <w:p w14:paraId="0523CCB0">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3、</w:t>
      </w:r>
    </w:p>
    <w:p w14:paraId="6CA6843D">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w:t>
      </w:r>
    </w:p>
    <w:p w14:paraId="5DA6D140">
      <w:pPr>
        <w:adjustRightInd w:val="0"/>
        <w:snapToGrid w:val="0"/>
        <w:rPr>
          <w:rFonts w:ascii="宋体" w:hAnsi="宋体" w:cs="宋体"/>
          <w:color w:val="auto"/>
          <w:kern w:val="0"/>
          <w:szCs w:val="21"/>
          <w:highlight w:val="none"/>
        </w:rPr>
      </w:pPr>
    </w:p>
    <w:p w14:paraId="12F929B4">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项目负责人：×××</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签名：</w:t>
      </w:r>
      <w:r>
        <w:rPr>
          <w:rFonts w:ascii="宋体" w:hAnsi="宋体" w:cs="宋体"/>
          <w:color w:val="auto"/>
          <w:kern w:val="0"/>
          <w:szCs w:val="21"/>
          <w:highlight w:val="none"/>
          <w:u w:val="single"/>
        </w:rPr>
        <w:t xml:space="preserve">             </w:t>
      </w:r>
    </w:p>
    <w:p w14:paraId="61B9709F">
      <w:pPr>
        <w:adjustRightInd w:val="0"/>
        <w:snapToGrid w:val="0"/>
        <w:rPr>
          <w:rFonts w:ascii="宋体" w:hAnsi="宋体" w:cs="宋体"/>
          <w:color w:val="auto"/>
          <w:kern w:val="0"/>
          <w:szCs w:val="21"/>
          <w:highlight w:val="none"/>
        </w:rPr>
      </w:pPr>
    </w:p>
    <w:p w14:paraId="288CD742">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部门负责人：×××</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签名：</w:t>
      </w:r>
      <w:r>
        <w:rPr>
          <w:rFonts w:ascii="宋体" w:hAnsi="宋体" w:cs="宋体"/>
          <w:color w:val="auto"/>
          <w:kern w:val="0"/>
          <w:szCs w:val="21"/>
          <w:highlight w:val="none"/>
          <w:u w:val="single"/>
        </w:rPr>
        <w:t xml:space="preserve">             </w:t>
      </w:r>
    </w:p>
    <w:p w14:paraId="648953B1">
      <w:pPr>
        <w:adjustRightInd w:val="0"/>
        <w:snapToGrid w:val="0"/>
        <w:rPr>
          <w:rFonts w:ascii="宋体" w:hAnsi="宋体" w:cs="宋体"/>
          <w:color w:val="auto"/>
          <w:kern w:val="0"/>
          <w:szCs w:val="21"/>
          <w:highlight w:val="none"/>
        </w:rPr>
      </w:pPr>
    </w:p>
    <w:p w14:paraId="5F7F301B">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日期：</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年</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月</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日</w:t>
      </w:r>
    </w:p>
    <w:p w14:paraId="59CDE344">
      <w:pPr>
        <w:adjustRightInd w:val="0"/>
        <w:snapToGrid w:val="0"/>
        <w:rPr>
          <w:rFonts w:ascii="宋体" w:hAnsi="宋体" w:cs="宋体"/>
          <w:color w:val="auto"/>
          <w:kern w:val="0"/>
          <w:szCs w:val="21"/>
          <w:highlight w:val="none"/>
        </w:rPr>
      </w:pPr>
    </w:p>
    <w:p w14:paraId="13F5A6E9">
      <w:pPr>
        <w:spacing w:line="560" w:lineRule="exact"/>
        <w:ind w:firstLine="472"/>
        <w:rPr>
          <w:rFonts w:ascii="仿宋_GB2312" w:eastAsia="仿宋_GB2312"/>
          <w:color w:val="auto"/>
          <w:sz w:val="32"/>
          <w:szCs w:val="32"/>
          <w:highlight w:val="none"/>
        </w:rPr>
      </w:pPr>
      <w:r>
        <w:rPr>
          <w:rFonts w:ascii="宋体" w:hAnsi="宋体"/>
          <w:color w:val="auto"/>
          <w:szCs w:val="21"/>
          <w:highlight w:val="none"/>
        </w:rPr>
        <w:br w:type="page"/>
      </w:r>
      <w:r>
        <w:rPr>
          <w:rFonts w:hint="eastAsia" w:ascii="仿宋_GB2312" w:eastAsia="仿宋_GB2312"/>
          <w:color w:val="auto"/>
          <w:sz w:val="32"/>
          <w:szCs w:val="32"/>
          <w:highlight w:val="none"/>
        </w:rPr>
        <w:t>附件五</w:t>
      </w:r>
    </w:p>
    <w:tbl>
      <w:tblPr>
        <w:tblStyle w:val="54"/>
        <w:tblW w:w="9376" w:type="dxa"/>
        <w:jc w:val="center"/>
        <w:tblLayout w:type="fixed"/>
        <w:tblCellMar>
          <w:top w:w="0" w:type="dxa"/>
          <w:left w:w="108" w:type="dxa"/>
          <w:bottom w:w="0" w:type="dxa"/>
          <w:right w:w="108" w:type="dxa"/>
        </w:tblCellMar>
      </w:tblPr>
      <w:tblGrid>
        <w:gridCol w:w="580"/>
        <w:gridCol w:w="1193"/>
        <w:gridCol w:w="799"/>
        <w:gridCol w:w="2551"/>
        <w:gridCol w:w="3261"/>
        <w:gridCol w:w="992"/>
      </w:tblGrid>
      <w:tr w14:paraId="3B91C0A9">
        <w:tblPrEx>
          <w:tblCellMar>
            <w:top w:w="0" w:type="dxa"/>
            <w:left w:w="108" w:type="dxa"/>
            <w:bottom w:w="0" w:type="dxa"/>
            <w:right w:w="108" w:type="dxa"/>
          </w:tblCellMar>
        </w:tblPrEx>
        <w:trPr>
          <w:trHeight w:val="570" w:hRule="atLeast"/>
          <w:jc w:val="center"/>
        </w:trPr>
        <w:tc>
          <w:tcPr>
            <w:tcW w:w="9376" w:type="dxa"/>
            <w:gridSpan w:val="6"/>
            <w:tcBorders>
              <w:top w:val="nil"/>
              <w:left w:val="nil"/>
              <w:bottom w:val="nil"/>
              <w:right w:val="nil"/>
            </w:tcBorders>
            <w:noWrap w:val="0"/>
            <w:vAlign w:val="center"/>
          </w:tcPr>
          <w:p w14:paraId="18B2C40C">
            <w:pPr>
              <w:widowControl/>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缺陷责任期阶段设计合同履约评价表</w:t>
            </w:r>
          </w:p>
          <w:p w14:paraId="2CF45E9A">
            <w:pPr>
              <w:widowControl/>
              <w:wordWrap w:val="0"/>
              <w:jc w:val="right"/>
              <w:rPr>
                <w:rFonts w:ascii="仿宋_GB2312" w:hAnsi="宋体" w:eastAsia="仿宋_GB2312"/>
                <w:color w:val="auto"/>
                <w:sz w:val="24"/>
                <w:highlight w:val="none"/>
              </w:rPr>
            </w:pPr>
            <w:r>
              <w:rPr>
                <w:rFonts w:ascii="仿宋_GB2312" w:hAnsi="宋体" w:eastAsia="仿宋_GB2312"/>
                <w:color w:val="auto"/>
                <w:sz w:val="24"/>
                <w:highlight w:val="none"/>
              </w:rPr>
              <w:t xml:space="preserve">20   </w:t>
            </w:r>
            <w:r>
              <w:rPr>
                <w:rFonts w:hint="eastAsia" w:ascii="仿宋_GB2312" w:hAnsi="宋体" w:eastAsia="仿宋_GB2312"/>
                <w:color w:val="auto"/>
                <w:sz w:val="24"/>
                <w:highlight w:val="none"/>
              </w:rPr>
              <w:t>年度</w:t>
            </w:r>
          </w:p>
        </w:tc>
      </w:tr>
      <w:tr w14:paraId="11D24F57">
        <w:tblPrEx>
          <w:tblCellMar>
            <w:top w:w="0" w:type="dxa"/>
            <w:left w:w="108" w:type="dxa"/>
            <w:bottom w:w="0" w:type="dxa"/>
            <w:right w:w="108" w:type="dxa"/>
          </w:tblCellMar>
        </w:tblPrEx>
        <w:trPr>
          <w:trHeight w:val="750" w:hRule="atLeast"/>
          <w:jc w:val="center"/>
        </w:trPr>
        <w:tc>
          <w:tcPr>
            <w:tcW w:w="580" w:type="dxa"/>
            <w:tcBorders>
              <w:top w:val="single" w:color="auto" w:sz="4" w:space="0"/>
              <w:left w:val="single" w:color="auto" w:sz="4" w:space="0"/>
              <w:bottom w:val="single" w:color="auto" w:sz="4" w:space="0"/>
              <w:right w:val="single" w:color="auto" w:sz="4" w:space="0"/>
            </w:tcBorders>
            <w:noWrap w:val="0"/>
            <w:vAlign w:val="center"/>
          </w:tcPr>
          <w:p w14:paraId="1B3740FC">
            <w:pPr>
              <w:widowControl/>
              <w:rPr>
                <w:rFonts w:ascii="宋体" w:hAnsi="宋体" w:cs="宋体"/>
                <w:bCs/>
                <w:color w:val="auto"/>
                <w:kern w:val="0"/>
                <w:szCs w:val="21"/>
                <w:highlight w:val="none"/>
              </w:rPr>
            </w:pPr>
            <w:r>
              <w:rPr>
                <w:rFonts w:hint="eastAsia" w:ascii="宋体" w:hAnsi="宋体" w:cs="宋体"/>
                <w:bCs/>
                <w:color w:val="auto"/>
                <w:kern w:val="0"/>
                <w:szCs w:val="21"/>
                <w:highlight w:val="none"/>
              </w:rPr>
              <w:t>序号</w:t>
            </w:r>
          </w:p>
        </w:tc>
        <w:tc>
          <w:tcPr>
            <w:tcW w:w="1193" w:type="dxa"/>
            <w:tcBorders>
              <w:top w:val="single" w:color="auto" w:sz="4" w:space="0"/>
              <w:left w:val="nil"/>
              <w:bottom w:val="single" w:color="auto" w:sz="4" w:space="0"/>
              <w:right w:val="single" w:color="auto" w:sz="4" w:space="0"/>
            </w:tcBorders>
            <w:noWrap w:val="0"/>
            <w:vAlign w:val="center"/>
          </w:tcPr>
          <w:p w14:paraId="4B997C5B">
            <w:pPr>
              <w:widowControl/>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内容</w:t>
            </w:r>
          </w:p>
        </w:tc>
        <w:tc>
          <w:tcPr>
            <w:tcW w:w="799" w:type="dxa"/>
            <w:tcBorders>
              <w:top w:val="single" w:color="auto" w:sz="4" w:space="0"/>
              <w:left w:val="nil"/>
              <w:bottom w:val="single" w:color="auto" w:sz="4" w:space="0"/>
              <w:right w:val="single" w:color="auto" w:sz="4" w:space="0"/>
            </w:tcBorders>
            <w:noWrap w:val="0"/>
            <w:vAlign w:val="center"/>
          </w:tcPr>
          <w:p w14:paraId="7BE52243">
            <w:pPr>
              <w:widowControl/>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单项</w:t>
            </w:r>
          </w:p>
          <w:p w14:paraId="605FCE27">
            <w:pPr>
              <w:widowControl/>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分值</w:t>
            </w:r>
          </w:p>
        </w:tc>
        <w:tc>
          <w:tcPr>
            <w:tcW w:w="2551" w:type="dxa"/>
            <w:tcBorders>
              <w:top w:val="single" w:color="auto" w:sz="4" w:space="0"/>
              <w:left w:val="nil"/>
              <w:bottom w:val="single" w:color="auto" w:sz="4" w:space="0"/>
              <w:right w:val="single" w:color="auto" w:sz="4" w:space="0"/>
            </w:tcBorders>
            <w:noWrap w:val="0"/>
            <w:vAlign w:val="center"/>
          </w:tcPr>
          <w:p w14:paraId="4279B2FA">
            <w:pPr>
              <w:widowControl/>
              <w:ind w:firstLine="472"/>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评价指标</w:t>
            </w:r>
          </w:p>
        </w:tc>
        <w:tc>
          <w:tcPr>
            <w:tcW w:w="3261" w:type="dxa"/>
            <w:tcBorders>
              <w:top w:val="single" w:color="auto" w:sz="4" w:space="0"/>
              <w:left w:val="nil"/>
              <w:bottom w:val="single" w:color="auto" w:sz="4" w:space="0"/>
              <w:right w:val="single" w:color="auto" w:sz="4" w:space="0"/>
            </w:tcBorders>
            <w:noWrap w:val="0"/>
            <w:vAlign w:val="center"/>
          </w:tcPr>
          <w:p w14:paraId="4FE796C3">
            <w:pPr>
              <w:widowControl/>
              <w:ind w:firstLine="472"/>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评分标准</w:t>
            </w:r>
          </w:p>
        </w:tc>
        <w:tc>
          <w:tcPr>
            <w:tcW w:w="992" w:type="dxa"/>
            <w:tcBorders>
              <w:top w:val="single" w:color="auto" w:sz="4" w:space="0"/>
              <w:left w:val="nil"/>
              <w:bottom w:val="single" w:color="auto" w:sz="4" w:space="0"/>
              <w:right w:val="single" w:color="auto" w:sz="4" w:space="0"/>
            </w:tcBorders>
            <w:noWrap w:val="0"/>
            <w:vAlign w:val="center"/>
          </w:tcPr>
          <w:p w14:paraId="7550DDB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得分</w:t>
            </w:r>
          </w:p>
        </w:tc>
      </w:tr>
      <w:tr w14:paraId="4069E1F7">
        <w:tblPrEx>
          <w:tblCellMar>
            <w:top w:w="0" w:type="dxa"/>
            <w:left w:w="108" w:type="dxa"/>
            <w:bottom w:w="0" w:type="dxa"/>
            <w:right w:w="108" w:type="dxa"/>
          </w:tblCellMar>
        </w:tblPrEx>
        <w:trPr>
          <w:trHeight w:val="870" w:hRule="atLeast"/>
          <w:jc w:val="center"/>
        </w:trPr>
        <w:tc>
          <w:tcPr>
            <w:tcW w:w="580" w:type="dxa"/>
            <w:tcBorders>
              <w:top w:val="nil"/>
              <w:left w:val="single" w:color="auto" w:sz="4" w:space="0"/>
              <w:bottom w:val="single" w:color="auto" w:sz="4" w:space="0"/>
              <w:right w:val="single" w:color="auto" w:sz="4" w:space="0"/>
            </w:tcBorders>
            <w:noWrap w:val="0"/>
            <w:vAlign w:val="center"/>
          </w:tcPr>
          <w:p w14:paraId="127DFBA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一</w:t>
            </w:r>
          </w:p>
        </w:tc>
        <w:tc>
          <w:tcPr>
            <w:tcW w:w="1193" w:type="dxa"/>
            <w:tcBorders>
              <w:top w:val="nil"/>
              <w:left w:val="nil"/>
              <w:bottom w:val="single" w:color="auto" w:sz="4" w:space="0"/>
              <w:right w:val="single" w:color="auto" w:sz="4" w:space="0"/>
            </w:tcBorders>
            <w:noWrap w:val="0"/>
            <w:vAlign w:val="center"/>
          </w:tcPr>
          <w:p w14:paraId="6BFBFF63">
            <w:pPr>
              <w:widowControl/>
              <w:jc w:val="left"/>
              <w:rPr>
                <w:color w:val="auto"/>
                <w:kern w:val="0"/>
                <w:szCs w:val="21"/>
                <w:highlight w:val="none"/>
              </w:rPr>
            </w:pPr>
            <w:r>
              <w:rPr>
                <w:rFonts w:hint="eastAsia" w:ascii="宋体" w:hAnsi="宋体"/>
                <w:color w:val="auto"/>
                <w:kern w:val="0"/>
                <w:szCs w:val="21"/>
                <w:highlight w:val="none"/>
              </w:rPr>
              <w:t>能力水平及履约表现</w:t>
            </w:r>
          </w:p>
        </w:tc>
        <w:tc>
          <w:tcPr>
            <w:tcW w:w="799" w:type="dxa"/>
            <w:tcBorders>
              <w:top w:val="nil"/>
              <w:left w:val="nil"/>
              <w:bottom w:val="single" w:color="auto" w:sz="4" w:space="0"/>
              <w:right w:val="single" w:color="auto" w:sz="4" w:space="0"/>
            </w:tcBorders>
            <w:noWrap w:val="0"/>
            <w:vAlign w:val="center"/>
          </w:tcPr>
          <w:p w14:paraId="4B82B46F">
            <w:pPr>
              <w:widowControl/>
              <w:jc w:val="center"/>
              <w:rPr>
                <w:color w:val="auto"/>
                <w:kern w:val="0"/>
                <w:szCs w:val="21"/>
                <w:highlight w:val="none"/>
              </w:rPr>
            </w:pPr>
            <w:r>
              <w:rPr>
                <w:color w:val="auto"/>
                <w:kern w:val="0"/>
                <w:szCs w:val="21"/>
                <w:highlight w:val="none"/>
              </w:rPr>
              <w:t>30</w:t>
            </w:r>
          </w:p>
        </w:tc>
        <w:tc>
          <w:tcPr>
            <w:tcW w:w="2551" w:type="dxa"/>
            <w:tcBorders>
              <w:top w:val="nil"/>
              <w:left w:val="nil"/>
              <w:bottom w:val="single" w:color="auto" w:sz="4" w:space="0"/>
              <w:right w:val="single" w:color="auto" w:sz="4" w:space="0"/>
            </w:tcBorders>
            <w:noWrap w:val="0"/>
            <w:vAlign w:val="center"/>
          </w:tcPr>
          <w:p w14:paraId="328880E5">
            <w:pPr>
              <w:widowControl/>
              <w:jc w:val="left"/>
              <w:rPr>
                <w:color w:val="auto"/>
                <w:kern w:val="0"/>
                <w:szCs w:val="21"/>
                <w:highlight w:val="none"/>
              </w:rPr>
            </w:pPr>
            <w:r>
              <w:rPr>
                <w:rFonts w:hint="eastAsia"/>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2FFD55DD">
            <w:pPr>
              <w:widowControl/>
              <w:jc w:val="left"/>
              <w:rPr>
                <w:color w:val="auto"/>
                <w:kern w:val="0"/>
                <w:szCs w:val="21"/>
                <w:highlight w:val="none"/>
              </w:rPr>
            </w:pPr>
            <w:r>
              <w:rPr>
                <w:color w:val="auto"/>
                <w:kern w:val="0"/>
                <w:szCs w:val="21"/>
                <w:highlight w:val="none"/>
              </w:rPr>
              <w:t xml:space="preserve"> </w:t>
            </w:r>
          </w:p>
        </w:tc>
        <w:tc>
          <w:tcPr>
            <w:tcW w:w="992" w:type="dxa"/>
            <w:tcBorders>
              <w:top w:val="nil"/>
              <w:left w:val="nil"/>
              <w:bottom w:val="single" w:color="auto" w:sz="4" w:space="0"/>
              <w:right w:val="single" w:color="auto" w:sz="4" w:space="0"/>
            </w:tcBorders>
            <w:noWrap w:val="0"/>
            <w:vAlign w:val="center"/>
          </w:tcPr>
          <w:p w14:paraId="0EC6C41E">
            <w:pPr>
              <w:widowControl/>
              <w:jc w:val="center"/>
              <w:rPr>
                <w:color w:val="auto"/>
                <w:kern w:val="0"/>
                <w:szCs w:val="21"/>
                <w:highlight w:val="none"/>
              </w:rPr>
            </w:pPr>
            <w:r>
              <w:rPr>
                <w:rFonts w:hint="eastAsia"/>
                <w:color w:val="auto"/>
                <w:kern w:val="0"/>
                <w:szCs w:val="21"/>
                <w:highlight w:val="none"/>
              </w:rPr>
              <w:t>　</w:t>
            </w:r>
          </w:p>
        </w:tc>
      </w:tr>
      <w:tr w14:paraId="1A4B813F">
        <w:tblPrEx>
          <w:tblCellMar>
            <w:top w:w="0" w:type="dxa"/>
            <w:left w:w="108" w:type="dxa"/>
            <w:bottom w:w="0" w:type="dxa"/>
            <w:right w:w="108" w:type="dxa"/>
          </w:tblCellMar>
        </w:tblPrEx>
        <w:trPr>
          <w:trHeight w:val="1890" w:hRule="atLeast"/>
          <w:jc w:val="center"/>
        </w:trPr>
        <w:tc>
          <w:tcPr>
            <w:tcW w:w="580" w:type="dxa"/>
            <w:tcBorders>
              <w:top w:val="nil"/>
              <w:left w:val="single" w:color="auto" w:sz="4" w:space="0"/>
              <w:bottom w:val="single" w:color="auto" w:sz="4" w:space="0"/>
              <w:right w:val="single" w:color="auto" w:sz="4" w:space="0"/>
            </w:tcBorders>
            <w:noWrap w:val="0"/>
            <w:vAlign w:val="center"/>
          </w:tcPr>
          <w:p w14:paraId="6D6652ED">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193" w:type="dxa"/>
            <w:tcBorders>
              <w:top w:val="nil"/>
              <w:left w:val="nil"/>
              <w:bottom w:val="single" w:color="auto" w:sz="4" w:space="0"/>
              <w:right w:val="single" w:color="auto" w:sz="4" w:space="0"/>
            </w:tcBorders>
            <w:noWrap w:val="0"/>
            <w:vAlign w:val="center"/>
          </w:tcPr>
          <w:p w14:paraId="5AB6953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现场配合人员</w:t>
            </w:r>
          </w:p>
        </w:tc>
        <w:tc>
          <w:tcPr>
            <w:tcW w:w="799" w:type="dxa"/>
            <w:tcBorders>
              <w:top w:val="nil"/>
              <w:left w:val="nil"/>
              <w:bottom w:val="single" w:color="auto" w:sz="4" w:space="0"/>
              <w:right w:val="single" w:color="auto" w:sz="4" w:space="0"/>
            </w:tcBorders>
            <w:noWrap w:val="0"/>
            <w:vAlign w:val="center"/>
          </w:tcPr>
          <w:p w14:paraId="077E32C6">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30</w:t>
            </w:r>
          </w:p>
        </w:tc>
        <w:tc>
          <w:tcPr>
            <w:tcW w:w="2551" w:type="dxa"/>
            <w:tcBorders>
              <w:top w:val="nil"/>
              <w:left w:val="nil"/>
              <w:bottom w:val="single" w:color="auto" w:sz="4" w:space="0"/>
              <w:right w:val="single" w:color="auto" w:sz="4" w:space="0"/>
            </w:tcBorders>
            <w:noWrap w:val="0"/>
            <w:vAlign w:val="center"/>
          </w:tcPr>
          <w:p w14:paraId="789652C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能否按合同及甲方要求及时协调配合甲方、专项设计单位及其它相关部门的工作；是否具有较强的沟通协调能力；能否在该阶段积极协助甲方完成相关工作；设计配合是否及时；能否按要求参加有关会议</w:t>
            </w:r>
          </w:p>
        </w:tc>
        <w:tc>
          <w:tcPr>
            <w:tcW w:w="3261" w:type="dxa"/>
            <w:tcBorders>
              <w:top w:val="nil"/>
              <w:left w:val="nil"/>
              <w:bottom w:val="single" w:color="auto" w:sz="4" w:space="0"/>
              <w:right w:val="single" w:color="auto" w:sz="4" w:space="0"/>
            </w:tcBorders>
            <w:noWrap w:val="0"/>
            <w:vAlign w:val="center"/>
          </w:tcPr>
          <w:p w14:paraId="7F7B7AC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w:t>
            </w:r>
            <w:r>
              <w:rPr>
                <w:rFonts w:ascii="宋体" w:hAnsi="宋体" w:cs="宋体"/>
                <w:color w:val="auto"/>
                <w:kern w:val="0"/>
                <w:szCs w:val="21"/>
                <w:highlight w:val="none"/>
              </w:rPr>
              <w:t>30分</w:t>
            </w:r>
          </w:p>
          <w:p w14:paraId="429DD82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w:t>
            </w:r>
            <w:r>
              <w:rPr>
                <w:rFonts w:ascii="宋体" w:hAnsi="宋体" w:cs="宋体"/>
                <w:color w:val="auto"/>
                <w:kern w:val="0"/>
                <w:szCs w:val="21"/>
                <w:highlight w:val="none"/>
              </w:rPr>
              <w:t>20分</w:t>
            </w:r>
          </w:p>
          <w:p w14:paraId="24CE43F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w:t>
            </w:r>
            <w:r>
              <w:rPr>
                <w:rFonts w:ascii="宋体" w:hAnsi="宋体" w:cs="宋体"/>
                <w:color w:val="auto"/>
                <w:kern w:val="0"/>
                <w:szCs w:val="21"/>
                <w:highlight w:val="none"/>
              </w:rPr>
              <w:t>10分</w:t>
            </w:r>
          </w:p>
          <w:p w14:paraId="1E80C51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w:t>
            </w:r>
            <w:r>
              <w:rPr>
                <w:rFonts w:ascii="宋体" w:hAnsi="宋体" w:cs="宋体"/>
                <w:color w:val="auto"/>
                <w:kern w:val="0"/>
                <w:szCs w:val="21"/>
                <w:highlight w:val="none"/>
              </w:rPr>
              <w:t>5分</w:t>
            </w:r>
          </w:p>
          <w:p w14:paraId="0D4209C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w:t>
            </w:r>
            <w:r>
              <w:rPr>
                <w:rFonts w:ascii="宋体" w:hAnsi="宋体" w:cs="宋体"/>
                <w:color w:val="auto"/>
                <w:kern w:val="0"/>
                <w:szCs w:val="21"/>
                <w:highlight w:val="none"/>
              </w:rPr>
              <w:t>2分</w:t>
            </w:r>
          </w:p>
        </w:tc>
        <w:tc>
          <w:tcPr>
            <w:tcW w:w="992" w:type="dxa"/>
            <w:tcBorders>
              <w:top w:val="nil"/>
              <w:left w:val="nil"/>
              <w:bottom w:val="single" w:color="auto" w:sz="4" w:space="0"/>
              <w:right w:val="single" w:color="auto" w:sz="4" w:space="0"/>
            </w:tcBorders>
            <w:noWrap w:val="0"/>
            <w:vAlign w:val="center"/>
          </w:tcPr>
          <w:p w14:paraId="4F08EA5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42308706">
        <w:tblPrEx>
          <w:tblCellMar>
            <w:top w:w="0" w:type="dxa"/>
            <w:left w:w="108" w:type="dxa"/>
            <w:bottom w:w="0" w:type="dxa"/>
            <w:right w:w="108" w:type="dxa"/>
          </w:tblCellMar>
        </w:tblPrEx>
        <w:trPr>
          <w:trHeight w:val="720" w:hRule="atLeast"/>
          <w:jc w:val="center"/>
        </w:trPr>
        <w:tc>
          <w:tcPr>
            <w:tcW w:w="580" w:type="dxa"/>
            <w:tcBorders>
              <w:top w:val="nil"/>
              <w:left w:val="single" w:color="auto" w:sz="4" w:space="0"/>
              <w:bottom w:val="single" w:color="auto" w:sz="4" w:space="0"/>
              <w:right w:val="single" w:color="auto" w:sz="4" w:space="0"/>
            </w:tcBorders>
            <w:noWrap w:val="0"/>
            <w:vAlign w:val="center"/>
          </w:tcPr>
          <w:p w14:paraId="7D581D4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二</w:t>
            </w:r>
          </w:p>
        </w:tc>
        <w:tc>
          <w:tcPr>
            <w:tcW w:w="1193" w:type="dxa"/>
            <w:tcBorders>
              <w:top w:val="nil"/>
              <w:left w:val="nil"/>
              <w:bottom w:val="single" w:color="auto" w:sz="4" w:space="0"/>
              <w:right w:val="single" w:color="auto" w:sz="4" w:space="0"/>
            </w:tcBorders>
            <w:noWrap w:val="0"/>
            <w:vAlign w:val="center"/>
          </w:tcPr>
          <w:p w14:paraId="637270A3">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设计质量</w:t>
            </w:r>
          </w:p>
        </w:tc>
        <w:tc>
          <w:tcPr>
            <w:tcW w:w="799" w:type="dxa"/>
            <w:tcBorders>
              <w:top w:val="single" w:color="auto" w:sz="4" w:space="0"/>
              <w:left w:val="nil"/>
              <w:bottom w:val="single" w:color="auto" w:sz="4" w:space="0"/>
              <w:right w:val="single" w:color="auto" w:sz="4" w:space="0"/>
            </w:tcBorders>
            <w:noWrap w:val="0"/>
            <w:vAlign w:val="center"/>
          </w:tcPr>
          <w:p w14:paraId="1BF9E9E7">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70</w:t>
            </w:r>
          </w:p>
        </w:tc>
        <w:tc>
          <w:tcPr>
            <w:tcW w:w="2551" w:type="dxa"/>
            <w:tcBorders>
              <w:top w:val="nil"/>
              <w:left w:val="nil"/>
              <w:bottom w:val="single" w:color="auto" w:sz="4" w:space="0"/>
              <w:right w:val="single" w:color="auto" w:sz="4" w:space="0"/>
            </w:tcBorders>
            <w:noWrap w:val="0"/>
            <w:vAlign w:val="center"/>
          </w:tcPr>
          <w:p w14:paraId="2EA8542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730A7DCB">
            <w:pPr>
              <w:widowControl/>
              <w:jc w:val="left"/>
              <w:rPr>
                <w:rFonts w:ascii="宋体" w:hAnsi="宋体" w:cs="宋体"/>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7AFF9E4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287E49DB">
        <w:tblPrEx>
          <w:tblCellMar>
            <w:top w:w="0" w:type="dxa"/>
            <w:left w:w="108" w:type="dxa"/>
            <w:bottom w:w="0" w:type="dxa"/>
            <w:right w:w="108" w:type="dxa"/>
          </w:tblCellMar>
        </w:tblPrEx>
        <w:trPr>
          <w:trHeight w:val="2430" w:hRule="atLeast"/>
          <w:jc w:val="center"/>
        </w:trPr>
        <w:tc>
          <w:tcPr>
            <w:tcW w:w="580" w:type="dxa"/>
            <w:tcBorders>
              <w:top w:val="nil"/>
              <w:left w:val="single" w:color="auto" w:sz="4" w:space="0"/>
              <w:bottom w:val="single" w:color="auto" w:sz="4" w:space="0"/>
              <w:right w:val="single" w:color="auto" w:sz="4" w:space="0"/>
            </w:tcBorders>
            <w:noWrap w:val="0"/>
            <w:vAlign w:val="center"/>
          </w:tcPr>
          <w:p w14:paraId="7024CA4A">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193" w:type="dxa"/>
            <w:tcBorders>
              <w:top w:val="nil"/>
              <w:left w:val="nil"/>
              <w:bottom w:val="single" w:color="auto" w:sz="4" w:space="0"/>
              <w:right w:val="single" w:color="auto" w:sz="4" w:space="0"/>
            </w:tcBorders>
            <w:noWrap w:val="0"/>
            <w:vAlign w:val="center"/>
          </w:tcPr>
          <w:p w14:paraId="24568105">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设计缺陷</w:t>
            </w:r>
          </w:p>
        </w:tc>
        <w:tc>
          <w:tcPr>
            <w:tcW w:w="799" w:type="dxa"/>
            <w:tcBorders>
              <w:top w:val="nil"/>
              <w:left w:val="nil"/>
              <w:bottom w:val="single" w:color="auto" w:sz="4" w:space="0"/>
              <w:right w:val="single" w:color="auto" w:sz="4" w:space="0"/>
            </w:tcBorders>
            <w:noWrap w:val="0"/>
            <w:vAlign w:val="center"/>
          </w:tcPr>
          <w:p w14:paraId="464113E4">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40</w:t>
            </w:r>
          </w:p>
        </w:tc>
        <w:tc>
          <w:tcPr>
            <w:tcW w:w="2551" w:type="dxa"/>
            <w:tcBorders>
              <w:top w:val="nil"/>
              <w:left w:val="nil"/>
              <w:bottom w:val="single" w:color="auto" w:sz="4" w:space="0"/>
              <w:right w:val="single" w:color="auto" w:sz="4" w:space="0"/>
            </w:tcBorders>
            <w:noWrap w:val="0"/>
            <w:vAlign w:val="center"/>
          </w:tcPr>
          <w:p w14:paraId="0915B59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使用过程中发现由于设计原因造成使用功能缺陷、使用上的不便等情形</w:t>
            </w:r>
          </w:p>
        </w:tc>
        <w:tc>
          <w:tcPr>
            <w:tcW w:w="3261" w:type="dxa"/>
            <w:tcBorders>
              <w:top w:val="nil"/>
              <w:left w:val="nil"/>
              <w:bottom w:val="single" w:color="auto" w:sz="4" w:space="0"/>
              <w:right w:val="single" w:color="auto" w:sz="4" w:space="0"/>
            </w:tcBorders>
            <w:noWrap w:val="0"/>
            <w:vAlign w:val="center"/>
          </w:tcPr>
          <w:p w14:paraId="6FBA8D6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使用过程中由于设计原因，产生以下影响：</w:t>
            </w:r>
          </w:p>
          <w:p w14:paraId="733AB90A">
            <w:pPr>
              <w:widowControl/>
              <w:jc w:val="left"/>
              <w:rPr>
                <w:rFonts w:ascii="宋体" w:hAnsi="宋体" w:cs="宋体"/>
                <w:color w:val="auto"/>
                <w:kern w:val="0"/>
                <w:szCs w:val="21"/>
                <w:highlight w:val="none"/>
              </w:rPr>
            </w:pPr>
            <w:r>
              <w:rPr>
                <w:rFonts w:ascii="宋体" w:hAnsi="宋体" w:cs="宋体"/>
                <w:color w:val="auto"/>
                <w:kern w:val="0"/>
                <w:szCs w:val="21"/>
                <w:highlight w:val="none"/>
              </w:rPr>
              <w:t>1、修补费用10</w:t>
            </w:r>
            <w:r>
              <w:rPr>
                <w:rFonts w:hint="eastAsia" w:ascii="宋体" w:hAnsi="宋体" w:cs="宋体"/>
                <w:color w:val="auto"/>
                <w:kern w:val="0"/>
                <w:szCs w:val="21"/>
                <w:highlight w:val="none"/>
              </w:rPr>
              <w:t>万元（含）以上，扣</w:t>
            </w:r>
            <w:r>
              <w:rPr>
                <w:rFonts w:ascii="宋体" w:hAnsi="宋体" w:cs="宋体"/>
                <w:color w:val="auto"/>
                <w:kern w:val="0"/>
                <w:szCs w:val="21"/>
                <w:highlight w:val="none"/>
              </w:rPr>
              <w:t>10分；</w:t>
            </w:r>
          </w:p>
          <w:p w14:paraId="120590F0">
            <w:pPr>
              <w:widowControl/>
              <w:jc w:val="left"/>
              <w:rPr>
                <w:rFonts w:ascii="宋体" w:hAnsi="宋体" w:cs="宋体"/>
                <w:color w:val="auto"/>
                <w:kern w:val="0"/>
                <w:szCs w:val="21"/>
                <w:highlight w:val="none"/>
              </w:rPr>
            </w:pPr>
            <w:r>
              <w:rPr>
                <w:rFonts w:ascii="宋体" w:hAnsi="宋体" w:cs="宋体"/>
                <w:color w:val="auto"/>
                <w:kern w:val="0"/>
                <w:szCs w:val="21"/>
                <w:highlight w:val="none"/>
              </w:rPr>
              <w:t>2、修补费用5</w:t>
            </w:r>
            <w:r>
              <w:rPr>
                <w:rFonts w:hint="eastAsia" w:ascii="宋体" w:hAnsi="宋体" w:cs="宋体"/>
                <w:color w:val="auto"/>
                <w:kern w:val="0"/>
                <w:szCs w:val="21"/>
                <w:highlight w:val="none"/>
              </w:rPr>
              <w:t>万元（含）</w:t>
            </w:r>
            <w:r>
              <w:rPr>
                <w:rFonts w:ascii="宋体" w:hAnsi="宋体" w:cs="宋体"/>
                <w:color w:val="auto"/>
                <w:kern w:val="0"/>
                <w:szCs w:val="21"/>
                <w:highlight w:val="none"/>
              </w:rPr>
              <w:t>-10</w:t>
            </w:r>
            <w:r>
              <w:rPr>
                <w:rFonts w:hint="eastAsia" w:ascii="宋体" w:hAnsi="宋体" w:cs="宋体"/>
                <w:color w:val="auto"/>
                <w:kern w:val="0"/>
                <w:szCs w:val="21"/>
                <w:highlight w:val="none"/>
              </w:rPr>
              <w:t>万元的扣</w:t>
            </w:r>
            <w:r>
              <w:rPr>
                <w:rFonts w:ascii="宋体" w:hAnsi="宋体" w:cs="宋体"/>
                <w:color w:val="auto"/>
                <w:kern w:val="0"/>
                <w:szCs w:val="21"/>
                <w:highlight w:val="none"/>
              </w:rPr>
              <w:t>6分；</w:t>
            </w:r>
          </w:p>
          <w:p w14:paraId="2B84E5A6">
            <w:pPr>
              <w:widowControl/>
              <w:jc w:val="left"/>
              <w:rPr>
                <w:rFonts w:ascii="宋体" w:hAnsi="宋体" w:cs="宋体"/>
                <w:color w:val="auto"/>
                <w:kern w:val="0"/>
                <w:szCs w:val="21"/>
                <w:highlight w:val="none"/>
              </w:rPr>
            </w:pPr>
            <w:r>
              <w:rPr>
                <w:rFonts w:ascii="宋体" w:hAnsi="宋体" w:cs="宋体"/>
                <w:color w:val="auto"/>
                <w:kern w:val="0"/>
                <w:szCs w:val="21"/>
                <w:highlight w:val="none"/>
              </w:rPr>
              <w:t>3、修补费用5</w:t>
            </w:r>
            <w:r>
              <w:rPr>
                <w:rFonts w:hint="eastAsia" w:ascii="宋体" w:hAnsi="宋体" w:cs="宋体"/>
                <w:color w:val="auto"/>
                <w:kern w:val="0"/>
                <w:szCs w:val="21"/>
                <w:highlight w:val="none"/>
              </w:rPr>
              <w:t>万元以下的，扣</w:t>
            </w:r>
            <w:r>
              <w:rPr>
                <w:rFonts w:ascii="宋体" w:hAnsi="宋体" w:cs="宋体"/>
                <w:color w:val="auto"/>
                <w:kern w:val="0"/>
                <w:szCs w:val="21"/>
                <w:highlight w:val="none"/>
              </w:rPr>
              <w:t>4分；</w:t>
            </w:r>
          </w:p>
          <w:p w14:paraId="3425B202">
            <w:pPr>
              <w:widowControl/>
              <w:jc w:val="left"/>
              <w:rPr>
                <w:rFonts w:ascii="宋体" w:hAnsi="宋体" w:cs="宋体"/>
                <w:color w:val="auto"/>
                <w:kern w:val="0"/>
                <w:szCs w:val="21"/>
                <w:highlight w:val="none"/>
              </w:rPr>
            </w:pPr>
            <w:r>
              <w:rPr>
                <w:rFonts w:ascii="宋体" w:hAnsi="宋体" w:cs="宋体"/>
                <w:color w:val="auto"/>
                <w:kern w:val="0"/>
                <w:szCs w:val="21"/>
                <w:highlight w:val="none"/>
              </w:rPr>
              <w:t>4、使用上不便造成使用单位接到投诉的，每次扣2分。</w:t>
            </w:r>
          </w:p>
        </w:tc>
        <w:tc>
          <w:tcPr>
            <w:tcW w:w="992" w:type="dxa"/>
            <w:tcBorders>
              <w:top w:val="nil"/>
              <w:left w:val="nil"/>
              <w:bottom w:val="single" w:color="auto" w:sz="4" w:space="0"/>
              <w:right w:val="single" w:color="auto" w:sz="4" w:space="0"/>
            </w:tcBorders>
            <w:noWrap w:val="0"/>
            <w:vAlign w:val="center"/>
          </w:tcPr>
          <w:p w14:paraId="13D3129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5FCB3485">
        <w:tblPrEx>
          <w:tblCellMar>
            <w:top w:w="0" w:type="dxa"/>
            <w:left w:w="108" w:type="dxa"/>
            <w:bottom w:w="0" w:type="dxa"/>
            <w:right w:w="108" w:type="dxa"/>
          </w:tblCellMar>
        </w:tblPrEx>
        <w:trPr>
          <w:trHeight w:val="540" w:hRule="atLeast"/>
          <w:jc w:val="center"/>
        </w:trPr>
        <w:tc>
          <w:tcPr>
            <w:tcW w:w="580" w:type="dxa"/>
            <w:tcBorders>
              <w:top w:val="nil"/>
              <w:left w:val="single" w:color="auto" w:sz="4" w:space="0"/>
              <w:bottom w:val="single" w:color="auto" w:sz="4" w:space="0"/>
              <w:right w:val="single" w:color="auto" w:sz="4" w:space="0"/>
            </w:tcBorders>
            <w:noWrap w:val="0"/>
            <w:vAlign w:val="center"/>
          </w:tcPr>
          <w:p w14:paraId="3F7E64E6">
            <w:pPr>
              <w:widowControl/>
              <w:jc w:val="center"/>
              <w:rPr>
                <w:rFonts w:ascii="宋体" w:hAnsi="宋体" w:cs="宋体"/>
                <w:color w:val="auto"/>
                <w:kern w:val="0"/>
                <w:szCs w:val="21"/>
                <w:highlight w:val="none"/>
              </w:rPr>
            </w:pPr>
            <w:r>
              <w:rPr>
                <w:rFonts w:ascii="宋体" w:hAnsi="宋体" w:cs="宋体"/>
                <w:color w:val="auto"/>
                <w:kern w:val="0"/>
                <w:szCs w:val="21"/>
                <w:highlight w:val="none"/>
              </w:rPr>
              <w:t>2</w:t>
            </w:r>
          </w:p>
        </w:tc>
        <w:tc>
          <w:tcPr>
            <w:tcW w:w="1193" w:type="dxa"/>
            <w:tcBorders>
              <w:top w:val="nil"/>
              <w:left w:val="nil"/>
              <w:bottom w:val="single" w:color="auto" w:sz="4" w:space="0"/>
              <w:right w:val="single" w:color="auto" w:sz="4" w:space="0"/>
            </w:tcBorders>
            <w:noWrap w:val="0"/>
            <w:vAlign w:val="center"/>
          </w:tcPr>
          <w:p w14:paraId="1D1472C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设计缺陷处理进度</w:t>
            </w:r>
          </w:p>
        </w:tc>
        <w:tc>
          <w:tcPr>
            <w:tcW w:w="799" w:type="dxa"/>
            <w:tcBorders>
              <w:top w:val="nil"/>
              <w:left w:val="nil"/>
              <w:bottom w:val="single" w:color="auto" w:sz="4" w:space="0"/>
              <w:right w:val="single" w:color="auto" w:sz="4" w:space="0"/>
            </w:tcBorders>
            <w:noWrap w:val="0"/>
            <w:vAlign w:val="center"/>
          </w:tcPr>
          <w:p w14:paraId="68A00DCF">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30</w:t>
            </w:r>
          </w:p>
        </w:tc>
        <w:tc>
          <w:tcPr>
            <w:tcW w:w="2551" w:type="dxa"/>
            <w:tcBorders>
              <w:top w:val="nil"/>
              <w:left w:val="nil"/>
              <w:bottom w:val="single" w:color="auto" w:sz="4" w:space="0"/>
              <w:right w:val="single" w:color="auto" w:sz="4" w:space="0"/>
            </w:tcBorders>
            <w:noWrap w:val="0"/>
            <w:vAlign w:val="center"/>
          </w:tcPr>
          <w:p w14:paraId="6AA12BF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是否及时按甲方要求完成设计工作</w:t>
            </w:r>
          </w:p>
        </w:tc>
        <w:tc>
          <w:tcPr>
            <w:tcW w:w="3261" w:type="dxa"/>
            <w:tcBorders>
              <w:top w:val="nil"/>
              <w:left w:val="nil"/>
              <w:bottom w:val="single" w:color="auto" w:sz="4" w:space="0"/>
              <w:right w:val="single" w:color="auto" w:sz="4" w:space="0"/>
            </w:tcBorders>
            <w:noWrap w:val="0"/>
            <w:vAlign w:val="center"/>
          </w:tcPr>
          <w:p w14:paraId="025BF3F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w:t>
            </w:r>
            <w:r>
              <w:rPr>
                <w:rFonts w:ascii="宋体" w:hAnsi="宋体" w:cs="宋体"/>
                <w:color w:val="auto"/>
                <w:kern w:val="0"/>
                <w:szCs w:val="21"/>
                <w:highlight w:val="none"/>
              </w:rPr>
              <w:t>30分</w:t>
            </w:r>
          </w:p>
          <w:p w14:paraId="21696A0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w:t>
            </w:r>
            <w:r>
              <w:rPr>
                <w:rFonts w:ascii="宋体" w:hAnsi="宋体" w:cs="宋体"/>
                <w:color w:val="auto"/>
                <w:kern w:val="0"/>
                <w:szCs w:val="21"/>
                <w:highlight w:val="none"/>
              </w:rPr>
              <w:t>20分</w:t>
            </w:r>
          </w:p>
          <w:p w14:paraId="10A9946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w:t>
            </w:r>
            <w:r>
              <w:rPr>
                <w:rFonts w:ascii="宋体" w:hAnsi="宋体" w:cs="宋体"/>
                <w:color w:val="auto"/>
                <w:kern w:val="0"/>
                <w:szCs w:val="21"/>
                <w:highlight w:val="none"/>
              </w:rPr>
              <w:t>10分</w:t>
            </w:r>
          </w:p>
          <w:p w14:paraId="1ACB19D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w:t>
            </w:r>
            <w:r>
              <w:rPr>
                <w:rFonts w:ascii="宋体" w:hAnsi="宋体" w:cs="宋体"/>
                <w:color w:val="auto"/>
                <w:kern w:val="0"/>
                <w:szCs w:val="21"/>
                <w:highlight w:val="none"/>
              </w:rPr>
              <w:t>5分</w:t>
            </w:r>
          </w:p>
          <w:p w14:paraId="1F4E222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w:t>
            </w:r>
            <w:r>
              <w:rPr>
                <w:rFonts w:ascii="宋体" w:hAnsi="宋体" w:cs="宋体"/>
                <w:color w:val="auto"/>
                <w:kern w:val="0"/>
                <w:szCs w:val="21"/>
                <w:highlight w:val="none"/>
              </w:rPr>
              <w:t>2分</w:t>
            </w:r>
          </w:p>
        </w:tc>
        <w:tc>
          <w:tcPr>
            <w:tcW w:w="992" w:type="dxa"/>
            <w:tcBorders>
              <w:top w:val="nil"/>
              <w:left w:val="nil"/>
              <w:bottom w:val="single" w:color="auto" w:sz="4" w:space="0"/>
              <w:right w:val="single" w:color="auto" w:sz="4" w:space="0"/>
            </w:tcBorders>
            <w:noWrap w:val="0"/>
            <w:vAlign w:val="center"/>
          </w:tcPr>
          <w:p w14:paraId="558E0B2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10EE6156">
        <w:tblPrEx>
          <w:tblCellMar>
            <w:top w:w="0" w:type="dxa"/>
            <w:left w:w="108" w:type="dxa"/>
            <w:bottom w:w="0" w:type="dxa"/>
            <w:right w:w="108" w:type="dxa"/>
          </w:tblCellMar>
        </w:tblPrEx>
        <w:trPr>
          <w:trHeight w:val="499" w:hRule="atLeast"/>
          <w:jc w:val="center"/>
        </w:trPr>
        <w:tc>
          <w:tcPr>
            <w:tcW w:w="580" w:type="dxa"/>
            <w:tcBorders>
              <w:top w:val="nil"/>
              <w:left w:val="single" w:color="auto" w:sz="4" w:space="0"/>
              <w:bottom w:val="single" w:color="auto" w:sz="4" w:space="0"/>
              <w:right w:val="single" w:color="auto" w:sz="4" w:space="0"/>
            </w:tcBorders>
            <w:noWrap w:val="0"/>
            <w:vAlign w:val="center"/>
          </w:tcPr>
          <w:p w14:paraId="0E98F739">
            <w:pPr>
              <w:widowControl/>
              <w:jc w:val="center"/>
              <w:rPr>
                <w:color w:val="auto"/>
                <w:kern w:val="0"/>
                <w:szCs w:val="21"/>
                <w:highlight w:val="none"/>
              </w:rPr>
            </w:pPr>
            <w:r>
              <w:rPr>
                <w:rFonts w:hint="eastAsia"/>
                <w:color w:val="auto"/>
                <w:kern w:val="0"/>
                <w:szCs w:val="21"/>
                <w:highlight w:val="none"/>
              </w:rPr>
              <w:t>　</w:t>
            </w:r>
          </w:p>
        </w:tc>
        <w:tc>
          <w:tcPr>
            <w:tcW w:w="1193" w:type="dxa"/>
            <w:tcBorders>
              <w:top w:val="nil"/>
              <w:left w:val="nil"/>
              <w:bottom w:val="single" w:color="auto" w:sz="4" w:space="0"/>
              <w:right w:val="single" w:color="auto" w:sz="4" w:space="0"/>
            </w:tcBorders>
            <w:noWrap w:val="0"/>
            <w:vAlign w:val="center"/>
          </w:tcPr>
          <w:p w14:paraId="26691D27">
            <w:pPr>
              <w:widowControl/>
              <w:jc w:val="center"/>
              <w:rPr>
                <w:color w:val="auto"/>
                <w:kern w:val="0"/>
                <w:szCs w:val="21"/>
                <w:highlight w:val="none"/>
              </w:rPr>
            </w:pPr>
            <w:r>
              <w:rPr>
                <w:rFonts w:hint="eastAsia"/>
                <w:color w:val="auto"/>
                <w:kern w:val="0"/>
                <w:szCs w:val="21"/>
                <w:highlight w:val="none"/>
              </w:rPr>
              <w:t>合计</w:t>
            </w:r>
          </w:p>
        </w:tc>
        <w:tc>
          <w:tcPr>
            <w:tcW w:w="799" w:type="dxa"/>
            <w:tcBorders>
              <w:top w:val="nil"/>
              <w:left w:val="nil"/>
              <w:bottom w:val="single" w:color="auto" w:sz="4" w:space="0"/>
              <w:right w:val="single" w:color="auto" w:sz="4" w:space="0"/>
            </w:tcBorders>
            <w:noWrap w:val="0"/>
            <w:vAlign w:val="center"/>
          </w:tcPr>
          <w:p w14:paraId="70283CC2">
            <w:pPr>
              <w:widowControl/>
              <w:jc w:val="center"/>
              <w:rPr>
                <w:color w:val="auto"/>
                <w:kern w:val="0"/>
                <w:szCs w:val="21"/>
                <w:highlight w:val="none"/>
              </w:rPr>
            </w:pPr>
            <w:r>
              <w:rPr>
                <w:color w:val="auto"/>
                <w:kern w:val="0"/>
                <w:szCs w:val="21"/>
                <w:highlight w:val="none"/>
              </w:rPr>
              <w:t>100</w:t>
            </w:r>
          </w:p>
        </w:tc>
        <w:tc>
          <w:tcPr>
            <w:tcW w:w="2551" w:type="dxa"/>
            <w:tcBorders>
              <w:top w:val="nil"/>
              <w:left w:val="nil"/>
              <w:bottom w:val="single" w:color="auto" w:sz="4" w:space="0"/>
              <w:right w:val="single" w:color="auto" w:sz="4" w:space="0"/>
            </w:tcBorders>
            <w:noWrap w:val="0"/>
            <w:vAlign w:val="center"/>
          </w:tcPr>
          <w:p w14:paraId="0457406D">
            <w:pPr>
              <w:widowControl/>
              <w:jc w:val="center"/>
              <w:rPr>
                <w:color w:val="auto"/>
                <w:kern w:val="0"/>
                <w:szCs w:val="21"/>
                <w:highlight w:val="none"/>
              </w:rPr>
            </w:pPr>
            <w:r>
              <w:rPr>
                <w:rFonts w:hint="eastAsia"/>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555E1EB6">
            <w:pPr>
              <w:widowControl/>
              <w:jc w:val="center"/>
              <w:rPr>
                <w:color w:val="auto"/>
                <w:kern w:val="0"/>
                <w:szCs w:val="21"/>
                <w:highlight w:val="none"/>
              </w:rPr>
            </w:pPr>
            <w:r>
              <w:rPr>
                <w:rFonts w:hint="eastAsia"/>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6C79CD5B">
            <w:pPr>
              <w:widowControl/>
              <w:jc w:val="center"/>
              <w:rPr>
                <w:color w:val="auto"/>
                <w:kern w:val="0"/>
                <w:szCs w:val="21"/>
                <w:highlight w:val="none"/>
              </w:rPr>
            </w:pPr>
            <w:r>
              <w:rPr>
                <w:rFonts w:hint="eastAsia"/>
                <w:color w:val="auto"/>
                <w:kern w:val="0"/>
                <w:szCs w:val="21"/>
                <w:highlight w:val="none"/>
              </w:rPr>
              <w:t>　</w:t>
            </w:r>
          </w:p>
        </w:tc>
      </w:tr>
    </w:tbl>
    <w:p w14:paraId="5A0954C8">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一、注：</w:t>
      </w:r>
    </w:p>
    <w:p w14:paraId="12792FA7">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1、每一评分项扣分，至该项对应分值扣完为止。</w:t>
      </w:r>
    </w:p>
    <w:p w14:paraId="22361A27">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2、应在岗实际未在岗累计达到3天的，或经问询明显不了解项目具体情况累计达到3次的，或未按甲方要求出席会议累计达到3次的，可认定自行更换</w:t>
      </w:r>
    </w:p>
    <w:p w14:paraId="4262D254">
      <w:pPr>
        <w:adjustRightInd w:val="0"/>
        <w:snapToGrid w:val="0"/>
        <w:rPr>
          <w:rFonts w:ascii="宋体" w:hAnsi="宋体" w:cs="宋体"/>
          <w:color w:val="auto"/>
          <w:kern w:val="0"/>
          <w:szCs w:val="21"/>
          <w:highlight w:val="none"/>
        </w:rPr>
      </w:pPr>
    </w:p>
    <w:p w14:paraId="309F0B8F">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二、扣分情况说明：</w:t>
      </w:r>
    </w:p>
    <w:p w14:paraId="1B0FB62B">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1、</w:t>
      </w:r>
    </w:p>
    <w:p w14:paraId="4643AF72">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2、</w:t>
      </w:r>
    </w:p>
    <w:p w14:paraId="7C54227B">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3、</w:t>
      </w:r>
    </w:p>
    <w:p w14:paraId="3A6F4193">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w:t>
      </w:r>
    </w:p>
    <w:p w14:paraId="7C3423AA">
      <w:pPr>
        <w:adjustRightInd w:val="0"/>
        <w:snapToGrid w:val="0"/>
        <w:rPr>
          <w:rFonts w:ascii="宋体" w:hAnsi="宋体" w:cs="宋体"/>
          <w:color w:val="auto"/>
          <w:kern w:val="0"/>
          <w:szCs w:val="21"/>
          <w:highlight w:val="none"/>
        </w:rPr>
      </w:pPr>
    </w:p>
    <w:p w14:paraId="2224D484">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项目负责人：×××</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签名：</w:t>
      </w:r>
      <w:r>
        <w:rPr>
          <w:rFonts w:ascii="宋体" w:hAnsi="宋体" w:cs="宋体"/>
          <w:color w:val="auto"/>
          <w:kern w:val="0"/>
          <w:szCs w:val="21"/>
          <w:highlight w:val="none"/>
          <w:u w:val="single"/>
        </w:rPr>
        <w:t xml:space="preserve">             </w:t>
      </w:r>
    </w:p>
    <w:p w14:paraId="35ED1FB3">
      <w:pPr>
        <w:adjustRightInd w:val="0"/>
        <w:snapToGrid w:val="0"/>
        <w:rPr>
          <w:rFonts w:ascii="宋体" w:hAnsi="宋体" w:cs="宋体"/>
          <w:color w:val="auto"/>
          <w:kern w:val="0"/>
          <w:szCs w:val="21"/>
          <w:highlight w:val="none"/>
        </w:rPr>
      </w:pPr>
    </w:p>
    <w:p w14:paraId="0B41FF16">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部门负责人：×××</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签名：</w:t>
      </w:r>
      <w:r>
        <w:rPr>
          <w:rFonts w:ascii="宋体" w:hAnsi="宋体" w:cs="宋体"/>
          <w:color w:val="auto"/>
          <w:kern w:val="0"/>
          <w:szCs w:val="21"/>
          <w:highlight w:val="none"/>
          <w:u w:val="single"/>
        </w:rPr>
        <w:t xml:space="preserve">             </w:t>
      </w:r>
    </w:p>
    <w:p w14:paraId="0A556D58">
      <w:pPr>
        <w:adjustRightInd w:val="0"/>
        <w:snapToGrid w:val="0"/>
        <w:rPr>
          <w:rFonts w:ascii="宋体" w:hAnsi="宋体" w:cs="宋体"/>
          <w:color w:val="auto"/>
          <w:kern w:val="0"/>
          <w:szCs w:val="21"/>
          <w:highlight w:val="none"/>
        </w:rPr>
      </w:pPr>
    </w:p>
    <w:p w14:paraId="622BDEE8">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日期：</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年</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月</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日</w:t>
      </w:r>
    </w:p>
    <w:p w14:paraId="27944E39">
      <w:pPr>
        <w:adjustRightInd w:val="0"/>
        <w:snapToGrid w:val="0"/>
        <w:rPr>
          <w:rFonts w:ascii="宋体" w:hAnsi="宋体" w:cs="宋体"/>
          <w:color w:val="auto"/>
          <w:kern w:val="0"/>
          <w:szCs w:val="21"/>
          <w:highlight w:val="none"/>
        </w:rPr>
      </w:pPr>
    </w:p>
    <w:p w14:paraId="614E5FEC">
      <w:pPr>
        <w:spacing w:line="560" w:lineRule="exact"/>
        <w:ind w:firstLine="472"/>
        <w:rPr>
          <w:rFonts w:ascii="仿宋_GB2312" w:eastAsia="仿宋_GB2312"/>
          <w:color w:val="auto"/>
          <w:sz w:val="32"/>
          <w:szCs w:val="32"/>
          <w:highlight w:val="none"/>
        </w:rPr>
      </w:pPr>
      <w:r>
        <w:rPr>
          <w:rFonts w:ascii="宋体" w:hAnsi="宋体"/>
          <w:color w:val="auto"/>
          <w:szCs w:val="21"/>
          <w:highlight w:val="none"/>
        </w:rPr>
        <w:br w:type="page"/>
      </w:r>
      <w:r>
        <w:rPr>
          <w:rFonts w:hint="eastAsia" w:ascii="仿宋_GB2312" w:eastAsia="仿宋_GB2312"/>
          <w:color w:val="auto"/>
          <w:sz w:val="32"/>
          <w:szCs w:val="32"/>
          <w:highlight w:val="none"/>
        </w:rPr>
        <w:t>附件六</w:t>
      </w:r>
    </w:p>
    <w:p w14:paraId="265CB225">
      <w:pPr>
        <w:adjustRightInd w:val="0"/>
        <w:snapToGrid w:val="0"/>
        <w:ind w:firstLine="549"/>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设计错误分类</w:t>
      </w:r>
    </w:p>
    <w:p w14:paraId="096BF127">
      <w:pPr>
        <w:adjustRightInd w:val="0"/>
        <w:snapToGrid w:val="0"/>
        <w:ind w:firstLine="472"/>
        <w:rPr>
          <w:rFonts w:ascii="宋体" w:hAnsi="宋体"/>
          <w:color w:val="auto"/>
          <w:szCs w:val="21"/>
          <w:highlight w:val="none"/>
        </w:rPr>
      </w:pPr>
    </w:p>
    <w:p w14:paraId="171CAF3F">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Ⅰ类错误：</w:t>
      </w:r>
    </w:p>
    <w:p w14:paraId="5FF971B0">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指设计文件中存在原则性或方案性的错误，并将导致工程决策错误，或造成不能正常使用、返工，或造成重大经济损失，或造成安全事故，如：1、违反国家有关法律、法规及政策，或选用无效的标准规范；2、不符合合同要求的用途或目的或规定的规模；3、不满足城市规划对项目控制性指标的规定和要求；4、违反国家现行技术规范、规定、标准的强制性条文；5、设计方案不正确；6、主要部位设计错误并影响安全性能或使用功能，或结构施工图设计没有计算书；7、出现因设计责任引起的一类变更；8、造价文件严重失实。</w:t>
      </w:r>
    </w:p>
    <w:p w14:paraId="6159AC65">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具体按照专业又可分为：</w:t>
      </w:r>
    </w:p>
    <w:p w14:paraId="0934BF91">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严重违反规范、标准、规定，有可能造成严重影响安全和使用的错误，如：</w:t>
      </w:r>
    </w:p>
    <w:p w14:paraId="687DD877">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建筑专业：规范中消防间距不够，而又未采取措施；规划中日照间距不够；防火分区面积超规定，电梯/楼梯厅不符合防火要求等。</w:t>
      </w:r>
    </w:p>
    <w:p w14:paraId="09CDD99F">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结构专业：结构(含基础、基坑支护)选型错误；计算原则错误；未考虑抗震设计；出现超限而未采取任何措施等。</w:t>
      </w:r>
    </w:p>
    <w:p w14:paraId="63B2B702">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给排水专业：规范要求的消防设施未设计；消防水量、水压达不到规范要求；生活给水水量、水压达不到规范要求等。</w:t>
      </w:r>
    </w:p>
    <w:p w14:paraId="15BB0C96">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暖通专业：规范要求的防火排烟设施未设计，排烟风量达不到规范要求，又未采取必要的措施等。</w:t>
      </w:r>
    </w:p>
    <w:p w14:paraId="5698F945">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电气专业：变配电、电话、电视、消防、广播音响等系统及各种机房平、剖面设备布置等严重违反规范、标准、规定；配电方案有严重缺陷等。</w:t>
      </w:r>
    </w:p>
    <w:p w14:paraId="785303ED">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造价专业：提交给甲方的造价文件，经核查后，偏差大于±30%的。</w:t>
      </w:r>
    </w:p>
    <w:p w14:paraId="43C1E1BC">
      <w:pPr>
        <w:adjustRightInd w:val="0"/>
        <w:snapToGrid w:val="0"/>
        <w:ind w:firstLine="525" w:firstLineChars="250"/>
        <w:rPr>
          <w:rFonts w:ascii="宋体" w:hAnsi="宋体"/>
          <w:color w:val="auto"/>
          <w:szCs w:val="21"/>
          <w:highlight w:val="none"/>
        </w:rPr>
      </w:pPr>
    </w:p>
    <w:p w14:paraId="1A90A049">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Ⅱ类错误</w:t>
      </w:r>
    </w:p>
    <w:p w14:paraId="43D7DE2D">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指设计文件中存在错误，有可能造成施工困难、使用困难或较大经济损失,如：1、违反国家现行技术规范、规定、标准的重要条文；2、设计漏项；3、选用淘汰的设备; 4、出现因设计责任引起的二类变更；5、造价文件失实较严重。</w:t>
      </w:r>
    </w:p>
    <w:p w14:paraId="00C0F344">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具体按照专业又可分为：</w:t>
      </w:r>
    </w:p>
    <w:p w14:paraId="6A3B0416">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A、设计存在错误，有可能造成施工困难、使用困难或较大经济损失，如：</w:t>
      </w:r>
    </w:p>
    <w:p w14:paraId="6E065525">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建筑专业：总平面竖向设计错误；轴线错误或对不上，楼梯碰头；视线计算错误等。</w:t>
      </w:r>
    </w:p>
    <w:p w14:paraId="713AD11E">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结构专业：计算书未经校对；结构构件安全储备不足；结构与建筑节点不一致等。</w:t>
      </w:r>
    </w:p>
    <w:p w14:paraId="6C521BDF">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给排水专业：由于设计的水塔或水箱高度不够，造成水压不足，出水量不能满足使用要求；高层建筑消防减压、止回等设计不当等。</w:t>
      </w:r>
    </w:p>
    <w:p w14:paraId="46C7D3DE">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暖通专业：冷、热负荷计算有重大错误或系统选择不当；膨胀水箱高度低于采暖系统等。</w:t>
      </w:r>
    </w:p>
    <w:p w14:paraId="6D83B846">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电气专业：选用国家已公布的机电淘汰产品；供配电系统的控制保护，自动控制和自动调节原理图，各站弱电设备之间线路连接图等设计不周或有严重错误；低压配电柜开关与所保护电缆选型不匹配，电缆母线容量不匹配等。</w:t>
      </w:r>
    </w:p>
    <w:p w14:paraId="7AFB2DDC">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造价专业：提交给甲方的造价文件，经核查后，偏差大于±20%的。</w:t>
      </w:r>
    </w:p>
    <w:p w14:paraId="4E4310F1">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B、严重影响报建：如计容积率面积（包含各个分部）超过允许的误差范围；平立剖面对不上；民防单元面积超过规范。</w:t>
      </w:r>
    </w:p>
    <w:p w14:paraId="7834D2B5">
      <w:pPr>
        <w:adjustRightInd w:val="0"/>
        <w:snapToGrid w:val="0"/>
        <w:ind w:firstLine="525" w:firstLineChars="250"/>
        <w:rPr>
          <w:rFonts w:ascii="宋体" w:hAnsi="宋体"/>
          <w:color w:val="auto"/>
          <w:szCs w:val="21"/>
          <w:highlight w:val="none"/>
        </w:rPr>
      </w:pPr>
    </w:p>
    <w:p w14:paraId="3F2A72B1">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Ⅲ类错误</w:t>
      </w:r>
    </w:p>
    <w:p w14:paraId="2C12B340">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设计中局部细节存在不合理或缺点，但对工程决策和质量无重大影响，如：1、违反国家现行技术规范、规定、标准的一般条文；2、设计的流程、系统、平面布置不够合理；3、设备、构造、材料等选用不当；4、重要的数据、计量单位、尺寸出错；5、不符合国家对工程设计文件内容深度及格式的规定要求;6、出现因设计责任引起的三类变更；6、造价文件失实。</w:t>
      </w:r>
    </w:p>
    <w:p w14:paraId="7E4447CA">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具体按照专业又可分为：</w:t>
      </w:r>
    </w:p>
    <w:p w14:paraId="2B14A6D1">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A、局部违反规范、标准、规定，但容易修正、且返工量不大，如：</w:t>
      </w:r>
    </w:p>
    <w:p w14:paraId="51867D41">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建筑专业：栏杆的高度及强度不符合要求；消防电梯不合防火要求，疏散门宽度不够、管道井不合防火规范等。</w:t>
      </w:r>
    </w:p>
    <w:p w14:paraId="0814903B">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结构专业：按简支计算的梁、支座与梁柱整体连接构造用负筋不够；悬挑构件配筋错误等。</w:t>
      </w:r>
    </w:p>
    <w:p w14:paraId="4D29D493">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给排水专业：生活饮用水管理与非饮用水道连接，未采取防回流污染措施等。</w:t>
      </w:r>
    </w:p>
    <w:p w14:paraId="2421BCBA">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暖通专业：管道井不符合防火规定；穿越防火墙未装防火阀；风管材料及保温材料不符合防火要求等。</w:t>
      </w:r>
    </w:p>
    <w:p w14:paraId="560DDAEA">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电气专业：低压配电级数超过三级；照明系统中单向回路灯和插座数量超过25个；烟、温感探测器位置；自动喷淋、排烟防火等系统连锁方式局部违反规范、标准、规定；双电源未考虑末端切换等。</w:t>
      </w:r>
    </w:p>
    <w:p w14:paraId="1B1C95BB">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造价专业：提交给甲方的造价文件，经核查后，偏差大于±10%的。</w:t>
      </w:r>
    </w:p>
    <w:p w14:paraId="5A7B4ACC">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B、设计不周、构造或用料不当，有可能造成影响局部使用效果，或重要部位尺寸错误，有可能造成严重后果，如：</w:t>
      </w:r>
    </w:p>
    <w:p w14:paraId="68EBA5AB">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建筑专业：结构承重部分在建筑图中未完全反映或错误；声光热防水防潮等的技术处理欠妥等。</w:t>
      </w:r>
    </w:p>
    <w:p w14:paraId="574E5D97">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结构专业:各种门/窗洞高度不符合建筑设计要求，严重影响使用要求；存在明显的未设计部分，影响现场进度；结构标高与建筑面层要求不符；阳台、雨蓬的倾覆安全不够，钢筋混凝土构件配筋与计算书不符；应设置构造钢筋的部位不设或少设。</w:t>
      </w:r>
    </w:p>
    <w:p w14:paraId="3712909E">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给排水专业:选用了已淘汰的耗能大的设备。热交换间未考虑检修条件等。</w:t>
      </w:r>
    </w:p>
    <w:p w14:paraId="38683547">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暖通专业:选用了已淘汰的产品；机房布置未考虑检修条件；地下室的机房未考虑设备进出孔；风机的消声、减震处理不当等。</w:t>
      </w:r>
    </w:p>
    <w:p w14:paraId="2786377A">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电气专业:强、弱电各种线路布局，设备选型不当，安装图和非标准图制作尺寸以及安装不符等。</w:t>
      </w:r>
    </w:p>
    <w:p w14:paraId="7873E334">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C、工种配合严重错误或局部遗漏有可能造成影响使用，或造成施工返工，如梁上预埋孔洞严重影响结构安全。</w:t>
      </w:r>
    </w:p>
    <w:p w14:paraId="4E590ADD">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D、结构专业计算、构造层层加码，造成严重浪费者。如设计荷载取用过大，实际配筋又大于计算要求很多等。</w:t>
      </w:r>
    </w:p>
    <w:p w14:paraId="3D07B0C0">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E、影响报建工作的进行；各配套设施建筑或功能区未详细标明或建筑标识不清，影响面积查丈及验收。</w:t>
      </w:r>
    </w:p>
    <w:p w14:paraId="0A184FF2">
      <w:pPr>
        <w:adjustRightInd w:val="0"/>
        <w:snapToGrid w:val="0"/>
        <w:ind w:firstLine="525" w:firstLineChars="250"/>
        <w:rPr>
          <w:rFonts w:ascii="宋体" w:hAnsi="宋体"/>
          <w:color w:val="auto"/>
          <w:szCs w:val="21"/>
          <w:highlight w:val="none"/>
        </w:rPr>
      </w:pPr>
    </w:p>
    <w:p w14:paraId="1AAE96BA">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Ⅳ类错误</w:t>
      </w:r>
    </w:p>
    <w:p w14:paraId="55DA5C34">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指设计文件编制上的差错，如1、说明表达错误；2、不重要的数据、计量单位、尺寸出错；3、不重要的尺寸线、剖面线、引出线等漏划；4、出现因设计责任引起的四类变更；5、造价文件失实较轻。</w:t>
      </w:r>
    </w:p>
    <w:p w14:paraId="278E44B8">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按照专业具体分为：</w:t>
      </w:r>
    </w:p>
    <w:p w14:paraId="5A7CBFC4">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A、容易修正、且不造成使用或安全缺陷，但会给建设单位、施工单位带来麻烦，如：</w:t>
      </w:r>
    </w:p>
    <w:p w14:paraId="192DDE7E">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建筑、结构、水、暖、电各专业；图纸目录不全、表达不够清楚、平立剖面图不一致、一般性尺寸错误或不全、图例或符号不合规定、平面图与系统图不一致等。又如：设计文件、计算书及存档材料的完整性不够；设计说明、图纸目录不全、图例符号表达不合规定；系统图与平面图的一致性的错、漏、碰、缺等。</w:t>
      </w:r>
    </w:p>
    <w:p w14:paraId="683E69D9">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造价专业：提交给甲方的造价文件，经核查后，偏差大于±5%的。</w:t>
      </w:r>
    </w:p>
    <w:p w14:paraId="183BAEDF">
      <w:pPr>
        <w:adjustRightInd w:val="0"/>
        <w:snapToGrid w:val="0"/>
        <w:ind w:firstLine="525" w:firstLineChars="250"/>
        <w:rPr>
          <w:rFonts w:ascii="宋体" w:hAnsi="宋体"/>
          <w:color w:val="auto"/>
          <w:szCs w:val="21"/>
          <w:highlight w:val="none"/>
        </w:rPr>
      </w:pPr>
      <w:r>
        <w:rPr>
          <w:rFonts w:hint="eastAsia" w:ascii="宋体" w:hAnsi="宋体"/>
          <w:color w:val="auto"/>
          <w:szCs w:val="21"/>
          <w:highlight w:val="none"/>
        </w:rPr>
        <w:t>B、工种配合中的一般性错误，容易修正，且不致造成影响使用效果或安全。</w:t>
      </w:r>
    </w:p>
    <w:p w14:paraId="14425FA8">
      <w:pPr>
        <w:tabs>
          <w:tab w:val="left" w:pos="0"/>
        </w:tabs>
        <w:spacing w:line="320" w:lineRule="exact"/>
        <w:jc w:val="center"/>
        <w:rPr>
          <w:rFonts w:hint="eastAsia" w:ascii="宋体" w:hAnsi="宋体" w:eastAsia="宋体"/>
          <w:b w:val="0"/>
          <w:color w:val="auto"/>
          <w:highlight w:val="none"/>
          <w:lang w:eastAsia="zh-Hans"/>
        </w:rPr>
      </w:pPr>
    </w:p>
    <w:p w14:paraId="0294753F">
      <w:pPr>
        <w:tabs>
          <w:tab w:val="left" w:pos="0"/>
        </w:tabs>
        <w:spacing w:line="320" w:lineRule="exact"/>
        <w:jc w:val="center"/>
        <w:rPr>
          <w:rFonts w:hint="eastAsia" w:ascii="宋体" w:hAnsi="宋体" w:eastAsia="宋体"/>
          <w:b w:val="0"/>
          <w:color w:val="auto"/>
          <w:highlight w:val="none"/>
          <w:lang w:eastAsia="zh-Hans"/>
        </w:rPr>
      </w:pPr>
    </w:p>
    <w:p w14:paraId="1B5F0DB4">
      <w:pPr>
        <w:tabs>
          <w:tab w:val="left" w:pos="0"/>
        </w:tabs>
        <w:spacing w:line="320" w:lineRule="exact"/>
        <w:jc w:val="center"/>
        <w:rPr>
          <w:rFonts w:hint="eastAsia" w:ascii="宋体" w:hAnsi="宋体" w:eastAsia="宋体"/>
          <w:b w:val="0"/>
          <w:color w:val="auto"/>
          <w:highlight w:val="none"/>
          <w:lang w:eastAsia="zh-Hans"/>
        </w:rPr>
      </w:pPr>
    </w:p>
    <w:p w14:paraId="365ED1F7">
      <w:pPr>
        <w:tabs>
          <w:tab w:val="left" w:pos="0"/>
        </w:tabs>
        <w:spacing w:line="320" w:lineRule="exact"/>
        <w:jc w:val="center"/>
        <w:rPr>
          <w:rFonts w:hint="eastAsia" w:ascii="宋体" w:hAnsi="宋体" w:eastAsia="宋体"/>
          <w:b w:val="0"/>
          <w:color w:val="auto"/>
          <w:highlight w:val="none"/>
          <w:lang w:eastAsia="zh-Hans"/>
        </w:rPr>
      </w:pPr>
    </w:p>
    <w:p w14:paraId="7E3EBEAC">
      <w:pPr>
        <w:tabs>
          <w:tab w:val="left" w:pos="0"/>
        </w:tabs>
        <w:spacing w:line="320" w:lineRule="exact"/>
        <w:jc w:val="center"/>
        <w:rPr>
          <w:rFonts w:hint="eastAsia" w:ascii="宋体" w:hAnsi="宋体" w:eastAsia="宋体"/>
          <w:b w:val="0"/>
          <w:color w:val="auto"/>
          <w:highlight w:val="none"/>
          <w:lang w:eastAsia="zh-Hans"/>
        </w:rPr>
      </w:pPr>
    </w:p>
    <w:p w14:paraId="0A2B7C3A">
      <w:pPr>
        <w:tabs>
          <w:tab w:val="left" w:pos="0"/>
        </w:tabs>
        <w:spacing w:line="320" w:lineRule="exact"/>
        <w:jc w:val="center"/>
        <w:rPr>
          <w:rFonts w:hint="eastAsia" w:ascii="宋体" w:hAnsi="宋体" w:eastAsia="宋体"/>
          <w:b w:val="0"/>
          <w:color w:val="auto"/>
          <w:highlight w:val="none"/>
          <w:lang w:eastAsia="zh-Hans"/>
        </w:rPr>
      </w:pPr>
    </w:p>
    <w:p w14:paraId="5DDB4E4E">
      <w:pPr>
        <w:tabs>
          <w:tab w:val="left" w:pos="0"/>
        </w:tabs>
        <w:spacing w:line="320" w:lineRule="exact"/>
        <w:jc w:val="center"/>
        <w:rPr>
          <w:rFonts w:hint="eastAsia" w:ascii="宋体" w:hAnsi="宋体" w:eastAsia="宋体"/>
          <w:b w:val="0"/>
          <w:color w:val="auto"/>
          <w:highlight w:val="none"/>
          <w:lang w:eastAsia="zh-Hans"/>
        </w:rPr>
      </w:pPr>
    </w:p>
    <w:p w14:paraId="583AC5AA">
      <w:pPr>
        <w:tabs>
          <w:tab w:val="left" w:pos="0"/>
        </w:tabs>
        <w:spacing w:line="320" w:lineRule="exact"/>
        <w:jc w:val="both"/>
        <w:rPr>
          <w:rFonts w:hint="eastAsia" w:ascii="宋体" w:hAnsi="宋体" w:eastAsia="宋体"/>
          <w:b/>
          <w:bCs/>
          <w:color w:val="auto"/>
          <w:sz w:val="32"/>
          <w:szCs w:val="32"/>
          <w:highlight w:val="none"/>
        </w:rPr>
      </w:pPr>
      <w:r>
        <w:rPr>
          <w:rFonts w:hint="eastAsia" w:ascii="宋体" w:hAnsi="宋体" w:eastAsia="宋体"/>
          <w:b/>
          <w:bCs/>
          <w:color w:val="auto"/>
          <w:sz w:val="32"/>
          <w:szCs w:val="32"/>
          <w:highlight w:val="none"/>
          <w:lang w:eastAsia="zh-Hans"/>
        </w:rPr>
        <w:t>附件</w:t>
      </w:r>
      <w:r>
        <w:rPr>
          <w:rFonts w:ascii="宋体" w:hAnsi="宋体" w:eastAsia="宋体"/>
          <w:b/>
          <w:bCs/>
          <w:color w:val="auto"/>
          <w:sz w:val="32"/>
          <w:szCs w:val="32"/>
          <w:highlight w:val="none"/>
          <w:lang w:eastAsia="zh-Hans"/>
        </w:rPr>
        <w:t>1</w:t>
      </w:r>
      <w:r>
        <w:rPr>
          <w:rFonts w:hint="eastAsia" w:ascii="宋体" w:hAnsi="宋体" w:eastAsia="宋体"/>
          <w:b/>
          <w:bCs/>
          <w:color w:val="auto"/>
          <w:sz w:val="32"/>
          <w:szCs w:val="32"/>
          <w:highlight w:val="none"/>
          <w:lang w:val="en-US" w:eastAsia="zh-CN"/>
        </w:rPr>
        <w:t>3</w:t>
      </w:r>
      <w:r>
        <w:rPr>
          <w:rFonts w:hint="eastAsia" w:ascii="宋体" w:hAnsi="宋体" w:eastAsia="宋体"/>
          <w:b/>
          <w:bCs/>
          <w:color w:val="auto"/>
          <w:sz w:val="32"/>
          <w:szCs w:val="32"/>
          <w:highlight w:val="none"/>
        </w:rPr>
        <w:t>：省代建局直接管理项目岩土工程勘察单位</w:t>
      </w:r>
    </w:p>
    <w:p w14:paraId="257AE91F">
      <w:pPr>
        <w:tabs>
          <w:tab w:val="left" w:pos="0"/>
        </w:tabs>
        <w:spacing w:line="320" w:lineRule="exact"/>
        <w:jc w:val="center"/>
        <w:rPr>
          <w:rFonts w:hint="eastAsia" w:ascii="宋体" w:hAnsi="宋体" w:eastAsia="宋体"/>
          <w:b/>
          <w:bCs/>
          <w:color w:val="auto"/>
          <w:sz w:val="32"/>
          <w:szCs w:val="32"/>
          <w:highlight w:val="none"/>
        </w:rPr>
      </w:pPr>
      <w:r>
        <w:rPr>
          <w:rFonts w:hint="eastAsia" w:ascii="宋体" w:hAnsi="宋体" w:eastAsia="宋体"/>
          <w:b/>
          <w:bCs/>
          <w:color w:val="auto"/>
          <w:sz w:val="32"/>
          <w:szCs w:val="32"/>
          <w:highlight w:val="none"/>
        </w:rPr>
        <w:t>履约评价实施细则</w:t>
      </w:r>
    </w:p>
    <w:p w14:paraId="7B050C6F">
      <w:pPr>
        <w:pStyle w:val="2"/>
        <w:spacing w:line="240" w:lineRule="auto"/>
        <w:ind w:firstLine="843" w:firstLineChars="300"/>
        <w:rPr>
          <w:color w:val="auto"/>
          <w:sz w:val="28"/>
          <w:szCs w:val="28"/>
          <w:highlight w:val="none"/>
        </w:rPr>
      </w:pPr>
      <w:r>
        <w:rPr>
          <w:rFonts w:hint="eastAsia"/>
          <w:color w:val="auto"/>
          <w:sz w:val="28"/>
          <w:szCs w:val="28"/>
          <w:highlight w:val="none"/>
        </w:rPr>
        <w:t>省代建局直接管理项目岩土工程勘察单位履约评价实施细则</w:t>
      </w:r>
    </w:p>
    <w:p w14:paraId="61382044">
      <w:pPr>
        <w:adjustRightInd w:val="0"/>
        <w:snapToGrid w:val="0"/>
        <w:spacing w:line="240" w:lineRule="auto"/>
        <w:ind w:firstLine="0" w:firstLineChars="0"/>
        <w:rPr>
          <w:rFonts w:hint="eastAsia" w:ascii="仿宋_GB2312" w:eastAsia="仿宋_GB2312"/>
          <w:color w:val="auto"/>
          <w:sz w:val="32"/>
          <w:szCs w:val="32"/>
          <w:highlight w:val="none"/>
        </w:rPr>
      </w:pPr>
      <w:r>
        <w:rPr>
          <w:rFonts w:hint="eastAsia" w:ascii="宋体" w:hAnsi="宋体"/>
          <w:color w:val="auto"/>
          <w:szCs w:val="21"/>
          <w:highlight w:val="none"/>
        </w:rPr>
        <w:t xml:space="preserve">    </w:t>
      </w:r>
      <w:r>
        <w:rPr>
          <w:rFonts w:hint="eastAsia" w:ascii="仿宋_GB2312" w:eastAsia="仿宋_GB2312"/>
          <w:b/>
          <w:color w:val="auto"/>
          <w:sz w:val="32"/>
          <w:szCs w:val="32"/>
          <w:highlight w:val="none"/>
        </w:rPr>
        <w:t>第一条</w:t>
      </w:r>
      <w:r>
        <w:rPr>
          <w:rFonts w:hint="eastAsia" w:ascii="仿宋_GB2312" w:eastAsia="仿宋_GB2312"/>
          <w:color w:val="auto"/>
          <w:sz w:val="32"/>
          <w:szCs w:val="32"/>
          <w:highlight w:val="none"/>
        </w:rPr>
        <w:t xml:space="preserve"> 根据《省代建局直接管理项目合同履约评价管理办法（试行）》的有关规定，</w:t>
      </w:r>
      <w:r>
        <w:rPr>
          <w:rFonts w:ascii="仿宋_GB2312" w:eastAsia="仿宋_GB2312"/>
          <w:color w:val="auto"/>
          <w:sz w:val="32"/>
          <w:szCs w:val="32"/>
          <w:highlight w:val="none"/>
        </w:rPr>
        <w:t>为</w:t>
      </w:r>
      <w:r>
        <w:rPr>
          <w:rFonts w:hint="eastAsia" w:ascii="仿宋_GB2312" w:hAnsi="华文仿宋" w:eastAsia="仿宋_GB2312"/>
          <w:color w:val="auto"/>
          <w:sz w:val="32"/>
          <w:szCs w:val="32"/>
          <w:highlight w:val="none"/>
        </w:rPr>
        <w:t>提高建设项目岩土工程勘察工作质量，鼓励在工程建设勘察活动中采用先进技术、工艺，以及新型设备和材料</w:t>
      </w:r>
      <w:r>
        <w:rPr>
          <w:rFonts w:ascii="仿宋_GB2312" w:eastAsia="仿宋_GB2312"/>
          <w:color w:val="auto"/>
          <w:sz w:val="32"/>
          <w:szCs w:val="32"/>
          <w:highlight w:val="none"/>
        </w:rPr>
        <w:t>，</w:t>
      </w:r>
      <w:r>
        <w:rPr>
          <w:rFonts w:hint="eastAsia" w:ascii="仿宋_GB2312" w:hAnsi="华文仿宋" w:eastAsia="仿宋_GB2312"/>
          <w:color w:val="auto"/>
          <w:sz w:val="32"/>
          <w:szCs w:val="32"/>
          <w:highlight w:val="none"/>
        </w:rPr>
        <w:t>确保勘察成果符合</w:t>
      </w:r>
      <w:r>
        <w:rPr>
          <w:rFonts w:hint="eastAsia" w:ascii="仿宋_GB2312" w:eastAsia="仿宋_GB2312"/>
          <w:color w:val="auto"/>
          <w:sz w:val="32"/>
          <w:szCs w:val="32"/>
          <w:highlight w:val="none"/>
        </w:rPr>
        <w:t>有关技术规范和行业标准的规定</w:t>
      </w:r>
      <w:r>
        <w:rPr>
          <w:rFonts w:hint="eastAsia" w:ascii="仿宋_GB2312" w:hAnsi="华文仿宋" w:eastAsia="仿宋_GB2312"/>
          <w:color w:val="auto"/>
          <w:sz w:val="32"/>
          <w:szCs w:val="32"/>
          <w:highlight w:val="none"/>
        </w:rPr>
        <w:t>，现场作业满足安全生产、文明施工、环境保护等有关要求</w:t>
      </w:r>
      <w:r>
        <w:rPr>
          <w:rFonts w:ascii="仿宋_GB2312" w:eastAsia="仿宋_GB2312"/>
          <w:color w:val="auto"/>
          <w:sz w:val="32"/>
          <w:szCs w:val="32"/>
          <w:highlight w:val="none"/>
        </w:rPr>
        <w:t>，快速、有序、优质、高效地完成</w:t>
      </w:r>
      <w:r>
        <w:rPr>
          <w:rFonts w:hint="eastAsia" w:ascii="仿宋_GB2312" w:eastAsia="仿宋_GB2312"/>
          <w:color w:val="auto"/>
          <w:sz w:val="32"/>
          <w:szCs w:val="32"/>
          <w:highlight w:val="none"/>
        </w:rPr>
        <w:t>合同约定</w:t>
      </w:r>
      <w:r>
        <w:rPr>
          <w:rFonts w:ascii="仿宋_GB2312" w:eastAsia="仿宋_GB2312"/>
          <w:color w:val="auto"/>
          <w:sz w:val="32"/>
          <w:szCs w:val="32"/>
          <w:highlight w:val="none"/>
        </w:rPr>
        <w:t>的</w:t>
      </w:r>
      <w:r>
        <w:rPr>
          <w:rFonts w:hint="eastAsia" w:ascii="仿宋_GB2312" w:eastAsia="仿宋_GB2312"/>
          <w:color w:val="auto"/>
          <w:sz w:val="32"/>
          <w:szCs w:val="32"/>
          <w:highlight w:val="none"/>
        </w:rPr>
        <w:t>勘察</w:t>
      </w:r>
      <w:r>
        <w:rPr>
          <w:rFonts w:ascii="仿宋_GB2312" w:eastAsia="仿宋_GB2312"/>
          <w:color w:val="auto"/>
          <w:sz w:val="32"/>
          <w:szCs w:val="32"/>
          <w:highlight w:val="none"/>
        </w:rPr>
        <w:t>任务</w:t>
      </w:r>
      <w:r>
        <w:rPr>
          <w:rFonts w:hint="eastAsia" w:ascii="仿宋_GB2312" w:eastAsia="仿宋_GB2312"/>
          <w:color w:val="auto"/>
          <w:sz w:val="32"/>
          <w:szCs w:val="32"/>
          <w:highlight w:val="none"/>
        </w:rPr>
        <w:t>，达到预期的建设目标，特制定本实施细则。</w:t>
      </w:r>
    </w:p>
    <w:p w14:paraId="5508678F">
      <w:pPr>
        <w:spacing w:line="560" w:lineRule="exact"/>
        <w:ind w:firstLine="643" w:firstLineChars="200"/>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第二条</w:t>
      </w:r>
      <w:r>
        <w:rPr>
          <w:rFonts w:hint="eastAsia" w:ascii="仿宋_GB2312" w:eastAsia="仿宋_GB2312"/>
          <w:color w:val="auto"/>
          <w:sz w:val="32"/>
          <w:szCs w:val="32"/>
          <w:highlight w:val="none"/>
        </w:rPr>
        <w:t xml:space="preserve"> 本实施细则适用于与我局签订勘察设计施工总承包合同、勘察设计合同、工程勘察合同等涉及项目岩土工程勘察工作内容的勘察单位，以单项合同为单位进行履约评价。</w:t>
      </w:r>
    </w:p>
    <w:p w14:paraId="1CDB2903">
      <w:pPr>
        <w:spacing w:line="560" w:lineRule="exact"/>
        <w:ind w:firstLine="643" w:firstLineChars="200"/>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 xml:space="preserve">第三条 </w:t>
      </w:r>
      <w:r>
        <w:rPr>
          <w:rFonts w:hint="eastAsia" w:ascii="仿宋_GB2312" w:eastAsia="仿宋_GB2312"/>
          <w:color w:val="auto"/>
          <w:sz w:val="32"/>
          <w:szCs w:val="32"/>
          <w:highlight w:val="none"/>
        </w:rPr>
        <w:t>评价内容</w:t>
      </w:r>
    </w:p>
    <w:p w14:paraId="3AC3FC80">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（一）按照本细则附件中所列项目进行打分，凡出现扣分项的，应在勘察合同履约评分表中说明具体扣分原因。</w:t>
      </w:r>
    </w:p>
    <w:p w14:paraId="4C60B7BA">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合同履行期内建设行政主管部门、使用单位、勘察单位上级主管单位（部门）反映的问题，局下发的整改通知或通报，以及按照《省属代建项目地质勘查工作指引》有关标准所提出的问题等，凡符合本实施细则附件勘察合同履约评分表中有关内容的，均应纳入评价结果。</w:t>
      </w:r>
    </w:p>
    <w:p w14:paraId="20805AD0">
      <w:pPr>
        <w:spacing w:line="560" w:lineRule="exact"/>
        <w:ind w:firstLine="643" w:firstLineChars="200"/>
        <w:rPr>
          <w:rFonts w:hint="eastAsia" w:ascii="仿宋_GB2312" w:eastAsia="仿宋_GB2312"/>
          <w:bCs/>
          <w:color w:val="auto"/>
          <w:sz w:val="32"/>
          <w:szCs w:val="32"/>
          <w:highlight w:val="none"/>
        </w:rPr>
      </w:pPr>
      <w:r>
        <w:rPr>
          <w:rFonts w:hint="eastAsia" w:ascii="仿宋_GB2312" w:eastAsia="仿宋_GB2312"/>
          <w:b/>
          <w:color w:val="auto"/>
          <w:sz w:val="32"/>
          <w:szCs w:val="32"/>
          <w:highlight w:val="none"/>
        </w:rPr>
        <w:t xml:space="preserve">第四条 </w:t>
      </w:r>
      <w:r>
        <w:rPr>
          <w:rFonts w:hint="eastAsia" w:ascii="仿宋_GB2312" w:eastAsia="仿宋_GB2312"/>
          <w:color w:val="auto"/>
          <w:sz w:val="32"/>
          <w:szCs w:val="32"/>
          <w:highlight w:val="none"/>
        </w:rPr>
        <w:t>勘察费用的支付及评价阶段划分</w:t>
      </w:r>
    </w:p>
    <w:p w14:paraId="3C54B9EC">
      <w:pPr>
        <w:spacing w:line="560" w:lineRule="exact"/>
        <w:ind w:left="64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1、支付节点</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3780"/>
        <w:gridCol w:w="3420"/>
        <w:gridCol w:w="1258"/>
      </w:tblGrid>
      <w:tr w14:paraId="3350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3B4FE108">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支付节点</w:t>
            </w:r>
          </w:p>
        </w:tc>
        <w:tc>
          <w:tcPr>
            <w:tcW w:w="3780" w:type="dxa"/>
            <w:noWrap w:val="0"/>
            <w:vAlign w:val="center"/>
          </w:tcPr>
          <w:p w14:paraId="090B0617">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支付条件</w:t>
            </w:r>
          </w:p>
        </w:tc>
        <w:tc>
          <w:tcPr>
            <w:tcW w:w="3420" w:type="dxa"/>
            <w:noWrap w:val="0"/>
            <w:vAlign w:val="center"/>
          </w:tcPr>
          <w:p w14:paraId="399ADAD1">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支付金额</w:t>
            </w:r>
          </w:p>
        </w:tc>
        <w:tc>
          <w:tcPr>
            <w:tcW w:w="1258" w:type="dxa"/>
            <w:noWrap w:val="0"/>
            <w:vAlign w:val="center"/>
          </w:tcPr>
          <w:p w14:paraId="3EBCCD57">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考评标准</w:t>
            </w:r>
          </w:p>
        </w:tc>
      </w:tr>
      <w:tr w14:paraId="05D2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7AD52643">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w:t>
            </w:r>
          </w:p>
        </w:tc>
        <w:tc>
          <w:tcPr>
            <w:tcW w:w="3780" w:type="dxa"/>
            <w:noWrap w:val="0"/>
            <w:vAlign w:val="center"/>
          </w:tcPr>
          <w:p w14:paraId="55C7E9EE">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签订合同并提交履约保函</w:t>
            </w:r>
          </w:p>
        </w:tc>
        <w:tc>
          <w:tcPr>
            <w:tcW w:w="3420" w:type="dxa"/>
            <w:noWrap w:val="0"/>
            <w:vAlign w:val="center"/>
          </w:tcPr>
          <w:p w14:paraId="6B58E111">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合同价×10%</w:t>
            </w:r>
          </w:p>
        </w:tc>
        <w:tc>
          <w:tcPr>
            <w:tcW w:w="1258" w:type="dxa"/>
            <w:noWrap w:val="0"/>
            <w:vAlign w:val="center"/>
          </w:tcPr>
          <w:p w14:paraId="5C6F5F4D">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w:t>
            </w:r>
          </w:p>
        </w:tc>
      </w:tr>
      <w:tr w14:paraId="7129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731A7A3E">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w:t>
            </w:r>
          </w:p>
        </w:tc>
        <w:tc>
          <w:tcPr>
            <w:tcW w:w="3780" w:type="dxa"/>
            <w:noWrap w:val="0"/>
            <w:vAlign w:val="center"/>
          </w:tcPr>
          <w:p w14:paraId="3B96C402">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取得施工图审查合格报告</w:t>
            </w:r>
          </w:p>
        </w:tc>
        <w:tc>
          <w:tcPr>
            <w:tcW w:w="3420" w:type="dxa"/>
            <w:noWrap w:val="0"/>
            <w:vAlign w:val="center"/>
          </w:tcPr>
          <w:p w14:paraId="50C58B04">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结算价×50%×A</w:t>
            </w:r>
          </w:p>
        </w:tc>
        <w:tc>
          <w:tcPr>
            <w:tcW w:w="1258" w:type="dxa"/>
            <w:noWrap w:val="0"/>
            <w:vAlign w:val="center"/>
          </w:tcPr>
          <w:p w14:paraId="2C502B68">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按附件一</w:t>
            </w:r>
          </w:p>
        </w:tc>
      </w:tr>
      <w:tr w14:paraId="67B8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05F5EBF9">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w:t>
            </w:r>
          </w:p>
        </w:tc>
        <w:tc>
          <w:tcPr>
            <w:tcW w:w="3780" w:type="dxa"/>
            <w:noWrap w:val="0"/>
            <w:vAlign w:val="center"/>
          </w:tcPr>
          <w:p w14:paraId="7C03A98D">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完成地基基础分部工程验收</w:t>
            </w:r>
          </w:p>
        </w:tc>
        <w:tc>
          <w:tcPr>
            <w:tcW w:w="3420" w:type="dxa"/>
            <w:noWrap w:val="0"/>
            <w:vAlign w:val="center"/>
          </w:tcPr>
          <w:p w14:paraId="68890E84">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结算价×30%×A</w:t>
            </w:r>
          </w:p>
        </w:tc>
        <w:tc>
          <w:tcPr>
            <w:tcW w:w="1258" w:type="dxa"/>
            <w:noWrap w:val="0"/>
            <w:vAlign w:val="center"/>
          </w:tcPr>
          <w:p w14:paraId="2493EE13">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按附件二</w:t>
            </w:r>
          </w:p>
        </w:tc>
      </w:tr>
      <w:tr w14:paraId="53E9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5F3AB584">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4</w:t>
            </w:r>
          </w:p>
        </w:tc>
        <w:tc>
          <w:tcPr>
            <w:tcW w:w="3780" w:type="dxa"/>
            <w:noWrap w:val="0"/>
            <w:vAlign w:val="center"/>
          </w:tcPr>
          <w:p w14:paraId="6D2017A2">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提交完整的结算资料，经发包人审批确认</w:t>
            </w:r>
          </w:p>
        </w:tc>
        <w:tc>
          <w:tcPr>
            <w:tcW w:w="3420" w:type="dxa"/>
            <w:noWrap w:val="0"/>
            <w:vAlign w:val="center"/>
          </w:tcPr>
          <w:p w14:paraId="29B9804B">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结算价×10%</w:t>
            </w:r>
          </w:p>
        </w:tc>
        <w:tc>
          <w:tcPr>
            <w:tcW w:w="1258" w:type="dxa"/>
            <w:noWrap w:val="0"/>
            <w:vAlign w:val="center"/>
          </w:tcPr>
          <w:p w14:paraId="65BF1ED3">
            <w:pPr>
              <w:adjustRightInd w:val="0"/>
              <w:snapToGrid w:val="0"/>
              <w:jc w:val="center"/>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w:t>
            </w:r>
          </w:p>
        </w:tc>
      </w:tr>
      <w:tr w14:paraId="4B08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4"/>
            <w:noWrap w:val="0"/>
            <w:vAlign w:val="center"/>
          </w:tcPr>
          <w:p w14:paraId="620D7CF4">
            <w:pPr>
              <w:adjustRightInd w:val="0"/>
              <w:snapToGrid w:val="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备注：合同最终结算金额以主管部门投资结算审定意见为准，若实际支付金额超出最终结算金额的，承包人应及时退回多收款项至发包人指定账户。</w:t>
            </w:r>
          </w:p>
        </w:tc>
      </w:tr>
    </w:tbl>
    <w:p w14:paraId="145E8B55">
      <w:pPr>
        <w:spacing w:line="560" w:lineRule="exact"/>
        <w:ind w:firstLine="643" w:firstLineChars="200"/>
        <w:rPr>
          <w:rFonts w:hint="eastAsia" w:ascii="仿宋_GB2312" w:eastAsia="仿宋_GB2312"/>
          <w:b/>
          <w:color w:val="auto"/>
          <w:sz w:val="32"/>
          <w:szCs w:val="32"/>
          <w:highlight w:val="none"/>
        </w:rPr>
      </w:pPr>
      <w:r>
        <w:rPr>
          <w:rFonts w:hint="eastAsia" w:ascii="仿宋_GB2312" w:eastAsia="仿宋_GB2312"/>
          <w:b/>
          <w:color w:val="auto"/>
          <w:sz w:val="32"/>
          <w:szCs w:val="32"/>
          <w:highlight w:val="none"/>
        </w:rPr>
        <w:t>注：</w:t>
      </w:r>
    </w:p>
    <w:p w14:paraId="62A5211D">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（1）结算价为经确认的实际工程量×合同勘察单价。</w:t>
      </w:r>
    </w:p>
    <w:p w14:paraId="4FE004E8">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（2）A为合同履约评价得分对应的勘察费支付比例，其取值方式为：</w:t>
      </w:r>
    </w:p>
    <w:p w14:paraId="2EAE7ADB">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①合同履约评价得分≥90的，勘察费全额支付，即A=1。</w:t>
      </w:r>
    </w:p>
    <w:p w14:paraId="1BA379F3">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②合同履约评价得分≥75且</w:t>
      </w:r>
      <w:r>
        <w:rPr>
          <w:rFonts w:hint="eastAsia" w:ascii="仿宋_GB2312" w:hAnsi="仿宋_GB2312" w:eastAsia="仿宋_GB2312"/>
          <w:color w:val="auto"/>
          <w:sz w:val="32"/>
          <w:szCs w:val="32"/>
          <w:highlight w:val="none"/>
        </w:rPr>
        <w:t>&lt;</w:t>
      </w:r>
      <w:r>
        <w:rPr>
          <w:rFonts w:hint="eastAsia" w:ascii="仿宋_GB2312" w:eastAsia="仿宋_GB2312"/>
          <w:color w:val="auto"/>
          <w:sz w:val="32"/>
          <w:szCs w:val="32"/>
          <w:highlight w:val="none"/>
        </w:rPr>
        <w:t>90的，勘察费支付比例为90%，即A=0.9。</w:t>
      </w:r>
    </w:p>
    <w:p w14:paraId="110D0DEE">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③合同履约评价得分≥60且</w:t>
      </w:r>
      <w:r>
        <w:rPr>
          <w:rFonts w:hint="eastAsia" w:ascii="仿宋_GB2312" w:hAnsi="仿宋_GB2312" w:eastAsia="仿宋_GB2312"/>
          <w:color w:val="auto"/>
          <w:sz w:val="32"/>
          <w:szCs w:val="32"/>
          <w:highlight w:val="none"/>
        </w:rPr>
        <w:t>&lt;</w:t>
      </w:r>
      <w:r>
        <w:rPr>
          <w:rFonts w:hint="eastAsia" w:ascii="仿宋_GB2312" w:eastAsia="仿宋_GB2312"/>
          <w:color w:val="auto"/>
          <w:sz w:val="32"/>
          <w:szCs w:val="32"/>
          <w:highlight w:val="none"/>
        </w:rPr>
        <w:t>75的，勘察费支付比例为80%，即A=0.8。</w:t>
      </w:r>
    </w:p>
    <w:p w14:paraId="5749E203">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④合同履约评价得分</w:t>
      </w:r>
      <w:r>
        <w:rPr>
          <w:rFonts w:hint="eastAsia" w:ascii="仿宋_GB2312" w:hAnsi="仿宋_GB2312" w:eastAsia="仿宋_GB2312"/>
          <w:color w:val="auto"/>
          <w:sz w:val="32"/>
          <w:szCs w:val="32"/>
          <w:highlight w:val="none"/>
        </w:rPr>
        <w:t>&lt;</w:t>
      </w:r>
      <w:r>
        <w:rPr>
          <w:rFonts w:hint="eastAsia" w:ascii="仿宋_GB2312" w:eastAsia="仿宋_GB2312"/>
          <w:color w:val="auto"/>
          <w:sz w:val="32"/>
          <w:szCs w:val="32"/>
          <w:highlight w:val="none"/>
        </w:rPr>
        <w:t>60的，勘察费支付比例为70%，即A=0.7。</w:t>
      </w:r>
    </w:p>
    <w:p w14:paraId="788CACFB">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2、评价阶段</w:t>
      </w:r>
    </w:p>
    <w:p w14:paraId="3DB433F9">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（1）设计阶段</w:t>
      </w:r>
    </w:p>
    <w:p w14:paraId="4C3D4B1C">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取得施工图审查合格报告，并完成基坑支护设计技术评审（若有）取得通过意见，且按照评审意见修改完善取得认可意见，由前期工作部项目负责人填写《第一阶段勘察合同履约评价表》（按附件一格式），报前期工作部部长审定。</w:t>
      </w:r>
    </w:p>
    <w:p w14:paraId="31DCADDF">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（2）施工配合阶段</w:t>
      </w:r>
    </w:p>
    <w:p w14:paraId="28C8CA53">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项目通过地基基础分部工程验收后，由项目建设管理部派驻现场项目负责人填写《第二阶段勘察合同履约评价表》（按附件二格式），征前期工作部项目负责人意见后，报项目建设管理部部长审定。</w:t>
      </w:r>
    </w:p>
    <w:p w14:paraId="207C591F">
      <w:pPr>
        <w:spacing w:line="560" w:lineRule="exact"/>
        <w:ind w:firstLine="643" w:firstLineChars="200"/>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 xml:space="preserve">第五条 </w:t>
      </w:r>
      <w:r>
        <w:rPr>
          <w:rFonts w:hint="eastAsia" w:ascii="仿宋_GB2312" w:eastAsia="仿宋_GB2312"/>
          <w:color w:val="auto"/>
          <w:sz w:val="32"/>
          <w:szCs w:val="32"/>
          <w:highlight w:val="none"/>
        </w:rPr>
        <w:t>对项目建设全过程历次履约评价得分均不低于90的履约单位，按《省代建局直接管理项目合同履约评价管理办法（试行）》中第十二条“履约评价结果的运用”中第（二）点的有关规定执行。</w:t>
      </w:r>
    </w:p>
    <w:p w14:paraId="5E7A53C7">
      <w:pPr>
        <w:spacing w:line="560" w:lineRule="exact"/>
        <w:ind w:firstLine="643" w:firstLineChars="200"/>
        <w:rPr>
          <w:rFonts w:ascii="仿宋_GB2312" w:eastAsia="仿宋_GB2312"/>
          <w:color w:val="auto"/>
          <w:sz w:val="32"/>
          <w:szCs w:val="32"/>
          <w:highlight w:val="none"/>
        </w:rPr>
      </w:pPr>
      <w:r>
        <w:rPr>
          <w:rFonts w:hint="eastAsia" w:ascii="仿宋_GB2312" w:eastAsia="仿宋_GB2312"/>
          <w:b/>
          <w:color w:val="auto"/>
          <w:sz w:val="32"/>
          <w:szCs w:val="32"/>
          <w:highlight w:val="none"/>
        </w:rPr>
        <w:t xml:space="preserve">第六条 </w:t>
      </w:r>
      <w:r>
        <w:rPr>
          <w:rFonts w:hint="eastAsia" w:ascii="仿宋_GB2312" w:eastAsia="仿宋_GB2312"/>
          <w:color w:val="auto"/>
          <w:sz w:val="32"/>
          <w:szCs w:val="32"/>
          <w:highlight w:val="none"/>
        </w:rPr>
        <w:t>对项目建设全过程出现一次履约评价最低得分低于60的履约单位，按《省代建局直接管理项目合同履约评价管理办法（试行）》中第十二条“履约评价结果的运用”中第（三）点的有关规定执行。</w:t>
      </w:r>
    </w:p>
    <w:p w14:paraId="75A50D54">
      <w:pPr>
        <w:spacing w:line="560" w:lineRule="exact"/>
        <w:ind w:firstLine="643" w:firstLineChars="200"/>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第七条</w:t>
      </w:r>
      <w:r>
        <w:rPr>
          <w:rFonts w:hint="eastAsia" w:ascii="仿宋_GB2312" w:eastAsia="仿宋_GB2312"/>
          <w:color w:val="auto"/>
          <w:sz w:val="32"/>
          <w:szCs w:val="32"/>
          <w:highlight w:val="none"/>
        </w:rPr>
        <w:t xml:space="preserve"> 合同履约评价表完成审定后送勘察单位，勘察单位对履约评价结果有异议的，按《省代建局直接管理项目合同履约评价管理办法（试行）》中第十一条的有关规定执行。</w:t>
      </w:r>
    </w:p>
    <w:p w14:paraId="2639AC25">
      <w:pPr>
        <w:spacing w:line="560" w:lineRule="exact"/>
        <w:ind w:firstLine="643" w:firstLineChars="200"/>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 xml:space="preserve">第八条 </w:t>
      </w:r>
      <w:r>
        <w:rPr>
          <w:rFonts w:hint="eastAsia" w:ascii="仿宋_GB2312" w:eastAsia="仿宋_GB2312"/>
          <w:color w:val="auto"/>
          <w:sz w:val="32"/>
          <w:szCs w:val="32"/>
          <w:highlight w:val="none"/>
        </w:rPr>
        <w:t>本实施细则纳入涉及工程项目勘察工作内容的勘察设计施工总承包、勘察设计、工程勘察等招标文件及合同中作为附件组成部分之一。</w:t>
      </w:r>
    </w:p>
    <w:p w14:paraId="59867D4D">
      <w:pPr>
        <w:spacing w:line="560" w:lineRule="exact"/>
        <w:ind w:firstLine="643" w:firstLineChars="200"/>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 xml:space="preserve">第九条 </w:t>
      </w:r>
      <w:r>
        <w:rPr>
          <w:rFonts w:hint="eastAsia" w:ascii="仿宋_GB2312" w:eastAsia="仿宋_GB2312"/>
          <w:color w:val="auto"/>
          <w:sz w:val="32"/>
          <w:szCs w:val="32"/>
          <w:highlight w:val="none"/>
        </w:rPr>
        <w:t>勘察合同由使用单位签署的，经我局签订补充协议后，自补充协议签订之日起的勘察工作，按本细则实施，由使用单位负责管理的阶段，经征求使用单位意见后，一并按本细则实施，合同履约评价表完成审定后送使用单位。</w:t>
      </w:r>
    </w:p>
    <w:p w14:paraId="6B33F7B2">
      <w:pPr>
        <w:spacing w:line="560" w:lineRule="exact"/>
        <w:ind w:firstLine="643" w:firstLineChars="200"/>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 xml:space="preserve">第十条 </w:t>
      </w:r>
      <w:r>
        <w:rPr>
          <w:rFonts w:hint="eastAsia" w:ascii="仿宋_GB2312" w:eastAsia="仿宋_GB2312"/>
          <w:color w:val="auto"/>
          <w:sz w:val="32"/>
          <w:szCs w:val="32"/>
          <w:highlight w:val="none"/>
        </w:rPr>
        <w:t>本细则自广东省代建项目管理局办公会研究通过后开始试行。前期工作部可结合直接管理项目实施过程实际情况适时进行修订。</w:t>
      </w:r>
    </w:p>
    <w:p w14:paraId="6D6888E3">
      <w:pPr>
        <w:spacing w:line="560" w:lineRule="exact"/>
        <w:ind w:firstLine="640" w:firstLineChars="200"/>
        <w:rPr>
          <w:rFonts w:hint="eastAsia" w:ascii="仿宋_GB2312" w:eastAsia="仿宋_GB2312"/>
          <w:color w:val="auto"/>
          <w:sz w:val="32"/>
          <w:szCs w:val="32"/>
          <w:highlight w:val="none"/>
        </w:rPr>
      </w:pPr>
    </w:p>
    <w:p w14:paraId="7407CE93">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附件：</w:t>
      </w:r>
    </w:p>
    <w:p w14:paraId="0429F189">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一、设计阶段勘察合同履约评价表</w:t>
      </w:r>
    </w:p>
    <w:p w14:paraId="5B372B6D">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二、施工配合阶段勘察合同履约评价表</w:t>
      </w:r>
    </w:p>
    <w:p w14:paraId="4EC98CBE">
      <w:pPr>
        <w:spacing w:line="560" w:lineRule="exact"/>
        <w:rPr>
          <w:rFonts w:ascii="仿宋_GB2312" w:eastAsia="仿宋_GB2312"/>
          <w:color w:val="auto"/>
          <w:sz w:val="32"/>
          <w:szCs w:val="32"/>
          <w:highlight w:val="none"/>
        </w:rPr>
      </w:pPr>
      <w:r>
        <w:rPr>
          <w:rFonts w:ascii="仿宋_GB2312" w:eastAsia="仿宋_GB2312"/>
          <w:color w:val="auto"/>
          <w:sz w:val="32"/>
          <w:szCs w:val="32"/>
          <w:highlight w:val="none"/>
        </w:rPr>
        <w:br w:type="page"/>
      </w:r>
      <w:r>
        <w:rPr>
          <w:rFonts w:hint="eastAsia" w:ascii="仿宋_GB2312" w:eastAsia="仿宋_GB2312"/>
          <w:color w:val="auto"/>
          <w:sz w:val="32"/>
          <w:szCs w:val="32"/>
          <w:highlight w:val="none"/>
        </w:rPr>
        <w:t>附件一</w:t>
      </w:r>
    </w:p>
    <w:tbl>
      <w:tblPr>
        <w:tblStyle w:val="54"/>
        <w:tblW w:w="9366" w:type="dxa"/>
        <w:jc w:val="center"/>
        <w:tblLayout w:type="fixed"/>
        <w:tblCellMar>
          <w:top w:w="0" w:type="dxa"/>
          <w:left w:w="108" w:type="dxa"/>
          <w:bottom w:w="0" w:type="dxa"/>
          <w:right w:w="108" w:type="dxa"/>
        </w:tblCellMar>
      </w:tblPr>
      <w:tblGrid>
        <w:gridCol w:w="460"/>
        <w:gridCol w:w="1393"/>
        <w:gridCol w:w="709"/>
        <w:gridCol w:w="2551"/>
        <w:gridCol w:w="3261"/>
        <w:gridCol w:w="992"/>
      </w:tblGrid>
      <w:tr w14:paraId="57AD197D">
        <w:tblPrEx>
          <w:tblCellMar>
            <w:top w:w="0" w:type="dxa"/>
            <w:left w:w="108" w:type="dxa"/>
            <w:bottom w:w="0" w:type="dxa"/>
            <w:right w:w="108" w:type="dxa"/>
          </w:tblCellMar>
        </w:tblPrEx>
        <w:trPr>
          <w:trHeight w:val="795" w:hRule="atLeast"/>
          <w:jc w:val="center"/>
        </w:trPr>
        <w:tc>
          <w:tcPr>
            <w:tcW w:w="9366" w:type="dxa"/>
            <w:gridSpan w:val="6"/>
            <w:tcBorders>
              <w:top w:val="nil"/>
              <w:left w:val="nil"/>
              <w:bottom w:val="nil"/>
              <w:right w:val="nil"/>
            </w:tcBorders>
            <w:noWrap w:val="0"/>
            <w:vAlign w:val="center"/>
          </w:tcPr>
          <w:p w14:paraId="4E82BA86">
            <w:pPr>
              <w:widowControl/>
              <w:jc w:val="center"/>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设计阶段勘察合同履约评价表</w:t>
            </w:r>
          </w:p>
        </w:tc>
      </w:tr>
      <w:tr w14:paraId="647A9D71">
        <w:tblPrEx>
          <w:tblCellMar>
            <w:top w:w="0" w:type="dxa"/>
            <w:left w:w="108" w:type="dxa"/>
            <w:bottom w:w="0" w:type="dxa"/>
            <w:right w:w="108" w:type="dxa"/>
          </w:tblCellMar>
        </w:tblPrEx>
        <w:trPr>
          <w:jc w:val="center"/>
        </w:trPr>
        <w:tc>
          <w:tcPr>
            <w:tcW w:w="460" w:type="dxa"/>
            <w:tcBorders>
              <w:top w:val="single" w:color="auto" w:sz="4" w:space="0"/>
              <w:left w:val="single" w:color="auto" w:sz="4" w:space="0"/>
              <w:bottom w:val="single" w:color="auto" w:sz="4" w:space="0"/>
              <w:right w:val="single" w:color="auto" w:sz="4" w:space="0"/>
            </w:tcBorders>
            <w:noWrap w:val="0"/>
            <w:vAlign w:val="center"/>
          </w:tcPr>
          <w:p w14:paraId="6806E7C8">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393" w:type="dxa"/>
            <w:tcBorders>
              <w:top w:val="single" w:color="auto" w:sz="4" w:space="0"/>
              <w:left w:val="nil"/>
              <w:bottom w:val="single" w:color="auto" w:sz="4" w:space="0"/>
              <w:right w:val="single" w:color="auto" w:sz="4" w:space="0"/>
            </w:tcBorders>
            <w:noWrap w:val="0"/>
            <w:vAlign w:val="center"/>
          </w:tcPr>
          <w:p w14:paraId="03F67EE2">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内容</w:t>
            </w:r>
          </w:p>
        </w:tc>
        <w:tc>
          <w:tcPr>
            <w:tcW w:w="709" w:type="dxa"/>
            <w:tcBorders>
              <w:top w:val="single" w:color="auto" w:sz="4" w:space="0"/>
              <w:left w:val="nil"/>
              <w:bottom w:val="single" w:color="auto" w:sz="4" w:space="0"/>
              <w:right w:val="single" w:color="auto" w:sz="4" w:space="0"/>
            </w:tcBorders>
            <w:noWrap w:val="0"/>
            <w:vAlign w:val="center"/>
          </w:tcPr>
          <w:p w14:paraId="37CCCA56">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单项</w:t>
            </w:r>
          </w:p>
          <w:p w14:paraId="163C193F">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分值</w:t>
            </w:r>
          </w:p>
        </w:tc>
        <w:tc>
          <w:tcPr>
            <w:tcW w:w="2551" w:type="dxa"/>
            <w:tcBorders>
              <w:top w:val="single" w:color="auto" w:sz="4" w:space="0"/>
              <w:left w:val="nil"/>
              <w:bottom w:val="single" w:color="auto" w:sz="4" w:space="0"/>
              <w:right w:val="single" w:color="auto" w:sz="4" w:space="0"/>
            </w:tcBorders>
            <w:noWrap w:val="0"/>
            <w:vAlign w:val="center"/>
          </w:tcPr>
          <w:p w14:paraId="16E97F55">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评价指标</w:t>
            </w:r>
          </w:p>
        </w:tc>
        <w:tc>
          <w:tcPr>
            <w:tcW w:w="3261" w:type="dxa"/>
            <w:tcBorders>
              <w:top w:val="single" w:color="auto" w:sz="4" w:space="0"/>
              <w:left w:val="nil"/>
              <w:bottom w:val="single" w:color="auto" w:sz="4" w:space="0"/>
              <w:right w:val="single" w:color="auto" w:sz="4" w:space="0"/>
            </w:tcBorders>
            <w:noWrap w:val="0"/>
            <w:vAlign w:val="center"/>
          </w:tcPr>
          <w:p w14:paraId="4BDF6F2D">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评分标准</w:t>
            </w:r>
          </w:p>
        </w:tc>
        <w:tc>
          <w:tcPr>
            <w:tcW w:w="992" w:type="dxa"/>
            <w:tcBorders>
              <w:top w:val="single" w:color="auto" w:sz="4" w:space="0"/>
              <w:left w:val="nil"/>
              <w:bottom w:val="single" w:color="auto" w:sz="4" w:space="0"/>
              <w:right w:val="single" w:color="auto" w:sz="4" w:space="0"/>
            </w:tcBorders>
            <w:noWrap w:val="0"/>
            <w:vAlign w:val="center"/>
          </w:tcPr>
          <w:p w14:paraId="2AB81B7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得分</w:t>
            </w:r>
          </w:p>
        </w:tc>
      </w:tr>
      <w:tr w14:paraId="6559D08F">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59F18304">
            <w:pPr>
              <w:widowControl/>
              <w:jc w:val="center"/>
              <w:rPr>
                <w:color w:val="auto"/>
                <w:kern w:val="0"/>
                <w:szCs w:val="21"/>
                <w:highlight w:val="none"/>
              </w:rPr>
            </w:pPr>
            <w:r>
              <w:rPr>
                <w:rFonts w:hint="eastAsia" w:ascii="宋体" w:hAnsi="宋体"/>
                <w:color w:val="auto"/>
                <w:kern w:val="0"/>
                <w:szCs w:val="21"/>
                <w:highlight w:val="none"/>
              </w:rPr>
              <w:t>一</w:t>
            </w:r>
          </w:p>
        </w:tc>
        <w:tc>
          <w:tcPr>
            <w:tcW w:w="1393" w:type="dxa"/>
            <w:tcBorders>
              <w:top w:val="nil"/>
              <w:left w:val="nil"/>
              <w:bottom w:val="single" w:color="auto" w:sz="4" w:space="0"/>
              <w:right w:val="single" w:color="auto" w:sz="4" w:space="0"/>
            </w:tcBorders>
            <w:noWrap w:val="0"/>
            <w:vAlign w:val="center"/>
          </w:tcPr>
          <w:p w14:paraId="18E1AD02">
            <w:pPr>
              <w:widowControl/>
              <w:jc w:val="center"/>
              <w:rPr>
                <w:color w:val="auto"/>
                <w:kern w:val="0"/>
                <w:szCs w:val="21"/>
                <w:highlight w:val="none"/>
              </w:rPr>
            </w:pPr>
            <w:r>
              <w:rPr>
                <w:rFonts w:hint="eastAsia" w:ascii="宋体" w:hAnsi="宋体"/>
                <w:color w:val="auto"/>
                <w:kern w:val="0"/>
                <w:szCs w:val="21"/>
                <w:highlight w:val="none"/>
              </w:rPr>
              <w:t>人员配备</w:t>
            </w:r>
          </w:p>
        </w:tc>
        <w:tc>
          <w:tcPr>
            <w:tcW w:w="709" w:type="dxa"/>
            <w:tcBorders>
              <w:top w:val="nil"/>
              <w:left w:val="nil"/>
              <w:bottom w:val="single" w:color="auto" w:sz="4" w:space="0"/>
              <w:right w:val="single" w:color="auto" w:sz="4" w:space="0"/>
            </w:tcBorders>
            <w:noWrap w:val="0"/>
            <w:vAlign w:val="center"/>
          </w:tcPr>
          <w:p w14:paraId="5394580C">
            <w:pPr>
              <w:widowControl/>
              <w:jc w:val="center"/>
              <w:rPr>
                <w:color w:val="auto"/>
                <w:kern w:val="0"/>
                <w:szCs w:val="21"/>
                <w:highlight w:val="none"/>
              </w:rPr>
            </w:pPr>
            <w:r>
              <w:rPr>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195920E2">
            <w:pPr>
              <w:widowControl/>
              <w:jc w:val="center"/>
              <w:rPr>
                <w:b/>
                <w:bCs/>
                <w:color w:val="auto"/>
                <w:kern w:val="0"/>
                <w:szCs w:val="21"/>
                <w:highlight w:val="none"/>
              </w:rPr>
            </w:pPr>
            <w:r>
              <w:rPr>
                <w:b/>
                <w:bCs/>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1278390E">
            <w:pPr>
              <w:widowControl/>
              <w:jc w:val="center"/>
              <w:rPr>
                <w:b/>
                <w:bCs/>
                <w:color w:val="auto"/>
                <w:kern w:val="0"/>
                <w:szCs w:val="21"/>
                <w:highlight w:val="none"/>
              </w:rPr>
            </w:pPr>
            <w:r>
              <w:rPr>
                <w:b/>
                <w:bCs/>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1AD0D532">
            <w:pPr>
              <w:widowControl/>
              <w:jc w:val="center"/>
              <w:rPr>
                <w:rFonts w:hint="eastAsia"/>
                <w:color w:val="auto"/>
                <w:kern w:val="0"/>
                <w:szCs w:val="21"/>
                <w:highlight w:val="none"/>
              </w:rPr>
            </w:pPr>
          </w:p>
        </w:tc>
      </w:tr>
      <w:tr w14:paraId="49A8816D">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584219D6">
            <w:pPr>
              <w:widowControl/>
              <w:jc w:val="center"/>
              <w:rPr>
                <w:color w:val="auto"/>
                <w:kern w:val="0"/>
                <w:szCs w:val="21"/>
                <w:highlight w:val="none"/>
              </w:rPr>
            </w:pPr>
            <w:r>
              <w:rPr>
                <w:color w:val="auto"/>
                <w:kern w:val="0"/>
                <w:szCs w:val="21"/>
                <w:highlight w:val="none"/>
              </w:rPr>
              <w:t>1</w:t>
            </w:r>
          </w:p>
        </w:tc>
        <w:tc>
          <w:tcPr>
            <w:tcW w:w="1393" w:type="dxa"/>
            <w:tcBorders>
              <w:top w:val="nil"/>
              <w:left w:val="nil"/>
              <w:bottom w:val="single" w:color="auto" w:sz="4" w:space="0"/>
              <w:right w:val="nil"/>
            </w:tcBorders>
            <w:noWrap w:val="0"/>
            <w:vAlign w:val="center"/>
          </w:tcPr>
          <w:p w14:paraId="5D4161BF">
            <w:pPr>
              <w:widowControl/>
              <w:jc w:val="center"/>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single" w:color="auto" w:sz="4" w:space="0"/>
              <w:bottom w:val="single" w:color="auto" w:sz="4" w:space="0"/>
              <w:right w:val="single" w:color="auto" w:sz="4" w:space="0"/>
            </w:tcBorders>
            <w:noWrap w:val="0"/>
            <w:vAlign w:val="center"/>
          </w:tcPr>
          <w:p w14:paraId="18929C1B">
            <w:pPr>
              <w:widowControl/>
              <w:jc w:val="center"/>
              <w:rPr>
                <w:rFonts w:hint="eastAsia"/>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14A4C613">
            <w:pPr>
              <w:widowControl/>
              <w:jc w:val="left"/>
              <w:rPr>
                <w:rFonts w:hint="eastAsia"/>
                <w:color w:val="auto"/>
                <w:kern w:val="0"/>
                <w:szCs w:val="21"/>
                <w:highlight w:val="none"/>
              </w:rPr>
            </w:pPr>
            <w:r>
              <w:rPr>
                <w:rFonts w:hint="eastAsia" w:ascii="宋体" w:hAnsi="宋体"/>
                <w:color w:val="auto"/>
                <w:kern w:val="0"/>
                <w:szCs w:val="21"/>
                <w:highlight w:val="none"/>
              </w:rPr>
              <w:t>是否按合同到位</w:t>
            </w:r>
          </w:p>
        </w:tc>
        <w:tc>
          <w:tcPr>
            <w:tcW w:w="3261" w:type="dxa"/>
            <w:tcBorders>
              <w:top w:val="nil"/>
              <w:left w:val="nil"/>
              <w:bottom w:val="single" w:color="auto" w:sz="4" w:space="0"/>
              <w:right w:val="single" w:color="auto" w:sz="4" w:space="0"/>
            </w:tcBorders>
            <w:noWrap w:val="0"/>
            <w:vAlign w:val="center"/>
          </w:tcPr>
          <w:p w14:paraId="6EC31E26">
            <w:pPr>
              <w:widowControl/>
              <w:jc w:val="left"/>
              <w:rPr>
                <w:rFonts w:hint="eastAsia" w:ascii="宋体" w:hAnsi="宋体"/>
                <w:color w:val="auto"/>
                <w:kern w:val="0"/>
                <w:szCs w:val="21"/>
                <w:highlight w:val="none"/>
              </w:rPr>
            </w:pPr>
            <w:r>
              <w:rPr>
                <w:rFonts w:hint="eastAsia" w:ascii="宋体" w:hAnsi="宋体"/>
                <w:color w:val="auto"/>
                <w:kern w:val="0"/>
                <w:szCs w:val="21"/>
                <w:highlight w:val="none"/>
              </w:rPr>
              <w:t>未到位，或未经甲方同意每自行更换一次</w:t>
            </w:r>
            <w:r>
              <w:rPr>
                <w:rFonts w:hint="eastAsia"/>
                <w:color w:val="auto"/>
                <w:kern w:val="0"/>
                <w:szCs w:val="21"/>
                <w:highlight w:val="none"/>
              </w:rPr>
              <w:t>，</w:t>
            </w:r>
            <w:r>
              <w:rPr>
                <w:rFonts w:hint="eastAsia" w:ascii="宋体" w:hAnsi="宋体"/>
                <w:color w:val="auto"/>
                <w:kern w:val="0"/>
                <w:szCs w:val="21"/>
                <w:highlight w:val="none"/>
              </w:rPr>
              <w:t>该项不得分；</w:t>
            </w:r>
          </w:p>
          <w:p w14:paraId="63408F73">
            <w:pPr>
              <w:widowControl/>
              <w:jc w:val="left"/>
              <w:rPr>
                <w:color w:val="auto"/>
                <w:kern w:val="0"/>
                <w:szCs w:val="21"/>
                <w:highlight w:val="none"/>
              </w:rPr>
            </w:pPr>
            <w:r>
              <w:rPr>
                <w:rFonts w:hint="eastAsia" w:ascii="宋体" w:hAnsi="宋体"/>
                <w:color w:val="auto"/>
                <w:kern w:val="0"/>
                <w:szCs w:val="21"/>
                <w:highlight w:val="none"/>
              </w:rPr>
              <w:t>缺席甲方要求参加的重要会议，每次扣1分。</w:t>
            </w:r>
          </w:p>
        </w:tc>
        <w:tc>
          <w:tcPr>
            <w:tcW w:w="992" w:type="dxa"/>
            <w:tcBorders>
              <w:top w:val="nil"/>
              <w:left w:val="nil"/>
              <w:bottom w:val="single" w:color="auto" w:sz="4" w:space="0"/>
              <w:right w:val="single" w:color="auto" w:sz="4" w:space="0"/>
            </w:tcBorders>
            <w:noWrap w:val="0"/>
            <w:vAlign w:val="center"/>
          </w:tcPr>
          <w:p w14:paraId="6446986B">
            <w:pPr>
              <w:widowControl/>
              <w:jc w:val="center"/>
              <w:rPr>
                <w:rFonts w:hint="eastAsia"/>
                <w:color w:val="auto"/>
                <w:kern w:val="0"/>
                <w:szCs w:val="21"/>
                <w:highlight w:val="none"/>
              </w:rPr>
            </w:pPr>
          </w:p>
        </w:tc>
      </w:tr>
      <w:tr w14:paraId="4703F551">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7A0AB300">
            <w:pPr>
              <w:widowControl/>
              <w:jc w:val="center"/>
              <w:rPr>
                <w:rFonts w:hint="eastAsia"/>
                <w:color w:val="auto"/>
                <w:kern w:val="0"/>
                <w:szCs w:val="21"/>
                <w:highlight w:val="none"/>
              </w:rPr>
            </w:pPr>
            <w:r>
              <w:rPr>
                <w:rFonts w:hint="eastAsia"/>
                <w:color w:val="auto"/>
                <w:kern w:val="0"/>
                <w:szCs w:val="21"/>
                <w:highlight w:val="none"/>
              </w:rPr>
              <w:t>2</w:t>
            </w:r>
          </w:p>
        </w:tc>
        <w:tc>
          <w:tcPr>
            <w:tcW w:w="1393" w:type="dxa"/>
            <w:tcBorders>
              <w:top w:val="single" w:color="auto" w:sz="4" w:space="0"/>
              <w:left w:val="nil"/>
              <w:bottom w:val="nil"/>
              <w:right w:val="nil"/>
            </w:tcBorders>
            <w:noWrap w:val="0"/>
            <w:vAlign w:val="center"/>
          </w:tcPr>
          <w:p w14:paraId="004B4757">
            <w:pPr>
              <w:widowControl/>
              <w:jc w:val="center"/>
              <w:rPr>
                <w:rFonts w:hint="eastAsia" w:ascii="宋体" w:hAnsi="宋体"/>
                <w:color w:val="auto"/>
                <w:kern w:val="0"/>
                <w:szCs w:val="21"/>
                <w:highlight w:val="none"/>
              </w:rPr>
            </w:pPr>
            <w:r>
              <w:rPr>
                <w:rFonts w:hint="eastAsia" w:ascii="宋体" w:hAnsi="宋体"/>
                <w:color w:val="auto"/>
                <w:kern w:val="0"/>
                <w:szCs w:val="21"/>
                <w:highlight w:val="none"/>
              </w:rPr>
              <w:t>主要技术人员</w:t>
            </w:r>
          </w:p>
        </w:tc>
        <w:tc>
          <w:tcPr>
            <w:tcW w:w="709" w:type="dxa"/>
            <w:tcBorders>
              <w:top w:val="nil"/>
              <w:left w:val="single" w:color="auto" w:sz="4" w:space="0"/>
              <w:bottom w:val="single" w:color="auto" w:sz="4" w:space="0"/>
              <w:right w:val="single" w:color="auto" w:sz="4" w:space="0"/>
            </w:tcBorders>
            <w:noWrap w:val="0"/>
            <w:vAlign w:val="center"/>
          </w:tcPr>
          <w:p w14:paraId="56538CCE">
            <w:pPr>
              <w:widowControl/>
              <w:jc w:val="center"/>
              <w:rPr>
                <w:rFonts w:hint="eastAsia"/>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7283503F">
            <w:pPr>
              <w:widowControl/>
              <w:jc w:val="left"/>
              <w:rPr>
                <w:rFonts w:hint="eastAsia" w:ascii="宋体" w:hAnsi="宋体"/>
                <w:color w:val="auto"/>
                <w:kern w:val="0"/>
                <w:szCs w:val="21"/>
                <w:highlight w:val="none"/>
              </w:rPr>
            </w:pPr>
            <w:r>
              <w:rPr>
                <w:rFonts w:hint="eastAsia" w:ascii="宋体" w:hAnsi="宋体"/>
                <w:color w:val="auto"/>
                <w:kern w:val="0"/>
                <w:szCs w:val="21"/>
                <w:highlight w:val="none"/>
              </w:rPr>
              <w:t>是否符合合同及勘察方案对人员投入的承诺</w:t>
            </w:r>
          </w:p>
        </w:tc>
        <w:tc>
          <w:tcPr>
            <w:tcW w:w="3261" w:type="dxa"/>
            <w:tcBorders>
              <w:top w:val="nil"/>
              <w:left w:val="nil"/>
              <w:bottom w:val="single" w:color="auto" w:sz="4" w:space="0"/>
              <w:right w:val="single" w:color="auto" w:sz="4" w:space="0"/>
            </w:tcBorders>
            <w:noWrap w:val="0"/>
            <w:vAlign w:val="center"/>
          </w:tcPr>
          <w:p w14:paraId="0239A694">
            <w:pPr>
              <w:widowControl/>
              <w:jc w:val="left"/>
              <w:rPr>
                <w:rFonts w:hint="eastAsia" w:ascii="宋体" w:hAnsi="宋体"/>
                <w:color w:val="auto"/>
                <w:kern w:val="0"/>
                <w:szCs w:val="21"/>
                <w:highlight w:val="none"/>
              </w:rPr>
            </w:pPr>
            <w:r>
              <w:rPr>
                <w:rFonts w:hint="eastAsia" w:ascii="宋体" w:hAnsi="宋体"/>
                <w:color w:val="auto"/>
                <w:kern w:val="0"/>
                <w:szCs w:val="21"/>
                <w:highlight w:val="none"/>
              </w:rPr>
              <w:t>未到位，或未经甲方同意每自行更换一次</w:t>
            </w:r>
            <w:r>
              <w:rPr>
                <w:rFonts w:hint="eastAsia"/>
                <w:color w:val="auto"/>
                <w:kern w:val="0"/>
                <w:szCs w:val="21"/>
                <w:highlight w:val="none"/>
              </w:rPr>
              <w:t>，</w:t>
            </w:r>
            <w:r>
              <w:rPr>
                <w:rFonts w:hint="eastAsia" w:ascii="宋体" w:hAnsi="宋体"/>
                <w:color w:val="auto"/>
                <w:kern w:val="0"/>
                <w:szCs w:val="21"/>
                <w:highlight w:val="none"/>
              </w:rPr>
              <w:t>该项不得分；</w:t>
            </w:r>
          </w:p>
          <w:p w14:paraId="523096DF">
            <w:pPr>
              <w:widowControl/>
              <w:jc w:val="left"/>
              <w:rPr>
                <w:color w:val="auto"/>
                <w:kern w:val="0"/>
                <w:szCs w:val="21"/>
                <w:highlight w:val="none"/>
              </w:rPr>
            </w:pPr>
            <w:r>
              <w:rPr>
                <w:rFonts w:hint="eastAsia" w:ascii="宋体" w:hAnsi="宋体"/>
                <w:color w:val="auto"/>
                <w:kern w:val="0"/>
                <w:szCs w:val="21"/>
                <w:highlight w:val="none"/>
              </w:rPr>
              <w:t>缺席甲方要求参加的重要会议，每次扣1分。</w:t>
            </w:r>
          </w:p>
        </w:tc>
        <w:tc>
          <w:tcPr>
            <w:tcW w:w="992" w:type="dxa"/>
            <w:tcBorders>
              <w:top w:val="nil"/>
              <w:left w:val="nil"/>
              <w:bottom w:val="single" w:color="auto" w:sz="4" w:space="0"/>
              <w:right w:val="single" w:color="auto" w:sz="4" w:space="0"/>
            </w:tcBorders>
            <w:noWrap w:val="0"/>
            <w:vAlign w:val="center"/>
          </w:tcPr>
          <w:p w14:paraId="6D9ED5BB">
            <w:pPr>
              <w:widowControl/>
              <w:jc w:val="center"/>
              <w:rPr>
                <w:rFonts w:hint="eastAsia"/>
                <w:color w:val="auto"/>
                <w:kern w:val="0"/>
                <w:szCs w:val="21"/>
                <w:highlight w:val="none"/>
              </w:rPr>
            </w:pPr>
          </w:p>
        </w:tc>
      </w:tr>
      <w:tr w14:paraId="5912A378">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655C18FA">
            <w:pPr>
              <w:widowControl/>
              <w:jc w:val="center"/>
              <w:rPr>
                <w:color w:val="auto"/>
                <w:kern w:val="0"/>
                <w:szCs w:val="21"/>
                <w:highlight w:val="none"/>
              </w:rPr>
            </w:pPr>
            <w:r>
              <w:rPr>
                <w:rFonts w:hint="eastAsia" w:ascii="宋体" w:hAnsi="宋体"/>
                <w:color w:val="auto"/>
                <w:kern w:val="0"/>
                <w:szCs w:val="21"/>
                <w:highlight w:val="none"/>
              </w:rPr>
              <w:t>二</w:t>
            </w:r>
          </w:p>
        </w:tc>
        <w:tc>
          <w:tcPr>
            <w:tcW w:w="1393" w:type="dxa"/>
            <w:tcBorders>
              <w:top w:val="single" w:color="auto" w:sz="4" w:space="0"/>
              <w:left w:val="nil"/>
              <w:bottom w:val="nil"/>
              <w:right w:val="nil"/>
            </w:tcBorders>
            <w:noWrap w:val="0"/>
            <w:vAlign w:val="center"/>
          </w:tcPr>
          <w:p w14:paraId="044E6FA3">
            <w:pPr>
              <w:widowControl/>
              <w:jc w:val="center"/>
              <w:rPr>
                <w:color w:val="auto"/>
                <w:kern w:val="0"/>
                <w:szCs w:val="21"/>
                <w:highlight w:val="none"/>
              </w:rPr>
            </w:pPr>
            <w:r>
              <w:rPr>
                <w:rFonts w:hint="eastAsia" w:ascii="宋体" w:hAnsi="宋体"/>
                <w:color w:val="auto"/>
                <w:kern w:val="0"/>
                <w:szCs w:val="21"/>
                <w:highlight w:val="none"/>
              </w:rPr>
              <w:t>能力水平及履约表现</w:t>
            </w:r>
          </w:p>
        </w:tc>
        <w:tc>
          <w:tcPr>
            <w:tcW w:w="709" w:type="dxa"/>
            <w:tcBorders>
              <w:top w:val="nil"/>
              <w:left w:val="single" w:color="auto" w:sz="4" w:space="0"/>
              <w:bottom w:val="single" w:color="auto" w:sz="4" w:space="0"/>
              <w:right w:val="single" w:color="auto" w:sz="4" w:space="0"/>
            </w:tcBorders>
            <w:noWrap w:val="0"/>
            <w:vAlign w:val="center"/>
          </w:tcPr>
          <w:p w14:paraId="2317AEBC">
            <w:pPr>
              <w:widowControl/>
              <w:jc w:val="center"/>
              <w:rPr>
                <w:rFonts w:hint="eastAsia"/>
                <w:color w:val="auto"/>
                <w:kern w:val="0"/>
                <w:szCs w:val="21"/>
                <w:highlight w:val="none"/>
              </w:rPr>
            </w:pPr>
            <w:r>
              <w:rPr>
                <w:rFonts w:hint="eastAsia"/>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53728846">
            <w:pPr>
              <w:widowControl/>
              <w:jc w:val="left"/>
              <w:rPr>
                <w:color w:val="auto"/>
                <w:kern w:val="0"/>
                <w:szCs w:val="21"/>
                <w:highlight w:val="none"/>
              </w:rPr>
            </w:pPr>
            <w:r>
              <w:rPr>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7E3FCD0A">
            <w:pPr>
              <w:widowControl/>
              <w:jc w:val="left"/>
              <w:rPr>
                <w:color w:val="auto"/>
                <w:kern w:val="0"/>
                <w:szCs w:val="21"/>
                <w:highlight w:val="none"/>
              </w:rPr>
            </w:pPr>
            <w:r>
              <w:rPr>
                <w:color w:val="auto"/>
                <w:kern w:val="0"/>
                <w:szCs w:val="21"/>
                <w:highlight w:val="none"/>
              </w:rPr>
              <w:t xml:space="preserve"> </w:t>
            </w:r>
          </w:p>
        </w:tc>
        <w:tc>
          <w:tcPr>
            <w:tcW w:w="992" w:type="dxa"/>
            <w:tcBorders>
              <w:top w:val="nil"/>
              <w:left w:val="nil"/>
              <w:bottom w:val="single" w:color="auto" w:sz="4" w:space="0"/>
              <w:right w:val="single" w:color="auto" w:sz="4" w:space="0"/>
            </w:tcBorders>
            <w:noWrap w:val="0"/>
            <w:vAlign w:val="center"/>
          </w:tcPr>
          <w:p w14:paraId="6C7CDD0F">
            <w:pPr>
              <w:widowControl/>
              <w:jc w:val="center"/>
              <w:rPr>
                <w:rFonts w:hint="eastAsia"/>
                <w:color w:val="auto"/>
                <w:kern w:val="0"/>
                <w:szCs w:val="21"/>
                <w:highlight w:val="none"/>
              </w:rPr>
            </w:pPr>
          </w:p>
        </w:tc>
      </w:tr>
      <w:tr w14:paraId="08EFB259">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15D35E3A">
            <w:pPr>
              <w:widowControl/>
              <w:jc w:val="center"/>
              <w:rPr>
                <w:rFonts w:hint="eastAsia"/>
                <w:color w:val="auto"/>
                <w:kern w:val="0"/>
                <w:szCs w:val="21"/>
                <w:highlight w:val="none"/>
              </w:rPr>
            </w:pPr>
            <w:r>
              <w:rPr>
                <w:rFonts w:hint="eastAsia"/>
                <w:color w:val="auto"/>
                <w:kern w:val="0"/>
                <w:szCs w:val="21"/>
                <w:highlight w:val="none"/>
              </w:rPr>
              <w:t>1</w:t>
            </w:r>
          </w:p>
        </w:tc>
        <w:tc>
          <w:tcPr>
            <w:tcW w:w="1393" w:type="dxa"/>
            <w:tcBorders>
              <w:top w:val="single" w:color="auto" w:sz="4" w:space="0"/>
              <w:left w:val="nil"/>
              <w:bottom w:val="nil"/>
              <w:right w:val="nil"/>
            </w:tcBorders>
            <w:noWrap w:val="0"/>
            <w:vAlign w:val="center"/>
          </w:tcPr>
          <w:p w14:paraId="34817309">
            <w:pPr>
              <w:widowControl/>
              <w:jc w:val="left"/>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single" w:color="auto" w:sz="4" w:space="0"/>
              <w:bottom w:val="single" w:color="auto" w:sz="4" w:space="0"/>
              <w:right w:val="single" w:color="auto" w:sz="4" w:space="0"/>
            </w:tcBorders>
            <w:noWrap w:val="0"/>
            <w:vAlign w:val="center"/>
          </w:tcPr>
          <w:p w14:paraId="173B4384">
            <w:pPr>
              <w:widowControl/>
              <w:jc w:val="center"/>
              <w:rPr>
                <w:rFonts w:hint="eastAsia"/>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7907A00F">
            <w:pPr>
              <w:widowControl/>
              <w:jc w:val="left"/>
              <w:rPr>
                <w:color w:val="auto"/>
                <w:kern w:val="0"/>
                <w:szCs w:val="21"/>
                <w:highlight w:val="none"/>
              </w:rPr>
            </w:pPr>
            <w:r>
              <w:rPr>
                <w:rFonts w:hint="eastAsia" w:ascii="宋体" w:hAnsi="宋体"/>
                <w:color w:val="auto"/>
                <w:kern w:val="0"/>
                <w:szCs w:val="21"/>
                <w:highlight w:val="none"/>
              </w:rPr>
              <w:t>是否具有较强的协调组织能力；是否及时发现问题和处理问题；是否能与甲方、使用单位及业务主管部门等相关单位充分沟通</w:t>
            </w:r>
          </w:p>
        </w:tc>
        <w:tc>
          <w:tcPr>
            <w:tcW w:w="3261" w:type="dxa"/>
            <w:tcBorders>
              <w:top w:val="nil"/>
              <w:left w:val="nil"/>
              <w:bottom w:val="single" w:color="auto" w:sz="4" w:space="0"/>
              <w:right w:val="single" w:color="auto" w:sz="4" w:space="0"/>
            </w:tcBorders>
            <w:noWrap w:val="0"/>
            <w:vAlign w:val="center"/>
          </w:tcPr>
          <w:p w14:paraId="31CF33BF">
            <w:pPr>
              <w:widowControl/>
              <w:jc w:val="left"/>
              <w:rPr>
                <w:rFonts w:hint="eastAsia"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、责任心不强、工作协调不到位；</w:t>
            </w:r>
          </w:p>
          <w:p w14:paraId="2A2E2344">
            <w:pPr>
              <w:widowControl/>
              <w:jc w:val="left"/>
              <w:rPr>
                <w:rFonts w:hint="eastAsia"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、发现问题后未及时处理；</w:t>
            </w:r>
          </w:p>
          <w:p w14:paraId="7CC16226">
            <w:pPr>
              <w:widowControl/>
              <w:jc w:val="left"/>
              <w:rPr>
                <w:rFonts w:hint="eastAsia"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、未与相关参建单位或管理部门及时沟通；</w:t>
            </w:r>
          </w:p>
          <w:p w14:paraId="1AF624B7">
            <w:pPr>
              <w:widowControl/>
              <w:jc w:val="left"/>
              <w:rPr>
                <w:rFonts w:hint="eastAsia" w:ascii="宋体" w:hAnsi="宋体"/>
                <w:color w:val="auto"/>
                <w:kern w:val="0"/>
                <w:szCs w:val="21"/>
                <w:highlight w:val="none"/>
              </w:rPr>
            </w:pPr>
            <w:r>
              <w:rPr>
                <w:color w:val="auto"/>
                <w:kern w:val="0"/>
                <w:szCs w:val="21"/>
                <w:highlight w:val="none"/>
              </w:rPr>
              <w:t>4</w:t>
            </w:r>
            <w:r>
              <w:rPr>
                <w:rFonts w:hint="eastAsia" w:ascii="宋体" w:hAnsi="宋体"/>
                <w:color w:val="auto"/>
                <w:kern w:val="0"/>
                <w:szCs w:val="21"/>
                <w:highlight w:val="none"/>
              </w:rPr>
              <w:t>、未落实甲方的相关要求或会议纪要等文件精神。</w:t>
            </w:r>
          </w:p>
          <w:p w14:paraId="53ED66A9">
            <w:pPr>
              <w:widowControl/>
              <w:jc w:val="left"/>
              <w:rPr>
                <w:color w:val="auto"/>
                <w:kern w:val="0"/>
                <w:szCs w:val="21"/>
                <w:highlight w:val="none"/>
              </w:rPr>
            </w:pPr>
            <w:r>
              <w:rPr>
                <w:rFonts w:hint="eastAsia" w:ascii="宋体" w:hAnsi="宋体"/>
                <w:color w:val="auto"/>
                <w:kern w:val="0"/>
                <w:szCs w:val="21"/>
                <w:highlight w:val="none"/>
              </w:rPr>
              <w:t>以上各项每发生一次扣1分。</w:t>
            </w:r>
          </w:p>
        </w:tc>
        <w:tc>
          <w:tcPr>
            <w:tcW w:w="992" w:type="dxa"/>
            <w:tcBorders>
              <w:top w:val="nil"/>
              <w:left w:val="nil"/>
              <w:bottom w:val="single" w:color="auto" w:sz="4" w:space="0"/>
              <w:right w:val="single" w:color="auto" w:sz="4" w:space="0"/>
            </w:tcBorders>
            <w:noWrap w:val="0"/>
            <w:vAlign w:val="center"/>
          </w:tcPr>
          <w:p w14:paraId="101B751D">
            <w:pPr>
              <w:widowControl/>
              <w:jc w:val="center"/>
              <w:rPr>
                <w:rFonts w:hint="eastAsia"/>
                <w:color w:val="auto"/>
                <w:kern w:val="0"/>
                <w:szCs w:val="21"/>
                <w:highlight w:val="none"/>
              </w:rPr>
            </w:pPr>
          </w:p>
        </w:tc>
      </w:tr>
      <w:tr w14:paraId="2DFC257C">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776FA96C">
            <w:pPr>
              <w:widowControl/>
              <w:jc w:val="center"/>
              <w:rPr>
                <w:rFonts w:hint="eastAsia"/>
                <w:color w:val="auto"/>
                <w:kern w:val="0"/>
                <w:szCs w:val="21"/>
                <w:highlight w:val="none"/>
              </w:rPr>
            </w:pPr>
            <w:r>
              <w:rPr>
                <w:rFonts w:hint="eastAsia"/>
                <w:color w:val="auto"/>
                <w:kern w:val="0"/>
                <w:szCs w:val="21"/>
                <w:highlight w:val="none"/>
              </w:rPr>
              <w:t>2</w:t>
            </w:r>
          </w:p>
        </w:tc>
        <w:tc>
          <w:tcPr>
            <w:tcW w:w="1393" w:type="dxa"/>
            <w:tcBorders>
              <w:top w:val="single" w:color="auto" w:sz="4" w:space="0"/>
              <w:left w:val="nil"/>
              <w:bottom w:val="nil"/>
              <w:right w:val="nil"/>
            </w:tcBorders>
            <w:noWrap w:val="0"/>
            <w:vAlign w:val="center"/>
          </w:tcPr>
          <w:p w14:paraId="0FBC0775">
            <w:pPr>
              <w:widowControl/>
              <w:jc w:val="center"/>
              <w:rPr>
                <w:rFonts w:hint="eastAsia" w:ascii="宋体" w:hAnsi="宋体"/>
                <w:color w:val="auto"/>
                <w:kern w:val="0"/>
                <w:szCs w:val="21"/>
                <w:highlight w:val="none"/>
              </w:rPr>
            </w:pPr>
            <w:r>
              <w:rPr>
                <w:rFonts w:hint="eastAsia" w:ascii="宋体" w:hAnsi="宋体"/>
                <w:color w:val="auto"/>
                <w:kern w:val="0"/>
                <w:szCs w:val="21"/>
                <w:highlight w:val="none"/>
              </w:rPr>
              <w:t>主要技术人员</w:t>
            </w:r>
          </w:p>
        </w:tc>
        <w:tc>
          <w:tcPr>
            <w:tcW w:w="709" w:type="dxa"/>
            <w:tcBorders>
              <w:top w:val="nil"/>
              <w:left w:val="single" w:color="auto" w:sz="4" w:space="0"/>
              <w:bottom w:val="single" w:color="auto" w:sz="4" w:space="0"/>
              <w:right w:val="single" w:color="auto" w:sz="4" w:space="0"/>
            </w:tcBorders>
            <w:noWrap w:val="0"/>
            <w:vAlign w:val="center"/>
          </w:tcPr>
          <w:p w14:paraId="6D49E976">
            <w:pPr>
              <w:widowControl/>
              <w:jc w:val="center"/>
              <w:rPr>
                <w:rFonts w:hint="eastAsia"/>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7946759D">
            <w:pPr>
              <w:widowControl/>
              <w:jc w:val="left"/>
              <w:rPr>
                <w:color w:val="auto"/>
                <w:kern w:val="0"/>
                <w:szCs w:val="21"/>
                <w:highlight w:val="none"/>
              </w:rPr>
            </w:pPr>
            <w:r>
              <w:rPr>
                <w:rFonts w:hint="eastAsia" w:ascii="宋体" w:hAnsi="宋体"/>
                <w:color w:val="auto"/>
                <w:kern w:val="0"/>
                <w:szCs w:val="21"/>
                <w:highlight w:val="none"/>
              </w:rPr>
              <w:t>是否有责任心；是否有较高的专业水平；与甲方、使用单位的沟通是否顺畅</w:t>
            </w:r>
          </w:p>
        </w:tc>
        <w:tc>
          <w:tcPr>
            <w:tcW w:w="3261" w:type="dxa"/>
            <w:tcBorders>
              <w:top w:val="nil"/>
              <w:left w:val="nil"/>
              <w:bottom w:val="single" w:color="auto" w:sz="4" w:space="0"/>
              <w:right w:val="single" w:color="auto" w:sz="4" w:space="0"/>
            </w:tcBorders>
            <w:noWrap w:val="0"/>
            <w:vAlign w:val="center"/>
          </w:tcPr>
          <w:p w14:paraId="0B1EB871">
            <w:pPr>
              <w:widowControl/>
              <w:jc w:val="left"/>
              <w:rPr>
                <w:rFonts w:hint="eastAsia"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w:t>
            </w:r>
          </w:p>
          <w:p w14:paraId="4D719A35">
            <w:pPr>
              <w:widowControl/>
              <w:jc w:val="left"/>
              <w:rPr>
                <w:rFonts w:hint="eastAsia"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、专业水平不高；</w:t>
            </w:r>
          </w:p>
          <w:p w14:paraId="455D2573">
            <w:pPr>
              <w:widowControl/>
              <w:jc w:val="left"/>
              <w:rPr>
                <w:rFonts w:hint="eastAsia"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、与甲方、使用单位的沟通不到位；</w:t>
            </w:r>
          </w:p>
          <w:p w14:paraId="1CDEC0CE">
            <w:pPr>
              <w:widowControl/>
              <w:jc w:val="left"/>
              <w:rPr>
                <w:color w:val="auto"/>
                <w:kern w:val="0"/>
                <w:szCs w:val="21"/>
                <w:highlight w:val="none"/>
              </w:rPr>
            </w:pPr>
            <w:r>
              <w:rPr>
                <w:rFonts w:hint="eastAsia" w:ascii="宋体" w:hAnsi="宋体"/>
                <w:color w:val="auto"/>
                <w:kern w:val="0"/>
                <w:szCs w:val="21"/>
                <w:highlight w:val="none"/>
              </w:rPr>
              <w:t>以上各项每发生一次扣</w:t>
            </w:r>
            <w:r>
              <w:rPr>
                <w:color w:val="auto"/>
                <w:kern w:val="0"/>
                <w:szCs w:val="21"/>
                <w:highlight w:val="none"/>
              </w:rPr>
              <w:t>1</w:t>
            </w:r>
            <w:r>
              <w:rPr>
                <w:rFonts w:hint="eastAsia" w:ascii="宋体" w:hAnsi="宋体"/>
                <w:color w:val="auto"/>
                <w:kern w:val="0"/>
                <w:szCs w:val="21"/>
                <w:highlight w:val="none"/>
              </w:rPr>
              <w:t>分。</w:t>
            </w:r>
          </w:p>
        </w:tc>
        <w:tc>
          <w:tcPr>
            <w:tcW w:w="992" w:type="dxa"/>
            <w:tcBorders>
              <w:top w:val="nil"/>
              <w:left w:val="nil"/>
              <w:bottom w:val="single" w:color="auto" w:sz="4" w:space="0"/>
              <w:right w:val="single" w:color="auto" w:sz="4" w:space="0"/>
            </w:tcBorders>
            <w:noWrap w:val="0"/>
            <w:vAlign w:val="center"/>
          </w:tcPr>
          <w:p w14:paraId="06B2FDE0">
            <w:pPr>
              <w:widowControl/>
              <w:jc w:val="center"/>
              <w:rPr>
                <w:rFonts w:hint="eastAsia"/>
                <w:color w:val="auto"/>
                <w:kern w:val="0"/>
                <w:szCs w:val="21"/>
                <w:highlight w:val="none"/>
              </w:rPr>
            </w:pPr>
          </w:p>
        </w:tc>
      </w:tr>
      <w:tr w14:paraId="76E49AC0">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748F4A32">
            <w:pPr>
              <w:widowControl/>
              <w:jc w:val="center"/>
              <w:rPr>
                <w:rFonts w:hint="eastAsia"/>
                <w:color w:val="auto"/>
                <w:kern w:val="0"/>
                <w:szCs w:val="21"/>
                <w:highlight w:val="none"/>
              </w:rPr>
            </w:pPr>
            <w:r>
              <w:rPr>
                <w:rFonts w:hint="eastAsia"/>
                <w:color w:val="auto"/>
                <w:kern w:val="0"/>
                <w:szCs w:val="21"/>
                <w:highlight w:val="none"/>
              </w:rPr>
              <w:t>三</w:t>
            </w:r>
          </w:p>
        </w:tc>
        <w:tc>
          <w:tcPr>
            <w:tcW w:w="1393" w:type="dxa"/>
            <w:tcBorders>
              <w:top w:val="single" w:color="auto" w:sz="4" w:space="0"/>
              <w:left w:val="nil"/>
              <w:bottom w:val="nil"/>
              <w:right w:val="nil"/>
            </w:tcBorders>
            <w:noWrap w:val="0"/>
            <w:vAlign w:val="center"/>
          </w:tcPr>
          <w:p w14:paraId="045D2B8A">
            <w:pPr>
              <w:widowControl/>
              <w:jc w:val="center"/>
              <w:rPr>
                <w:rFonts w:hint="eastAsia" w:ascii="宋体" w:hAnsi="宋体"/>
                <w:color w:val="auto"/>
                <w:kern w:val="0"/>
                <w:szCs w:val="21"/>
                <w:highlight w:val="none"/>
              </w:rPr>
            </w:pPr>
            <w:r>
              <w:rPr>
                <w:rFonts w:hint="eastAsia" w:ascii="宋体" w:hAnsi="宋体"/>
                <w:color w:val="auto"/>
                <w:kern w:val="0"/>
                <w:szCs w:val="21"/>
                <w:highlight w:val="none"/>
              </w:rPr>
              <w:t>机械配备</w:t>
            </w:r>
          </w:p>
        </w:tc>
        <w:tc>
          <w:tcPr>
            <w:tcW w:w="709" w:type="dxa"/>
            <w:tcBorders>
              <w:top w:val="nil"/>
              <w:left w:val="single" w:color="auto" w:sz="4" w:space="0"/>
              <w:bottom w:val="single" w:color="auto" w:sz="4" w:space="0"/>
              <w:right w:val="single" w:color="auto" w:sz="4" w:space="0"/>
            </w:tcBorders>
            <w:noWrap w:val="0"/>
            <w:vAlign w:val="center"/>
          </w:tcPr>
          <w:p w14:paraId="2995A123">
            <w:pPr>
              <w:widowControl/>
              <w:jc w:val="center"/>
              <w:rPr>
                <w:rFonts w:hint="eastAsia"/>
                <w:color w:val="auto"/>
                <w:kern w:val="0"/>
                <w:szCs w:val="21"/>
                <w:highlight w:val="none"/>
              </w:rPr>
            </w:pPr>
            <w:r>
              <w:rPr>
                <w:rFonts w:hint="eastAsia"/>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7BA0206B">
            <w:pPr>
              <w:widowControl/>
              <w:jc w:val="left"/>
              <w:rPr>
                <w:rFonts w:hint="eastAsia" w:ascii="宋体" w:hAnsi="宋体"/>
                <w:color w:val="auto"/>
                <w:kern w:val="0"/>
                <w:szCs w:val="21"/>
                <w:highlight w:val="none"/>
              </w:rPr>
            </w:pPr>
          </w:p>
        </w:tc>
        <w:tc>
          <w:tcPr>
            <w:tcW w:w="3261" w:type="dxa"/>
            <w:tcBorders>
              <w:top w:val="nil"/>
              <w:left w:val="nil"/>
              <w:bottom w:val="single" w:color="auto" w:sz="4" w:space="0"/>
              <w:right w:val="single" w:color="auto" w:sz="4" w:space="0"/>
            </w:tcBorders>
            <w:noWrap w:val="0"/>
            <w:vAlign w:val="center"/>
          </w:tcPr>
          <w:p w14:paraId="352A748C">
            <w:pPr>
              <w:widowControl/>
              <w:jc w:val="left"/>
              <w:rPr>
                <w:rFonts w:hint="eastAsia" w:ascii="宋体" w:hAnsi="宋体"/>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588AEC2B">
            <w:pPr>
              <w:widowControl/>
              <w:jc w:val="center"/>
              <w:rPr>
                <w:rFonts w:hint="eastAsia"/>
                <w:color w:val="auto"/>
                <w:kern w:val="0"/>
                <w:szCs w:val="21"/>
                <w:highlight w:val="none"/>
              </w:rPr>
            </w:pPr>
          </w:p>
        </w:tc>
      </w:tr>
      <w:tr w14:paraId="5B525B39">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6B26DAB2">
            <w:pPr>
              <w:widowControl/>
              <w:jc w:val="center"/>
              <w:rPr>
                <w:rFonts w:hint="eastAsia"/>
                <w:color w:val="auto"/>
                <w:kern w:val="0"/>
                <w:szCs w:val="21"/>
                <w:highlight w:val="none"/>
              </w:rPr>
            </w:pPr>
            <w:r>
              <w:rPr>
                <w:rFonts w:hint="eastAsia"/>
                <w:color w:val="auto"/>
                <w:kern w:val="0"/>
                <w:szCs w:val="21"/>
                <w:highlight w:val="none"/>
              </w:rPr>
              <w:t>1</w:t>
            </w:r>
          </w:p>
        </w:tc>
        <w:tc>
          <w:tcPr>
            <w:tcW w:w="1393" w:type="dxa"/>
            <w:tcBorders>
              <w:top w:val="single" w:color="auto" w:sz="4" w:space="0"/>
              <w:left w:val="nil"/>
              <w:bottom w:val="nil"/>
              <w:right w:val="nil"/>
            </w:tcBorders>
            <w:noWrap w:val="0"/>
            <w:vAlign w:val="center"/>
          </w:tcPr>
          <w:p w14:paraId="3FE74611">
            <w:pPr>
              <w:widowControl/>
              <w:jc w:val="center"/>
              <w:rPr>
                <w:rFonts w:hint="eastAsia" w:ascii="宋体" w:hAnsi="宋体"/>
                <w:color w:val="auto"/>
                <w:kern w:val="0"/>
                <w:szCs w:val="21"/>
                <w:highlight w:val="none"/>
              </w:rPr>
            </w:pPr>
            <w:r>
              <w:rPr>
                <w:rFonts w:hint="eastAsia" w:ascii="宋体" w:hAnsi="宋体"/>
                <w:color w:val="auto"/>
                <w:kern w:val="0"/>
                <w:szCs w:val="21"/>
                <w:highlight w:val="none"/>
              </w:rPr>
              <w:t>勘察机械数量</w:t>
            </w:r>
          </w:p>
        </w:tc>
        <w:tc>
          <w:tcPr>
            <w:tcW w:w="709" w:type="dxa"/>
            <w:tcBorders>
              <w:top w:val="nil"/>
              <w:left w:val="single" w:color="auto" w:sz="4" w:space="0"/>
              <w:bottom w:val="single" w:color="auto" w:sz="4" w:space="0"/>
              <w:right w:val="single" w:color="auto" w:sz="4" w:space="0"/>
            </w:tcBorders>
            <w:noWrap w:val="0"/>
            <w:vAlign w:val="center"/>
          </w:tcPr>
          <w:p w14:paraId="12FFD408">
            <w:pPr>
              <w:widowControl/>
              <w:jc w:val="center"/>
              <w:rPr>
                <w:rFonts w:hint="eastAsia"/>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2123F09B">
            <w:pPr>
              <w:widowControl/>
              <w:jc w:val="left"/>
              <w:rPr>
                <w:rFonts w:hint="eastAsia" w:ascii="宋体" w:hAnsi="宋体"/>
                <w:color w:val="auto"/>
                <w:kern w:val="0"/>
                <w:szCs w:val="21"/>
                <w:highlight w:val="none"/>
              </w:rPr>
            </w:pPr>
            <w:r>
              <w:rPr>
                <w:rFonts w:hint="eastAsia" w:ascii="宋体" w:hAnsi="宋体"/>
                <w:color w:val="auto"/>
                <w:kern w:val="0"/>
                <w:szCs w:val="21"/>
                <w:highlight w:val="none"/>
              </w:rPr>
              <w:t>投入的机械设备是否与经批准的勘察方案相符</w:t>
            </w:r>
          </w:p>
        </w:tc>
        <w:tc>
          <w:tcPr>
            <w:tcW w:w="3261" w:type="dxa"/>
            <w:tcBorders>
              <w:top w:val="nil"/>
              <w:left w:val="nil"/>
              <w:bottom w:val="single" w:color="auto" w:sz="4" w:space="0"/>
              <w:right w:val="single" w:color="auto" w:sz="4" w:space="0"/>
            </w:tcBorders>
            <w:noWrap w:val="0"/>
            <w:vAlign w:val="center"/>
          </w:tcPr>
          <w:p w14:paraId="653CE930">
            <w:pPr>
              <w:widowControl/>
              <w:jc w:val="left"/>
              <w:rPr>
                <w:rFonts w:hint="eastAsia" w:ascii="宋体" w:hAnsi="宋体"/>
                <w:color w:val="auto"/>
                <w:kern w:val="0"/>
                <w:szCs w:val="21"/>
                <w:highlight w:val="none"/>
              </w:rPr>
            </w:pPr>
            <w:r>
              <w:rPr>
                <w:rFonts w:hint="eastAsia" w:ascii="宋体" w:hAnsi="宋体"/>
                <w:color w:val="auto"/>
                <w:kern w:val="0"/>
                <w:szCs w:val="21"/>
                <w:highlight w:val="none"/>
              </w:rPr>
              <w:t>每少1台扣1分，至该项分值扣完止</w:t>
            </w:r>
          </w:p>
        </w:tc>
        <w:tc>
          <w:tcPr>
            <w:tcW w:w="992" w:type="dxa"/>
            <w:tcBorders>
              <w:top w:val="nil"/>
              <w:left w:val="nil"/>
              <w:bottom w:val="single" w:color="auto" w:sz="4" w:space="0"/>
              <w:right w:val="single" w:color="auto" w:sz="4" w:space="0"/>
            </w:tcBorders>
            <w:noWrap w:val="0"/>
            <w:vAlign w:val="center"/>
          </w:tcPr>
          <w:p w14:paraId="76815D42">
            <w:pPr>
              <w:widowControl/>
              <w:jc w:val="center"/>
              <w:rPr>
                <w:rFonts w:hint="eastAsia"/>
                <w:color w:val="auto"/>
                <w:kern w:val="0"/>
                <w:szCs w:val="21"/>
                <w:highlight w:val="none"/>
              </w:rPr>
            </w:pPr>
          </w:p>
        </w:tc>
      </w:tr>
      <w:tr w14:paraId="1627F54C">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4FBE0677">
            <w:pPr>
              <w:widowControl/>
              <w:jc w:val="center"/>
              <w:rPr>
                <w:rFonts w:hint="eastAsia"/>
                <w:color w:val="auto"/>
                <w:kern w:val="0"/>
                <w:szCs w:val="21"/>
                <w:highlight w:val="none"/>
              </w:rPr>
            </w:pPr>
            <w:r>
              <w:rPr>
                <w:rFonts w:hint="eastAsia"/>
                <w:color w:val="auto"/>
                <w:kern w:val="0"/>
                <w:szCs w:val="21"/>
                <w:highlight w:val="none"/>
              </w:rPr>
              <w:t>2</w:t>
            </w:r>
          </w:p>
        </w:tc>
        <w:tc>
          <w:tcPr>
            <w:tcW w:w="1393" w:type="dxa"/>
            <w:tcBorders>
              <w:top w:val="single" w:color="auto" w:sz="4" w:space="0"/>
              <w:left w:val="nil"/>
              <w:bottom w:val="nil"/>
              <w:right w:val="nil"/>
            </w:tcBorders>
            <w:noWrap w:val="0"/>
            <w:vAlign w:val="center"/>
          </w:tcPr>
          <w:p w14:paraId="5F34FD4E">
            <w:pPr>
              <w:widowControl/>
              <w:jc w:val="center"/>
              <w:rPr>
                <w:rFonts w:hint="eastAsia" w:ascii="宋体" w:hAnsi="宋体"/>
                <w:color w:val="auto"/>
                <w:kern w:val="0"/>
                <w:szCs w:val="21"/>
                <w:highlight w:val="none"/>
              </w:rPr>
            </w:pPr>
            <w:r>
              <w:rPr>
                <w:rFonts w:hint="eastAsia" w:ascii="宋体" w:hAnsi="宋体"/>
                <w:color w:val="auto"/>
                <w:kern w:val="0"/>
                <w:szCs w:val="21"/>
                <w:highlight w:val="none"/>
              </w:rPr>
              <w:t>勘察机械维保水平</w:t>
            </w:r>
          </w:p>
        </w:tc>
        <w:tc>
          <w:tcPr>
            <w:tcW w:w="709" w:type="dxa"/>
            <w:tcBorders>
              <w:top w:val="nil"/>
              <w:left w:val="single" w:color="auto" w:sz="4" w:space="0"/>
              <w:bottom w:val="single" w:color="auto" w:sz="4" w:space="0"/>
              <w:right w:val="single" w:color="auto" w:sz="4" w:space="0"/>
            </w:tcBorders>
            <w:noWrap w:val="0"/>
            <w:vAlign w:val="center"/>
          </w:tcPr>
          <w:p w14:paraId="45423A4B">
            <w:pPr>
              <w:widowControl/>
              <w:jc w:val="center"/>
              <w:rPr>
                <w:rFonts w:hint="eastAsia"/>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0"/>
            <w:vAlign w:val="center"/>
          </w:tcPr>
          <w:p w14:paraId="702AC759">
            <w:pPr>
              <w:widowControl/>
              <w:jc w:val="left"/>
              <w:rPr>
                <w:rFonts w:hint="eastAsia" w:ascii="宋体" w:hAnsi="宋体"/>
                <w:color w:val="auto"/>
                <w:kern w:val="0"/>
                <w:szCs w:val="21"/>
                <w:highlight w:val="none"/>
              </w:rPr>
            </w:pPr>
            <w:r>
              <w:rPr>
                <w:rFonts w:hint="eastAsia" w:ascii="宋体" w:hAnsi="宋体"/>
                <w:color w:val="auto"/>
                <w:kern w:val="0"/>
                <w:szCs w:val="21"/>
                <w:highlight w:val="none"/>
              </w:rPr>
              <w:t>设备故障是否对勘察外业造成影响</w:t>
            </w:r>
          </w:p>
        </w:tc>
        <w:tc>
          <w:tcPr>
            <w:tcW w:w="3261" w:type="dxa"/>
            <w:tcBorders>
              <w:top w:val="nil"/>
              <w:left w:val="nil"/>
              <w:bottom w:val="single" w:color="auto" w:sz="4" w:space="0"/>
              <w:right w:val="single" w:color="auto" w:sz="4" w:space="0"/>
            </w:tcBorders>
            <w:noWrap w:val="0"/>
            <w:vAlign w:val="center"/>
          </w:tcPr>
          <w:p w14:paraId="7B87CAB6">
            <w:pPr>
              <w:widowControl/>
              <w:jc w:val="left"/>
              <w:rPr>
                <w:rFonts w:hint="eastAsia" w:ascii="宋体" w:hAnsi="宋体"/>
                <w:color w:val="auto"/>
                <w:kern w:val="0"/>
                <w:szCs w:val="21"/>
                <w:highlight w:val="none"/>
              </w:rPr>
            </w:pPr>
            <w:r>
              <w:rPr>
                <w:rFonts w:hint="eastAsia" w:ascii="宋体" w:hAnsi="宋体"/>
                <w:color w:val="auto"/>
                <w:kern w:val="0"/>
                <w:szCs w:val="21"/>
                <w:highlight w:val="none"/>
              </w:rPr>
              <w:t>影响勘察工作进度，造成总工期滞后的，每滞后1天扣1分，至该项分值扣完止</w:t>
            </w:r>
          </w:p>
        </w:tc>
        <w:tc>
          <w:tcPr>
            <w:tcW w:w="992" w:type="dxa"/>
            <w:tcBorders>
              <w:top w:val="nil"/>
              <w:left w:val="nil"/>
              <w:bottom w:val="single" w:color="auto" w:sz="4" w:space="0"/>
              <w:right w:val="single" w:color="auto" w:sz="4" w:space="0"/>
            </w:tcBorders>
            <w:noWrap w:val="0"/>
            <w:vAlign w:val="center"/>
          </w:tcPr>
          <w:p w14:paraId="3EE100E7">
            <w:pPr>
              <w:widowControl/>
              <w:jc w:val="center"/>
              <w:rPr>
                <w:rFonts w:hint="eastAsia"/>
                <w:color w:val="auto"/>
                <w:kern w:val="0"/>
                <w:szCs w:val="21"/>
                <w:highlight w:val="none"/>
              </w:rPr>
            </w:pPr>
          </w:p>
        </w:tc>
      </w:tr>
      <w:tr w14:paraId="47CAFA01">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4B6100AC">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四</w:t>
            </w:r>
          </w:p>
        </w:tc>
        <w:tc>
          <w:tcPr>
            <w:tcW w:w="1393" w:type="dxa"/>
            <w:tcBorders>
              <w:top w:val="single" w:color="auto" w:sz="4" w:space="0"/>
              <w:left w:val="nil"/>
              <w:bottom w:val="single" w:color="auto" w:sz="4" w:space="0"/>
              <w:right w:val="nil"/>
            </w:tcBorders>
            <w:noWrap w:val="0"/>
            <w:vAlign w:val="center"/>
          </w:tcPr>
          <w:p w14:paraId="63CDE21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勘察质量</w:t>
            </w:r>
          </w:p>
        </w:tc>
        <w:tc>
          <w:tcPr>
            <w:tcW w:w="709" w:type="dxa"/>
            <w:tcBorders>
              <w:top w:val="nil"/>
              <w:left w:val="single" w:color="auto" w:sz="4" w:space="0"/>
              <w:bottom w:val="single" w:color="auto" w:sz="4" w:space="0"/>
              <w:right w:val="single" w:color="auto" w:sz="4" w:space="0"/>
            </w:tcBorders>
            <w:noWrap w:val="0"/>
            <w:vAlign w:val="center"/>
          </w:tcPr>
          <w:p w14:paraId="6F745C5C">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30</w:t>
            </w:r>
          </w:p>
        </w:tc>
        <w:tc>
          <w:tcPr>
            <w:tcW w:w="2551" w:type="dxa"/>
            <w:tcBorders>
              <w:top w:val="nil"/>
              <w:left w:val="nil"/>
              <w:bottom w:val="single" w:color="auto" w:sz="4" w:space="0"/>
              <w:right w:val="single" w:color="auto" w:sz="4" w:space="0"/>
            </w:tcBorders>
            <w:noWrap w:val="0"/>
            <w:vAlign w:val="center"/>
          </w:tcPr>
          <w:p w14:paraId="2D89737D">
            <w:pPr>
              <w:widowControl/>
              <w:jc w:val="left"/>
              <w:rPr>
                <w:rFonts w:hint="eastAsia" w:ascii="宋体" w:hAnsi="宋体"/>
                <w:color w:val="auto"/>
                <w:kern w:val="0"/>
                <w:szCs w:val="21"/>
                <w:highlight w:val="none"/>
              </w:rPr>
            </w:pPr>
          </w:p>
        </w:tc>
        <w:tc>
          <w:tcPr>
            <w:tcW w:w="3261" w:type="dxa"/>
            <w:tcBorders>
              <w:top w:val="nil"/>
              <w:left w:val="nil"/>
              <w:bottom w:val="single" w:color="auto" w:sz="4" w:space="0"/>
              <w:right w:val="single" w:color="auto" w:sz="4" w:space="0"/>
            </w:tcBorders>
            <w:noWrap w:val="0"/>
            <w:vAlign w:val="center"/>
          </w:tcPr>
          <w:p w14:paraId="6B1BAAC2">
            <w:pPr>
              <w:widowControl/>
              <w:jc w:val="left"/>
              <w:rPr>
                <w:rFonts w:hint="eastAsia" w:ascii="宋体" w:hAnsi="宋体"/>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627E8730">
            <w:pPr>
              <w:widowControl/>
              <w:jc w:val="center"/>
              <w:rPr>
                <w:rFonts w:hint="eastAsia"/>
                <w:color w:val="auto"/>
                <w:kern w:val="0"/>
                <w:szCs w:val="21"/>
                <w:highlight w:val="none"/>
              </w:rPr>
            </w:pPr>
          </w:p>
        </w:tc>
      </w:tr>
      <w:tr w14:paraId="64E9BD44">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06FC5C5C">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393" w:type="dxa"/>
            <w:tcBorders>
              <w:top w:val="single" w:color="auto" w:sz="4" w:space="0"/>
              <w:left w:val="nil"/>
              <w:bottom w:val="single" w:color="auto" w:sz="4" w:space="0"/>
              <w:right w:val="single" w:color="auto" w:sz="4" w:space="0"/>
            </w:tcBorders>
            <w:noWrap w:val="0"/>
            <w:vAlign w:val="center"/>
          </w:tcPr>
          <w:p w14:paraId="221594C8">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外业质量</w:t>
            </w:r>
          </w:p>
        </w:tc>
        <w:tc>
          <w:tcPr>
            <w:tcW w:w="709" w:type="dxa"/>
            <w:tcBorders>
              <w:top w:val="nil"/>
              <w:left w:val="nil"/>
              <w:bottom w:val="single" w:color="auto" w:sz="4" w:space="0"/>
              <w:right w:val="single" w:color="auto" w:sz="4" w:space="0"/>
            </w:tcBorders>
            <w:noWrap w:val="0"/>
            <w:vAlign w:val="center"/>
          </w:tcPr>
          <w:p w14:paraId="2E44ADE9">
            <w:pPr>
              <w:widowControl/>
              <w:jc w:val="center"/>
              <w:rPr>
                <w:rFonts w:hint="eastAsia"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52BC3DC8">
            <w:pPr>
              <w:widowControl/>
              <w:jc w:val="left"/>
              <w:rPr>
                <w:rFonts w:ascii="宋体" w:hAnsi="宋体"/>
                <w:color w:val="auto"/>
                <w:kern w:val="0"/>
                <w:szCs w:val="21"/>
                <w:highlight w:val="none"/>
              </w:rPr>
            </w:pPr>
            <w:r>
              <w:rPr>
                <w:rFonts w:hint="eastAsia" w:ascii="宋体" w:hAnsi="宋体"/>
                <w:color w:val="auto"/>
                <w:kern w:val="0"/>
                <w:szCs w:val="21"/>
                <w:highlight w:val="none"/>
              </w:rPr>
              <w:t>是否按要求对钻孔过程进行影像资料留存，岩芯、标识牌、进尺记录牌位置是否按要求摆放，是否按批准的勘察方案实施原位试验</w:t>
            </w:r>
          </w:p>
        </w:tc>
        <w:tc>
          <w:tcPr>
            <w:tcW w:w="3261" w:type="dxa"/>
            <w:tcBorders>
              <w:top w:val="nil"/>
              <w:left w:val="nil"/>
              <w:bottom w:val="single" w:color="auto" w:sz="4" w:space="0"/>
              <w:right w:val="single" w:color="auto" w:sz="4" w:space="0"/>
            </w:tcBorders>
            <w:noWrap w:val="0"/>
            <w:vAlign w:val="center"/>
          </w:tcPr>
          <w:p w14:paraId="3AFE14BC">
            <w:pPr>
              <w:widowControl/>
              <w:jc w:val="left"/>
              <w:rPr>
                <w:color w:val="auto"/>
                <w:kern w:val="0"/>
                <w:szCs w:val="21"/>
                <w:highlight w:val="none"/>
              </w:rPr>
            </w:pPr>
            <w:r>
              <w:rPr>
                <w:rFonts w:hint="eastAsia"/>
                <w:color w:val="auto"/>
                <w:kern w:val="0"/>
                <w:szCs w:val="21"/>
                <w:highlight w:val="none"/>
              </w:rPr>
              <w:t>未</w:t>
            </w:r>
            <w:r>
              <w:rPr>
                <w:color w:val="auto"/>
                <w:kern w:val="0"/>
                <w:szCs w:val="21"/>
                <w:highlight w:val="none"/>
              </w:rPr>
              <w:t>达到</w:t>
            </w:r>
            <w:r>
              <w:rPr>
                <w:rFonts w:hint="eastAsia" w:ascii="宋体" w:hAnsi="宋体" w:cs="宋体"/>
                <w:color w:val="auto"/>
                <w:kern w:val="0"/>
                <w:szCs w:val="21"/>
                <w:highlight w:val="none"/>
              </w:rPr>
              <w:t>招标文件或</w:t>
            </w:r>
            <w:r>
              <w:rPr>
                <w:color w:val="auto"/>
                <w:kern w:val="0"/>
                <w:szCs w:val="21"/>
                <w:highlight w:val="none"/>
              </w:rPr>
              <w:t>合同约定</w:t>
            </w:r>
            <w:r>
              <w:rPr>
                <w:rFonts w:hint="eastAsia"/>
                <w:color w:val="auto"/>
                <w:kern w:val="0"/>
                <w:szCs w:val="21"/>
                <w:highlight w:val="none"/>
              </w:rPr>
              <w:t>、会议纪要、通知、函件等</w:t>
            </w:r>
            <w:r>
              <w:rPr>
                <w:color w:val="auto"/>
                <w:kern w:val="0"/>
                <w:szCs w:val="21"/>
                <w:highlight w:val="none"/>
              </w:rPr>
              <w:t>要求</w:t>
            </w:r>
            <w:r>
              <w:rPr>
                <w:rFonts w:hint="eastAsia"/>
                <w:color w:val="auto"/>
                <w:kern w:val="0"/>
                <w:szCs w:val="21"/>
                <w:highlight w:val="none"/>
              </w:rPr>
              <w:t>的，</w:t>
            </w:r>
            <w:r>
              <w:rPr>
                <w:color w:val="auto"/>
                <w:kern w:val="0"/>
                <w:szCs w:val="21"/>
                <w:highlight w:val="none"/>
              </w:rPr>
              <w:t xml:space="preserve"> </w:t>
            </w:r>
          </w:p>
        </w:tc>
        <w:tc>
          <w:tcPr>
            <w:tcW w:w="992" w:type="dxa"/>
            <w:tcBorders>
              <w:top w:val="nil"/>
              <w:left w:val="nil"/>
              <w:bottom w:val="single" w:color="auto" w:sz="4" w:space="0"/>
              <w:right w:val="single" w:color="auto" w:sz="4" w:space="0"/>
            </w:tcBorders>
            <w:noWrap w:val="0"/>
            <w:vAlign w:val="center"/>
          </w:tcPr>
          <w:p w14:paraId="76B8CB57">
            <w:pPr>
              <w:widowControl/>
              <w:jc w:val="center"/>
              <w:rPr>
                <w:rFonts w:ascii="宋体" w:hAnsi="宋体" w:cs="宋体"/>
                <w:color w:val="auto"/>
                <w:kern w:val="0"/>
                <w:szCs w:val="21"/>
                <w:highlight w:val="none"/>
              </w:rPr>
            </w:pPr>
          </w:p>
        </w:tc>
      </w:tr>
      <w:tr w14:paraId="6D9D4D09">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4688884A">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393" w:type="dxa"/>
            <w:tcBorders>
              <w:top w:val="single" w:color="auto" w:sz="4" w:space="0"/>
              <w:left w:val="nil"/>
              <w:bottom w:val="single" w:color="auto" w:sz="4" w:space="0"/>
              <w:right w:val="single" w:color="auto" w:sz="4" w:space="0"/>
            </w:tcBorders>
            <w:noWrap w:val="0"/>
            <w:vAlign w:val="center"/>
          </w:tcPr>
          <w:p w14:paraId="08C29FF1">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技术质量</w:t>
            </w:r>
          </w:p>
        </w:tc>
        <w:tc>
          <w:tcPr>
            <w:tcW w:w="709" w:type="dxa"/>
            <w:tcBorders>
              <w:top w:val="nil"/>
              <w:left w:val="nil"/>
              <w:bottom w:val="single" w:color="auto" w:sz="4" w:space="0"/>
              <w:right w:val="single" w:color="auto" w:sz="4" w:space="0"/>
            </w:tcBorders>
            <w:noWrap w:val="0"/>
            <w:vAlign w:val="center"/>
          </w:tcPr>
          <w:p w14:paraId="55969B06">
            <w:pPr>
              <w:widowControl/>
              <w:jc w:val="center"/>
              <w:rPr>
                <w:rFonts w:hint="eastAsia"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3FC6801D">
            <w:pPr>
              <w:widowControl/>
              <w:jc w:val="left"/>
              <w:rPr>
                <w:rFonts w:hint="eastAsia" w:ascii="宋体" w:hAnsi="宋体"/>
                <w:color w:val="auto"/>
                <w:kern w:val="0"/>
                <w:szCs w:val="21"/>
                <w:highlight w:val="none"/>
              </w:rPr>
            </w:pPr>
            <w:r>
              <w:rPr>
                <w:rFonts w:hint="eastAsia" w:ascii="宋体" w:hAnsi="宋体"/>
                <w:color w:val="auto"/>
                <w:kern w:val="0"/>
                <w:szCs w:val="21"/>
                <w:highlight w:val="none"/>
              </w:rPr>
              <w:t>是否符合设计单位的设计需求，专家评审是否对勘察成果或结论提出较大的异议导致对相关设计方案造成较大影响的，施工图审查单位审查过程中是否出现违反规范强条的情况</w:t>
            </w:r>
          </w:p>
        </w:tc>
        <w:tc>
          <w:tcPr>
            <w:tcW w:w="3261" w:type="dxa"/>
            <w:tcBorders>
              <w:top w:val="nil"/>
              <w:left w:val="nil"/>
              <w:bottom w:val="single" w:color="auto" w:sz="4" w:space="0"/>
              <w:right w:val="single" w:color="auto" w:sz="4" w:space="0"/>
            </w:tcBorders>
            <w:noWrap w:val="0"/>
            <w:vAlign w:val="center"/>
          </w:tcPr>
          <w:p w14:paraId="1295982F">
            <w:pPr>
              <w:widowControl/>
              <w:jc w:val="left"/>
              <w:rPr>
                <w:rFonts w:hint="eastAsia"/>
                <w:color w:val="auto"/>
                <w:kern w:val="0"/>
                <w:szCs w:val="21"/>
                <w:highlight w:val="none"/>
              </w:rPr>
            </w:pPr>
            <w:r>
              <w:rPr>
                <w:rFonts w:hint="eastAsia"/>
                <w:color w:val="auto"/>
                <w:kern w:val="0"/>
                <w:szCs w:val="21"/>
                <w:highlight w:val="none"/>
              </w:rPr>
              <w:t>每发生一项扣2分</w:t>
            </w:r>
            <w:r>
              <w:rPr>
                <w:rFonts w:hint="eastAsia" w:ascii="宋体" w:hAnsi="宋体"/>
                <w:color w:val="auto"/>
                <w:kern w:val="0"/>
                <w:szCs w:val="21"/>
                <w:highlight w:val="none"/>
              </w:rPr>
              <w:t>，至该项分值扣完止</w:t>
            </w:r>
          </w:p>
        </w:tc>
        <w:tc>
          <w:tcPr>
            <w:tcW w:w="992" w:type="dxa"/>
            <w:tcBorders>
              <w:top w:val="nil"/>
              <w:left w:val="nil"/>
              <w:bottom w:val="single" w:color="auto" w:sz="4" w:space="0"/>
              <w:right w:val="single" w:color="auto" w:sz="4" w:space="0"/>
            </w:tcBorders>
            <w:noWrap w:val="0"/>
            <w:vAlign w:val="center"/>
          </w:tcPr>
          <w:p w14:paraId="256F58AF">
            <w:pPr>
              <w:widowControl/>
              <w:jc w:val="center"/>
              <w:rPr>
                <w:rFonts w:hint="eastAsia" w:ascii="宋体" w:hAnsi="宋体" w:cs="宋体"/>
                <w:color w:val="auto"/>
                <w:kern w:val="0"/>
                <w:szCs w:val="21"/>
                <w:highlight w:val="none"/>
              </w:rPr>
            </w:pPr>
          </w:p>
        </w:tc>
      </w:tr>
      <w:tr w14:paraId="21E8DBCE">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7889B2FD">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1393" w:type="dxa"/>
            <w:tcBorders>
              <w:top w:val="nil"/>
              <w:left w:val="nil"/>
              <w:bottom w:val="single" w:color="auto" w:sz="4" w:space="0"/>
              <w:right w:val="single" w:color="auto" w:sz="4" w:space="0"/>
            </w:tcBorders>
            <w:noWrap w:val="0"/>
            <w:vAlign w:val="center"/>
          </w:tcPr>
          <w:p w14:paraId="452B858B">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投资控制</w:t>
            </w:r>
          </w:p>
        </w:tc>
        <w:tc>
          <w:tcPr>
            <w:tcW w:w="709" w:type="dxa"/>
            <w:tcBorders>
              <w:top w:val="nil"/>
              <w:left w:val="nil"/>
              <w:bottom w:val="single" w:color="auto" w:sz="4" w:space="0"/>
              <w:right w:val="single" w:color="auto" w:sz="4" w:space="0"/>
            </w:tcBorders>
            <w:noWrap w:val="0"/>
            <w:vAlign w:val="center"/>
          </w:tcPr>
          <w:p w14:paraId="4415CB24">
            <w:pPr>
              <w:widowControl/>
              <w:jc w:val="center"/>
              <w:rPr>
                <w:rFonts w:hint="eastAsia"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7B1D4E7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孔位布置和终孔深度是否符合经批准的勘察方案，孔位是否按照项目实际情况布设，现场终孔深度是否符合要求</w:t>
            </w:r>
          </w:p>
        </w:tc>
        <w:tc>
          <w:tcPr>
            <w:tcW w:w="3261" w:type="dxa"/>
            <w:tcBorders>
              <w:top w:val="nil"/>
              <w:left w:val="nil"/>
              <w:bottom w:val="single" w:color="auto" w:sz="4" w:space="0"/>
              <w:right w:val="single" w:color="auto" w:sz="4" w:space="0"/>
            </w:tcBorders>
            <w:noWrap w:val="0"/>
            <w:vAlign w:val="center"/>
          </w:tcPr>
          <w:p w14:paraId="5CC7D91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超出合同价的，该项不得分</w:t>
            </w:r>
          </w:p>
        </w:tc>
        <w:tc>
          <w:tcPr>
            <w:tcW w:w="992" w:type="dxa"/>
            <w:tcBorders>
              <w:top w:val="nil"/>
              <w:left w:val="nil"/>
              <w:bottom w:val="single" w:color="auto" w:sz="4" w:space="0"/>
              <w:right w:val="single" w:color="auto" w:sz="4" w:space="0"/>
            </w:tcBorders>
            <w:noWrap w:val="0"/>
            <w:vAlign w:val="center"/>
          </w:tcPr>
          <w:p w14:paraId="73247C4E">
            <w:pPr>
              <w:widowControl/>
              <w:jc w:val="center"/>
              <w:rPr>
                <w:rFonts w:hint="eastAsia" w:ascii="宋体" w:hAnsi="宋体" w:cs="宋体"/>
                <w:color w:val="auto"/>
                <w:kern w:val="0"/>
                <w:szCs w:val="21"/>
                <w:highlight w:val="none"/>
              </w:rPr>
            </w:pPr>
          </w:p>
        </w:tc>
      </w:tr>
      <w:tr w14:paraId="262C5694">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3F5933C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五</w:t>
            </w:r>
          </w:p>
        </w:tc>
        <w:tc>
          <w:tcPr>
            <w:tcW w:w="1393" w:type="dxa"/>
            <w:tcBorders>
              <w:top w:val="nil"/>
              <w:left w:val="nil"/>
              <w:bottom w:val="single" w:color="auto" w:sz="4" w:space="0"/>
              <w:right w:val="single" w:color="auto" w:sz="4" w:space="0"/>
            </w:tcBorders>
            <w:noWrap w:val="0"/>
            <w:vAlign w:val="center"/>
          </w:tcPr>
          <w:p w14:paraId="25D7B43C">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勘察进度</w:t>
            </w:r>
          </w:p>
        </w:tc>
        <w:tc>
          <w:tcPr>
            <w:tcW w:w="709" w:type="dxa"/>
            <w:tcBorders>
              <w:top w:val="nil"/>
              <w:left w:val="nil"/>
              <w:bottom w:val="single" w:color="auto" w:sz="4" w:space="0"/>
              <w:right w:val="single" w:color="auto" w:sz="4" w:space="0"/>
            </w:tcBorders>
            <w:noWrap w:val="0"/>
            <w:vAlign w:val="center"/>
          </w:tcPr>
          <w:p w14:paraId="618FC21B">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58173D51">
            <w:pPr>
              <w:widowControl/>
              <w:jc w:val="left"/>
              <w:rPr>
                <w:rFonts w:ascii="宋体" w:hAnsi="宋体" w:cs="宋体"/>
                <w:color w:val="auto"/>
                <w:kern w:val="0"/>
                <w:szCs w:val="21"/>
                <w:highlight w:val="none"/>
              </w:rPr>
            </w:pPr>
          </w:p>
        </w:tc>
        <w:tc>
          <w:tcPr>
            <w:tcW w:w="3261" w:type="dxa"/>
            <w:tcBorders>
              <w:top w:val="nil"/>
              <w:left w:val="nil"/>
              <w:bottom w:val="single" w:color="auto" w:sz="4" w:space="0"/>
              <w:right w:val="single" w:color="auto" w:sz="4" w:space="0"/>
            </w:tcBorders>
            <w:noWrap w:val="0"/>
            <w:vAlign w:val="center"/>
          </w:tcPr>
          <w:p w14:paraId="01799BB1">
            <w:pPr>
              <w:widowControl/>
              <w:jc w:val="left"/>
              <w:rPr>
                <w:rFonts w:ascii="宋体" w:hAnsi="宋体" w:cs="宋体"/>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685F5B13">
            <w:pPr>
              <w:widowControl/>
              <w:jc w:val="center"/>
              <w:rPr>
                <w:rFonts w:ascii="宋体" w:hAnsi="宋体" w:cs="宋体"/>
                <w:color w:val="auto"/>
                <w:kern w:val="0"/>
                <w:szCs w:val="21"/>
                <w:highlight w:val="none"/>
              </w:rPr>
            </w:pPr>
          </w:p>
        </w:tc>
      </w:tr>
      <w:tr w14:paraId="380538B7">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1C286215">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93" w:type="dxa"/>
            <w:tcBorders>
              <w:top w:val="nil"/>
              <w:left w:val="nil"/>
              <w:bottom w:val="single" w:color="auto" w:sz="4" w:space="0"/>
              <w:right w:val="single" w:color="auto" w:sz="4" w:space="0"/>
            </w:tcBorders>
            <w:noWrap w:val="0"/>
            <w:vAlign w:val="center"/>
          </w:tcPr>
          <w:p w14:paraId="0A1BE035">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外业进度</w:t>
            </w:r>
          </w:p>
        </w:tc>
        <w:tc>
          <w:tcPr>
            <w:tcW w:w="709" w:type="dxa"/>
            <w:tcBorders>
              <w:top w:val="nil"/>
              <w:left w:val="nil"/>
              <w:bottom w:val="single" w:color="auto" w:sz="4" w:space="0"/>
              <w:right w:val="single" w:color="auto" w:sz="4" w:space="0"/>
            </w:tcBorders>
            <w:noWrap w:val="0"/>
            <w:vAlign w:val="center"/>
          </w:tcPr>
          <w:p w14:paraId="55CDA17A">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vMerge w:val="restart"/>
            <w:tcBorders>
              <w:top w:val="nil"/>
              <w:left w:val="nil"/>
              <w:right w:val="single" w:color="auto" w:sz="4" w:space="0"/>
            </w:tcBorders>
            <w:noWrap w:val="0"/>
            <w:vAlign w:val="center"/>
          </w:tcPr>
          <w:p w14:paraId="49751C4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是否按照合同、会议纪要、通知、函件、甲方交办的其它事项等有关对进度的要求完成各项工作</w:t>
            </w:r>
          </w:p>
        </w:tc>
        <w:tc>
          <w:tcPr>
            <w:tcW w:w="3261" w:type="dxa"/>
            <w:tcBorders>
              <w:top w:val="nil"/>
              <w:left w:val="nil"/>
              <w:bottom w:val="single" w:color="auto" w:sz="4" w:space="0"/>
              <w:right w:val="single" w:color="auto" w:sz="4" w:space="0"/>
            </w:tcBorders>
            <w:noWrap w:val="0"/>
            <w:vAlign w:val="center"/>
          </w:tcPr>
          <w:p w14:paraId="5650E98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因乙方原因，每延误一天扣1分，至扣完为止。</w:t>
            </w:r>
          </w:p>
        </w:tc>
        <w:tc>
          <w:tcPr>
            <w:tcW w:w="992" w:type="dxa"/>
            <w:tcBorders>
              <w:top w:val="nil"/>
              <w:left w:val="nil"/>
              <w:bottom w:val="single" w:color="auto" w:sz="4" w:space="0"/>
              <w:right w:val="single" w:color="auto" w:sz="4" w:space="0"/>
            </w:tcBorders>
            <w:noWrap w:val="0"/>
            <w:vAlign w:val="center"/>
          </w:tcPr>
          <w:p w14:paraId="7B15E00C">
            <w:pPr>
              <w:widowControl/>
              <w:jc w:val="center"/>
              <w:rPr>
                <w:rFonts w:ascii="宋体" w:hAnsi="宋体" w:cs="宋体"/>
                <w:color w:val="auto"/>
                <w:kern w:val="0"/>
                <w:szCs w:val="21"/>
                <w:highlight w:val="none"/>
              </w:rPr>
            </w:pPr>
          </w:p>
        </w:tc>
      </w:tr>
      <w:tr w14:paraId="47921727">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45DA1A14">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393" w:type="dxa"/>
            <w:tcBorders>
              <w:top w:val="nil"/>
              <w:left w:val="nil"/>
              <w:bottom w:val="single" w:color="auto" w:sz="4" w:space="0"/>
              <w:right w:val="single" w:color="auto" w:sz="4" w:space="0"/>
            </w:tcBorders>
            <w:noWrap w:val="0"/>
            <w:vAlign w:val="center"/>
          </w:tcPr>
          <w:p w14:paraId="5B45D973">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内业进度</w:t>
            </w:r>
          </w:p>
        </w:tc>
        <w:tc>
          <w:tcPr>
            <w:tcW w:w="709" w:type="dxa"/>
            <w:tcBorders>
              <w:top w:val="nil"/>
              <w:left w:val="nil"/>
              <w:bottom w:val="single" w:color="auto" w:sz="4" w:space="0"/>
              <w:right w:val="single" w:color="auto" w:sz="4" w:space="0"/>
            </w:tcBorders>
            <w:noWrap w:val="0"/>
            <w:vAlign w:val="center"/>
          </w:tcPr>
          <w:p w14:paraId="2D423EA5">
            <w:pPr>
              <w:widowControl/>
              <w:jc w:val="center"/>
              <w:rPr>
                <w:rFonts w:hint="eastAsia"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vMerge w:val="continue"/>
            <w:tcBorders>
              <w:left w:val="nil"/>
              <w:bottom w:val="single" w:color="auto" w:sz="4" w:space="0"/>
              <w:right w:val="single" w:color="auto" w:sz="4" w:space="0"/>
            </w:tcBorders>
            <w:noWrap w:val="0"/>
            <w:vAlign w:val="center"/>
          </w:tcPr>
          <w:p w14:paraId="329A5701">
            <w:pPr>
              <w:widowControl/>
              <w:jc w:val="left"/>
              <w:rPr>
                <w:rFonts w:hint="eastAsia" w:ascii="宋体" w:hAnsi="宋体" w:cs="宋体"/>
                <w:color w:val="auto"/>
                <w:kern w:val="0"/>
                <w:szCs w:val="21"/>
                <w:highlight w:val="none"/>
              </w:rPr>
            </w:pPr>
          </w:p>
        </w:tc>
        <w:tc>
          <w:tcPr>
            <w:tcW w:w="3261" w:type="dxa"/>
            <w:tcBorders>
              <w:top w:val="nil"/>
              <w:left w:val="nil"/>
              <w:bottom w:val="single" w:color="auto" w:sz="4" w:space="0"/>
              <w:right w:val="single" w:color="auto" w:sz="4" w:space="0"/>
            </w:tcBorders>
            <w:noWrap w:val="0"/>
            <w:vAlign w:val="center"/>
          </w:tcPr>
          <w:p w14:paraId="600E83B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因乙方原因，每延误一天扣1分，至扣完为止。</w:t>
            </w:r>
          </w:p>
        </w:tc>
        <w:tc>
          <w:tcPr>
            <w:tcW w:w="992" w:type="dxa"/>
            <w:tcBorders>
              <w:top w:val="nil"/>
              <w:left w:val="nil"/>
              <w:bottom w:val="single" w:color="auto" w:sz="4" w:space="0"/>
              <w:right w:val="single" w:color="auto" w:sz="4" w:space="0"/>
            </w:tcBorders>
            <w:noWrap w:val="0"/>
            <w:vAlign w:val="center"/>
          </w:tcPr>
          <w:p w14:paraId="689328E5">
            <w:pPr>
              <w:widowControl/>
              <w:jc w:val="center"/>
              <w:rPr>
                <w:rFonts w:hint="eastAsia" w:ascii="宋体" w:hAnsi="宋体" w:cs="宋体"/>
                <w:color w:val="auto"/>
                <w:kern w:val="0"/>
                <w:szCs w:val="21"/>
                <w:highlight w:val="none"/>
              </w:rPr>
            </w:pPr>
          </w:p>
        </w:tc>
      </w:tr>
      <w:tr w14:paraId="41F8C78D">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1E97BB30">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六</w:t>
            </w:r>
          </w:p>
        </w:tc>
        <w:tc>
          <w:tcPr>
            <w:tcW w:w="1393" w:type="dxa"/>
            <w:tcBorders>
              <w:top w:val="nil"/>
              <w:left w:val="nil"/>
              <w:bottom w:val="single" w:color="auto" w:sz="4" w:space="0"/>
              <w:right w:val="single" w:color="auto" w:sz="4" w:space="0"/>
            </w:tcBorders>
            <w:noWrap w:val="0"/>
            <w:vAlign w:val="center"/>
          </w:tcPr>
          <w:p w14:paraId="42FB60FD">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安全文明环保</w:t>
            </w:r>
          </w:p>
        </w:tc>
        <w:tc>
          <w:tcPr>
            <w:tcW w:w="709" w:type="dxa"/>
            <w:tcBorders>
              <w:top w:val="nil"/>
              <w:left w:val="nil"/>
              <w:bottom w:val="single" w:color="auto" w:sz="4" w:space="0"/>
              <w:right w:val="single" w:color="auto" w:sz="4" w:space="0"/>
            </w:tcBorders>
            <w:noWrap w:val="0"/>
            <w:vAlign w:val="center"/>
          </w:tcPr>
          <w:p w14:paraId="7ABCCC65">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68D965A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44EE909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6812D93E">
            <w:pPr>
              <w:widowControl/>
              <w:jc w:val="center"/>
              <w:rPr>
                <w:rFonts w:ascii="宋体" w:hAnsi="宋体" w:cs="宋体"/>
                <w:color w:val="auto"/>
                <w:kern w:val="0"/>
                <w:szCs w:val="21"/>
                <w:highlight w:val="none"/>
              </w:rPr>
            </w:pPr>
          </w:p>
        </w:tc>
      </w:tr>
      <w:tr w14:paraId="32A37A2E">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484A7E1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93" w:type="dxa"/>
            <w:tcBorders>
              <w:top w:val="nil"/>
              <w:left w:val="nil"/>
              <w:bottom w:val="single" w:color="auto" w:sz="4" w:space="0"/>
              <w:right w:val="single" w:color="auto" w:sz="4" w:space="0"/>
            </w:tcBorders>
            <w:noWrap w:val="0"/>
            <w:vAlign w:val="center"/>
          </w:tcPr>
          <w:p w14:paraId="34E16DB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现场安全</w:t>
            </w:r>
          </w:p>
        </w:tc>
        <w:tc>
          <w:tcPr>
            <w:tcW w:w="709" w:type="dxa"/>
            <w:tcBorders>
              <w:top w:val="nil"/>
              <w:left w:val="nil"/>
              <w:bottom w:val="single" w:color="auto" w:sz="4" w:space="0"/>
              <w:right w:val="single" w:color="auto" w:sz="4" w:space="0"/>
            </w:tcBorders>
            <w:noWrap w:val="0"/>
            <w:vAlign w:val="center"/>
          </w:tcPr>
          <w:p w14:paraId="2155789C">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5833CFA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现场作业是否符合操作规程，是否发生机械伤人、高处坠落等安全事故</w:t>
            </w:r>
          </w:p>
        </w:tc>
        <w:tc>
          <w:tcPr>
            <w:tcW w:w="3261" w:type="dxa"/>
            <w:tcBorders>
              <w:top w:val="nil"/>
              <w:left w:val="nil"/>
              <w:bottom w:val="single" w:color="auto" w:sz="4" w:space="0"/>
              <w:right w:val="single" w:color="auto" w:sz="4" w:space="0"/>
            </w:tcBorders>
            <w:noWrap w:val="0"/>
            <w:vAlign w:val="center"/>
          </w:tcPr>
          <w:p w14:paraId="52DA909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好：得10分</w:t>
            </w:r>
          </w:p>
          <w:p w14:paraId="26C846F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较好：得8分</w:t>
            </w:r>
          </w:p>
          <w:p w14:paraId="09DD3A3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一般：得6分</w:t>
            </w:r>
          </w:p>
          <w:p w14:paraId="1246458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较差：得4分</w:t>
            </w:r>
          </w:p>
          <w:p w14:paraId="0CCFAF8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差：得2分</w:t>
            </w:r>
          </w:p>
          <w:p w14:paraId="62E7C2A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发生安全等级事故，该项不得分</w:t>
            </w:r>
          </w:p>
        </w:tc>
        <w:tc>
          <w:tcPr>
            <w:tcW w:w="992" w:type="dxa"/>
            <w:tcBorders>
              <w:top w:val="nil"/>
              <w:left w:val="nil"/>
              <w:bottom w:val="single" w:color="auto" w:sz="4" w:space="0"/>
              <w:right w:val="single" w:color="auto" w:sz="4" w:space="0"/>
            </w:tcBorders>
            <w:noWrap w:val="0"/>
            <w:vAlign w:val="center"/>
          </w:tcPr>
          <w:p w14:paraId="40694198">
            <w:pPr>
              <w:widowControl/>
              <w:jc w:val="center"/>
              <w:rPr>
                <w:rFonts w:ascii="宋体" w:hAnsi="宋体" w:cs="宋体"/>
                <w:color w:val="auto"/>
                <w:kern w:val="0"/>
                <w:szCs w:val="21"/>
                <w:highlight w:val="none"/>
              </w:rPr>
            </w:pPr>
          </w:p>
        </w:tc>
      </w:tr>
      <w:tr w14:paraId="235EAD87">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204EC7A3">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393" w:type="dxa"/>
            <w:tcBorders>
              <w:top w:val="nil"/>
              <w:left w:val="nil"/>
              <w:bottom w:val="single" w:color="auto" w:sz="4" w:space="0"/>
              <w:right w:val="single" w:color="auto" w:sz="4" w:space="0"/>
            </w:tcBorders>
            <w:noWrap w:val="0"/>
            <w:vAlign w:val="center"/>
          </w:tcPr>
          <w:p w14:paraId="1A61A667">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文明环保</w:t>
            </w:r>
          </w:p>
        </w:tc>
        <w:tc>
          <w:tcPr>
            <w:tcW w:w="709" w:type="dxa"/>
            <w:tcBorders>
              <w:top w:val="nil"/>
              <w:left w:val="nil"/>
              <w:bottom w:val="single" w:color="auto" w:sz="4" w:space="0"/>
              <w:right w:val="single" w:color="auto" w:sz="4" w:space="0"/>
            </w:tcBorders>
            <w:noWrap w:val="0"/>
            <w:vAlign w:val="center"/>
          </w:tcPr>
          <w:p w14:paraId="11C7342A">
            <w:pPr>
              <w:widowControl/>
              <w:jc w:val="center"/>
              <w:rPr>
                <w:rFonts w:hint="eastAsia"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0"/>
            <w:vAlign w:val="center"/>
          </w:tcPr>
          <w:p w14:paraId="5FD828A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泥浆排放、场容场貌等情况是否符合要求，是否破坏已知和未知的地下管线</w:t>
            </w:r>
          </w:p>
        </w:tc>
        <w:tc>
          <w:tcPr>
            <w:tcW w:w="3261" w:type="dxa"/>
            <w:tcBorders>
              <w:top w:val="nil"/>
              <w:left w:val="nil"/>
              <w:bottom w:val="single" w:color="auto" w:sz="4" w:space="0"/>
              <w:right w:val="single" w:color="auto" w:sz="4" w:space="0"/>
            </w:tcBorders>
            <w:noWrap w:val="0"/>
            <w:vAlign w:val="center"/>
          </w:tcPr>
          <w:p w14:paraId="33E05095">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好：得10分</w:t>
            </w:r>
          </w:p>
          <w:p w14:paraId="2C8070A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较好：得8分</w:t>
            </w:r>
          </w:p>
          <w:p w14:paraId="57CBB3C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一般：得6分</w:t>
            </w:r>
          </w:p>
          <w:p w14:paraId="65A3E8B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较差：得4分</w:t>
            </w:r>
          </w:p>
          <w:p w14:paraId="160CE69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差：得2分</w:t>
            </w:r>
          </w:p>
          <w:p w14:paraId="21297A0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破坏地下管线，该项不得分</w:t>
            </w:r>
          </w:p>
        </w:tc>
        <w:tc>
          <w:tcPr>
            <w:tcW w:w="992" w:type="dxa"/>
            <w:tcBorders>
              <w:top w:val="nil"/>
              <w:left w:val="nil"/>
              <w:bottom w:val="single" w:color="auto" w:sz="4" w:space="0"/>
              <w:right w:val="single" w:color="auto" w:sz="4" w:space="0"/>
            </w:tcBorders>
            <w:noWrap w:val="0"/>
            <w:vAlign w:val="center"/>
          </w:tcPr>
          <w:p w14:paraId="30E4DB58">
            <w:pPr>
              <w:widowControl/>
              <w:jc w:val="center"/>
              <w:rPr>
                <w:rFonts w:hint="eastAsia" w:ascii="宋体" w:hAnsi="宋体" w:cs="宋体"/>
                <w:color w:val="auto"/>
                <w:kern w:val="0"/>
                <w:szCs w:val="21"/>
                <w:highlight w:val="none"/>
              </w:rPr>
            </w:pPr>
          </w:p>
        </w:tc>
      </w:tr>
      <w:tr w14:paraId="3225CF72">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05EB14E2">
            <w:pPr>
              <w:widowControl/>
              <w:jc w:val="center"/>
              <w:rPr>
                <w:color w:val="auto"/>
                <w:kern w:val="0"/>
                <w:szCs w:val="21"/>
                <w:highlight w:val="none"/>
              </w:rPr>
            </w:pPr>
            <w:r>
              <w:rPr>
                <w:color w:val="auto"/>
                <w:kern w:val="0"/>
                <w:szCs w:val="21"/>
                <w:highlight w:val="none"/>
              </w:rPr>
              <w:t>　</w:t>
            </w:r>
          </w:p>
        </w:tc>
        <w:tc>
          <w:tcPr>
            <w:tcW w:w="1393" w:type="dxa"/>
            <w:tcBorders>
              <w:top w:val="nil"/>
              <w:left w:val="nil"/>
              <w:bottom w:val="single" w:color="auto" w:sz="4" w:space="0"/>
              <w:right w:val="single" w:color="auto" w:sz="4" w:space="0"/>
            </w:tcBorders>
            <w:noWrap w:val="0"/>
            <w:vAlign w:val="center"/>
          </w:tcPr>
          <w:p w14:paraId="0E79361C">
            <w:pPr>
              <w:widowControl/>
              <w:jc w:val="center"/>
              <w:rPr>
                <w:color w:val="auto"/>
                <w:kern w:val="0"/>
                <w:szCs w:val="21"/>
                <w:highlight w:val="none"/>
              </w:rPr>
            </w:pPr>
            <w:r>
              <w:rPr>
                <w:color w:val="auto"/>
                <w:kern w:val="0"/>
                <w:szCs w:val="21"/>
                <w:highlight w:val="none"/>
              </w:rPr>
              <w:t>合计</w:t>
            </w:r>
          </w:p>
        </w:tc>
        <w:tc>
          <w:tcPr>
            <w:tcW w:w="709" w:type="dxa"/>
            <w:tcBorders>
              <w:top w:val="nil"/>
              <w:left w:val="nil"/>
              <w:bottom w:val="single" w:color="auto" w:sz="4" w:space="0"/>
              <w:right w:val="single" w:color="auto" w:sz="4" w:space="0"/>
            </w:tcBorders>
            <w:noWrap w:val="0"/>
            <w:vAlign w:val="center"/>
          </w:tcPr>
          <w:p w14:paraId="78DB557A">
            <w:pPr>
              <w:widowControl/>
              <w:jc w:val="center"/>
              <w:rPr>
                <w:color w:val="auto"/>
                <w:kern w:val="0"/>
                <w:szCs w:val="21"/>
                <w:highlight w:val="none"/>
              </w:rPr>
            </w:pPr>
            <w:r>
              <w:rPr>
                <w:color w:val="auto"/>
                <w:kern w:val="0"/>
                <w:szCs w:val="21"/>
                <w:highlight w:val="none"/>
              </w:rPr>
              <w:t>100</w:t>
            </w:r>
          </w:p>
        </w:tc>
        <w:tc>
          <w:tcPr>
            <w:tcW w:w="2551" w:type="dxa"/>
            <w:tcBorders>
              <w:top w:val="nil"/>
              <w:left w:val="nil"/>
              <w:bottom w:val="single" w:color="auto" w:sz="4" w:space="0"/>
              <w:right w:val="single" w:color="auto" w:sz="4" w:space="0"/>
            </w:tcBorders>
            <w:noWrap w:val="0"/>
            <w:vAlign w:val="center"/>
          </w:tcPr>
          <w:p w14:paraId="63300CE2">
            <w:pPr>
              <w:widowControl/>
              <w:jc w:val="center"/>
              <w:rPr>
                <w:color w:val="auto"/>
                <w:kern w:val="0"/>
                <w:szCs w:val="21"/>
                <w:highlight w:val="none"/>
              </w:rPr>
            </w:pPr>
            <w:r>
              <w:rPr>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2E525C15">
            <w:pPr>
              <w:widowControl/>
              <w:jc w:val="center"/>
              <w:rPr>
                <w:color w:val="auto"/>
                <w:kern w:val="0"/>
                <w:szCs w:val="21"/>
                <w:highlight w:val="none"/>
              </w:rPr>
            </w:pPr>
            <w:r>
              <w:rPr>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475C65B2">
            <w:pPr>
              <w:widowControl/>
              <w:jc w:val="center"/>
              <w:rPr>
                <w:rFonts w:hint="eastAsia"/>
                <w:color w:val="auto"/>
                <w:kern w:val="0"/>
                <w:szCs w:val="21"/>
                <w:highlight w:val="none"/>
              </w:rPr>
            </w:pPr>
          </w:p>
        </w:tc>
      </w:tr>
    </w:tbl>
    <w:p w14:paraId="00B6A089">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一、注：</w:t>
      </w:r>
    </w:p>
    <w:p w14:paraId="0DD91F12">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1、每一评分项扣分，至该项对应分值扣完为止。</w:t>
      </w:r>
    </w:p>
    <w:p w14:paraId="21DB8F8F">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2、应在岗实际未在岗累计达到3天的，或经问询明显不了解项目具体情况累计达到3次的，或未按甲方要求出席会议累计达到3次的，可认定自行更换</w:t>
      </w:r>
    </w:p>
    <w:p w14:paraId="0A11CB6A">
      <w:pPr>
        <w:adjustRightInd w:val="0"/>
        <w:snapToGrid w:val="0"/>
        <w:rPr>
          <w:rFonts w:hint="eastAsia" w:ascii="宋体" w:hAnsi="宋体" w:cs="宋体"/>
          <w:color w:val="auto"/>
          <w:kern w:val="0"/>
          <w:szCs w:val="21"/>
          <w:highlight w:val="none"/>
        </w:rPr>
      </w:pPr>
    </w:p>
    <w:p w14:paraId="0ED0F390">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二、扣分情况说明：</w:t>
      </w:r>
    </w:p>
    <w:p w14:paraId="062D026B">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p w14:paraId="3AD48EF7">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p w14:paraId="24819840">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p w14:paraId="0ADFE8FF">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w:t>
      </w:r>
    </w:p>
    <w:p w14:paraId="3134D8DC">
      <w:pPr>
        <w:adjustRightInd w:val="0"/>
        <w:snapToGrid w:val="0"/>
        <w:rPr>
          <w:rFonts w:hint="eastAsia" w:ascii="宋体" w:hAnsi="宋体" w:cs="宋体"/>
          <w:color w:val="auto"/>
          <w:kern w:val="0"/>
          <w:szCs w:val="21"/>
          <w:highlight w:val="none"/>
        </w:rPr>
      </w:pPr>
    </w:p>
    <w:p w14:paraId="01CD89F3">
      <w:pPr>
        <w:adjustRightInd w:val="0"/>
        <w:snapToGrid w:val="0"/>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项目负责人：×××  签名：</w:t>
      </w:r>
      <w:r>
        <w:rPr>
          <w:rFonts w:hint="eastAsia" w:ascii="宋体" w:hAnsi="宋体" w:cs="宋体"/>
          <w:color w:val="auto"/>
          <w:kern w:val="0"/>
          <w:szCs w:val="21"/>
          <w:highlight w:val="none"/>
          <w:u w:val="single"/>
        </w:rPr>
        <w:t xml:space="preserve">             </w:t>
      </w:r>
    </w:p>
    <w:p w14:paraId="344EE250">
      <w:pPr>
        <w:adjustRightInd w:val="0"/>
        <w:snapToGrid w:val="0"/>
        <w:rPr>
          <w:rFonts w:hint="eastAsia" w:ascii="宋体" w:hAnsi="宋体" w:cs="宋体"/>
          <w:color w:val="auto"/>
          <w:kern w:val="0"/>
          <w:szCs w:val="21"/>
          <w:highlight w:val="none"/>
        </w:rPr>
      </w:pPr>
    </w:p>
    <w:p w14:paraId="2573B696">
      <w:pPr>
        <w:adjustRightInd w:val="0"/>
        <w:snapToGrid w:val="0"/>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部门负责人：×××  签名：</w:t>
      </w:r>
      <w:r>
        <w:rPr>
          <w:rFonts w:hint="eastAsia" w:ascii="宋体" w:hAnsi="宋体" w:cs="宋体"/>
          <w:color w:val="auto"/>
          <w:kern w:val="0"/>
          <w:szCs w:val="21"/>
          <w:highlight w:val="none"/>
          <w:u w:val="single"/>
        </w:rPr>
        <w:t xml:space="preserve">             </w:t>
      </w:r>
    </w:p>
    <w:p w14:paraId="29B8AF80">
      <w:pPr>
        <w:adjustRightInd w:val="0"/>
        <w:snapToGrid w:val="0"/>
        <w:rPr>
          <w:rFonts w:hint="eastAsia" w:ascii="宋体" w:hAnsi="宋体" w:cs="宋体"/>
          <w:color w:val="auto"/>
          <w:kern w:val="0"/>
          <w:szCs w:val="21"/>
          <w:highlight w:val="none"/>
        </w:rPr>
      </w:pPr>
    </w:p>
    <w:p w14:paraId="29C5ECFB">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日期：      年    月    日</w:t>
      </w:r>
    </w:p>
    <w:p w14:paraId="103EF4B3">
      <w:pPr>
        <w:spacing w:line="560" w:lineRule="exact"/>
        <w:rPr>
          <w:rFonts w:ascii="仿宋_GB2312" w:eastAsia="仿宋_GB2312"/>
          <w:color w:val="auto"/>
          <w:sz w:val="32"/>
          <w:szCs w:val="32"/>
          <w:highlight w:val="none"/>
        </w:rPr>
      </w:pPr>
      <w:r>
        <w:rPr>
          <w:rFonts w:ascii="宋体" w:hAnsi="宋体"/>
          <w:b/>
          <w:color w:val="auto"/>
          <w:szCs w:val="21"/>
          <w:highlight w:val="none"/>
        </w:rPr>
        <w:br w:type="page"/>
      </w:r>
      <w:r>
        <w:rPr>
          <w:rFonts w:hint="eastAsia" w:ascii="仿宋_GB2312" w:eastAsia="仿宋_GB2312"/>
          <w:color w:val="auto"/>
          <w:sz w:val="32"/>
          <w:szCs w:val="32"/>
          <w:highlight w:val="none"/>
        </w:rPr>
        <w:t>附件二</w:t>
      </w:r>
    </w:p>
    <w:tbl>
      <w:tblPr>
        <w:tblStyle w:val="54"/>
        <w:tblW w:w="9366" w:type="dxa"/>
        <w:jc w:val="center"/>
        <w:tblLayout w:type="fixed"/>
        <w:tblCellMar>
          <w:top w:w="0" w:type="dxa"/>
          <w:left w:w="108" w:type="dxa"/>
          <w:bottom w:w="0" w:type="dxa"/>
          <w:right w:w="108" w:type="dxa"/>
        </w:tblCellMar>
      </w:tblPr>
      <w:tblGrid>
        <w:gridCol w:w="460"/>
        <w:gridCol w:w="1393"/>
        <w:gridCol w:w="709"/>
        <w:gridCol w:w="2551"/>
        <w:gridCol w:w="3261"/>
        <w:gridCol w:w="992"/>
      </w:tblGrid>
      <w:tr w14:paraId="62BAD533">
        <w:tblPrEx>
          <w:tblCellMar>
            <w:top w:w="0" w:type="dxa"/>
            <w:left w:w="108" w:type="dxa"/>
            <w:bottom w:w="0" w:type="dxa"/>
            <w:right w:w="108" w:type="dxa"/>
          </w:tblCellMar>
        </w:tblPrEx>
        <w:trPr>
          <w:trHeight w:val="795" w:hRule="atLeast"/>
          <w:jc w:val="center"/>
        </w:trPr>
        <w:tc>
          <w:tcPr>
            <w:tcW w:w="9366" w:type="dxa"/>
            <w:gridSpan w:val="6"/>
            <w:tcBorders>
              <w:top w:val="nil"/>
              <w:left w:val="nil"/>
              <w:bottom w:val="nil"/>
              <w:right w:val="nil"/>
            </w:tcBorders>
            <w:noWrap w:val="0"/>
            <w:vAlign w:val="center"/>
          </w:tcPr>
          <w:p w14:paraId="59B56B32">
            <w:pPr>
              <w:widowControl/>
              <w:jc w:val="center"/>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施工配合阶段勘察合同履约评价表</w:t>
            </w:r>
          </w:p>
        </w:tc>
      </w:tr>
      <w:tr w14:paraId="47CF58A3">
        <w:tblPrEx>
          <w:tblCellMar>
            <w:top w:w="0" w:type="dxa"/>
            <w:left w:w="108" w:type="dxa"/>
            <w:bottom w:w="0" w:type="dxa"/>
            <w:right w:w="108" w:type="dxa"/>
          </w:tblCellMar>
        </w:tblPrEx>
        <w:trPr>
          <w:jc w:val="center"/>
        </w:trPr>
        <w:tc>
          <w:tcPr>
            <w:tcW w:w="460" w:type="dxa"/>
            <w:tcBorders>
              <w:top w:val="single" w:color="auto" w:sz="4" w:space="0"/>
              <w:left w:val="single" w:color="auto" w:sz="4" w:space="0"/>
              <w:bottom w:val="single" w:color="auto" w:sz="4" w:space="0"/>
              <w:right w:val="single" w:color="auto" w:sz="4" w:space="0"/>
            </w:tcBorders>
            <w:noWrap w:val="0"/>
            <w:vAlign w:val="center"/>
          </w:tcPr>
          <w:p w14:paraId="49A90BAF">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393" w:type="dxa"/>
            <w:tcBorders>
              <w:top w:val="single" w:color="auto" w:sz="4" w:space="0"/>
              <w:left w:val="nil"/>
              <w:bottom w:val="single" w:color="auto" w:sz="4" w:space="0"/>
              <w:right w:val="single" w:color="auto" w:sz="4" w:space="0"/>
            </w:tcBorders>
            <w:noWrap w:val="0"/>
            <w:vAlign w:val="center"/>
          </w:tcPr>
          <w:p w14:paraId="42E96768">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内容</w:t>
            </w:r>
          </w:p>
        </w:tc>
        <w:tc>
          <w:tcPr>
            <w:tcW w:w="709" w:type="dxa"/>
            <w:tcBorders>
              <w:top w:val="single" w:color="auto" w:sz="4" w:space="0"/>
              <w:left w:val="nil"/>
              <w:bottom w:val="single" w:color="auto" w:sz="4" w:space="0"/>
              <w:right w:val="single" w:color="auto" w:sz="4" w:space="0"/>
            </w:tcBorders>
            <w:noWrap w:val="0"/>
            <w:vAlign w:val="center"/>
          </w:tcPr>
          <w:p w14:paraId="5327B098">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单项</w:t>
            </w:r>
          </w:p>
          <w:p w14:paraId="301229AD">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分值</w:t>
            </w:r>
          </w:p>
        </w:tc>
        <w:tc>
          <w:tcPr>
            <w:tcW w:w="2551" w:type="dxa"/>
            <w:tcBorders>
              <w:top w:val="single" w:color="auto" w:sz="4" w:space="0"/>
              <w:left w:val="nil"/>
              <w:bottom w:val="single" w:color="auto" w:sz="4" w:space="0"/>
              <w:right w:val="single" w:color="auto" w:sz="4" w:space="0"/>
            </w:tcBorders>
            <w:noWrap w:val="0"/>
            <w:vAlign w:val="center"/>
          </w:tcPr>
          <w:p w14:paraId="706A153E">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评价指标</w:t>
            </w:r>
          </w:p>
        </w:tc>
        <w:tc>
          <w:tcPr>
            <w:tcW w:w="3261" w:type="dxa"/>
            <w:tcBorders>
              <w:top w:val="single" w:color="auto" w:sz="4" w:space="0"/>
              <w:left w:val="nil"/>
              <w:bottom w:val="single" w:color="auto" w:sz="4" w:space="0"/>
              <w:right w:val="single" w:color="auto" w:sz="4" w:space="0"/>
            </w:tcBorders>
            <w:noWrap w:val="0"/>
            <w:vAlign w:val="center"/>
          </w:tcPr>
          <w:p w14:paraId="081F646B">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评分标准</w:t>
            </w:r>
          </w:p>
        </w:tc>
        <w:tc>
          <w:tcPr>
            <w:tcW w:w="992" w:type="dxa"/>
            <w:tcBorders>
              <w:top w:val="single" w:color="auto" w:sz="4" w:space="0"/>
              <w:left w:val="nil"/>
              <w:bottom w:val="single" w:color="auto" w:sz="4" w:space="0"/>
              <w:right w:val="single" w:color="auto" w:sz="4" w:space="0"/>
            </w:tcBorders>
            <w:noWrap w:val="0"/>
            <w:vAlign w:val="center"/>
          </w:tcPr>
          <w:p w14:paraId="2A36D62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得分</w:t>
            </w:r>
          </w:p>
        </w:tc>
      </w:tr>
      <w:tr w14:paraId="23513E6E">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60C000CD">
            <w:pPr>
              <w:widowControl/>
              <w:jc w:val="center"/>
              <w:rPr>
                <w:color w:val="auto"/>
                <w:kern w:val="0"/>
                <w:szCs w:val="21"/>
                <w:highlight w:val="none"/>
              </w:rPr>
            </w:pPr>
            <w:r>
              <w:rPr>
                <w:rFonts w:hint="eastAsia" w:ascii="宋体" w:hAnsi="宋体"/>
                <w:color w:val="auto"/>
                <w:kern w:val="0"/>
                <w:szCs w:val="21"/>
                <w:highlight w:val="none"/>
              </w:rPr>
              <w:t>一</w:t>
            </w:r>
          </w:p>
        </w:tc>
        <w:tc>
          <w:tcPr>
            <w:tcW w:w="1393" w:type="dxa"/>
            <w:tcBorders>
              <w:top w:val="nil"/>
              <w:left w:val="nil"/>
              <w:bottom w:val="single" w:color="auto" w:sz="4" w:space="0"/>
              <w:right w:val="single" w:color="auto" w:sz="4" w:space="0"/>
            </w:tcBorders>
            <w:noWrap w:val="0"/>
            <w:vAlign w:val="center"/>
          </w:tcPr>
          <w:p w14:paraId="7694C1F3">
            <w:pPr>
              <w:widowControl/>
              <w:jc w:val="center"/>
              <w:rPr>
                <w:color w:val="auto"/>
                <w:kern w:val="0"/>
                <w:szCs w:val="21"/>
                <w:highlight w:val="none"/>
              </w:rPr>
            </w:pPr>
            <w:r>
              <w:rPr>
                <w:rFonts w:hint="eastAsia" w:ascii="宋体" w:hAnsi="宋体"/>
                <w:color w:val="auto"/>
                <w:kern w:val="0"/>
                <w:szCs w:val="21"/>
                <w:highlight w:val="none"/>
              </w:rPr>
              <w:t>人员配备</w:t>
            </w:r>
          </w:p>
        </w:tc>
        <w:tc>
          <w:tcPr>
            <w:tcW w:w="709" w:type="dxa"/>
            <w:tcBorders>
              <w:top w:val="nil"/>
              <w:left w:val="nil"/>
              <w:bottom w:val="single" w:color="auto" w:sz="4" w:space="0"/>
              <w:right w:val="single" w:color="auto" w:sz="4" w:space="0"/>
            </w:tcBorders>
            <w:noWrap w:val="0"/>
            <w:vAlign w:val="center"/>
          </w:tcPr>
          <w:p w14:paraId="6F4AD374">
            <w:pPr>
              <w:widowControl/>
              <w:jc w:val="center"/>
              <w:rPr>
                <w:rFonts w:hint="eastAsia"/>
                <w:color w:val="auto"/>
                <w:kern w:val="0"/>
                <w:szCs w:val="21"/>
                <w:highlight w:val="none"/>
              </w:rPr>
            </w:pPr>
            <w:r>
              <w:rPr>
                <w:rFonts w:hint="eastAsia"/>
                <w:color w:val="auto"/>
                <w:kern w:val="0"/>
                <w:szCs w:val="21"/>
                <w:highlight w:val="none"/>
              </w:rPr>
              <w:t>30</w:t>
            </w:r>
          </w:p>
        </w:tc>
        <w:tc>
          <w:tcPr>
            <w:tcW w:w="2551" w:type="dxa"/>
            <w:tcBorders>
              <w:top w:val="nil"/>
              <w:left w:val="nil"/>
              <w:bottom w:val="single" w:color="auto" w:sz="4" w:space="0"/>
              <w:right w:val="single" w:color="auto" w:sz="4" w:space="0"/>
            </w:tcBorders>
            <w:noWrap w:val="0"/>
            <w:vAlign w:val="center"/>
          </w:tcPr>
          <w:p w14:paraId="68B1E8B6">
            <w:pPr>
              <w:widowControl/>
              <w:jc w:val="center"/>
              <w:rPr>
                <w:b/>
                <w:bCs/>
                <w:color w:val="auto"/>
                <w:kern w:val="0"/>
                <w:szCs w:val="21"/>
                <w:highlight w:val="none"/>
              </w:rPr>
            </w:pPr>
            <w:r>
              <w:rPr>
                <w:b/>
                <w:bCs/>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2120215C">
            <w:pPr>
              <w:widowControl/>
              <w:jc w:val="center"/>
              <w:rPr>
                <w:b/>
                <w:bCs/>
                <w:color w:val="auto"/>
                <w:kern w:val="0"/>
                <w:szCs w:val="21"/>
                <w:highlight w:val="none"/>
              </w:rPr>
            </w:pPr>
            <w:r>
              <w:rPr>
                <w:b/>
                <w:bCs/>
                <w:color w:val="auto"/>
                <w:kern w:val="0"/>
                <w:szCs w:val="21"/>
                <w:highlight w:val="none"/>
              </w:rPr>
              <w:t>　</w:t>
            </w:r>
          </w:p>
        </w:tc>
        <w:tc>
          <w:tcPr>
            <w:tcW w:w="992" w:type="dxa"/>
            <w:tcBorders>
              <w:top w:val="nil"/>
              <w:left w:val="nil"/>
              <w:bottom w:val="single" w:color="auto" w:sz="4" w:space="0"/>
              <w:right w:val="single" w:color="auto" w:sz="4" w:space="0"/>
            </w:tcBorders>
            <w:noWrap w:val="0"/>
            <w:vAlign w:val="center"/>
          </w:tcPr>
          <w:p w14:paraId="0F0FC281">
            <w:pPr>
              <w:widowControl/>
              <w:jc w:val="center"/>
              <w:rPr>
                <w:rFonts w:hint="eastAsia"/>
                <w:color w:val="auto"/>
                <w:kern w:val="0"/>
                <w:szCs w:val="21"/>
                <w:highlight w:val="none"/>
              </w:rPr>
            </w:pPr>
          </w:p>
        </w:tc>
      </w:tr>
      <w:tr w14:paraId="2A54B7CC">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51E3CB96">
            <w:pPr>
              <w:widowControl/>
              <w:jc w:val="center"/>
              <w:rPr>
                <w:color w:val="auto"/>
                <w:kern w:val="0"/>
                <w:szCs w:val="21"/>
                <w:highlight w:val="none"/>
              </w:rPr>
            </w:pPr>
            <w:r>
              <w:rPr>
                <w:color w:val="auto"/>
                <w:kern w:val="0"/>
                <w:szCs w:val="21"/>
                <w:highlight w:val="none"/>
              </w:rPr>
              <w:t>1</w:t>
            </w:r>
          </w:p>
        </w:tc>
        <w:tc>
          <w:tcPr>
            <w:tcW w:w="1393" w:type="dxa"/>
            <w:tcBorders>
              <w:top w:val="nil"/>
              <w:left w:val="nil"/>
              <w:bottom w:val="single" w:color="auto" w:sz="4" w:space="0"/>
              <w:right w:val="nil"/>
            </w:tcBorders>
            <w:noWrap w:val="0"/>
            <w:vAlign w:val="center"/>
          </w:tcPr>
          <w:p w14:paraId="0F7142D0">
            <w:pPr>
              <w:widowControl/>
              <w:jc w:val="center"/>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single" w:color="auto" w:sz="4" w:space="0"/>
              <w:bottom w:val="single" w:color="auto" w:sz="4" w:space="0"/>
              <w:right w:val="single" w:color="auto" w:sz="4" w:space="0"/>
            </w:tcBorders>
            <w:noWrap w:val="0"/>
            <w:vAlign w:val="center"/>
          </w:tcPr>
          <w:p w14:paraId="4A78D717">
            <w:pPr>
              <w:widowControl/>
              <w:jc w:val="center"/>
              <w:rPr>
                <w:rFonts w:hint="eastAsia"/>
                <w:color w:val="auto"/>
                <w:kern w:val="0"/>
                <w:szCs w:val="21"/>
                <w:highlight w:val="none"/>
              </w:rPr>
            </w:pPr>
            <w:r>
              <w:rPr>
                <w:rFonts w:hint="eastAsia"/>
                <w:color w:val="auto"/>
                <w:kern w:val="0"/>
                <w:szCs w:val="21"/>
                <w:highlight w:val="none"/>
              </w:rPr>
              <w:t>15</w:t>
            </w:r>
          </w:p>
        </w:tc>
        <w:tc>
          <w:tcPr>
            <w:tcW w:w="2551" w:type="dxa"/>
            <w:tcBorders>
              <w:top w:val="nil"/>
              <w:left w:val="nil"/>
              <w:bottom w:val="single" w:color="auto" w:sz="4" w:space="0"/>
              <w:right w:val="single" w:color="auto" w:sz="4" w:space="0"/>
            </w:tcBorders>
            <w:noWrap w:val="0"/>
            <w:vAlign w:val="center"/>
          </w:tcPr>
          <w:p w14:paraId="034591AC">
            <w:pPr>
              <w:widowControl/>
              <w:jc w:val="left"/>
              <w:rPr>
                <w:rFonts w:hint="eastAsia"/>
                <w:color w:val="auto"/>
                <w:kern w:val="0"/>
                <w:szCs w:val="21"/>
                <w:highlight w:val="none"/>
              </w:rPr>
            </w:pPr>
            <w:r>
              <w:rPr>
                <w:rFonts w:hint="eastAsia" w:ascii="宋体" w:hAnsi="宋体"/>
                <w:color w:val="auto"/>
                <w:kern w:val="0"/>
                <w:szCs w:val="21"/>
                <w:highlight w:val="none"/>
              </w:rPr>
              <w:t>是否按合同到位</w:t>
            </w:r>
          </w:p>
        </w:tc>
        <w:tc>
          <w:tcPr>
            <w:tcW w:w="3261" w:type="dxa"/>
            <w:tcBorders>
              <w:top w:val="nil"/>
              <w:left w:val="nil"/>
              <w:bottom w:val="single" w:color="auto" w:sz="4" w:space="0"/>
              <w:right w:val="single" w:color="auto" w:sz="4" w:space="0"/>
            </w:tcBorders>
            <w:noWrap w:val="0"/>
            <w:vAlign w:val="center"/>
          </w:tcPr>
          <w:p w14:paraId="7C273A89">
            <w:pPr>
              <w:widowControl/>
              <w:jc w:val="left"/>
              <w:rPr>
                <w:rFonts w:hint="eastAsia" w:ascii="宋体" w:hAnsi="宋体"/>
                <w:color w:val="auto"/>
                <w:kern w:val="0"/>
                <w:szCs w:val="21"/>
                <w:highlight w:val="none"/>
              </w:rPr>
            </w:pPr>
            <w:r>
              <w:rPr>
                <w:rFonts w:hint="eastAsia" w:ascii="宋体" w:hAnsi="宋体"/>
                <w:color w:val="auto"/>
                <w:kern w:val="0"/>
                <w:szCs w:val="21"/>
                <w:highlight w:val="none"/>
              </w:rPr>
              <w:t>未到位，或未经甲方同意每自行更换一次</w:t>
            </w:r>
            <w:r>
              <w:rPr>
                <w:rFonts w:hint="eastAsia"/>
                <w:color w:val="auto"/>
                <w:kern w:val="0"/>
                <w:szCs w:val="21"/>
                <w:highlight w:val="none"/>
              </w:rPr>
              <w:t>，</w:t>
            </w:r>
            <w:r>
              <w:rPr>
                <w:rFonts w:hint="eastAsia" w:ascii="宋体" w:hAnsi="宋体"/>
                <w:color w:val="auto"/>
                <w:kern w:val="0"/>
                <w:szCs w:val="21"/>
                <w:highlight w:val="none"/>
              </w:rPr>
              <w:t>该项不得分；</w:t>
            </w:r>
          </w:p>
          <w:p w14:paraId="2C347CE3">
            <w:pPr>
              <w:widowControl/>
              <w:jc w:val="left"/>
              <w:rPr>
                <w:color w:val="auto"/>
                <w:kern w:val="0"/>
                <w:szCs w:val="21"/>
                <w:highlight w:val="none"/>
              </w:rPr>
            </w:pPr>
            <w:r>
              <w:rPr>
                <w:rFonts w:hint="eastAsia" w:ascii="宋体" w:hAnsi="宋体"/>
                <w:color w:val="auto"/>
                <w:kern w:val="0"/>
                <w:szCs w:val="21"/>
                <w:highlight w:val="none"/>
              </w:rPr>
              <w:t>缺席甲方要求参加的重要会议，每次扣3分。</w:t>
            </w:r>
          </w:p>
        </w:tc>
        <w:tc>
          <w:tcPr>
            <w:tcW w:w="992" w:type="dxa"/>
            <w:tcBorders>
              <w:top w:val="nil"/>
              <w:left w:val="nil"/>
              <w:bottom w:val="single" w:color="auto" w:sz="4" w:space="0"/>
              <w:right w:val="single" w:color="auto" w:sz="4" w:space="0"/>
            </w:tcBorders>
            <w:noWrap w:val="0"/>
            <w:vAlign w:val="center"/>
          </w:tcPr>
          <w:p w14:paraId="409A298C">
            <w:pPr>
              <w:widowControl/>
              <w:jc w:val="center"/>
              <w:rPr>
                <w:rFonts w:hint="eastAsia"/>
                <w:color w:val="auto"/>
                <w:kern w:val="0"/>
                <w:szCs w:val="21"/>
                <w:highlight w:val="none"/>
              </w:rPr>
            </w:pPr>
          </w:p>
        </w:tc>
      </w:tr>
      <w:tr w14:paraId="00E22410">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79399728">
            <w:pPr>
              <w:widowControl/>
              <w:jc w:val="center"/>
              <w:rPr>
                <w:rFonts w:hint="eastAsia"/>
                <w:color w:val="auto"/>
                <w:kern w:val="0"/>
                <w:szCs w:val="21"/>
                <w:highlight w:val="none"/>
              </w:rPr>
            </w:pPr>
            <w:r>
              <w:rPr>
                <w:rFonts w:hint="eastAsia"/>
                <w:color w:val="auto"/>
                <w:kern w:val="0"/>
                <w:szCs w:val="21"/>
                <w:highlight w:val="none"/>
              </w:rPr>
              <w:t>2</w:t>
            </w:r>
          </w:p>
        </w:tc>
        <w:tc>
          <w:tcPr>
            <w:tcW w:w="1393" w:type="dxa"/>
            <w:tcBorders>
              <w:top w:val="single" w:color="auto" w:sz="4" w:space="0"/>
              <w:left w:val="nil"/>
              <w:bottom w:val="nil"/>
              <w:right w:val="nil"/>
            </w:tcBorders>
            <w:noWrap w:val="0"/>
            <w:vAlign w:val="center"/>
          </w:tcPr>
          <w:p w14:paraId="5629B5D7">
            <w:pPr>
              <w:widowControl/>
              <w:jc w:val="center"/>
              <w:rPr>
                <w:rFonts w:hint="eastAsia" w:ascii="宋体" w:hAnsi="宋体"/>
                <w:color w:val="auto"/>
                <w:kern w:val="0"/>
                <w:szCs w:val="21"/>
                <w:highlight w:val="none"/>
              </w:rPr>
            </w:pPr>
            <w:r>
              <w:rPr>
                <w:rFonts w:hint="eastAsia" w:ascii="宋体" w:hAnsi="宋体"/>
                <w:color w:val="auto"/>
                <w:kern w:val="0"/>
                <w:szCs w:val="21"/>
                <w:highlight w:val="none"/>
              </w:rPr>
              <w:t>主要技术人员</w:t>
            </w:r>
          </w:p>
        </w:tc>
        <w:tc>
          <w:tcPr>
            <w:tcW w:w="709" w:type="dxa"/>
            <w:tcBorders>
              <w:top w:val="nil"/>
              <w:left w:val="single" w:color="auto" w:sz="4" w:space="0"/>
              <w:bottom w:val="single" w:color="auto" w:sz="4" w:space="0"/>
              <w:right w:val="single" w:color="auto" w:sz="4" w:space="0"/>
            </w:tcBorders>
            <w:noWrap w:val="0"/>
            <w:vAlign w:val="center"/>
          </w:tcPr>
          <w:p w14:paraId="1F693DFA">
            <w:pPr>
              <w:widowControl/>
              <w:jc w:val="center"/>
              <w:rPr>
                <w:rFonts w:hint="eastAsia"/>
                <w:color w:val="auto"/>
                <w:kern w:val="0"/>
                <w:szCs w:val="21"/>
                <w:highlight w:val="none"/>
              </w:rPr>
            </w:pPr>
            <w:r>
              <w:rPr>
                <w:rFonts w:hint="eastAsia"/>
                <w:color w:val="auto"/>
                <w:kern w:val="0"/>
                <w:szCs w:val="21"/>
                <w:highlight w:val="none"/>
              </w:rPr>
              <w:t>15</w:t>
            </w:r>
          </w:p>
        </w:tc>
        <w:tc>
          <w:tcPr>
            <w:tcW w:w="2551" w:type="dxa"/>
            <w:tcBorders>
              <w:top w:val="nil"/>
              <w:left w:val="nil"/>
              <w:bottom w:val="single" w:color="auto" w:sz="4" w:space="0"/>
              <w:right w:val="single" w:color="auto" w:sz="4" w:space="0"/>
            </w:tcBorders>
            <w:noWrap w:val="0"/>
            <w:vAlign w:val="center"/>
          </w:tcPr>
          <w:p w14:paraId="15E4F88F">
            <w:pPr>
              <w:widowControl/>
              <w:jc w:val="left"/>
              <w:rPr>
                <w:rFonts w:hint="eastAsia" w:ascii="宋体" w:hAnsi="宋体"/>
                <w:color w:val="auto"/>
                <w:kern w:val="0"/>
                <w:szCs w:val="21"/>
                <w:highlight w:val="none"/>
              </w:rPr>
            </w:pPr>
            <w:r>
              <w:rPr>
                <w:rFonts w:hint="eastAsia" w:ascii="宋体" w:hAnsi="宋体"/>
                <w:color w:val="auto"/>
                <w:kern w:val="0"/>
                <w:szCs w:val="21"/>
                <w:highlight w:val="none"/>
              </w:rPr>
              <w:t>是否符合合同及勘察方案对人员投入的承诺</w:t>
            </w:r>
          </w:p>
        </w:tc>
        <w:tc>
          <w:tcPr>
            <w:tcW w:w="3261" w:type="dxa"/>
            <w:tcBorders>
              <w:top w:val="nil"/>
              <w:left w:val="nil"/>
              <w:bottom w:val="single" w:color="auto" w:sz="4" w:space="0"/>
              <w:right w:val="single" w:color="auto" w:sz="4" w:space="0"/>
            </w:tcBorders>
            <w:noWrap w:val="0"/>
            <w:vAlign w:val="center"/>
          </w:tcPr>
          <w:p w14:paraId="138EEAC1">
            <w:pPr>
              <w:widowControl/>
              <w:jc w:val="left"/>
              <w:rPr>
                <w:rFonts w:hint="eastAsia" w:ascii="宋体" w:hAnsi="宋体"/>
                <w:color w:val="auto"/>
                <w:kern w:val="0"/>
                <w:szCs w:val="21"/>
                <w:highlight w:val="none"/>
              </w:rPr>
            </w:pPr>
            <w:r>
              <w:rPr>
                <w:rFonts w:hint="eastAsia" w:ascii="宋体" w:hAnsi="宋体"/>
                <w:color w:val="auto"/>
                <w:kern w:val="0"/>
                <w:szCs w:val="21"/>
                <w:highlight w:val="none"/>
              </w:rPr>
              <w:t>未到位，或未经甲方同意每自行更换一次</w:t>
            </w:r>
            <w:r>
              <w:rPr>
                <w:rFonts w:hint="eastAsia"/>
                <w:color w:val="auto"/>
                <w:kern w:val="0"/>
                <w:szCs w:val="21"/>
                <w:highlight w:val="none"/>
              </w:rPr>
              <w:t>，</w:t>
            </w:r>
            <w:r>
              <w:rPr>
                <w:rFonts w:hint="eastAsia" w:ascii="宋体" w:hAnsi="宋体"/>
                <w:color w:val="auto"/>
                <w:kern w:val="0"/>
                <w:szCs w:val="21"/>
                <w:highlight w:val="none"/>
              </w:rPr>
              <w:t>该项不得分；</w:t>
            </w:r>
          </w:p>
          <w:p w14:paraId="2DA3780E">
            <w:pPr>
              <w:widowControl/>
              <w:jc w:val="left"/>
              <w:rPr>
                <w:color w:val="auto"/>
                <w:kern w:val="0"/>
                <w:szCs w:val="21"/>
                <w:highlight w:val="none"/>
              </w:rPr>
            </w:pPr>
            <w:r>
              <w:rPr>
                <w:rFonts w:hint="eastAsia" w:ascii="宋体" w:hAnsi="宋体"/>
                <w:color w:val="auto"/>
                <w:kern w:val="0"/>
                <w:szCs w:val="21"/>
                <w:highlight w:val="none"/>
              </w:rPr>
              <w:t>缺席甲方要求参加的重要会议，每次扣3分。</w:t>
            </w:r>
          </w:p>
        </w:tc>
        <w:tc>
          <w:tcPr>
            <w:tcW w:w="992" w:type="dxa"/>
            <w:tcBorders>
              <w:top w:val="nil"/>
              <w:left w:val="nil"/>
              <w:bottom w:val="single" w:color="auto" w:sz="4" w:space="0"/>
              <w:right w:val="single" w:color="auto" w:sz="4" w:space="0"/>
            </w:tcBorders>
            <w:noWrap w:val="0"/>
            <w:vAlign w:val="center"/>
          </w:tcPr>
          <w:p w14:paraId="583FDCAB">
            <w:pPr>
              <w:widowControl/>
              <w:jc w:val="center"/>
              <w:rPr>
                <w:rFonts w:hint="eastAsia"/>
                <w:color w:val="auto"/>
                <w:kern w:val="0"/>
                <w:szCs w:val="21"/>
                <w:highlight w:val="none"/>
              </w:rPr>
            </w:pPr>
          </w:p>
        </w:tc>
      </w:tr>
      <w:tr w14:paraId="5E67D3C5">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1CB5E3B9">
            <w:pPr>
              <w:widowControl/>
              <w:jc w:val="center"/>
              <w:rPr>
                <w:color w:val="auto"/>
                <w:kern w:val="0"/>
                <w:szCs w:val="21"/>
                <w:highlight w:val="none"/>
              </w:rPr>
            </w:pPr>
            <w:r>
              <w:rPr>
                <w:rFonts w:hint="eastAsia" w:ascii="宋体" w:hAnsi="宋体"/>
                <w:color w:val="auto"/>
                <w:kern w:val="0"/>
                <w:szCs w:val="21"/>
                <w:highlight w:val="none"/>
              </w:rPr>
              <w:t>二</w:t>
            </w:r>
          </w:p>
        </w:tc>
        <w:tc>
          <w:tcPr>
            <w:tcW w:w="1393" w:type="dxa"/>
            <w:tcBorders>
              <w:top w:val="single" w:color="auto" w:sz="4" w:space="0"/>
              <w:left w:val="nil"/>
              <w:bottom w:val="single" w:color="auto" w:sz="4" w:space="0"/>
              <w:right w:val="single" w:color="auto" w:sz="4" w:space="0"/>
            </w:tcBorders>
            <w:noWrap w:val="0"/>
            <w:vAlign w:val="center"/>
          </w:tcPr>
          <w:p w14:paraId="69F9C12B">
            <w:pPr>
              <w:widowControl/>
              <w:jc w:val="center"/>
              <w:rPr>
                <w:color w:val="auto"/>
                <w:kern w:val="0"/>
                <w:szCs w:val="21"/>
                <w:highlight w:val="none"/>
              </w:rPr>
            </w:pPr>
            <w:r>
              <w:rPr>
                <w:rFonts w:hint="eastAsia" w:ascii="宋体" w:hAnsi="宋体"/>
                <w:color w:val="auto"/>
                <w:kern w:val="0"/>
                <w:szCs w:val="21"/>
                <w:highlight w:val="none"/>
              </w:rPr>
              <w:t>能力水平及履约表现</w:t>
            </w:r>
          </w:p>
        </w:tc>
        <w:tc>
          <w:tcPr>
            <w:tcW w:w="709" w:type="dxa"/>
            <w:tcBorders>
              <w:top w:val="nil"/>
              <w:left w:val="nil"/>
              <w:bottom w:val="single" w:color="auto" w:sz="4" w:space="0"/>
              <w:right w:val="single" w:color="auto" w:sz="4" w:space="0"/>
            </w:tcBorders>
            <w:noWrap w:val="0"/>
            <w:vAlign w:val="center"/>
          </w:tcPr>
          <w:p w14:paraId="1872F29F">
            <w:pPr>
              <w:widowControl/>
              <w:jc w:val="center"/>
              <w:rPr>
                <w:rFonts w:hint="eastAsia"/>
                <w:color w:val="auto"/>
                <w:kern w:val="0"/>
                <w:szCs w:val="21"/>
                <w:highlight w:val="none"/>
              </w:rPr>
            </w:pPr>
            <w:r>
              <w:rPr>
                <w:rFonts w:hint="eastAsia"/>
                <w:color w:val="auto"/>
                <w:kern w:val="0"/>
                <w:szCs w:val="21"/>
                <w:highlight w:val="none"/>
              </w:rPr>
              <w:t>30</w:t>
            </w:r>
          </w:p>
        </w:tc>
        <w:tc>
          <w:tcPr>
            <w:tcW w:w="2551" w:type="dxa"/>
            <w:tcBorders>
              <w:top w:val="nil"/>
              <w:left w:val="nil"/>
              <w:bottom w:val="single" w:color="auto" w:sz="4" w:space="0"/>
              <w:right w:val="single" w:color="auto" w:sz="4" w:space="0"/>
            </w:tcBorders>
            <w:noWrap w:val="0"/>
            <w:vAlign w:val="center"/>
          </w:tcPr>
          <w:p w14:paraId="775D4CE1">
            <w:pPr>
              <w:widowControl/>
              <w:jc w:val="left"/>
              <w:rPr>
                <w:color w:val="auto"/>
                <w:kern w:val="0"/>
                <w:szCs w:val="21"/>
                <w:highlight w:val="none"/>
              </w:rPr>
            </w:pPr>
            <w:r>
              <w:rPr>
                <w:color w:val="auto"/>
                <w:kern w:val="0"/>
                <w:szCs w:val="21"/>
                <w:highlight w:val="none"/>
              </w:rPr>
              <w:t>　</w:t>
            </w:r>
          </w:p>
        </w:tc>
        <w:tc>
          <w:tcPr>
            <w:tcW w:w="3261" w:type="dxa"/>
            <w:tcBorders>
              <w:top w:val="nil"/>
              <w:left w:val="nil"/>
              <w:bottom w:val="single" w:color="auto" w:sz="4" w:space="0"/>
              <w:right w:val="single" w:color="auto" w:sz="4" w:space="0"/>
            </w:tcBorders>
            <w:noWrap w:val="0"/>
            <w:vAlign w:val="center"/>
          </w:tcPr>
          <w:p w14:paraId="5F5CC1E1">
            <w:pPr>
              <w:widowControl/>
              <w:jc w:val="left"/>
              <w:rPr>
                <w:color w:val="auto"/>
                <w:kern w:val="0"/>
                <w:szCs w:val="21"/>
                <w:highlight w:val="none"/>
              </w:rPr>
            </w:pPr>
            <w:r>
              <w:rPr>
                <w:color w:val="auto"/>
                <w:kern w:val="0"/>
                <w:szCs w:val="21"/>
                <w:highlight w:val="none"/>
              </w:rPr>
              <w:t xml:space="preserve"> </w:t>
            </w:r>
          </w:p>
        </w:tc>
        <w:tc>
          <w:tcPr>
            <w:tcW w:w="992" w:type="dxa"/>
            <w:tcBorders>
              <w:top w:val="nil"/>
              <w:left w:val="nil"/>
              <w:bottom w:val="single" w:color="auto" w:sz="4" w:space="0"/>
              <w:right w:val="single" w:color="auto" w:sz="4" w:space="0"/>
            </w:tcBorders>
            <w:noWrap w:val="0"/>
            <w:vAlign w:val="center"/>
          </w:tcPr>
          <w:p w14:paraId="09C4F811">
            <w:pPr>
              <w:widowControl/>
              <w:jc w:val="center"/>
              <w:rPr>
                <w:rFonts w:hint="eastAsia"/>
                <w:color w:val="auto"/>
                <w:kern w:val="0"/>
                <w:szCs w:val="21"/>
                <w:highlight w:val="none"/>
              </w:rPr>
            </w:pPr>
          </w:p>
        </w:tc>
      </w:tr>
      <w:tr w14:paraId="7DFCF217">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75719EF1">
            <w:pPr>
              <w:widowControl/>
              <w:jc w:val="center"/>
              <w:rPr>
                <w:rFonts w:hint="eastAsia"/>
                <w:color w:val="auto"/>
                <w:kern w:val="0"/>
                <w:szCs w:val="21"/>
                <w:highlight w:val="none"/>
              </w:rPr>
            </w:pPr>
            <w:r>
              <w:rPr>
                <w:rFonts w:hint="eastAsia"/>
                <w:color w:val="auto"/>
                <w:kern w:val="0"/>
                <w:szCs w:val="21"/>
                <w:highlight w:val="none"/>
              </w:rPr>
              <w:t>1</w:t>
            </w:r>
          </w:p>
        </w:tc>
        <w:tc>
          <w:tcPr>
            <w:tcW w:w="1393" w:type="dxa"/>
            <w:tcBorders>
              <w:top w:val="nil"/>
              <w:left w:val="nil"/>
              <w:bottom w:val="single" w:color="auto" w:sz="4" w:space="0"/>
              <w:right w:val="single" w:color="auto" w:sz="4" w:space="0"/>
            </w:tcBorders>
            <w:noWrap w:val="0"/>
            <w:vAlign w:val="center"/>
          </w:tcPr>
          <w:p w14:paraId="3B428C53">
            <w:pPr>
              <w:widowControl/>
              <w:jc w:val="left"/>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nil"/>
              <w:bottom w:val="single" w:color="auto" w:sz="4" w:space="0"/>
              <w:right w:val="single" w:color="auto" w:sz="4" w:space="0"/>
            </w:tcBorders>
            <w:noWrap w:val="0"/>
            <w:vAlign w:val="center"/>
          </w:tcPr>
          <w:p w14:paraId="442674FD">
            <w:pPr>
              <w:widowControl/>
              <w:jc w:val="center"/>
              <w:rPr>
                <w:rFonts w:hint="eastAsia"/>
                <w:color w:val="auto"/>
                <w:kern w:val="0"/>
                <w:szCs w:val="21"/>
                <w:highlight w:val="none"/>
              </w:rPr>
            </w:pPr>
            <w:r>
              <w:rPr>
                <w:rFonts w:hint="eastAsia"/>
                <w:color w:val="auto"/>
                <w:kern w:val="0"/>
                <w:szCs w:val="21"/>
                <w:highlight w:val="none"/>
              </w:rPr>
              <w:t>15</w:t>
            </w:r>
          </w:p>
        </w:tc>
        <w:tc>
          <w:tcPr>
            <w:tcW w:w="2551" w:type="dxa"/>
            <w:tcBorders>
              <w:top w:val="nil"/>
              <w:left w:val="nil"/>
              <w:bottom w:val="single" w:color="auto" w:sz="4" w:space="0"/>
              <w:right w:val="single" w:color="auto" w:sz="4" w:space="0"/>
            </w:tcBorders>
            <w:noWrap w:val="0"/>
            <w:vAlign w:val="center"/>
          </w:tcPr>
          <w:p w14:paraId="4CDFB9DB">
            <w:pPr>
              <w:widowControl/>
              <w:jc w:val="left"/>
              <w:rPr>
                <w:color w:val="auto"/>
                <w:kern w:val="0"/>
                <w:szCs w:val="21"/>
                <w:highlight w:val="none"/>
              </w:rPr>
            </w:pPr>
            <w:r>
              <w:rPr>
                <w:rFonts w:hint="eastAsia" w:ascii="宋体" w:hAnsi="宋体"/>
                <w:color w:val="auto"/>
                <w:kern w:val="0"/>
                <w:szCs w:val="21"/>
                <w:highlight w:val="none"/>
              </w:rPr>
              <w:t>是否具有较强的协调组织能力；是否及时发现问题和处理问题；是否能与甲方、使用单位及业务主管部门等相关单位充分沟通</w:t>
            </w:r>
          </w:p>
        </w:tc>
        <w:tc>
          <w:tcPr>
            <w:tcW w:w="3261" w:type="dxa"/>
            <w:tcBorders>
              <w:top w:val="nil"/>
              <w:left w:val="nil"/>
              <w:bottom w:val="single" w:color="auto" w:sz="4" w:space="0"/>
              <w:right w:val="single" w:color="auto" w:sz="4" w:space="0"/>
            </w:tcBorders>
            <w:noWrap w:val="0"/>
            <w:vAlign w:val="center"/>
          </w:tcPr>
          <w:p w14:paraId="0C4D4B74">
            <w:pPr>
              <w:widowControl/>
              <w:jc w:val="left"/>
              <w:rPr>
                <w:rFonts w:hint="eastAsia"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、责任心不强、工作协调不到位；</w:t>
            </w:r>
          </w:p>
          <w:p w14:paraId="3C88C8EC">
            <w:pPr>
              <w:widowControl/>
              <w:jc w:val="left"/>
              <w:rPr>
                <w:rFonts w:hint="eastAsia"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、发现问题后未及时处理；</w:t>
            </w:r>
          </w:p>
          <w:p w14:paraId="0CDA64E2">
            <w:pPr>
              <w:widowControl/>
              <w:jc w:val="left"/>
              <w:rPr>
                <w:rFonts w:hint="eastAsia"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、未与相关参建单位或管理部门及时沟通；</w:t>
            </w:r>
          </w:p>
          <w:p w14:paraId="0BEEDD6C">
            <w:pPr>
              <w:widowControl/>
              <w:jc w:val="left"/>
              <w:rPr>
                <w:rFonts w:hint="eastAsia" w:ascii="宋体" w:hAnsi="宋体"/>
                <w:color w:val="auto"/>
                <w:kern w:val="0"/>
                <w:szCs w:val="21"/>
                <w:highlight w:val="none"/>
              </w:rPr>
            </w:pPr>
            <w:r>
              <w:rPr>
                <w:color w:val="auto"/>
                <w:kern w:val="0"/>
                <w:szCs w:val="21"/>
                <w:highlight w:val="none"/>
              </w:rPr>
              <w:t>4</w:t>
            </w:r>
            <w:r>
              <w:rPr>
                <w:rFonts w:hint="eastAsia" w:ascii="宋体" w:hAnsi="宋体"/>
                <w:color w:val="auto"/>
                <w:kern w:val="0"/>
                <w:szCs w:val="21"/>
                <w:highlight w:val="none"/>
              </w:rPr>
              <w:t>、未落实甲方的相关要求或会议纪要等文件精神。</w:t>
            </w:r>
          </w:p>
          <w:p w14:paraId="23A5030D">
            <w:pPr>
              <w:widowControl/>
              <w:jc w:val="left"/>
              <w:rPr>
                <w:color w:val="auto"/>
                <w:kern w:val="0"/>
                <w:szCs w:val="21"/>
                <w:highlight w:val="none"/>
              </w:rPr>
            </w:pPr>
            <w:r>
              <w:rPr>
                <w:rFonts w:hint="eastAsia" w:ascii="宋体" w:hAnsi="宋体"/>
                <w:color w:val="auto"/>
                <w:kern w:val="0"/>
                <w:szCs w:val="21"/>
                <w:highlight w:val="none"/>
              </w:rPr>
              <w:t>以上各项每发生一次扣3分。</w:t>
            </w:r>
          </w:p>
        </w:tc>
        <w:tc>
          <w:tcPr>
            <w:tcW w:w="992" w:type="dxa"/>
            <w:tcBorders>
              <w:top w:val="nil"/>
              <w:left w:val="nil"/>
              <w:bottom w:val="single" w:color="auto" w:sz="4" w:space="0"/>
              <w:right w:val="single" w:color="auto" w:sz="4" w:space="0"/>
            </w:tcBorders>
            <w:noWrap w:val="0"/>
            <w:vAlign w:val="center"/>
          </w:tcPr>
          <w:p w14:paraId="4EA71454">
            <w:pPr>
              <w:widowControl/>
              <w:jc w:val="center"/>
              <w:rPr>
                <w:rFonts w:hint="eastAsia"/>
                <w:color w:val="auto"/>
                <w:kern w:val="0"/>
                <w:szCs w:val="21"/>
                <w:highlight w:val="none"/>
              </w:rPr>
            </w:pPr>
          </w:p>
        </w:tc>
      </w:tr>
      <w:tr w14:paraId="21930A9E">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589C13C4">
            <w:pPr>
              <w:widowControl/>
              <w:jc w:val="center"/>
              <w:rPr>
                <w:rFonts w:hint="eastAsia"/>
                <w:color w:val="auto"/>
                <w:kern w:val="0"/>
                <w:szCs w:val="21"/>
                <w:highlight w:val="none"/>
              </w:rPr>
            </w:pPr>
            <w:r>
              <w:rPr>
                <w:rFonts w:hint="eastAsia"/>
                <w:color w:val="auto"/>
                <w:kern w:val="0"/>
                <w:szCs w:val="21"/>
                <w:highlight w:val="none"/>
              </w:rPr>
              <w:t>2</w:t>
            </w:r>
          </w:p>
        </w:tc>
        <w:tc>
          <w:tcPr>
            <w:tcW w:w="1393" w:type="dxa"/>
            <w:tcBorders>
              <w:top w:val="nil"/>
              <w:left w:val="nil"/>
              <w:bottom w:val="single" w:color="auto" w:sz="4" w:space="0"/>
              <w:right w:val="single" w:color="auto" w:sz="4" w:space="0"/>
            </w:tcBorders>
            <w:noWrap w:val="0"/>
            <w:vAlign w:val="center"/>
          </w:tcPr>
          <w:p w14:paraId="490F4B7C">
            <w:pPr>
              <w:widowControl/>
              <w:jc w:val="center"/>
              <w:rPr>
                <w:rFonts w:hint="eastAsia" w:ascii="宋体" w:hAnsi="宋体"/>
                <w:color w:val="auto"/>
                <w:kern w:val="0"/>
                <w:szCs w:val="21"/>
                <w:highlight w:val="none"/>
              </w:rPr>
            </w:pPr>
            <w:r>
              <w:rPr>
                <w:rFonts w:hint="eastAsia" w:ascii="宋体" w:hAnsi="宋体"/>
                <w:color w:val="auto"/>
                <w:kern w:val="0"/>
                <w:szCs w:val="21"/>
                <w:highlight w:val="none"/>
              </w:rPr>
              <w:t>主要技术人员</w:t>
            </w:r>
          </w:p>
        </w:tc>
        <w:tc>
          <w:tcPr>
            <w:tcW w:w="709" w:type="dxa"/>
            <w:tcBorders>
              <w:top w:val="nil"/>
              <w:left w:val="nil"/>
              <w:bottom w:val="single" w:color="auto" w:sz="4" w:space="0"/>
              <w:right w:val="single" w:color="auto" w:sz="4" w:space="0"/>
            </w:tcBorders>
            <w:noWrap w:val="0"/>
            <w:vAlign w:val="center"/>
          </w:tcPr>
          <w:p w14:paraId="38C6A166">
            <w:pPr>
              <w:widowControl/>
              <w:jc w:val="center"/>
              <w:rPr>
                <w:rFonts w:hint="eastAsia"/>
                <w:color w:val="auto"/>
                <w:kern w:val="0"/>
                <w:szCs w:val="21"/>
                <w:highlight w:val="none"/>
              </w:rPr>
            </w:pPr>
            <w:r>
              <w:rPr>
                <w:rFonts w:hint="eastAsia"/>
                <w:color w:val="auto"/>
                <w:kern w:val="0"/>
                <w:szCs w:val="21"/>
                <w:highlight w:val="none"/>
              </w:rPr>
              <w:t>15</w:t>
            </w:r>
          </w:p>
        </w:tc>
        <w:tc>
          <w:tcPr>
            <w:tcW w:w="2551" w:type="dxa"/>
            <w:tcBorders>
              <w:top w:val="nil"/>
              <w:left w:val="nil"/>
              <w:bottom w:val="single" w:color="auto" w:sz="4" w:space="0"/>
              <w:right w:val="single" w:color="auto" w:sz="4" w:space="0"/>
            </w:tcBorders>
            <w:noWrap w:val="0"/>
            <w:vAlign w:val="center"/>
          </w:tcPr>
          <w:p w14:paraId="10AB6EAF">
            <w:pPr>
              <w:widowControl/>
              <w:jc w:val="left"/>
              <w:rPr>
                <w:color w:val="auto"/>
                <w:kern w:val="0"/>
                <w:szCs w:val="21"/>
                <w:highlight w:val="none"/>
              </w:rPr>
            </w:pPr>
            <w:r>
              <w:rPr>
                <w:rFonts w:hint="eastAsia" w:ascii="宋体" w:hAnsi="宋体"/>
                <w:color w:val="auto"/>
                <w:kern w:val="0"/>
                <w:szCs w:val="21"/>
                <w:highlight w:val="none"/>
              </w:rPr>
              <w:t>是否有责任心；是否有较高的专业水平；与甲方、使用单位的沟通是否顺畅</w:t>
            </w:r>
          </w:p>
        </w:tc>
        <w:tc>
          <w:tcPr>
            <w:tcW w:w="3261" w:type="dxa"/>
            <w:tcBorders>
              <w:top w:val="nil"/>
              <w:left w:val="nil"/>
              <w:bottom w:val="single" w:color="auto" w:sz="4" w:space="0"/>
              <w:right w:val="single" w:color="auto" w:sz="4" w:space="0"/>
            </w:tcBorders>
            <w:noWrap w:val="0"/>
            <w:vAlign w:val="center"/>
          </w:tcPr>
          <w:p w14:paraId="364A10EC">
            <w:pPr>
              <w:widowControl/>
              <w:jc w:val="left"/>
              <w:rPr>
                <w:rFonts w:hint="eastAsia"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w:t>
            </w:r>
          </w:p>
          <w:p w14:paraId="6DC17FB1">
            <w:pPr>
              <w:widowControl/>
              <w:jc w:val="left"/>
              <w:rPr>
                <w:rFonts w:hint="eastAsia"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、专业水平不高；</w:t>
            </w:r>
          </w:p>
          <w:p w14:paraId="4F6F71E0">
            <w:pPr>
              <w:widowControl/>
              <w:jc w:val="left"/>
              <w:rPr>
                <w:rFonts w:hint="eastAsia"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、与甲方、使用单位的沟通不到位；</w:t>
            </w:r>
          </w:p>
          <w:p w14:paraId="60DC3CF2">
            <w:pPr>
              <w:widowControl/>
              <w:jc w:val="left"/>
              <w:rPr>
                <w:color w:val="auto"/>
                <w:kern w:val="0"/>
                <w:szCs w:val="21"/>
                <w:highlight w:val="none"/>
              </w:rPr>
            </w:pPr>
            <w:r>
              <w:rPr>
                <w:rFonts w:hint="eastAsia" w:ascii="宋体" w:hAnsi="宋体"/>
                <w:color w:val="auto"/>
                <w:kern w:val="0"/>
                <w:szCs w:val="21"/>
                <w:highlight w:val="none"/>
              </w:rPr>
              <w:t>以上各项每发生一次扣</w:t>
            </w:r>
            <w:r>
              <w:rPr>
                <w:rFonts w:hint="eastAsia"/>
                <w:color w:val="auto"/>
                <w:kern w:val="0"/>
                <w:szCs w:val="21"/>
                <w:highlight w:val="none"/>
              </w:rPr>
              <w:t>3</w:t>
            </w:r>
            <w:r>
              <w:rPr>
                <w:rFonts w:hint="eastAsia" w:ascii="宋体" w:hAnsi="宋体"/>
                <w:color w:val="auto"/>
                <w:kern w:val="0"/>
                <w:szCs w:val="21"/>
                <w:highlight w:val="none"/>
              </w:rPr>
              <w:t>分。</w:t>
            </w:r>
          </w:p>
        </w:tc>
        <w:tc>
          <w:tcPr>
            <w:tcW w:w="992" w:type="dxa"/>
            <w:tcBorders>
              <w:top w:val="nil"/>
              <w:left w:val="nil"/>
              <w:bottom w:val="single" w:color="auto" w:sz="4" w:space="0"/>
              <w:right w:val="single" w:color="auto" w:sz="4" w:space="0"/>
            </w:tcBorders>
            <w:noWrap w:val="0"/>
            <w:vAlign w:val="center"/>
          </w:tcPr>
          <w:p w14:paraId="74A87C51">
            <w:pPr>
              <w:widowControl/>
              <w:jc w:val="center"/>
              <w:rPr>
                <w:rFonts w:hint="eastAsia"/>
                <w:color w:val="auto"/>
                <w:kern w:val="0"/>
                <w:szCs w:val="21"/>
                <w:highlight w:val="none"/>
              </w:rPr>
            </w:pPr>
          </w:p>
        </w:tc>
      </w:tr>
      <w:tr w14:paraId="52DBF2CE">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220434AD">
            <w:pPr>
              <w:widowControl/>
              <w:jc w:val="center"/>
              <w:rPr>
                <w:rFonts w:hint="eastAsia"/>
                <w:color w:val="auto"/>
                <w:kern w:val="0"/>
                <w:szCs w:val="21"/>
                <w:highlight w:val="none"/>
              </w:rPr>
            </w:pPr>
            <w:r>
              <w:rPr>
                <w:rFonts w:hint="eastAsia"/>
                <w:color w:val="auto"/>
                <w:kern w:val="0"/>
                <w:szCs w:val="21"/>
                <w:highlight w:val="none"/>
              </w:rPr>
              <w:t>三</w:t>
            </w:r>
          </w:p>
        </w:tc>
        <w:tc>
          <w:tcPr>
            <w:tcW w:w="1393" w:type="dxa"/>
            <w:tcBorders>
              <w:top w:val="nil"/>
              <w:left w:val="nil"/>
              <w:bottom w:val="single" w:color="auto" w:sz="4" w:space="0"/>
              <w:right w:val="single" w:color="auto" w:sz="4" w:space="0"/>
            </w:tcBorders>
            <w:noWrap w:val="0"/>
            <w:vAlign w:val="center"/>
          </w:tcPr>
          <w:p w14:paraId="6CB87C31">
            <w:pPr>
              <w:widowControl/>
              <w:jc w:val="center"/>
              <w:rPr>
                <w:rFonts w:hint="eastAsia" w:ascii="宋体" w:hAnsi="宋体"/>
                <w:color w:val="auto"/>
                <w:kern w:val="0"/>
                <w:szCs w:val="21"/>
                <w:highlight w:val="none"/>
              </w:rPr>
            </w:pPr>
            <w:r>
              <w:rPr>
                <w:rFonts w:hint="eastAsia" w:ascii="宋体" w:hAnsi="宋体"/>
                <w:color w:val="auto"/>
                <w:kern w:val="0"/>
                <w:szCs w:val="21"/>
                <w:highlight w:val="none"/>
              </w:rPr>
              <w:t>勘察成果检验</w:t>
            </w:r>
          </w:p>
        </w:tc>
        <w:tc>
          <w:tcPr>
            <w:tcW w:w="709" w:type="dxa"/>
            <w:tcBorders>
              <w:top w:val="nil"/>
              <w:left w:val="nil"/>
              <w:bottom w:val="single" w:color="auto" w:sz="4" w:space="0"/>
              <w:right w:val="single" w:color="auto" w:sz="4" w:space="0"/>
            </w:tcBorders>
            <w:noWrap w:val="0"/>
            <w:vAlign w:val="center"/>
          </w:tcPr>
          <w:p w14:paraId="6CA4D3A8">
            <w:pPr>
              <w:widowControl/>
              <w:jc w:val="center"/>
              <w:rPr>
                <w:rFonts w:hint="eastAsia"/>
                <w:color w:val="auto"/>
                <w:kern w:val="0"/>
                <w:szCs w:val="21"/>
                <w:highlight w:val="none"/>
              </w:rPr>
            </w:pPr>
            <w:r>
              <w:rPr>
                <w:rFonts w:hint="eastAsia"/>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6FDB9504">
            <w:pPr>
              <w:widowControl/>
              <w:jc w:val="left"/>
              <w:rPr>
                <w:rFonts w:hint="eastAsia" w:ascii="宋体" w:hAnsi="宋体"/>
                <w:color w:val="auto"/>
                <w:kern w:val="0"/>
                <w:szCs w:val="21"/>
                <w:highlight w:val="none"/>
              </w:rPr>
            </w:pPr>
            <w:r>
              <w:rPr>
                <w:rFonts w:hint="eastAsia" w:ascii="宋体" w:hAnsi="宋体"/>
                <w:color w:val="auto"/>
                <w:kern w:val="0"/>
                <w:szCs w:val="21"/>
                <w:highlight w:val="none"/>
              </w:rPr>
              <w:t>勘察成果报告与施工过程中反映的实际地质情况的对比</w:t>
            </w:r>
          </w:p>
        </w:tc>
        <w:tc>
          <w:tcPr>
            <w:tcW w:w="3261" w:type="dxa"/>
            <w:tcBorders>
              <w:top w:val="nil"/>
              <w:left w:val="nil"/>
              <w:bottom w:val="single" w:color="auto" w:sz="4" w:space="0"/>
              <w:right w:val="single" w:color="auto" w:sz="4" w:space="0"/>
            </w:tcBorders>
            <w:noWrap w:val="0"/>
            <w:vAlign w:val="center"/>
          </w:tcPr>
          <w:p w14:paraId="7B45A25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好：得20分</w:t>
            </w:r>
          </w:p>
          <w:p w14:paraId="5F5BFDC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较好：得16分</w:t>
            </w:r>
          </w:p>
          <w:p w14:paraId="6D7152D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一般：得12分</w:t>
            </w:r>
          </w:p>
          <w:p w14:paraId="77C0F26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较差：得8分</w:t>
            </w:r>
          </w:p>
          <w:p w14:paraId="2A07C19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差：得4分</w:t>
            </w:r>
          </w:p>
        </w:tc>
        <w:tc>
          <w:tcPr>
            <w:tcW w:w="992" w:type="dxa"/>
            <w:tcBorders>
              <w:top w:val="nil"/>
              <w:left w:val="nil"/>
              <w:bottom w:val="single" w:color="auto" w:sz="4" w:space="0"/>
              <w:right w:val="single" w:color="auto" w:sz="4" w:space="0"/>
            </w:tcBorders>
            <w:noWrap w:val="0"/>
            <w:vAlign w:val="center"/>
          </w:tcPr>
          <w:p w14:paraId="063156DB">
            <w:pPr>
              <w:widowControl/>
              <w:jc w:val="center"/>
              <w:rPr>
                <w:rFonts w:hint="eastAsia"/>
                <w:color w:val="auto"/>
                <w:kern w:val="0"/>
                <w:szCs w:val="21"/>
                <w:highlight w:val="none"/>
              </w:rPr>
            </w:pPr>
          </w:p>
        </w:tc>
      </w:tr>
      <w:tr w14:paraId="54A24422">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5477064B">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四</w:t>
            </w:r>
          </w:p>
        </w:tc>
        <w:tc>
          <w:tcPr>
            <w:tcW w:w="1393" w:type="dxa"/>
            <w:tcBorders>
              <w:top w:val="nil"/>
              <w:left w:val="nil"/>
              <w:bottom w:val="single" w:color="auto" w:sz="4" w:space="0"/>
              <w:right w:val="single" w:color="auto" w:sz="4" w:space="0"/>
            </w:tcBorders>
            <w:noWrap w:val="0"/>
            <w:vAlign w:val="center"/>
          </w:tcPr>
          <w:p w14:paraId="1B15BCB6">
            <w:pPr>
              <w:widowControl/>
              <w:jc w:val="center"/>
              <w:rPr>
                <w:rFonts w:ascii="宋体" w:hAnsi="宋体" w:cs="宋体"/>
                <w:color w:val="auto"/>
                <w:kern w:val="0"/>
                <w:szCs w:val="21"/>
                <w:highlight w:val="none"/>
              </w:rPr>
            </w:pPr>
            <w:r>
              <w:rPr>
                <w:rFonts w:hint="eastAsia" w:ascii="宋体" w:hAnsi="宋体"/>
                <w:color w:val="auto"/>
                <w:kern w:val="0"/>
                <w:szCs w:val="21"/>
                <w:highlight w:val="none"/>
              </w:rPr>
              <w:t>勘察资料整理</w:t>
            </w:r>
          </w:p>
        </w:tc>
        <w:tc>
          <w:tcPr>
            <w:tcW w:w="709" w:type="dxa"/>
            <w:tcBorders>
              <w:top w:val="nil"/>
              <w:left w:val="nil"/>
              <w:bottom w:val="single" w:color="auto" w:sz="4" w:space="0"/>
              <w:right w:val="single" w:color="auto" w:sz="4" w:space="0"/>
            </w:tcBorders>
            <w:noWrap w:val="0"/>
            <w:vAlign w:val="center"/>
          </w:tcPr>
          <w:p w14:paraId="02DB4532">
            <w:pPr>
              <w:widowControl/>
              <w:jc w:val="center"/>
              <w:rPr>
                <w:rFonts w:hint="eastAsia"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0"/>
            <w:vAlign w:val="center"/>
          </w:tcPr>
          <w:p w14:paraId="4E0C7176">
            <w:pPr>
              <w:widowControl/>
              <w:jc w:val="left"/>
              <w:rPr>
                <w:rFonts w:hint="eastAsia" w:ascii="宋体" w:hAnsi="宋体"/>
                <w:color w:val="auto"/>
                <w:kern w:val="0"/>
                <w:szCs w:val="21"/>
                <w:highlight w:val="none"/>
              </w:rPr>
            </w:pPr>
            <w:r>
              <w:rPr>
                <w:rFonts w:hint="eastAsia" w:ascii="宋体" w:hAnsi="宋体"/>
                <w:color w:val="auto"/>
                <w:kern w:val="0"/>
                <w:szCs w:val="21"/>
                <w:highlight w:val="none"/>
              </w:rPr>
              <w:t>勘察资料是否齐全，是否符合城建档案管理的有关规定</w:t>
            </w:r>
          </w:p>
        </w:tc>
        <w:tc>
          <w:tcPr>
            <w:tcW w:w="3261" w:type="dxa"/>
            <w:tcBorders>
              <w:top w:val="nil"/>
              <w:left w:val="nil"/>
              <w:bottom w:val="single" w:color="auto" w:sz="4" w:space="0"/>
              <w:right w:val="single" w:color="auto" w:sz="4" w:space="0"/>
            </w:tcBorders>
            <w:noWrap w:val="0"/>
            <w:vAlign w:val="center"/>
          </w:tcPr>
          <w:p w14:paraId="426B259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好：得20分</w:t>
            </w:r>
          </w:p>
          <w:p w14:paraId="65FCC84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较好：得16分</w:t>
            </w:r>
          </w:p>
          <w:p w14:paraId="06116D5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一般：得12分</w:t>
            </w:r>
          </w:p>
          <w:p w14:paraId="5144F63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较差：得8分</w:t>
            </w:r>
          </w:p>
          <w:p w14:paraId="0B1AFCA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差：得4分</w:t>
            </w:r>
          </w:p>
        </w:tc>
        <w:tc>
          <w:tcPr>
            <w:tcW w:w="992" w:type="dxa"/>
            <w:tcBorders>
              <w:top w:val="nil"/>
              <w:left w:val="nil"/>
              <w:bottom w:val="single" w:color="auto" w:sz="4" w:space="0"/>
              <w:right w:val="single" w:color="auto" w:sz="4" w:space="0"/>
            </w:tcBorders>
            <w:noWrap w:val="0"/>
            <w:vAlign w:val="center"/>
          </w:tcPr>
          <w:p w14:paraId="744B98E1">
            <w:pPr>
              <w:widowControl/>
              <w:jc w:val="center"/>
              <w:rPr>
                <w:rFonts w:hint="eastAsia"/>
                <w:color w:val="auto"/>
                <w:kern w:val="0"/>
                <w:szCs w:val="21"/>
                <w:highlight w:val="none"/>
              </w:rPr>
            </w:pPr>
          </w:p>
        </w:tc>
      </w:tr>
      <w:tr w14:paraId="720CA24A">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0"/>
            <w:vAlign w:val="center"/>
          </w:tcPr>
          <w:p w14:paraId="1EA1C5B7">
            <w:pPr>
              <w:widowControl/>
              <w:jc w:val="center"/>
              <w:rPr>
                <w:rFonts w:hint="eastAsia"/>
                <w:color w:val="auto"/>
                <w:kern w:val="0"/>
                <w:szCs w:val="21"/>
                <w:highlight w:val="none"/>
              </w:rPr>
            </w:pPr>
          </w:p>
        </w:tc>
        <w:tc>
          <w:tcPr>
            <w:tcW w:w="1393" w:type="dxa"/>
            <w:tcBorders>
              <w:top w:val="nil"/>
              <w:left w:val="nil"/>
              <w:bottom w:val="single" w:color="auto" w:sz="4" w:space="0"/>
              <w:right w:val="single" w:color="auto" w:sz="4" w:space="0"/>
            </w:tcBorders>
            <w:noWrap w:val="0"/>
            <w:vAlign w:val="center"/>
          </w:tcPr>
          <w:p w14:paraId="3B1163F6">
            <w:pPr>
              <w:widowControl/>
              <w:jc w:val="center"/>
              <w:rPr>
                <w:color w:val="auto"/>
                <w:kern w:val="0"/>
                <w:szCs w:val="21"/>
                <w:highlight w:val="none"/>
              </w:rPr>
            </w:pPr>
            <w:r>
              <w:rPr>
                <w:color w:val="auto"/>
                <w:kern w:val="0"/>
                <w:szCs w:val="21"/>
                <w:highlight w:val="none"/>
              </w:rPr>
              <w:t>合计</w:t>
            </w:r>
          </w:p>
        </w:tc>
        <w:tc>
          <w:tcPr>
            <w:tcW w:w="709" w:type="dxa"/>
            <w:tcBorders>
              <w:top w:val="nil"/>
              <w:left w:val="nil"/>
              <w:bottom w:val="single" w:color="auto" w:sz="4" w:space="0"/>
              <w:right w:val="single" w:color="auto" w:sz="4" w:space="0"/>
            </w:tcBorders>
            <w:noWrap w:val="0"/>
            <w:vAlign w:val="center"/>
          </w:tcPr>
          <w:p w14:paraId="3128CE36">
            <w:pPr>
              <w:widowControl/>
              <w:jc w:val="center"/>
              <w:rPr>
                <w:color w:val="auto"/>
                <w:kern w:val="0"/>
                <w:szCs w:val="21"/>
                <w:highlight w:val="none"/>
              </w:rPr>
            </w:pPr>
            <w:r>
              <w:rPr>
                <w:color w:val="auto"/>
                <w:kern w:val="0"/>
                <w:szCs w:val="21"/>
                <w:highlight w:val="none"/>
              </w:rPr>
              <w:t>100</w:t>
            </w:r>
          </w:p>
        </w:tc>
        <w:tc>
          <w:tcPr>
            <w:tcW w:w="2551" w:type="dxa"/>
            <w:tcBorders>
              <w:top w:val="nil"/>
              <w:left w:val="nil"/>
              <w:bottom w:val="single" w:color="auto" w:sz="4" w:space="0"/>
              <w:right w:val="single" w:color="auto" w:sz="4" w:space="0"/>
            </w:tcBorders>
            <w:noWrap w:val="0"/>
            <w:vAlign w:val="center"/>
          </w:tcPr>
          <w:p w14:paraId="3B1433F2">
            <w:pPr>
              <w:widowControl/>
              <w:jc w:val="left"/>
              <w:rPr>
                <w:rFonts w:hint="eastAsia" w:ascii="宋体" w:hAnsi="宋体"/>
                <w:color w:val="auto"/>
                <w:kern w:val="0"/>
                <w:szCs w:val="21"/>
                <w:highlight w:val="none"/>
              </w:rPr>
            </w:pPr>
          </w:p>
        </w:tc>
        <w:tc>
          <w:tcPr>
            <w:tcW w:w="3261" w:type="dxa"/>
            <w:tcBorders>
              <w:top w:val="nil"/>
              <w:left w:val="nil"/>
              <w:bottom w:val="single" w:color="auto" w:sz="4" w:space="0"/>
              <w:right w:val="single" w:color="auto" w:sz="4" w:space="0"/>
            </w:tcBorders>
            <w:noWrap w:val="0"/>
            <w:vAlign w:val="center"/>
          </w:tcPr>
          <w:p w14:paraId="7D0E7E66">
            <w:pPr>
              <w:widowControl/>
              <w:jc w:val="left"/>
              <w:rPr>
                <w:rFonts w:hint="eastAsia" w:ascii="宋体" w:hAnsi="宋体" w:cs="宋体"/>
                <w:color w:val="auto"/>
                <w:kern w:val="0"/>
                <w:szCs w:val="21"/>
                <w:highlight w:val="none"/>
              </w:rPr>
            </w:pPr>
          </w:p>
        </w:tc>
        <w:tc>
          <w:tcPr>
            <w:tcW w:w="992" w:type="dxa"/>
            <w:tcBorders>
              <w:top w:val="nil"/>
              <w:left w:val="nil"/>
              <w:bottom w:val="single" w:color="auto" w:sz="4" w:space="0"/>
              <w:right w:val="single" w:color="auto" w:sz="4" w:space="0"/>
            </w:tcBorders>
            <w:noWrap w:val="0"/>
            <w:vAlign w:val="center"/>
          </w:tcPr>
          <w:p w14:paraId="1FEAB26D">
            <w:pPr>
              <w:widowControl/>
              <w:jc w:val="center"/>
              <w:rPr>
                <w:rFonts w:hint="eastAsia"/>
                <w:color w:val="auto"/>
                <w:kern w:val="0"/>
                <w:szCs w:val="21"/>
                <w:highlight w:val="none"/>
              </w:rPr>
            </w:pPr>
          </w:p>
        </w:tc>
      </w:tr>
    </w:tbl>
    <w:p w14:paraId="7F534FC6">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一、注：</w:t>
      </w:r>
    </w:p>
    <w:p w14:paraId="73754CCB">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1、每一评分项扣分，至该项对应分值扣完为止。</w:t>
      </w:r>
    </w:p>
    <w:p w14:paraId="170BFE40">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2、应在岗实际未在岗累计达到3天的，或经问询明显不了解项目具体情况累计达到3次的，或未按甲方要求出席会议累计达到3次的，可认定自行更换</w:t>
      </w:r>
    </w:p>
    <w:p w14:paraId="39712DD9">
      <w:pPr>
        <w:adjustRightInd w:val="0"/>
        <w:snapToGrid w:val="0"/>
        <w:rPr>
          <w:rFonts w:hint="eastAsia" w:ascii="宋体" w:hAnsi="宋体" w:cs="宋体"/>
          <w:color w:val="auto"/>
          <w:kern w:val="0"/>
          <w:szCs w:val="21"/>
          <w:highlight w:val="none"/>
        </w:rPr>
      </w:pPr>
    </w:p>
    <w:p w14:paraId="35AD578C">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二、扣分情况说明：</w:t>
      </w:r>
    </w:p>
    <w:p w14:paraId="379E55DC">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p w14:paraId="161D7373">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p w14:paraId="74E970C4">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p w14:paraId="0CBE4B77">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w:t>
      </w:r>
    </w:p>
    <w:p w14:paraId="5DF1DA14">
      <w:pPr>
        <w:adjustRightInd w:val="0"/>
        <w:snapToGrid w:val="0"/>
        <w:rPr>
          <w:rFonts w:hint="eastAsia" w:ascii="宋体" w:hAnsi="宋体" w:cs="宋体"/>
          <w:color w:val="auto"/>
          <w:kern w:val="0"/>
          <w:szCs w:val="21"/>
          <w:highlight w:val="none"/>
        </w:rPr>
      </w:pPr>
    </w:p>
    <w:p w14:paraId="2901ACFB">
      <w:pPr>
        <w:adjustRightInd w:val="0"/>
        <w:snapToGrid w:val="0"/>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项目负责人：×××  签名：</w:t>
      </w:r>
      <w:r>
        <w:rPr>
          <w:rFonts w:hint="eastAsia" w:ascii="宋体" w:hAnsi="宋体" w:cs="宋体"/>
          <w:color w:val="auto"/>
          <w:kern w:val="0"/>
          <w:szCs w:val="21"/>
          <w:highlight w:val="none"/>
          <w:u w:val="single"/>
        </w:rPr>
        <w:t xml:space="preserve">             </w:t>
      </w:r>
    </w:p>
    <w:p w14:paraId="4F6BACA3">
      <w:pPr>
        <w:adjustRightInd w:val="0"/>
        <w:snapToGrid w:val="0"/>
        <w:rPr>
          <w:rFonts w:hint="eastAsia" w:ascii="宋体" w:hAnsi="宋体" w:cs="宋体"/>
          <w:color w:val="auto"/>
          <w:kern w:val="0"/>
          <w:szCs w:val="21"/>
          <w:highlight w:val="none"/>
        </w:rPr>
      </w:pPr>
    </w:p>
    <w:p w14:paraId="6FDE09CB">
      <w:pPr>
        <w:adjustRightInd w:val="0"/>
        <w:snapToGrid w:val="0"/>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部门负责人：×××  签名：</w:t>
      </w:r>
      <w:r>
        <w:rPr>
          <w:rFonts w:hint="eastAsia" w:ascii="宋体" w:hAnsi="宋体" w:cs="宋体"/>
          <w:color w:val="auto"/>
          <w:kern w:val="0"/>
          <w:szCs w:val="21"/>
          <w:highlight w:val="none"/>
          <w:u w:val="single"/>
        </w:rPr>
        <w:t xml:space="preserve">             </w:t>
      </w:r>
    </w:p>
    <w:p w14:paraId="0B95FCFE">
      <w:pPr>
        <w:adjustRightInd w:val="0"/>
        <w:snapToGrid w:val="0"/>
        <w:rPr>
          <w:rFonts w:hint="eastAsia" w:ascii="宋体" w:hAnsi="宋体" w:cs="宋体"/>
          <w:color w:val="auto"/>
          <w:kern w:val="0"/>
          <w:szCs w:val="21"/>
          <w:highlight w:val="none"/>
        </w:rPr>
      </w:pPr>
    </w:p>
    <w:p w14:paraId="0D99F1B5">
      <w:pPr>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日期：      年    月    日</w:t>
      </w:r>
    </w:p>
    <w:p w14:paraId="24F81CD1">
      <w:pPr>
        <w:widowControl/>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br w:type="page"/>
      </w:r>
    </w:p>
    <w:p w14:paraId="6057FF3F">
      <w:pPr>
        <w:tabs>
          <w:tab w:val="left" w:pos="0"/>
        </w:tabs>
        <w:spacing w:line="320" w:lineRule="exact"/>
        <w:jc w:val="center"/>
        <w:rPr>
          <w:rFonts w:asciiTheme="minorEastAsia" w:hAnsiTheme="minorEastAsia" w:eastAsiaTheme="minorEastAsia"/>
          <w:sz w:val="28"/>
          <w:highlight w:val="none"/>
        </w:rPr>
      </w:pPr>
    </w:p>
    <w:p w14:paraId="4A898880">
      <w:pPr>
        <w:pStyle w:val="2"/>
        <w:jc w:val="center"/>
        <w:rPr>
          <w:rFonts w:asciiTheme="minorEastAsia" w:hAnsiTheme="minorEastAsia" w:eastAsiaTheme="minorEastAsia"/>
          <w:sz w:val="36"/>
          <w:szCs w:val="36"/>
          <w:highlight w:val="none"/>
        </w:rPr>
      </w:pPr>
      <w:bookmarkStart w:id="1549" w:name="_Toc57189784"/>
      <w:r>
        <w:rPr>
          <w:rFonts w:hint="eastAsia" w:asciiTheme="minorEastAsia" w:hAnsiTheme="minorEastAsia" w:eastAsiaTheme="minorEastAsia"/>
          <w:sz w:val="36"/>
          <w:szCs w:val="36"/>
          <w:highlight w:val="none"/>
        </w:rPr>
        <w:t>第六章  附件清单</w:t>
      </w:r>
      <w:bookmarkEnd w:id="1549"/>
    </w:p>
    <w:p w14:paraId="703C2C37">
      <w:pPr>
        <w:pStyle w:val="3"/>
        <w:spacing w:after="0" w:line="360" w:lineRule="auto"/>
        <w:rPr>
          <w:rFonts w:asciiTheme="minorEastAsia" w:hAnsiTheme="minorEastAsia" w:eastAsiaTheme="minorEastAsia"/>
          <w:sz w:val="24"/>
          <w:szCs w:val="24"/>
          <w:highlight w:val="none"/>
        </w:rPr>
      </w:pPr>
      <w:bookmarkStart w:id="1550" w:name="_Toc57189785"/>
      <w:r>
        <w:rPr>
          <w:rFonts w:hint="eastAsia" w:asciiTheme="minorEastAsia" w:hAnsiTheme="minorEastAsia" w:eastAsiaTheme="minorEastAsia"/>
          <w:sz w:val="24"/>
          <w:szCs w:val="24"/>
          <w:highlight w:val="none"/>
        </w:rPr>
        <w:t>6.1参考的法律法规及范本文件</w:t>
      </w:r>
      <w:bookmarkEnd w:id="1550"/>
    </w:p>
    <w:p w14:paraId="553FEF0B">
      <w:pPr>
        <w:pStyle w:val="209"/>
        <w:spacing w:line="360" w:lineRule="auto"/>
        <w:ind w:firstLine="48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（1）《中华人民共和国招标投标法》及实施条例（略）</w:t>
      </w:r>
    </w:p>
    <w:p w14:paraId="520D3E90">
      <w:pPr>
        <w:pStyle w:val="209"/>
        <w:spacing w:line="360" w:lineRule="auto"/>
        <w:ind w:firstLine="48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（2）《必须招标的工程项目规定》（略）</w:t>
      </w:r>
    </w:p>
    <w:p w14:paraId="5E913FD3">
      <w:pPr>
        <w:pStyle w:val="209"/>
        <w:spacing w:line="360" w:lineRule="auto"/>
        <w:ind w:firstLine="48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（3）《广东省实施&lt;中华人民共和国招标投标法&gt;办法》（略）</w:t>
      </w:r>
    </w:p>
    <w:p w14:paraId="4B7BC8C6">
      <w:pPr>
        <w:pStyle w:val="209"/>
        <w:spacing w:line="360" w:lineRule="auto"/>
        <w:ind w:firstLine="48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（4）《建筑工程设计招标投标管理办法》（略）</w:t>
      </w:r>
    </w:p>
    <w:p w14:paraId="40436720">
      <w:pPr>
        <w:pStyle w:val="209"/>
        <w:spacing w:line="360" w:lineRule="auto"/>
        <w:ind w:firstLine="48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（5）《广东省住房和城乡建设厅关于繁荣建筑创作的若干意见》</w:t>
      </w:r>
    </w:p>
    <w:p w14:paraId="2F565A61">
      <w:pPr>
        <w:pStyle w:val="209"/>
        <w:spacing w:line="360" w:lineRule="auto"/>
        <w:ind w:firstLine="48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（6）《关于广州市推进设计招标改革有关事项的通知》（略）</w:t>
      </w:r>
    </w:p>
    <w:p w14:paraId="2E94BB18">
      <w:pPr>
        <w:pStyle w:val="209"/>
        <w:spacing w:line="360" w:lineRule="auto"/>
        <w:ind w:firstLine="48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（7）《广州市人民政府办公厅关于印发广州市深化建设工程招标投标制度改革试点实施方案的通知》</w:t>
      </w:r>
    </w:p>
    <w:p w14:paraId="6BE0AC26">
      <w:pPr>
        <w:pStyle w:val="209"/>
        <w:spacing w:line="360" w:lineRule="auto"/>
        <w:ind w:firstLine="48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（8）《2017 标准勘察招标文件》（略）</w:t>
      </w:r>
    </w:p>
    <w:p w14:paraId="28EAF07D">
      <w:pPr>
        <w:pStyle w:val="209"/>
        <w:spacing w:line="360" w:lineRule="auto"/>
        <w:ind w:firstLine="48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（9）《2017 标准设计招标文件》（略）</w:t>
      </w:r>
    </w:p>
    <w:p w14:paraId="477A866A">
      <w:pPr>
        <w:pStyle w:val="209"/>
        <w:spacing w:line="360" w:lineRule="auto"/>
        <w:ind w:firstLine="480"/>
        <w:rPr>
          <w:rFonts w:asciiTheme="minorEastAsia" w:hAnsiTheme="minorEastAsia" w:eastAsiaTheme="minorEastAsia"/>
          <w:kern w:val="0"/>
          <w:sz w:val="24"/>
          <w:szCs w:val="24"/>
          <w:highlight w:val="none"/>
        </w:rPr>
      </w:pPr>
      <w:r>
        <w:rPr>
          <w:rFonts w:hint="eastAsia" w:asciiTheme="minorEastAsia" w:hAnsiTheme="minorEastAsia" w:eastAsiaTheme="minorEastAsia"/>
          <w:kern w:val="0"/>
          <w:sz w:val="24"/>
          <w:szCs w:val="24"/>
          <w:highlight w:val="none"/>
        </w:rPr>
        <w:t>（10）《广州市房屋建筑工程勘察设计全过程电子化招标文件范本（适用于设计方案招标和评定分离）GZSJZB2020-1》（略）</w:t>
      </w:r>
    </w:p>
    <w:p w14:paraId="5DE774F2">
      <w:pPr>
        <w:pStyle w:val="209"/>
        <w:spacing w:line="360" w:lineRule="auto"/>
        <w:ind w:firstLine="480"/>
        <w:rPr>
          <w:rFonts w:asciiTheme="minorEastAsia" w:hAnsiTheme="minorEastAsia" w:eastAsiaTheme="minorEastAsia"/>
          <w:sz w:val="24"/>
          <w:szCs w:val="24"/>
          <w:highlight w:val="none"/>
        </w:rPr>
      </w:pPr>
      <w:r>
        <w:rPr>
          <w:rFonts w:hint="eastAsia" w:asciiTheme="minorEastAsia" w:hAnsiTheme="minorEastAsia" w:eastAsiaTheme="minorEastAsia"/>
          <w:kern w:val="0"/>
          <w:sz w:val="24"/>
          <w:szCs w:val="24"/>
          <w:highlight w:val="none"/>
        </w:rPr>
        <w:t>（11）广东省代建局内部相关管理规定（略）</w:t>
      </w:r>
    </w:p>
    <w:sectPr>
      <w:footerReference r:id="rId14" w:type="default"/>
      <w:pgSz w:w="12240" w:h="15840"/>
      <w:pgMar w:top="1440" w:right="1440" w:bottom="1440" w:left="1440" w:header="113" w:footer="1020" w:gutter="0"/>
      <w:cols w:space="720" w:num="1"/>
      <w:rtlGutter w:val="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roman"/>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Consolas">
    <w:panose1 w:val="020B0609020204030204"/>
    <w:charset w:val="00"/>
    <w:family w:val="modern"/>
    <w:pitch w:val="default"/>
    <w:sig w:usb0="E00006FF" w:usb1="0000FCFF" w:usb2="00000001" w:usb3="00000000" w:csb0="6000019F" w:csb1="DFD70000"/>
  </w:font>
  <w:font w:name="华文仿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Lucida Fax">
    <w:panose1 w:val="02060602050505020204"/>
    <w:charset w:val="00"/>
    <w:family w:val="roman"/>
    <w:pitch w:val="default"/>
    <w:sig w:usb0="00000003" w:usb1="00000000" w:usb2="00000000" w:usb3="00000000" w:csb0="20000001" w:csb1="00000000"/>
  </w:font>
  <w:font w:name="长城仿宋">
    <w:altName w:val="黑体"/>
    <w:panose1 w:val="00000000000000000000"/>
    <w:charset w:val="86"/>
    <w:family w:val="modern"/>
    <w:pitch w:val="default"/>
    <w:sig w:usb0="00000000" w:usb1="00000000" w:usb2="00000010" w:usb3="00000000" w:csb0="00040000" w:csb1="00000000"/>
  </w:font>
  <w:font w:name="Calisto MT">
    <w:panose1 w:val="02040603050505030304"/>
    <w:charset w:val="00"/>
    <w:family w:val="roman"/>
    <w:pitch w:val="default"/>
    <w:sig w:usb0="00000003" w:usb1="00000000" w:usb2="00000000" w:usb3="00000000" w:csb0="20000001" w:csb1="00000000"/>
  </w:font>
  <w:font w:name="Times New Roman Bold">
    <w:altName w:val="Times New Roman"/>
    <w:panose1 w:val="02020803070505020304"/>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Arial Bold">
    <w:altName w:val="Arial"/>
    <w:panose1 w:val="020B0704020202020204"/>
    <w:charset w:val="00"/>
    <w:family w:val="auto"/>
    <w:pitch w:val="default"/>
    <w:sig w:usb0="00000000" w:usb1="00000000" w:usb2="00000000" w:usb3="00000000" w:csb0="00000001" w:csb1="00000000"/>
  </w:font>
  <w:font w:name="Helvetica">
    <w:altName w:val="Arial"/>
    <w:panose1 w:val="020B0504020202030204"/>
    <w:charset w:val="00"/>
    <w:family w:val="swiss"/>
    <w:pitch w:val="default"/>
    <w:sig w:usb0="00000000" w:usb1="00000000" w:usb2="00000000" w:usb3="00000000" w:csb0="00000093" w:csb1="00000000"/>
  </w:font>
  <w:font w:name="Adobe 宋体 Std L">
    <w:altName w:val="宋体"/>
    <w:panose1 w:val="00000000000000000000"/>
    <w:charset w:val="00"/>
    <w:family w:val="roman"/>
    <w:pitch w:val="default"/>
    <w:sig w:usb0="00000000" w:usb1="00000000" w:usb2="00000016" w:usb3="00000000" w:csb0="00060007" w:csb1="00000000"/>
  </w:font>
  <w:font w:name="新宋体">
    <w:panose1 w:val="02010609030101010101"/>
    <w:charset w:val="86"/>
    <w:family w:val="modern"/>
    <w:pitch w:val="default"/>
    <w:sig w:usb0="00000203" w:usb1="288F0000" w:usb2="00000006" w:usb3="00000000" w:csb0="00040001" w:csb1="00000000"/>
  </w:font>
  <w:font w:name="方正书宋简体">
    <w:altName w:val="宋体"/>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B0799">
    <w:pPr>
      <w:tabs>
        <w:tab w:val="center" w:pos="4153"/>
        <w:tab w:val="right" w:pos="8306"/>
      </w:tabs>
      <w:spacing w:before="120" w:after="120"/>
    </w:pPr>
    <w:r>
      <w:rPr>
        <w:sz w:val="21"/>
      </w:rPr>
      <w:pict>
        <v:shape id="_x0000_s4098" o:spid="_x0000_s4098"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6439AA58">
                <w:pPr>
                  <w:pStyle w:val="36"/>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1ADCF">
    <w:pPr>
      <w:pStyle w:val="36"/>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D24FC">
    <w:pPr>
      <w:pStyle w:val="36"/>
      <w:spacing w:before="120"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2BE24">
    <w:pPr>
      <w:tabs>
        <w:tab w:val="center" w:pos="4153"/>
        <w:tab w:val="right" w:pos="8306"/>
      </w:tabs>
      <w:spacing w:before="120" w:after="120"/>
      <w:ind w:firstLine="360"/>
    </w:pPr>
    <w:r>
      <w:rPr>
        <w:sz w:val="18"/>
      </w:rPr>
      <w:pict>
        <v:shape id="文本框 5" o:spid="_x0000_s409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0.5pt"/>
          <v:imagedata o:title=""/>
          <o:lock v:ext="edit" aspectratio="f"/>
          <v:textbox inset="0mm,0mm,0mm,0mm" style="mso-fit-shape-to-text:t;">
            <w:txbxContent>
              <w:p w14:paraId="0FEE1F01">
                <w:pPr>
                  <w:spacing w:before="120" w:after="120"/>
                </w:pPr>
              </w:p>
              <w:p w14:paraId="6BB1C787">
                <w:pPr>
                  <w:spacing w:before="120" w:after="120"/>
                </w:pPr>
                <w:r>
                  <w:fldChar w:fldCharType="begin"/>
                </w:r>
                <w:r>
                  <w:instrText xml:space="preserve"> PAGE  \* MERGEFORMAT </w:instrText>
                </w:r>
                <w:r>
                  <w:fldChar w:fldCharType="separate"/>
                </w:r>
                <w:r>
                  <w:t>5</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58793">
    <w:pPr>
      <w:tabs>
        <w:tab w:val="center" w:pos="4153"/>
        <w:tab w:val="right" w:pos="8306"/>
      </w:tabs>
      <w:spacing w:before="120" w:after="120"/>
      <w:ind w:firstLine="360"/>
    </w:pPr>
  </w:p>
  <w:p w14:paraId="143F2E68">
    <w:pPr>
      <w:tabs>
        <w:tab w:val="center" w:pos="4153"/>
        <w:tab w:val="right" w:pos="8306"/>
      </w:tabs>
      <w:spacing w:before="120" w:after="120"/>
      <w:ind w:firstLine="360"/>
    </w:pPr>
    <w:r>
      <w:rPr>
        <w:sz w:val="18"/>
      </w:rPr>
      <w:pict>
        <v:shape id="_x0000_s4100" o:spid="_x0000_s4100" o:spt="202" type="#_x0000_t202" style="position:absolute;left:0pt;margin-top:0pt;height:21pt;width:66.75pt;mso-position-horizontal:center;mso-position-horizontal-relative:margin;z-index:251659264;mso-width-relative:page;mso-height-relative:page;" filled="f" stroked="f" coordsize="21600,21600">
          <v:path/>
          <v:fill on="f" focussize="0,0"/>
          <v:stroke on="f" weight="0.5pt"/>
          <v:imagedata o:title=""/>
          <o:lock v:ext="edit" aspectratio="f"/>
          <v:textbox inset="0mm,0mm,0mm,0mm">
            <w:txbxContent>
              <w:p w14:paraId="3DF5CA96">
                <w:pPr>
                  <w:spacing w:before="120" w:after="120"/>
                </w:pPr>
                <w:r>
                  <w:fldChar w:fldCharType="begin"/>
                </w:r>
                <w:r>
                  <w:instrText xml:space="preserve"> PAGE  \* MERGEFORMAT </w:instrText>
                </w:r>
                <w:r>
                  <w:fldChar w:fldCharType="separate"/>
                </w:r>
                <w:r>
                  <w:t>5</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3EE06">
    <w:pPr>
      <w:pStyle w:val="36"/>
      <w:tabs>
        <w:tab w:val="center" w:pos="4393"/>
      </w:tabs>
      <w:ind w:firstLine="480"/>
      <w:jc w:val="center"/>
    </w:pPr>
    <w:r>
      <w:rPr>
        <w:sz w:val="18"/>
      </w:rPr>
      <w:pict>
        <v:shape id="_x0000_s4101" o:spid="_x0000_s4101"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02F6F139">
                <w:pPr>
                  <w:pStyle w:val="36"/>
                  <w:tabs>
                    <w:tab w:val="center" w:pos="4393"/>
                  </w:tabs>
                  <w:ind w:firstLine="480"/>
                  <w:jc w:val="center"/>
                </w:pPr>
                <w:r>
                  <w:fldChar w:fldCharType="begin"/>
                </w:r>
                <w:r>
                  <w:instrText xml:space="preserve">PAGE   \* MERGEFORMAT</w:instrText>
                </w:r>
                <w:r>
                  <w:fldChar w:fldCharType="separate"/>
                </w:r>
                <w:r>
                  <w:t>129</w:t>
                </w:r>
                <w:r>
                  <w:fldChar w:fldCharType="end"/>
                </w:r>
              </w:p>
            </w:txbxContent>
          </v:textbox>
        </v:shape>
      </w:pict>
    </w:r>
  </w:p>
  <w:p w14:paraId="455F5157">
    <w:pPr>
      <w:pStyle w:val="36"/>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E0CF7">
    <w:pPr>
      <w:tabs>
        <w:tab w:val="center" w:pos="4153"/>
      </w:tabs>
    </w:pPr>
    <w:r>
      <w:rPr>
        <w:sz w:val="18"/>
      </w:rPr>
      <w:pict>
        <v:shape id="文本框 1" o:spid="_x0000_s4102"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14:paraId="2F614234">
                <w:r>
                  <w:fldChar w:fldCharType="begin"/>
                </w:r>
                <w:r>
                  <w:instrText xml:space="preserve"> PAGE  \* MERGEFORMAT </w:instrText>
                </w:r>
                <w:r>
                  <w:fldChar w:fldCharType="separate"/>
                </w:r>
                <w:r>
                  <w:t>5</w:t>
                </w:r>
                <w:r>
                  <w:fldChar w:fldCharType="end"/>
                </w:r>
              </w:p>
            </w:txbxContent>
          </v:textbox>
        </v:shape>
      </w:pict>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DB1D4">
    <w:pPr>
      <w:tabs>
        <w:tab w:val="center" w:pos="4153"/>
      </w:tabs>
    </w:pPr>
    <w:r>
      <w:rPr>
        <w:sz w:val="18"/>
      </w:rPr>
      <w:pict>
        <v:shape id="文本框 949289705" o:spid="_x0000_s410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weight="0.5pt"/>
          <v:imagedata o:title=""/>
          <o:lock v:ext="edit" aspectratio="f"/>
          <v:textbox inset="0mm,0mm,0mm,0mm" style="mso-fit-shape-to-text:t;">
            <w:txbxContent>
              <w:p w14:paraId="7FBB5960">
                <w:r>
                  <w:fldChar w:fldCharType="begin"/>
                </w:r>
                <w:r>
                  <w:instrText xml:space="preserve"> PAGE  \* MERGEFORMAT </w:instrText>
                </w:r>
                <w:r>
                  <w:fldChar w:fldCharType="separate"/>
                </w:r>
                <w:r>
                  <w:t>5</w:t>
                </w:r>
                <w:r>
                  <w:fldChar w:fldCharType="end"/>
                </w:r>
              </w:p>
            </w:txbxContent>
          </v:textbox>
        </v:shape>
      </w:pict>
    </w: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9B9B9">
    <w:pPr>
      <w:pStyle w:val="36"/>
      <w:jc w:val="center"/>
    </w:pPr>
    <w:r>
      <w:rPr>
        <w:lang w:val="en-US"/>
      </w:rPr>
      <w:pict>
        <v:shape id="文本框 102" o:spid="_x0000_s4097" o:spt="202" type="#_x0000_t202" style="position:absolute;left:0pt;margin-top:0pt;height:10.35pt;width:13.55pt;mso-position-horizontal:center;mso-position-horizontal-relative:margin;mso-wrap-style:none;z-index:251659264;mso-width-relative:page;mso-height-relative:page;" filled="f" stroked="f" coordsize="21600,21600" o:gfxdata="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SV0OXP&#10;AAAAAwEAAA8AAAAAAAAAAQAgAAAAIgAAAGRycy9kb3ducmV2LnhtbFBLAQIUABQAAAAIAIdO4kCf&#10;+EVD8AEAALYDAAAOAAAAAAAAAAEAIAAAAB4BAABkcnMvZTJvRG9jLnhtbFBLBQYAAAAABgAGAFkB&#10;AACABQAAAAA=&#10;">
          <v:path/>
          <v:fill on="f" focussize="0,0"/>
          <v:stroke on="f" joinstyle="miter"/>
          <v:imagedata o:title=""/>
          <o:lock v:ext="edit"/>
          <v:textbox inset="0mm,0mm,0mm,0mm" style="mso-fit-shape-to-text:t;">
            <w:txbxContent>
              <w:p w14:paraId="2251D762">
                <w:pPr>
                  <w:pStyle w:val="36"/>
                </w:pPr>
                <w:r>
                  <w:fldChar w:fldCharType="begin"/>
                </w:r>
                <w:r>
                  <w:instrText xml:space="preserve"> PAGE  \* MERGEFORMAT </w:instrText>
                </w:r>
                <w:r>
                  <w:fldChar w:fldCharType="separate"/>
                </w:r>
                <w:r>
                  <w:t>129</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AD21A">
    <w:pPr>
      <w:pStyle w:val="37"/>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14443">
    <w:pPr>
      <w:pStyle w:val="37"/>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D29F7">
    <w:pPr>
      <w:pStyle w:val="37"/>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F86639"/>
    <w:multiLevelType w:val="singleLevel"/>
    <w:tmpl w:val="9DF86639"/>
    <w:lvl w:ilvl="0" w:tentative="0">
      <w:start w:val="2"/>
      <w:numFmt w:val="decimal"/>
      <w:suff w:val="space"/>
      <w:lvlText w:val="%1."/>
      <w:lvlJc w:val="left"/>
    </w:lvl>
  </w:abstractNum>
  <w:abstractNum w:abstractNumId="1">
    <w:nsid w:val="011B290E"/>
    <w:multiLevelType w:val="multilevel"/>
    <w:tmpl w:val="011B290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2">
    <w:nsid w:val="0DB82A52"/>
    <w:multiLevelType w:val="multilevel"/>
    <w:tmpl w:val="0DB82A52"/>
    <w:lvl w:ilvl="0" w:tentative="0">
      <w:start w:val="1"/>
      <w:numFmt w:val="decimal"/>
      <w:isLgl/>
      <w:lvlText w:val="%1."/>
      <w:lvlJc w:val="left"/>
      <w:pPr>
        <w:tabs>
          <w:tab w:val="left" w:pos="0"/>
        </w:tabs>
        <w:ind w:left="0" w:firstLine="0"/>
      </w:pPr>
      <w:rPr>
        <w:rFonts w:hint="default" w:ascii="宋体" w:hAnsi="宋体" w:eastAsia="宋体" w:cs="宋体"/>
      </w:rPr>
    </w:lvl>
    <w:lvl w:ilvl="1" w:tentative="0">
      <w:start w:val="1"/>
      <w:numFmt w:val="decimal"/>
      <w:isLgl/>
      <w:lvlText w:val="%1.%2."/>
      <w:lvlJc w:val="left"/>
      <w:pPr>
        <w:tabs>
          <w:tab w:val="left" w:pos="0"/>
        </w:tabs>
        <w:ind w:left="0" w:firstLine="0"/>
      </w:pPr>
      <w:rPr>
        <w:rFonts w:hint="default" w:ascii="宋体" w:hAnsi="宋体" w:eastAsia="宋体" w:cs="宋体"/>
      </w:rPr>
    </w:lvl>
    <w:lvl w:ilvl="2" w:tentative="0">
      <w:start w:val="1"/>
      <w:numFmt w:val="decimal"/>
      <w:pStyle w:val="586"/>
      <w:isLgl/>
      <w:lvlText w:val="%1.0.%3."/>
      <w:lvlJc w:val="left"/>
      <w:pPr>
        <w:tabs>
          <w:tab w:val="left" w:pos="0"/>
        </w:tabs>
        <w:ind w:left="0" w:firstLine="0"/>
      </w:pPr>
      <w:rPr>
        <w:rFonts w:hint="default" w:ascii="宋体" w:hAnsi="宋体" w:eastAsia="宋体" w:cs="宋体"/>
        <w:b/>
        <w:bCs/>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12868A37"/>
    <w:multiLevelType w:val="multilevel"/>
    <w:tmpl w:val="12868A37"/>
    <w:lvl w:ilvl="0" w:tentative="0">
      <w:start w:val="1"/>
      <w:numFmt w:val="decimal"/>
      <w:isLgl/>
      <w:lvlText w:val="%1."/>
      <w:lvlJc w:val="left"/>
      <w:pPr>
        <w:tabs>
          <w:tab w:val="left" w:pos="0"/>
        </w:tabs>
        <w:ind w:left="0" w:firstLine="0"/>
      </w:pPr>
      <w:rPr>
        <w:rFonts w:hint="default" w:ascii="宋体" w:hAnsi="宋体" w:eastAsia="宋体" w:cs="宋体"/>
      </w:rPr>
    </w:lvl>
    <w:lvl w:ilvl="1" w:tentative="0">
      <w:start w:val="1"/>
      <w:numFmt w:val="decimal"/>
      <w:isLgl/>
      <w:lvlText w:val="%1.%2."/>
      <w:lvlJc w:val="left"/>
      <w:pPr>
        <w:tabs>
          <w:tab w:val="left" w:pos="0"/>
        </w:tabs>
        <w:ind w:left="0" w:firstLine="0"/>
      </w:pPr>
      <w:rPr>
        <w:rFonts w:hint="default" w:ascii="宋体" w:hAnsi="宋体" w:eastAsia="宋体" w:cs="宋体"/>
      </w:rPr>
    </w:lvl>
    <w:lvl w:ilvl="2" w:tentative="0">
      <w:start w:val="1"/>
      <w:numFmt w:val="decimal"/>
      <w:pStyle w:val="587"/>
      <w:isLgl/>
      <w:lvlText w:val="%1.%2.%3."/>
      <w:lvlJc w:val="left"/>
      <w:pPr>
        <w:tabs>
          <w:tab w:val="left" w:pos="0"/>
        </w:tabs>
        <w:ind w:left="0" w:firstLine="0"/>
      </w:pPr>
      <w:rPr>
        <w:rFonts w:hint="default" w:ascii="宋体" w:hAnsi="宋体" w:eastAsia="宋体" w:cs="宋体"/>
        <w:b/>
        <w:bCs/>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2D3B5F1D"/>
    <w:multiLevelType w:val="multilevel"/>
    <w:tmpl w:val="2D3B5F1D"/>
    <w:lvl w:ilvl="0" w:tentative="0">
      <w:start w:val="1"/>
      <w:numFmt w:val="decimal"/>
      <w:lvlText w:val="%1、"/>
      <w:lvlJc w:val="left"/>
      <w:pPr>
        <w:tabs>
          <w:tab w:val="left" w:pos="840"/>
        </w:tabs>
        <w:ind w:left="840" w:hanging="600"/>
      </w:pPr>
      <w:rPr>
        <w:rFonts w:hint="default"/>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5">
    <w:nsid w:val="36301677"/>
    <w:multiLevelType w:val="multilevel"/>
    <w:tmpl w:val="36301677"/>
    <w:lvl w:ilvl="0" w:tentative="0">
      <w:start w:val="1"/>
      <w:numFmt w:val="decimal"/>
      <w:lvlText w:val="%1、"/>
      <w:lvlJc w:val="left"/>
      <w:pPr>
        <w:ind w:left="926" w:hanging="360"/>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pStyle w:val="8"/>
      <w:lvlText w:val="%7."/>
      <w:lvlJc w:val="left"/>
      <w:pPr>
        <w:ind w:left="3506" w:hanging="420"/>
      </w:pPr>
    </w:lvl>
    <w:lvl w:ilvl="7" w:tentative="0">
      <w:start w:val="1"/>
      <w:numFmt w:val="lowerLetter"/>
      <w:pStyle w:val="9"/>
      <w:lvlText w:val="%8)"/>
      <w:lvlJc w:val="left"/>
      <w:pPr>
        <w:ind w:left="3926" w:hanging="420"/>
      </w:pPr>
    </w:lvl>
    <w:lvl w:ilvl="8" w:tentative="0">
      <w:start w:val="1"/>
      <w:numFmt w:val="lowerRoman"/>
      <w:pStyle w:val="10"/>
      <w:lvlText w:val="%9."/>
      <w:lvlJc w:val="right"/>
      <w:pPr>
        <w:ind w:left="4346" w:hanging="420"/>
      </w:pPr>
    </w:lvl>
  </w:abstractNum>
  <w:abstractNum w:abstractNumId="6">
    <w:nsid w:val="39B63B1A"/>
    <w:multiLevelType w:val="multilevel"/>
    <w:tmpl w:val="39B63B1A"/>
    <w:lvl w:ilvl="0" w:tentative="0">
      <w:start w:val="1"/>
      <w:numFmt w:val="decimal"/>
      <w:lvlText w:val="%1、"/>
      <w:lvlJc w:val="left"/>
      <w:pPr>
        <w:tabs>
          <w:tab w:val="left" w:pos="644"/>
        </w:tabs>
        <w:ind w:left="644" w:hanging="360"/>
      </w:pPr>
      <w:rPr>
        <w:rFonts w:hint="default"/>
      </w:rPr>
    </w:lvl>
    <w:lvl w:ilvl="1" w:tentative="0">
      <w:start w:val="1"/>
      <w:numFmt w:val="decimal"/>
      <w:lvlText w:val="%2．"/>
      <w:lvlJc w:val="left"/>
      <w:pPr>
        <w:tabs>
          <w:tab w:val="left" w:pos="1020"/>
        </w:tabs>
        <w:ind w:left="1020" w:hanging="360"/>
      </w:pPr>
      <w:rPr>
        <w:rFonts w:hint="default"/>
      </w:r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7">
    <w:nsid w:val="6CEA2025"/>
    <w:multiLevelType w:val="multilevel"/>
    <w:tmpl w:val="6CEA2025"/>
    <w:lvl w:ilvl="0" w:tentative="0">
      <w:start w:val="1"/>
      <w:numFmt w:val="none"/>
      <w:pStyle w:val="497"/>
      <w:suff w:val="nothing"/>
      <w:lvlText w:val="%1"/>
      <w:lvlJc w:val="left"/>
      <w:rPr>
        <w:rFonts w:hint="default" w:ascii="Times New Roman" w:hAnsi="Times New Roman" w:cs="Times New Roman"/>
        <w:b/>
        <w:i w:val="0"/>
        <w:sz w:val="21"/>
      </w:rPr>
    </w:lvl>
    <w:lvl w:ilvl="1" w:tentative="0">
      <w:start w:val="1"/>
      <w:numFmt w:val="decimal"/>
      <w:suff w:val="nothing"/>
      <w:lvlText w:val="%1%2　"/>
      <w:lvlJc w:val="left"/>
      <w:rPr>
        <w:rFonts w:hint="eastAsia" w:ascii="黑体" w:hAnsi="Times New Roman" w:eastAsia="黑体" w:cs="Times New Roman"/>
        <w:b w:val="0"/>
        <w:i w:val="0"/>
        <w:sz w:val="21"/>
      </w:rPr>
    </w:lvl>
    <w:lvl w:ilvl="2" w:tentative="0">
      <w:start w:val="1"/>
      <w:numFmt w:val="decimal"/>
      <w:suff w:val="nothing"/>
      <w:lvlText w:val="%1%2.%3　"/>
      <w:lvlJc w:val="left"/>
      <w:rPr>
        <w:rFonts w:hint="eastAsia" w:ascii="黑体" w:hAnsi="Times New Roman" w:eastAsia="黑体" w:cs="Times New Roman"/>
        <w:b w:val="0"/>
        <w:i w:val="0"/>
        <w:sz w:val="21"/>
      </w:rPr>
    </w:lvl>
    <w:lvl w:ilvl="3" w:tentative="0">
      <w:start w:val="1"/>
      <w:numFmt w:val="decimal"/>
      <w:suff w:val="nothing"/>
      <w:lvlText w:val="%1%2.%3.%4　"/>
      <w:lvlJc w:val="left"/>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8">
    <w:nsid w:val="6F65467A"/>
    <w:multiLevelType w:val="multilevel"/>
    <w:tmpl w:val="6F65467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7"/>
  </w:num>
  <w:num w:numId="3">
    <w:abstractNumId w:val="2"/>
  </w:num>
  <w:num w:numId="4">
    <w:abstractNumId w:val="3"/>
  </w:num>
  <w:num w:numId="5">
    <w:abstractNumId w:val="6"/>
  </w:num>
  <w:num w:numId="6">
    <w:abstractNumId w:val="4"/>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bordersDoNotSurroundHeader w:val="0"/>
  <w:bordersDoNotSurroundFooter w:val="0"/>
  <w:hideSpellingErrors/>
  <w:trackRevisions w:val="1"/>
  <w:documentProtection w:enforcement="0"/>
  <w:defaultTabStop w:val="420"/>
  <w:drawingGridHorizontalSpacing w:val="105"/>
  <w:drawingGridVerticalSpacing w:val="381"/>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09B643B"/>
    <w:rsid w:val="00005654"/>
    <w:rsid w:val="000204D4"/>
    <w:rsid w:val="00020F71"/>
    <w:rsid w:val="00022677"/>
    <w:rsid w:val="0002367D"/>
    <w:rsid w:val="00023E26"/>
    <w:rsid w:val="000311F7"/>
    <w:rsid w:val="000312C8"/>
    <w:rsid w:val="0003274E"/>
    <w:rsid w:val="00032D9A"/>
    <w:rsid w:val="00033020"/>
    <w:rsid w:val="00034B38"/>
    <w:rsid w:val="00034D8A"/>
    <w:rsid w:val="00044534"/>
    <w:rsid w:val="0004505C"/>
    <w:rsid w:val="000454F8"/>
    <w:rsid w:val="000563C5"/>
    <w:rsid w:val="00067449"/>
    <w:rsid w:val="00072188"/>
    <w:rsid w:val="00073D1F"/>
    <w:rsid w:val="00076796"/>
    <w:rsid w:val="00085454"/>
    <w:rsid w:val="00091D6B"/>
    <w:rsid w:val="000A1701"/>
    <w:rsid w:val="000A5DE8"/>
    <w:rsid w:val="000B5074"/>
    <w:rsid w:val="000B6578"/>
    <w:rsid w:val="000B6E16"/>
    <w:rsid w:val="000C20CF"/>
    <w:rsid w:val="000C2827"/>
    <w:rsid w:val="000D1B85"/>
    <w:rsid w:val="000D70FA"/>
    <w:rsid w:val="000E3793"/>
    <w:rsid w:val="000E4911"/>
    <w:rsid w:val="000E6752"/>
    <w:rsid w:val="0010001F"/>
    <w:rsid w:val="0010192D"/>
    <w:rsid w:val="00101E10"/>
    <w:rsid w:val="00103C5F"/>
    <w:rsid w:val="001057A7"/>
    <w:rsid w:val="001057E5"/>
    <w:rsid w:val="00120DFB"/>
    <w:rsid w:val="00121C64"/>
    <w:rsid w:val="00121CEF"/>
    <w:rsid w:val="00123217"/>
    <w:rsid w:val="00124692"/>
    <w:rsid w:val="00124F52"/>
    <w:rsid w:val="00125064"/>
    <w:rsid w:val="00125EF4"/>
    <w:rsid w:val="001359A6"/>
    <w:rsid w:val="00136491"/>
    <w:rsid w:val="00136ACB"/>
    <w:rsid w:val="00143686"/>
    <w:rsid w:val="00145161"/>
    <w:rsid w:val="00146D8C"/>
    <w:rsid w:val="00153C4B"/>
    <w:rsid w:val="00154782"/>
    <w:rsid w:val="001571C9"/>
    <w:rsid w:val="001612D2"/>
    <w:rsid w:val="00162C9F"/>
    <w:rsid w:val="00165D9A"/>
    <w:rsid w:val="001743ED"/>
    <w:rsid w:val="0017732E"/>
    <w:rsid w:val="00177BD2"/>
    <w:rsid w:val="00182396"/>
    <w:rsid w:val="00184084"/>
    <w:rsid w:val="001921CC"/>
    <w:rsid w:val="001A5133"/>
    <w:rsid w:val="001A647A"/>
    <w:rsid w:val="001B084F"/>
    <w:rsid w:val="001B141E"/>
    <w:rsid w:val="001B1518"/>
    <w:rsid w:val="001B1555"/>
    <w:rsid w:val="001B25F4"/>
    <w:rsid w:val="001B3DB2"/>
    <w:rsid w:val="001C4206"/>
    <w:rsid w:val="001C6298"/>
    <w:rsid w:val="001D22B4"/>
    <w:rsid w:val="001D3607"/>
    <w:rsid w:val="001E31B0"/>
    <w:rsid w:val="001E7A44"/>
    <w:rsid w:val="001E7E6C"/>
    <w:rsid w:val="001F0167"/>
    <w:rsid w:val="001F0EEC"/>
    <w:rsid w:val="001F49D6"/>
    <w:rsid w:val="001F7CE8"/>
    <w:rsid w:val="0020143E"/>
    <w:rsid w:val="00204CB7"/>
    <w:rsid w:val="00212C75"/>
    <w:rsid w:val="002130B4"/>
    <w:rsid w:val="00217F55"/>
    <w:rsid w:val="0022015D"/>
    <w:rsid w:val="002260BF"/>
    <w:rsid w:val="0023616B"/>
    <w:rsid w:val="0024055A"/>
    <w:rsid w:val="0024170C"/>
    <w:rsid w:val="00243F12"/>
    <w:rsid w:val="0024779C"/>
    <w:rsid w:val="002608F5"/>
    <w:rsid w:val="00262811"/>
    <w:rsid w:val="00262E3F"/>
    <w:rsid w:val="00263768"/>
    <w:rsid w:val="002658C0"/>
    <w:rsid w:val="00270B5E"/>
    <w:rsid w:val="00274BFB"/>
    <w:rsid w:val="002917E8"/>
    <w:rsid w:val="002958BD"/>
    <w:rsid w:val="002A053A"/>
    <w:rsid w:val="002A6644"/>
    <w:rsid w:val="002B244E"/>
    <w:rsid w:val="002B7018"/>
    <w:rsid w:val="002B7E40"/>
    <w:rsid w:val="002C3584"/>
    <w:rsid w:val="002C5530"/>
    <w:rsid w:val="002C65B1"/>
    <w:rsid w:val="002D39F1"/>
    <w:rsid w:val="002E037A"/>
    <w:rsid w:val="002E1214"/>
    <w:rsid w:val="002E260F"/>
    <w:rsid w:val="002F0B64"/>
    <w:rsid w:val="00300824"/>
    <w:rsid w:val="00301E5D"/>
    <w:rsid w:val="0032144D"/>
    <w:rsid w:val="003254F4"/>
    <w:rsid w:val="00326C67"/>
    <w:rsid w:val="0033179A"/>
    <w:rsid w:val="003343D8"/>
    <w:rsid w:val="00346EFB"/>
    <w:rsid w:val="003505FA"/>
    <w:rsid w:val="00353CE0"/>
    <w:rsid w:val="00354C88"/>
    <w:rsid w:val="00355D76"/>
    <w:rsid w:val="00355ED6"/>
    <w:rsid w:val="003701AE"/>
    <w:rsid w:val="00370FED"/>
    <w:rsid w:val="0037646F"/>
    <w:rsid w:val="00381A77"/>
    <w:rsid w:val="00381C77"/>
    <w:rsid w:val="00382EAF"/>
    <w:rsid w:val="003848CC"/>
    <w:rsid w:val="0038541F"/>
    <w:rsid w:val="00386050"/>
    <w:rsid w:val="00386354"/>
    <w:rsid w:val="00391F07"/>
    <w:rsid w:val="0039361E"/>
    <w:rsid w:val="0039743F"/>
    <w:rsid w:val="003A4E51"/>
    <w:rsid w:val="003B0245"/>
    <w:rsid w:val="003B5095"/>
    <w:rsid w:val="003C1B19"/>
    <w:rsid w:val="003C2A81"/>
    <w:rsid w:val="003C30BC"/>
    <w:rsid w:val="003C74C4"/>
    <w:rsid w:val="003C7F9D"/>
    <w:rsid w:val="003D53AB"/>
    <w:rsid w:val="003D6C7C"/>
    <w:rsid w:val="003E00E2"/>
    <w:rsid w:val="003E1143"/>
    <w:rsid w:val="003E2AB6"/>
    <w:rsid w:val="003F6291"/>
    <w:rsid w:val="003F7782"/>
    <w:rsid w:val="003F7EF7"/>
    <w:rsid w:val="00405F97"/>
    <w:rsid w:val="004061FD"/>
    <w:rsid w:val="00411F6D"/>
    <w:rsid w:val="00413421"/>
    <w:rsid w:val="0041613C"/>
    <w:rsid w:val="00427920"/>
    <w:rsid w:val="00430AA5"/>
    <w:rsid w:val="00431754"/>
    <w:rsid w:val="00433977"/>
    <w:rsid w:val="004354CD"/>
    <w:rsid w:val="0044162F"/>
    <w:rsid w:val="00441AD5"/>
    <w:rsid w:val="0044271F"/>
    <w:rsid w:val="00443468"/>
    <w:rsid w:val="00444AA5"/>
    <w:rsid w:val="00447ACD"/>
    <w:rsid w:val="004513D7"/>
    <w:rsid w:val="00457C06"/>
    <w:rsid w:val="00461159"/>
    <w:rsid w:val="004644B5"/>
    <w:rsid w:val="0046687B"/>
    <w:rsid w:val="00466B7E"/>
    <w:rsid w:val="004676BE"/>
    <w:rsid w:val="004811ED"/>
    <w:rsid w:val="00483A0D"/>
    <w:rsid w:val="004A0961"/>
    <w:rsid w:val="004A2AC5"/>
    <w:rsid w:val="004A548A"/>
    <w:rsid w:val="004B183E"/>
    <w:rsid w:val="004B1DEE"/>
    <w:rsid w:val="004B1F19"/>
    <w:rsid w:val="004C01F3"/>
    <w:rsid w:val="004C2160"/>
    <w:rsid w:val="004C38C0"/>
    <w:rsid w:val="004C3BB7"/>
    <w:rsid w:val="004D25CC"/>
    <w:rsid w:val="004D6A29"/>
    <w:rsid w:val="004E03B1"/>
    <w:rsid w:val="004E0FEB"/>
    <w:rsid w:val="004E3B64"/>
    <w:rsid w:val="004E491D"/>
    <w:rsid w:val="004E6049"/>
    <w:rsid w:val="004F094E"/>
    <w:rsid w:val="004F41FA"/>
    <w:rsid w:val="004F5B1C"/>
    <w:rsid w:val="005018D6"/>
    <w:rsid w:val="00502256"/>
    <w:rsid w:val="00503A2A"/>
    <w:rsid w:val="00505C63"/>
    <w:rsid w:val="00506BBB"/>
    <w:rsid w:val="00507CD1"/>
    <w:rsid w:val="0051037E"/>
    <w:rsid w:val="00512348"/>
    <w:rsid w:val="00514591"/>
    <w:rsid w:val="005164DF"/>
    <w:rsid w:val="005209AB"/>
    <w:rsid w:val="00523E40"/>
    <w:rsid w:val="00524230"/>
    <w:rsid w:val="005267D2"/>
    <w:rsid w:val="005318FA"/>
    <w:rsid w:val="005333E0"/>
    <w:rsid w:val="00534A5B"/>
    <w:rsid w:val="00543CE0"/>
    <w:rsid w:val="0055009C"/>
    <w:rsid w:val="00554F09"/>
    <w:rsid w:val="00556C15"/>
    <w:rsid w:val="00557228"/>
    <w:rsid w:val="00557498"/>
    <w:rsid w:val="0056363C"/>
    <w:rsid w:val="00564927"/>
    <w:rsid w:val="00565885"/>
    <w:rsid w:val="00571106"/>
    <w:rsid w:val="00572826"/>
    <w:rsid w:val="00574EB9"/>
    <w:rsid w:val="0058245C"/>
    <w:rsid w:val="00587CB4"/>
    <w:rsid w:val="00594C98"/>
    <w:rsid w:val="00596631"/>
    <w:rsid w:val="00596E03"/>
    <w:rsid w:val="00597123"/>
    <w:rsid w:val="00597AA4"/>
    <w:rsid w:val="005A5D0C"/>
    <w:rsid w:val="005A7072"/>
    <w:rsid w:val="005A718F"/>
    <w:rsid w:val="005B4F7A"/>
    <w:rsid w:val="005C2C54"/>
    <w:rsid w:val="005C4F63"/>
    <w:rsid w:val="005D5AFC"/>
    <w:rsid w:val="005F1E1B"/>
    <w:rsid w:val="005F4585"/>
    <w:rsid w:val="005F65E8"/>
    <w:rsid w:val="005F6C85"/>
    <w:rsid w:val="00611B92"/>
    <w:rsid w:val="006218CC"/>
    <w:rsid w:val="00622365"/>
    <w:rsid w:val="0062268C"/>
    <w:rsid w:val="006234A2"/>
    <w:rsid w:val="0062680B"/>
    <w:rsid w:val="006306B5"/>
    <w:rsid w:val="00631A7E"/>
    <w:rsid w:val="0065694C"/>
    <w:rsid w:val="00661EB0"/>
    <w:rsid w:val="00663434"/>
    <w:rsid w:val="00664DE8"/>
    <w:rsid w:val="00670D64"/>
    <w:rsid w:val="0067557E"/>
    <w:rsid w:val="00684CC5"/>
    <w:rsid w:val="006872AC"/>
    <w:rsid w:val="00690F24"/>
    <w:rsid w:val="006A0664"/>
    <w:rsid w:val="006A696A"/>
    <w:rsid w:val="006A7C3D"/>
    <w:rsid w:val="006A7F28"/>
    <w:rsid w:val="006B0EAB"/>
    <w:rsid w:val="006B21A9"/>
    <w:rsid w:val="006B34B0"/>
    <w:rsid w:val="006B5214"/>
    <w:rsid w:val="006B5FE6"/>
    <w:rsid w:val="006B6994"/>
    <w:rsid w:val="006C04B9"/>
    <w:rsid w:val="006C6282"/>
    <w:rsid w:val="006D7BC8"/>
    <w:rsid w:val="006E36EA"/>
    <w:rsid w:val="006E41EB"/>
    <w:rsid w:val="006F1764"/>
    <w:rsid w:val="006F5552"/>
    <w:rsid w:val="007004D3"/>
    <w:rsid w:val="0070296B"/>
    <w:rsid w:val="007070D6"/>
    <w:rsid w:val="00712B6C"/>
    <w:rsid w:val="00715D56"/>
    <w:rsid w:val="00716D96"/>
    <w:rsid w:val="00717EFA"/>
    <w:rsid w:val="00732038"/>
    <w:rsid w:val="00732F97"/>
    <w:rsid w:val="0075335A"/>
    <w:rsid w:val="007542AC"/>
    <w:rsid w:val="00764850"/>
    <w:rsid w:val="007701D4"/>
    <w:rsid w:val="007732F9"/>
    <w:rsid w:val="00791A62"/>
    <w:rsid w:val="00794FE2"/>
    <w:rsid w:val="00795343"/>
    <w:rsid w:val="007959E1"/>
    <w:rsid w:val="007A16D6"/>
    <w:rsid w:val="007A1853"/>
    <w:rsid w:val="007A2660"/>
    <w:rsid w:val="007A52B0"/>
    <w:rsid w:val="007B1A3C"/>
    <w:rsid w:val="007B4E91"/>
    <w:rsid w:val="007B5F5C"/>
    <w:rsid w:val="007C046C"/>
    <w:rsid w:val="007C0900"/>
    <w:rsid w:val="007C6FA1"/>
    <w:rsid w:val="007D4BEF"/>
    <w:rsid w:val="007D51D7"/>
    <w:rsid w:val="007D530F"/>
    <w:rsid w:val="007F0D42"/>
    <w:rsid w:val="00807F79"/>
    <w:rsid w:val="008102BD"/>
    <w:rsid w:val="00811C3B"/>
    <w:rsid w:val="008238A7"/>
    <w:rsid w:val="0082669C"/>
    <w:rsid w:val="00827CF0"/>
    <w:rsid w:val="008309E2"/>
    <w:rsid w:val="0083286E"/>
    <w:rsid w:val="00833002"/>
    <w:rsid w:val="00846500"/>
    <w:rsid w:val="00851771"/>
    <w:rsid w:val="00855272"/>
    <w:rsid w:val="00856A29"/>
    <w:rsid w:val="00860467"/>
    <w:rsid w:val="008609E6"/>
    <w:rsid w:val="00862704"/>
    <w:rsid w:val="00862DBD"/>
    <w:rsid w:val="00864A11"/>
    <w:rsid w:val="00865168"/>
    <w:rsid w:val="0086662C"/>
    <w:rsid w:val="00867859"/>
    <w:rsid w:val="00870241"/>
    <w:rsid w:val="008823D5"/>
    <w:rsid w:val="008855B4"/>
    <w:rsid w:val="00896038"/>
    <w:rsid w:val="008A1100"/>
    <w:rsid w:val="008A18DE"/>
    <w:rsid w:val="008A769D"/>
    <w:rsid w:val="008C54FC"/>
    <w:rsid w:val="008C7135"/>
    <w:rsid w:val="008D4706"/>
    <w:rsid w:val="008D512D"/>
    <w:rsid w:val="008D680C"/>
    <w:rsid w:val="008E2E66"/>
    <w:rsid w:val="008E67F2"/>
    <w:rsid w:val="008F17F0"/>
    <w:rsid w:val="008F3120"/>
    <w:rsid w:val="009065E6"/>
    <w:rsid w:val="00912DEE"/>
    <w:rsid w:val="0091571B"/>
    <w:rsid w:val="0092031F"/>
    <w:rsid w:val="00921628"/>
    <w:rsid w:val="00921CFD"/>
    <w:rsid w:val="00921F14"/>
    <w:rsid w:val="00922936"/>
    <w:rsid w:val="00926BEA"/>
    <w:rsid w:val="009335F6"/>
    <w:rsid w:val="00936630"/>
    <w:rsid w:val="00936D56"/>
    <w:rsid w:val="009461D5"/>
    <w:rsid w:val="00956326"/>
    <w:rsid w:val="009564F0"/>
    <w:rsid w:val="00956675"/>
    <w:rsid w:val="0096206D"/>
    <w:rsid w:val="00963DC0"/>
    <w:rsid w:val="00970FE7"/>
    <w:rsid w:val="00972FB1"/>
    <w:rsid w:val="009733FC"/>
    <w:rsid w:val="00982E11"/>
    <w:rsid w:val="00985C2D"/>
    <w:rsid w:val="009912B8"/>
    <w:rsid w:val="00991406"/>
    <w:rsid w:val="009A17EB"/>
    <w:rsid w:val="009A2652"/>
    <w:rsid w:val="009A2906"/>
    <w:rsid w:val="009A50A2"/>
    <w:rsid w:val="009A6661"/>
    <w:rsid w:val="009A6FB5"/>
    <w:rsid w:val="009A7B16"/>
    <w:rsid w:val="009B0FF8"/>
    <w:rsid w:val="009B5106"/>
    <w:rsid w:val="009B643B"/>
    <w:rsid w:val="009C4C77"/>
    <w:rsid w:val="009D0E25"/>
    <w:rsid w:val="009D2AF3"/>
    <w:rsid w:val="009E42CD"/>
    <w:rsid w:val="009F2C4C"/>
    <w:rsid w:val="009F60ED"/>
    <w:rsid w:val="00A0155D"/>
    <w:rsid w:val="00A064A3"/>
    <w:rsid w:val="00A11152"/>
    <w:rsid w:val="00A130F4"/>
    <w:rsid w:val="00A150F8"/>
    <w:rsid w:val="00A21D4A"/>
    <w:rsid w:val="00A22A5A"/>
    <w:rsid w:val="00A23AA2"/>
    <w:rsid w:val="00A24818"/>
    <w:rsid w:val="00A2629F"/>
    <w:rsid w:val="00A26B3D"/>
    <w:rsid w:val="00A2763A"/>
    <w:rsid w:val="00A336B6"/>
    <w:rsid w:val="00A339CA"/>
    <w:rsid w:val="00A35EE7"/>
    <w:rsid w:val="00A36AB0"/>
    <w:rsid w:val="00A41916"/>
    <w:rsid w:val="00A519F3"/>
    <w:rsid w:val="00A54997"/>
    <w:rsid w:val="00A54D89"/>
    <w:rsid w:val="00A6078F"/>
    <w:rsid w:val="00A61B86"/>
    <w:rsid w:val="00A70724"/>
    <w:rsid w:val="00A7172C"/>
    <w:rsid w:val="00A80598"/>
    <w:rsid w:val="00A83891"/>
    <w:rsid w:val="00A843FE"/>
    <w:rsid w:val="00A856EE"/>
    <w:rsid w:val="00A92DC5"/>
    <w:rsid w:val="00A95A69"/>
    <w:rsid w:val="00AA4260"/>
    <w:rsid w:val="00AA5673"/>
    <w:rsid w:val="00AB2683"/>
    <w:rsid w:val="00AC18A1"/>
    <w:rsid w:val="00AC2610"/>
    <w:rsid w:val="00AD4569"/>
    <w:rsid w:val="00AD5C6E"/>
    <w:rsid w:val="00AE06B8"/>
    <w:rsid w:val="00AE33F5"/>
    <w:rsid w:val="00AF73FF"/>
    <w:rsid w:val="00AF76D7"/>
    <w:rsid w:val="00B00920"/>
    <w:rsid w:val="00B053C2"/>
    <w:rsid w:val="00B0546F"/>
    <w:rsid w:val="00B06E2D"/>
    <w:rsid w:val="00B1001B"/>
    <w:rsid w:val="00B21EBC"/>
    <w:rsid w:val="00B22C69"/>
    <w:rsid w:val="00B23627"/>
    <w:rsid w:val="00B25E00"/>
    <w:rsid w:val="00B2622C"/>
    <w:rsid w:val="00B271F8"/>
    <w:rsid w:val="00B323CE"/>
    <w:rsid w:val="00B40180"/>
    <w:rsid w:val="00B42985"/>
    <w:rsid w:val="00B469AA"/>
    <w:rsid w:val="00B5317A"/>
    <w:rsid w:val="00B535AD"/>
    <w:rsid w:val="00B56959"/>
    <w:rsid w:val="00B60F85"/>
    <w:rsid w:val="00B62049"/>
    <w:rsid w:val="00B648DB"/>
    <w:rsid w:val="00B64D20"/>
    <w:rsid w:val="00B72B33"/>
    <w:rsid w:val="00B72BC5"/>
    <w:rsid w:val="00B74590"/>
    <w:rsid w:val="00B753C5"/>
    <w:rsid w:val="00B906E0"/>
    <w:rsid w:val="00B92F4B"/>
    <w:rsid w:val="00B95FAA"/>
    <w:rsid w:val="00BA0B5D"/>
    <w:rsid w:val="00BA3F2C"/>
    <w:rsid w:val="00BC1138"/>
    <w:rsid w:val="00BC4761"/>
    <w:rsid w:val="00BC6533"/>
    <w:rsid w:val="00BC7BF0"/>
    <w:rsid w:val="00BD2BFF"/>
    <w:rsid w:val="00BD75BC"/>
    <w:rsid w:val="00BE614E"/>
    <w:rsid w:val="00BF5962"/>
    <w:rsid w:val="00BF6156"/>
    <w:rsid w:val="00BF6F42"/>
    <w:rsid w:val="00C01BB9"/>
    <w:rsid w:val="00C03918"/>
    <w:rsid w:val="00C12F51"/>
    <w:rsid w:val="00C13ABB"/>
    <w:rsid w:val="00C14D6A"/>
    <w:rsid w:val="00C17DE1"/>
    <w:rsid w:val="00C21DF0"/>
    <w:rsid w:val="00C235C1"/>
    <w:rsid w:val="00C24A53"/>
    <w:rsid w:val="00C25414"/>
    <w:rsid w:val="00C46A49"/>
    <w:rsid w:val="00C50475"/>
    <w:rsid w:val="00C51D20"/>
    <w:rsid w:val="00C52FEF"/>
    <w:rsid w:val="00C55818"/>
    <w:rsid w:val="00C61811"/>
    <w:rsid w:val="00C63E1D"/>
    <w:rsid w:val="00C67A03"/>
    <w:rsid w:val="00C703C6"/>
    <w:rsid w:val="00C70D42"/>
    <w:rsid w:val="00C75F42"/>
    <w:rsid w:val="00C77FE6"/>
    <w:rsid w:val="00C8156B"/>
    <w:rsid w:val="00C81CEE"/>
    <w:rsid w:val="00C86494"/>
    <w:rsid w:val="00C93518"/>
    <w:rsid w:val="00CA3220"/>
    <w:rsid w:val="00CA749D"/>
    <w:rsid w:val="00CA7649"/>
    <w:rsid w:val="00CB0251"/>
    <w:rsid w:val="00CB55A6"/>
    <w:rsid w:val="00CC48D3"/>
    <w:rsid w:val="00CC6BBD"/>
    <w:rsid w:val="00CC76DB"/>
    <w:rsid w:val="00CD03DD"/>
    <w:rsid w:val="00CD1FBE"/>
    <w:rsid w:val="00CD6675"/>
    <w:rsid w:val="00CE4BEB"/>
    <w:rsid w:val="00CF0359"/>
    <w:rsid w:val="00CF08BC"/>
    <w:rsid w:val="00CF14F1"/>
    <w:rsid w:val="00CF27C0"/>
    <w:rsid w:val="00CF51FC"/>
    <w:rsid w:val="00D00010"/>
    <w:rsid w:val="00D018E3"/>
    <w:rsid w:val="00D0378C"/>
    <w:rsid w:val="00D05114"/>
    <w:rsid w:val="00D12A83"/>
    <w:rsid w:val="00D13BE5"/>
    <w:rsid w:val="00D2129D"/>
    <w:rsid w:val="00D3044E"/>
    <w:rsid w:val="00D30A9B"/>
    <w:rsid w:val="00D33EB3"/>
    <w:rsid w:val="00D35DD9"/>
    <w:rsid w:val="00D36C4B"/>
    <w:rsid w:val="00D44CBD"/>
    <w:rsid w:val="00D45551"/>
    <w:rsid w:val="00D45FAC"/>
    <w:rsid w:val="00D476CF"/>
    <w:rsid w:val="00D47960"/>
    <w:rsid w:val="00D52A40"/>
    <w:rsid w:val="00D54079"/>
    <w:rsid w:val="00D540BE"/>
    <w:rsid w:val="00D54908"/>
    <w:rsid w:val="00D5750D"/>
    <w:rsid w:val="00D61D7A"/>
    <w:rsid w:val="00D621E6"/>
    <w:rsid w:val="00D71F00"/>
    <w:rsid w:val="00D77687"/>
    <w:rsid w:val="00D80A58"/>
    <w:rsid w:val="00D87F6E"/>
    <w:rsid w:val="00D90D68"/>
    <w:rsid w:val="00D94D10"/>
    <w:rsid w:val="00D95894"/>
    <w:rsid w:val="00D97082"/>
    <w:rsid w:val="00D97390"/>
    <w:rsid w:val="00DA4A9F"/>
    <w:rsid w:val="00DA4F79"/>
    <w:rsid w:val="00DA5B2E"/>
    <w:rsid w:val="00DA664D"/>
    <w:rsid w:val="00DB12F7"/>
    <w:rsid w:val="00DC05CC"/>
    <w:rsid w:val="00DC14DF"/>
    <w:rsid w:val="00DC2E92"/>
    <w:rsid w:val="00DC5020"/>
    <w:rsid w:val="00DC5683"/>
    <w:rsid w:val="00DD2150"/>
    <w:rsid w:val="00DD45B9"/>
    <w:rsid w:val="00DE29BF"/>
    <w:rsid w:val="00E02B8A"/>
    <w:rsid w:val="00E037A1"/>
    <w:rsid w:val="00E052A5"/>
    <w:rsid w:val="00E06A27"/>
    <w:rsid w:val="00E11095"/>
    <w:rsid w:val="00E21D08"/>
    <w:rsid w:val="00E2554E"/>
    <w:rsid w:val="00E33C6C"/>
    <w:rsid w:val="00E36C1D"/>
    <w:rsid w:val="00E4283A"/>
    <w:rsid w:val="00E50CC7"/>
    <w:rsid w:val="00E51907"/>
    <w:rsid w:val="00E61AEB"/>
    <w:rsid w:val="00E62589"/>
    <w:rsid w:val="00E63C6F"/>
    <w:rsid w:val="00E7156D"/>
    <w:rsid w:val="00E72795"/>
    <w:rsid w:val="00E72C83"/>
    <w:rsid w:val="00E76973"/>
    <w:rsid w:val="00E81476"/>
    <w:rsid w:val="00E85AC0"/>
    <w:rsid w:val="00E8671F"/>
    <w:rsid w:val="00E86CA1"/>
    <w:rsid w:val="00E87D95"/>
    <w:rsid w:val="00E9796B"/>
    <w:rsid w:val="00EB20DC"/>
    <w:rsid w:val="00EC10CF"/>
    <w:rsid w:val="00EC267A"/>
    <w:rsid w:val="00ED0234"/>
    <w:rsid w:val="00EE22A8"/>
    <w:rsid w:val="00EE420C"/>
    <w:rsid w:val="00EF013E"/>
    <w:rsid w:val="00EF30F8"/>
    <w:rsid w:val="00EF4FB1"/>
    <w:rsid w:val="00F01BE8"/>
    <w:rsid w:val="00F02546"/>
    <w:rsid w:val="00F04C7C"/>
    <w:rsid w:val="00F04F4A"/>
    <w:rsid w:val="00F10F69"/>
    <w:rsid w:val="00F11799"/>
    <w:rsid w:val="00F137BA"/>
    <w:rsid w:val="00F22237"/>
    <w:rsid w:val="00F22A98"/>
    <w:rsid w:val="00F276CB"/>
    <w:rsid w:val="00F27D19"/>
    <w:rsid w:val="00F31FD3"/>
    <w:rsid w:val="00F457F6"/>
    <w:rsid w:val="00F516F3"/>
    <w:rsid w:val="00F52545"/>
    <w:rsid w:val="00F57410"/>
    <w:rsid w:val="00F64493"/>
    <w:rsid w:val="00F64ABA"/>
    <w:rsid w:val="00F654C6"/>
    <w:rsid w:val="00F65F80"/>
    <w:rsid w:val="00F728E6"/>
    <w:rsid w:val="00F80DEE"/>
    <w:rsid w:val="00F840C7"/>
    <w:rsid w:val="00F85953"/>
    <w:rsid w:val="00F906CD"/>
    <w:rsid w:val="00F9263C"/>
    <w:rsid w:val="00F92A3F"/>
    <w:rsid w:val="00F955FE"/>
    <w:rsid w:val="00F96A4D"/>
    <w:rsid w:val="00F974B7"/>
    <w:rsid w:val="00FA5FF0"/>
    <w:rsid w:val="00FA7F3D"/>
    <w:rsid w:val="00FB04EE"/>
    <w:rsid w:val="00FB5182"/>
    <w:rsid w:val="00FB6F11"/>
    <w:rsid w:val="00FC621D"/>
    <w:rsid w:val="00FC70B3"/>
    <w:rsid w:val="00FE0E98"/>
    <w:rsid w:val="00FE2C00"/>
    <w:rsid w:val="00FE5D85"/>
    <w:rsid w:val="00FE717E"/>
    <w:rsid w:val="00FE7DC5"/>
    <w:rsid w:val="00FF013C"/>
    <w:rsid w:val="00FF24D5"/>
    <w:rsid w:val="00FF6E43"/>
    <w:rsid w:val="023615AF"/>
    <w:rsid w:val="06897EFF"/>
    <w:rsid w:val="06D33DE7"/>
    <w:rsid w:val="076B31DA"/>
    <w:rsid w:val="07711C3E"/>
    <w:rsid w:val="09E120A5"/>
    <w:rsid w:val="0C1D0813"/>
    <w:rsid w:val="0DDD6B39"/>
    <w:rsid w:val="0F4E7F38"/>
    <w:rsid w:val="15814660"/>
    <w:rsid w:val="16A54B50"/>
    <w:rsid w:val="17345DD7"/>
    <w:rsid w:val="17E92C8D"/>
    <w:rsid w:val="190445C2"/>
    <w:rsid w:val="19811B61"/>
    <w:rsid w:val="19C21C4E"/>
    <w:rsid w:val="1A02029D"/>
    <w:rsid w:val="1A735080"/>
    <w:rsid w:val="1D4302B1"/>
    <w:rsid w:val="1D8F1E47"/>
    <w:rsid w:val="1E075E82"/>
    <w:rsid w:val="1E827BFE"/>
    <w:rsid w:val="1EA63630"/>
    <w:rsid w:val="1F205D74"/>
    <w:rsid w:val="1FC3227C"/>
    <w:rsid w:val="212B02A4"/>
    <w:rsid w:val="22145011"/>
    <w:rsid w:val="22CD6F6E"/>
    <w:rsid w:val="232B6774"/>
    <w:rsid w:val="23C66A40"/>
    <w:rsid w:val="24BB62D9"/>
    <w:rsid w:val="25705B8F"/>
    <w:rsid w:val="26436741"/>
    <w:rsid w:val="27090EBD"/>
    <w:rsid w:val="28A82888"/>
    <w:rsid w:val="28F765AC"/>
    <w:rsid w:val="2AA37B0D"/>
    <w:rsid w:val="2B8C3E6A"/>
    <w:rsid w:val="2CF409C8"/>
    <w:rsid w:val="2DDF2977"/>
    <w:rsid w:val="2E82382C"/>
    <w:rsid w:val="2EC667B9"/>
    <w:rsid w:val="2F342A24"/>
    <w:rsid w:val="30D20969"/>
    <w:rsid w:val="318256B3"/>
    <w:rsid w:val="31C43042"/>
    <w:rsid w:val="33CD3982"/>
    <w:rsid w:val="36ED28EA"/>
    <w:rsid w:val="385C6972"/>
    <w:rsid w:val="3A3758E9"/>
    <w:rsid w:val="3CAE31DE"/>
    <w:rsid w:val="3D333EC8"/>
    <w:rsid w:val="3D5151C1"/>
    <w:rsid w:val="3F7E0BA4"/>
    <w:rsid w:val="403A57EB"/>
    <w:rsid w:val="42701998"/>
    <w:rsid w:val="42E363AD"/>
    <w:rsid w:val="443133A9"/>
    <w:rsid w:val="44496945"/>
    <w:rsid w:val="45877724"/>
    <w:rsid w:val="47715A3A"/>
    <w:rsid w:val="482F7BFF"/>
    <w:rsid w:val="48F21359"/>
    <w:rsid w:val="490A1142"/>
    <w:rsid w:val="4A1E2702"/>
    <w:rsid w:val="4B5D4A84"/>
    <w:rsid w:val="4BB74194"/>
    <w:rsid w:val="4C223596"/>
    <w:rsid w:val="4C5E7653"/>
    <w:rsid w:val="4DA27D5E"/>
    <w:rsid w:val="4F4421E2"/>
    <w:rsid w:val="503C2246"/>
    <w:rsid w:val="50453A98"/>
    <w:rsid w:val="50EE68AA"/>
    <w:rsid w:val="514069D9"/>
    <w:rsid w:val="5198253B"/>
    <w:rsid w:val="529F0FA7"/>
    <w:rsid w:val="54FE2E33"/>
    <w:rsid w:val="55875AEE"/>
    <w:rsid w:val="55F74E59"/>
    <w:rsid w:val="56923CBE"/>
    <w:rsid w:val="5836349C"/>
    <w:rsid w:val="596B6097"/>
    <w:rsid w:val="59CE54CA"/>
    <w:rsid w:val="5A0C6CCB"/>
    <w:rsid w:val="5A761F59"/>
    <w:rsid w:val="5B4004F8"/>
    <w:rsid w:val="5BB46942"/>
    <w:rsid w:val="5C186ED1"/>
    <w:rsid w:val="5C953F1C"/>
    <w:rsid w:val="5CBC3D00"/>
    <w:rsid w:val="5D8E243A"/>
    <w:rsid w:val="5E8E6FD6"/>
    <w:rsid w:val="5F42240E"/>
    <w:rsid w:val="609B1E7E"/>
    <w:rsid w:val="6547100E"/>
    <w:rsid w:val="655A3A53"/>
    <w:rsid w:val="66212E26"/>
    <w:rsid w:val="668D6710"/>
    <w:rsid w:val="69230F36"/>
    <w:rsid w:val="69E76C84"/>
    <w:rsid w:val="6C0C3C30"/>
    <w:rsid w:val="6D4D4500"/>
    <w:rsid w:val="6D5841E8"/>
    <w:rsid w:val="6EFA1300"/>
    <w:rsid w:val="6F4D62FA"/>
    <w:rsid w:val="6F9E6787"/>
    <w:rsid w:val="6FD01CFC"/>
    <w:rsid w:val="70052E70"/>
    <w:rsid w:val="704604FD"/>
    <w:rsid w:val="72BF7412"/>
    <w:rsid w:val="73487C44"/>
    <w:rsid w:val="73724CC1"/>
    <w:rsid w:val="73A17281"/>
    <w:rsid w:val="760E4842"/>
    <w:rsid w:val="761220FF"/>
    <w:rsid w:val="7819395D"/>
    <w:rsid w:val="79DE4E5E"/>
    <w:rsid w:val="7AD51F0A"/>
    <w:rsid w:val="7AFB19E6"/>
    <w:rsid w:val="7B3F4975"/>
    <w:rsid w:val="7EBA265B"/>
    <w:rsid w:val="7ECA1E93"/>
    <w:rsid w:val="7F402117"/>
    <w:rsid w:val="B7FFCCA6"/>
    <w:rsid w:val="EFFFE15A"/>
    <w:rsid w:val="FCFF367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iPriority="1"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1"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52"/>
    <w:qFormat/>
    <w:uiPriority w:val="1"/>
    <w:pPr>
      <w:keepNext/>
      <w:keepLines/>
      <w:spacing w:before="340" w:after="330" w:line="578" w:lineRule="auto"/>
      <w:outlineLvl w:val="0"/>
    </w:pPr>
    <w:rPr>
      <w:b/>
      <w:bCs/>
      <w:kern w:val="44"/>
      <w:sz w:val="44"/>
      <w:szCs w:val="44"/>
      <w:lang w:val="zh-CN"/>
    </w:rPr>
  </w:style>
  <w:style w:type="paragraph" w:styleId="3">
    <w:name w:val="heading 2"/>
    <w:basedOn w:val="1"/>
    <w:next w:val="1"/>
    <w:link w:val="238"/>
    <w:qFormat/>
    <w:uiPriority w:val="1"/>
    <w:pPr>
      <w:keepNext/>
      <w:keepLines/>
      <w:spacing w:before="260" w:after="260" w:line="416" w:lineRule="auto"/>
      <w:outlineLvl w:val="1"/>
    </w:pPr>
    <w:rPr>
      <w:rFonts w:ascii="Calibri Light" w:hAnsi="Calibri Light"/>
      <w:b/>
      <w:bCs/>
      <w:kern w:val="0"/>
      <w:sz w:val="32"/>
      <w:szCs w:val="32"/>
      <w:lang w:val="zh-CN"/>
    </w:rPr>
  </w:style>
  <w:style w:type="paragraph" w:styleId="4">
    <w:name w:val="heading 3"/>
    <w:basedOn w:val="1"/>
    <w:next w:val="1"/>
    <w:link w:val="234"/>
    <w:qFormat/>
    <w:uiPriority w:val="0"/>
    <w:pPr>
      <w:keepNext/>
      <w:keepLines/>
      <w:spacing w:before="260" w:after="260" w:line="416" w:lineRule="auto"/>
      <w:outlineLvl w:val="2"/>
    </w:pPr>
    <w:rPr>
      <w:rFonts w:ascii="宋体"/>
      <w:b/>
      <w:bCs/>
      <w:kern w:val="0"/>
      <w:sz w:val="32"/>
      <w:szCs w:val="32"/>
    </w:rPr>
  </w:style>
  <w:style w:type="paragraph" w:styleId="5">
    <w:name w:val="heading 4"/>
    <w:basedOn w:val="1"/>
    <w:next w:val="1"/>
    <w:link w:val="244"/>
    <w:qFormat/>
    <w:uiPriority w:val="0"/>
    <w:pPr>
      <w:keepNext/>
      <w:keepLines/>
      <w:spacing w:before="280" w:after="290" w:line="376" w:lineRule="auto"/>
      <w:outlineLvl w:val="3"/>
    </w:pPr>
    <w:rPr>
      <w:rFonts w:ascii="Calibri Light" w:hAnsi="Calibri Light"/>
      <w:b/>
      <w:bCs/>
      <w:kern w:val="0"/>
      <w:sz w:val="28"/>
      <w:szCs w:val="28"/>
      <w:lang w:val="zh-CN"/>
    </w:rPr>
  </w:style>
  <w:style w:type="paragraph" w:styleId="6">
    <w:name w:val="heading 5"/>
    <w:basedOn w:val="1"/>
    <w:next w:val="1"/>
    <w:link w:val="212"/>
    <w:qFormat/>
    <w:uiPriority w:val="0"/>
    <w:pPr>
      <w:keepNext/>
      <w:keepLines/>
      <w:spacing w:before="280" w:after="290" w:line="376" w:lineRule="auto"/>
      <w:outlineLvl w:val="4"/>
    </w:pPr>
    <w:rPr>
      <w:b/>
      <w:bCs/>
      <w:sz w:val="28"/>
      <w:szCs w:val="28"/>
    </w:rPr>
  </w:style>
  <w:style w:type="paragraph" w:styleId="7">
    <w:name w:val="heading 6"/>
    <w:basedOn w:val="1"/>
    <w:next w:val="1"/>
    <w:link w:val="232"/>
    <w:qFormat/>
    <w:uiPriority w:val="0"/>
    <w:pPr>
      <w:keepNext/>
      <w:keepLines/>
      <w:widowControl/>
      <w:spacing w:before="240" w:after="64" w:line="320" w:lineRule="auto"/>
      <w:jc w:val="left"/>
      <w:outlineLvl w:val="5"/>
    </w:pPr>
    <w:rPr>
      <w:rFonts w:ascii="Cambria" w:hAnsi="Cambria"/>
      <w:b/>
      <w:bCs/>
      <w:kern w:val="0"/>
      <w:sz w:val="24"/>
      <w:szCs w:val="24"/>
    </w:rPr>
  </w:style>
  <w:style w:type="paragraph" w:styleId="8">
    <w:name w:val="heading 7"/>
    <w:basedOn w:val="1"/>
    <w:next w:val="1"/>
    <w:link w:val="257"/>
    <w:qFormat/>
    <w:uiPriority w:val="0"/>
    <w:pPr>
      <w:keepNext/>
      <w:keepLines/>
      <w:numPr>
        <w:ilvl w:val="6"/>
        <w:numId w:val="1"/>
      </w:numPr>
      <w:adjustRightInd w:val="0"/>
      <w:spacing w:before="240" w:after="64" w:line="320" w:lineRule="atLeast"/>
      <w:textAlignment w:val="baseline"/>
      <w:outlineLvl w:val="6"/>
    </w:pPr>
    <w:rPr>
      <w:rFonts w:ascii="Times New Roman" w:hAnsi="Times New Roman"/>
      <w:b/>
      <w:kern w:val="0"/>
      <w:sz w:val="24"/>
      <w:szCs w:val="20"/>
    </w:rPr>
  </w:style>
  <w:style w:type="paragraph" w:styleId="9">
    <w:name w:val="heading 8"/>
    <w:basedOn w:val="1"/>
    <w:next w:val="1"/>
    <w:link w:val="211"/>
    <w:qFormat/>
    <w:uiPriority w:val="0"/>
    <w:pPr>
      <w:keepNext/>
      <w:keepLines/>
      <w:numPr>
        <w:ilvl w:val="7"/>
        <w:numId w:val="1"/>
      </w:numPr>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210"/>
    <w:qFormat/>
    <w:uiPriority w:val="0"/>
    <w:pPr>
      <w:keepNext/>
      <w:keepLines/>
      <w:numPr>
        <w:ilvl w:val="8"/>
        <w:numId w:val="1"/>
      </w:numPr>
      <w:adjustRightInd w:val="0"/>
      <w:spacing w:before="240" w:after="64" w:line="320" w:lineRule="atLeast"/>
      <w:textAlignment w:val="baseline"/>
      <w:outlineLvl w:val="8"/>
    </w:pPr>
    <w:rPr>
      <w:rFonts w:ascii="Arial" w:hAnsi="Arial" w:eastAsia="黑体"/>
      <w:kern w:val="0"/>
      <w:sz w:val="24"/>
      <w:szCs w:val="20"/>
    </w:rPr>
  </w:style>
  <w:style w:type="character" w:default="1" w:styleId="56">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szCs w:val="24"/>
    </w:rPr>
  </w:style>
  <w:style w:type="paragraph" w:styleId="12">
    <w:name w:val="toc 7"/>
    <w:basedOn w:val="1"/>
    <w:next w:val="1"/>
    <w:unhideWhenUsed/>
    <w:qFormat/>
    <w:uiPriority w:val="0"/>
    <w:pPr>
      <w:ind w:left="2520" w:leftChars="1200"/>
    </w:pPr>
  </w:style>
  <w:style w:type="paragraph" w:styleId="13">
    <w:name w:val="Normal Indent"/>
    <w:basedOn w:val="1"/>
    <w:next w:val="1"/>
    <w:link w:val="177"/>
    <w:qFormat/>
    <w:uiPriority w:val="0"/>
    <w:pPr>
      <w:ind w:firstLine="420"/>
    </w:pPr>
    <w:rPr>
      <w:rFonts w:ascii="宋体"/>
      <w:kern w:val="0"/>
      <w:sz w:val="34"/>
      <w:szCs w:val="20"/>
    </w:rPr>
  </w:style>
  <w:style w:type="paragraph" w:styleId="14">
    <w:name w:val="caption"/>
    <w:basedOn w:val="1"/>
    <w:next w:val="1"/>
    <w:qFormat/>
    <w:uiPriority w:val="0"/>
    <w:rPr>
      <w:rFonts w:ascii="Cambria" w:hAnsi="Cambria" w:eastAsia="黑体"/>
      <w:sz w:val="20"/>
      <w:szCs w:val="20"/>
    </w:rPr>
  </w:style>
  <w:style w:type="paragraph" w:styleId="15">
    <w:name w:val="List Bullet"/>
    <w:basedOn w:val="1"/>
    <w:qFormat/>
    <w:uiPriority w:val="0"/>
    <w:pPr>
      <w:tabs>
        <w:tab w:val="left" w:pos="360"/>
      </w:tabs>
      <w:ind w:left="360" w:hanging="360"/>
      <w:contextualSpacing/>
    </w:pPr>
    <w:rPr>
      <w:szCs w:val="24"/>
    </w:rPr>
  </w:style>
  <w:style w:type="paragraph" w:styleId="16">
    <w:name w:val="Document Map"/>
    <w:basedOn w:val="1"/>
    <w:link w:val="236"/>
    <w:unhideWhenUsed/>
    <w:qFormat/>
    <w:uiPriority w:val="99"/>
    <w:rPr>
      <w:rFonts w:ascii="宋体"/>
      <w:sz w:val="18"/>
      <w:szCs w:val="18"/>
      <w:lang w:val="zh-CN"/>
    </w:rPr>
  </w:style>
  <w:style w:type="paragraph" w:styleId="17">
    <w:name w:val="annotation text"/>
    <w:basedOn w:val="1"/>
    <w:link w:val="248"/>
    <w:unhideWhenUsed/>
    <w:qFormat/>
    <w:uiPriority w:val="0"/>
    <w:pPr>
      <w:jc w:val="left"/>
    </w:pPr>
    <w:rPr>
      <w:kern w:val="0"/>
      <w:sz w:val="20"/>
      <w:szCs w:val="20"/>
      <w:lang w:val="zh-CN"/>
    </w:rPr>
  </w:style>
  <w:style w:type="paragraph" w:styleId="18">
    <w:name w:val="index 6"/>
    <w:basedOn w:val="1"/>
    <w:next w:val="1"/>
    <w:qFormat/>
    <w:uiPriority w:val="0"/>
    <w:pPr>
      <w:ind w:left="1000" w:leftChars="1000"/>
    </w:pPr>
    <w:rPr>
      <w:szCs w:val="24"/>
    </w:rPr>
  </w:style>
  <w:style w:type="paragraph" w:styleId="19">
    <w:name w:val="Salutation"/>
    <w:basedOn w:val="1"/>
    <w:next w:val="1"/>
    <w:link w:val="191"/>
    <w:qFormat/>
    <w:uiPriority w:val="0"/>
    <w:rPr>
      <w:rFonts w:ascii="宋体" w:hAnsi="Times New Roman" w:eastAsia="仿宋_GB2312"/>
      <w:kern w:val="0"/>
      <w:sz w:val="24"/>
      <w:szCs w:val="20"/>
    </w:rPr>
  </w:style>
  <w:style w:type="paragraph" w:styleId="20">
    <w:name w:val="Body Text 3"/>
    <w:basedOn w:val="1"/>
    <w:link w:val="215"/>
    <w:qFormat/>
    <w:uiPriority w:val="0"/>
    <w:pPr>
      <w:widowControl/>
      <w:jc w:val="left"/>
    </w:pPr>
    <w:rPr>
      <w:rFonts w:ascii="宋体"/>
      <w:kern w:val="0"/>
      <w:sz w:val="24"/>
      <w:szCs w:val="20"/>
    </w:rPr>
  </w:style>
  <w:style w:type="paragraph" w:styleId="21">
    <w:name w:val="Body Text"/>
    <w:basedOn w:val="1"/>
    <w:link w:val="243"/>
    <w:unhideWhenUsed/>
    <w:qFormat/>
    <w:uiPriority w:val="1"/>
    <w:pPr>
      <w:spacing w:after="120"/>
    </w:pPr>
  </w:style>
  <w:style w:type="paragraph" w:styleId="22">
    <w:name w:val="Body Text Indent"/>
    <w:basedOn w:val="1"/>
    <w:link w:val="245"/>
    <w:qFormat/>
    <w:uiPriority w:val="0"/>
    <w:pPr>
      <w:ind w:firstLine="560" w:firstLineChars="200"/>
    </w:pPr>
    <w:rPr>
      <w:rFonts w:ascii="Times New Roman" w:hAnsi="Times New Roman"/>
      <w:kern w:val="0"/>
      <w:sz w:val="28"/>
      <w:szCs w:val="24"/>
      <w:lang w:val="zh-CN"/>
    </w:rPr>
  </w:style>
  <w:style w:type="paragraph" w:styleId="23">
    <w:name w:val="List 2"/>
    <w:basedOn w:val="1"/>
    <w:qFormat/>
    <w:uiPriority w:val="0"/>
    <w:pPr>
      <w:widowControl/>
      <w:ind w:left="840" w:hanging="420"/>
      <w:jc w:val="left"/>
    </w:pPr>
    <w:rPr>
      <w:rFonts w:ascii="宋体"/>
      <w:kern w:val="0"/>
      <w:sz w:val="22"/>
      <w:szCs w:val="20"/>
    </w:rPr>
  </w:style>
  <w:style w:type="paragraph" w:styleId="24">
    <w:name w:val="List Continue"/>
    <w:basedOn w:val="1"/>
    <w:qFormat/>
    <w:uiPriority w:val="0"/>
    <w:pPr>
      <w:widowControl/>
      <w:spacing w:after="120"/>
      <w:ind w:left="420"/>
      <w:jc w:val="left"/>
    </w:pPr>
    <w:rPr>
      <w:rFonts w:ascii="宋体"/>
      <w:kern w:val="0"/>
      <w:sz w:val="22"/>
      <w:szCs w:val="20"/>
    </w:rPr>
  </w:style>
  <w:style w:type="paragraph" w:styleId="25">
    <w:name w:val="Block Text"/>
    <w:basedOn w:val="1"/>
    <w:qFormat/>
    <w:uiPriority w:val="0"/>
    <w:pPr>
      <w:autoSpaceDE w:val="0"/>
      <w:autoSpaceDN w:val="0"/>
      <w:adjustRightInd w:val="0"/>
      <w:spacing w:line="360" w:lineRule="auto"/>
      <w:ind w:left="286" w:right="6" w:firstLine="554"/>
    </w:pPr>
    <w:rPr>
      <w:kern w:val="0"/>
      <w:sz w:val="24"/>
      <w:szCs w:val="24"/>
    </w:rPr>
  </w:style>
  <w:style w:type="paragraph" w:styleId="26">
    <w:name w:val="List Bullet 2"/>
    <w:basedOn w:val="1"/>
    <w:qFormat/>
    <w:uiPriority w:val="0"/>
    <w:pPr>
      <w:widowControl/>
      <w:tabs>
        <w:tab w:val="left" w:pos="360"/>
        <w:tab w:val="left" w:pos="720"/>
      </w:tabs>
      <w:spacing w:after="200" w:line="276" w:lineRule="auto"/>
      <w:ind w:left="720" w:hanging="720"/>
      <w:jc w:val="left"/>
    </w:pPr>
    <w:rPr>
      <w:kern w:val="0"/>
      <w:sz w:val="22"/>
    </w:rPr>
  </w:style>
  <w:style w:type="paragraph" w:styleId="27">
    <w:name w:val="index 4"/>
    <w:basedOn w:val="1"/>
    <w:next w:val="1"/>
    <w:qFormat/>
    <w:uiPriority w:val="0"/>
    <w:pPr>
      <w:ind w:left="600" w:leftChars="600"/>
    </w:pPr>
    <w:rPr>
      <w:szCs w:val="24"/>
    </w:rPr>
  </w:style>
  <w:style w:type="paragraph" w:styleId="28">
    <w:name w:val="toc 5"/>
    <w:basedOn w:val="1"/>
    <w:next w:val="1"/>
    <w:unhideWhenUsed/>
    <w:qFormat/>
    <w:uiPriority w:val="0"/>
    <w:pPr>
      <w:ind w:left="1680" w:leftChars="800"/>
    </w:pPr>
  </w:style>
  <w:style w:type="paragraph" w:styleId="29">
    <w:name w:val="toc 3"/>
    <w:basedOn w:val="1"/>
    <w:next w:val="1"/>
    <w:qFormat/>
    <w:uiPriority w:val="39"/>
    <w:pPr>
      <w:widowControl/>
      <w:ind w:left="400" w:leftChars="400"/>
      <w:jc w:val="left"/>
    </w:pPr>
    <w:rPr>
      <w:kern w:val="0"/>
      <w:sz w:val="20"/>
      <w:szCs w:val="20"/>
    </w:rPr>
  </w:style>
  <w:style w:type="paragraph" w:styleId="30">
    <w:name w:val="Plain Text"/>
    <w:basedOn w:val="1"/>
    <w:next w:val="1"/>
    <w:link w:val="231"/>
    <w:qFormat/>
    <w:uiPriority w:val="0"/>
    <w:pPr>
      <w:widowControl/>
      <w:jc w:val="left"/>
    </w:pPr>
    <w:rPr>
      <w:rFonts w:ascii="宋体" w:hAnsi="Courier New" w:eastAsia="楷体_GB2312"/>
      <w:kern w:val="0"/>
      <w:sz w:val="20"/>
      <w:szCs w:val="20"/>
    </w:rPr>
  </w:style>
  <w:style w:type="paragraph" w:styleId="31">
    <w:name w:val="toc 8"/>
    <w:basedOn w:val="1"/>
    <w:next w:val="1"/>
    <w:unhideWhenUsed/>
    <w:qFormat/>
    <w:uiPriority w:val="0"/>
    <w:pPr>
      <w:ind w:left="2940" w:leftChars="1400"/>
    </w:pPr>
  </w:style>
  <w:style w:type="paragraph" w:styleId="32">
    <w:name w:val="Date"/>
    <w:basedOn w:val="1"/>
    <w:next w:val="1"/>
    <w:link w:val="161"/>
    <w:qFormat/>
    <w:uiPriority w:val="0"/>
    <w:rPr>
      <w:rFonts w:ascii="Times New Roman" w:hAnsi="Times New Roman"/>
      <w:kern w:val="0"/>
      <w:sz w:val="24"/>
      <w:szCs w:val="20"/>
    </w:rPr>
  </w:style>
  <w:style w:type="paragraph" w:styleId="33">
    <w:name w:val="Body Text Indent 2"/>
    <w:basedOn w:val="1"/>
    <w:link w:val="227"/>
    <w:unhideWhenUsed/>
    <w:qFormat/>
    <w:uiPriority w:val="0"/>
    <w:pPr>
      <w:widowControl/>
      <w:spacing w:after="120" w:line="480" w:lineRule="auto"/>
      <w:ind w:left="420" w:leftChars="200"/>
      <w:jc w:val="left"/>
    </w:pPr>
    <w:rPr>
      <w:rFonts w:ascii="Times New Roman" w:hAnsi="Times New Roman"/>
      <w:kern w:val="0"/>
      <w:sz w:val="20"/>
      <w:szCs w:val="20"/>
    </w:rPr>
  </w:style>
  <w:style w:type="paragraph" w:styleId="34">
    <w:name w:val="endnote text"/>
    <w:basedOn w:val="1"/>
    <w:link w:val="187"/>
    <w:qFormat/>
    <w:uiPriority w:val="0"/>
    <w:pPr>
      <w:snapToGrid w:val="0"/>
      <w:jc w:val="left"/>
    </w:pPr>
    <w:rPr>
      <w:rFonts w:ascii="Times New Roman" w:hAnsi="Times New Roman"/>
      <w:kern w:val="0"/>
      <w:sz w:val="20"/>
      <w:szCs w:val="24"/>
    </w:rPr>
  </w:style>
  <w:style w:type="paragraph" w:styleId="35">
    <w:name w:val="Balloon Text"/>
    <w:basedOn w:val="1"/>
    <w:link w:val="247"/>
    <w:unhideWhenUsed/>
    <w:qFormat/>
    <w:uiPriority w:val="0"/>
    <w:rPr>
      <w:rFonts w:ascii="Times New Roman" w:hAnsi="Times New Roman"/>
      <w:kern w:val="0"/>
      <w:sz w:val="18"/>
      <w:szCs w:val="18"/>
      <w:lang w:val="zh-CN"/>
    </w:rPr>
  </w:style>
  <w:style w:type="paragraph" w:styleId="36">
    <w:name w:val="footer"/>
    <w:basedOn w:val="1"/>
    <w:link w:val="239"/>
    <w:unhideWhenUsed/>
    <w:qFormat/>
    <w:uiPriority w:val="99"/>
    <w:pPr>
      <w:tabs>
        <w:tab w:val="center" w:pos="4153"/>
        <w:tab w:val="right" w:pos="8306"/>
      </w:tabs>
      <w:snapToGrid w:val="0"/>
      <w:jc w:val="left"/>
    </w:pPr>
    <w:rPr>
      <w:rFonts w:ascii="Times New Roman" w:hAnsi="Times New Roman"/>
      <w:kern w:val="0"/>
      <w:sz w:val="18"/>
      <w:szCs w:val="18"/>
      <w:lang w:val="zh-CN"/>
    </w:rPr>
  </w:style>
  <w:style w:type="paragraph" w:styleId="37">
    <w:name w:val="header"/>
    <w:basedOn w:val="1"/>
    <w:link w:val="240"/>
    <w:unhideWhenUsed/>
    <w:qFormat/>
    <w:uiPriority w:val="0"/>
    <w:pPr>
      <w:pBdr>
        <w:bottom w:val="single" w:color="auto" w:sz="6" w:space="1"/>
      </w:pBdr>
      <w:tabs>
        <w:tab w:val="center" w:pos="4153"/>
        <w:tab w:val="right" w:pos="8306"/>
      </w:tabs>
      <w:snapToGrid w:val="0"/>
      <w:jc w:val="center"/>
    </w:pPr>
    <w:rPr>
      <w:rFonts w:ascii="Times New Roman" w:hAnsi="Times New Roman"/>
      <w:kern w:val="0"/>
      <w:sz w:val="18"/>
      <w:szCs w:val="18"/>
      <w:lang w:val="zh-CN"/>
    </w:rPr>
  </w:style>
  <w:style w:type="paragraph" w:styleId="38">
    <w:name w:val="toc 1"/>
    <w:basedOn w:val="1"/>
    <w:next w:val="1"/>
    <w:unhideWhenUsed/>
    <w:qFormat/>
    <w:uiPriority w:val="39"/>
    <w:pPr>
      <w:widowControl/>
      <w:tabs>
        <w:tab w:val="right" w:leader="dot" w:pos="8296"/>
      </w:tabs>
      <w:spacing w:after="100" w:line="276" w:lineRule="auto"/>
      <w:jc w:val="center"/>
    </w:pPr>
    <w:rPr>
      <w:rFonts w:ascii="Times New Roman" w:hAnsi="Times New Roman" w:eastAsia="仿宋_GB2312"/>
      <w:b/>
      <w:kern w:val="0"/>
      <w:sz w:val="28"/>
    </w:rPr>
  </w:style>
  <w:style w:type="paragraph" w:styleId="39">
    <w:name w:val="toc 4"/>
    <w:basedOn w:val="1"/>
    <w:next w:val="1"/>
    <w:unhideWhenUsed/>
    <w:qFormat/>
    <w:uiPriority w:val="1"/>
    <w:pPr>
      <w:ind w:left="1260" w:leftChars="600"/>
    </w:pPr>
  </w:style>
  <w:style w:type="paragraph" w:styleId="40">
    <w:name w:val="Subtitle"/>
    <w:basedOn w:val="1"/>
    <w:next w:val="1"/>
    <w:link w:val="195"/>
    <w:qFormat/>
    <w:uiPriority w:val="0"/>
    <w:pPr>
      <w:spacing w:before="240" w:after="60" w:line="312" w:lineRule="auto"/>
      <w:jc w:val="center"/>
      <w:outlineLvl w:val="1"/>
    </w:pPr>
    <w:rPr>
      <w:rFonts w:ascii="Times New Roman" w:hAnsi="Times New Roman"/>
      <w:kern w:val="0"/>
      <w:sz w:val="18"/>
      <w:szCs w:val="18"/>
    </w:rPr>
  </w:style>
  <w:style w:type="paragraph" w:styleId="41">
    <w:name w:val="List"/>
    <w:basedOn w:val="1"/>
    <w:qFormat/>
    <w:uiPriority w:val="0"/>
    <w:pPr>
      <w:widowControl/>
      <w:ind w:left="420" w:hanging="420"/>
      <w:jc w:val="left"/>
    </w:pPr>
    <w:rPr>
      <w:rFonts w:ascii="宋体"/>
      <w:kern w:val="0"/>
      <w:sz w:val="22"/>
      <w:szCs w:val="20"/>
    </w:rPr>
  </w:style>
  <w:style w:type="paragraph" w:styleId="42">
    <w:name w:val="toc 6"/>
    <w:basedOn w:val="1"/>
    <w:next w:val="1"/>
    <w:unhideWhenUsed/>
    <w:qFormat/>
    <w:uiPriority w:val="0"/>
    <w:pPr>
      <w:ind w:left="2100" w:leftChars="1000"/>
    </w:pPr>
  </w:style>
  <w:style w:type="paragraph" w:styleId="43">
    <w:name w:val="Body Text Indent 3"/>
    <w:basedOn w:val="1"/>
    <w:link w:val="253"/>
    <w:qFormat/>
    <w:uiPriority w:val="0"/>
    <w:pPr>
      <w:widowControl/>
      <w:overflowPunct w:val="0"/>
      <w:autoSpaceDE w:val="0"/>
      <w:autoSpaceDN w:val="0"/>
      <w:adjustRightInd w:val="0"/>
      <w:spacing w:line="360" w:lineRule="auto"/>
      <w:ind w:firstLine="540"/>
      <w:textAlignment w:val="baseline"/>
    </w:pPr>
    <w:rPr>
      <w:rFonts w:ascii="宋体" w:hAnsi="MS Sans Serif"/>
      <w:color w:val="000000"/>
      <w:kern w:val="0"/>
      <w:sz w:val="24"/>
      <w:szCs w:val="20"/>
    </w:rPr>
  </w:style>
  <w:style w:type="paragraph" w:styleId="44">
    <w:name w:val="toc 2"/>
    <w:basedOn w:val="1"/>
    <w:next w:val="1"/>
    <w:unhideWhenUsed/>
    <w:qFormat/>
    <w:uiPriority w:val="39"/>
    <w:pPr>
      <w:widowControl/>
      <w:spacing w:after="100" w:line="276" w:lineRule="auto"/>
      <w:ind w:left="220"/>
      <w:jc w:val="left"/>
    </w:pPr>
    <w:rPr>
      <w:rFonts w:ascii="Times New Roman" w:hAnsi="Times New Roman" w:eastAsia="仿宋_GB2312"/>
      <w:kern w:val="0"/>
      <w:sz w:val="22"/>
    </w:rPr>
  </w:style>
  <w:style w:type="paragraph" w:styleId="45">
    <w:name w:val="toc 9"/>
    <w:basedOn w:val="1"/>
    <w:next w:val="1"/>
    <w:unhideWhenUsed/>
    <w:qFormat/>
    <w:uiPriority w:val="0"/>
    <w:pPr>
      <w:ind w:left="3360" w:leftChars="1600"/>
    </w:pPr>
  </w:style>
  <w:style w:type="paragraph" w:styleId="46">
    <w:name w:val="Body Text 2"/>
    <w:basedOn w:val="1"/>
    <w:link w:val="217"/>
    <w:qFormat/>
    <w:uiPriority w:val="0"/>
    <w:pPr>
      <w:widowControl/>
      <w:jc w:val="left"/>
    </w:pPr>
    <w:rPr>
      <w:sz w:val="44"/>
      <w:szCs w:val="24"/>
    </w:rPr>
  </w:style>
  <w:style w:type="paragraph" w:styleId="47">
    <w:name w:val="HTML Preformatted"/>
    <w:basedOn w:val="1"/>
    <w:link w:val="24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8">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49">
    <w:name w:val="index 1"/>
    <w:basedOn w:val="1"/>
    <w:next w:val="1"/>
    <w:qFormat/>
    <w:uiPriority w:val="0"/>
    <w:pPr>
      <w:spacing w:line="220" w:lineRule="exact"/>
      <w:jc w:val="center"/>
    </w:pPr>
    <w:rPr>
      <w:rFonts w:ascii="仿宋_GB2312" w:hAnsi="Times New Roman" w:eastAsia="仿宋_GB2312"/>
      <w:szCs w:val="21"/>
    </w:rPr>
  </w:style>
  <w:style w:type="paragraph" w:styleId="50">
    <w:name w:val="Title"/>
    <w:basedOn w:val="1"/>
    <w:next w:val="1"/>
    <w:link w:val="139"/>
    <w:qFormat/>
    <w:uiPriority w:val="0"/>
    <w:pPr>
      <w:spacing w:before="240" w:after="60"/>
      <w:jc w:val="center"/>
      <w:outlineLvl w:val="0"/>
    </w:pPr>
    <w:rPr>
      <w:rFonts w:ascii="Cambria" w:hAnsi="Cambria"/>
      <w:b/>
      <w:bCs/>
      <w:kern w:val="0"/>
      <w:sz w:val="32"/>
      <w:szCs w:val="32"/>
    </w:rPr>
  </w:style>
  <w:style w:type="paragraph" w:styleId="51">
    <w:name w:val="annotation subject"/>
    <w:basedOn w:val="17"/>
    <w:next w:val="17"/>
    <w:link w:val="223"/>
    <w:unhideWhenUsed/>
    <w:qFormat/>
    <w:uiPriority w:val="0"/>
    <w:pPr>
      <w:widowControl/>
    </w:pPr>
    <w:rPr>
      <w:rFonts w:ascii="Times New Roman" w:hAnsi="Times New Roman"/>
      <w:lang w:val="en-US"/>
    </w:rPr>
  </w:style>
  <w:style w:type="paragraph" w:styleId="52">
    <w:name w:val="Body Text First Indent"/>
    <w:basedOn w:val="21"/>
    <w:link w:val="230"/>
    <w:unhideWhenUsed/>
    <w:qFormat/>
    <w:uiPriority w:val="0"/>
    <w:pPr>
      <w:widowControl/>
      <w:ind w:firstLine="420" w:firstLineChars="100"/>
      <w:jc w:val="left"/>
    </w:pPr>
    <w:rPr>
      <w:rFonts w:ascii="Times New Roman" w:hAnsi="Times New Roman"/>
      <w:kern w:val="0"/>
      <w:sz w:val="20"/>
      <w:szCs w:val="20"/>
    </w:rPr>
  </w:style>
  <w:style w:type="paragraph" w:styleId="53">
    <w:name w:val="Body Text First Indent 2"/>
    <w:basedOn w:val="22"/>
    <w:link w:val="539"/>
    <w:qFormat/>
    <w:uiPriority w:val="0"/>
    <w:pPr>
      <w:spacing w:after="120"/>
      <w:ind w:left="420" w:leftChars="200" w:firstLine="420"/>
    </w:pPr>
    <w:rPr>
      <w:rFonts w:ascii="Calibri" w:hAnsi="Calibri"/>
      <w:sz w:val="20"/>
      <w:lang w:val="en-US"/>
    </w:rPr>
  </w:style>
  <w:style w:type="table" w:styleId="55">
    <w:name w:val="Table Grid"/>
    <w:basedOn w:val="5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7">
    <w:name w:val="Strong"/>
    <w:qFormat/>
    <w:uiPriority w:val="0"/>
    <w:rPr>
      <w:b/>
      <w:bCs/>
    </w:rPr>
  </w:style>
  <w:style w:type="character" w:styleId="58">
    <w:name w:val="endnote reference"/>
    <w:qFormat/>
    <w:uiPriority w:val="0"/>
    <w:rPr>
      <w:vertAlign w:val="superscript"/>
    </w:rPr>
  </w:style>
  <w:style w:type="character" w:styleId="59">
    <w:name w:val="page number"/>
    <w:qFormat/>
    <w:uiPriority w:val="0"/>
  </w:style>
  <w:style w:type="character" w:styleId="60">
    <w:name w:val="FollowedHyperlink"/>
    <w:unhideWhenUsed/>
    <w:qFormat/>
    <w:uiPriority w:val="0"/>
    <w:rPr>
      <w:color w:val="000000"/>
      <w:u w:val="none"/>
    </w:rPr>
  </w:style>
  <w:style w:type="character" w:styleId="61">
    <w:name w:val="Emphasis"/>
    <w:qFormat/>
    <w:uiPriority w:val="0"/>
    <w:rPr>
      <w:rFonts w:ascii="Arial Black" w:hAnsi="Arial Black" w:eastAsia="黑体"/>
      <w:b/>
      <w:spacing w:val="0"/>
      <w:sz w:val="21"/>
      <w:lang w:eastAsia="zh-CN"/>
    </w:rPr>
  </w:style>
  <w:style w:type="character" w:styleId="62">
    <w:name w:val="HTML Definition"/>
    <w:qFormat/>
    <w:uiPriority w:val="0"/>
    <w:rPr>
      <w:i/>
    </w:rPr>
  </w:style>
  <w:style w:type="character" w:styleId="63">
    <w:name w:val="Hyperlink"/>
    <w:unhideWhenUsed/>
    <w:qFormat/>
    <w:uiPriority w:val="99"/>
    <w:rPr>
      <w:color w:val="6D6D6D"/>
      <w:u w:val="none"/>
      <w:shd w:val="clear" w:color="auto" w:fill="auto"/>
    </w:rPr>
  </w:style>
  <w:style w:type="character" w:styleId="64">
    <w:name w:val="HTML Code"/>
    <w:qFormat/>
    <w:uiPriority w:val="0"/>
    <w:rPr>
      <w:rFonts w:hint="default" w:ascii="Consolas" w:hAnsi="Consolas" w:eastAsia="Consolas" w:cs="Consolas"/>
      <w:color w:val="C7254E"/>
      <w:sz w:val="21"/>
      <w:szCs w:val="21"/>
      <w:bdr w:val="single" w:color="E1E1E1" w:sz="6" w:space="0"/>
      <w:shd w:val="clear" w:color="auto" w:fill="F9F2F4"/>
    </w:rPr>
  </w:style>
  <w:style w:type="character" w:styleId="65">
    <w:name w:val="annotation reference"/>
    <w:unhideWhenUsed/>
    <w:qFormat/>
    <w:uiPriority w:val="0"/>
    <w:rPr>
      <w:sz w:val="21"/>
      <w:szCs w:val="21"/>
    </w:rPr>
  </w:style>
  <w:style w:type="character" w:styleId="66">
    <w:name w:val="footnote reference"/>
    <w:qFormat/>
    <w:uiPriority w:val="0"/>
    <w:rPr>
      <w:vertAlign w:val="superscript"/>
    </w:rPr>
  </w:style>
  <w:style w:type="character" w:styleId="67">
    <w:name w:val="HTML Keyboard"/>
    <w:qFormat/>
    <w:uiPriority w:val="0"/>
    <w:rPr>
      <w:rFonts w:ascii="Consolas" w:hAnsi="Consolas" w:eastAsia="Consolas" w:cs="Consolas"/>
      <w:color w:val="FFFFFF"/>
      <w:sz w:val="21"/>
      <w:szCs w:val="21"/>
      <w:shd w:val="clear" w:color="auto" w:fill="333333"/>
    </w:rPr>
  </w:style>
  <w:style w:type="character" w:styleId="68">
    <w:name w:val="HTML Sample"/>
    <w:qFormat/>
    <w:uiPriority w:val="0"/>
    <w:rPr>
      <w:rFonts w:hint="default" w:ascii="Consolas" w:hAnsi="Consolas" w:eastAsia="Consolas" w:cs="Consolas"/>
      <w:sz w:val="21"/>
      <w:szCs w:val="21"/>
    </w:rPr>
  </w:style>
  <w:style w:type="character" w:customStyle="1" w:styleId="69">
    <w:name w:val="msoins"/>
    <w:qFormat/>
    <w:uiPriority w:val="0"/>
  </w:style>
  <w:style w:type="character" w:customStyle="1" w:styleId="70">
    <w:name w:val="明显强调1"/>
    <w:qFormat/>
    <w:uiPriority w:val="0"/>
    <w:rPr>
      <w:b/>
      <w:bCs/>
      <w:i/>
      <w:iCs/>
      <w:color w:val="4F81BD"/>
    </w:rPr>
  </w:style>
  <w:style w:type="character" w:customStyle="1" w:styleId="71">
    <w:name w:val="文档结构图 Char2"/>
    <w:semiHidden/>
    <w:qFormat/>
    <w:uiPriority w:val="0"/>
    <w:rPr>
      <w:rFonts w:ascii="宋体"/>
      <w:kern w:val="2"/>
      <w:sz w:val="18"/>
    </w:rPr>
  </w:style>
  <w:style w:type="character" w:customStyle="1" w:styleId="72">
    <w:name w:val="style_kwd"/>
    <w:basedOn w:val="56"/>
    <w:qFormat/>
    <w:uiPriority w:val="0"/>
  </w:style>
  <w:style w:type="character" w:customStyle="1" w:styleId="73">
    <w:name w:val="正文文本缩进 2 Char2"/>
    <w:qFormat/>
    <w:uiPriority w:val="99"/>
    <w:rPr>
      <w:rFonts w:eastAsia="楷体_GB2312"/>
      <w:kern w:val="2"/>
      <w:sz w:val="21"/>
    </w:rPr>
  </w:style>
  <w:style w:type="character" w:customStyle="1" w:styleId="74">
    <w:name w:val="正文文本 2 Char2"/>
    <w:semiHidden/>
    <w:qFormat/>
    <w:uiPriority w:val="99"/>
    <w:rPr>
      <w:rFonts w:ascii="Calibri" w:hAnsi="Calibri" w:eastAsia="宋体" w:cs="Times New Roman"/>
      <w:kern w:val="0"/>
      <w:sz w:val="20"/>
      <w:szCs w:val="20"/>
    </w:rPr>
  </w:style>
  <w:style w:type="character" w:customStyle="1" w:styleId="75">
    <w:name w:val="不明显参考1"/>
    <w:qFormat/>
    <w:uiPriority w:val="0"/>
    <w:rPr>
      <w:smallCaps/>
      <w:color w:val="C0504D"/>
      <w:u w:val="single"/>
    </w:rPr>
  </w:style>
  <w:style w:type="character" w:customStyle="1" w:styleId="76">
    <w:name w:val="批注文字 Char2"/>
    <w:semiHidden/>
    <w:qFormat/>
    <w:uiPriority w:val="99"/>
    <w:rPr>
      <w:rFonts w:ascii="Calibri" w:hAnsi="Calibri" w:eastAsia="宋体" w:cs="Times New Roman"/>
      <w:kern w:val="0"/>
      <w:sz w:val="20"/>
      <w:szCs w:val="20"/>
    </w:rPr>
  </w:style>
  <w:style w:type="character" w:customStyle="1" w:styleId="77">
    <w:name w:val="正文文本缩进 Char2"/>
    <w:qFormat/>
    <w:uiPriority w:val="99"/>
    <w:rPr>
      <w:rFonts w:eastAsia="楷体_GB2312"/>
      <w:kern w:val="2"/>
      <w:sz w:val="21"/>
    </w:rPr>
  </w:style>
  <w:style w:type="character" w:customStyle="1" w:styleId="78">
    <w:name w:val="纯文本 Char4"/>
    <w:semiHidden/>
    <w:qFormat/>
    <w:uiPriority w:val="99"/>
    <w:rPr>
      <w:rFonts w:ascii="宋体" w:hAnsi="Courier New" w:eastAsia="宋体" w:cs="Courier New"/>
      <w:kern w:val="0"/>
      <w:szCs w:val="21"/>
    </w:rPr>
  </w:style>
  <w:style w:type="character" w:customStyle="1" w:styleId="79">
    <w:name w:val="纯文本 Char3"/>
    <w:qFormat/>
    <w:locked/>
    <w:uiPriority w:val="0"/>
    <w:rPr>
      <w:rFonts w:ascii="宋体" w:hAnsi="Courier New" w:cs="Courier New"/>
      <w:szCs w:val="21"/>
    </w:rPr>
  </w:style>
  <w:style w:type="character" w:customStyle="1" w:styleId="80">
    <w:name w:val="Comment Text Char"/>
    <w:qFormat/>
    <w:locked/>
    <w:uiPriority w:val="0"/>
    <w:rPr>
      <w:rFonts w:eastAsia="宋体"/>
      <w:kern w:val="2"/>
      <w:sz w:val="24"/>
      <w:lang w:val="en-US" w:eastAsia="zh-CN"/>
    </w:rPr>
  </w:style>
  <w:style w:type="character" w:customStyle="1" w:styleId="81">
    <w:name w:val="Plain Text Char"/>
    <w:qFormat/>
    <w:locked/>
    <w:uiPriority w:val="99"/>
    <w:rPr>
      <w:rFonts w:ascii="宋体" w:hAnsi="Courier New" w:eastAsia="宋体"/>
      <w:kern w:val="2"/>
      <w:sz w:val="21"/>
      <w:lang w:val="en-US" w:eastAsia="zh-CN"/>
    </w:rPr>
  </w:style>
  <w:style w:type="character" w:customStyle="1" w:styleId="82">
    <w:name w:val="Endnote Text Char"/>
    <w:qFormat/>
    <w:locked/>
    <w:uiPriority w:val="0"/>
    <w:rPr>
      <w:rFonts w:cs="Times New Roman"/>
      <w:kern w:val="2"/>
      <w:sz w:val="21"/>
    </w:rPr>
  </w:style>
  <w:style w:type="character" w:customStyle="1" w:styleId="83">
    <w:name w:val="正文文本 Char2"/>
    <w:qFormat/>
    <w:uiPriority w:val="99"/>
    <w:rPr>
      <w:rFonts w:eastAsia="楷体_GB2312"/>
      <w:kern w:val="2"/>
      <w:sz w:val="21"/>
    </w:rPr>
  </w:style>
  <w:style w:type="character" w:customStyle="1" w:styleId="84">
    <w:name w:val="批注引用1"/>
    <w:qFormat/>
    <w:uiPriority w:val="0"/>
    <w:rPr>
      <w:sz w:val="21"/>
    </w:rPr>
  </w:style>
  <w:style w:type="character" w:customStyle="1" w:styleId="85">
    <w:name w:val="明显引用 Char2"/>
    <w:semiHidden/>
    <w:qFormat/>
    <w:uiPriority w:val="99"/>
    <w:rPr>
      <w:rFonts w:ascii="Calibri" w:hAnsi="Calibri"/>
      <w:b/>
      <w:bCs/>
      <w:i/>
      <w:iCs/>
      <w:color w:val="4F81BD"/>
      <w:kern w:val="2"/>
      <w:sz w:val="21"/>
      <w:szCs w:val="22"/>
    </w:rPr>
  </w:style>
  <w:style w:type="character" w:customStyle="1" w:styleId="86">
    <w:name w:val="引用 Char2"/>
    <w:semiHidden/>
    <w:qFormat/>
    <w:uiPriority w:val="99"/>
    <w:rPr>
      <w:rFonts w:ascii="Calibri" w:hAnsi="Calibri"/>
      <w:i/>
      <w:iCs/>
      <w:color w:val="000000"/>
      <w:kern w:val="2"/>
      <w:sz w:val="21"/>
      <w:szCs w:val="22"/>
    </w:rPr>
  </w:style>
  <w:style w:type="character" w:customStyle="1" w:styleId="87">
    <w:name w:val="页码1"/>
    <w:qFormat/>
    <w:uiPriority w:val="0"/>
    <w:rPr>
      <w:rFonts w:cs="Times New Roman"/>
    </w:rPr>
  </w:style>
  <w:style w:type="character" w:customStyle="1" w:styleId="88">
    <w:name w:val="称呼 Char1"/>
    <w:semiHidden/>
    <w:qFormat/>
    <w:uiPriority w:val="99"/>
    <w:rPr>
      <w:rFonts w:ascii="Calibri" w:hAnsi="Calibri"/>
      <w:kern w:val="2"/>
      <w:sz w:val="21"/>
      <w:szCs w:val="22"/>
    </w:rPr>
  </w:style>
  <w:style w:type="character" w:customStyle="1" w:styleId="89">
    <w:name w:val="正文文本缩进 3 Char1"/>
    <w:qFormat/>
    <w:uiPriority w:val="0"/>
    <w:rPr>
      <w:rFonts w:ascii="Calibri" w:hAnsi="Calibri"/>
      <w:kern w:val="2"/>
      <w:sz w:val="16"/>
      <w:szCs w:val="16"/>
    </w:rPr>
  </w:style>
  <w:style w:type="character" w:customStyle="1" w:styleId="90">
    <w:name w:val="HTML 预设格式 Char2"/>
    <w:semiHidden/>
    <w:qFormat/>
    <w:uiPriority w:val="99"/>
    <w:rPr>
      <w:rFonts w:ascii="Courier New" w:hAnsi="Courier New" w:cs="Courier New"/>
      <w:kern w:val="2"/>
    </w:rPr>
  </w:style>
  <w:style w:type="character" w:customStyle="1" w:styleId="91">
    <w:name w:val="标题 Char2"/>
    <w:qFormat/>
    <w:uiPriority w:val="10"/>
    <w:rPr>
      <w:rFonts w:ascii="Cambria" w:hAnsi="Cambria" w:cs="Times New Roman"/>
      <w:b/>
      <w:bCs/>
      <w:kern w:val="2"/>
      <w:sz w:val="32"/>
      <w:szCs w:val="32"/>
    </w:rPr>
  </w:style>
  <w:style w:type="character" w:customStyle="1" w:styleId="92">
    <w:name w:val="尾注文本 Char4"/>
    <w:semiHidden/>
    <w:qFormat/>
    <w:uiPriority w:val="99"/>
    <w:rPr>
      <w:rFonts w:ascii="Calibri" w:hAnsi="Calibri"/>
      <w:kern w:val="2"/>
      <w:sz w:val="21"/>
      <w:szCs w:val="22"/>
    </w:rPr>
  </w:style>
  <w:style w:type="character" w:customStyle="1" w:styleId="93">
    <w:name w:val="副标题 Char3"/>
    <w:qFormat/>
    <w:uiPriority w:val="11"/>
    <w:rPr>
      <w:rFonts w:ascii="Cambria" w:hAnsi="Cambria" w:cs="Times New Roman"/>
      <w:b/>
      <w:bCs/>
      <w:kern w:val="28"/>
      <w:sz w:val="32"/>
      <w:szCs w:val="32"/>
    </w:rPr>
  </w:style>
  <w:style w:type="character" w:customStyle="1" w:styleId="94">
    <w:name w:val="批注主题 字符"/>
    <w:qFormat/>
    <w:uiPriority w:val="0"/>
    <w:rPr>
      <w:b/>
      <w:bCs/>
      <w:kern w:val="2"/>
      <w:sz w:val="21"/>
      <w:szCs w:val="24"/>
    </w:rPr>
  </w:style>
  <w:style w:type="character" w:customStyle="1" w:styleId="95">
    <w:name w:val="标题 2 Char Char Char1"/>
    <w:qFormat/>
    <w:uiPriority w:val="0"/>
    <w:rPr>
      <w:rFonts w:ascii="Arial" w:hAnsi="Arial" w:eastAsia="黑体"/>
      <w:b/>
      <w:bCs/>
      <w:kern w:val="2"/>
      <w:sz w:val="32"/>
      <w:szCs w:val="32"/>
      <w:lang w:val="en-US" w:eastAsia="zh-CN" w:bidi="ar-SA"/>
    </w:rPr>
  </w:style>
  <w:style w:type="character" w:customStyle="1" w:styleId="96">
    <w:name w:val="Char Char15"/>
    <w:qFormat/>
    <w:uiPriority w:val="0"/>
    <w:rPr>
      <w:rFonts w:ascii="Arial" w:hAnsi="Arial" w:eastAsia="宋体"/>
      <w:b/>
      <w:bCs/>
      <w:kern w:val="2"/>
      <w:sz w:val="21"/>
      <w:szCs w:val="28"/>
      <w:lang w:val="en-US" w:eastAsia="zh-CN" w:bidi="ar-SA"/>
    </w:rPr>
  </w:style>
  <w:style w:type="character" w:customStyle="1" w:styleId="97">
    <w:name w:val="页眉 Char1"/>
    <w:semiHidden/>
    <w:qFormat/>
    <w:uiPriority w:val="99"/>
    <w:rPr>
      <w:rFonts w:ascii="Times New Roman" w:hAnsi="Times New Roman" w:eastAsia="宋体" w:cs="Times New Roman"/>
      <w:kern w:val="0"/>
      <w:sz w:val="18"/>
      <w:szCs w:val="18"/>
      <w:lang w:eastAsia="en-US"/>
    </w:rPr>
  </w:style>
  <w:style w:type="character" w:customStyle="1" w:styleId="98">
    <w:name w:val="批注文字 字符"/>
    <w:qFormat/>
    <w:uiPriority w:val="0"/>
    <w:rPr>
      <w:kern w:val="2"/>
      <w:sz w:val="21"/>
      <w:szCs w:val="24"/>
    </w:rPr>
  </w:style>
  <w:style w:type="character" w:customStyle="1" w:styleId="99">
    <w:name w:val="HTML Markup"/>
    <w:qFormat/>
    <w:uiPriority w:val="0"/>
    <w:rPr>
      <w:vanish/>
      <w:color w:val="FF0000"/>
    </w:rPr>
  </w:style>
  <w:style w:type="character" w:customStyle="1" w:styleId="100">
    <w:name w:val="标题1"/>
    <w:qFormat/>
    <w:uiPriority w:val="0"/>
    <w:rPr>
      <w:rFonts w:ascii="宋体" w:hAnsi="宋体" w:cs="宋体"/>
      <w:kern w:val="2"/>
      <w:sz w:val="24"/>
      <w:szCs w:val="24"/>
    </w:rPr>
  </w:style>
  <w:style w:type="character" w:customStyle="1" w:styleId="101">
    <w:name w:val="日期 Char1"/>
    <w:qFormat/>
    <w:uiPriority w:val="99"/>
    <w:rPr>
      <w:kern w:val="2"/>
      <w:sz w:val="21"/>
      <w:szCs w:val="22"/>
    </w:rPr>
  </w:style>
  <w:style w:type="character" w:customStyle="1" w:styleId="102">
    <w:name w:val="日期 Char3"/>
    <w:semiHidden/>
    <w:qFormat/>
    <w:uiPriority w:val="99"/>
    <w:rPr>
      <w:rFonts w:ascii="Calibri" w:hAnsi="Calibri" w:eastAsia="宋体" w:cs="Times New Roman"/>
      <w:kern w:val="0"/>
      <w:sz w:val="20"/>
      <w:szCs w:val="20"/>
    </w:rPr>
  </w:style>
  <w:style w:type="character" w:customStyle="1" w:styleId="103">
    <w:name w:val="tdrownotice1"/>
    <w:qFormat/>
    <w:uiPriority w:val="0"/>
    <w:rPr>
      <w:sz w:val="22"/>
      <w:szCs w:val="22"/>
    </w:rPr>
  </w:style>
  <w:style w:type="character" w:customStyle="1" w:styleId="104">
    <w:name w:val="H1 Char"/>
    <w:qFormat/>
    <w:uiPriority w:val="0"/>
    <w:rPr>
      <w:rFonts w:eastAsia="宋体"/>
      <w:b/>
      <w:bCs/>
      <w:kern w:val="44"/>
      <w:sz w:val="32"/>
      <w:szCs w:val="44"/>
      <w:lang w:val="en-US" w:eastAsia="zh-CN" w:bidi="ar-SA"/>
    </w:rPr>
  </w:style>
  <w:style w:type="character" w:customStyle="1" w:styleId="105">
    <w:name w:val="ca-10"/>
    <w:qFormat/>
    <w:uiPriority w:val="0"/>
  </w:style>
  <w:style w:type="character" w:customStyle="1" w:styleId="106">
    <w:name w:val="font161"/>
    <w:qFormat/>
    <w:uiPriority w:val="0"/>
    <w:rPr>
      <w:b/>
      <w:bCs/>
      <w:sz w:val="32"/>
      <w:szCs w:val="32"/>
    </w:rPr>
  </w:style>
  <w:style w:type="character" w:customStyle="1" w:styleId="107">
    <w:name w:val="正文编号 Char"/>
    <w:link w:val="108"/>
    <w:qFormat/>
    <w:uiPriority w:val="0"/>
    <w:rPr>
      <w:rFonts w:ascii="宋体" w:hAnsi="宋体"/>
      <w:kern w:val="2"/>
      <w:sz w:val="24"/>
      <w:szCs w:val="24"/>
    </w:rPr>
  </w:style>
  <w:style w:type="paragraph" w:customStyle="1" w:styleId="108">
    <w:name w:val="正文编号"/>
    <w:basedOn w:val="109"/>
    <w:link w:val="107"/>
    <w:qFormat/>
    <w:uiPriority w:val="0"/>
    <w:pPr>
      <w:widowControl/>
      <w:tabs>
        <w:tab w:val="left" w:pos="567"/>
      </w:tabs>
      <w:snapToGrid w:val="0"/>
      <w:spacing w:beforeLines="50" w:afterLines="50" w:line="288" w:lineRule="auto"/>
      <w:ind w:left="567" w:hanging="567"/>
      <w:jc w:val="left"/>
    </w:pPr>
    <w:rPr>
      <w:rFonts w:ascii="宋体" w:hAnsi="宋体"/>
      <w:color w:val="auto"/>
      <w:kern w:val="2"/>
      <w:sz w:val="24"/>
      <w:szCs w:val="24"/>
    </w:rPr>
  </w:style>
  <w:style w:type="paragraph" w:customStyle="1" w:styleId="109">
    <w:name w:val="_Style 7"/>
    <w:basedOn w:val="1"/>
    <w:qFormat/>
    <w:uiPriority w:val="0"/>
    <w:pPr>
      <w:spacing w:line="312" w:lineRule="atLeast"/>
      <w:ind w:firstLine="420"/>
    </w:pPr>
    <w:rPr>
      <w:color w:val="000000"/>
      <w:kern w:val="0"/>
      <w:szCs w:val="20"/>
    </w:rPr>
  </w:style>
  <w:style w:type="character" w:customStyle="1" w:styleId="110">
    <w:name w:val="h3 Char2"/>
    <w:qFormat/>
    <w:uiPriority w:val="0"/>
    <w:rPr>
      <w:rFonts w:eastAsia="宋体"/>
      <w:b/>
      <w:bCs/>
      <w:kern w:val="2"/>
      <w:sz w:val="24"/>
      <w:szCs w:val="32"/>
      <w:lang w:val="en-US" w:eastAsia="zh-CN" w:bidi="ar-SA"/>
    </w:rPr>
  </w:style>
  <w:style w:type="character" w:customStyle="1" w:styleId="111">
    <w:name w:val="明显参考1"/>
    <w:qFormat/>
    <w:uiPriority w:val="0"/>
    <w:rPr>
      <w:b/>
      <w:bCs/>
      <w:smallCaps/>
      <w:color w:val="C0504D"/>
      <w:spacing w:val="5"/>
      <w:u w:val="single"/>
    </w:rPr>
  </w:style>
  <w:style w:type="character" w:customStyle="1" w:styleId="112">
    <w:name w:val="Char Char3"/>
    <w:qFormat/>
    <w:uiPriority w:val="0"/>
    <w:rPr>
      <w:rFonts w:eastAsia="宋体"/>
      <w:kern w:val="2"/>
      <w:sz w:val="21"/>
      <w:szCs w:val="24"/>
      <w:lang w:val="en-US" w:eastAsia="zh-CN" w:bidi="ar-SA"/>
    </w:rPr>
  </w:style>
  <w:style w:type="character" w:customStyle="1" w:styleId="113">
    <w:name w:val="article"/>
    <w:qFormat/>
    <w:uiPriority w:val="0"/>
  </w:style>
  <w:style w:type="character" w:customStyle="1" w:styleId="114">
    <w:name w:val="页脚 字符"/>
    <w:qFormat/>
    <w:uiPriority w:val="99"/>
    <w:rPr>
      <w:kern w:val="2"/>
      <w:sz w:val="18"/>
      <w:szCs w:val="18"/>
    </w:rPr>
  </w:style>
  <w:style w:type="character" w:customStyle="1" w:styleId="115">
    <w:name w:val="副标题 Char1"/>
    <w:qFormat/>
    <w:uiPriority w:val="0"/>
    <w:rPr>
      <w:rFonts w:ascii="Calibri Light" w:hAnsi="Calibri Light" w:eastAsia="宋体" w:cs="Times New Roman"/>
      <w:b/>
      <w:bCs/>
      <w:kern w:val="28"/>
      <w:sz w:val="32"/>
      <w:szCs w:val="32"/>
    </w:rPr>
  </w:style>
  <w:style w:type="character" w:customStyle="1" w:styleId="116">
    <w:name w:val="纯文本 Char2"/>
    <w:qFormat/>
    <w:uiPriority w:val="0"/>
    <w:rPr>
      <w:rFonts w:ascii="宋体" w:hAnsi="Courier New" w:cs="Courier New"/>
      <w:sz w:val="21"/>
      <w:szCs w:val="21"/>
    </w:rPr>
  </w:style>
  <w:style w:type="character" w:customStyle="1" w:styleId="117">
    <w:name w:val="文一 Char Char"/>
    <w:qFormat/>
    <w:uiPriority w:val="0"/>
    <w:rPr>
      <w:snapToGrid/>
      <w:spacing w:val="4"/>
      <w:sz w:val="24"/>
      <w:szCs w:val="24"/>
    </w:rPr>
  </w:style>
  <w:style w:type="character" w:customStyle="1" w:styleId="118">
    <w:name w:val="正文文本 2 字符"/>
    <w:qFormat/>
    <w:uiPriority w:val="0"/>
    <w:rPr>
      <w:kern w:val="2"/>
      <w:sz w:val="44"/>
      <w:szCs w:val="24"/>
    </w:rPr>
  </w:style>
  <w:style w:type="character" w:customStyle="1" w:styleId="119">
    <w:name w:val="标题 5 字符"/>
    <w:qFormat/>
    <w:uiPriority w:val="0"/>
    <w:rPr>
      <w:b/>
      <w:bCs/>
      <w:kern w:val="2"/>
      <w:sz w:val="28"/>
      <w:szCs w:val="28"/>
    </w:rPr>
  </w:style>
  <w:style w:type="character" w:customStyle="1" w:styleId="120">
    <w:name w:val="标题5 Char Char"/>
    <w:link w:val="121"/>
    <w:qFormat/>
    <w:uiPriority w:val="0"/>
    <w:rPr>
      <w:rFonts w:ascii="Arial" w:hAnsi="Arial"/>
      <w:b/>
      <w:bCs/>
      <w:sz w:val="24"/>
      <w:szCs w:val="32"/>
    </w:rPr>
  </w:style>
  <w:style w:type="paragraph" w:customStyle="1" w:styleId="121">
    <w:name w:val="标题5"/>
    <w:basedOn w:val="4"/>
    <w:link w:val="120"/>
    <w:qFormat/>
    <w:uiPriority w:val="0"/>
    <w:pPr>
      <w:spacing w:line="413" w:lineRule="auto"/>
    </w:pPr>
    <w:rPr>
      <w:rFonts w:ascii="Arial" w:hAnsi="Arial"/>
      <w:sz w:val="24"/>
    </w:rPr>
  </w:style>
  <w:style w:type="character" w:customStyle="1" w:styleId="122">
    <w:name w:val="Char Char7"/>
    <w:qFormat/>
    <w:locked/>
    <w:uiPriority w:val="0"/>
    <w:rPr>
      <w:rFonts w:ascii="宋体" w:hAnsi="宋体" w:eastAsia="宋体"/>
      <w:kern w:val="2"/>
      <w:sz w:val="21"/>
      <w:szCs w:val="24"/>
      <w:lang w:val="en-US" w:eastAsia="zh-CN" w:bidi="ar-SA"/>
    </w:rPr>
  </w:style>
  <w:style w:type="character" w:customStyle="1" w:styleId="123">
    <w:name w:val="书籍标题1"/>
    <w:qFormat/>
    <w:uiPriority w:val="0"/>
    <w:rPr>
      <w:b/>
      <w:bCs/>
      <w:smallCaps/>
      <w:spacing w:val="5"/>
    </w:rPr>
  </w:style>
  <w:style w:type="character" w:customStyle="1" w:styleId="124">
    <w:name w:val="正文首行缩进 Char2"/>
    <w:qFormat/>
    <w:uiPriority w:val="99"/>
    <w:rPr>
      <w:rFonts w:eastAsia="宋体"/>
      <w:kern w:val="2"/>
      <w:sz w:val="21"/>
      <w:szCs w:val="24"/>
      <w:lang w:val="en-US" w:eastAsia="zh-CN" w:bidi="ar-SA"/>
    </w:rPr>
  </w:style>
  <w:style w:type="character" w:customStyle="1" w:styleId="125">
    <w:name w:val="highlight1"/>
    <w:qFormat/>
    <w:uiPriority w:val="0"/>
    <w:rPr>
      <w:sz w:val="21"/>
      <w:szCs w:val="21"/>
    </w:rPr>
  </w:style>
  <w:style w:type="character" w:customStyle="1" w:styleId="126">
    <w:name w:val="副标题 字符"/>
    <w:qFormat/>
    <w:uiPriority w:val="0"/>
    <w:rPr>
      <w:rFonts w:ascii="Cambria" w:hAnsi="Cambria" w:cs="宋体"/>
      <w:b/>
      <w:bCs/>
      <w:kern w:val="28"/>
      <w:sz w:val="32"/>
      <w:szCs w:val="32"/>
    </w:rPr>
  </w:style>
  <w:style w:type="character" w:customStyle="1" w:styleId="127">
    <w:name w:val="正文文本 Char1"/>
    <w:qFormat/>
    <w:uiPriority w:val="0"/>
    <w:rPr>
      <w:kern w:val="2"/>
      <w:sz w:val="21"/>
      <w:szCs w:val="22"/>
    </w:rPr>
  </w:style>
  <w:style w:type="character" w:customStyle="1" w:styleId="128">
    <w:name w:val="正文文本缩进 3 字符"/>
    <w:qFormat/>
    <w:uiPriority w:val="0"/>
    <w:rPr>
      <w:rFonts w:ascii="仿宋_GB2312" w:eastAsia="仿宋_GB2312"/>
      <w:bCs/>
      <w:spacing w:val="24"/>
      <w:kern w:val="2"/>
      <w:sz w:val="23"/>
      <w:szCs w:val="24"/>
    </w:rPr>
  </w:style>
  <w:style w:type="character" w:customStyle="1" w:styleId="129">
    <w:name w:val="Hyperlink.0"/>
    <w:qFormat/>
    <w:uiPriority w:val="0"/>
    <w:rPr>
      <w:color w:val="000000"/>
      <w:u w:val="none" w:color="000000"/>
    </w:rPr>
  </w:style>
  <w:style w:type="character" w:customStyle="1" w:styleId="130">
    <w:name w:val="文一 Char"/>
    <w:link w:val="131"/>
    <w:qFormat/>
    <w:uiPriority w:val="0"/>
    <w:rPr>
      <w:snapToGrid w:val="0"/>
      <w:spacing w:val="4"/>
      <w:sz w:val="24"/>
      <w:szCs w:val="24"/>
    </w:rPr>
  </w:style>
  <w:style w:type="paragraph" w:customStyle="1" w:styleId="131">
    <w:name w:val="文一"/>
    <w:basedOn w:val="1"/>
    <w:link w:val="130"/>
    <w:qFormat/>
    <w:uiPriority w:val="0"/>
    <w:pPr>
      <w:topLinePunct/>
      <w:adjustRightInd w:val="0"/>
      <w:snapToGrid w:val="0"/>
      <w:spacing w:line="360" w:lineRule="auto"/>
      <w:ind w:firstLine="200" w:firstLineChars="200"/>
    </w:pPr>
    <w:rPr>
      <w:rFonts w:ascii="Times New Roman" w:hAnsi="Times New Roman"/>
      <w:snapToGrid w:val="0"/>
      <w:spacing w:val="4"/>
      <w:kern w:val="0"/>
      <w:sz w:val="24"/>
      <w:szCs w:val="24"/>
    </w:rPr>
  </w:style>
  <w:style w:type="character" w:customStyle="1" w:styleId="132">
    <w:name w:val="批注文字 Char1"/>
    <w:qFormat/>
    <w:uiPriority w:val="0"/>
    <w:rPr>
      <w:kern w:val="2"/>
      <w:sz w:val="21"/>
      <w:szCs w:val="24"/>
    </w:rPr>
  </w:style>
  <w:style w:type="character" w:customStyle="1" w:styleId="133">
    <w:name w:val="样式 正文缩进表正文正文非缩进特点上海中望标准正文（首行缩进两字）文字正文（首行缩进两字） Char正文（首行缩进...1 Char"/>
    <w:link w:val="134"/>
    <w:qFormat/>
    <w:uiPriority w:val="0"/>
    <w:rPr>
      <w:rFonts w:ascii="华文仿宋" w:hAnsi="华文仿宋" w:eastAsia="华文仿宋" w:cs="宋体"/>
      <w:kern w:val="2"/>
      <w:sz w:val="28"/>
      <w:szCs w:val="24"/>
    </w:rPr>
  </w:style>
  <w:style w:type="paragraph" w:customStyle="1" w:styleId="134">
    <w:name w:val="样式 正文缩进表正文正文非缩进特点上海中望标准正文（首行缩进两字）文字正文（首行缩进两字） Char正文（首行缩进...1"/>
    <w:basedOn w:val="13"/>
    <w:link w:val="133"/>
    <w:qFormat/>
    <w:uiPriority w:val="0"/>
    <w:pPr>
      <w:adjustRightInd w:val="0"/>
      <w:snapToGrid w:val="0"/>
      <w:spacing w:line="360" w:lineRule="auto"/>
      <w:ind w:firstLine="560" w:firstLineChars="200"/>
    </w:pPr>
    <w:rPr>
      <w:rFonts w:ascii="华文仿宋" w:hAnsi="华文仿宋" w:eastAsia="华文仿宋" w:cs="宋体"/>
      <w:kern w:val="2"/>
      <w:sz w:val="28"/>
      <w:szCs w:val="24"/>
    </w:rPr>
  </w:style>
  <w:style w:type="character" w:customStyle="1" w:styleId="135">
    <w:name w:val="HTML 预设格式 Char1"/>
    <w:qFormat/>
    <w:uiPriority w:val="0"/>
    <w:rPr>
      <w:rFonts w:ascii="Courier New" w:hAnsi="Courier New" w:cs="Courier New"/>
      <w:kern w:val="2"/>
    </w:rPr>
  </w:style>
  <w:style w:type="character" w:customStyle="1" w:styleId="136">
    <w:name w:val="章节二 Char"/>
    <w:qFormat/>
    <w:uiPriority w:val="0"/>
    <w:rPr>
      <w:rFonts w:ascii="Verdana" w:hAnsi="Verdana" w:eastAsia="黑体"/>
      <w:b/>
      <w:i/>
      <w:iCs/>
      <w:snapToGrid w:val="0"/>
      <w:color w:val="000000"/>
      <w:spacing w:val="4"/>
      <w:kern w:val="0"/>
      <w:sz w:val="30"/>
      <w:szCs w:val="30"/>
      <w:lang w:val="en-US" w:eastAsia="zh-CN" w:bidi="ar-SA"/>
    </w:rPr>
  </w:style>
  <w:style w:type="character" w:customStyle="1" w:styleId="137">
    <w:name w:val="apple-converted-space"/>
    <w:qFormat/>
    <w:uiPriority w:val="0"/>
  </w:style>
  <w:style w:type="character" w:customStyle="1" w:styleId="138">
    <w:name w:val="批注主题 Char2"/>
    <w:semiHidden/>
    <w:qFormat/>
    <w:uiPriority w:val="99"/>
    <w:rPr>
      <w:rFonts w:ascii="Calibri" w:hAnsi="Calibri" w:eastAsia="宋体" w:cs="Times New Roman"/>
      <w:b/>
      <w:bCs/>
      <w:kern w:val="0"/>
      <w:sz w:val="20"/>
      <w:szCs w:val="20"/>
    </w:rPr>
  </w:style>
  <w:style w:type="character" w:customStyle="1" w:styleId="139">
    <w:name w:val="标题 Char"/>
    <w:link w:val="50"/>
    <w:qFormat/>
    <w:uiPriority w:val="0"/>
    <w:rPr>
      <w:rFonts w:ascii="Cambria" w:hAnsi="Cambria"/>
      <w:b/>
      <w:bCs/>
      <w:sz w:val="32"/>
      <w:szCs w:val="32"/>
    </w:rPr>
  </w:style>
  <w:style w:type="character" w:customStyle="1" w:styleId="140">
    <w:name w:val="标题 1 字符"/>
    <w:qFormat/>
    <w:uiPriority w:val="0"/>
    <w:rPr>
      <w:rFonts w:ascii="Arial" w:hAnsi="Arial"/>
      <w:bCs/>
      <w:kern w:val="44"/>
      <w:sz w:val="44"/>
      <w:szCs w:val="44"/>
    </w:rPr>
  </w:style>
  <w:style w:type="character" w:customStyle="1" w:styleId="141">
    <w:name w:val="明显强调11"/>
    <w:qFormat/>
    <w:uiPriority w:val="0"/>
    <w:rPr>
      <w:b/>
      <w:bCs/>
      <w:i/>
      <w:iCs/>
      <w:color w:val="4F81BD"/>
    </w:rPr>
  </w:style>
  <w:style w:type="character" w:customStyle="1" w:styleId="142">
    <w:name w:val="英文"/>
    <w:qFormat/>
    <w:uiPriority w:val="0"/>
    <w:rPr>
      <w:rFonts w:ascii="Lucida Fax" w:hAnsi="Lucida Fax" w:cs="Times New Roman"/>
      <w:b/>
      <w:bCs/>
    </w:rPr>
  </w:style>
  <w:style w:type="character" w:customStyle="1" w:styleId="143">
    <w:name w:val="Char Char6"/>
    <w:qFormat/>
    <w:uiPriority w:val="0"/>
    <w:rPr>
      <w:rFonts w:eastAsia="宋体"/>
      <w:kern w:val="2"/>
      <w:sz w:val="21"/>
      <w:szCs w:val="24"/>
      <w:lang w:val="en-US" w:eastAsia="zh-CN" w:bidi="ar-SA"/>
    </w:rPr>
  </w:style>
  <w:style w:type="character" w:customStyle="1" w:styleId="144">
    <w:name w:val="ggbt1"/>
    <w:qFormat/>
    <w:uiPriority w:val="0"/>
    <w:rPr>
      <w:b/>
      <w:bCs/>
      <w:sz w:val="28"/>
      <w:szCs w:val="28"/>
    </w:rPr>
  </w:style>
  <w:style w:type="character" w:customStyle="1" w:styleId="145">
    <w:name w:val="日期 字符"/>
    <w:qFormat/>
    <w:uiPriority w:val="0"/>
    <w:rPr>
      <w:rFonts w:eastAsia="黑体"/>
      <w:kern w:val="2"/>
      <w:sz w:val="28"/>
    </w:rPr>
  </w:style>
  <w:style w:type="character" w:customStyle="1" w:styleId="146">
    <w:name w:val="gonggao-downline1"/>
    <w:qFormat/>
    <w:uiPriority w:val="0"/>
    <w:rPr>
      <w:b/>
      <w:bCs/>
      <w:u w:val="single"/>
    </w:rPr>
  </w:style>
  <w:style w:type="character" w:customStyle="1" w:styleId="147">
    <w:name w:val="HTML 预设格式 字符"/>
    <w:qFormat/>
    <w:uiPriority w:val="99"/>
    <w:rPr>
      <w:rFonts w:ascii="宋体" w:hAnsi="宋体" w:cs="宋体"/>
      <w:sz w:val="24"/>
      <w:szCs w:val="24"/>
    </w:rPr>
  </w:style>
  <w:style w:type="character" w:customStyle="1" w:styleId="148">
    <w:name w:val="文档结构图 字符"/>
    <w:qFormat/>
    <w:uiPriority w:val="0"/>
    <w:rPr>
      <w:kern w:val="2"/>
      <w:sz w:val="21"/>
      <w:szCs w:val="24"/>
      <w:shd w:val="clear" w:color="auto" w:fill="000080"/>
    </w:rPr>
  </w:style>
  <w:style w:type="character" w:customStyle="1" w:styleId="149">
    <w:name w:val="111"/>
    <w:qFormat/>
    <w:uiPriority w:val="0"/>
  </w:style>
  <w:style w:type="character" w:customStyle="1" w:styleId="150">
    <w:name w:val="章节一 Char"/>
    <w:qFormat/>
    <w:uiPriority w:val="0"/>
    <w:rPr>
      <w:rFonts w:ascii="Verdana" w:hAnsi="Verdana" w:eastAsia="黑体"/>
      <w:b/>
      <w:i/>
      <w:iCs/>
      <w:snapToGrid w:val="0"/>
      <w:color w:val="000000"/>
      <w:spacing w:val="4"/>
      <w:kern w:val="0"/>
      <w:sz w:val="36"/>
      <w:szCs w:val="36"/>
      <w:lang w:val="en-US" w:eastAsia="zh-CN" w:bidi="ar-SA"/>
    </w:rPr>
  </w:style>
  <w:style w:type="character" w:customStyle="1" w:styleId="151">
    <w:name w:val="尾注文本 Char"/>
    <w:qFormat/>
    <w:uiPriority w:val="0"/>
    <w:rPr>
      <w:rFonts w:ascii="Times New Roman" w:hAnsi="Times New Roman"/>
      <w:kern w:val="2"/>
      <w:sz w:val="24"/>
      <w:szCs w:val="24"/>
    </w:rPr>
  </w:style>
  <w:style w:type="character" w:customStyle="1" w:styleId="152">
    <w:name w:val="正文文本 字符"/>
    <w:qFormat/>
    <w:uiPriority w:val="0"/>
    <w:rPr>
      <w:rFonts w:ascii="仿宋_GB2312" w:eastAsia="仿宋_GB2312"/>
      <w:kern w:val="2"/>
      <w:sz w:val="28"/>
      <w:szCs w:val="24"/>
    </w:rPr>
  </w:style>
  <w:style w:type="character" w:customStyle="1" w:styleId="153">
    <w:name w:val="正文文本缩进 字符"/>
    <w:qFormat/>
    <w:uiPriority w:val="0"/>
    <w:rPr>
      <w:rFonts w:ascii="仿宋_GB2312" w:eastAsia="仿宋_GB2312"/>
      <w:spacing w:val="7"/>
      <w:kern w:val="2"/>
      <w:sz w:val="23"/>
      <w:szCs w:val="24"/>
    </w:rPr>
  </w:style>
  <w:style w:type="character" w:customStyle="1" w:styleId="154">
    <w:name w:val="标题 字符"/>
    <w:qFormat/>
    <w:uiPriority w:val="0"/>
    <w:rPr>
      <w:rFonts w:ascii="Arial" w:hAnsi="Arial"/>
      <w:b/>
      <w:kern w:val="2"/>
      <w:sz w:val="44"/>
      <w:szCs w:val="24"/>
    </w:rPr>
  </w:style>
  <w:style w:type="character" w:customStyle="1" w:styleId="155">
    <w:name w:val="标题 2 字符"/>
    <w:qFormat/>
    <w:uiPriority w:val="0"/>
    <w:rPr>
      <w:rFonts w:ascii="Arial" w:hAnsi="Arial" w:eastAsia="仿宋_GB2312"/>
      <w:b/>
      <w:bCs/>
      <w:kern w:val="2"/>
      <w:sz w:val="32"/>
      <w:szCs w:val="32"/>
    </w:rPr>
  </w:style>
  <w:style w:type="character" w:customStyle="1" w:styleId="156">
    <w:name w:val="font1"/>
    <w:qFormat/>
    <w:uiPriority w:val="0"/>
    <w:rPr>
      <w:color w:val="000000"/>
      <w:sz w:val="18"/>
      <w:szCs w:val="18"/>
      <w:u w:val="none"/>
    </w:rPr>
  </w:style>
  <w:style w:type="character" w:customStyle="1" w:styleId="157">
    <w:name w:val="表中文字 Char"/>
    <w:qFormat/>
    <w:uiPriority w:val="0"/>
    <w:rPr>
      <w:rFonts w:eastAsia="宋体"/>
      <w:kern w:val="2"/>
      <w:sz w:val="21"/>
      <w:szCs w:val="24"/>
      <w:lang w:val="en-US" w:eastAsia="zh-CN" w:bidi="ar-SA"/>
    </w:rPr>
  </w:style>
  <w:style w:type="character" w:customStyle="1" w:styleId="158">
    <w:name w:val="Char Char101"/>
    <w:qFormat/>
    <w:uiPriority w:val="0"/>
    <w:rPr>
      <w:rFonts w:hint="eastAsia" w:ascii="宋体" w:hAnsi="Courier New" w:eastAsia="宋体"/>
      <w:kern w:val="2"/>
      <w:sz w:val="24"/>
      <w:szCs w:val="24"/>
      <w:lang w:val="en-US" w:eastAsia="zh-CN" w:bidi="ar-SA"/>
    </w:rPr>
  </w:style>
  <w:style w:type="character" w:customStyle="1" w:styleId="159">
    <w:name w:val="Char Char8"/>
    <w:qFormat/>
    <w:uiPriority w:val="0"/>
    <w:rPr>
      <w:rFonts w:ascii="Arial" w:hAnsi="Arial" w:eastAsia="宋体"/>
      <w:b/>
      <w:bCs/>
      <w:kern w:val="2"/>
      <w:sz w:val="21"/>
      <w:szCs w:val="28"/>
      <w:lang w:val="en-US" w:eastAsia="zh-CN" w:bidi="ar-SA"/>
    </w:rPr>
  </w:style>
  <w:style w:type="character" w:customStyle="1" w:styleId="160">
    <w:name w:val="Char Char91"/>
    <w:qFormat/>
    <w:uiPriority w:val="0"/>
    <w:rPr>
      <w:rFonts w:eastAsia="宋体"/>
      <w:kern w:val="2"/>
      <w:sz w:val="18"/>
      <w:szCs w:val="18"/>
      <w:lang w:val="en-US" w:eastAsia="zh-CN" w:bidi="ar-SA"/>
    </w:rPr>
  </w:style>
  <w:style w:type="character" w:customStyle="1" w:styleId="161">
    <w:name w:val="日期 Char"/>
    <w:link w:val="32"/>
    <w:qFormat/>
    <w:uiPriority w:val="0"/>
    <w:rPr>
      <w:sz w:val="24"/>
    </w:rPr>
  </w:style>
  <w:style w:type="character" w:customStyle="1" w:styleId="162">
    <w:name w:val="批注框文本 Char2"/>
    <w:semiHidden/>
    <w:qFormat/>
    <w:uiPriority w:val="99"/>
    <w:rPr>
      <w:rFonts w:ascii="Times New Roman" w:hAnsi="Times New Roman" w:eastAsia="宋体" w:cs="Times New Roman"/>
      <w:kern w:val="0"/>
      <w:sz w:val="18"/>
      <w:szCs w:val="18"/>
      <w:lang w:eastAsia="en-US"/>
    </w:rPr>
  </w:style>
  <w:style w:type="character" w:customStyle="1" w:styleId="163">
    <w:name w:val="Char Char1"/>
    <w:qFormat/>
    <w:uiPriority w:val="0"/>
    <w:rPr>
      <w:rFonts w:ascii="宋体" w:eastAsia="宋体"/>
      <w:sz w:val="22"/>
      <w:lang w:val="en-US" w:eastAsia="zh-CN" w:bidi="ar-SA"/>
    </w:rPr>
  </w:style>
  <w:style w:type="character" w:customStyle="1" w:styleId="164">
    <w:name w:val="不明显参考11"/>
    <w:qFormat/>
    <w:uiPriority w:val="0"/>
    <w:rPr>
      <w:smallCaps/>
      <w:color w:val="C0504D"/>
      <w:u w:val="single"/>
    </w:rPr>
  </w:style>
  <w:style w:type="character" w:customStyle="1" w:styleId="165">
    <w:name w:val="样式 仿宋_GB2312 四号"/>
    <w:qFormat/>
    <w:uiPriority w:val="0"/>
    <w:rPr>
      <w:rFonts w:ascii="仿宋_GB2312" w:hAnsi="仿宋_GB2312" w:eastAsia="华文仿宋" w:cs="宋体"/>
      <w:kern w:val="2"/>
      <w:sz w:val="28"/>
      <w:szCs w:val="24"/>
    </w:rPr>
  </w:style>
  <w:style w:type="character" w:customStyle="1" w:styleId="166">
    <w:name w:val="正文 1 Char1"/>
    <w:link w:val="167"/>
    <w:qFormat/>
    <w:uiPriority w:val="0"/>
    <w:rPr>
      <w:rFonts w:ascii="宋体" w:hAnsi="宋体" w:cs="宋体"/>
      <w:color w:val="000000"/>
      <w:sz w:val="24"/>
      <w:lang w:val="zh-CN"/>
    </w:rPr>
  </w:style>
  <w:style w:type="paragraph" w:customStyle="1" w:styleId="167">
    <w:name w:val="正文 1"/>
    <w:basedOn w:val="1"/>
    <w:link w:val="166"/>
    <w:qFormat/>
    <w:uiPriority w:val="0"/>
    <w:pPr>
      <w:spacing w:line="360" w:lineRule="auto"/>
      <w:ind w:left="350" w:firstLine="200"/>
    </w:pPr>
    <w:rPr>
      <w:rFonts w:ascii="宋体" w:hAnsi="宋体" w:cs="宋体"/>
      <w:color w:val="000000"/>
      <w:kern w:val="0"/>
      <w:sz w:val="24"/>
      <w:szCs w:val="20"/>
      <w:lang w:val="zh-CN"/>
    </w:rPr>
  </w:style>
  <w:style w:type="character" w:customStyle="1" w:styleId="168">
    <w:name w:val="页眉 字符"/>
    <w:qFormat/>
    <w:uiPriority w:val="0"/>
    <w:rPr>
      <w:kern w:val="2"/>
      <w:sz w:val="18"/>
      <w:szCs w:val="18"/>
    </w:rPr>
  </w:style>
  <w:style w:type="character" w:customStyle="1" w:styleId="169">
    <w:name w:val="Char Char4"/>
    <w:qFormat/>
    <w:uiPriority w:val="0"/>
    <w:rPr>
      <w:rFonts w:eastAsia="宋体"/>
      <w:kern w:val="2"/>
      <w:sz w:val="18"/>
      <w:szCs w:val="18"/>
      <w:lang w:val="en-US" w:eastAsia="zh-CN" w:bidi="ar-SA"/>
    </w:rPr>
  </w:style>
  <w:style w:type="character" w:customStyle="1" w:styleId="170">
    <w:name w:val="文档结构图 Char1"/>
    <w:qFormat/>
    <w:uiPriority w:val="0"/>
    <w:rPr>
      <w:rFonts w:ascii="宋体"/>
      <w:kern w:val="2"/>
      <w:sz w:val="18"/>
      <w:szCs w:val="18"/>
    </w:rPr>
  </w:style>
  <w:style w:type="character" w:customStyle="1" w:styleId="171">
    <w:name w:val="不明显强调1"/>
    <w:qFormat/>
    <w:uiPriority w:val="0"/>
    <w:rPr>
      <w:i/>
      <w:iCs/>
      <w:color w:val="808080"/>
    </w:rPr>
  </w:style>
  <w:style w:type="character" w:customStyle="1" w:styleId="172">
    <w:name w:val="日期 Char2"/>
    <w:qFormat/>
    <w:uiPriority w:val="0"/>
    <w:rPr>
      <w:rFonts w:ascii="Calibri" w:hAnsi="Calibri"/>
      <w:kern w:val="2"/>
      <w:sz w:val="21"/>
      <w:szCs w:val="22"/>
    </w:rPr>
  </w:style>
  <w:style w:type="character" w:customStyle="1" w:styleId="173">
    <w:name w:val="f142"/>
    <w:qFormat/>
    <w:uiPriority w:val="0"/>
    <w:rPr>
      <w:sz w:val="26"/>
      <w:szCs w:val="26"/>
    </w:rPr>
  </w:style>
  <w:style w:type="character" w:customStyle="1" w:styleId="174">
    <w:name w:val="标题 Char1"/>
    <w:qFormat/>
    <w:uiPriority w:val="0"/>
    <w:rPr>
      <w:rFonts w:ascii="Cambria" w:hAnsi="Cambria" w:cs="Times New Roman"/>
      <w:b/>
      <w:bCs/>
      <w:color w:val="000000"/>
      <w:sz w:val="32"/>
      <w:szCs w:val="32"/>
    </w:rPr>
  </w:style>
  <w:style w:type="character" w:customStyle="1" w:styleId="175">
    <w:name w:val="标题4 Char Char"/>
    <w:link w:val="176"/>
    <w:qFormat/>
    <w:uiPriority w:val="0"/>
    <w:rPr>
      <w:rFonts w:ascii="Arial" w:hAnsi="Arial"/>
      <w:b/>
      <w:bCs/>
      <w:sz w:val="24"/>
      <w:szCs w:val="32"/>
    </w:rPr>
  </w:style>
  <w:style w:type="paragraph" w:customStyle="1" w:styleId="176">
    <w:name w:val="标题4"/>
    <w:basedOn w:val="3"/>
    <w:next w:val="27"/>
    <w:link w:val="175"/>
    <w:qFormat/>
    <w:uiPriority w:val="0"/>
    <w:pPr>
      <w:spacing w:line="413" w:lineRule="auto"/>
    </w:pPr>
    <w:rPr>
      <w:rFonts w:ascii="Arial" w:hAnsi="Arial"/>
      <w:sz w:val="24"/>
      <w:lang w:val="en-US"/>
    </w:rPr>
  </w:style>
  <w:style w:type="character" w:customStyle="1" w:styleId="177">
    <w:name w:val="正文缩进 Char"/>
    <w:link w:val="13"/>
    <w:qFormat/>
    <w:uiPriority w:val="0"/>
    <w:rPr>
      <w:rFonts w:ascii="宋体" w:hAnsi="Calibri"/>
      <w:sz w:val="34"/>
    </w:rPr>
  </w:style>
  <w:style w:type="character" w:customStyle="1" w:styleId="178">
    <w:name w:val="尾注文本 Char2"/>
    <w:qFormat/>
    <w:uiPriority w:val="0"/>
    <w:rPr>
      <w:kern w:val="2"/>
      <w:sz w:val="21"/>
      <w:szCs w:val="24"/>
    </w:rPr>
  </w:style>
  <w:style w:type="character" w:customStyle="1" w:styleId="179">
    <w:name w:val="明显引用 Char"/>
    <w:link w:val="180"/>
    <w:qFormat/>
    <w:uiPriority w:val="0"/>
    <w:rPr>
      <w:b/>
      <w:bCs/>
      <w:i/>
      <w:iCs/>
      <w:color w:val="4F81BD"/>
    </w:rPr>
  </w:style>
  <w:style w:type="paragraph" w:customStyle="1" w:styleId="180">
    <w:name w:val="明显引用1"/>
    <w:basedOn w:val="1"/>
    <w:next w:val="1"/>
    <w:link w:val="179"/>
    <w:qFormat/>
    <w:uiPriority w:val="0"/>
    <w:pPr>
      <w:pBdr>
        <w:bottom w:val="single" w:color="4F81BD" w:sz="4" w:space="4"/>
      </w:pBdr>
      <w:spacing w:before="200" w:after="280"/>
      <w:ind w:left="936" w:right="936"/>
    </w:pPr>
    <w:rPr>
      <w:rFonts w:ascii="Times New Roman" w:hAnsi="Times New Roman"/>
      <w:b/>
      <w:bCs/>
      <w:i/>
      <w:iCs/>
      <w:color w:val="4F81BD"/>
      <w:kern w:val="0"/>
      <w:sz w:val="20"/>
      <w:szCs w:val="20"/>
    </w:rPr>
  </w:style>
  <w:style w:type="character" w:customStyle="1" w:styleId="181">
    <w:name w:val="引用 Char"/>
    <w:link w:val="182"/>
    <w:qFormat/>
    <w:uiPriority w:val="0"/>
    <w:rPr>
      <w:i/>
      <w:iCs/>
      <w:color w:val="000000"/>
    </w:rPr>
  </w:style>
  <w:style w:type="paragraph" w:customStyle="1" w:styleId="182">
    <w:name w:val="引用1"/>
    <w:basedOn w:val="1"/>
    <w:next w:val="1"/>
    <w:link w:val="181"/>
    <w:qFormat/>
    <w:uiPriority w:val="0"/>
    <w:rPr>
      <w:rFonts w:ascii="Times New Roman" w:hAnsi="Times New Roman"/>
      <w:i/>
      <w:iCs/>
      <w:color w:val="000000"/>
      <w:kern w:val="0"/>
      <w:sz w:val="20"/>
      <w:szCs w:val="20"/>
    </w:rPr>
  </w:style>
  <w:style w:type="character" w:customStyle="1" w:styleId="183">
    <w:name w:val="2级标题 Char"/>
    <w:link w:val="184"/>
    <w:qFormat/>
    <w:uiPriority w:val="0"/>
    <w:rPr>
      <w:rFonts w:ascii="黑体" w:hAnsi="黑体" w:eastAsia="黑体"/>
      <w:color w:val="0070C0"/>
      <w:sz w:val="30"/>
      <w:szCs w:val="32"/>
      <w:lang w:val="zh-CN"/>
    </w:rPr>
  </w:style>
  <w:style w:type="paragraph" w:customStyle="1" w:styleId="184">
    <w:name w:val="2级标题"/>
    <w:basedOn w:val="3"/>
    <w:link w:val="183"/>
    <w:qFormat/>
    <w:uiPriority w:val="0"/>
    <w:pPr>
      <w:keepNext w:val="0"/>
      <w:keepLines w:val="0"/>
      <w:tabs>
        <w:tab w:val="left" w:pos="747"/>
      </w:tabs>
      <w:spacing w:before="0" w:after="0" w:line="360" w:lineRule="auto"/>
      <w:ind w:left="1185" w:hanging="1185"/>
      <w:jc w:val="left"/>
    </w:pPr>
    <w:rPr>
      <w:rFonts w:ascii="黑体" w:hAnsi="黑体" w:eastAsia="黑体"/>
      <w:b w:val="0"/>
      <w:bCs w:val="0"/>
      <w:color w:val="0070C0"/>
      <w:sz w:val="30"/>
    </w:rPr>
  </w:style>
  <w:style w:type="character" w:customStyle="1" w:styleId="185">
    <w:name w:val="first-child"/>
    <w:qFormat/>
    <w:uiPriority w:val="0"/>
    <w:rPr>
      <w:vanish/>
    </w:rPr>
  </w:style>
  <w:style w:type="character" w:customStyle="1" w:styleId="186">
    <w:name w:val="尾注文本 Char1"/>
    <w:semiHidden/>
    <w:qFormat/>
    <w:uiPriority w:val="99"/>
    <w:rPr>
      <w:rFonts w:ascii="宋体" w:hAnsi="宋体" w:cs="宋体"/>
      <w:color w:val="000000"/>
      <w:sz w:val="21"/>
      <w:szCs w:val="24"/>
    </w:rPr>
  </w:style>
  <w:style w:type="character" w:customStyle="1" w:styleId="187">
    <w:name w:val="尾注文本 Char3"/>
    <w:link w:val="34"/>
    <w:qFormat/>
    <w:uiPriority w:val="0"/>
    <w:rPr>
      <w:szCs w:val="24"/>
    </w:rPr>
  </w:style>
  <w:style w:type="character" w:customStyle="1" w:styleId="188">
    <w:name w:val="正文文本 2 Char1"/>
    <w:semiHidden/>
    <w:qFormat/>
    <w:uiPriority w:val="99"/>
    <w:rPr>
      <w:rFonts w:ascii="Times New Roman" w:hAnsi="Times New Roman" w:eastAsia="宋体" w:cs="Times New Roman"/>
      <w:kern w:val="0"/>
      <w:sz w:val="24"/>
      <w:szCs w:val="24"/>
      <w:lang w:eastAsia="en-US"/>
    </w:rPr>
  </w:style>
  <w:style w:type="character" w:customStyle="1" w:styleId="189">
    <w:name w:val="javascript"/>
    <w:qFormat/>
    <w:uiPriority w:val="0"/>
  </w:style>
  <w:style w:type="character" w:customStyle="1" w:styleId="190">
    <w:name w:val="Char Char5"/>
    <w:qFormat/>
    <w:uiPriority w:val="0"/>
    <w:rPr>
      <w:rFonts w:eastAsia="宋体"/>
      <w:kern w:val="2"/>
      <w:sz w:val="21"/>
      <w:szCs w:val="24"/>
      <w:lang w:val="en-US" w:eastAsia="zh-CN" w:bidi="ar-SA"/>
    </w:rPr>
  </w:style>
  <w:style w:type="character" w:customStyle="1" w:styleId="191">
    <w:name w:val="称呼 Char"/>
    <w:link w:val="19"/>
    <w:qFormat/>
    <w:uiPriority w:val="0"/>
    <w:rPr>
      <w:rFonts w:ascii="宋体" w:eastAsia="仿宋_GB2312"/>
      <w:sz w:val="24"/>
    </w:rPr>
  </w:style>
  <w:style w:type="character" w:customStyle="1" w:styleId="192">
    <w:name w:val="Char Char10"/>
    <w:qFormat/>
    <w:uiPriority w:val="0"/>
    <w:rPr>
      <w:rFonts w:ascii="宋体" w:hAnsi="Courier New" w:eastAsia="宋体"/>
      <w:kern w:val="2"/>
      <w:sz w:val="24"/>
      <w:szCs w:val="24"/>
      <w:lang w:val="en-US" w:eastAsia="zh-CN" w:bidi="ar-SA"/>
    </w:rPr>
  </w:style>
  <w:style w:type="character" w:customStyle="1" w:styleId="193">
    <w:name w:val="标题3下的文字 Char"/>
    <w:link w:val="194"/>
    <w:qFormat/>
    <w:uiPriority w:val="0"/>
    <w:rPr>
      <w:sz w:val="24"/>
      <w:szCs w:val="22"/>
    </w:rPr>
  </w:style>
  <w:style w:type="paragraph" w:customStyle="1" w:styleId="194">
    <w:name w:val="标题3下的文字"/>
    <w:link w:val="193"/>
    <w:qFormat/>
    <w:uiPriority w:val="0"/>
    <w:pPr>
      <w:widowControl w:val="0"/>
      <w:adjustRightInd w:val="0"/>
      <w:snapToGrid w:val="0"/>
      <w:spacing w:line="312" w:lineRule="auto"/>
      <w:ind w:left="200" w:leftChars="200" w:firstLine="200" w:firstLineChars="200"/>
      <w:jc w:val="both"/>
    </w:pPr>
    <w:rPr>
      <w:rFonts w:ascii="Times New Roman" w:hAnsi="Times New Roman" w:eastAsia="宋体" w:cs="Times New Roman"/>
      <w:sz w:val="24"/>
      <w:szCs w:val="22"/>
      <w:lang w:val="en-US" w:eastAsia="zh-CN" w:bidi="ar-SA"/>
    </w:rPr>
  </w:style>
  <w:style w:type="character" w:customStyle="1" w:styleId="195">
    <w:name w:val="副标题 Char"/>
    <w:link w:val="40"/>
    <w:qFormat/>
    <w:uiPriority w:val="0"/>
    <w:rPr>
      <w:sz w:val="18"/>
      <w:szCs w:val="18"/>
    </w:rPr>
  </w:style>
  <w:style w:type="character" w:customStyle="1" w:styleId="196">
    <w:name w:val="引用 Char1"/>
    <w:qFormat/>
    <w:uiPriority w:val="29"/>
    <w:rPr>
      <w:rFonts w:ascii="Times New Roman" w:hAnsi="Times New Roman" w:eastAsia="宋体" w:cs="Times New Roman"/>
      <w:i/>
      <w:iCs/>
      <w:color w:val="3F3F3F"/>
      <w:sz w:val="24"/>
      <w:szCs w:val="24"/>
    </w:rPr>
  </w:style>
  <w:style w:type="character" w:customStyle="1" w:styleId="197">
    <w:name w:val="普通(网站) Char"/>
    <w:qFormat/>
    <w:uiPriority w:val="0"/>
  </w:style>
  <w:style w:type="character" w:customStyle="1" w:styleId="198">
    <w:name w:val="页脚 Char1"/>
    <w:semiHidden/>
    <w:qFormat/>
    <w:uiPriority w:val="99"/>
    <w:rPr>
      <w:rFonts w:ascii="Times New Roman" w:hAnsi="Times New Roman" w:eastAsia="宋体" w:cs="Times New Roman"/>
      <w:kern w:val="0"/>
      <w:sz w:val="18"/>
      <w:szCs w:val="18"/>
      <w:lang w:eastAsia="en-US"/>
    </w:rPr>
  </w:style>
  <w:style w:type="character" w:customStyle="1" w:styleId="199">
    <w:name w:val="h3 Char"/>
    <w:qFormat/>
    <w:uiPriority w:val="0"/>
    <w:rPr>
      <w:rFonts w:ascii="Times New Roman" w:hAnsi="Times New Roman" w:eastAsia="宋体" w:cs="Times New Roman"/>
      <w:b/>
      <w:bCs/>
      <w:sz w:val="32"/>
      <w:szCs w:val="32"/>
    </w:rPr>
  </w:style>
  <w:style w:type="character" w:customStyle="1" w:styleId="200">
    <w:name w:val="href"/>
    <w:qFormat/>
    <w:uiPriority w:val="0"/>
    <w:rPr>
      <w:color w:val="0000FF"/>
      <w:u w:val="single"/>
    </w:rPr>
  </w:style>
  <w:style w:type="character" w:customStyle="1" w:styleId="201">
    <w:name w:val="明显引用 Char1"/>
    <w:qFormat/>
    <w:uiPriority w:val="30"/>
    <w:rPr>
      <w:rFonts w:ascii="Times New Roman" w:hAnsi="Times New Roman" w:eastAsia="宋体" w:cs="Times New Roman"/>
      <w:i/>
      <w:iCs/>
      <w:color w:val="5B9BD5"/>
      <w:sz w:val="24"/>
      <w:szCs w:val="24"/>
    </w:rPr>
  </w:style>
  <w:style w:type="character" w:customStyle="1" w:styleId="202">
    <w:name w:val="纯文本 字符"/>
    <w:qFormat/>
    <w:uiPriority w:val="0"/>
    <w:rPr>
      <w:rFonts w:ascii="宋体" w:hAnsi="Courier New" w:cs="Courier New"/>
      <w:kern w:val="2"/>
      <w:sz w:val="21"/>
      <w:szCs w:val="21"/>
    </w:rPr>
  </w:style>
  <w:style w:type="character" w:customStyle="1" w:styleId="203">
    <w:name w:val="Char Char12"/>
    <w:qFormat/>
    <w:uiPriority w:val="0"/>
    <w:rPr>
      <w:rFonts w:eastAsia="宋体"/>
      <w:kern w:val="2"/>
      <w:sz w:val="18"/>
      <w:szCs w:val="18"/>
      <w:lang w:val="en-US" w:eastAsia="zh-CN" w:bidi="ar-SA"/>
    </w:rPr>
  </w:style>
  <w:style w:type="character" w:customStyle="1" w:styleId="204">
    <w:name w:val="书籍标题11"/>
    <w:qFormat/>
    <w:uiPriority w:val="0"/>
    <w:rPr>
      <w:b/>
      <w:bCs/>
      <w:smallCaps/>
      <w:spacing w:val="5"/>
    </w:rPr>
  </w:style>
  <w:style w:type="character" w:customStyle="1" w:styleId="205">
    <w:name w:val="ca-2"/>
    <w:qFormat/>
    <w:uiPriority w:val="0"/>
  </w:style>
  <w:style w:type="character" w:customStyle="1" w:styleId="206">
    <w:name w:val="style71"/>
    <w:qFormat/>
    <w:uiPriority w:val="0"/>
    <w:rPr>
      <w:sz w:val="30"/>
    </w:rPr>
  </w:style>
  <w:style w:type="character" w:customStyle="1" w:styleId="207">
    <w:name w:val="1级标题 Char"/>
    <w:link w:val="208"/>
    <w:qFormat/>
    <w:uiPriority w:val="0"/>
    <w:rPr>
      <w:rFonts w:ascii="黑体" w:hAnsi="黑体" w:eastAsia="黑体"/>
      <w:b/>
      <w:color w:val="000000"/>
      <w:sz w:val="32"/>
      <w:szCs w:val="32"/>
      <w:lang w:val="zh-CN"/>
    </w:rPr>
  </w:style>
  <w:style w:type="paragraph" w:customStyle="1" w:styleId="208">
    <w:name w:val="1级标题"/>
    <w:basedOn w:val="209"/>
    <w:link w:val="207"/>
    <w:qFormat/>
    <w:uiPriority w:val="0"/>
    <w:pPr>
      <w:tabs>
        <w:tab w:val="left" w:pos="360"/>
      </w:tabs>
      <w:spacing w:before="156" w:after="156" w:line="360" w:lineRule="auto"/>
      <w:ind w:left="885" w:hanging="885" w:firstLineChars="0"/>
      <w:jc w:val="center"/>
      <w:outlineLvl w:val="0"/>
    </w:pPr>
    <w:rPr>
      <w:rFonts w:ascii="黑体" w:hAnsi="黑体" w:eastAsia="黑体"/>
      <w:b/>
      <w:color w:val="000000"/>
      <w:kern w:val="0"/>
      <w:sz w:val="32"/>
      <w:szCs w:val="32"/>
      <w:lang w:val="zh-CN"/>
    </w:rPr>
  </w:style>
  <w:style w:type="paragraph" w:customStyle="1" w:styleId="209">
    <w:name w:val="列出段落4"/>
    <w:basedOn w:val="1"/>
    <w:qFormat/>
    <w:uiPriority w:val="0"/>
    <w:pPr>
      <w:ind w:firstLine="420" w:firstLineChars="200"/>
    </w:pPr>
  </w:style>
  <w:style w:type="character" w:customStyle="1" w:styleId="210">
    <w:name w:val="标题 9 Char"/>
    <w:link w:val="10"/>
    <w:qFormat/>
    <w:uiPriority w:val="0"/>
    <w:rPr>
      <w:rFonts w:ascii="Arial" w:hAnsi="Arial" w:eastAsia="黑体"/>
      <w:sz w:val="24"/>
    </w:rPr>
  </w:style>
  <w:style w:type="character" w:customStyle="1" w:styleId="211">
    <w:name w:val="标题 8 Char"/>
    <w:link w:val="9"/>
    <w:qFormat/>
    <w:uiPriority w:val="0"/>
    <w:rPr>
      <w:rFonts w:ascii="Arial" w:hAnsi="Arial" w:eastAsia="黑体"/>
      <w:sz w:val="24"/>
    </w:rPr>
  </w:style>
  <w:style w:type="character" w:customStyle="1" w:styleId="212">
    <w:name w:val="标题 5 Char"/>
    <w:link w:val="6"/>
    <w:qFormat/>
    <w:uiPriority w:val="0"/>
    <w:rPr>
      <w:rFonts w:ascii="Calibri" w:hAnsi="Calibri"/>
      <w:b/>
      <w:bCs/>
      <w:kern w:val="2"/>
      <w:sz w:val="28"/>
      <w:szCs w:val="28"/>
    </w:rPr>
  </w:style>
  <w:style w:type="character" w:customStyle="1" w:styleId="213">
    <w:name w:val="正文文本缩进 2 字符"/>
    <w:qFormat/>
    <w:uiPriority w:val="0"/>
    <w:rPr>
      <w:rFonts w:ascii="仿宋_GB2312" w:eastAsia="仿宋_GB2312"/>
      <w:spacing w:val="5"/>
      <w:kern w:val="2"/>
      <w:sz w:val="23"/>
      <w:szCs w:val="24"/>
    </w:rPr>
  </w:style>
  <w:style w:type="character" w:customStyle="1" w:styleId="214">
    <w:name w:val="Char Char2"/>
    <w:qFormat/>
    <w:uiPriority w:val="0"/>
    <w:rPr>
      <w:rFonts w:eastAsia="宋体"/>
      <w:kern w:val="2"/>
      <w:sz w:val="21"/>
      <w:szCs w:val="24"/>
      <w:lang w:val="en-US" w:eastAsia="zh-CN" w:bidi="ar-SA"/>
    </w:rPr>
  </w:style>
  <w:style w:type="character" w:customStyle="1" w:styleId="215">
    <w:name w:val="正文文本 3 Char"/>
    <w:link w:val="20"/>
    <w:qFormat/>
    <w:uiPriority w:val="0"/>
    <w:rPr>
      <w:rFonts w:ascii="宋体" w:hAnsi="Calibri"/>
      <w:sz w:val="24"/>
    </w:rPr>
  </w:style>
  <w:style w:type="character" w:customStyle="1" w:styleId="216">
    <w:name w:val="纯文本 Char1"/>
    <w:qFormat/>
    <w:uiPriority w:val="0"/>
    <w:rPr>
      <w:rFonts w:ascii="宋体" w:hAnsi="Courier New" w:cs="Courier New"/>
      <w:kern w:val="2"/>
      <w:sz w:val="21"/>
      <w:szCs w:val="21"/>
    </w:rPr>
  </w:style>
  <w:style w:type="character" w:customStyle="1" w:styleId="217">
    <w:name w:val="正文文本 2 Char"/>
    <w:link w:val="46"/>
    <w:qFormat/>
    <w:uiPriority w:val="0"/>
    <w:rPr>
      <w:rFonts w:ascii="Calibri" w:hAnsi="Calibri"/>
      <w:kern w:val="2"/>
      <w:sz w:val="44"/>
      <w:szCs w:val="24"/>
    </w:rPr>
  </w:style>
  <w:style w:type="character" w:customStyle="1" w:styleId="218">
    <w:name w:val="不明显强调2"/>
    <w:qFormat/>
    <w:uiPriority w:val="0"/>
    <w:rPr>
      <w:i/>
      <w:iCs/>
      <w:color w:val="808080"/>
    </w:rPr>
  </w:style>
  <w:style w:type="character" w:customStyle="1" w:styleId="219">
    <w:name w:val="正文文本缩进 2 Char1"/>
    <w:semiHidden/>
    <w:qFormat/>
    <w:uiPriority w:val="99"/>
    <w:rPr>
      <w:rFonts w:ascii="Calibri" w:hAnsi="Calibri"/>
      <w:kern w:val="2"/>
      <w:sz w:val="21"/>
      <w:szCs w:val="22"/>
    </w:rPr>
  </w:style>
  <w:style w:type="character" w:customStyle="1" w:styleId="220">
    <w:name w:val="Char Char9"/>
    <w:qFormat/>
    <w:uiPriority w:val="0"/>
    <w:rPr>
      <w:rFonts w:eastAsia="宋体"/>
      <w:b/>
      <w:bCs/>
      <w:kern w:val="2"/>
      <w:sz w:val="24"/>
      <w:szCs w:val="32"/>
      <w:lang w:val="en-US" w:eastAsia="zh-CN" w:bidi="ar-SA"/>
    </w:rPr>
  </w:style>
  <w:style w:type="character" w:customStyle="1" w:styleId="221">
    <w:name w:val="批注主题 Char1"/>
    <w:qFormat/>
    <w:uiPriority w:val="0"/>
    <w:rPr>
      <w:rFonts w:ascii="Calibri" w:hAnsi="Calibri" w:eastAsia="宋体" w:cs="Times New Roman"/>
      <w:b/>
      <w:bCs/>
      <w:kern w:val="2"/>
      <w:sz w:val="21"/>
      <w:szCs w:val="22"/>
    </w:rPr>
  </w:style>
  <w:style w:type="character" w:customStyle="1" w:styleId="222">
    <w:name w:val="正文首行缩进 Char1"/>
    <w:qFormat/>
    <w:uiPriority w:val="0"/>
    <w:rPr>
      <w:rFonts w:ascii="Calibri" w:hAnsi="Calibri"/>
      <w:kern w:val="2"/>
      <w:sz w:val="21"/>
      <w:szCs w:val="22"/>
    </w:rPr>
  </w:style>
  <w:style w:type="character" w:customStyle="1" w:styleId="223">
    <w:name w:val="批注主题 Char"/>
    <w:link w:val="51"/>
    <w:qFormat/>
    <w:uiPriority w:val="0"/>
  </w:style>
  <w:style w:type="character" w:customStyle="1" w:styleId="224">
    <w:name w:val="hover42"/>
    <w:qFormat/>
    <w:uiPriority w:val="0"/>
  </w:style>
  <w:style w:type="character" w:customStyle="1" w:styleId="225">
    <w:name w:val="times1"/>
    <w:qFormat/>
    <w:uiPriority w:val="0"/>
    <w:rPr>
      <w:color w:val="3399FF"/>
      <w:bdr w:val="single" w:color="D1EDF8" w:sz="6" w:space="0"/>
      <w:shd w:val="clear" w:color="auto" w:fill="EAF9FF"/>
    </w:rPr>
  </w:style>
  <w:style w:type="character" w:customStyle="1" w:styleId="226">
    <w:name w:val="hover40"/>
    <w:qFormat/>
    <w:uiPriority w:val="0"/>
  </w:style>
  <w:style w:type="character" w:customStyle="1" w:styleId="227">
    <w:name w:val="正文文本缩进 2 Char"/>
    <w:link w:val="33"/>
    <w:qFormat/>
    <w:uiPriority w:val="0"/>
  </w:style>
  <w:style w:type="character" w:customStyle="1" w:styleId="228">
    <w:name w:val="h3 Char1"/>
    <w:qFormat/>
    <w:uiPriority w:val="0"/>
    <w:rPr>
      <w:rFonts w:eastAsia="宋体"/>
      <w:b/>
      <w:bCs/>
      <w:kern w:val="2"/>
      <w:sz w:val="32"/>
      <w:szCs w:val="32"/>
      <w:lang w:val="en-US" w:eastAsia="zh-CN" w:bidi="ar-SA"/>
    </w:rPr>
  </w:style>
  <w:style w:type="character" w:customStyle="1" w:styleId="229">
    <w:name w:val="times"/>
    <w:qFormat/>
    <w:uiPriority w:val="0"/>
    <w:rPr>
      <w:color w:val="CDCDCD"/>
      <w:bdr w:val="single" w:color="CDCDCD" w:sz="6" w:space="0"/>
      <w:shd w:val="clear" w:color="auto" w:fill="EFEFEF"/>
    </w:rPr>
  </w:style>
  <w:style w:type="character" w:customStyle="1" w:styleId="230">
    <w:name w:val="正文首行缩进 Char"/>
    <w:link w:val="52"/>
    <w:qFormat/>
    <w:uiPriority w:val="0"/>
  </w:style>
  <w:style w:type="character" w:customStyle="1" w:styleId="231">
    <w:name w:val="纯文本 Char"/>
    <w:link w:val="30"/>
    <w:qFormat/>
    <w:uiPriority w:val="0"/>
    <w:rPr>
      <w:rFonts w:ascii="宋体" w:hAnsi="Courier New" w:eastAsia="楷体_GB2312"/>
    </w:rPr>
  </w:style>
  <w:style w:type="character" w:customStyle="1" w:styleId="232">
    <w:name w:val="标题 6 Char"/>
    <w:link w:val="7"/>
    <w:qFormat/>
    <w:uiPriority w:val="0"/>
    <w:rPr>
      <w:rFonts w:ascii="Cambria" w:hAnsi="Cambria"/>
      <w:b/>
      <w:bCs/>
      <w:sz w:val="24"/>
      <w:szCs w:val="24"/>
    </w:rPr>
  </w:style>
  <w:style w:type="character" w:customStyle="1" w:styleId="233">
    <w:name w:val="批注框文本 Char1"/>
    <w:qFormat/>
    <w:uiPriority w:val="0"/>
    <w:rPr>
      <w:kern w:val="2"/>
      <w:sz w:val="18"/>
      <w:szCs w:val="18"/>
    </w:rPr>
  </w:style>
  <w:style w:type="character" w:customStyle="1" w:styleId="234">
    <w:name w:val="标题 3 Char"/>
    <w:link w:val="4"/>
    <w:qFormat/>
    <w:uiPriority w:val="0"/>
    <w:rPr>
      <w:rFonts w:ascii="宋体" w:hAnsi="Calibri"/>
      <w:b/>
      <w:bCs/>
      <w:sz w:val="32"/>
      <w:szCs w:val="32"/>
    </w:rPr>
  </w:style>
  <w:style w:type="character" w:customStyle="1" w:styleId="235">
    <w:name w:val="标题 3 Char Char Char Char Char Char Char Char Char Char Char Char Char Char Char Char Char Char Char Char Char Char"/>
    <w:qFormat/>
    <w:uiPriority w:val="0"/>
    <w:rPr>
      <w:rFonts w:eastAsia="宋体"/>
      <w:b/>
      <w:sz w:val="32"/>
      <w:lang w:val="en-US" w:eastAsia="zh-CN" w:bidi="ar-SA"/>
    </w:rPr>
  </w:style>
  <w:style w:type="character" w:customStyle="1" w:styleId="236">
    <w:name w:val="文档结构图 Char"/>
    <w:link w:val="16"/>
    <w:qFormat/>
    <w:uiPriority w:val="99"/>
    <w:rPr>
      <w:rFonts w:ascii="宋体" w:hAnsi="Calibri" w:cs="Times New Roman"/>
      <w:kern w:val="2"/>
      <w:sz w:val="18"/>
      <w:szCs w:val="18"/>
    </w:rPr>
  </w:style>
  <w:style w:type="character" w:customStyle="1" w:styleId="237">
    <w:name w:val="textcontents"/>
    <w:qFormat/>
    <w:uiPriority w:val="0"/>
    <w:rPr>
      <w:rFonts w:cs="Times New Roman"/>
    </w:rPr>
  </w:style>
  <w:style w:type="character" w:customStyle="1" w:styleId="238">
    <w:name w:val="标题 2 Char"/>
    <w:link w:val="3"/>
    <w:qFormat/>
    <w:uiPriority w:val="9"/>
    <w:rPr>
      <w:rFonts w:ascii="Calibri Light" w:hAnsi="Calibri Light" w:eastAsia="宋体" w:cs="Times New Roman"/>
      <w:b/>
      <w:bCs/>
      <w:sz w:val="32"/>
      <w:szCs w:val="32"/>
    </w:rPr>
  </w:style>
  <w:style w:type="character" w:customStyle="1" w:styleId="239">
    <w:name w:val="页脚 Char"/>
    <w:link w:val="36"/>
    <w:qFormat/>
    <w:uiPriority w:val="99"/>
    <w:rPr>
      <w:sz w:val="18"/>
      <w:szCs w:val="18"/>
    </w:rPr>
  </w:style>
  <w:style w:type="character" w:customStyle="1" w:styleId="240">
    <w:name w:val="页眉 Char"/>
    <w:link w:val="37"/>
    <w:qFormat/>
    <w:uiPriority w:val="0"/>
    <w:rPr>
      <w:sz w:val="18"/>
      <w:szCs w:val="18"/>
    </w:rPr>
  </w:style>
  <w:style w:type="character" w:customStyle="1" w:styleId="241">
    <w:name w:val="标题4 Char"/>
    <w:qFormat/>
    <w:locked/>
    <w:uiPriority w:val="99"/>
    <w:rPr>
      <w:rFonts w:ascii="宋体" w:cs="宋体"/>
      <w:sz w:val="24"/>
      <w:szCs w:val="24"/>
    </w:rPr>
  </w:style>
  <w:style w:type="character" w:customStyle="1" w:styleId="242">
    <w:name w:val="批注框文本 字符"/>
    <w:qFormat/>
    <w:uiPriority w:val="0"/>
    <w:rPr>
      <w:kern w:val="2"/>
      <w:sz w:val="18"/>
      <w:szCs w:val="18"/>
    </w:rPr>
  </w:style>
  <w:style w:type="character" w:customStyle="1" w:styleId="243">
    <w:name w:val="正文文本 Char"/>
    <w:basedOn w:val="56"/>
    <w:link w:val="21"/>
    <w:qFormat/>
    <w:uiPriority w:val="1"/>
  </w:style>
  <w:style w:type="character" w:customStyle="1" w:styleId="244">
    <w:name w:val="标题 4 Char"/>
    <w:link w:val="5"/>
    <w:qFormat/>
    <w:uiPriority w:val="0"/>
    <w:rPr>
      <w:rFonts w:ascii="Calibri Light" w:hAnsi="Calibri Light" w:eastAsia="宋体" w:cs="Times New Roman"/>
      <w:b/>
      <w:bCs/>
      <w:sz w:val="28"/>
      <w:szCs w:val="28"/>
    </w:rPr>
  </w:style>
  <w:style w:type="character" w:customStyle="1" w:styleId="245">
    <w:name w:val="正文文本缩进 Char"/>
    <w:link w:val="22"/>
    <w:qFormat/>
    <w:uiPriority w:val="0"/>
    <w:rPr>
      <w:rFonts w:ascii="Times New Roman" w:hAnsi="Times New Roman" w:eastAsia="宋体" w:cs="Times New Roman"/>
      <w:sz w:val="28"/>
      <w:szCs w:val="24"/>
    </w:rPr>
  </w:style>
  <w:style w:type="character" w:customStyle="1" w:styleId="246">
    <w:name w:val="明显参考2"/>
    <w:qFormat/>
    <w:uiPriority w:val="0"/>
    <w:rPr>
      <w:b/>
      <w:bCs/>
      <w:smallCaps/>
      <w:color w:val="C0504D"/>
      <w:spacing w:val="5"/>
      <w:u w:val="single"/>
    </w:rPr>
  </w:style>
  <w:style w:type="character" w:customStyle="1" w:styleId="247">
    <w:name w:val="批注框文本 Char"/>
    <w:link w:val="35"/>
    <w:qFormat/>
    <w:uiPriority w:val="0"/>
    <w:rPr>
      <w:sz w:val="18"/>
      <w:szCs w:val="18"/>
    </w:rPr>
  </w:style>
  <w:style w:type="character" w:customStyle="1" w:styleId="248">
    <w:name w:val="批注文字 Char"/>
    <w:link w:val="17"/>
    <w:qFormat/>
    <w:uiPriority w:val="0"/>
    <w:rPr>
      <w:rFonts w:ascii="Calibri" w:hAnsi="Calibri" w:eastAsia="宋体" w:cs="Times New Roman"/>
    </w:rPr>
  </w:style>
  <w:style w:type="character" w:customStyle="1" w:styleId="249">
    <w:name w:val="HTML 预设格式 Char"/>
    <w:link w:val="47"/>
    <w:qFormat/>
    <w:uiPriority w:val="0"/>
    <w:rPr>
      <w:rFonts w:ascii="黑体" w:hAnsi="Courier New" w:eastAsia="黑体"/>
    </w:rPr>
  </w:style>
  <w:style w:type="character" w:customStyle="1" w:styleId="250">
    <w:name w:val="标题 2 Char1"/>
    <w:qFormat/>
    <w:uiPriority w:val="0"/>
    <w:rPr>
      <w:rFonts w:ascii="Arial" w:hAnsi="Arial" w:eastAsia="黑体"/>
      <w:b/>
      <w:bCs/>
      <w:kern w:val="2"/>
      <w:sz w:val="32"/>
      <w:szCs w:val="32"/>
      <w:lang w:val="en-US" w:eastAsia="zh-CN" w:bidi="ar-SA"/>
    </w:rPr>
  </w:style>
  <w:style w:type="character" w:customStyle="1" w:styleId="251">
    <w:name w:val="Footer Char"/>
    <w:qFormat/>
    <w:locked/>
    <w:uiPriority w:val="99"/>
    <w:rPr>
      <w:rFonts w:eastAsia="长城仿宋"/>
      <w:sz w:val="18"/>
    </w:rPr>
  </w:style>
  <w:style w:type="character" w:customStyle="1" w:styleId="252">
    <w:name w:val="标题 1 Char"/>
    <w:link w:val="2"/>
    <w:qFormat/>
    <w:uiPriority w:val="9"/>
    <w:rPr>
      <w:rFonts w:ascii="Calibri" w:hAnsi="Calibri"/>
      <w:b/>
      <w:bCs/>
      <w:kern w:val="44"/>
      <w:sz w:val="44"/>
      <w:szCs w:val="44"/>
    </w:rPr>
  </w:style>
  <w:style w:type="character" w:customStyle="1" w:styleId="253">
    <w:name w:val="正文文本缩进 3 Char"/>
    <w:link w:val="43"/>
    <w:qFormat/>
    <w:uiPriority w:val="0"/>
    <w:rPr>
      <w:rFonts w:ascii="宋体" w:hAnsi="MS Sans Serif"/>
      <w:color w:val="000000"/>
      <w:sz w:val="24"/>
    </w:rPr>
  </w:style>
  <w:style w:type="character" w:customStyle="1" w:styleId="254">
    <w:name w:val="副标题 Char2"/>
    <w:qFormat/>
    <w:uiPriority w:val="0"/>
    <w:rPr>
      <w:rFonts w:ascii="Cambria" w:hAnsi="Cambria" w:cs="Times New Roman"/>
      <w:b/>
      <w:bCs/>
      <w:kern w:val="28"/>
      <w:sz w:val="32"/>
      <w:szCs w:val="32"/>
    </w:rPr>
  </w:style>
  <w:style w:type="character" w:customStyle="1" w:styleId="255">
    <w:name w:val="Char Char14"/>
    <w:qFormat/>
    <w:uiPriority w:val="0"/>
    <w:rPr>
      <w:rFonts w:eastAsia="宋体"/>
      <w:kern w:val="2"/>
      <w:sz w:val="21"/>
      <w:szCs w:val="24"/>
      <w:lang w:val="en-US" w:eastAsia="zh-CN" w:bidi="ar-SA"/>
    </w:rPr>
  </w:style>
  <w:style w:type="character" w:customStyle="1" w:styleId="256">
    <w:name w:val="批注文字 Char Char"/>
    <w:qFormat/>
    <w:uiPriority w:val="0"/>
    <w:rPr>
      <w:rFonts w:ascii="宋体" w:hAnsi="Times New Roman" w:eastAsia="宋体" w:cs="Times New Roman"/>
      <w:sz w:val="28"/>
      <w:szCs w:val="20"/>
    </w:rPr>
  </w:style>
  <w:style w:type="character" w:customStyle="1" w:styleId="257">
    <w:name w:val="标题 7 Char"/>
    <w:link w:val="8"/>
    <w:qFormat/>
    <w:uiPriority w:val="0"/>
    <w:rPr>
      <w:b/>
      <w:sz w:val="24"/>
    </w:rPr>
  </w:style>
  <w:style w:type="character" w:customStyle="1" w:styleId="258">
    <w:name w:val="样式 标题 3  1、Heading 3 - old子系统h33rd level3H3章标题1三级标题l3CT... Char"/>
    <w:qFormat/>
    <w:uiPriority w:val="0"/>
    <w:rPr>
      <w:b/>
      <w:color w:val="000000"/>
      <w:sz w:val="32"/>
      <w:szCs w:val="32"/>
    </w:rPr>
  </w:style>
  <w:style w:type="character" w:customStyle="1" w:styleId="259">
    <w:name w:val="Char Char"/>
    <w:qFormat/>
    <w:uiPriority w:val="0"/>
    <w:rPr>
      <w:rFonts w:ascii="黑体" w:hAnsi="Courier New" w:eastAsia="黑体" w:cs="Courier New"/>
      <w:lang w:val="en-US" w:eastAsia="zh-CN" w:bidi="ar-SA"/>
    </w:rPr>
  </w:style>
  <w:style w:type="paragraph" w:customStyle="1" w:styleId="260">
    <w:name w:val="TOC 标题1"/>
    <w:basedOn w:val="2"/>
    <w:next w:val="1"/>
    <w:qFormat/>
    <w:uiPriority w:val="0"/>
    <w:pPr>
      <w:widowControl/>
      <w:spacing w:before="480" w:after="0" w:line="276" w:lineRule="auto"/>
      <w:jc w:val="left"/>
      <w:outlineLvl w:val="9"/>
    </w:pPr>
    <w:rPr>
      <w:rFonts w:ascii="Cambria" w:hAnsi="Cambria"/>
      <w:color w:val="365F91"/>
      <w:kern w:val="0"/>
      <w:sz w:val="28"/>
      <w:szCs w:val="28"/>
      <w:lang w:val="en-US"/>
    </w:rPr>
  </w:style>
  <w:style w:type="paragraph" w:customStyle="1" w:styleId="261">
    <w:name w:val="Char"/>
    <w:basedOn w:val="1"/>
    <w:qFormat/>
    <w:uiPriority w:val="0"/>
    <w:pPr>
      <w:widowControl/>
      <w:spacing w:line="400" w:lineRule="exact"/>
      <w:jc w:val="center"/>
    </w:pPr>
    <w:rPr>
      <w:rFonts w:ascii="Times New Roman" w:hAnsi="Times New Roman"/>
      <w:sz w:val="24"/>
      <w:szCs w:val="24"/>
    </w:rPr>
  </w:style>
  <w:style w:type="paragraph" w:customStyle="1" w:styleId="262">
    <w:name w:val="列出段落3"/>
    <w:basedOn w:val="1"/>
    <w:qFormat/>
    <w:uiPriority w:val="0"/>
    <w:pPr>
      <w:ind w:firstLine="420" w:firstLineChars="200"/>
    </w:pPr>
  </w:style>
  <w:style w:type="paragraph" w:customStyle="1" w:styleId="263">
    <w:name w:val="导则正文"/>
    <w:basedOn w:val="1"/>
    <w:qFormat/>
    <w:uiPriority w:val="0"/>
    <w:pPr>
      <w:ind w:firstLine="200"/>
      <w:jc w:val="left"/>
    </w:pPr>
    <w:rPr>
      <w:szCs w:val="24"/>
    </w:rPr>
  </w:style>
  <w:style w:type="paragraph" w:customStyle="1" w:styleId="264">
    <w:name w:val="标2"/>
    <w:basedOn w:val="1"/>
    <w:qFormat/>
    <w:uiPriority w:val="0"/>
    <w:pPr>
      <w:ind w:firstLine="420" w:firstLineChars="200"/>
    </w:pPr>
    <w:rPr>
      <w:rFonts w:ascii="Times New Roman" w:hAnsi="Times New Roman"/>
      <w:szCs w:val="21"/>
    </w:rPr>
  </w:style>
  <w:style w:type="paragraph" w:customStyle="1" w:styleId="265">
    <w:name w:val="文档结构图1"/>
    <w:basedOn w:val="1"/>
    <w:qFormat/>
    <w:uiPriority w:val="0"/>
    <w:rPr>
      <w:rFonts w:ascii="宋体"/>
      <w:sz w:val="18"/>
      <w:szCs w:val="18"/>
    </w:rPr>
  </w:style>
  <w:style w:type="paragraph" w:customStyle="1" w:styleId="266">
    <w:name w:val="我的正文"/>
    <w:basedOn w:val="1"/>
    <w:qFormat/>
    <w:uiPriority w:val="0"/>
    <w:rPr>
      <w:rFonts w:ascii="宋体" w:hAnsi="宋体"/>
      <w:sz w:val="24"/>
      <w:szCs w:val="24"/>
    </w:rPr>
  </w:style>
  <w:style w:type="paragraph" w:customStyle="1" w:styleId="267">
    <w:name w:val="1"/>
    <w:basedOn w:val="1"/>
    <w:qFormat/>
    <w:uiPriority w:val="0"/>
    <w:rPr>
      <w:rFonts w:ascii="Times New Roman" w:hAnsi="Times New Roman"/>
      <w:szCs w:val="20"/>
    </w:rPr>
  </w:style>
  <w:style w:type="paragraph" w:customStyle="1" w:styleId="268">
    <w:name w:val="a4"/>
    <w:basedOn w:val="1"/>
    <w:qFormat/>
    <w:uiPriority w:val="0"/>
    <w:pPr>
      <w:widowControl/>
      <w:jc w:val="left"/>
    </w:pPr>
    <w:rPr>
      <w:rFonts w:ascii="宋体" w:hAnsi="宋体" w:cs="宋体"/>
      <w:kern w:val="0"/>
      <w:sz w:val="24"/>
      <w:szCs w:val="24"/>
    </w:rPr>
  </w:style>
  <w:style w:type="paragraph" w:customStyle="1" w:styleId="269">
    <w:name w:val="TOC 标题3"/>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270">
    <w:name w:val="表头"/>
    <w:basedOn w:val="1"/>
    <w:qFormat/>
    <w:uiPriority w:val="0"/>
    <w:pPr>
      <w:widowControl/>
      <w:spacing w:line="360" w:lineRule="auto"/>
      <w:jc w:val="center"/>
    </w:pPr>
    <w:rPr>
      <w:rFonts w:ascii="黑体" w:hAnsi="Times New Roman" w:eastAsia="黑体"/>
      <w:kern w:val="0"/>
      <w:sz w:val="24"/>
      <w:szCs w:val="20"/>
    </w:rPr>
  </w:style>
  <w:style w:type="paragraph" w:customStyle="1" w:styleId="271">
    <w:name w:val="_Style 46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2">
    <w:name w:val="发文落款"/>
    <w:basedOn w:val="273"/>
    <w:qFormat/>
    <w:uiPriority w:val="0"/>
    <w:pPr>
      <w:ind w:left="4094" w:right="607" w:firstLine="0"/>
      <w:jc w:val="center"/>
    </w:pPr>
  </w:style>
  <w:style w:type="paragraph" w:customStyle="1" w:styleId="273">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274">
    <w:name w:val="xl147"/>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75">
    <w:name w:val="条款节部分"/>
    <w:basedOn w:val="1"/>
    <w:qFormat/>
    <w:uiPriority w:val="0"/>
    <w:pPr>
      <w:tabs>
        <w:tab w:val="left" w:pos="2850"/>
      </w:tabs>
    </w:pPr>
    <w:rPr>
      <w:rFonts w:eastAsia="仿宋_GB2312"/>
      <w:sz w:val="32"/>
      <w:szCs w:val="32"/>
    </w:rPr>
  </w:style>
  <w:style w:type="paragraph" w:customStyle="1" w:styleId="276">
    <w:name w:val="Char Char Char Char1"/>
    <w:basedOn w:val="1"/>
    <w:qFormat/>
    <w:uiPriority w:val="0"/>
    <w:rPr>
      <w:szCs w:val="24"/>
    </w:rPr>
  </w:style>
  <w:style w:type="paragraph" w:customStyle="1" w:styleId="277">
    <w:name w:val="正文 New New New New New"/>
    <w:qFormat/>
    <w:uiPriority w:val="0"/>
    <w:pPr>
      <w:widowControl w:val="0"/>
      <w:jc w:val="both"/>
    </w:pPr>
    <w:rPr>
      <w:rFonts w:ascii="Calibri" w:hAnsi="Calibri" w:eastAsia="宋体" w:cs="Times New Roman"/>
      <w:kern w:val="2"/>
      <w:sz w:val="24"/>
      <w:szCs w:val="24"/>
      <w:lang w:val="en-US" w:eastAsia="zh-CN" w:bidi="ar-SA"/>
    </w:rPr>
  </w:style>
  <w:style w:type="paragraph" w:customStyle="1" w:styleId="278">
    <w:name w:val="1."/>
    <w:basedOn w:val="1"/>
    <w:qFormat/>
    <w:uiPriority w:val="0"/>
    <w:pPr>
      <w:tabs>
        <w:tab w:val="left" w:pos="0"/>
        <w:tab w:val="left" w:pos="426"/>
        <w:tab w:val="left" w:pos="714"/>
      </w:tabs>
      <w:adjustRightInd w:val="0"/>
      <w:snapToGrid w:val="0"/>
      <w:spacing w:before="120" w:after="120" w:line="400" w:lineRule="atLeast"/>
      <w:ind w:left="425" w:hanging="425"/>
      <w:jc w:val="center"/>
      <w:textAlignment w:val="baseline"/>
    </w:pPr>
    <w:rPr>
      <w:rFonts w:ascii="Arial" w:hAnsi="Arial"/>
      <w:b/>
      <w:bCs/>
      <w:kern w:val="0"/>
      <w:sz w:val="32"/>
      <w:szCs w:val="20"/>
    </w:rPr>
  </w:style>
  <w:style w:type="paragraph" w:customStyle="1" w:styleId="27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280">
    <w:name w:val="正题"/>
    <w:basedOn w:val="131"/>
    <w:next w:val="131"/>
    <w:qFormat/>
    <w:uiPriority w:val="0"/>
    <w:pPr>
      <w:ind w:firstLine="0" w:firstLineChars="0"/>
      <w:jc w:val="center"/>
    </w:pPr>
    <w:rPr>
      <w:rFonts w:eastAsia="黑体"/>
      <w:b/>
      <w:sz w:val="36"/>
      <w:szCs w:val="36"/>
    </w:rPr>
  </w:style>
  <w:style w:type="paragraph" w:customStyle="1" w:styleId="281">
    <w:name w:val="xl65"/>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282">
    <w:name w:val="目录 32"/>
    <w:qFormat/>
    <w:uiPriority w:val="0"/>
    <w:rPr>
      <w:rFonts w:ascii="Calibri" w:hAnsi="Calibri" w:eastAsia="Calibri" w:cs="Calibri"/>
      <w:color w:val="000000"/>
      <w:lang w:val="en-US" w:eastAsia="zh-CN" w:bidi="ar-SA"/>
    </w:rPr>
  </w:style>
  <w:style w:type="paragraph" w:customStyle="1" w:styleId="283">
    <w:name w:val="样式 标题 2 + 段前: 0.5 行 段后: 0.5 行"/>
    <w:basedOn w:val="3"/>
    <w:qFormat/>
    <w:uiPriority w:val="0"/>
    <w:pPr>
      <w:spacing w:beforeLines="50" w:afterLines="50" w:line="400" w:lineRule="exact"/>
      <w:ind w:firstLine="643" w:firstLineChars="200"/>
      <w:jc w:val="center"/>
    </w:pPr>
    <w:rPr>
      <w:rFonts w:ascii="Arial" w:hAnsi="Arial" w:eastAsia="黑体" w:cs="宋体"/>
      <w:kern w:val="2"/>
      <w:szCs w:val="20"/>
      <w:lang w:val="en-US"/>
    </w:rPr>
  </w:style>
  <w:style w:type="paragraph" w:customStyle="1" w:styleId="284">
    <w:name w:val="列出段落2"/>
    <w:basedOn w:val="1"/>
    <w:qFormat/>
    <w:uiPriority w:val="0"/>
    <w:pPr>
      <w:widowControl/>
      <w:ind w:firstLine="420" w:firstLineChars="200"/>
      <w:jc w:val="left"/>
    </w:pPr>
    <w:rPr>
      <w:kern w:val="0"/>
      <w:sz w:val="24"/>
      <w:szCs w:val="24"/>
      <w:lang w:eastAsia="en-US"/>
    </w:rPr>
  </w:style>
  <w:style w:type="paragraph" w:customStyle="1" w:styleId="285">
    <w:name w:val="目录 21"/>
    <w:qFormat/>
    <w:uiPriority w:val="0"/>
    <w:pPr>
      <w:widowControl w:val="0"/>
      <w:tabs>
        <w:tab w:val="right" w:leader="dot" w:pos="9710"/>
      </w:tabs>
      <w:ind w:left="283"/>
    </w:pPr>
    <w:rPr>
      <w:rFonts w:ascii="Times New Roman Bold" w:hAnsi="Times New Roman Bold" w:eastAsia="Times New Roman Bold" w:cs="Times New Roman Bold"/>
      <w:color w:val="000000"/>
      <w:kern w:val="2"/>
      <w:lang w:val="en-US" w:eastAsia="zh-CN" w:bidi="ar-SA"/>
    </w:rPr>
  </w:style>
  <w:style w:type="paragraph" w:customStyle="1" w:styleId="286">
    <w:name w:val="封四"/>
    <w:basedOn w:val="131"/>
    <w:next w:val="131"/>
    <w:qFormat/>
    <w:uiPriority w:val="0"/>
    <w:pPr>
      <w:jc w:val="left"/>
    </w:pPr>
    <w:rPr>
      <w:sz w:val="30"/>
      <w:szCs w:val="30"/>
    </w:rPr>
  </w:style>
  <w:style w:type="paragraph" w:customStyle="1" w:styleId="287">
    <w:name w:val="Char Char Char Char Char Char Char Char Char1 Char Char Char Char Char Char Char Char Char Char Char Char Char"/>
    <w:basedOn w:val="2"/>
    <w:qFormat/>
    <w:uiPriority w:val="0"/>
    <w:pPr>
      <w:snapToGrid w:val="0"/>
      <w:spacing w:before="240" w:after="240" w:line="348" w:lineRule="auto"/>
    </w:pPr>
    <w:rPr>
      <w:rFonts w:ascii="Times New Roman" w:hAnsi="Times New Roman"/>
      <w:lang w:val="en-US"/>
    </w:rPr>
  </w:style>
  <w:style w:type="paragraph" w:customStyle="1" w:styleId="288">
    <w:name w:val="xl99"/>
    <w:basedOn w:val="1"/>
    <w:qFormat/>
    <w:uiPriority w:val="0"/>
    <w:pPr>
      <w:widowControl/>
      <w:pBdr>
        <w:left w:val="single" w:color="auto" w:sz="4" w:space="0"/>
        <w:bottom w:val="double" w:color="auto" w:sz="6"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289">
    <w:name w:val="xl102"/>
    <w:basedOn w:val="1"/>
    <w:qFormat/>
    <w:uiPriority w:val="0"/>
    <w:pPr>
      <w:widowControl/>
      <w:pBdr>
        <w:top w:val="single" w:color="auto" w:sz="4" w:space="0"/>
        <w:left w:val="single" w:color="auto" w:sz="4"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290">
    <w:name w:val="目录 31"/>
    <w:qFormat/>
    <w:uiPriority w:val="0"/>
    <w:rPr>
      <w:rFonts w:ascii="Calibri" w:hAnsi="Calibri" w:eastAsia="Calibri" w:cs="Calibri"/>
      <w:color w:val="000000"/>
      <w:lang w:val="en-US" w:eastAsia="zh-CN" w:bidi="ar-SA"/>
    </w:rPr>
  </w:style>
  <w:style w:type="paragraph" w:customStyle="1" w:styleId="29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292">
    <w:name w:val="修订11"/>
    <w:qFormat/>
    <w:uiPriority w:val="0"/>
    <w:rPr>
      <w:rFonts w:ascii="Calibri" w:hAnsi="Calibri" w:eastAsia="宋体" w:cs="Times New Roman"/>
      <w:kern w:val="2"/>
      <w:sz w:val="21"/>
      <w:szCs w:val="24"/>
      <w:lang w:val="en-US" w:eastAsia="zh-CN" w:bidi="ar-SA"/>
    </w:rPr>
  </w:style>
  <w:style w:type="paragraph" w:customStyle="1" w:styleId="293">
    <w:name w:val="普通 (Web)"/>
    <w:basedOn w:val="1"/>
    <w:qFormat/>
    <w:uiPriority w:val="99"/>
    <w:pPr>
      <w:widowControl/>
      <w:spacing w:before="102" w:after="102" w:line="351" w:lineRule="atLeast"/>
      <w:ind w:firstLine="419"/>
      <w:jc w:val="left"/>
      <w:textAlignment w:val="baseline"/>
    </w:pPr>
    <w:rPr>
      <w:rFonts w:ascii="宋体"/>
      <w:color w:val="999999"/>
      <w:kern w:val="0"/>
      <w:sz w:val="24"/>
      <w:szCs w:val="20"/>
    </w:rPr>
  </w:style>
  <w:style w:type="paragraph" w:customStyle="1" w:styleId="294">
    <w:name w:val="标题2"/>
    <w:basedOn w:val="3"/>
    <w:next w:val="1"/>
    <w:qFormat/>
    <w:uiPriority w:val="0"/>
    <w:pPr>
      <w:spacing w:before="120" w:after="0" w:line="240" w:lineRule="auto"/>
      <w:ind w:left="284" w:firstLine="567"/>
    </w:pPr>
    <w:rPr>
      <w:rFonts w:ascii="Cambria" w:hAnsi="Cambria"/>
      <w:kern w:val="2"/>
      <w:lang w:val="en-US"/>
    </w:rPr>
  </w:style>
  <w:style w:type="paragraph" w:customStyle="1" w:styleId="295">
    <w:name w:val="默认段落字体 Para Char Char Char Char Char Char Char Char Char Char Char Char Char"/>
    <w:basedOn w:val="1"/>
    <w:qFormat/>
    <w:uiPriority w:val="0"/>
    <w:rPr>
      <w:szCs w:val="24"/>
    </w:rPr>
  </w:style>
  <w:style w:type="paragraph" w:customStyle="1" w:styleId="296">
    <w:name w:val="xl159"/>
    <w:basedOn w:val="1"/>
    <w:qFormat/>
    <w:uiPriority w:val="0"/>
    <w:pPr>
      <w:widowControl/>
      <w:pBdr>
        <w:top w:val="double" w:color="auto" w:sz="6" w:space="0"/>
        <w:right w:val="single" w:color="auto" w:sz="4" w:space="0"/>
      </w:pBdr>
      <w:spacing w:before="100" w:beforeAutospacing="1" w:after="100" w:afterAutospacing="1"/>
      <w:jc w:val="center"/>
    </w:pPr>
    <w:rPr>
      <w:rFonts w:ascii="宋体" w:hAnsi="宋体" w:cs="宋体"/>
      <w:color w:val="000000"/>
      <w:kern w:val="0"/>
      <w:sz w:val="16"/>
      <w:szCs w:val="16"/>
    </w:rPr>
  </w:style>
  <w:style w:type="paragraph" w:customStyle="1" w:styleId="297">
    <w:name w:val="List Paragraph1"/>
    <w:basedOn w:val="1"/>
    <w:qFormat/>
    <w:uiPriority w:val="0"/>
    <w:pPr>
      <w:ind w:firstLine="420" w:firstLineChars="200"/>
    </w:pPr>
    <w:rPr>
      <w:szCs w:val="20"/>
    </w:rPr>
  </w:style>
  <w:style w:type="paragraph" w:customStyle="1" w:styleId="298">
    <w:name w:val="xl74"/>
    <w:basedOn w:val="1"/>
    <w:qFormat/>
    <w:uiPriority w:val="0"/>
    <w:pPr>
      <w:widowControl/>
      <w:pBdr>
        <w:top w:val="double" w:color="auto" w:sz="6"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16"/>
      <w:szCs w:val="16"/>
    </w:rPr>
  </w:style>
  <w:style w:type="paragraph" w:customStyle="1" w:styleId="299">
    <w:name w:val="xl89"/>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300">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01">
    <w:name w:val="封一"/>
    <w:basedOn w:val="1"/>
    <w:next w:val="1"/>
    <w:qFormat/>
    <w:uiPriority w:val="0"/>
    <w:pPr>
      <w:topLinePunct/>
      <w:adjustRightInd w:val="0"/>
      <w:snapToGrid w:val="0"/>
      <w:spacing w:line="360" w:lineRule="auto"/>
      <w:jc w:val="center"/>
    </w:pPr>
    <w:rPr>
      <w:rFonts w:eastAsia="黑体"/>
      <w:b/>
      <w:snapToGrid w:val="0"/>
      <w:spacing w:val="4"/>
      <w:kern w:val="0"/>
      <w:sz w:val="84"/>
      <w:szCs w:val="84"/>
    </w:rPr>
  </w:style>
  <w:style w:type="paragraph" w:customStyle="1" w:styleId="302">
    <w:name w:val="正文 + 宋体"/>
    <w:basedOn w:val="1"/>
    <w:qFormat/>
    <w:uiPriority w:val="0"/>
    <w:pPr>
      <w:snapToGrid w:val="0"/>
      <w:spacing w:after="100" w:afterAutospacing="1"/>
    </w:pPr>
    <w:rPr>
      <w:rFonts w:ascii="宋体" w:hAnsi="宋体"/>
      <w:bCs/>
      <w:spacing w:val="4"/>
      <w:sz w:val="24"/>
      <w:szCs w:val="24"/>
    </w:rPr>
  </w:style>
  <w:style w:type="paragraph" w:customStyle="1" w:styleId="303">
    <w:name w:val="xl88"/>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304">
    <w:name w:val="Char Char Char Char"/>
    <w:basedOn w:val="16"/>
    <w:qFormat/>
    <w:uiPriority w:val="0"/>
    <w:pPr>
      <w:shd w:val="clear" w:color="auto" w:fill="000080"/>
    </w:pPr>
    <w:rPr>
      <w:rFonts w:ascii="Tahoma" w:hAnsi="Tahoma"/>
      <w:kern w:val="0"/>
      <w:sz w:val="24"/>
      <w:szCs w:val="24"/>
      <w:lang w:val="en-US"/>
    </w:rPr>
  </w:style>
  <w:style w:type="paragraph" w:customStyle="1" w:styleId="305">
    <w:name w:val="正文 + 小四"/>
    <w:basedOn w:val="1"/>
    <w:qFormat/>
    <w:uiPriority w:val="0"/>
    <w:pPr>
      <w:tabs>
        <w:tab w:val="left" w:pos="960"/>
      </w:tabs>
    </w:pPr>
    <w:rPr>
      <w:sz w:val="24"/>
      <w:szCs w:val="24"/>
    </w:rPr>
  </w:style>
  <w:style w:type="paragraph" w:customStyle="1" w:styleId="306">
    <w:name w:val="Char1 Char Char Char Char Char Char"/>
    <w:basedOn w:val="16"/>
    <w:next w:val="4"/>
    <w:qFormat/>
    <w:uiPriority w:val="0"/>
    <w:pPr>
      <w:shd w:val="clear" w:color="auto" w:fill="000080"/>
      <w:adjustRightInd w:val="0"/>
      <w:spacing w:line="600" w:lineRule="exact"/>
      <w:jc w:val="center"/>
      <w:outlineLvl w:val="2"/>
    </w:pPr>
    <w:rPr>
      <w:rFonts w:ascii="Times New Roman" w:hAnsi="Times New Roman"/>
      <w:kern w:val="0"/>
      <w:sz w:val="21"/>
      <w:szCs w:val="20"/>
      <w:lang w:val="en-US"/>
    </w:rPr>
  </w:style>
  <w:style w:type="paragraph" w:customStyle="1" w:styleId="307">
    <w:name w:val="Char Char Char Char Char Char Char Char Char Char Char Char Char Char Char Char Char Char Char Char Char Char Char Char Char Char Char Char Char Char Char"/>
    <w:basedOn w:val="1"/>
    <w:qFormat/>
    <w:uiPriority w:val="0"/>
    <w:rPr>
      <w:szCs w:val="21"/>
    </w:rPr>
  </w:style>
  <w:style w:type="paragraph" w:customStyle="1" w:styleId="308">
    <w:name w:val="xl70"/>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309">
    <w:name w:val="Char Char Char Char Char Char Char Char Char Char"/>
    <w:qFormat/>
    <w:uiPriority w:val="0"/>
    <w:pPr>
      <w:widowControl w:val="0"/>
      <w:jc w:val="both"/>
    </w:pPr>
    <w:rPr>
      <w:rFonts w:hint="eastAsia" w:ascii="Arial Unicode MS" w:hAnsi="Arial Unicode MS" w:eastAsia="Arial Unicode MS" w:cs="Arial Unicode MS"/>
      <w:color w:val="000000"/>
      <w:kern w:val="2"/>
      <w:sz w:val="24"/>
      <w:szCs w:val="24"/>
      <w:lang w:val="en-US" w:eastAsia="zh-CN" w:bidi="ar-SA"/>
    </w:rPr>
  </w:style>
  <w:style w:type="paragraph" w:customStyle="1" w:styleId="310">
    <w:name w:val="目录"/>
    <w:basedOn w:val="1"/>
    <w:qFormat/>
    <w:uiPriority w:val="0"/>
    <w:pPr>
      <w:widowControl/>
      <w:jc w:val="center"/>
    </w:pPr>
    <w:rPr>
      <w:rFonts w:ascii="宋体"/>
      <w:b/>
      <w:kern w:val="0"/>
      <w:sz w:val="36"/>
      <w:szCs w:val="20"/>
    </w:rPr>
  </w:style>
  <w:style w:type="paragraph" w:customStyle="1" w:styleId="311">
    <w:name w:val="xl15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312">
    <w:name w:val="xl165"/>
    <w:basedOn w:val="1"/>
    <w:qFormat/>
    <w:uiPriority w:val="0"/>
    <w:pPr>
      <w:widowControl/>
      <w:pBdr>
        <w:bottom w:val="double" w:color="auto" w:sz="6" w:space="0"/>
        <w:righ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313">
    <w:name w:val="xl68"/>
    <w:basedOn w:val="1"/>
    <w:qFormat/>
    <w:uiPriority w:val="0"/>
    <w:pPr>
      <w:widowControl/>
      <w:pBdr>
        <w:top w:val="single" w:color="auto" w:sz="8"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14">
    <w:name w:val="new"/>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15">
    <w:name w:val="Char Char Char Char Char Char Char"/>
    <w:basedOn w:val="1"/>
    <w:qFormat/>
    <w:uiPriority w:val="0"/>
    <w:pPr>
      <w:tabs>
        <w:tab w:val="right" w:leader="middleDot" w:pos="360"/>
      </w:tabs>
    </w:pPr>
    <w:rPr>
      <w:color w:val="000000"/>
      <w:kern w:val="1"/>
      <w:sz w:val="24"/>
      <w:szCs w:val="24"/>
    </w:rPr>
  </w:style>
  <w:style w:type="paragraph" w:customStyle="1" w:styleId="316">
    <w:name w:val="_Style 197"/>
    <w:qFormat/>
    <w:uiPriority w:val="99"/>
    <w:rPr>
      <w:rFonts w:ascii="Calibri" w:hAnsi="Calibri" w:eastAsia="宋体" w:cs="Times New Roman"/>
      <w:kern w:val="2"/>
      <w:sz w:val="21"/>
      <w:szCs w:val="24"/>
      <w:lang w:val="en-US" w:eastAsia="zh-CN" w:bidi="ar-SA"/>
    </w:rPr>
  </w:style>
  <w:style w:type="paragraph" w:customStyle="1" w:styleId="317">
    <w:name w:val="TOC 标题2"/>
    <w:basedOn w:val="2"/>
    <w:next w:val="1"/>
    <w:unhideWhenUsed/>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318">
    <w:name w:val="封三"/>
    <w:basedOn w:val="131"/>
    <w:next w:val="131"/>
    <w:qFormat/>
    <w:uiPriority w:val="0"/>
    <w:pPr>
      <w:ind w:firstLine="0" w:firstLineChars="0"/>
      <w:jc w:val="center"/>
    </w:pPr>
    <w:rPr>
      <w:sz w:val="30"/>
    </w:rPr>
  </w:style>
  <w:style w:type="paragraph" w:customStyle="1" w:styleId="319">
    <w:name w:val="xl10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320">
    <w:name w:val="_Style 23"/>
    <w:basedOn w:val="1"/>
    <w:qFormat/>
    <w:uiPriority w:val="0"/>
    <w:pPr>
      <w:widowControl/>
      <w:spacing w:after="160" w:line="240" w:lineRule="exact"/>
      <w:jc w:val="left"/>
    </w:pPr>
  </w:style>
  <w:style w:type="paragraph" w:customStyle="1" w:styleId="321">
    <w:name w:val="章节三"/>
    <w:basedOn w:val="131"/>
    <w:next w:val="131"/>
    <w:qFormat/>
    <w:uiPriority w:val="0"/>
    <w:pPr>
      <w:spacing w:beforeLines="50" w:afterLines="50" w:line="240" w:lineRule="auto"/>
      <w:ind w:firstLine="0" w:firstLineChars="0"/>
      <w:jc w:val="left"/>
      <w:outlineLvl w:val="2"/>
    </w:pPr>
    <w:rPr>
      <w:rFonts w:ascii="黑体" w:hAnsi="宋体" w:eastAsia="黑体"/>
      <w:b/>
    </w:rPr>
  </w:style>
  <w:style w:type="paragraph" w:customStyle="1" w:styleId="322">
    <w:name w:val="msolistparagraph"/>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23">
    <w:name w:val="xl149"/>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324">
    <w:name w:val="n_p_lineheight"/>
    <w:basedOn w:val="1"/>
    <w:qFormat/>
    <w:uiPriority w:val="0"/>
    <w:pPr>
      <w:widowControl/>
      <w:jc w:val="left"/>
    </w:pPr>
    <w:rPr>
      <w:rFonts w:ascii="宋体" w:hAnsi="宋体" w:cs="宋体"/>
      <w:kern w:val="0"/>
      <w:sz w:val="24"/>
      <w:szCs w:val="24"/>
    </w:rPr>
  </w:style>
  <w:style w:type="paragraph" w:customStyle="1" w:styleId="325">
    <w:name w:val="样式 WG标题3居中 + 行距: 固定值 18 磅"/>
    <w:basedOn w:val="1"/>
    <w:qFormat/>
    <w:uiPriority w:val="0"/>
    <w:pPr>
      <w:spacing w:before="100" w:beforeAutospacing="1" w:after="100" w:afterAutospacing="1" w:line="360" w:lineRule="exact"/>
      <w:jc w:val="center"/>
      <w:outlineLvl w:val="2"/>
    </w:pPr>
    <w:rPr>
      <w:rFonts w:cs="宋体"/>
      <w:b/>
      <w:bCs/>
      <w:sz w:val="32"/>
      <w:szCs w:val="20"/>
    </w:rPr>
  </w:style>
  <w:style w:type="paragraph" w:customStyle="1" w:styleId="326">
    <w:name w:val="Char1"/>
    <w:basedOn w:val="1"/>
    <w:qFormat/>
    <w:uiPriority w:val="0"/>
    <w:rPr>
      <w:rFonts w:ascii="Tahoma" w:hAnsi="Tahoma"/>
      <w:b/>
      <w:sz w:val="28"/>
      <w:szCs w:val="28"/>
    </w:rPr>
  </w:style>
  <w:style w:type="paragraph" w:customStyle="1" w:styleId="32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328">
    <w:name w:val="List Paragraph11"/>
    <w:basedOn w:val="1"/>
    <w:qFormat/>
    <w:uiPriority w:val="34"/>
    <w:pPr>
      <w:adjustRightInd w:val="0"/>
      <w:spacing w:line="312" w:lineRule="atLeast"/>
      <w:ind w:firstLine="420" w:firstLineChars="200"/>
      <w:textAlignment w:val="baseline"/>
    </w:pPr>
    <w:rPr>
      <w:kern w:val="0"/>
      <w:szCs w:val="20"/>
    </w:rPr>
  </w:style>
  <w:style w:type="paragraph" w:customStyle="1" w:styleId="329">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30">
    <w:name w:val="p0"/>
    <w:basedOn w:val="1"/>
    <w:qFormat/>
    <w:uiPriority w:val="0"/>
    <w:pPr>
      <w:widowControl/>
    </w:pPr>
    <w:rPr>
      <w:kern w:val="0"/>
      <w:szCs w:val="21"/>
    </w:rPr>
  </w:style>
  <w:style w:type="paragraph" w:customStyle="1" w:styleId="331">
    <w:name w:val="纯文本11"/>
    <w:basedOn w:val="1"/>
    <w:qFormat/>
    <w:uiPriority w:val="0"/>
    <w:pPr>
      <w:adjustRightInd w:val="0"/>
      <w:jc w:val="left"/>
      <w:textAlignment w:val="baseline"/>
    </w:pPr>
    <w:rPr>
      <w:rFonts w:ascii="宋体" w:hAnsi="Courier New"/>
      <w:sz w:val="24"/>
      <w:szCs w:val="20"/>
    </w:rPr>
  </w:style>
  <w:style w:type="paragraph" w:customStyle="1" w:styleId="33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333">
    <w:name w:val="xl112"/>
    <w:basedOn w:val="1"/>
    <w:qFormat/>
    <w:uiPriority w:val="0"/>
    <w:pPr>
      <w:widowControl/>
      <w:pBdr>
        <w:top w:val="single" w:color="auto" w:sz="4" w:space="0"/>
        <w:left w:val="single" w:color="auto" w:sz="4" w:space="0"/>
        <w:bottom w:val="double" w:color="auto" w:sz="6" w:space="0"/>
      </w:pBdr>
      <w:spacing w:before="100" w:beforeAutospacing="1" w:after="100" w:afterAutospacing="1"/>
      <w:jc w:val="left"/>
      <w:textAlignment w:val="top"/>
    </w:pPr>
    <w:rPr>
      <w:rFonts w:ascii="宋体" w:hAnsi="宋体" w:cs="宋体"/>
      <w:kern w:val="0"/>
      <w:sz w:val="16"/>
      <w:szCs w:val="16"/>
    </w:rPr>
  </w:style>
  <w:style w:type="paragraph" w:customStyle="1" w:styleId="334">
    <w:name w:val="xl8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16"/>
      <w:szCs w:val="16"/>
    </w:rPr>
  </w:style>
  <w:style w:type="paragraph" w:customStyle="1" w:styleId="335">
    <w:name w:val="xl155"/>
    <w:basedOn w:val="1"/>
    <w:qFormat/>
    <w:uiPriority w:val="0"/>
    <w:pPr>
      <w:widowControl/>
      <w:pBdr>
        <w:left w:val="single" w:color="auto" w:sz="8" w:space="0"/>
        <w:bottom w:val="double" w:color="auto" w:sz="6"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6">
    <w:name w:val="xl122"/>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337">
    <w:name w:val="xl163"/>
    <w:basedOn w:val="1"/>
    <w:qFormat/>
    <w:uiPriority w:val="0"/>
    <w:pPr>
      <w:widowControl/>
      <w:pBdr>
        <w:top w:val="double" w:color="auto" w:sz="6" w:space="0"/>
        <w:righ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338">
    <w:name w:val="xl126"/>
    <w:basedOn w:val="1"/>
    <w:qFormat/>
    <w:uiPriority w:val="0"/>
    <w:pPr>
      <w:widowControl/>
      <w:pBdr>
        <w:bottom w:val="single" w:color="auto" w:sz="8" w:space="0"/>
      </w:pBdr>
      <w:spacing w:before="100" w:beforeAutospacing="1" w:after="100" w:afterAutospacing="1"/>
      <w:jc w:val="left"/>
    </w:pPr>
    <w:rPr>
      <w:rFonts w:ascii="宋体" w:hAnsi="宋体" w:cs="宋体"/>
      <w:kern w:val="0"/>
      <w:sz w:val="18"/>
      <w:szCs w:val="18"/>
    </w:rPr>
  </w:style>
  <w:style w:type="paragraph" w:customStyle="1" w:styleId="339">
    <w:name w:val="样式 标题 3  1、Heading 3 - old子系统h33rd level3H3章标题1三级标题l3CT..."/>
    <w:basedOn w:val="4"/>
    <w:qFormat/>
    <w:uiPriority w:val="0"/>
    <w:pPr>
      <w:spacing w:before="120" w:after="120" w:line="360" w:lineRule="auto"/>
    </w:pPr>
    <w:rPr>
      <w:rFonts w:ascii="Calibri"/>
      <w:bCs w:val="0"/>
      <w:color w:val="000000"/>
      <w:kern w:val="1"/>
    </w:rPr>
  </w:style>
  <w:style w:type="paragraph" w:customStyle="1" w:styleId="340">
    <w:name w:val="xl90"/>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341">
    <w:name w:val="xl132"/>
    <w:basedOn w:val="1"/>
    <w:qFormat/>
    <w:uiPriority w:val="0"/>
    <w:pPr>
      <w:widowControl/>
      <w:pBdr>
        <w:bottom w:val="single" w:color="auto" w:sz="8" w:space="0"/>
      </w:pBdr>
      <w:spacing w:before="100" w:beforeAutospacing="1" w:after="100" w:afterAutospacing="1"/>
      <w:jc w:val="left"/>
    </w:pPr>
    <w:rPr>
      <w:rFonts w:ascii="宋体" w:hAnsi="宋体" w:cs="宋体"/>
      <w:kern w:val="0"/>
      <w:sz w:val="20"/>
      <w:szCs w:val="20"/>
    </w:rPr>
  </w:style>
  <w:style w:type="paragraph" w:customStyle="1" w:styleId="342">
    <w:name w:val="xl114"/>
    <w:basedOn w:val="1"/>
    <w:qFormat/>
    <w:uiPriority w:val="0"/>
    <w:pPr>
      <w:widowControl/>
      <w:pBdr>
        <w:top w:val="single" w:color="auto" w:sz="4" w:space="0"/>
        <w:left w:val="single" w:color="auto" w:sz="8" w:space="0"/>
        <w:bottom w:val="single" w:color="auto" w:sz="4"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343">
    <w:name w:val="xl118"/>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344">
    <w:name w:val="xl141"/>
    <w:basedOn w:val="1"/>
    <w:qFormat/>
    <w:uiPriority w:val="0"/>
    <w:pPr>
      <w:widowControl/>
      <w:pBdr>
        <w:top w:val="double" w:color="auto" w:sz="6" w:space="0"/>
        <w:left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345">
    <w:name w:val="xl7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346">
    <w:name w:val="xl161"/>
    <w:basedOn w:val="1"/>
    <w:qFormat/>
    <w:uiPriority w:val="0"/>
    <w:pPr>
      <w:widowControl/>
      <w:pBdr>
        <w:bottom w:val="double" w:color="auto" w:sz="6" w:space="0"/>
        <w:right w:val="single" w:color="auto" w:sz="4" w:space="0"/>
      </w:pBdr>
      <w:spacing w:before="100" w:beforeAutospacing="1" w:after="100" w:afterAutospacing="1"/>
      <w:jc w:val="center"/>
    </w:pPr>
    <w:rPr>
      <w:rFonts w:ascii="宋体" w:hAnsi="宋体" w:cs="宋体"/>
      <w:color w:val="000000"/>
      <w:kern w:val="0"/>
      <w:sz w:val="16"/>
      <w:szCs w:val="16"/>
    </w:rPr>
  </w:style>
  <w:style w:type="paragraph" w:customStyle="1" w:styleId="347">
    <w:name w:val="xl97"/>
    <w:basedOn w:val="1"/>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348">
    <w:name w:val="目录 22"/>
    <w:qFormat/>
    <w:uiPriority w:val="0"/>
    <w:pPr>
      <w:widowControl w:val="0"/>
      <w:tabs>
        <w:tab w:val="right" w:leader="dot" w:pos="9710"/>
      </w:tabs>
      <w:ind w:left="283"/>
    </w:pPr>
    <w:rPr>
      <w:rFonts w:ascii="Times New Roman Bold" w:hAnsi="Times New Roman Bold" w:eastAsia="Times New Roman Bold" w:cs="Times New Roman Bold"/>
      <w:color w:val="000000"/>
      <w:kern w:val="2"/>
      <w:lang w:val="en-US" w:eastAsia="zh-CN" w:bidi="ar-SA"/>
    </w:rPr>
  </w:style>
  <w:style w:type="paragraph" w:customStyle="1" w:styleId="349">
    <w:name w:val="xl158"/>
    <w:basedOn w:val="1"/>
    <w:qFormat/>
    <w:uiPriority w:val="0"/>
    <w:pPr>
      <w:widowControl/>
      <w:pBdr>
        <w:top w:val="double" w:color="auto" w:sz="6" w:space="0"/>
        <w:left w:val="single" w:color="auto" w:sz="4" w:space="0"/>
      </w:pBdr>
      <w:spacing w:before="100" w:beforeAutospacing="1" w:after="100" w:afterAutospacing="1"/>
      <w:jc w:val="center"/>
    </w:pPr>
    <w:rPr>
      <w:rFonts w:ascii="宋体" w:hAnsi="宋体" w:cs="宋体"/>
      <w:color w:val="000000"/>
      <w:kern w:val="0"/>
      <w:sz w:val="16"/>
      <w:szCs w:val="16"/>
    </w:rPr>
  </w:style>
  <w:style w:type="paragraph" w:customStyle="1" w:styleId="350">
    <w:name w:val="目录 12"/>
    <w:qFormat/>
    <w:uiPriority w:val="0"/>
    <w:pPr>
      <w:widowControl w:val="0"/>
      <w:tabs>
        <w:tab w:val="right" w:leader="dot" w:pos="9710"/>
      </w:tabs>
      <w:spacing w:line="360" w:lineRule="auto"/>
    </w:pPr>
    <w:rPr>
      <w:rFonts w:ascii="Arial Bold" w:hAnsi="Arial Bold" w:eastAsia="Arial Bold" w:cs="Arial Bold"/>
      <w:caps/>
      <w:color w:val="000000"/>
      <w:kern w:val="2"/>
      <w:sz w:val="24"/>
      <w:szCs w:val="24"/>
      <w:lang w:val="en-US" w:eastAsia="zh-CN" w:bidi="ar-SA"/>
    </w:rPr>
  </w:style>
  <w:style w:type="paragraph" w:customStyle="1" w:styleId="351">
    <w:name w:val="xl108"/>
    <w:basedOn w:val="1"/>
    <w:qFormat/>
    <w:uiPriority w:val="0"/>
    <w:pPr>
      <w:widowControl/>
      <w:pBdr>
        <w:top w:val="double" w:color="auto" w:sz="6"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352">
    <w:name w:val="CM337"/>
    <w:basedOn w:val="353"/>
    <w:next w:val="353"/>
    <w:qFormat/>
    <w:uiPriority w:val="99"/>
    <w:pPr>
      <w:autoSpaceDE w:val="0"/>
      <w:autoSpaceDN w:val="0"/>
      <w:adjustRightInd w:val="0"/>
      <w:spacing w:after="1090"/>
    </w:pPr>
    <w:rPr>
      <w:rFonts w:ascii="宋体"/>
      <w:color w:val="auto"/>
    </w:rPr>
  </w:style>
  <w:style w:type="paragraph" w:customStyle="1" w:styleId="353">
    <w:name w:val="Default"/>
    <w:qFormat/>
    <w:uiPriority w:val="0"/>
    <w:pPr>
      <w:widowControl w:val="0"/>
    </w:pPr>
    <w:rPr>
      <w:rFonts w:ascii="Calibri" w:hAnsi="Calibri" w:eastAsia="宋体" w:cs="Times New Roman"/>
      <w:color w:val="000000"/>
      <w:sz w:val="24"/>
      <w:szCs w:val="24"/>
      <w:lang w:val="en-US" w:eastAsia="zh-CN" w:bidi="ar-SA"/>
    </w:rPr>
  </w:style>
  <w:style w:type="paragraph" w:customStyle="1" w:styleId="354">
    <w:name w:val="xl123"/>
    <w:basedOn w:val="1"/>
    <w:qFormat/>
    <w:uiPriority w:val="0"/>
    <w:pPr>
      <w:widowControl/>
      <w:pBdr>
        <w:top w:val="single" w:color="auto" w:sz="8" w:space="0"/>
        <w:left w:val="single" w:color="auto" w:sz="8" w:space="0"/>
        <w:bottom w:val="double" w:color="auto" w:sz="6"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55">
    <w:name w:val="p19"/>
    <w:basedOn w:val="1"/>
    <w:qFormat/>
    <w:uiPriority w:val="0"/>
    <w:pPr>
      <w:widowControl/>
      <w:ind w:firstLine="540"/>
    </w:pPr>
    <w:rPr>
      <w:kern w:val="0"/>
      <w:sz w:val="28"/>
      <w:szCs w:val="28"/>
    </w:rPr>
  </w:style>
  <w:style w:type="paragraph" w:customStyle="1" w:styleId="356">
    <w:name w:val="1.1"/>
    <w:basedOn w:val="1"/>
    <w:next w:val="1"/>
    <w:qFormat/>
    <w:uiPriority w:val="0"/>
    <w:pPr>
      <w:adjustRightInd w:val="0"/>
      <w:snapToGrid w:val="0"/>
      <w:spacing w:before="240" w:after="240" w:line="400" w:lineRule="atLeast"/>
      <w:ind w:left="901" w:right="480" w:hanging="901" w:hangingChars="299"/>
      <w:textAlignment w:val="baseline"/>
    </w:pPr>
    <w:rPr>
      <w:rFonts w:ascii="宋体" w:hAnsi="宋体"/>
      <w:b/>
      <w:kern w:val="0"/>
      <w:sz w:val="30"/>
      <w:szCs w:val="20"/>
    </w:rPr>
  </w:style>
  <w:style w:type="paragraph" w:customStyle="1" w:styleId="357">
    <w:name w:val="xl81"/>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358">
    <w:name w:val="默认"/>
    <w:qFormat/>
    <w:uiPriority w:val="0"/>
    <w:rPr>
      <w:rFonts w:ascii="Helvetica" w:hAnsi="Helvetica" w:eastAsia="Helvetica" w:cs="Helvetica"/>
      <w:color w:val="000000"/>
      <w:sz w:val="22"/>
      <w:szCs w:val="22"/>
      <w:lang w:val="en-US" w:eastAsia="zh-CN" w:bidi="ar-SA"/>
    </w:rPr>
  </w:style>
  <w:style w:type="paragraph" w:customStyle="1" w:styleId="359">
    <w:name w:val="小节"/>
    <w:basedOn w:val="1"/>
    <w:qFormat/>
    <w:uiPriority w:val="0"/>
    <w:pPr>
      <w:spacing w:line="360" w:lineRule="auto"/>
    </w:pPr>
    <w:rPr>
      <w:b/>
      <w:sz w:val="24"/>
      <w:szCs w:val="24"/>
    </w:rPr>
  </w:style>
  <w:style w:type="paragraph" w:customStyle="1" w:styleId="360">
    <w:name w:val="Char1 Char Char Char1 Char Char Char1"/>
    <w:basedOn w:val="1"/>
    <w:qFormat/>
    <w:uiPriority w:val="0"/>
    <w:pPr>
      <w:spacing w:line="360" w:lineRule="auto"/>
      <w:ind w:firstLine="200"/>
    </w:pPr>
    <w:rPr>
      <w:rFonts w:ascii="宋体" w:hAnsi="宋体" w:cs="宋体"/>
      <w:color w:val="000000"/>
      <w:kern w:val="1"/>
      <w:sz w:val="24"/>
      <w:szCs w:val="24"/>
    </w:rPr>
  </w:style>
  <w:style w:type="paragraph" w:customStyle="1" w:styleId="361">
    <w:name w:val="正文1"/>
    <w:qFormat/>
    <w:uiPriority w:val="0"/>
    <w:pPr>
      <w:widowControl w:val="0"/>
      <w:adjustRightInd w:val="0"/>
      <w:spacing w:line="312" w:lineRule="atLeast"/>
      <w:jc w:val="both"/>
    </w:pPr>
    <w:rPr>
      <w:rFonts w:ascii="宋体" w:hAnsi="Calibri" w:eastAsia="宋体" w:cs="Times New Roman"/>
      <w:sz w:val="34"/>
      <w:lang w:val="en-US" w:eastAsia="zh-CN" w:bidi="ar-SA"/>
    </w:rPr>
  </w:style>
  <w:style w:type="paragraph" w:customStyle="1" w:styleId="362">
    <w:name w:val="xl98"/>
    <w:basedOn w:val="1"/>
    <w:qFormat/>
    <w:uiPriority w:val="0"/>
    <w:pPr>
      <w:widowControl/>
      <w:pBdr>
        <w:top w:val="single" w:color="auto" w:sz="4" w:space="0"/>
        <w:bottom w:val="double" w:color="auto" w:sz="6"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363">
    <w:name w:val="xl128"/>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64">
    <w:name w:val="xl73"/>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365">
    <w:name w:val="xl7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366">
    <w:name w:val="表"/>
    <w:basedOn w:val="1"/>
    <w:qFormat/>
    <w:uiPriority w:val="0"/>
    <w:pPr>
      <w:snapToGrid w:val="0"/>
      <w:ind w:firstLine="567"/>
      <w:jc w:val="center"/>
    </w:pPr>
    <w:rPr>
      <w:rFonts w:eastAsia="楷体_GB2312"/>
      <w:kern w:val="0"/>
      <w:sz w:val="24"/>
      <w:szCs w:val="20"/>
    </w:rPr>
  </w:style>
  <w:style w:type="paragraph" w:customStyle="1" w:styleId="367">
    <w:name w:val="章节二"/>
    <w:basedOn w:val="1"/>
    <w:next w:val="1"/>
    <w:qFormat/>
    <w:uiPriority w:val="0"/>
    <w:pPr>
      <w:topLinePunct/>
      <w:adjustRightInd w:val="0"/>
      <w:snapToGrid w:val="0"/>
      <w:spacing w:beforeLines="50" w:afterLines="50"/>
      <w:jc w:val="center"/>
      <w:outlineLvl w:val="1"/>
    </w:pPr>
    <w:rPr>
      <w:rFonts w:eastAsia="黑体"/>
      <w:b/>
      <w:snapToGrid w:val="0"/>
      <w:spacing w:val="4"/>
      <w:kern w:val="0"/>
      <w:sz w:val="30"/>
      <w:szCs w:val="30"/>
    </w:rPr>
  </w:style>
  <w:style w:type="paragraph" w:customStyle="1" w:styleId="368">
    <w:name w:val="xl15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369">
    <w:name w:val="顾2"/>
    <w:basedOn w:val="1"/>
    <w:qFormat/>
    <w:uiPriority w:val="0"/>
    <w:pPr>
      <w:keepNext/>
      <w:keepLines/>
      <w:spacing w:beforeLines="100" w:afterLines="100"/>
      <w:ind w:left="284" w:hanging="284"/>
      <w:outlineLvl w:val="1"/>
    </w:pPr>
    <w:rPr>
      <w:rFonts w:ascii="宋体" w:hAnsi="宋体"/>
      <w:b/>
      <w:bCs/>
      <w:w w:val="90"/>
      <w:kern w:val="0"/>
      <w:sz w:val="32"/>
      <w:szCs w:val="32"/>
    </w:rPr>
  </w:style>
  <w:style w:type="paragraph" w:customStyle="1" w:styleId="370">
    <w:name w:val="默认段落字体 Para Char Char Char Char Char Char Char"/>
    <w:basedOn w:val="1"/>
    <w:qFormat/>
    <w:uiPriority w:val="0"/>
    <w:pPr>
      <w:widowControl/>
      <w:jc w:val="left"/>
    </w:pPr>
    <w:rPr>
      <w:rFonts w:ascii="Tahoma" w:hAnsi="Tahoma"/>
      <w:kern w:val="0"/>
      <w:sz w:val="24"/>
      <w:szCs w:val="20"/>
      <w:lang w:eastAsia="en-US"/>
    </w:rPr>
  </w:style>
  <w:style w:type="paragraph" w:customStyle="1" w:styleId="371">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372">
    <w:name w:val="正文_0_0"/>
    <w:qFormat/>
    <w:uiPriority w:val="0"/>
    <w:pPr>
      <w:widowControl w:val="0"/>
      <w:jc w:val="both"/>
    </w:pPr>
    <w:rPr>
      <w:rFonts w:ascii="Calibri" w:hAnsi="Calibri" w:eastAsia="宋体" w:cs="Calibri"/>
      <w:kern w:val="2"/>
      <w:sz w:val="21"/>
      <w:szCs w:val="24"/>
      <w:lang w:val="en-US" w:eastAsia="zh-CN" w:bidi="ar-SA"/>
    </w:rPr>
  </w:style>
  <w:style w:type="paragraph" w:customStyle="1" w:styleId="373">
    <w:name w:val="xl107"/>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374">
    <w:name w:val="默认段落字体 Para Char"/>
    <w:basedOn w:val="1"/>
    <w:qFormat/>
    <w:uiPriority w:val="0"/>
    <w:rPr>
      <w:sz w:val="30"/>
      <w:szCs w:val="24"/>
    </w:rPr>
  </w:style>
  <w:style w:type="paragraph" w:customStyle="1" w:styleId="375">
    <w:name w:val="表注"/>
    <w:basedOn w:val="1"/>
    <w:qFormat/>
    <w:uiPriority w:val="0"/>
    <w:pPr>
      <w:adjustRightInd w:val="0"/>
      <w:snapToGrid w:val="0"/>
      <w:spacing w:beforeLines="50" w:line="300" w:lineRule="auto"/>
      <w:ind w:left="200" w:leftChars="8" w:hanging="200" w:hangingChars="200"/>
    </w:pPr>
    <w:rPr>
      <w:bCs/>
      <w:color w:val="000000"/>
      <w:szCs w:val="24"/>
    </w:rPr>
  </w:style>
  <w:style w:type="paragraph" w:customStyle="1" w:styleId="376">
    <w:name w:val="xl164"/>
    <w:basedOn w:val="1"/>
    <w:qFormat/>
    <w:uiPriority w:val="0"/>
    <w:pPr>
      <w:widowControl/>
      <w:pBdr>
        <w:left w:val="single" w:color="auto" w:sz="4" w:space="0"/>
        <w:bottom w:val="double" w:color="auto" w:sz="6" w:space="0"/>
      </w:pBdr>
      <w:spacing w:before="100" w:beforeAutospacing="1" w:after="100" w:afterAutospacing="1"/>
      <w:jc w:val="center"/>
    </w:pPr>
    <w:rPr>
      <w:rFonts w:ascii="宋体" w:hAnsi="宋体" w:cs="宋体"/>
      <w:color w:val="0000FF"/>
      <w:kern w:val="0"/>
      <w:sz w:val="16"/>
      <w:szCs w:val="16"/>
    </w:rPr>
  </w:style>
  <w:style w:type="paragraph" w:customStyle="1" w:styleId="377">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378">
    <w:name w:val="正文 New New New New New New"/>
    <w:qFormat/>
    <w:uiPriority w:val="0"/>
    <w:pPr>
      <w:widowControl w:val="0"/>
      <w:jc w:val="both"/>
    </w:pPr>
    <w:rPr>
      <w:rFonts w:ascii="Calibri" w:hAnsi="Calibri" w:eastAsia="宋体" w:cs="Times New Roman"/>
      <w:kern w:val="2"/>
      <w:sz w:val="24"/>
      <w:szCs w:val="24"/>
      <w:lang w:val="en-US" w:eastAsia="zh-CN" w:bidi="ar-SA"/>
    </w:rPr>
  </w:style>
  <w:style w:type="paragraph" w:customStyle="1" w:styleId="379">
    <w:name w:val="Char Char Char2"/>
    <w:basedOn w:val="1"/>
    <w:qFormat/>
    <w:uiPriority w:val="0"/>
    <w:rPr>
      <w:rFonts w:ascii="Tahoma" w:hAnsi="Tahoma"/>
      <w:sz w:val="24"/>
      <w:szCs w:val="20"/>
    </w:rPr>
  </w:style>
  <w:style w:type="paragraph" w:customStyle="1" w:styleId="380">
    <w:name w:val="xl72"/>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381">
    <w:name w:val="[基本段落]"/>
    <w:basedOn w:val="1"/>
    <w:qFormat/>
    <w:uiPriority w:val="99"/>
    <w:pPr>
      <w:spacing w:line="288" w:lineRule="auto"/>
    </w:pPr>
    <w:rPr>
      <w:rFonts w:ascii="Adobe 宋体 Std L" w:hAnsi="Adobe 宋体 Std L" w:eastAsia="Adobe 宋体 Std L" w:cs="Adobe 宋体 Std L"/>
      <w:color w:val="000000"/>
      <w:kern w:val="0"/>
      <w:sz w:val="24"/>
      <w:szCs w:val="24"/>
      <w:lang w:val="zh-CN"/>
    </w:rPr>
  </w:style>
  <w:style w:type="paragraph" w:customStyle="1" w:styleId="382">
    <w:name w:val="xl11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383">
    <w:name w:val="xl129"/>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384">
    <w:name w:val="Char Char Char"/>
    <w:basedOn w:val="16"/>
    <w:next w:val="4"/>
    <w:qFormat/>
    <w:uiPriority w:val="0"/>
    <w:pPr>
      <w:shd w:val="clear" w:color="auto" w:fill="000080"/>
      <w:adjustRightInd w:val="0"/>
      <w:spacing w:line="600" w:lineRule="exact"/>
      <w:ind w:firstLine="200" w:firstLineChars="200"/>
      <w:jc w:val="center"/>
      <w:outlineLvl w:val="2"/>
    </w:pPr>
    <w:rPr>
      <w:rFonts w:ascii="Times New Roman" w:hAnsi="Times New Roman"/>
      <w:kern w:val="0"/>
      <w:sz w:val="21"/>
      <w:szCs w:val="20"/>
      <w:lang w:val="en-US"/>
    </w:rPr>
  </w:style>
  <w:style w:type="paragraph" w:customStyle="1" w:styleId="385">
    <w:name w:val="xl146"/>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86">
    <w:name w:val="标题 1 New"/>
    <w:basedOn w:val="387"/>
    <w:next w:val="387"/>
    <w:qFormat/>
    <w:uiPriority w:val="0"/>
    <w:pPr>
      <w:keepNext/>
      <w:keepLines/>
      <w:spacing w:before="340" w:after="330" w:line="576" w:lineRule="auto"/>
      <w:outlineLvl w:val="0"/>
    </w:pPr>
    <w:rPr>
      <w:rFonts w:cs="Times New Roman"/>
      <w:b/>
      <w:color w:val="auto"/>
      <w:kern w:val="44"/>
      <w:sz w:val="44"/>
    </w:rPr>
  </w:style>
  <w:style w:type="paragraph" w:customStyle="1" w:styleId="387">
    <w:name w:val="正文 New"/>
    <w:qFormat/>
    <w:uiPriority w:val="0"/>
    <w:pPr>
      <w:widowControl w:val="0"/>
      <w:jc w:val="both"/>
    </w:pPr>
    <w:rPr>
      <w:rFonts w:ascii="Calibri" w:hAnsi="Calibri" w:eastAsia="宋体" w:cs="Calibri"/>
      <w:color w:val="000000"/>
      <w:kern w:val="1"/>
      <w:sz w:val="21"/>
      <w:lang w:val="en-US" w:eastAsia="zh-CN" w:bidi="ar-SA"/>
    </w:rPr>
  </w:style>
  <w:style w:type="paragraph" w:customStyle="1" w:styleId="388">
    <w:name w:val="xl82"/>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389">
    <w:name w:val="样式2"/>
    <w:basedOn w:val="4"/>
    <w:qFormat/>
    <w:uiPriority w:val="0"/>
    <w:pPr>
      <w:spacing w:line="415" w:lineRule="auto"/>
      <w:ind w:firstLine="137" w:firstLineChars="49"/>
    </w:pPr>
    <w:rPr>
      <w:rFonts w:ascii="黑体" w:hAnsi="Times New Roman" w:eastAsia="黑体"/>
      <w:b w:val="0"/>
      <w:i/>
      <w:kern w:val="2"/>
      <w:sz w:val="28"/>
      <w:szCs w:val="28"/>
      <w:lang w:val="zh-CN"/>
    </w:rPr>
  </w:style>
  <w:style w:type="paragraph" w:customStyle="1" w:styleId="390">
    <w:name w:val="Char1 Char Char Char1 Char Char Char"/>
    <w:basedOn w:val="1"/>
    <w:qFormat/>
    <w:uiPriority w:val="0"/>
    <w:pPr>
      <w:spacing w:line="360" w:lineRule="auto"/>
      <w:ind w:firstLine="200"/>
    </w:pPr>
    <w:rPr>
      <w:rFonts w:ascii="宋体" w:hAnsi="宋体" w:cs="宋体"/>
      <w:color w:val="000000"/>
      <w:kern w:val="1"/>
      <w:sz w:val="24"/>
      <w:szCs w:val="24"/>
    </w:rPr>
  </w:style>
  <w:style w:type="paragraph" w:customStyle="1" w:styleId="391">
    <w:name w:val="Char Char Char Char11"/>
    <w:basedOn w:val="1"/>
    <w:next w:val="1"/>
    <w:qFormat/>
    <w:uiPriority w:val="0"/>
    <w:pPr>
      <w:spacing w:line="240" w:lineRule="atLeast"/>
      <w:ind w:left="420" w:firstLine="420"/>
      <w:jc w:val="left"/>
    </w:pPr>
    <w:rPr>
      <w:kern w:val="0"/>
      <w:szCs w:val="21"/>
    </w:rPr>
  </w:style>
  <w:style w:type="paragraph" w:customStyle="1" w:styleId="392">
    <w:name w:val="xl140"/>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16"/>
      <w:szCs w:val="16"/>
    </w:rPr>
  </w:style>
  <w:style w:type="paragraph" w:customStyle="1" w:styleId="393">
    <w:name w:val="xl83"/>
    <w:basedOn w:val="1"/>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394">
    <w:name w:val="xl96"/>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395">
    <w:name w:val="Char11"/>
    <w:basedOn w:val="1"/>
    <w:qFormat/>
    <w:uiPriority w:val="0"/>
    <w:rPr>
      <w:szCs w:val="21"/>
    </w:rPr>
  </w:style>
  <w:style w:type="paragraph" w:customStyle="1" w:styleId="396">
    <w:name w:val="封二"/>
    <w:basedOn w:val="1"/>
    <w:next w:val="1"/>
    <w:qFormat/>
    <w:uiPriority w:val="0"/>
    <w:pPr>
      <w:topLinePunct/>
      <w:adjustRightInd w:val="0"/>
      <w:snapToGrid w:val="0"/>
      <w:spacing w:line="360" w:lineRule="auto"/>
      <w:jc w:val="center"/>
    </w:pPr>
    <w:rPr>
      <w:rFonts w:eastAsia="黑体"/>
      <w:b/>
      <w:snapToGrid w:val="0"/>
      <w:spacing w:val="4"/>
      <w:kern w:val="0"/>
      <w:sz w:val="36"/>
      <w:szCs w:val="36"/>
    </w:rPr>
  </w:style>
  <w:style w:type="paragraph" w:customStyle="1" w:styleId="397">
    <w:name w:val="样式 WG标题2 + 行距: 固定值 18 磅1"/>
    <w:basedOn w:val="1"/>
    <w:qFormat/>
    <w:uiPriority w:val="0"/>
    <w:pPr>
      <w:autoSpaceDE w:val="0"/>
      <w:autoSpaceDN w:val="0"/>
      <w:adjustRightInd w:val="0"/>
      <w:spacing w:line="360" w:lineRule="exact"/>
      <w:textAlignment w:val="baseline"/>
      <w:outlineLvl w:val="1"/>
    </w:pPr>
    <w:rPr>
      <w:rFonts w:ascii="仿宋_GB2312" w:hAnsi="宋体" w:cs="宋体"/>
      <w:b/>
      <w:bCs/>
      <w:color w:val="000000"/>
      <w:kern w:val="20"/>
      <w:sz w:val="24"/>
      <w:szCs w:val="20"/>
    </w:rPr>
  </w:style>
  <w:style w:type="paragraph" w:customStyle="1" w:styleId="398">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399">
    <w:name w:val="xl151"/>
    <w:basedOn w:val="1"/>
    <w:qFormat/>
    <w:uiPriority w:val="0"/>
    <w:pPr>
      <w:widowControl/>
      <w:pBdr>
        <w:righ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400">
    <w:name w:val="xl115"/>
    <w:basedOn w:val="1"/>
    <w:qFormat/>
    <w:uiPriority w:val="0"/>
    <w:pPr>
      <w:widowControl/>
      <w:pBdr>
        <w:top w:val="single" w:color="auto" w:sz="4" w:space="0"/>
        <w:left w:val="single" w:color="auto" w:sz="8" w:space="0"/>
        <w:bottom w:val="double" w:color="auto" w:sz="6"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401">
    <w:name w:val="表格标题"/>
    <w:basedOn w:val="1"/>
    <w:link w:val="560"/>
    <w:qFormat/>
    <w:uiPriority w:val="0"/>
    <w:pPr>
      <w:adjustRightInd w:val="0"/>
      <w:snapToGrid w:val="0"/>
      <w:spacing w:beforeLines="50" w:afterLines="50"/>
      <w:ind w:left="22" w:leftChars="8"/>
      <w:jc w:val="center"/>
    </w:pPr>
    <w:rPr>
      <w:b/>
      <w:bCs/>
      <w:color w:val="000000"/>
      <w:sz w:val="32"/>
      <w:szCs w:val="32"/>
    </w:rPr>
  </w:style>
  <w:style w:type="paragraph" w:customStyle="1" w:styleId="402">
    <w:name w:val="修订1"/>
    <w:qFormat/>
    <w:uiPriority w:val="0"/>
    <w:rPr>
      <w:rFonts w:ascii="Times New Roman" w:hAnsi="Times New Roman" w:eastAsia="宋体" w:cs="Times New Roman"/>
      <w:kern w:val="2"/>
      <w:sz w:val="21"/>
      <w:szCs w:val="24"/>
      <w:lang w:val="en-US" w:eastAsia="zh-CN" w:bidi="ar-SA"/>
    </w:rPr>
  </w:style>
  <w:style w:type="paragraph" w:customStyle="1" w:styleId="403">
    <w:name w:val="xl144"/>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404">
    <w:name w:val="普通(网站)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405">
    <w:name w:val="xl91"/>
    <w:basedOn w:val="1"/>
    <w:qFormat/>
    <w:uiPriority w:val="0"/>
    <w:pPr>
      <w:widowControl/>
      <w:pBdr>
        <w:top w:val="double" w:color="auto" w:sz="6"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06">
    <w:name w:val="xl133"/>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 w:val="20"/>
      <w:szCs w:val="20"/>
    </w:rPr>
  </w:style>
  <w:style w:type="paragraph" w:customStyle="1" w:styleId="407">
    <w:name w:val="xl134"/>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08">
    <w:name w:val="Char21"/>
    <w:basedOn w:val="1"/>
    <w:qFormat/>
    <w:uiPriority w:val="0"/>
    <w:rPr>
      <w:rFonts w:ascii="Tahoma" w:hAnsi="Tahoma"/>
      <w:sz w:val="24"/>
      <w:szCs w:val="20"/>
    </w:rPr>
  </w:style>
  <w:style w:type="paragraph" w:customStyle="1" w:styleId="409">
    <w:name w:val="xl148"/>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410">
    <w:name w:val="1.1.1"/>
    <w:basedOn w:val="4"/>
    <w:qFormat/>
    <w:uiPriority w:val="0"/>
    <w:pPr>
      <w:tabs>
        <w:tab w:val="left" w:pos="1080"/>
        <w:tab w:val="left" w:pos="1260"/>
      </w:tabs>
      <w:adjustRightInd w:val="0"/>
      <w:spacing w:before="120" w:afterLines="50" w:line="440" w:lineRule="exact"/>
      <w:ind w:left="1140" w:hanging="1140"/>
      <w:jc w:val="left"/>
      <w:textAlignment w:val="baseline"/>
    </w:pPr>
    <w:rPr>
      <w:rFonts w:ascii="Times New Roman" w:hAnsi="Times New Roman"/>
      <w:bCs w:val="0"/>
      <w:kern w:val="2"/>
      <w:sz w:val="24"/>
      <w:szCs w:val="20"/>
    </w:rPr>
  </w:style>
  <w:style w:type="paragraph" w:customStyle="1" w:styleId="411">
    <w:name w:val="表格"/>
    <w:qFormat/>
    <w:uiPriority w:val="0"/>
    <w:pPr>
      <w:spacing w:before="20" w:after="20"/>
    </w:pPr>
    <w:rPr>
      <w:rFonts w:ascii="宋体" w:hAnsi="Calibri" w:eastAsia="宋体" w:cs="Times New Roman"/>
      <w:sz w:val="24"/>
      <w:lang w:val="en-US" w:eastAsia="zh-CN" w:bidi="ar-SA"/>
    </w:rPr>
  </w:style>
  <w:style w:type="paragraph" w:customStyle="1" w:styleId="412">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413">
    <w:name w:val="Char2"/>
    <w:basedOn w:val="1"/>
    <w:qFormat/>
    <w:uiPriority w:val="0"/>
    <w:rPr>
      <w:szCs w:val="24"/>
    </w:rPr>
  </w:style>
  <w:style w:type="paragraph" w:customStyle="1" w:styleId="414">
    <w:name w:val="xl80"/>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415">
    <w:name w:val="xl69"/>
    <w:basedOn w:val="1"/>
    <w:qFormat/>
    <w:uiPriority w:val="0"/>
    <w:pPr>
      <w:widowControl/>
      <w:pBdr>
        <w:top w:val="single" w:color="auto" w:sz="8"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416">
    <w:name w:val="1.1.1.1A"/>
    <w:basedOn w:val="1"/>
    <w:qFormat/>
    <w:uiPriority w:val="0"/>
    <w:pPr>
      <w:tabs>
        <w:tab w:val="left" w:pos="1843"/>
      </w:tabs>
      <w:adjustRightInd w:val="0"/>
      <w:spacing w:before="60" w:after="60" w:line="400" w:lineRule="atLeast"/>
      <w:ind w:left="1560" w:right="200" w:hanging="426"/>
      <w:textAlignment w:val="baseline"/>
    </w:pPr>
    <w:rPr>
      <w:rFonts w:ascii="Arial" w:hAnsi="Arial"/>
      <w:kern w:val="0"/>
      <w:sz w:val="24"/>
      <w:szCs w:val="20"/>
    </w:rPr>
  </w:style>
  <w:style w:type="paragraph" w:customStyle="1" w:styleId="41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418">
    <w:name w:val="样式3"/>
    <w:basedOn w:val="1"/>
    <w:link w:val="522"/>
    <w:qFormat/>
    <w:uiPriority w:val="0"/>
    <w:pPr>
      <w:tabs>
        <w:tab w:val="left" w:pos="720"/>
      </w:tabs>
      <w:adjustRightInd w:val="0"/>
      <w:snapToGrid w:val="0"/>
      <w:spacing w:line="360" w:lineRule="auto"/>
      <w:ind w:firstLine="420"/>
    </w:pPr>
    <w:rPr>
      <w:rFonts w:ascii="楷体_GB2312" w:hAnsi="新宋体" w:eastAsia="楷体_GB2312"/>
      <w:sz w:val="24"/>
      <w:szCs w:val="20"/>
    </w:rPr>
  </w:style>
  <w:style w:type="paragraph" w:customStyle="1" w:styleId="419">
    <w:name w:val="xl154"/>
    <w:basedOn w:val="1"/>
    <w:qFormat/>
    <w:uiPriority w:val="0"/>
    <w:pPr>
      <w:widowControl/>
      <w:pBdr>
        <w:left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20">
    <w:name w:val="xl10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421">
    <w:name w:val="xl119"/>
    <w:basedOn w:val="1"/>
    <w:qFormat/>
    <w:uiPriority w:val="0"/>
    <w:pPr>
      <w:widowControl/>
      <w:pBdr>
        <w:top w:val="single" w:color="auto" w:sz="8" w:space="0"/>
        <w:left w:val="single" w:color="auto" w:sz="4" w:space="0"/>
        <w:bottom w:val="double" w:color="auto" w:sz="6"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422">
    <w:name w:val="CM317"/>
    <w:basedOn w:val="353"/>
    <w:next w:val="353"/>
    <w:qFormat/>
    <w:uiPriority w:val="99"/>
    <w:pPr>
      <w:autoSpaceDE w:val="0"/>
      <w:autoSpaceDN w:val="0"/>
      <w:adjustRightInd w:val="0"/>
      <w:spacing w:after="315"/>
    </w:pPr>
    <w:rPr>
      <w:rFonts w:ascii="宋体"/>
      <w:color w:val="auto"/>
    </w:rPr>
  </w:style>
  <w:style w:type="paragraph" w:customStyle="1" w:styleId="423">
    <w:name w:val="List Paragraph*"/>
    <w:basedOn w:val="1"/>
    <w:qFormat/>
    <w:uiPriority w:val="0"/>
    <w:pPr>
      <w:spacing w:line="312" w:lineRule="atLeast"/>
      <w:ind w:firstLine="420"/>
    </w:pPr>
    <w:rPr>
      <w:color w:val="000000"/>
      <w:kern w:val="0"/>
      <w:szCs w:val="20"/>
    </w:rPr>
  </w:style>
  <w:style w:type="paragraph" w:customStyle="1" w:styleId="424">
    <w:name w:val="xl116"/>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425">
    <w:name w:val="_Style 100"/>
    <w:basedOn w:val="1"/>
    <w:next w:val="209"/>
    <w:qFormat/>
    <w:uiPriority w:val="0"/>
    <w:pPr>
      <w:spacing w:line="312" w:lineRule="atLeast"/>
      <w:ind w:firstLine="420"/>
    </w:pPr>
    <w:rPr>
      <w:color w:val="000000"/>
      <w:kern w:val="0"/>
      <w:szCs w:val="20"/>
    </w:rPr>
  </w:style>
  <w:style w:type="paragraph" w:customStyle="1" w:styleId="426">
    <w:name w:val="正文2"/>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427">
    <w:name w:val="正文文本缩进1"/>
    <w:basedOn w:val="1"/>
    <w:qFormat/>
    <w:uiPriority w:val="0"/>
    <w:pPr>
      <w:spacing w:after="120"/>
      <w:ind w:left="420" w:leftChars="200"/>
    </w:pPr>
    <w:rPr>
      <w:rFonts w:ascii="Times New Roman" w:hAnsi="Times New Roman"/>
      <w:szCs w:val="24"/>
    </w:rPr>
  </w:style>
  <w:style w:type="paragraph" w:customStyle="1" w:styleId="428">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429">
    <w:name w:val="ST20_2"/>
    <w:basedOn w:val="1"/>
    <w:qFormat/>
    <w:uiPriority w:val="0"/>
    <w:pPr>
      <w:autoSpaceDE w:val="0"/>
      <w:autoSpaceDN w:val="0"/>
      <w:adjustRightInd w:val="0"/>
      <w:spacing w:line="312" w:lineRule="atLeast"/>
      <w:textAlignment w:val="baseline"/>
    </w:pPr>
    <w:rPr>
      <w:rFonts w:ascii="宋体" w:hAnsi="Tms Rmn"/>
      <w:kern w:val="0"/>
      <w:sz w:val="24"/>
      <w:szCs w:val="20"/>
    </w:rPr>
  </w:style>
  <w:style w:type="paragraph" w:customStyle="1" w:styleId="430">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1">
    <w:name w:val="样式 正文刘兵 + 首行缩进:  2 字符"/>
    <w:basedOn w:val="1"/>
    <w:qFormat/>
    <w:uiPriority w:val="0"/>
    <w:pPr>
      <w:autoSpaceDE w:val="0"/>
      <w:autoSpaceDN w:val="0"/>
      <w:adjustRightInd w:val="0"/>
      <w:spacing w:line="520" w:lineRule="exact"/>
      <w:ind w:firstLine="480" w:firstLineChars="200"/>
      <w:jc w:val="left"/>
    </w:pPr>
    <w:rPr>
      <w:rFonts w:cs="宋体"/>
      <w:bCs/>
      <w:color w:val="000000"/>
      <w:kern w:val="0"/>
      <w:sz w:val="24"/>
      <w:szCs w:val="24"/>
      <w:lang w:val="zh-CN"/>
    </w:rPr>
  </w:style>
  <w:style w:type="paragraph" w:customStyle="1" w:styleId="432">
    <w:name w:val="xl13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433">
    <w:name w:val="TOC 标题11"/>
    <w:basedOn w:val="2"/>
    <w:next w:val="1"/>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434">
    <w:name w:val="_Style 35"/>
    <w:basedOn w:val="1"/>
    <w:qFormat/>
    <w:uiPriority w:val="0"/>
    <w:pPr>
      <w:widowControl/>
      <w:jc w:val="left"/>
    </w:pPr>
    <w:rPr>
      <w:rFonts w:ascii="Tahoma" w:hAnsi="Tahoma"/>
      <w:kern w:val="0"/>
      <w:sz w:val="24"/>
      <w:szCs w:val="20"/>
      <w:lang w:eastAsia="en-US"/>
    </w:rPr>
  </w:style>
  <w:style w:type="paragraph" w:customStyle="1" w:styleId="435">
    <w:name w:val="xl110"/>
    <w:basedOn w:val="1"/>
    <w:qFormat/>
    <w:uiPriority w:val="0"/>
    <w:pPr>
      <w:widowControl/>
      <w:pBdr>
        <w:top w:val="double" w:color="auto" w:sz="6" w:space="0"/>
        <w:left w:val="single" w:color="auto" w:sz="4" w:space="0"/>
        <w:bottom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36">
    <w:name w:val="xl152"/>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437">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438">
    <w:name w:val="TOC æ ‡é¢˜"/>
    <w:basedOn w:val="1"/>
    <w:next w:val="1"/>
    <w:qFormat/>
    <w:uiPriority w:val="0"/>
    <w:pPr>
      <w:keepNext/>
      <w:keepLines/>
      <w:tabs>
        <w:tab w:val="left" w:pos="360"/>
      </w:tabs>
      <w:autoSpaceDE w:val="0"/>
      <w:autoSpaceDN w:val="0"/>
      <w:adjustRightInd w:val="0"/>
      <w:spacing w:before="480" w:line="264" w:lineRule="auto"/>
      <w:jc w:val="left"/>
    </w:pPr>
    <w:rPr>
      <w:rFonts w:ascii="宋体" w:cs="宋体"/>
      <w:b/>
      <w:bCs/>
      <w:kern w:val="0"/>
      <w:sz w:val="28"/>
      <w:szCs w:val="28"/>
      <w:lang w:val="zh-CN"/>
    </w:rPr>
  </w:style>
  <w:style w:type="paragraph" w:customStyle="1" w:styleId="439">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440">
    <w:name w:val="批注主题1"/>
    <w:basedOn w:val="17"/>
    <w:next w:val="17"/>
    <w:qFormat/>
    <w:uiPriority w:val="0"/>
    <w:pPr>
      <w:jc w:val="both"/>
    </w:pPr>
    <w:rPr>
      <w:b/>
      <w:sz w:val="24"/>
      <w:lang w:val="en-US"/>
    </w:rPr>
  </w:style>
  <w:style w:type="paragraph" w:customStyle="1" w:styleId="441">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442">
    <w:name w:val="xl85"/>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16"/>
      <w:szCs w:val="16"/>
    </w:rPr>
  </w:style>
  <w:style w:type="paragraph" w:customStyle="1" w:styleId="443">
    <w:name w:val="reader-word-layer"/>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444">
    <w:name w:val="4"/>
    <w:basedOn w:val="5"/>
    <w:qFormat/>
    <w:uiPriority w:val="0"/>
    <w:pPr>
      <w:spacing w:before="60" w:after="60" w:line="300" w:lineRule="auto"/>
    </w:pPr>
    <w:rPr>
      <w:rFonts w:ascii="Arial" w:hAnsi="Arial" w:eastAsia="黑体"/>
      <w:b w:val="0"/>
      <w:bCs w:val="0"/>
      <w:kern w:val="2"/>
      <w:sz w:val="24"/>
      <w:szCs w:val="20"/>
      <w:lang w:val="en-US"/>
    </w:rPr>
  </w:style>
  <w:style w:type="paragraph" w:customStyle="1" w:styleId="445">
    <w:name w:val="6'"/>
    <w:basedOn w:val="1"/>
    <w:qFormat/>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446">
    <w:name w:val="xl9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447">
    <w:name w:val="xl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hint="eastAsia" w:ascii="宋体" w:hAnsi="宋体"/>
      <w:kern w:val="0"/>
      <w:sz w:val="24"/>
      <w:szCs w:val="24"/>
      <w:lang w:eastAsia="en-US"/>
    </w:rPr>
  </w:style>
  <w:style w:type="paragraph" w:customStyle="1" w:styleId="448">
    <w:name w:val="xl12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449">
    <w:name w:val="纯文本1"/>
    <w:basedOn w:val="1"/>
    <w:qFormat/>
    <w:uiPriority w:val="0"/>
    <w:pPr>
      <w:adjustRightInd w:val="0"/>
      <w:jc w:val="left"/>
      <w:textAlignment w:val="baseline"/>
    </w:pPr>
    <w:rPr>
      <w:rFonts w:ascii="宋体" w:hAnsi="Courier New"/>
      <w:sz w:val="24"/>
      <w:szCs w:val="20"/>
    </w:rPr>
  </w:style>
  <w:style w:type="paragraph" w:customStyle="1" w:styleId="450">
    <w:name w:val="页眉与页脚"/>
    <w:qFormat/>
    <w:uiPriority w:val="0"/>
    <w:pPr>
      <w:tabs>
        <w:tab w:val="right" w:pos="9020"/>
      </w:tabs>
    </w:pPr>
    <w:rPr>
      <w:rFonts w:ascii="Helvetica" w:hAnsi="Arial Unicode MS" w:eastAsia="Arial Unicode MS" w:cs="Arial Unicode MS"/>
      <w:color w:val="000000"/>
      <w:sz w:val="24"/>
      <w:szCs w:val="24"/>
      <w:lang w:val="en-US" w:eastAsia="zh-CN" w:bidi="ar-SA"/>
    </w:rPr>
  </w:style>
  <w:style w:type="paragraph" w:customStyle="1" w:styleId="451">
    <w:name w:val="xl153"/>
    <w:basedOn w:val="1"/>
    <w:qFormat/>
    <w:uiPriority w:val="0"/>
    <w:pPr>
      <w:widowControl/>
      <w:pBdr>
        <w:top w:val="double" w:color="auto" w:sz="6" w:space="0"/>
        <w:left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5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53">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54">
    <w:name w:val="xl142"/>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455">
    <w:name w:val="xl150"/>
    <w:basedOn w:val="1"/>
    <w:qFormat/>
    <w:uiPriority w:val="0"/>
    <w:pPr>
      <w:widowControl/>
      <w:pBdr>
        <w:lef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456">
    <w:name w:val="章节一"/>
    <w:basedOn w:val="1"/>
    <w:next w:val="1"/>
    <w:qFormat/>
    <w:uiPriority w:val="0"/>
    <w:pPr>
      <w:topLinePunct/>
      <w:adjustRightInd w:val="0"/>
      <w:snapToGrid w:val="0"/>
      <w:spacing w:beforeLines="50" w:afterLines="50"/>
      <w:jc w:val="center"/>
      <w:outlineLvl w:val="0"/>
    </w:pPr>
    <w:rPr>
      <w:rFonts w:eastAsia="黑体"/>
      <w:b/>
      <w:snapToGrid w:val="0"/>
      <w:spacing w:val="4"/>
      <w:kern w:val="0"/>
      <w:sz w:val="36"/>
      <w:szCs w:val="36"/>
    </w:rPr>
  </w:style>
  <w:style w:type="paragraph" w:customStyle="1" w:styleId="457">
    <w:name w:val="p17"/>
    <w:basedOn w:val="1"/>
    <w:qFormat/>
    <w:uiPriority w:val="0"/>
    <w:pPr>
      <w:widowControl/>
      <w:jc w:val="left"/>
    </w:pPr>
    <w:rPr>
      <w:rFonts w:ascii="宋体" w:hAnsi="宋体" w:cs="宋体"/>
      <w:kern w:val="0"/>
      <w:szCs w:val="21"/>
    </w:rPr>
  </w:style>
  <w:style w:type="paragraph" w:customStyle="1" w:styleId="458">
    <w:name w:val="Char Char Char1 Char"/>
    <w:basedOn w:val="16"/>
    <w:qFormat/>
    <w:uiPriority w:val="0"/>
    <w:pPr>
      <w:shd w:val="clear" w:color="auto" w:fill="000080"/>
    </w:pPr>
    <w:rPr>
      <w:rFonts w:ascii="Tahoma" w:hAnsi="Tahoma"/>
      <w:kern w:val="0"/>
      <w:sz w:val="24"/>
      <w:szCs w:val="24"/>
      <w:lang w:val="en-US"/>
    </w:rPr>
  </w:style>
  <w:style w:type="paragraph" w:customStyle="1" w:styleId="459">
    <w:name w:val="Char Char Char Char Char Char Char1"/>
    <w:basedOn w:val="1"/>
    <w:qFormat/>
    <w:uiPriority w:val="0"/>
    <w:pPr>
      <w:tabs>
        <w:tab w:val="left" w:pos="425"/>
      </w:tabs>
      <w:ind w:left="425" w:hanging="425"/>
    </w:pPr>
    <w:rPr>
      <w:rFonts w:ascii="Times New Roman" w:hAnsi="Times New Roman" w:eastAsia="仿宋_GB2312"/>
      <w:kern w:val="24"/>
      <w:sz w:val="24"/>
      <w:szCs w:val="24"/>
    </w:rPr>
  </w:style>
  <w:style w:type="paragraph" w:customStyle="1" w:styleId="46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61">
    <w:name w:val="xl139"/>
    <w:basedOn w:val="1"/>
    <w:qFormat/>
    <w:uiPriority w:val="0"/>
    <w:pPr>
      <w:widowControl/>
      <w:pBdr>
        <w:left w:val="single" w:color="auto" w:sz="4" w:space="0"/>
      </w:pBdr>
      <w:spacing w:before="100" w:beforeAutospacing="1" w:after="100" w:afterAutospacing="1"/>
      <w:jc w:val="center"/>
    </w:pPr>
    <w:rPr>
      <w:rFonts w:ascii="宋体" w:hAnsi="宋体" w:cs="宋体"/>
      <w:kern w:val="0"/>
      <w:sz w:val="16"/>
      <w:szCs w:val="16"/>
    </w:rPr>
  </w:style>
  <w:style w:type="paragraph" w:customStyle="1" w:styleId="462">
    <w:name w:val="xl12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463">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464">
    <w:name w:val="样式 正文缩进表正文正文非缩进特点上海中望标准正文（首行缩进两字）文字正文（首行缩进两字） Char正文（首行缩进..."/>
    <w:basedOn w:val="13"/>
    <w:qFormat/>
    <w:uiPriority w:val="0"/>
    <w:pPr>
      <w:ind w:firstLine="200" w:firstLineChars="200"/>
    </w:pPr>
    <w:rPr>
      <w:rFonts w:ascii="Calibri"/>
      <w:kern w:val="2"/>
      <w:sz w:val="21"/>
      <w:szCs w:val="21"/>
    </w:rPr>
  </w:style>
  <w:style w:type="paragraph" w:customStyle="1" w:styleId="465">
    <w:name w:val="_Style 155"/>
    <w:basedOn w:val="2"/>
    <w:next w:val="1"/>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466">
    <w:name w:val="xl11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67">
    <w:name w:val="目录 11"/>
    <w:qFormat/>
    <w:uiPriority w:val="0"/>
    <w:pPr>
      <w:widowControl w:val="0"/>
      <w:tabs>
        <w:tab w:val="right" w:leader="dot" w:pos="9710"/>
      </w:tabs>
      <w:spacing w:line="360" w:lineRule="auto"/>
    </w:pPr>
    <w:rPr>
      <w:rFonts w:ascii="Arial Bold" w:hAnsi="Arial Bold" w:eastAsia="Arial Bold" w:cs="Arial Bold"/>
      <w:caps/>
      <w:color w:val="000000"/>
      <w:kern w:val="2"/>
      <w:sz w:val="24"/>
      <w:szCs w:val="24"/>
      <w:lang w:val="en-US" w:eastAsia="zh-CN" w:bidi="ar-SA"/>
    </w:rPr>
  </w:style>
  <w:style w:type="paragraph" w:customStyle="1" w:styleId="468">
    <w:name w:val="Char Char11"/>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469">
    <w:name w:val="Char1 Char Char Char Char Char Char1"/>
    <w:basedOn w:val="1"/>
    <w:qFormat/>
    <w:uiPriority w:val="0"/>
    <w:rPr>
      <w:szCs w:val="24"/>
    </w:rPr>
  </w:style>
  <w:style w:type="paragraph" w:customStyle="1" w:styleId="470">
    <w:name w:val="xl6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71">
    <w:name w:val="xl143"/>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472">
    <w:name w:val="xl10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473">
    <w:name w:val="xl138"/>
    <w:basedOn w:val="1"/>
    <w:qFormat/>
    <w:uiPriority w:val="0"/>
    <w:pPr>
      <w:widowControl/>
      <w:pBdr>
        <w:top w:val="double" w:color="auto" w:sz="6" w:space="0"/>
        <w:left w:val="single" w:color="auto" w:sz="4" w:space="0"/>
      </w:pBdr>
      <w:spacing w:before="100" w:beforeAutospacing="1" w:after="100" w:afterAutospacing="1"/>
      <w:jc w:val="center"/>
    </w:pPr>
    <w:rPr>
      <w:rFonts w:ascii="宋体" w:hAnsi="宋体" w:cs="宋体"/>
      <w:kern w:val="0"/>
      <w:sz w:val="16"/>
      <w:szCs w:val="16"/>
    </w:rPr>
  </w:style>
  <w:style w:type="paragraph" w:customStyle="1" w:styleId="474">
    <w:name w:val="修订12"/>
    <w:unhideWhenUsed/>
    <w:qFormat/>
    <w:uiPriority w:val="99"/>
    <w:rPr>
      <w:rFonts w:ascii="Calibri" w:hAnsi="Calibri" w:eastAsia="宋体" w:cs="Times New Roman"/>
      <w:lang w:val="en-US" w:eastAsia="zh-CN" w:bidi="ar-SA"/>
    </w:rPr>
  </w:style>
  <w:style w:type="paragraph" w:customStyle="1" w:styleId="475">
    <w:name w:val="表格文字中"/>
    <w:basedOn w:val="1"/>
    <w:qFormat/>
    <w:uiPriority w:val="0"/>
    <w:pPr>
      <w:adjustRightInd w:val="0"/>
      <w:snapToGrid w:val="0"/>
      <w:ind w:left="22" w:leftChars="8"/>
      <w:jc w:val="center"/>
    </w:pPr>
    <w:rPr>
      <w:rFonts w:ascii="宋体"/>
      <w:kern w:val="0"/>
      <w:sz w:val="34"/>
      <w:szCs w:val="20"/>
    </w:rPr>
  </w:style>
  <w:style w:type="paragraph" w:customStyle="1" w:styleId="476">
    <w:name w:val="表格文字1"/>
    <w:basedOn w:val="1"/>
    <w:qFormat/>
    <w:uiPriority w:val="0"/>
    <w:pPr>
      <w:adjustRightInd w:val="0"/>
      <w:snapToGrid w:val="0"/>
    </w:pPr>
    <w:rPr>
      <w:rFonts w:ascii="宋体" w:eastAsia="仿宋_GB2312"/>
      <w:kern w:val="0"/>
      <w:sz w:val="34"/>
      <w:szCs w:val="20"/>
    </w:rPr>
  </w:style>
  <w:style w:type="paragraph" w:customStyle="1" w:styleId="477">
    <w:name w:val="样式 标题 3 + (中文) 黑体 小四 非加粗 段前: 7.8 磅 段后: 0 磅 行距: 固定值 20 磅"/>
    <w:basedOn w:val="4"/>
    <w:qFormat/>
    <w:uiPriority w:val="0"/>
    <w:pPr>
      <w:spacing w:before="0" w:after="0" w:line="400" w:lineRule="exact"/>
    </w:pPr>
    <w:rPr>
      <w:rFonts w:ascii="Times New Roman" w:hAnsi="Times New Roman" w:eastAsia="黑体" w:cs="宋体"/>
      <w:b w:val="0"/>
      <w:bCs w:val="0"/>
      <w:kern w:val="2"/>
      <w:sz w:val="24"/>
      <w:szCs w:val="20"/>
    </w:rPr>
  </w:style>
  <w:style w:type="paragraph" w:customStyle="1" w:styleId="478">
    <w:name w:val="TOC 标题111"/>
    <w:basedOn w:val="2"/>
    <w:next w:val="1"/>
    <w:qFormat/>
    <w:uiPriority w:val="0"/>
    <w:pPr>
      <w:widowControl/>
      <w:spacing w:before="480" w:after="0" w:line="276" w:lineRule="auto"/>
      <w:jc w:val="left"/>
      <w:outlineLvl w:val="9"/>
    </w:pPr>
    <w:rPr>
      <w:rFonts w:ascii="Cambria" w:hAnsi="Cambria"/>
      <w:bCs w:val="0"/>
      <w:color w:val="365F91"/>
      <w:kern w:val="0"/>
      <w:sz w:val="28"/>
      <w:szCs w:val="20"/>
      <w:lang w:val="en-US"/>
    </w:rPr>
  </w:style>
  <w:style w:type="paragraph" w:customStyle="1" w:styleId="479">
    <w:name w:val="Table Paragraph"/>
    <w:basedOn w:val="1"/>
    <w:qFormat/>
    <w:uiPriority w:val="1"/>
    <w:pPr>
      <w:jc w:val="left"/>
    </w:pPr>
    <w:rPr>
      <w:rFonts w:ascii="宋体" w:hAnsi="宋体" w:cs="宋体"/>
      <w:kern w:val="0"/>
      <w:sz w:val="22"/>
      <w:lang w:eastAsia="en-US"/>
    </w:rPr>
  </w:style>
  <w:style w:type="paragraph" w:customStyle="1" w:styleId="480">
    <w:name w:val="TOC 标题12"/>
    <w:basedOn w:val="2"/>
    <w:next w:val="1"/>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481">
    <w:name w:val="表注1"/>
    <w:basedOn w:val="1"/>
    <w:qFormat/>
    <w:uiPriority w:val="0"/>
    <w:pPr>
      <w:adjustRightInd w:val="0"/>
      <w:snapToGrid w:val="0"/>
      <w:spacing w:line="300" w:lineRule="auto"/>
      <w:ind w:left="350" w:hanging="350" w:hangingChars="350"/>
    </w:pPr>
    <w:rPr>
      <w:rFonts w:ascii="宋体" w:eastAsia="仿宋_GB2312"/>
      <w:bCs/>
      <w:color w:val="000000"/>
      <w:kern w:val="0"/>
      <w:sz w:val="34"/>
      <w:szCs w:val="20"/>
    </w:rPr>
  </w:style>
  <w:style w:type="paragraph" w:customStyle="1" w:styleId="482">
    <w:name w:val="Char Char Char1"/>
    <w:basedOn w:val="1"/>
    <w:qFormat/>
    <w:uiPriority w:val="0"/>
    <w:rPr>
      <w:szCs w:val="24"/>
    </w:rPr>
  </w:style>
  <w:style w:type="paragraph" w:customStyle="1" w:styleId="483">
    <w:name w:val="xl125"/>
    <w:basedOn w:val="1"/>
    <w:qFormat/>
    <w:uiPriority w:val="0"/>
    <w:pPr>
      <w:widowControl/>
      <w:spacing w:before="100" w:beforeAutospacing="1" w:after="100" w:afterAutospacing="1"/>
      <w:jc w:val="center"/>
    </w:pPr>
    <w:rPr>
      <w:rFonts w:ascii="黑体" w:hAnsi="黑体" w:eastAsia="黑体" w:cs="宋体"/>
      <w:kern w:val="0"/>
      <w:sz w:val="28"/>
      <w:szCs w:val="28"/>
    </w:rPr>
  </w:style>
  <w:style w:type="paragraph" w:customStyle="1" w:styleId="484">
    <w:name w:val="xl67"/>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485">
    <w:name w:val="reader-word-layer reader-word-s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86">
    <w:name w:val="样式32"/>
    <w:basedOn w:val="36"/>
    <w:qFormat/>
    <w:uiPriority w:val="0"/>
    <w:pPr>
      <w:spacing w:line="360" w:lineRule="auto"/>
      <w:ind w:firstLine="360" w:firstLineChars="200"/>
    </w:pPr>
    <w:rPr>
      <w:rFonts w:ascii="Calibri" w:hAnsi="Calibri"/>
      <w:lang w:val="en-US"/>
    </w:rPr>
  </w:style>
  <w:style w:type="paragraph" w:customStyle="1" w:styleId="487">
    <w:name w:val="列出段落1"/>
    <w:basedOn w:val="1"/>
    <w:link w:val="557"/>
    <w:qFormat/>
    <w:uiPriority w:val="0"/>
    <w:pPr>
      <w:ind w:firstLine="420" w:firstLineChars="200"/>
    </w:pPr>
  </w:style>
  <w:style w:type="paragraph" w:customStyle="1" w:styleId="488">
    <w:name w:val="xl137"/>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489">
    <w:name w:val="修订3"/>
    <w:qFormat/>
    <w:uiPriority w:val="0"/>
    <w:rPr>
      <w:rFonts w:ascii="Times New Roman" w:hAnsi="Times New Roman" w:eastAsia="楷体_GB2312" w:cs="Times New Roman"/>
      <w:kern w:val="2"/>
      <w:sz w:val="21"/>
      <w:lang w:val="en-US" w:eastAsia="zh-CN" w:bidi="ar-SA"/>
    </w:rPr>
  </w:style>
  <w:style w:type="paragraph" w:customStyle="1" w:styleId="490">
    <w:name w:val="文二"/>
    <w:basedOn w:val="1"/>
    <w:qFormat/>
    <w:uiPriority w:val="0"/>
    <w:pPr>
      <w:jc w:val="left"/>
    </w:pPr>
    <w:rPr>
      <w:rFonts w:ascii="宋体" w:hAnsi="宋体"/>
      <w:szCs w:val="21"/>
    </w:rPr>
  </w:style>
  <w:style w:type="paragraph" w:customStyle="1" w:styleId="491">
    <w:name w:val="表格文字"/>
    <w:basedOn w:val="1"/>
    <w:qFormat/>
    <w:uiPriority w:val="0"/>
    <w:pPr>
      <w:adjustRightInd w:val="0"/>
      <w:snapToGrid w:val="0"/>
      <w:ind w:left="-57" w:right="-57"/>
      <w:jc w:val="center"/>
    </w:pPr>
    <w:rPr>
      <w:rFonts w:ascii="宋体" w:hAnsi="Times New Roman"/>
      <w:sz w:val="24"/>
      <w:szCs w:val="20"/>
    </w:rPr>
  </w:style>
  <w:style w:type="paragraph" w:customStyle="1" w:styleId="492">
    <w:name w:val="xl2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szCs w:val="24"/>
    </w:rPr>
  </w:style>
  <w:style w:type="paragraph" w:customStyle="1" w:styleId="493">
    <w:name w:val="样式1"/>
    <w:basedOn w:val="5"/>
    <w:link w:val="563"/>
    <w:qFormat/>
    <w:uiPriority w:val="0"/>
    <w:pPr>
      <w:spacing w:before="30" w:after="0" w:line="240" w:lineRule="auto"/>
    </w:pPr>
    <w:rPr>
      <w:rFonts w:ascii="Arial" w:hAnsi="Arial" w:eastAsia="黑体"/>
      <w:b w:val="0"/>
      <w:bCs w:val="0"/>
      <w:sz w:val="21"/>
      <w:lang w:eastAsia="ja-JP"/>
    </w:rPr>
  </w:style>
  <w:style w:type="paragraph" w:customStyle="1" w:styleId="494">
    <w:name w:val="正文 A"/>
    <w:qFormat/>
    <w:uiPriority w:val="0"/>
    <w:pPr>
      <w:widowControl w:val="0"/>
      <w:jc w:val="both"/>
    </w:pPr>
    <w:rPr>
      <w:rFonts w:ascii="Calibri" w:hAnsi="Arial Unicode MS" w:eastAsia="Arial Unicode MS" w:cs="Arial Unicode MS"/>
      <w:color w:val="000000"/>
      <w:kern w:val="2"/>
      <w:sz w:val="21"/>
      <w:szCs w:val="21"/>
      <w:lang w:val="en-US" w:eastAsia="zh-CN" w:bidi="ar-SA"/>
    </w:rPr>
  </w:style>
  <w:style w:type="paragraph" w:customStyle="1" w:styleId="49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496">
    <w:name w:val="xl167"/>
    <w:basedOn w:val="1"/>
    <w:qFormat/>
    <w:uiPriority w:val="0"/>
    <w:pPr>
      <w:widowControl/>
      <w:pBdr>
        <w:left w:val="single" w:color="auto" w:sz="8" w:space="0"/>
        <w:bottom w:val="single" w:color="auto" w:sz="8" w:space="0"/>
      </w:pBdr>
      <w:spacing w:before="100" w:beforeAutospacing="1" w:after="100" w:afterAutospacing="1"/>
      <w:jc w:val="left"/>
    </w:pPr>
    <w:rPr>
      <w:rFonts w:ascii="宋体" w:hAnsi="宋体" w:cs="宋体"/>
      <w:kern w:val="0"/>
      <w:sz w:val="20"/>
      <w:szCs w:val="20"/>
    </w:rPr>
  </w:style>
  <w:style w:type="paragraph" w:customStyle="1" w:styleId="497">
    <w:name w:val="段"/>
    <w:qFormat/>
    <w:uiPriority w:val="0"/>
    <w:pPr>
      <w:numPr>
        <w:ilvl w:val="0"/>
        <w:numId w:val="2"/>
      </w:numPr>
      <w:autoSpaceDE w:val="0"/>
      <w:autoSpaceDN w:val="0"/>
      <w:jc w:val="both"/>
    </w:pPr>
    <w:rPr>
      <w:rFonts w:ascii="宋体" w:hAnsi="Calibri" w:eastAsia="宋体" w:cs="Times New Roman"/>
      <w:sz w:val="21"/>
      <w:szCs w:val="22"/>
      <w:lang w:val="en-US" w:eastAsia="zh-CN" w:bidi="ar-SA"/>
    </w:rPr>
  </w:style>
  <w:style w:type="paragraph" w:customStyle="1" w:styleId="498">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499">
    <w:name w:val="xl1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500">
    <w:name w:val="xl1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01">
    <w:name w:val="xl1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502">
    <w:name w:val="xl160"/>
    <w:basedOn w:val="1"/>
    <w:qFormat/>
    <w:uiPriority w:val="0"/>
    <w:pPr>
      <w:widowControl/>
      <w:pBdr>
        <w:left w:val="single" w:color="auto" w:sz="4" w:space="0"/>
        <w:bottom w:val="double" w:color="auto" w:sz="6" w:space="0"/>
      </w:pBdr>
      <w:spacing w:before="100" w:beforeAutospacing="1" w:after="100" w:afterAutospacing="1"/>
      <w:jc w:val="center"/>
    </w:pPr>
    <w:rPr>
      <w:rFonts w:ascii="宋体" w:hAnsi="宋体" w:cs="宋体"/>
      <w:color w:val="000000"/>
      <w:kern w:val="0"/>
      <w:sz w:val="16"/>
      <w:szCs w:val="16"/>
    </w:rPr>
  </w:style>
  <w:style w:type="paragraph" w:customStyle="1" w:styleId="503">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kern w:val="2"/>
      <w:sz w:val="28"/>
      <w:szCs w:val="20"/>
      <w:lang w:val="en-US"/>
    </w:rPr>
  </w:style>
  <w:style w:type="paragraph" w:customStyle="1" w:styleId="504">
    <w:name w:val="xl162"/>
    <w:basedOn w:val="1"/>
    <w:qFormat/>
    <w:uiPriority w:val="0"/>
    <w:pPr>
      <w:widowControl/>
      <w:pBdr>
        <w:top w:val="double" w:color="auto" w:sz="6" w:space="0"/>
        <w:lef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505">
    <w:name w:val="xl103"/>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506">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507">
    <w:name w:val="Z5"/>
    <w:basedOn w:val="1"/>
    <w:qFormat/>
    <w:uiPriority w:val="0"/>
    <w:pPr>
      <w:autoSpaceDE w:val="0"/>
      <w:autoSpaceDN w:val="0"/>
      <w:adjustRightInd w:val="0"/>
      <w:spacing w:line="360" w:lineRule="auto"/>
      <w:ind w:firstLine="420" w:firstLineChars="200"/>
      <w:jc w:val="left"/>
    </w:pPr>
    <w:rPr>
      <w:rFonts w:ascii="宋体" w:cs="宋体"/>
      <w:kern w:val="0"/>
      <w:szCs w:val="21"/>
    </w:rPr>
  </w:style>
  <w:style w:type="paragraph" w:customStyle="1" w:styleId="508">
    <w:name w:val="条目2"/>
    <w:basedOn w:val="1"/>
    <w:qFormat/>
    <w:uiPriority w:val="0"/>
    <w:pPr>
      <w:tabs>
        <w:tab w:val="left" w:pos="780"/>
      </w:tabs>
      <w:overflowPunct w:val="0"/>
      <w:autoSpaceDE w:val="0"/>
      <w:autoSpaceDN w:val="0"/>
      <w:adjustRightInd w:val="0"/>
      <w:snapToGrid w:val="0"/>
      <w:spacing w:beforeLines="100" w:after="100" w:afterAutospacing="1"/>
      <w:ind w:left="780" w:hanging="360"/>
    </w:pPr>
    <w:rPr>
      <w:rFonts w:ascii="宋体" w:hAnsi="宋体"/>
      <w:kern w:val="0"/>
      <w:sz w:val="24"/>
      <w:lang w:val="fr-FR"/>
    </w:rPr>
  </w:style>
  <w:style w:type="paragraph" w:customStyle="1" w:styleId="509">
    <w:name w:val="修订2"/>
    <w:unhideWhenUsed/>
    <w:qFormat/>
    <w:uiPriority w:val="0"/>
    <w:rPr>
      <w:rFonts w:ascii="Calibri" w:hAnsi="Calibri" w:eastAsia="宋体" w:cs="Times New Roman"/>
      <w:kern w:val="2"/>
      <w:sz w:val="24"/>
      <w:szCs w:val="24"/>
      <w:lang w:val="en-US" w:eastAsia="zh-CN" w:bidi="ar-SA"/>
    </w:rPr>
  </w:style>
  <w:style w:type="paragraph" w:customStyle="1" w:styleId="510">
    <w:name w:val="无间隔11"/>
    <w:link w:val="536"/>
    <w:qFormat/>
    <w:uiPriority w:val="0"/>
    <w:pPr>
      <w:widowControl w:val="0"/>
      <w:jc w:val="both"/>
    </w:pPr>
    <w:rPr>
      <w:rFonts w:ascii="等线" w:hAnsi="等线" w:eastAsia="等线" w:cs="Times New Roman"/>
      <w:kern w:val="2"/>
      <w:sz w:val="18"/>
      <w:szCs w:val="22"/>
      <w:lang w:val="en-US" w:eastAsia="zh-CN" w:bidi="ar-SA"/>
    </w:rPr>
  </w:style>
  <w:style w:type="paragraph" w:customStyle="1" w:styleId="511">
    <w:name w:val="列出段落11"/>
    <w:basedOn w:val="1"/>
    <w:unhideWhenUsed/>
    <w:qFormat/>
    <w:uiPriority w:val="34"/>
    <w:pPr>
      <w:ind w:firstLine="420" w:firstLineChars="200"/>
    </w:pPr>
    <w:rPr>
      <w:szCs w:val="24"/>
    </w:rPr>
  </w:style>
  <w:style w:type="paragraph" w:customStyle="1" w:styleId="512">
    <w:name w:val="默认段落字体 Para Char Char Char Char"/>
    <w:basedOn w:val="1"/>
    <w:qFormat/>
    <w:uiPriority w:val="0"/>
    <w:rPr>
      <w:szCs w:val="24"/>
    </w:rPr>
  </w:style>
  <w:style w:type="paragraph" w:customStyle="1" w:styleId="513">
    <w:name w:val="xl166"/>
    <w:basedOn w:val="1"/>
    <w:qFormat/>
    <w:uiPriority w:val="0"/>
    <w:pPr>
      <w:widowControl/>
      <w:pBdr>
        <w:left w:val="single" w:color="auto" w:sz="4" w:space="0"/>
        <w:bottom w:val="single" w:color="auto" w:sz="8" w:space="0"/>
      </w:pBdr>
      <w:spacing w:before="100" w:beforeAutospacing="1" w:after="100" w:afterAutospacing="1"/>
      <w:jc w:val="center"/>
    </w:pPr>
    <w:rPr>
      <w:rFonts w:ascii="宋体" w:hAnsi="宋体" w:cs="宋体"/>
      <w:kern w:val="0"/>
      <w:sz w:val="20"/>
      <w:szCs w:val="20"/>
    </w:rPr>
  </w:style>
  <w:style w:type="paragraph" w:customStyle="1" w:styleId="514">
    <w:name w:val="Definition Term"/>
    <w:basedOn w:val="1"/>
    <w:next w:val="1"/>
    <w:qFormat/>
    <w:uiPriority w:val="0"/>
    <w:pPr>
      <w:autoSpaceDE w:val="0"/>
      <w:autoSpaceDN w:val="0"/>
      <w:adjustRightInd w:val="0"/>
      <w:jc w:val="left"/>
    </w:pPr>
    <w:rPr>
      <w:kern w:val="0"/>
      <w:sz w:val="24"/>
      <w:szCs w:val="20"/>
    </w:rPr>
  </w:style>
  <w:style w:type="paragraph" w:customStyle="1" w:styleId="515">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516">
    <w:name w:val="xl1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517">
    <w:name w:val="imclear"/>
    <w:basedOn w:val="1"/>
    <w:qFormat/>
    <w:uiPriority w:val="0"/>
    <w:pPr>
      <w:widowControl/>
      <w:spacing w:before="100" w:beforeAutospacing="1" w:after="100" w:afterAutospacing="1" w:line="0" w:lineRule="atLeast"/>
      <w:jc w:val="left"/>
    </w:pPr>
    <w:rPr>
      <w:rFonts w:ascii="宋体" w:hAnsi="宋体" w:cs="宋体"/>
      <w:kern w:val="0"/>
      <w:sz w:val="2"/>
      <w:szCs w:val="2"/>
    </w:rPr>
  </w:style>
  <w:style w:type="paragraph" w:customStyle="1" w:styleId="518">
    <w:name w:val="xl113"/>
    <w:basedOn w:val="1"/>
    <w:qFormat/>
    <w:uiPriority w:val="0"/>
    <w:pPr>
      <w:widowControl/>
      <w:pBdr>
        <w:top w:val="double" w:color="auto" w:sz="6" w:space="0"/>
        <w:left w:val="single" w:color="auto" w:sz="8" w:space="0"/>
        <w:bottom w:val="single" w:color="auto" w:sz="4" w:space="0"/>
        <w:right w:val="single" w:color="auto" w:sz="8" w:space="0"/>
      </w:pBdr>
      <w:spacing w:before="100" w:beforeAutospacing="1" w:after="100" w:afterAutospacing="1"/>
      <w:jc w:val="left"/>
      <w:textAlignment w:val="top"/>
    </w:pPr>
    <w:rPr>
      <w:rFonts w:ascii="宋体" w:hAnsi="宋体" w:cs="宋体"/>
      <w:kern w:val="0"/>
      <w:sz w:val="16"/>
      <w:szCs w:val="16"/>
    </w:rPr>
  </w:style>
  <w:style w:type="table" w:customStyle="1" w:styleId="519">
    <w:name w:val="Table Normal"/>
    <w:qFormat/>
    <w:uiPriority w:val="2"/>
    <w:tblPr>
      <w:tblCellMar>
        <w:top w:w="0" w:type="dxa"/>
        <w:left w:w="0" w:type="dxa"/>
        <w:bottom w:w="0" w:type="dxa"/>
        <w:right w:w="0" w:type="dxa"/>
      </w:tblCellMar>
    </w:tblPr>
  </w:style>
  <w:style w:type="table" w:customStyle="1" w:styleId="520">
    <w:name w:val="网格型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21">
    <w:name w:val="TOC 标题4"/>
    <w:basedOn w:val="2"/>
    <w:next w:val="1"/>
    <w:semiHidden/>
    <w:unhideWhenUsed/>
    <w:qFormat/>
    <w:uiPriority w:val="39"/>
    <w:pPr>
      <w:outlineLvl w:val="9"/>
    </w:pPr>
    <w:rPr>
      <w:lang w:val="en-US"/>
    </w:rPr>
  </w:style>
  <w:style w:type="character" w:customStyle="1" w:styleId="522">
    <w:name w:val="样式3 Char"/>
    <w:link w:val="418"/>
    <w:qFormat/>
    <w:uiPriority w:val="0"/>
    <w:rPr>
      <w:rFonts w:ascii="楷体_GB2312" w:hAnsi="新宋体" w:eastAsia="楷体_GB2312"/>
      <w:kern w:val="2"/>
      <w:sz w:val="24"/>
    </w:rPr>
  </w:style>
  <w:style w:type="character" w:customStyle="1" w:styleId="523">
    <w:name w:val="正文(仿)首缩 Char"/>
    <w:link w:val="524"/>
    <w:qFormat/>
    <w:locked/>
    <w:uiPriority w:val="0"/>
    <w:rPr>
      <w:rFonts w:ascii="仿宋_GB2312" w:eastAsia="仿宋_GB2312"/>
      <w:sz w:val="28"/>
    </w:rPr>
  </w:style>
  <w:style w:type="paragraph" w:customStyle="1" w:styleId="524">
    <w:name w:val="正文(仿)首缩"/>
    <w:basedOn w:val="1"/>
    <w:link w:val="523"/>
    <w:qFormat/>
    <w:uiPriority w:val="0"/>
    <w:pPr>
      <w:ind w:firstLine="554" w:firstLineChars="200"/>
    </w:pPr>
    <w:rPr>
      <w:rFonts w:ascii="仿宋_GB2312" w:eastAsia="仿宋_GB2312"/>
      <w:kern w:val="0"/>
      <w:sz w:val="28"/>
      <w:szCs w:val="20"/>
    </w:rPr>
  </w:style>
  <w:style w:type="character" w:customStyle="1" w:styleId="525">
    <w:name w:val="3eee Char"/>
    <w:link w:val="526"/>
    <w:qFormat/>
    <w:uiPriority w:val="0"/>
    <w:rPr>
      <w:rFonts w:ascii="Courier New" w:hAnsi="Courier New" w:eastAsia="Courier New"/>
      <w:sz w:val="24"/>
      <w:szCs w:val="24"/>
    </w:rPr>
  </w:style>
  <w:style w:type="paragraph" w:customStyle="1" w:styleId="526">
    <w:name w:val="3eee"/>
    <w:basedOn w:val="1"/>
    <w:link w:val="525"/>
    <w:qFormat/>
    <w:uiPriority w:val="0"/>
    <w:pPr>
      <w:spacing w:line="440" w:lineRule="exact"/>
      <w:ind w:firstLine="480" w:firstLineChars="200"/>
    </w:pPr>
    <w:rPr>
      <w:rFonts w:ascii="Courier New" w:hAnsi="Courier New" w:eastAsia="Courier New"/>
      <w:kern w:val="0"/>
      <w:sz w:val="24"/>
      <w:szCs w:val="24"/>
    </w:rPr>
  </w:style>
  <w:style w:type="character" w:customStyle="1" w:styleId="527">
    <w:name w:val="18"/>
    <w:qFormat/>
    <w:uiPriority w:val="0"/>
    <w:rPr>
      <w:rFonts w:hint="default" w:ascii="Calibri" w:hAnsi="Calibri" w:cs="Calibri"/>
      <w:b/>
      <w:bCs/>
      <w:sz w:val="30"/>
      <w:szCs w:val="30"/>
    </w:rPr>
  </w:style>
  <w:style w:type="character" w:customStyle="1" w:styleId="528">
    <w:name w:val="样式 宋体 小四 Char"/>
    <w:link w:val="529"/>
    <w:qFormat/>
    <w:uiPriority w:val="0"/>
    <w:rPr>
      <w:rFonts w:ascii="Courier New" w:hAnsi="Courier New" w:eastAsia="Courier New"/>
      <w:sz w:val="24"/>
    </w:rPr>
  </w:style>
  <w:style w:type="paragraph" w:customStyle="1" w:styleId="529">
    <w:name w:val="样式 宋体 小四"/>
    <w:basedOn w:val="1"/>
    <w:link w:val="528"/>
    <w:qFormat/>
    <w:uiPriority w:val="0"/>
    <w:pPr>
      <w:adjustRightInd w:val="0"/>
      <w:snapToGrid w:val="0"/>
      <w:spacing w:line="480" w:lineRule="exact"/>
      <w:ind w:firstLine="200" w:firstLineChars="200"/>
    </w:pPr>
    <w:rPr>
      <w:rFonts w:ascii="Courier New" w:hAnsi="Courier New" w:eastAsia="Courier New"/>
      <w:kern w:val="0"/>
      <w:sz w:val="24"/>
      <w:szCs w:val="20"/>
    </w:rPr>
  </w:style>
  <w:style w:type="character" w:customStyle="1" w:styleId="530">
    <w:name w:val="样式 小四 首行缩进:  0.85 厘米 行距: 1.5 倍行距 Char1"/>
    <w:link w:val="531"/>
    <w:qFormat/>
    <w:uiPriority w:val="0"/>
    <w:rPr>
      <w:rFonts w:ascii="Courier New" w:hAnsi="Courier New" w:eastAsia="Courier New"/>
      <w:bCs/>
      <w:sz w:val="24"/>
      <w:szCs w:val="28"/>
    </w:rPr>
  </w:style>
  <w:style w:type="paragraph" w:customStyle="1" w:styleId="531">
    <w:name w:val="样式 小四 首行缩进:  0.85 厘米 行距: 1.5 倍行距"/>
    <w:basedOn w:val="1"/>
    <w:next w:val="1"/>
    <w:link w:val="530"/>
    <w:qFormat/>
    <w:uiPriority w:val="0"/>
    <w:pPr>
      <w:spacing w:line="360" w:lineRule="auto"/>
      <w:ind w:firstLine="480"/>
    </w:pPr>
    <w:rPr>
      <w:rFonts w:ascii="Courier New" w:hAnsi="Courier New" w:eastAsia="Courier New"/>
      <w:bCs/>
      <w:kern w:val="0"/>
      <w:sz w:val="24"/>
      <w:szCs w:val="28"/>
    </w:rPr>
  </w:style>
  <w:style w:type="character" w:customStyle="1" w:styleId="532">
    <w:name w:val="19"/>
    <w:qFormat/>
    <w:uiPriority w:val="0"/>
    <w:rPr>
      <w:rFonts w:hint="default" w:ascii="Calibri" w:hAnsi="Calibri" w:cs="Calibri"/>
      <w:b/>
      <w:bCs/>
      <w:kern w:val="44"/>
      <w:sz w:val="44"/>
      <w:szCs w:val="44"/>
    </w:rPr>
  </w:style>
  <w:style w:type="character" w:customStyle="1" w:styleId="533">
    <w:name w:val="10"/>
    <w:qFormat/>
    <w:uiPriority w:val="0"/>
    <w:rPr>
      <w:rFonts w:hint="default" w:ascii="Calibri" w:hAnsi="Calibri" w:cs="Calibri"/>
    </w:rPr>
  </w:style>
  <w:style w:type="character" w:customStyle="1" w:styleId="534">
    <w:name w:val="插图名称 Char"/>
    <w:link w:val="535"/>
    <w:qFormat/>
    <w:uiPriority w:val="0"/>
    <w:rPr>
      <w:rFonts w:eastAsia="Times New Roman"/>
      <w:kern w:val="2"/>
      <w:sz w:val="21"/>
      <w:szCs w:val="24"/>
    </w:rPr>
  </w:style>
  <w:style w:type="paragraph" w:customStyle="1" w:styleId="535">
    <w:name w:val="插图名称"/>
    <w:link w:val="534"/>
    <w:qFormat/>
    <w:uiPriority w:val="0"/>
    <w:pPr>
      <w:jc w:val="center"/>
      <w:outlineLvl w:val="8"/>
    </w:pPr>
    <w:rPr>
      <w:rFonts w:ascii="Calibri" w:hAnsi="Calibri" w:eastAsia="Times New Roman" w:cs="Times New Roman"/>
      <w:kern w:val="2"/>
      <w:sz w:val="21"/>
      <w:szCs w:val="24"/>
      <w:lang w:val="en-US" w:eastAsia="zh-CN" w:bidi="ar-SA"/>
    </w:rPr>
  </w:style>
  <w:style w:type="character" w:customStyle="1" w:styleId="536">
    <w:name w:val="无间隔 Char"/>
    <w:link w:val="510"/>
    <w:qFormat/>
    <w:locked/>
    <w:uiPriority w:val="0"/>
    <w:rPr>
      <w:rFonts w:ascii="等线" w:hAnsi="等线" w:eastAsia="等线"/>
      <w:kern w:val="2"/>
      <w:sz w:val="18"/>
      <w:szCs w:val="22"/>
    </w:rPr>
  </w:style>
  <w:style w:type="character" w:customStyle="1" w:styleId="537">
    <w:name w:val="Char Char102"/>
    <w:qFormat/>
    <w:uiPriority w:val="0"/>
    <w:rPr>
      <w:rFonts w:ascii="宋体" w:hAnsi="Courier New" w:eastAsia="宋体" w:cs="Times New Roman"/>
      <w:szCs w:val="20"/>
    </w:rPr>
  </w:style>
  <w:style w:type="character" w:customStyle="1" w:styleId="538">
    <w:name w:val="表格文字 Char"/>
    <w:qFormat/>
    <w:locked/>
    <w:uiPriority w:val="0"/>
    <w:rPr>
      <w:rFonts w:ascii="宋体" w:hAnsi="Courier New"/>
    </w:rPr>
  </w:style>
  <w:style w:type="character" w:customStyle="1" w:styleId="539">
    <w:name w:val="正文首行缩进 2 Char"/>
    <w:link w:val="53"/>
    <w:qFormat/>
    <w:uiPriority w:val="0"/>
    <w:rPr>
      <w:szCs w:val="24"/>
    </w:rPr>
  </w:style>
  <w:style w:type="character" w:customStyle="1" w:styleId="540">
    <w:name w:val="表格00 Char1"/>
    <w:link w:val="541"/>
    <w:qFormat/>
    <w:uiPriority w:val="0"/>
    <w:rPr>
      <w:rFonts w:eastAsia="Times New Roman"/>
      <w:kern w:val="2"/>
      <w:sz w:val="21"/>
      <w:szCs w:val="21"/>
    </w:rPr>
  </w:style>
  <w:style w:type="paragraph" w:customStyle="1" w:styleId="541">
    <w:name w:val="表格00"/>
    <w:link w:val="540"/>
    <w:qFormat/>
    <w:uiPriority w:val="0"/>
    <w:pPr>
      <w:widowControl w:val="0"/>
      <w:adjustRightInd w:val="0"/>
      <w:spacing w:line="140" w:lineRule="atLeast"/>
      <w:jc w:val="center"/>
      <w:outlineLvl w:val="8"/>
    </w:pPr>
    <w:rPr>
      <w:rFonts w:ascii="Calibri" w:hAnsi="Calibri" w:eastAsia="Times New Roman" w:cs="Times New Roman"/>
      <w:kern w:val="2"/>
      <w:sz w:val="21"/>
      <w:szCs w:val="21"/>
      <w:lang w:val="en-US" w:eastAsia="zh-CN" w:bidi="ar-SA"/>
    </w:rPr>
  </w:style>
  <w:style w:type="character" w:customStyle="1" w:styleId="542">
    <w:name w:val="16"/>
    <w:qFormat/>
    <w:uiPriority w:val="0"/>
    <w:rPr>
      <w:rFonts w:hint="default" w:ascii="Calibri" w:hAnsi="Calibri" w:cs="Calibri"/>
      <w:color w:val="0000FF"/>
      <w:u w:val="single"/>
    </w:rPr>
  </w:style>
  <w:style w:type="character" w:customStyle="1" w:styleId="543">
    <w:name w:val="泉州师院正文 Char"/>
    <w:link w:val="544"/>
    <w:qFormat/>
    <w:uiPriority w:val="0"/>
    <w:rPr>
      <w:sz w:val="24"/>
      <w:szCs w:val="24"/>
    </w:rPr>
  </w:style>
  <w:style w:type="paragraph" w:customStyle="1" w:styleId="544">
    <w:name w:val="泉州师院正文"/>
    <w:basedOn w:val="1"/>
    <w:link w:val="543"/>
    <w:qFormat/>
    <w:uiPriority w:val="0"/>
    <w:pPr>
      <w:spacing w:line="360" w:lineRule="auto"/>
      <w:ind w:firstLine="480" w:firstLineChars="200"/>
    </w:pPr>
    <w:rPr>
      <w:kern w:val="0"/>
      <w:sz w:val="24"/>
      <w:szCs w:val="24"/>
    </w:rPr>
  </w:style>
  <w:style w:type="character" w:customStyle="1" w:styleId="545">
    <w:name w:val="一级标题 Char"/>
    <w:link w:val="546"/>
    <w:qFormat/>
    <w:uiPriority w:val="0"/>
    <w:rPr>
      <w:b/>
      <w:sz w:val="30"/>
      <w:szCs w:val="30"/>
    </w:rPr>
  </w:style>
  <w:style w:type="paragraph" w:customStyle="1" w:styleId="546">
    <w:name w:val="一级标题"/>
    <w:basedOn w:val="1"/>
    <w:link w:val="545"/>
    <w:qFormat/>
    <w:uiPriority w:val="0"/>
    <w:pPr>
      <w:spacing w:line="360" w:lineRule="auto"/>
      <w:outlineLvl w:val="0"/>
    </w:pPr>
    <w:rPr>
      <w:b/>
      <w:kern w:val="0"/>
      <w:sz w:val="30"/>
      <w:szCs w:val="30"/>
    </w:rPr>
  </w:style>
  <w:style w:type="character" w:customStyle="1" w:styleId="547">
    <w:name w:val="15"/>
    <w:qFormat/>
    <w:uiPriority w:val="0"/>
    <w:rPr>
      <w:rFonts w:hint="default" w:ascii="Calibri" w:hAnsi="Calibri" w:cs="Calibri"/>
      <w:color w:val="0000FF"/>
      <w:u w:val="single"/>
    </w:rPr>
  </w:style>
  <w:style w:type="character" w:customStyle="1" w:styleId="548">
    <w:name w:val="17"/>
    <w:qFormat/>
    <w:uiPriority w:val="0"/>
    <w:rPr>
      <w:rFonts w:hint="default" w:ascii="Calibri" w:hAnsi="Calibri" w:cs="Calibri"/>
    </w:rPr>
  </w:style>
  <w:style w:type="character" w:customStyle="1" w:styleId="549">
    <w:name w:val="正文首行缩进 2 Char1"/>
    <w:basedOn w:val="245"/>
    <w:semiHidden/>
    <w:qFormat/>
    <w:uiPriority w:val="99"/>
    <w:rPr>
      <w:rFonts w:ascii="Times New Roman" w:hAnsi="Times New Roman" w:eastAsia="宋体" w:cs="Times New Roman"/>
      <w:kern w:val="2"/>
      <w:sz w:val="21"/>
      <w:szCs w:val="22"/>
    </w:rPr>
  </w:style>
  <w:style w:type="paragraph" w:customStyle="1" w:styleId="550">
    <w:name w:val="正文图标题"/>
    <w:next w:val="1"/>
    <w:qFormat/>
    <w:uiPriority w:val="0"/>
    <w:pPr>
      <w:tabs>
        <w:tab w:val="left" w:pos="420"/>
      </w:tabs>
      <w:ind w:left="567" w:hanging="279"/>
      <w:jc w:val="center"/>
    </w:pPr>
    <w:rPr>
      <w:rFonts w:ascii="黑体" w:hAnsi="Calibri" w:eastAsia="黑体" w:cs="Times New Roman"/>
      <w:sz w:val="21"/>
      <w:lang w:val="en-US" w:eastAsia="zh-CN" w:bidi="ar-SA"/>
    </w:rPr>
  </w:style>
  <w:style w:type="paragraph" w:customStyle="1" w:styleId="551">
    <w:name w:val="CM15"/>
    <w:basedOn w:val="1"/>
    <w:next w:val="1"/>
    <w:qFormat/>
    <w:uiPriority w:val="0"/>
    <w:pPr>
      <w:autoSpaceDE w:val="0"/>
      <w:autoSpaceDN w:val="0"/>
      <w:adjustRightInd w:val="0"/>
      <w:spacing w:line="468" w:lineRule="atLeast"/>
      <w:jc w:val="left"/>
    </w:pPr>
    <w:rPr>
      <w:rFonts w:ascii="黑体" w:eastAsia="黑体"/>
      <w:kern w:val="0"/>
      <w:sz w:val="24"/>
      <w:szCs w:val="24"/>
    </w:rPr>
  </w:style>
  <w:style w:type="paragraph" w:styleId="552">
    <w:name w:val="No Spacing"/>
    <w:qFormat/>
    <w:uiPriority w:val="0"/>
    <w:pPr>
      <w:widowControl w:val="0"/>
      <w:jc w:val="both"/>
    </w:pPr>
    <w:rPr>
      <w:rFonts w:ascii="Calibri" w:hAnsi="Calibri" w:eastAsia="Times New Roman" w:cs="Times New Roman"/>
      <w:kern w:val="2"/>
      <w:sz w:val="24"/>
      <w:szCs w:val="24"/>
      <w:lang w:val="en-US" w:eastAsia="zh-CN" w:bidi="ar-SA"/>
    </w:rPr>
  </w:style>
  <w:style w:type="paragraph" w:customStyle="1" w:styleId="553">
    <w:name w:val="_Style 59"/>
    <w:qFormat/>
    <w:uiPriority w:val="0"/>
    <w:pPr>
      <w:spacing w:after="160" w:line="240" w:lineRule="exact"/>
    </w:pPr>
    <w:rPr>
      <w:rFonts w:ascii="Calibri" w:hAnsi="Calibri" w:eastAsia="宋体" w:cs="Times New Roman"/>
      <w:lang w:val="en-US" w:eastAsia="zh-CN" w:bidi="ar-SA"/>
    </w:rPr>
  </w:style>
  <w:style w:type="paragraph" w:customStyle="1" w:styleId="554">
    <w:name w:val="修订4"/>
    <w:qFormat/>
    <w:uiPriority w:val="0"/>
    <w:rPr>
      <w:rFonts w:ascii="Calibri" w:hAnsi="Calibri" w:eastAsia="宋体" w:cs="Times New Roman"/>
      <w:kern w:val="2"/>
      <w:sz w:val="21"/>
      <w:szCs w:val="24"/>
      <w:lang w:val="en-US" w:eastAsia="zh-CN" w:bidi="ar-SA"/>
    </w:rPr>
  </w:style>
  <w:style w:type="paragraph" w:styleId="555">
    <w:name w:val="List Paragraph"/>
    <w:basedOn w:val="1"/>
    <w:qFormat/>
    <w:uiPriority w:val="99"/>
    <w:pPr>
      <w:ind w:firstLine="420" w:firstLineChars="200"/>
    </w:pPr>
    <w:rPr>
      <w:szCs w:val="24"/>
    </w:rPr>
  </w:style>
  <w:style w:type="paragraph" w:customStyle="1" w:styleId="556">
    <w:name w:val="1eee"/>
    <w:basedOn w:val="2"/>
    <w:qFormat/>
    <w:uiPriority w:val="0"/>
    <w:pPr>
      <w:jc w:val="center"/>
    </w:pPr>
    <w:rPr>
      <w:rFonts w:ascii="Times New Roman" w:hAnsi="Times New Roman" w:eastAsia="黑体" w:cs="宋体"/>
      <w:b w:val="0"/>
      <w:sz w:val="30"/>
    </w:rPr>
  </w:style>
  <w:style w:type="character" w:customStyle="1" w:styleId="557">
    <w:name w:val="列出段落 Char"/>
    <w:basedOn w:val="56"/>
    <w:link w:val="487"/>
    <w:qFormat/>
    <w:uiPriority w:val="0"/>
    <w:rPr>
      <w:kern w:val="2"/>
      <w:sz w:val="21"/>
      <w:szCs w:val="22"/>
    </w:rPr>
  </w:style>
  <w:style w:type="paragraph" w:customStyle="1" w:styleId="558">
    <w:name w:val="央1"/>
    <w:basedOn w:val="1"/>
    <w:link w:val="559"/>
    <w:qFormat/>
    <w:uiPriority w:val="0"/>
    <w:pPr>
      <w:adjustRightInd w:val="0"/>
      <w:snapToGrid w:val="0"/>
      <w:spacing w:line="440" w:lineRule="exact"/>
      <w:ind w:firstLine="200" w:firstLineChars="200"/>
    </w:pPr>
    <w:rPr>
      <w:rFonts w:ascii="宋体" w:hAnsi="Times New Roman" w:cs="宋体"/>
      <w:sz w:val="24"/>
      <w:szCs w:val="24"/>
    </w:rPr>
  </w:style>
  <w:style w:type="character" w:customStyle="1" w:styleId="559">
    <w:name w:val="央1 Char Char"/>
    <w:link w:val="558"/>
    <w:qFormat/>
    <w:uiPriority w:val="0"/>
    <w:rPr>
      <w:rFonts w:ascii="宋体" w:hAnsi="Times New Roman" w:cs="宋体"/>
      <w:kern w:val="2"/>
      <w:sz w:val="24"/>
      <w:szCs w:val="24"/>
    </w:rPr>
  </w:style>
  <w:style w:type="character" w:customStyle="1" w:styleId="560">
    <w:name w:val="表格标题 Char"/>
    <w:basedOn w:val="56"/>
    <w:link w:val="401"/>
    <w:qFormat/>
    <w:uiPriority w:val="0"/>
    <w:rPr>
      <w:b/>
      <w:bCs/>
      <w:color w:val="000000"/>
      <w:kern w:val="2"/>
      <w:sz w:val="32"/>
      <w:szCs w:val="32"/>
    </w:rPr>
  </w:style>
  <w:style w:type="paragraph" w:customStyle="1" w:styleId="561">
    <w:name w:val="表格正文"/>
    <w:basedOn w:val="1"/>
    <w:link w:val="562"/>
    <w:qFormat/>
    <w:uiPriority w:val="0"/>
    <w:pPr>
      <w:widowControl/>
      <w:jc w:val="left"/>
    </w:pPr>
    <w:rPr>
      <w:rFonts w:ascii="宋体" w:hAnsi="宋体" w:cs="宋体" w:eastAsiaTheme="minorEastAsia"/>
      <w:color w:val="000000"/>
      <w:kern w:val="0"/>
      <w:sz w:val="18"/>
      <w:szCs w:val="24"/>
    </w:rPr>
  </w:style>
  <w:style w:type="character" w:customStyle="1" w:styleId="562">
    <w:name w:val="表格正文 Char"/>
    <w:basedOn w:val="56"/>
    <w:link w:val="561"/>
    <w:qFormat/>
    <w:uiPriority w:val="0"/>
    <w:rPr>
      <w:rFonts w:ascii="宋体" w:hAnsi="宋体" w:cs="宋体" w:eastAsiaTheme="minorEastAsia"/>
      <w:color w:val="000000"/>
      <w:sz w:val="18"/>
      <w:szCs w:val="24"/>
    </w:rPr>
  </w:style>
  <w:style w:type="character" w:customStyle="1" w:styleId="563">
    <w:name w:val="样式1 Char"/>
    <w:basedOn w:val="56"/>
    <w:link w:val="493"/>
    <w:qFormat/>
    <w:uiPriority w:val="0"/>
    <w:rPr>
      <w:rFonts w:ascii="Arial" w:hAnsi="Arial" w:eastAsia="黑体"/>
      <w:sz w:val="21"/>
      <w:szCs w:val="28"/>
      <w:lang w:val="zh-CN" w:eastAsia="ja-JP"/>
    </w:rPr>
  </w:style>
  <w:style w:type="character" w:customStyle="1" w:styleId="564">
    <w:name w:val="样式1 Char Char"/>
    <w:qFormat/>
    <w:uiPriority w:val="0"/>
    <w:rPr>
      <w:sz w:val="24"/>
      <w:szCs w:val="24"/>
    </w:rPr>
  </w:style>
  <w:style w:type="paragraph" w:customStyle="1" w:styleId="565">
    <w:name w:val="小四正文"/>
    <w:basedOn w:val="1"/>
    <w:link w:val="566"/>
    <w:qFormat/>
    <w:uiPriority w:val="0"/>
    <w:pPr>
      <w:spacing w:line="360" w:lineRule="auto"/>
      <w:ind w:firstLine="480" w:firstLineChars="200"/>
    </w:pPr>
    <w:rPr>
      <w:rFonts w:asciiTheme="minorHAnsi" w:hAnsiTheme="minorHAnsi" w:eastAsiaTheme="minorEastAsia" w:cstheme="minorBidi"/>
      <w:sz w:val="24"/>
      <w:szCs w:val="24"/>
    </w:rPr>
  </w:style>
  <w:style w:type="character" w:customStyle="1" w:styleId="566">
    <w:name w:val="小四正文 Char"/>
    <w:basedOn w:val="56"/>
    <w:link w:val="565"/>
    <w:qFormat/>
    <w:uiPriority w:val="0"/>
    <w:rPr>
      <w:rFonts w:asciiTheme="minorHAnsi" w:hAnsiTheme="minorHAnsi" w:eastAsiaTheme="minorEastAsia" w:cstheme="minorBidi"/>
      <w:kern w:val="2"/>
      <w:sz w:val="24"/>
      <w:szCs w:val="24"/>
    </w:rPr>
  </w:style>
  <w:style w:type="paragraph" w:customStyle="1" w:styleId="567">
    <w:name w:val="表格抬头"/>
    <w:basedOn w:val="1"/>
    <w:link w:val="568"/>
    <w:qFormat/>
    <w:uiPriority w:val="0"/>
    <w:pPr>
      <w:spacing w:line="360" w:lineRule="auto"/>
      <w:jc w:val="center"/>
    </w:pPr>
    <w:rPr>
      <w:rFonts w:asciiTheme="minorHAnsi" w:hAnsiTheme="minorHAnsi" w:eastAsiaTheme="minorEastAsia" w:cstheme="minorBidi"/>
      <w:szCs w:val="21"/>
    </w:rPr>
  </w:style>
  <w:style w:type="character" w:customStyle="1" w:styleId="568">
    <w:name w:val="表格抬头 Char"/>
    <w:basedOn w:val="56"/>
    <w:link w:val="567"/>
    <w:qFormat/>
    <w:uiPriority w:val="0"/>
    <w:rPr>
      <w:rFonts w:asciiTheme="minorHAnsi" w:hAnsiTheme="minorHAnsi" w:eastAsiaTheme="minorEastAsia" w:cstheme="minorBidi"/>
      <w:kern w:val="2"/>
      <w:sz w:val="21"/>
      <w:szCs w:val="21"/>
    </w:rPr>
  </w:style>
  <w:style w:type="character" w:customStyle="1" w:styleId="569">
    <w:name w:val="font01"/>
    <w:qFormat/>
    <w:uiPriority w:val="0"/>
    <w:rPr>
      <w:rFonts w:hint="eastAsia" w:ascii="宋体" w:hAnsi="宋体" w:eastAsia="宋体" w:cs="宋体"/>
      <w:color w:val="000000"/>
      <w:sz w:val="22"/>
      <w:szCs w:val="22"/>
      <w:u w:val="none"/>
    </w:rPr>
  </w:style>
  <w:style w:type="character" w:customStyle="1" w:styleId="570">
    <w:name w:val="title26"/>
    <w:basedOn w:val="56"/>
    <w:qFormat/>
    <w:uiPriority w:val="0"/>
  </w:style>
  <w:style w:type="character" w:customStyle="1" w:styleId="571">
    <w:name w:val="font21"/>
    <w:qFormat/>
    <w:uiPriority w:val="0"/>
    <w:rPr>
      <w:rFonts w:hint="eastAsia" w:ascii="宋体" w:hAnsi="宋体" w:eastAsia="宋体" w:cs="宋体"/>
      <w:color w:val="000000"/>
      <w:sz w:val="21"/>
      <w:szCs w:val="21"/>
      <w:u w:val="none"/>
    </w:rPr>
  </w:style>
  <w:style w:type="character" w:customStyle="1" w:styleId="572">
    <w:name w:val="正文文本 3 Char1"/>
    <w:qFormat/>
    <w:uiPriority w:val="0"/>
    <w:rPr>
      <w:rFonts w:eastAsia="Calibri"/>
      <w:sz w:val="16"/>
      <w:szCs w:val="16"/>
      <w:lang w:eastAsia="en-US"/>
    </w:rPr>
  </w:style>
  <w:style w:type="character" w:customStyle="1" w:styleId="573">
    <w:name w:val="username"/>
    <w:basedOn w:val="56"/>
    <w:qFormat/>
    <w:uiPriority w:val="0"/>
  </w:style>
  <w:style w:type="character" w:customStyle="1" w:styleId="574">
    <w:name w:val="font11"/>
    <w:qFormat/>
    <w:uiPriority w:val="0"/>
    <w:rPr>
      <w:rFonts w:hint="eastAsia" w:ascii="宋体" w:hAnsi="宋体" w:eastAsia="宋体" w:cs="宋体"/>
      <w:color w:val="000000"/>
      <w:sz w:val="21"/>
      <w:szCs w:val="21"/>
      <w:u w:val="none"/>
    </w:rPr>
  </w:style>
  <w:style w:type="paragraph" w:customStyle="1" w:styleId="575">
    <w:name w:val="_Style 50"/>
    <w:unhideWhenUsed/>
    <w:qFormat/>
    <w:uiPriority w:val="99"/>
    <w:rPr>
      <w:rFonts w:ascii="Times New Roman" w:hAnsi="Times New Roman" w:eastAsia="Calibri" w:cs="Times New Roman"/>
      <w:sz w:val="22"/>
      <w:szCs w:val="22"/>
      <w:lang w:val="en-US" w:eastAsia="en-US" w:bidi="ar-SA"/>
    </w:rPr>
  </w:style>
  <w:style w:type="paragraph" w:customStyle="1" w:styleId="576">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7">
    <w:name w:val="样式 报告正文 Char Char + (西文) Arial (中文) 黑体"/>
    <w:basedOn w:val="1"/>
    <w:qFormat/>
    <w:uiPriority w:val="0"/>
    <w:pPr>
      <w:tabs>
        <w:tab w:val="left" w:pos="3020"/>
        <w:tab w:val="left" w:pos="4107"/>
      </w:tabs>
      <w:adjustRightInd w:val="0"/>
      <w:snapToGrid w:val="0"/>
      <w:spacing w:line="480" w:lineRule="auto"/>
      <w:ind w:firstLine="200" w:firstLineChars="200"/>
    </w:pPr>
    <w:rPr>
      <w:rFonts w:ascii="Arial" w:hAnsi="Arial" w:eastAsia="黑体" w:cs="宋体"/>
      <w:sz w:val="22"/>
      <w:szCs w:val="20"/>
    </w:rPr>
  </w:style>
  <w:style w:type="paragraph" w:customStyle="1" w:styleId="578">
    <w:name w:val="5"/>
    <w:basedOn w:val="1"/>
    <w:qFormat/>
    <w:uiPriority w:val="0"/>
    <w:pPr>
      <w:autoSpaceDE w:val="0"/>
      <w:autoSpaceDN w:val="0"/>
      <w:adjustRightInd w:val="0"/>
      <w:spacing w:line="360" w:lineRule="auto"/>
      <w:ind w:firstLine="420" w:firstLineChars="200"/>
      <w:jc w:val="left"/>
    </w:pPr>
    <w:rPr>
      <w:rFonts w:ascii="Times New Roman" w:hAnsi="Times New Roman" w:eastAsia="Calibri"/>
      <w:kern w:val="0"/>
      <w:sz w:val="22"/>
      <w:lang w:eastAsia="en-US"/>
    </w:rPr>
  </w:style>
  <w:style w:type="paragraph" w:customStyle="1" w:styleId="579">
    <w:name w:val="_Style 54"/>
    <w:basedOn w:val="2"/>
    <w:next w:val="1"/>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580">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1">
    <w:name w:val="正文 New New New"/>
    <w:qFormat/>
    <w:uiPriority w:val="0"/>
    <w:pPr>
      <w:widowControl w:val="0"/>
      <w:jc w:val="both"/>
    </w:pPr>
    <w:rPr>
      <w:rFonts w:ascii="Times New Roman" w:hAnsi="Times New Roman" w:eastAsia="宋体" w:cs="Times New Roman"/>
      <w:kern w:val="2"/>
      <w:sz w:val="21"/>
      <w:szCs w:val="22"/>
      <w:lang w:val="en-US" w:eastAsia="zh-CN" w:bidi="ar-SA"/>
    </w:rPr>
  </w:style>
  <w:style w:type="table" w:customStyle="1" w:styleId="582">
    <w:name w:val="网格型5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583">
    <w:name w:val="网格型5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584">
    <w:name w:val="细分条文"/>
    <w:qFormat/>
    <w:uiPriority w:val="0"/>
    <w:pPr>
      <w:spacing w:line="360" w:lineRule="auto"/>
      <w:ind w:firstLine="904" w:firstLineChars="300"/>
      <w:jc w:val="both"/>
    </w:pPr>
    <w:rPr>
      <w:rFonts w:ascii="Times New Roman" w:hAnsi="Times New Roman" w:eastAsia="宋体" w:cs="Times New Roman"/>
      <w:color w:val="000000"/>
      <w:sz w:val="21"/>
      <w:szCs w:val="21"/>
      <w:lang w:val="en-US" w:eastAsia="zh-CN" w:bidi="ar-SA"/>
    </w:rPr>
  </w:style>
  <w:style w:type="paragraph" w:customStyle="1" w:styleId="585">
    <w:name w:val="表格内两端对齐"/>
    <w:qFormat/>
    <w:uiPriority w:val="0"/>
    <w:pPr>
      <w:jc w:val="both"/>
    </w:pPr>
    <w:rPr>
      <w:rFonts w:ascii="Calibri" w:hAnsi="Calibri" w:eastAsia="宋体" w:cs="Arial Unicode MS"/>
      <w:color w:val="000000"/>
      <w:sz w:val="18"/>
      <w:szCs w:val="21"/>
      <w:lang w:val="en-US" w:eastAsia="zh-CN" w:bidi="ar-SA"/>
    </w:rPr>
  </w:style>
  <w:style w:type="paragraph" w:customStyle="1" w:styleId="586">
    <w:name w:val="1/1.1/1.0.1- 三级标题"/>
    <w:basedOn w:val="1"/>
    <w:next w:val="1"/>
    <w:qFormat/>
    <w:uiPriority w:val="0"/>
    <w:pPr>
      <w:keepNext/>
      <w:keepLines/>
      <w:numPr>
        <w:ilvl w:val="2"/>
        <w:numId w:val="3"/>
      </w:numPr>
      <w:spacing w:before="50" w:beforeLines="50" w:after="50" w:afterLines="50"/>
      <w:jc w:val="left"/>
    </w:pPr>
    <w:rPr>
      <w:rFonts w:ascii="宋体" w:hAnsi="宋体" w:eastAsia="宋体"/>
      <w:kern w:val="44"/>
    </w:rPr>
  </w:style>
  <w:style w:type="paragraph" w:customStyle="1" w:styleId="587">
    <w:name w:val="1/1.1/1.1.1- 三级标题"/>
    <w:basedOn w:val="1"/>
    <w:next w:val="1"/>
    <w:qFormat/>
    <w:uiPriority w:val="0"/>
    <w:pPr>
      <w:keepNext/>
      <w:keepLines/>
      <w:numPr>
        <w:ilvl w:val="2"/>
        <w:numId w:val="4"/>
      </w:numPr>
      <w:spacing w:before="50" w:beforeLines="50" w:after="50" w:afterLines="50"/>
    </w:pPr>
    <w:rPr>
      <w:rFonts w:eastAsia="宋体"/>
      <w:kern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emf"/><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8" textRotate="1"/>
    <customShpInfo spid="_x0000_s4099"/>
    <customShpInfo spid="_x0000_s4100"/>
    <customShpInfo spid="_x0000_s4101" textRotate="1"/>
    <customShpInfo spid="_x0000_s4102"/>
    <customShpInfo spid="_x0000_s4103"/>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53E3FE-F5F9-4CBF-92BB-A0999EBC35A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278</Pages>
  <Words>15304</Words>
  <Characters>16210</Characters>
  <Lines>1</Lines>
  <Paragraphs>1</Paragraphs>
  <TotalTime>67</TotalTime>
  <ScaleCrop>false</ScaleCrop>
  <LinksUpToDate>false</LinksUpToDate>
  <CharactersWithSpaces>16959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2021-02-23T08:31:00Z</dcterms:created>
  <dc:creator>黄健平</dc:creator>
  <cp:lastModifiedBy>叶飞鹏(驻场服务人员)</cp:lastModifiedBy>
  <cp:lastPrinted>2020-11-25T03:17:00Z</cp:lastPrinted>
  <dcterms:modified xsi:type="dcterms:W3CDTF">2025-06-17T03:19:07Z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eyJoZGlkIjoiMzEwNTM5NzYwMDRjMzkwZTVkZjY2ODkwMGIxNGU0OTUiLCJ1c2VySWQiOiIzOTUzOTQ4NDUifQ==</vt:lpwstr>
  </property>
  <property fmtid="{D5CDD505-2E9C-101B-9397-08002B2CF9AE}" pid="4" name="ICV">
    <vt:lpwstr>17EE9CC9BD9F42E9871086A34E50F3C2_12</vt:lpwstr>
  </property>
</Properties>
</file>