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F1564">
      <w:pPr>
        <w:wordWrap w:val="0"/>
        <w:spacing w:line="360" w:lineRule="auto"/>
        <w:jc w:val="center"/>
        <w:rPr>
          <w:rFonts w:ascii="宋体" w:hAnsi="宋体" w:eastAsia="宋体" w:cs="宋体"/>
          <w:b/>
          <w:color w:val="auto"/>
          <w:sz w:val="48"/>
          <w:szCs w:val="48"/>
          <w:highlight w:val="none"/>
          <w:lang w:bidi="ar"/>
        </w:rPr>
      </w:pPr>
    </w:p>
    <w:p w14:paraId="1A9168FD">
      <w:pPr>
        <w:wordWrap w:val="0"/>
        <w:spacing w:line="360" w:lineRule="auto"/>
        <w:jc w:val="center"/>
        <w:rPr>
          <w:rFonts w:ascii="宋体" w:hAnsi="宋体" w:eastAsia="宋体" w:cs="宋体"/>
          <w:color w:val="auto"/>
          <w:sz w:val="48"/>
          <w:szCs w:val="48"/>
          <w:highlight w:val="none"/>
        </w:rPr>
      </w:pPr>
      <w:r>
        <w:rPr>
          <w:rFonts w:hint="eastAsia" w:ascii="宋体" w:hAnsi="宋体" w:eastAsia="宋体" w:cs="宋体"/>
          <w:b/>
          <w:color w:val="auto"/>
          <w:sz w:val="48"/>
          <w:szCs w:val="48"/>
          <w:highlight w:val="none"/>
          <w:lang w:eastAsia="zh-CN" w:bidi="ar"/>
        </w:rPr>
        <w:t>永安路（上溶街-芙蓉大道）工程、规划纵二路（永安路-东边村西成社）工程建设项目</w:t>
      </w:r>
      <w:r>
        <w:rPr>
          <w:rFonts w:hint="eastAsia" w:ascii="宋体" w:hAnsi="宋体" w:eastAsia="宋体" w:cs="宋体"/>
          <w:b/>
          <w:color w:val="auto"/>
          <w:sz w:val="48"/>
          <w:szCs w:val="48"/>
          <w:highlight w:val="none"/>
          <w:lang w:bidi="ar"/>
        </w:rPr>
        <w:t>勘察设计</w:t>
      </w:r>
    </w:p>
    <w:p w14:paraId="66C8C44A">
      <w:pPr>
        <w:wordWrap w:val="0"/>
        <w:spacing w:line="360" w:lineRule="auto"/>
        <w:rPr>
          <w:rFonts w:ascii="宋体" w:hAnsi="宋体" w:eastAsia="宋体" w:cs="宋体"/>
          <w:b/>
          <w:color w:val="auto"/>
          <w:spacing w:val="40"/>
          <w:sz w:val="44"/>
          <w:szCs w:val="44"/>
          <w:highlight w:val="none"/>
        </w:rPr>
      </w:pPr>
    </w:p>
    <w:p w14:paraId="23D78A58">
      <w:pPr>
        <w:wordWrap w:val="0"/>
        <w:spacing w:line="360" w:lineRule="auto"/>
        <w:jc w:val="left"/>
        <w:rPr>
          <w:rFonts w:ascii="宋体" w:hAnsi="宋体" w:eastAsia="宋体" w:cs="宋体"/>
          <w:color w:val="auto"/>
          <w:sz w:val="36"/>
          <w:szCs w:val="36"/>
          <w:highlight w:val="none"/>
          <w:u w:val="single"/>
          <w:lang w:bidi="ar"/>
        </w:rPr>
      </w:pPr>
    </w:p>
    <w:p w14:paraId="42BD89C3">
      <w:pPr>
        <w:wordWrap w:val="0"/>
        <w:spacing w:line="360" w:lineRule="auto"/>
        <w:jc w:val="left"/>
        <w:rPr>
          <w:rFonts w:ascii="宋体" w:hAnsi="宋体" w:eastAsia="宋体" w:cs="宋体"/>
          <w:color w:val="auto"/>
          <w:sz w:val="36"/>
          <w:szCs w:val="36"/>
          <w:highlight w:val="none"/>
          <w:u w:val="single"/>
          <w:lang w:bidi="ar"/>
        </w:rPr>
      </w:pPr>
    </w:p>
    <w:p w14:paraId="2A182AA0">
      <w:pPr>
        <w:wordWrap w:val="0"/>
        <w:spacing w:line="360" w:lineRule="auto"/>
        <w:jc w:val="left"/>
        <w:rPr>
          <w:rFonts w:ascii="宋体" w:hAnsi="宋体" w:eastAsia="宋体" w:cs="宋体"/>
          <w:color w:val="auto"/>
          <w:sz w:val="36"/>
          <w:szCs w:val="36"/>
          <w:highlight w:val="none"/>
          <w:u w:val="single"/>
          <w:lang w:bidi="ar"/>
        </w:rPr>
      </w:pPr>
    </w:p>
    <w:p w14:paraId="7B84D3A6">
      <w:pPr>
        <w:wordWrap w:val="0"/>
        <w:spacing w:line="360" w:lineRule="auto"/>
        <w:jc w:val="left"/>
        <w:rPr>
          <w:rFonts w:ascii="宋体" w:hAnsi="宋体" w:eastAsia="宋体" w:cs="宋体"/>
          <w:color w:val="auto"/>
          <w:sz w:val="36"/>
          <w:szCs w:val="36"/>
          <w:highlight w:val="none"/>
          <w:u w:val="single"/>
          <w:lang w:bidi="ar"/>
        </w:rPr>
      </w:pPr>
    </w:p>
    <w:p w14:paraId="042EA20D">
      <w:pPr>
        <w:wordWrap w:val="0"/>
        <w:spacing w:line="360" w:lineRule="auto"/>
        <w:jc w:val="left"/>
        <w:rPr>
          <w:rFonts w:ascii="宋体" w:hAnsi="宋体" w:eastAsia="宋体" w:cs="宋体"/>
          <w:color w:val="auto"/>
          <w:sz w:val="36"/>
          <w:szCs w:val="36"/>
          <w:highlight w:val="none"/>
          <w:u w:val="single"/>
        </w:rPr>
      </w:pPr>
    </w:p>
    <w:p w14:paraId="5341C901">
      <w:pPr>
        <w:wordWrap w:val="0"/>
        <w:spacing w:line="360" w:lineRule="auto"/>
        <w:jc w:val="center"/>
        <w:rPr>
          <w:rFonts w:ascii="宋体" w:hAnsi="宋体" w:eastAsia="宋体" w:cs="宋体"/>
          <w:b/>
          <w:color w:val="auto"/>
          <w:spacing w:val="26"/>
          <w:sz w:val="110"/>
          <w:szCs w:val="110"/>
          <w:highlight w:val="none"/>
        </w:rPr>
      </w:pPr>
      <w:r>
        <w:rPr>
          <w:rFonts w:hint="eastAsia" w:ascii="宋体" w:hAnsi="宋体" w:eastAsia="宋体" w:cs="宋体"/>
          <w:b/>
          <w:color w:val="auto"/>
          <w:spacing w:val="26"/>
          <w:sz w:val="96"/>
          <w:szCs w:val="96"/>
          <w:highlight w:val="none"/>
          <w:lang w:bidi="ar"/>
        </w:rPr>
        <w:t>招标文件</w:t>
      </w:r>
    </w:p>
    <w:p w14:paraId="1EF8F989">
      <w:pPr>
        <w:wordWrap w:val="0"/>
        <w:spacing w:line="360" w:lineRule="auto"/>
        <w:rPr>
          <w:rFonts w:ascii="宋体" w:hAnsi="宋体" w:eastAsia="宋体" w:cs="宋体"/>
          <w:color w:val="auto"/>
          <w:sz w:val="32"/>
          <w:szCs w:val="32"/>
          <w:highlight w:val="none"/>
        </w:rPr>
      </w:pPr>
    </w:p>
    <w:p w14:paraId="7543C119">
      <w:pPr>
        <w:wordWrap w:val="0"/>
        <w:spacing w:line="360" w:lineRule="auto"/>
        <w:rPr>
          <w:rFonts w:ascii="宋体" w:hAnsi="宋体" w:eastAsia="宋体" w:cs="宋体"/>
          <w:color w:val="auto"/>
          <w:sz w:val="52"/>
          <w:szCs w:val="52"/>
          <w:highlight w:val="none"/>
        </w:rPr>
      </w:pPr>
    </w:p>
    <w:p w14:paraId="79C4CEE6">
      <w:pPr>
        <w:wordWrap w:val="0"/>
        <w:spacing w:line="360" w:lineRule="auto"/>
        <w:rPr>
          <w:rFonts w:ascii="宋体" w:hAnsi="宋体" w:eastAsia="宋体" w:cs="宋体"/>
          <w:color w:val="auto"/>
          <w:sz w:val="52"/>
          <w:szCs w:val="52"/>
          <w:highlight w:val="none"/>
          <w:lang w:bidi="ar"/>
        </w:rPr>
      </w:pPr>
    </w:p>
    <w:p w14:paraId="13A8E7D4">
      <w:pPr>
        <w:wordWrap w:val="0"/>
        <w:spacing w:line="360" w:lineRule="auto"/>
        <w:rPr>
          <w:rFonts w:ascii="宋体" w:hAnsi="宋体" w:eastAsia="宋体" w:cs="宋体"/>
          <w:color w:val="auto"/>
          <w:sz w:val="21"/>
          <w:szCs w:val="21"/>
          <w:highlight w:val="none"/>
          <w:lang w:bidi="ar"/>
        </w:rPr>
      </w:pPr>
    </w:p>
    <w:p w14:paraId="4CBA5A3E">
      <w:pPr>
        <w:wordWrap w:val="0"/>
        <w:spacing w:line="360" w:lineRule="auto"/>
        <w:rPr>
          <w:rFonts w:ascii="宋体" w:hAnsi="宋体" w:eastAsia="宋体" w:cs="宋体"/>
          <w:color w:val="auto"/>
          <w:sz w:val="52"/>
          <w:szCs w:val="52"/>
          <w:highlight w:val="none"/>
          <w:lang w:bidi="ar"/>
        </w:rPr>
      </w:pPr>
    </w:p>
    <w:p w14:paraId="43E06939">
      <w:pPr>
        <w:wordWrap w:val="0"/>
        <w:spacing w:line="360" w:lineRule="auto"/>
        <w:ind w:firstLine="992" w:firstLineChars="31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招   标   人：</w:t>
      </w:r>
      <w:r>
        <w:rPr>
          <w:rFonts w:hint="eastAsia" w:ascii="宋体" w:hAnsi="宋体" w:eastAsia="宋体" w:cs="宋体"/>
          <w:color w:val="auto"/>
          <w:sz w:val="32"/>
          <w:szCs w:val="32"/>
          <w:highlight w:val="none"/>
          <w:u w:val="single"/>
          <w:lang w:bidi="ar"/>
        </w:rPr>
        <w:t>广州市花都区交通运输局</w:t>
      </w:r>
    </w:p>
    <w:p w14:paraId="2E5AABFC">
      <w:pPr>
        <w:wordWrap w:val="0"/>
        <w:spacing w:line="360" w:lineRule="auto"/>
        <w:ind w:firstLine="992" w:firstLineChars="31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bidi="ar"/>
        </w:rPr>
        <w:t>招标代理机构：</w:t>
      </w:r>
      <w:r>
        <w:rPr>
          <w:rFonts w:hint="eastAsia" w:ascii="宋体" w:hAnsi="宋体" w:eastAsia="宋体" w:cs="宋体"/>
          <w:color w:val="auto"/>
          <w:sz w:val="32"/>
          <w:szCs w:val="32"/>
          <w:highlight w:val="none"/>
          <w:u w:val="single"/>
          <w:lang w:eastAsia="zh-CN" w:bidi="ar"/>
        </w:rPr>
        <w:t>广州市交正工程咨询有限公司</w:t>
      </w:r>
    </w:p>
    <w:p w14:paraId="4885332E">
      <w:pPr>
        <w:wordWrap w:val="0"/>
        <w:spacing w:line="360" w:lineRule="auto"/>
        <w:ind w:firstLine="992" w:firstLineChars="31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日        期：2025年</w:t>
      </w:r>
      <w:r>
        <w:rPr>
          <w:rFonts w:hint="eastAsia" w:ascii="宋体" w:hAnsi="宋体" w:eastAsia="宋体" w:cs="宋体"/>
          <w:color w:val="auto"/>
          <w:sz w:val="32"/>
          <w:szCs w:val="32"/>
          <w:highlight w:val="none"/>
          <w:u w:val="none"/>
          <w:lang w:val="en-US" w:eastAsia="zh-CN" w:bidi="ar"/>
        </w:rPr>
        <w:t>6</w:t>
      </w:r>
      <w:r>
        <w:rPr>
          <w:rFonts w:hint="eastAsia" w:ascii="宋体" w:hAnsi="宋体" w:eastAsia="宋体" w:cs="宋体"/>
          <w:color w:val="auto"/>
          <w:sz w:val="32"/>
          <w:szCs w:val="32"/>
          <w:highlight w:val="none"/>
          <w:lang w:bidi="ar"/>
        </w:rPr>
        <w:t>月</w:t>
      </w:r>
    </w:p>
    <w:p w14:paraId="3F96225E">
      <w:pPr>
        <w:wordWrap w:val="0"/>
        <w:spacing w:line="360" w:lineRule="auto"/>
        <w:rPr>
          <w:rFonts w:ascii="Calibri" w:hAnsi="Calibri" w:eastAsia="宋体" w:cs="Times New Roman"/>
          <w:b/>
          <w:color w:val="auto"/>
          <w:sz w:val="36"/>
          <w:szCs w:val="36"/>
          <w:highlight w:val="none"/>
        </w:rPr>
        <w:sectPr>
          <w:footerReference r:id="rId3" w:type="default"/>
          <w:type w:val="continuous"/>
          <w:pgSz w:w="11905" w:h="16838"/>
          <w:pgMar w:top="1440" w:right="1800" w:bottom="1440" w:left="1800" w:header="720" w:footer="720" w:gutter="0"/>
          <w:pgNumType w:start="0"/>
          <w:cols w:space="425" w:num="1"/>
          <w:titlePg/>
          <w:docGrid w:type="lines" w:linePitch="312" w:charSpace="0"/>
        </w:sectPr>
      </w:pPr>
    </w:p>
    <w:p w14:paraId="2B36E82E">
      <w:pPr>
        <w:widowControl/>
        <w:wordWrap w:val="0"/>
        <w:jc w:val="left"/>
        <w:rPr>
          <w:rFonts w:ascii="Times New Roman" w:hAnsi="Times New Roman" w:eastAsia="宋体" w:cs="Times New Roman"/>
          <w:color w:val="auto"/>
          <w:kern w:val="0"/>
          <w:sz w:val="20"/>
          <w:szCs w:val="20"/>
          <w:highlight w:val="none"/>
        </w:rPr>
      </w:pPr>
      <w:r>
        <w:rPr>
          <w:rFonts w:ascii="Times New Roman" w:hAnsi="Times New Roman" w:eastAsia="宋体" w:cs="Times New Roman"/>
          <w:color w:val="auto"/>
          <w:kern w:val="0"/>
          <w:sz w:val="20"/>
          <w:szCs w:val="20"/>
          <w:highlight w:val="none"/>
        </w:rPr>
        <w:br w:type="page"/>
      </w:r>
    </w:p>
    <w:p w14:paraId="33828BA2">
      <w:pPr>
        <w:wordWrap w:val="0"/>
        <w:spacing w:after="120"/>
        <w:ind w:firstLine="200" w:firstLineChars="100"/>
        <w:rPr>
          <w:rFonts w:ascii="Times New Roman" w:hAnsi="Times New Roman" w:eastAsia="宋体" w:cs="Times New Roman"/>
          <w:color w:val="auto"/>
          <w:kern w:val="0"/>
          <w:sz w:val="20"/>
          <w:szCs w:val="20"/>
          <w:highlight w:val="none"/>
        </w:rPr>
      </w:pPr>
    </w:p>
    <w:p w14:paraId="4591FF5F">
      <w:pPr>
        <w:keepNext/>
        <w:keepLines/>
        <w:widowControl/>
        <w:wordWrap w:val="0"/>
        <w:spacing w:before="480" w:line="276" w:lineRule="auto"/>
        <w:jc w:val="center"/>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zh-CN"/>
        </w:rPr>
        <w:t>目 录</w:t>
      </w:r>
    </w:p>
    <w:p w14:paraId="2386736E">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rFonts w:hint="eastAsia" w:ascii="宋体" w:hAnsi="宋体" w:cs="宋体"/>
          <w:bCs w:val="0"/>
          <w:caps w:val="0"/>
          <w:color w:val="auto"/>
          <w:sz w:val="24"/>
          <w:szCs w:val="24"/>
          <w:highlight w:val="none"/>
        </w:rPr>
        <w:fldChar w:fldCharType="begin"/>
      </w:r>
      <w:r>
        <w:rPr>
          <w:rFonts w:hint="eastAsia" w:ascii="宋体" w:hAnsi="宋体" w:cs="宋体"/>
          <w:bCs w:val="0"/>
          <w:caps w:val="0"/>
          <w:color w:val="auto"/>
          <w:sz w:val="24"/>
          <w:szCs w:val="24"/>
          <w:highlight w:val="none"/>
        </w:rPr>
        <w:instrText xml:space="preserve"> TOC \o "1-3" \h \z \u </w:instrText>
      </w:r>
      <w:r>
        <w:rPr>
          <w:rFonts w:hint="eastAsia" w:ascii="宋体" w:hAnsi="宋体" w:cs="宋体"/>
          <w:bCs w:val="0"/>
          <w:caps w:val="0"/>
          <w:color w:val="auto"/>
          <w:sz w:val="24"/>
          <w:szCs w:val="24"/>
          <w:highlight w:val="none"/>
        </w:rPr>
        <w:fldChar w:fldCharType="separate"/>
      </w:r>
      <w:r>
        <w:rPr>
          <w:color w:val="auto"/>
          <w:highlight w:val="none"/>
        </w:rPr>
        <w:fldChar w:fldCharType="begin"/>
      </w:r>
      <w:r>
        <w:rPr>
          <w:color w:val="auto"/>
          <w:highlight w:val="none"/>
        </w:rPr>
        <w:instrText xml:space="preserve"> HYPERLINK \l "_Toc193357935" </w:instrText>
      </w:r>
      <w:r>
        <w:rPr>
          <w:color w:val="auto"/>
          <w:highlight w:val="none"/>
        </w:rPr>
        <w:fldChar w:fldCharType="separate"/>
      </w:r>
      <w:r>
        <w:rPr>
          <w:rStyle w:val="52"/>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_Toc193357935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AA6EC2F">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"_Toc193357936" </w:instrText>
      </w:r>
      <w:r>
        <w:rPr>
          <w:color w:val="auto"/>
          <w:highlight w:val="none"/>
        </w:rPr>
        <w:fldChar w:fldCharType="separate"/>
      </w:r>
      <w:r>
        <w:rPr>
          <w:rStyle w:val="52"/>
          <w:color w:val="auto"/>
          <w:highlight w:val="none"/>
          <w:lang w:bidi="ar"/>
        </w:rPr>
        <w:t>第一章  招标公告</w:t>
      </w:r>
      <w:r>
        <w:rPr>
          <w:color w:val="auto"/>
          <w:highlight w:val="none"/>
        </w:rPr>
        <w:tab/>
      </w:r>
      <w:r>
        <w:rPr>
          <w:color w:val="auto"/>
          <w:highlight w:val="none"/>
        </w:rPr>
        <w:fldChar w:fldCharType="begin"/>
      </w:r>
      <w:r>
        <w:rPr>
          <w:color w:val="auto"/>
          <w:highlight w:val="none"/>
        </w:rPr>
        <w:instrText xml:space="preserve"> PAGEREF _Toc193357936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7508EDC">
      <w:pPr>
        <w:pStyle w:val="32"/>
        <w:tabs>
          <w:tab w:val="right" w:leader="dot" w:pos="8289"/>
        </w:tabs>
        <w:wordWrap w:val="0"/>
        <w:rPr>
          <w:rFonts w:asciiTheme="minorHAnsi" w:hAnsiTheme="minorHAnsi" w:eastAsiaTheme="minorEastAsia" w:cstheme="minorBidi"/>
          <w:b w:val="0"/>
          <w:bCs w:val="0"/>
          <w:caps w:val="0"/>
          <w:color w:val="auto"/>
          <w:sz w:val="21"/>
          <w:szCs w:val="22"/>
          <w:highlight w:val="none"/>
        </w:rPr>
      </w:pPr>
      <w:r>
        <w:rPr>
          <w:color w:val="auto"/>
          <w:highlight w:val="none"/>
        </w:rPr>
        <w:fldChar w:fldCharType="begin"/>
      </w:r>
      <w:r>
        <w:rPr>
          <w:color w:val="auto"/>
          <w:highlight w:val="none"/>
        </w:rPr>
        <w:instrText xml:space="preserve"> HYPERLINK \l "_Toc193357937" </w:instrText>
      </w:r>
      <w:r>
        <w:rPr>
          <w:color w:val="auto"/>
          <w:highlight w:val="none"/>
        </w:rPr>
        <w:fldChar w:fldCharType="separate"/>
      </w:r>
      <w:r>
        <w:rPr>
          <w:rStyle w:val="52"/>
          <w:color w:val="auto"/>
          <w:highlight w:val="none"/>
          <w:lang w:bidi="ar"/>
        </w:rPr>
        <w:t>第二章  投标人须知</w:t>
      </w:r>
      <w:r>
        <w:rPr>
          <w:color w:val="auto"/>
          <w:highlight w:val="none"/>
        </w:rPr>
        <w:tab/>
      </w:r>
      <w:r>
        <w:rPr>
          <w:color w:val="auto"/>
          <w:highlight w:val="none"/>
        </w:rPr>
        <w:fldChar w:fldCharType="begin"/>
      </w:r>
      <w:r>
        <w:rPr>
          <w:color w:val="auto"/>
          <w:highlight w:val="none"/>
        </w:rPr>
        <w:instrText xml:space="preserve"> PAGEREF _Toc193357937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48F535B3">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"_Toc193358002" </w:instrText>
      </w:r>
      <w:r>
        <w:rPr>
          <w:color w:val="auto"/>
          <w:highlight w:val="none"/>
        </w:rPr>
        <w:fldChar w:fldCharType="separate"/>
      </w:r>
      <w:r>
        <w:rPr>
          <w:rStyle w:val="52"/>
          <w:color w:val="auto"/>
          <w:highlight w:val="none"/>
        </w:rPr>
        <w:t>第三章  评标办法（综合评估法）</w:t>
      </w:r>
      <w:r>
        <w:rPr>
          <w:color w:val="auto"/>
          <w:highlight w:val="none"/>
        </w:rPr>
        <w:tab/>
      </w:r>
      <w:r>
        <w:rPr>
          <w:color w:val="auto"/>
          <w:highlight w:val="none"/>
        </w:rPr>
        <w:fldChar w:fldCharType="end"/>
      </w:r>
      <w:r>
        <w:rPr>
          <w:rFonts w:hint="eastAsia"/>
          <w:color w:val="auto"/>
          <w:highlight w:val="none"/>
          <w:lang w:val="en-US" w:eastAsia="zh-CN"/>
        </w:rPr>
        <w:t>30</w:t>
      </w:r>
    </w:p>
    <w:p w14:paraId="0DA7AF3C">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"_Toc193358019" </w:instrText>
      </w:r>
      <w:r>
        <w:rPr>
          <w:color w:val="auto"/>
          <w:highlight w:val="none"/>
        </w:rPr>
        <w:fldChar w:fldCharType="separate"/>
      </w:r>
      <w:r>
        <w:rPr>
          <w:rStyle w:val="52"/>
          <w:color w:val="auto"/>
          <w:highlight w:val="none"/>
        </w:rPr>
        <w:t>第四章  合同条款及格式</w:t>
      </w:r>
      <w:r>
        <w:rPr>
          <w:color w:val="auto"/>
          <w:highlight w:val="none"/>
        </w:rPr>
        <w:tab/>
      </w:r>
      <w:r>
        <w:rPr>
          <w:color w:val="auto"/>
          <w:highlight w:val="none"/>
        </w:rPr>
        <w:fldChar w:fldCharType="end"/>
      </w:r>
      <w:r>
        <w:rPr>
          <w:rFonts w:hint="eastAsia"/>
          <w:color w:val="auto"/>
          <w:highlight w:val="none"/>
          <w:lang w:val="en-US" w:eastAsia="zh-CN"/>
        </w:rPr>
        <w:t>51</w:t>
      </w:r>
    </w:p>
    <w:p w14:paraId="52CE7204">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"_Toc193358020" </w:instrText>
      </w:r>
      <w:r>
        <w:rPr>
          <w:color w:val="auto"/>
          <w:highlight w:val="none"/>
        </w:rPr>
        <w:fldChar w:fldCharType="separate"/>
      </w:r>
      <w:r>
        <w:rPr>
          <w:rStyle w:val="52"/>
          <w:color w:val="auto"/>
          <w:highlight w:val="none"/>
        </w:rPr>
        <w:t>第二卷</w:t>
      </w:r>
      <w:r>
        <w:rPr>
          <w:color w:val="auto"/>
          <w:highlight w:val="none"/>
        </w:rPr>
        <w:tab/>
      </w:r>
      <w:r>
        <w:rPr>
          <w:color w:val="auto"/>
          <w:highlight w:val="none"/>
        </w:rPr>
        <w:fldChar w:fldCharType="end"/>
      </w:r>
      <w:r>
        <w:rPr>
          <w:rFonts w:hint="eastAsia"/>
          <w:color w:val="auto"/>
          <w:highlight w:val="none"/>
          <w:lang w:val="en-US" w:eastAsia="zh-CN"/>
        </w:rPr>
        <w:t>52</w:t>
      </w:r>
    </w:p>
    <w:p w14:paraId="2E95613F">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"_Toc193358021" </w:instrText>
      </w:r>
      <w:r>
        <w:rPr>
          <w:color w:val="auto"/>
          <w:highlight w:val="none"/>
        </w:rPr>
        <w:fldChar w:fldCharType="separate"/>
      </w:r>
      <w:r>
        <w:rPr>
          <w:rStyle w:val="52"/>
          <w:color w:val="auto"/>
          <w:highlight w:val="none"/>
        </w:rPr>
        <w:t>第五章  发包人要求</w:t>
      </w:r>
      <w:r>
        <w:rPr>
          <w:color w:val="auto"/>
          <w:highlight w:val="none"/>
        </w:rPr>
        <w:tab/>
      </w:r>
      <w:r>
        <w:rPr>
          <w:color w:val="auto"/>
          <w:highlight w:val="none"/>
        </w:rPr>
        <w:fldChar w:fldCharType="end"/>
      </w:r>
      <w:r>
        <w:rPr>
          <w:rFonts w:hint="eastAsia"/>
          <w:color w:val="auto"/>
          <w:highlight w:val="none"/>
          <w:lang w:val="en-US" w:eastAsia="zh-CN"/>
        </w:rPr>
        <w:t>52</w:t>
      </w:r>
    </w:p>
    <w:p w14:paraId="4047D19C">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"_Toc193358022" </w:instrText>
      </w:r>
      <w:r>
        <w:rPr>
          <w:color w:val="auto"/>
          <w:highlight w:val="none"/>
        </w:rPr>
        <w:fldChar w:fldCharType="separate"/>
      </w:r>
      <w:r>
        <w:rPr>
          <w:rStyle w:val="52"/>
          <w:color w:val="auto"/>
          <w:highlight w:val="none"/>
        </w:rPr>
        <w:t>第三卷</w:t>
      </w:r>
      <w:r>
        <w:rPr>
          <w:color w:val="auto"/>
          <w:highlight w:val="none"/>
        </w:rPr>
        <w:tab/>
      </w:r>
      <w:r>
        <w:rPr>
          <w:color w:val="auto"/>
          <w:highlight w:val="none"/>
        </w:rPr>
        <w:fldChar w:fldCharType="end"/>
      </w:r>
      <w:r>
        <w:rPr>
          <w:rFonts w:hint="eastAsia"/>
          <w:color w:val="auto"/>
          <w:highlight w:val="none"/>
          <w:lang w:val="en-US" w:eastAsia="zh-CN"/>
        </w:rPr>
        <w:t>53</w:t>
      </w:r>
    </w:p>
    <w:p w14:paraId="0680C484">
      <w:pPr>
        <w:pStyle w:val="32"/>
        <w:tabs>
          <w:tab w:val="right" w:leader="dot" w:pos="8289"/>
        </w:tabs>
        <w:wordWrap w:val="0"/>
        <w:rPr>
          <w:rFonts w:hint="default" w:eastAsia="宋体" w:asciiTheme="minorHAnsi" w:hAnsiTheme="minorHAnsi" w:cstheme="minorBidi"/>
          <w:b w:val="0"/>
          <w:bCs w:val="0"/>
          <w:caps w:val="0"/>
          <w:color w:val="auto"/>
          <w:sz w:val="21"/>
          <w:szCs w:val="22"/>
          <w:highlight w:val="none"/>
          <w:lang w:val="en-US" w:eastAsia="zh-CN"/>
        </w:rPr>
      </w:pPr>
      <w:r>
        <w:rPr>
          <w:color w:val="auto"/>
          <w:highlight w:val="none"/>
        </w:rPr>
        <w:fldChar w:fldCharType="begin"/>
      </w:r>
      <w:r>
        <w:rPr>
          <w:color w:val="auto"/>
          <w:highlight w:val="none"/>
        </w:rPr>
        <w:instrText xml:space="preserve"> HYPERLINK \l "_Toc193358023" </w:instrText>
      </w:r>
      <w:r>
        <w:rPr>
          <w:color w:val="auto"/>
          <w:highlight w:val="none"/>
        </w:rPr>
        <w:fldChar w:fldCharType="separate"/>
      </w:r>
      <w:r>
        <w:rPr>
          <w:rStyle w:val="52"/>
          <w:color w:val="auto"/>
          <w:highlight w:val="none"/>
        </w:rPr>
        <w:t>第六章  投标文件格式</w:t>
      </w:r>
      <w:r>
        <w:rPr>
          <w:color w:val="auto"/>
          <w:highlight w:val="none"/>
        </w:rPr>
        <w:tab/>
      </w:r>
      <w:r>
        <w:rPr>
          <w:color w:val="auto"/>
          <w:highlight w:val="none"/>
        </w:rPr>
        <w:fldChar w:fldCharType="end"/>
      </w:r>
      <w:r>
        <w:rPr>
          <w:rFonts w:hint="eastAsia"/>
          <w:color w:val="auto"/>
          <w:highlight w:val="none"/>
          <w:lang w:val="en-US" w:eastAsia="zh-CN"/>
        </w:rPr>
        <w:t>53</w:t>
      </w:r>
    </w:p>
    <w:p w14:paraId="439CAC1C">
      <w:pPr>
        <w:wordWrap w:val="0"/>
        <w:spacing w:line="360" w:lineRule="auto"/>
        <w:rPr>
          <w:rFonts w:ascii="宋体" w:hAnsi="宋体" w:eastAsia="宋体" w:cs="宋体"/>
          <w:color w:val="auto"/>
          <w:kern w:val="0"/>
          <w:szCs w:val="21"/>
          <w:highlight w:val="none"/>
        </w:rPr>
      </w:pPr>
      <w:r>
        <w:rPr>
          <w:rFonts w:hint="eastAsia" w:ascii="宋体" w:hAnsi="宋体" w:eastAsia="宋体" w:cs="宋体"/>
          <w:bCs/>
          <w:color w:val="auto"/>
          <w:sz w:val="24"/>
          <w:szCs w:val="24"/>
          <w:highlight w:val="none"/>
          <w:lang w:val="zh-CN"/>
        </w:rPr>
        <w:fldChar w:fldCharType="end"/>
      </w:r>
    </w:p>
    <w:p w14:paraId="229E1CBB">
      <w:pPr>
        <w:wordWrap w:val="0"/>
        <w:autoSpaceDE w:val="0"/>
        <w:autoSpaceDN w:val="0"/>
        <w:spacing w:line="20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page"/>
      </w:r>
    </w:p>
    <w:p w14:paraId="5566AB20">
      <w:pPr>
        <w:pStyle w:val="2"/>
        <w:rPr>
          <w:color w:val="auto"/>
          <w:highlight w:val="none"/>
        </w:rPr>
      </w:pPr>
      <w:bookmarkStart w:id="0" w:name="_Toc193357935"/>
      <w:bookmarkStart w:id="1" w:name="_Toc111186720"/>
      <w:r>
        <w:rPr>
          <w:rFonts w:hint="eastAsia"/>
          <w:color w:val="auto"/>
          <w:highlight w:val="none"/>
        </w:rPr>
        <w:t>第一卷</w:t>
      </w:r>
      <w:bookmarkEnd w:id="0"/>
      <w:bookmarkEnd w:id="1"/>
    </w:p>
    <w:p w14:paraId="0FA42BB0">
      <w:pPr>
        <w:widowControl/>
        <w:wordWrap w:val="0"/>
        <w:jc w:val="left"/>
        <w:rPr>
          <w:rFonts w:ascii="宋体" w:hAnsi="宋体" w:eastAsia="宋体" w:cs="宋体"/>
          <w:color w:val="auto"/>
          <w:spacing w:val="2"/>
          <w:kern w:val="0"/>
          <w:sz w:val="44"/>
          <w:szCs w:val="44"/>
          <w:highlight w:val="none"/>
        </w:rPr>
        <w:sectPr>
          <w:footerReference r:id="rId4" w:type="default"/>
          <w:type w:val="continuous"/>
          <w:pgSz w:w="11905" w:h="16838"/>
          <w:pgMar w:top="1440" w:right="1803" w:bottom="1440" w:left="1803" w:header="720" w:footer="720" w:gutter="0"/>
          <w:pgNumType w:start="0"/>
          <w:cols w:space="720" w:num="1"/>
          <w:titlePg/>
          <w:docGrid w:linePitch="286" w:charSpace="0"/>
        </w:sectPr>
      </w:pPr>
    </w:p>
    <w:p w14:paraId="1FB30573">
      <w:pPr>
        <w:pStyle w:val="2"/>
        <w:rPr>
          <w:color w:val="auto"/>
          <w:highlight w:val="none"/>
          <w:lang w:bidi="ar"/>
        </w:rPr>
      </w:pPr>
      <w:bookmarkStart w:id="2" w:name="_Toc111186721"/>
      <w:bookmarkStart w:id="3" w:name="_Toc193357936"/>
      <w:r>
        <w:rPr>
          <w:rFonts w:hint="eastAsia"/>
          <w:color w:val="auto"/>
          <w:highlight w:val="none"/>
          <w:lang w:bidi="ar"/>
        </w:rPr>
        <w:t>第一章  招标公告</w:t>
      </w:r>
      <w:bookmarkEnd w:id="2"/>
      <w:bookmarkEnd w:id="3"/>
    </w:p>
    <w:p w14:paraId="2DA62C74">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另册</w:t>
      </w:r>
    </w:p>
    <w:p w14:paraId="648DF30E">
      <w:pPr>
        <w:widowControl/>
        <w:wordWrap w:val="0"/>
        <w:jc w:val="left"/>
        <w:rPr>
          <w:rFonts w:ascii="宋体" w:hAnsi="宋体" w:eastAsia="宋体" w:cs="宋体"/>
          <w:color w:val="auto"/>
          <w:spacing w:val="2"/>
          <w:kern w:val="0"/>
          <w:sz w:val="44"/>
          <w:szCs w:val="44"/>
          <w:highlight w:val="none"/>
        </w:rPr>
      </w:pPr>
      <w:r>
        <w:rPr>
          <w:rFonts w:ascii="宋体" w:hAnsi="宋体" w:eastAsia="宋体" w:cs="宋体"/>
          <w:color w:val="auto"/>
          <w:spacing w:val="2"/>
          <w:kern w:val="0"/>
          <w:sz w:val="44"/>
          <w:szCs w:val="44"/>
          <w:highlight w:val="none"/>
        </w:rPr>
        <w:br w:type="page"/>
      </w:r>
    </w:p>
    <w:p w14:paraId="0F6E7194">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cols w:space="720" w:num="1"/>
        </w:sectPr>
      </w:pPr>
    </w:p>
    <w:p w14:paraId="30FF3A5E">
      <w:pPr>
        <w:pStyle w:val="2"/>
        <w:rPr>
          <w:color w:val="auto"/>
          <w:highlight w:val="none"/>
          <w:lang w:bidi="ar"/>
        </w:rPr>
      </w:pPr>
      <w:bookmarkStart w:id="4" w:name="_Toc111186722"/>
      <w:bookmarkStart w:id="5" w:name="_Toc193357937"/>
      <w:r>
        <w:rPr>
          <w:rFonts w:hint="eastAsia"/>
          <w:color w:val="auto"/>
          <w:highlight w:val="none"/>
          <w:lang w:bidi="ar"/>
        </w:rPr>
        <w:t>第二章  投标人须知</w:t>
      </w:r>
      <w:bookmarkEnd w:id="4"/>
      <w:bookmarkEnd w:id="5"/>
    </w:p>
    <w:p w14:paraId="00667EF9">
      <w:pPr>
        <w:pStyle w:val="3"/>
        <w:wordWrap w:val="0"/>
        <w:rPr>
          <w:color w:val="auto"/>
          <w:highlight w:val="none"/>
          <w:lang w:bidi="ar"/>
        </w:rPr>
      </w:pPr>
      <w:bookmarkStart w:id="6" w:name="_Toc193357938"/>
      <w:bookmarkStart w:id="7" w:name="_Toc111186723"/>
      <w:bookmarkStart w:id="8" w:name="_Toc26350"/>
      <w:r>
        <w:rPr>
          <w:rFonts w:hint="eastAsia"/>
          <w:color w:val="auto"/>
          <w:highlight w:val="none"/>
          <w:lang w:bidi="ar"/>
        </w:rPr>
        <w:t>投标人须知前附表</w:t>
      </w:r>
      <w:bookmarkEnd w:id="6"/>
      <w:bookmarkEnd w:id="7"/>
      <w:bookmarkEnd w:id="8"/>
    </w:p>
    <w:tbl>
      <w:tblPr>
        <w:tblStyle w:val="45"/>
        <w:tblW w:w="49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9"/>
        <w:gridCol w:w="1811"/>
        <w:gridCol w:w="5936"/>
      </w:tblGrid>
      <w:tr w14:paraId="0C1CB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blHeader/>
        </w:trPr>
        <w:tc>
          <w:tcPr>
            <w:tcW w:w="440" w:type="pct"/>
            <w:vAlign w:val="center"/>
          </w:tcPr>
          <w:p w14:paraId="2B338106">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条款号</w:t>
            </w:r>
          </w:p>
        </w:tc>
        <w:tc>
          <w:tcPr>
            <w:tcW w:w="1065" w:type="pct"/>
            <w:vAlign w:val="center"/>
          </w:tcPr>
          <w:p w14:paraId="19057F49">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条款名称</w:t>
            </w:r>
          </w:p>
        </w:tc>
        <w:tc>
          <w:tcPr>
            <w:tcW w:w="3493" w:type="pct"/>
            <w:vAlign w:val="center"/>
          </w:tcPr>
          <w:p w14:paraId="7AB47EA7">
            <w:pPr>
              <w:wordWrap w:val="0"/>
              <w:autoSpaceDE w:val="0"/>
              <w:autoSpaceDN w:val="0"/>
              <w:spacing w:line="276"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编列内容</w:t>
            </w:r>
          </w:p>
        </w:tc>
      </w:tr>
      <w:tr w14:paraId="22462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8E980F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w:t>
            </w:r>
          </w:p>
        </w:tc>
        <w:tc>
          <w:tcPr>
            <w:tcW w:w="1065" w:type="pct"/>
            <w:vAlign w:val="center"/>
          </w:tcPr>
          <w:p w14:paraId="0D1D2F5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3493" w:type="pct"/>
            <w:vAlign w:val="center"/>
          </w:tcPr>
          <w:p w14:paraId="7267B11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广州市花都区交通运输局</w:t>
            </w:r>
          </w:p>
          <w:p w14:paraId="502FC232">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广州市花都区紫薇路23号</w:t>
            </w:r>
          </w:p>
          <w:p w14:paraId="422CA38E">
            <w:pPr>
              <w:wordWrap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李</w:t>
            </w:r>
            <w:r>
              <w:rPr>
                <w:rFonts w:hint="eastAsia" w:ascii="宋体" w:hAnsi="宋体" w:eastAsia="宋体" w:cs="宋体"/>
                <w:color w:val="auto"/>
                <w:szCs w:val="21"/>
                <w:highlight w:val="none"/>
                <w:u w:val="single"/>
                <w:lang w:eastAsia="zh-CN"/>
              </w:rPr>
              <w:t>工</w:t>
            </w:r>
          </w:p>
          <w:p w14:paraId="2DDF93C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ascii="宋体" w:hAnsi="宋体" w:eastAsia="宋体" w:cs="宋体"/>
                <w:color w:val="auto"/>
                <w:szCs w:val="21"/>
                <w:highlight w:val="none"/>
                <w:u w:val="single"/>
              </w:rPr>
              <w:t>020-86970157</w:t>
            </w:r>
          </w:p>
        </w:tc>
      </w:tr>
      <w:tr w14:paraId="06236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A9C1CA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p>
        </w:tc>
        <w:tc>
          <w:tcPr>
            <w:tcW w:w="1065" w:type="pct"/>
            <w:vAlign w:val="center"/>
          </w:tcPr>
          <w:p w14:paraId="7342FE9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3493" w:type="pct"/>
            <w:vAlign w:val="center"/>
          </w:tcPr>
          <w:p w14:paraId="74E256F2">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lang w:eastAsia="zh-CN"/>
              </w:rPr>
              <w:t>广州市交正工程咨询有限公司</w:t>
            </w:r>
          </w:p>
          <w:p w14:paraId="6515D820">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lang w:eastAsia="zh-CN"/>
              </w:rPr>
              <w:t>广州市番禺区洛浦街道北环路87号2号楼</w:t>
            </w:r>
          </w:p>
          <w:p w14:paraId="1A9A064C">
            <w:pPr>
              <w:wordWrap w:val="0"/>
              <w:spacing w:line="276" w:lineRule="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u w:val="single"/>
                <w:lang w:val="en-US" w:eastAsia="zh-CN"/>
              </w:rPr>
              <w:t>羊</w:t>
            </w:r>
            <w:r>
              <w:rPr>
                <w:rFonts w:hint="eastAsia" w:ascii="宋体" w:hAnsi="宋体" w:eastAsia="宋体" w:cs="宋体"/>
                <w:color w:val="auto"/>
                <w:szCs w:val="21"/>
                <w:highlight w:val="none"/>
                <w:u w:val="single"/>
                <w:lang w:eastAsia="zh-CN"/>
              </w:rPr>
              <w:t>工</w:t>
            </w:r>
          </w:p>
          <w:p w14:paraId="245D8AF4">
            <w:pPr>
              <w:wordWrap w:val="0"/>
              <w:spacing w:line="276"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lang w:eastAsia="zh-CN"/>
              </w:rPr>
              <w:t>020-39185654</w:t>
            </w:r>
          </w:p>
        </w:tc>
      </w:tr>
      <w:tr w14:paraId="2C5C7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016F526">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w:t>
            </w:r>
          </w:p>
        </w:tc>
        <w:tc>
          <w:tcPr>
            <w:tcW w:w="1065" w:type="pct"/>
            <w:vAlign w:val="center"/>
          </w:tcPr>
          <w:p w14:paraId="0FAC0D0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招标项目名称</w:t>
            </w:r>
          </w:p>
        </w:tc>
        <w:tc>
          <w:tcPr>
            <w:tcW w:w="3493" w:type="pct"/>
            <w:vAlign w:val="center"/>
          </w:tcPr>
          <w:p w14:paraId="0D539D9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永安路（上溶街-芙蓉大道）工程、规划纵二路（永安路-东边村西成社）工程建设项目</w:t>
            </w:r>
            <w:r>
              <w:rPr>
                <w:rFonts w:hint="eastAsia" w:ascii="宋体" w:hAnsi="宋体" w:eastAsia="宋体" w:cs="宋体"/>
                <w:color w:val="auto"/>
                <w:szCs w:val="21"/>
                <w:highlight w:val="none"/>
                <w:u w:val="single"/>
              </w:rPr>
              <w:t>勘察设计</w:t>
            </w:r>
          </w:p>
        </w:tc>
      </w:tr>
      <w:tr w14:paraId="03584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B082191">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w:t>
            </w:r>
          </w:p>
        </w:tc>
        <w:tc>
          <w:tcPr>
            <w:tcW w:w="1065" w:type="pct"/>
            <w:vAlign w:val="center"/>
          </w:tcPr>
          <w:p w14:paraId="7D8974B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项目建设地点</w:t>
            </w:r>
          </w:p>
        </w:tc>
        <w:tc>
          <w:tcPr>
            <w:tcW w:w="3493" w:type="pct"/>
            <w:vAlign w:val="center"/>
          </w:tcPr>
          <w:p w14:paraId="131644D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671D1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C6E00CE">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1.1.6</w:t>
            </w:r>
          </w:p>
        </w:tc>
        <w:tc>
          <w:tcPr>
            <w:tcW w:w="1065" w:type="pct"/>
            <w:vAlign w:val="center"/>
          </w:tcPr>
          <w:p w14:paraId="78FA988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项目建设规模</w:t>
            </w:r>
          </w:p>
        </w:tc>
        <w:tc>
          <w:tcPr>
            <w:tcW w:w="3493" w:type="pct"/>
            <w:vAlign w:val="center"/>
          </w:tcPr>
          <w:p w14:paraId="710C5C48">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27259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E403F9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1.1.7</w:t>
            </w:r>
          </w:p>
        </w:tc>
        <w:tc>
          <w:tcPr>
            <w:tcW w:w="1065" w:type="pct"/>
            <w:vAlign w:val="center"/>
          </w:tcPr>
          <w:p w14:paraId="299C851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项目投资估算</w:t>
            </w:r>
          </w:p>
        </w:tc>
        <w:tc>
          <w:tcPr>
            <w:tcW w:w="3493" w:type="pct"/>
            <w:vAlign w:val="center"/>
          </w:tcPr>
          <w:p w14:paraId="5824C2D8">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3D7C1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ACDE85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w:t>
            </w:r>
          </w:p>
        </w:tc>
        <w:tc>
          <w:tcPr>
            <w:tcW w:w="1065" w:type="pct"/>
            <w:vAlign w:val="center"/>
          </w:tcPr>
          <w:p w14:paraId="35C6508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3493" w:type="pct"/>
            <w:vAlign w:val="center"/>
          </w:tcPr>
          <w:p w14:paraId="3A1005CF">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28783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7DF37BC">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w:t>
            </w:r>
          </w:p>
        </w:tc>
        <w:tc>
          <w:tcPr>
            <w:tcW w:w="1065" w:type="pct"/>
            <w:vAlign w:val="center"/>
          </w:tcPr>
          <w:p w14:paraId="4C46874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3493" w:type="pct"/>
            <w:vAlign w:val="center"/>
          </w:tcPr>
          <w:p w14:paraId="04EEAAFC">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已落实</w:t>
            </w:r>
          </w:p>
        </w:tc>
      </w:tr>
      <w:tr w14:paraId="018CB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096F07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p>
        </w:tc>
        <w:tc>
          <w:tcPr>
            <w:tcW w:w="1065" w:type="pct"/>
            <w:vAlign w:val="center"/>
          </w:tcPr>
          <w:p w14:paraId="3CD2181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3493" w:type="pct"/>
            <w:vAlign w:val="center"/>
          </w:tcPr>
          <w:p w14:paraId="3C6ADFA4">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189AE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36BA070">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w:t>
            </w:r>
          </w:p>
        </w:tc>
        <w:tc>
          <w:tcPr>
            <w:tcW w:w="1065" w:type="pct"/>
            <w:vAlign w:val="center"/>
          </w:tcPr>
          <w:p w14:paraId="01A048A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勘察设计服务期限</w:t>
            </w:r>
          </w:p>
        </w:tc>
        <w:tc>
          <w:tcPr>
            <w:tcW w:w="3493" w:type="pct"/>
            <w:vAlign w:val="center"/>
          </w:tcPr>
          <w:p w14:paraId="529256B7">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p>
        </w:tc>
      </w:tr>
      <w:tr w14:paraId="470C9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D70CC8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w:t>
            </w:r>
          </w:p>
        </w:tc>
        <w:tc>
          <w:tcPr>
            <w:tcW w:w="1065" w:type="pct"/>
            <w:vAlign w:val="center"/>
          </w:tcPr>
          <w:p w14:paraId="42590E6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493" w:type="pct"/>
            <w:vAlign w:val="center"/>
          </w:tcPr>
          <w:p w14:paraId="526B045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1、勘察质量标准：符合国家、省、市及行业现行相关规定、规范、标准和本项目勘察设计要求。</w:t>
            </w:r>
          </w:p>
          <w:p w14:paraId="6249716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2、设计质量标准：符合国家、省、市及行业现行相关规定、规范、标准和本项目设计任务要求。</w:t>
            </w:r>
          </w:p>
          <w:p w14:paraId="5F15639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注：具体以合同约定为准。</w:t>
            </w:r>
          </w:p>
        </w:tc>
      </w:tr>
      <w:tr w14:paraId="5E11B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E0002DE">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1.4.1</w:t>
            </w:r>
          </w:p>
        </w:tc>
        <w:tc>
          <w:tcPr>
            <w:tcW w:w="1065" w:type="pct"/>
            <w:vAlign w:val="center"/>
          </w:tcPr>
          <w:p w14:paraId="0C75396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投标人资质条件、能力、信誉</w:t>
            </w:r>
          </w:p>
        </w:tc>
        <w:tc>
          <w:tcPr>
            <w:tcW w:w="3493" w:type="pct"/>
            <w:vAlign w:val="center"/>
          </w:tcPr>
          <w:p w14:paraId="5BB619F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p>
        </w:tc>
      </w:tr>
      <w:tr w14:paraId="02745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510E30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1.4.2</w:t>
            </w:r>
          </w:p>
        </w:tc>
        <w:tc>
          <w:tcPr>
            <w:tcW w:w="1065" w:type="pct"/>
            <w:vAlign w:val="center"/>
          </w:tcPr>
          <w:p w14:paraId="2387A64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3493" w:type="pct"/>
            <w:vAlign w:val="center"/>
          </w:tcPr>
          <w:p w14:paraId="64D7F6E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p w14:paraId="29FD884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■接受，应满足下列要求：</w:t>
            </w:r>
            <w:r>
              <w:rPr>
                <w:rFonts w:hint="eastAsia" w:ascii="宋体" w:hAnsi="宋体" w:eastAsia="宋体" w:cs="宋体"/>
                <w:color w:val="auto"/>
                <w:szCs w:val="21"/>
                <w:highlight w:val="none"/>
                <w:u w:val="single"/>
              </w:rPr>
              <w:t>详见招标公告</w:t>
            </w:r>
          </w:p>
        </w:tc>
      </w:tr>
      <w:tr w14:paraId="1F241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CE7B340">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1.4.3</w:t>
            </w:r>
          </w:p>
        </w:tc>
        <w:tc>
          <w:tcPr>
            <w:tcW w:w="1065" w:type="pct"/>
            <w:vAlign w:val="center"/>
          </w:tcPr>
          <w:p w14:paraId="07E6DC1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投标人不得存在的其他情形</w:t>
            </w:r>
          </w:p>
        </w:tc>
        <w:tc>
          <w:tcPr>
            <w:tcW w:w="3493" w:type="pct"/>
            <w:vAlign w:val="center"/>
          </w:tcPr>
          <w:p w14:paraId="461364E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4CEC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A7B7EE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1.9.1</w:t>
            </w:r>
          </w:p>
        </w:tc>
        <w:tc>
          <w:tcPr>
            <w:tcW w:w="1065" w:type="pct"/>
            <w:vAlign w:val="center"/>
          </w:tcPr>
          <w:p w14:paraId="78E403F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3493" w:type="pct"/>
            <w:vAlign w:val="center"/>
          </w:tcPr>
          <w:p w14:paraId="139876E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■不组织，投标人自行考察。</w:t>
            </w:r>
          </w:p>
          <w:p w14:paraId="5BC98B0A">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补充说明如下：</w:t>
            </w:r>
          </w:p>
          <w:p w14:paraId="2B242905">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09705788">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6AAE687">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（3）由招标人提供的资料和数据，只是为了使投标人能够利用招标人现有的资料。招标人对投标人由此而作出的推论、解释和结论概不负责。</w:t>
            </w:r>
          </w:p>
          <w:p w14:paraId="7A42D723">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（4）不论投标结果如何，投标人应承担其投标文件编制与递交所涉及的一切费用，发包人对上述费用不负任何责任。</w:t>
            </w:r>
          </w:p>
          <w:p w14:paraId="2D1EE61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w:t>
            </w:r>
          </w:p>
          <w:p w14:paraId="1B85279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w:t>
            </w:r>
          </w:p>
        </w:tc>
      </w:tr>
      <w:tr w14:paraId="4E97D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B3216F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1.10.1</w:t>
            </w:r>
          </w:p>
        </w:tc>
        <w:tc>
          <w:tcPr>
            <w:tcW w:w="1065" w:type="pct"/>
            <w:vAlign w:val="center"/>
          </w:tcPr>
          <w:p w14:paraId="6195880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3493" w:type="pct"/>
            <w:vAlign w:val="center"/>
          </w:tcPr>
          <w:p w14:paraId="69A0364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■不召开</w:t>
            </w:r>
          </w:p>
          <w:p w14:paraId="404BD0F8">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w:t>
            </w:r>
          </w:p>
          <w:p w14:paraId="28A8599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召开地点：</w:t>
            </w:r>
            <w:r>
              <w:rPr>
                <w:rFonts w:hint="eastAsia" w:ascii="宋体" w:hAnsi="宋体" w:eastAsia="宋体" w:cs="宋体"/>
                <w:color w:val="auto"/>
                <w:szCs w:val="21"/>
                <w:highlight w:val="none"/>
                <w:u w:val="single"/>
              </w:rPr>
              <w:t>/。</w:t>
            </w:r>
          </w:p>
        </w:tc>
      </w:tr>
      <w:tr w14:paraId="512A3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restart"/>
            <w:vAlign w:val="center"/>
          </w:tcPr>
          <w:p w14:paraId="4D731353">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1.10.2</w:t>
            </w:r>
          </w:p>
        </w:tc>
        <w:tc>
          <w:tcPr>
            <w:tcW w:w="1065" w:type="pct"/>
            <w:vMerge w:val="restart"/>
            <w:vAlign w:val="center"/>
          </w:tcPr>
          <w:p w14:paraId="613E8507">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投标人在投标预备会前提出问题</w:t>
            </w:r>
          </w:p>
        </w:tc>
        <w:tc>
          <w:tcPr>
            <w:tcW w:w="3493" w:type="pct"/>
            <w:vAlign w:val="center"/>
          </w:tcPr>
          <w:p w14:paraId="0BCE3B6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u w:val="single"/>
                <w:lang w:bidi="ar"/>
              </w:rPr>
              <w:t xml:space="preserve"> / （本项目不召开投标预备会）。</w:t>
            </w:r>
          </w:p>
        </w:tc>
      </w:tr>
      <w:tr w14:paraId="178DA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Merge w:val="continue"/>
            <w:vAlign w:val="center"/>
          </w:tcPr>
          <w:p w14:paraId="11C354CF">
            <w:pPr>
              <w:widowControl/>
              <w:wordWrap w:val="0"/>
              <w:spacing w:line="276" w:lineRule="auto"/>
              <w:jc w:val="center"/>
              <w:rPr>
                <w:rFonts w:ascii="宋体" w:hAnsi="宋体" w:eastAsia="宋体" w:cs="宋体"/>
                <w:color w:val="auto"/>
                <w:kern w:val="0"/>
                <w:szCs w:val="21"/>
                <w:highlight w:val="none"/>
              </w:rPr>
            </w:pPr>
          </w:p>
        </w:tc>
        <w:tc>
          <w:tcPr>
            <w:tcW w:w="1065" w:type="pct"/>
            <w:vMerge w:val="continue"/>
            <w:vAlign w:val="center"/>
          </w:tcPr>
          <w:p w14:paraId="585B6C38">
            <w:pPr>
              <w:wordWrap w:val="0"/>
              <w:spacing w:line="276" w:lineRule="auto"/>
              <w:jc w:val="center"/>
              <w:rPr>
                <w:rFonts w:ascii="宋体" w:hAnsi="宋体" w:eastAsia="宋体" w:cs="宋体"/>
                <w:color w:val="auto"/>
                <w:szCs w:val="21"/>
                <w:highlight w:val="none"/>
              </w:rPr>
            </w:pPr>
          </w:p>
        </w:tc>
        <w:tc>
          <w:tcPr>
            <w:tcW w:w="3493" w:type="pct"/>
            <w:vAlign w:val="center"/>
          </w:tcPr>
          <w:p w14:paraId="07A6DF9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lang w:bidi="ar"/>
              </w:rPr>
              <w:t xml:space="preserve"> / （本项目不召开投标预备会）。</w:t>
            </w:r>
          </w:p>
        </w:tc>
      </w:tr>
      <w:tr w14:paraId="14BEE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3CF349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1.10.3</w:t>
            </w:r>
          </w:p>
        </w:tc>
        <w:tc>
          <w:tcPr>
            <w:tcW w:w="1065" w:type="pct"/>
            <w:vAlign w:val="center"/>
          </w:tcPr>
          <w:p w14:paraId="532312B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招标文件澄清发出的形式</w:t>
            </w:r>
          </w:p>
        </w:tc>
        <w:tc>
          <w:tcPr>
            <w:tcW w:w="3493" w:type="pct"/>
            <w:vAlign w:val="center"/>
          </w:tcPr>
          <w:p w14:paraId="5290B33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lang w:bidi="ar"/>
              </w:rPr>
              <w:t xml:space="preserve">  /  （不召开投标预备会，此为投标预备会的答疑澄清）。</w:t>
            </w:r>
          </w:p>
        </w:tc>
      </w:tr>
      <w:tr w14:paraId="6A262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F25FAC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pacing w:val="-7"/>
                <w:kern w:val="0"/>
                <w:szCs w:val="21"/>
                <w:highlight w:val="none"/>
              </w:rPr>
              <w:t>1</w:t>
            </w:r>
            <w:r>
              <w:rPr>
                <w:rFonts w:hint="eastAsia" w:ascii="宋体" w:hAnsi="宋体" w:eastAsia="宋体" w:cs="宋体"/>
                <w:color w:val="auto"/>
                <w:kern w:val="0"/>
                <w:szCs w:val="21"/>
                <w:highlight w:val="none"/>
              </w:rPr>
              <w:t>1.1</w:t>
            </w:r>
          </w:p>
        </w:tc>
        <w:tc>
          <w:tcPr>
            <w:tcW w:w="1065" w:type="pct"/>
            <w:vAlign w:val="center"/>
          </w:tcPr>
          <w:p w14:paraId="34BA97A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3493" w:type="pct"/>
            <w:vAlign w:val="center"/>
          </w:tcPr>
          <w:p w14:paraId="23F17F0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4D1134E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■允许，分包内容要求：</w:t>
            </w:r>
            <w:r>
              <w:rPr>
                <w:rFonts w:hint="eastAsia" w:ascii="宋体" w:hAnsi="宋体" w:eastAsia="宋体" w:cs="宋体"/>
                <w:color w:val="auto"/>
                <w:szCs w:val="21"/>
                <w:highlight w:val="none"/>
                <w:u w:val="single"/>
              </w:rPr>
              <w:t>按有关规定。</w:t>
            </w:r>
          </w:p>
          <w:p w14:paraId="0322409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分包金额要求：/</w:t>
            </w:r>
          </w:p>
          <w:p w14:paraId="187E2F3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对分包人的资质要求：</w:t>
            </w:r>
            <w:r>
              <w:rPr>
                <w:rFonts w:hint="eastAsia" w:ascii="宋体" w:hAnsi="宋体" w:eastAsia="宋体" w:cs="宋体"/>
                <w:color w:val="auto"/>
                <w:szCs w:val="21"/>
                <w:highlight w:val="none"/>
                <w:u w:val="single"/>
              </w:rPr>
              <w:t>按国家规定。</w:t>
            </w:r>
          </w:p>
        </w:tc>
      </w:tr>
      <w:tr w14:paraId="2A21D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FC35EB4">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1.12.1</w:t>
            </w:r>
          </w:p>
        </w:tc>
        <w:tc>
          <w:tcPr>
            <w:tcW w:w="1065" w:type="pct"/>
            <w:vAlign w:val="center"/>
          </w:tcPr>
          <w:p w14:paraId="01023C0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实质性要求和条件</w:t>
            </w:r>
          </w:p>
        </w:tc>
        <w:tc>
          <w:tcPr>
            <w:tcW w:w="3493" w:type="pct"/>
            <w:vAlign w:val="center"/>
          </w:tcPr>
          <w:p w14:paraId="07E73DB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3CF87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1387A7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1.12.3</w:t>
            </w:r>
          </w:p>
        </w:tc>
        <w:tc>
          <w:tcPr>
            <w:tcW w:w="1065" w:type="pct"/>
            <w:vAlign w:val="center"/>
          </w:tcPr>
          <w:p w14:paraId="3D69B07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偏差</w:t>
            </w:r>
          </w:p>
        </w:tc>
        <w:tc>
          <w:tcPr>
            <w:tcW w:w="3493" w:type="pct"/>
            <w:vAlign w:val="center"/>
          </w:tcPr>
          <w:p w14:paraId="3CAA5AD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52BFEE2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□允许，偏差范围：</w:t>
            </w:r>
            <w:r>
              <w:rPr>
                <w:rFonts w:hint="eastAsia" w:ascii="宋体" w:hAnsi="宋体" w:eastAsia="宋体" w:cs="宋体"/>
                <w:color w:val="auto"/>
                <w:szCs w:val="21"/>
                <w:highlight w:val="none"/>
                <w:u w:val="single"/>
              </w:rPr>
              <w:t>/。</w:t>
            </w:r>
          </w:p>
          <w:p w14:paraId="689A82C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偏差幅度：</w:t>
            </w:r>
            <w:r>
              <w:rPr>
                <w:rFonts w:hint="eastAsia" w:ascii="宋体" w:hAnsi="宋体" w:eastAsia="宋体" w:cs="宋体"/>
                <w:color w:val="auto"/>
                <w:szCs w:val="21"/>
                <w:highlight w:val="none"/>
                <w:u w:val="single"/>
              </w:rPr>
              <w:t>/。</w:t>
            </w:r>
          </w:p>
        </w:tc>
      </w:tr>
      <w:tr w14:paraId="759A2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58308A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065" w:type="pct"/>
            <w:vAlign w:val="center"/>
          </w:tcPr>
          <w:p w14:paraId="466944A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3493" w:type="pct"/>
            <w:vAlign w:val="center"/>
          </w:tcPr>
          <w:p w14:paraId="66785C3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209B6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69A4D9E">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065" w:type="pct"/>
            <w:vAlign w:val="center"/>
          </w:tcPr>
          <w:p w14:paraId="4FC1D7F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招标文件的答疑</w:t>
            </w:r>
          </w:p>
        </w:tc>
        <w:tc>
          <w:tcPr>
            <w:tcW w:w="3493" w:type="pct"/>
            <w:vAlign w:val="center"/>
          </w:tcPr>
          <w:p w14:paraId="4C5F6DD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疑问提交时间：</w:t>
            </w:r>
            <w:r>
              <w:rPr>
                <w:rFonts w:hint="eastAsia" w:ascii="宋体" w:hAnsi="宋体" w:eastAsia="宋体" w:cs="宋体"/>
                <w:color w:val="auto"/>
                <w:szCs w:val="21"/>
                <w:highlight w:val="none"/>
                <w:u w:val="single"/>
              </w:rPr>
              <w:t xml:space="preserve">  年   月   日   时前</w:t>
            </w:r>
            <w:r>
              <w:rPr>
                <w:rFonts w:hint="eastAsia" w:ascii="Times New Roman" w:hAnsi="Times New Roman"/>
                <w:color w:val="auto"/>
                <w:szCs w:val="21"/>
                <w:highlight w:val="none"/>
                <w:u w:val="single"/>
                <w:lang w:eastAsia="zh-CN"/>
              </w:rPr>
              <w:t>（</w:t>
            </w:r>
            <w:r>
              <w:rPr>
                <w:rFonts w:hint="eastAsia" w:ascii="宋体" w:hAnsi="宋体" w:eastAsia="宋体" w:cs="宋体"/>
                <w:color w:val="auto"/>
                <w:kern w:val="0"/>
                <w:szCs w:val="21"/>
                <w:highlight w:val="none"/>
                <w:shd w:val="clear" w:color="auto" w:fill="FFFFFF"/>
                <w:lang w:val="en-US" w:eastAsia="zh-CN" w:bidi="ar"/>
              </w:rPr>
              <w:t>具体</w:t>
            </w:r>
            <w:r>
              <w:rPr>
                <w:rFonts w:hint="eastAsia" w:ascii="宋体" w:hAnsi="宋体" w:eastAsia="宋体" w:cs="宋体"/>
                <w:color w:val="auto"/>
                <w:kern w:val="0"/>
                <w:szCs w:val="21"/>
                <w:highlight w:val="none"/>
                <w:u w:val="single"/>
                <w:shd w:val="clear" w:color="auto" w:fill="FFFFFF"/>
                <w:lang w:val="en-US" w:eastAsia="zh-CN" w:bidi="ar"/>
              </w:rPr>
              <w:t>时间</w:t>
            </w:r>
            <w:r>
              <w:rPr>
                <w:rFonts w:hint="eastAsia" w:ascii="宋体" w:hAnsi="宋体" w:eastAsia="宋体" w:cs="宋体"/>
                <w:color w:val="auto"/>
                <w:kern w:val="0"/>
                <w:szCs w:val="21"/>
                <w:highlight w:val="none"/>
                <w:u w:val="single"/>
                <w:shd w:val="clear" w:color="auto" w:fill="FFFFFF"/>
                <w:lang w:bidi="ar"/>
              </w:rPr>
              <w:t>安排以广州交易集团有限公司（广州公共资源交易中心）网站中“建设工程”→“项目查询（日程安排、答疑纪要）”公布的为准</w:t>
            </w:r>
            <w:r>
              <w:rPr>
                <w:rFonts w:hint="eastAsia" w:ascii="Times New Roman" w:hAnsi="Times New Roman"/>
                <w:color w:val="auto"/>
                <w:szCs w:val="21"/>
                <w:highlight w:val="none"/>
                <w:u w:val="single"/>
                <w:lang w:eastAsia="zh-CN"/>
              </w:rPr>
              <w:t>）</w:t>
            </w:r>
            <w:r>
              <w:rPr>
                <w:rFonts w:hint="eastAsia" w:ascii="宋体" w:hAnsi="宋体" w:eastAsia="宋体" w:cs="宋体"/>
                <w:color w:val="auto"/>
                <w:szCs w:val="21"/>
                <w:highlight w:val="none"/>
                <w:u w:val="single"/>
              </w:rPr>
              <w:t>。</w:t>
            </w:r>
          </w:p>
          <w:p w14:paraId="41FA62F5">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形式：</w:t>
            </w:r>
            <w:r>
              <w:rPr>
                <w:rFonts w:hint="eastAsia" w:ascii="宋体" w:hAnsi="宋体" w:eastAsia="宋体" w:cs="宋体"/>
                <w:color w:val="auto"/>
                <w:szCs w:val="21"/>
                <w:highlight w:val="none"/>
                <w:u w:val="single"/>
              </w:rPr>
              <w:t>投标人的疑问通过广州交易集团有限公司（广州公共资源交易中心）网站提交。</w:t>
            </w:r>
          </w:p>
          <w:p w14:paraId="6EC1B09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具体要求：</w:t>
            </w:r>
            <w:r>
              <w:rPr>
                <w:rFonts w:hint="eastAsia" w:ascii="宋体" w:hAnsi="宋体" w:eastAsia="宋体" w:cs="宋体"/>
                <w:color w:val="auto"/>
                <w:szCs w:val="21"/>
                <w:highlight w:val="none"/>
                <w:u w:val="single"/>
              </w:rPr>
              <w:t>按照广州交易集团有限公司（广州公共资源交易中心）网站关于全流程电子化项目的相关指南进行操作，提问一律不得署名。</w:t>
            </w:r>
          </w:p>
        </w:tc>
      </w:tr>
      <w:tr w14:paraId="3E5EE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trPr>
        <w:tc>
          <w:tcPr>
            <w:tcW w:w="440" w:type="pct"/>
            <w:vAlign w:val="center"/>
          </w:tcPr>
          <w:p w14:paraId="0E761165">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065" w:type="pct"/>
            <w:vAlign w:val="center"/>
          </w:tcPr>
          <w:p w14:paraId="6258A82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招标文件的澄清和修改</w:t>
            </w:r>
          </w:p>
        </w:tc>
        <w:tc>
          <w:tcPr>
            <w:tcW w:w="3493" w:type="pct"/>
            <w:vAlign w:val="center"/>
          </w:tcPr>
          <w:p w14:paraId="50B20482">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招标文件的修改期限：</w:t>
            </w:r>
            <w:r>
              <w:rPr>
                <w:rFonts w:hint="eastAsia" w:ascii="宋体" w:hAnsi="宋体" w:eastAsia="宋体" w:cs="宋体"/>
                <w:color w:val="auto"/>
                <w:szCs w:val="21"/>
                <w:highlight w:val="none"/>
                <w:u w:val="single"/>
              </w:rPr>
              <w:t>在投标截止时间 15 天前。</w:t>
            </w:r>
          </w:p>
        </w:tc>
      </w:tr>
      <w:tr w14:paraId="09FFF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4E5D4E1">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3.1.1</w:t>
            </w:r>
          </w:p>
        </w:tc>
        <w:tc>
          <w:tcPr>
            <w:tcW w:w="1065" w:type="pct"/>
            <w:vAlign w:val="center"/>
          </w:tcPr>
          <w:p w14:paraId="1511B9D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3493" w:type="pct"/>
            <w:vAlign w:val="center"/>
          </w:tcPr>
          <w:p w14:paraId="4C01A67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投标人认为有必要提供的其他资料，格式自定。</w:t>
            </w:r>
          </w:p>
        </w:tc>
      </w:tr>
      <w:tr w14:paraId="623C8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4778C5C">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p>
        </w:tc>
        <w:tc>
          <w:tcPr>
            <w:tcW w:w="1065" w:type="pct"/>
            <w:vAlign w:val="center"/>
          </w:tcPr>
          <w:p w14:paraId="6F38C08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增值税税金的计算方法</w:t>
            </w:r>
          </w:p>
        </w:tc>
        <w:tc>
          <w:tcPr>
            <w:tcW w:w="3493" w:type="pct"/>
            <w:vAlign w:val="center"/>
          </w:tcPr>
          <w:p w14:paraId="19CC3D2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投标人的报价为含税报价。</w:t>
            </w:r>
          </w:p>
        </w:tc>
      </w:tr>
      <w:tr w14:paraId="1C682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237950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p>
        </w:tc>
        <w:tc>
          <w:tcPr>
            <w:tcW w:w="1065" w:type="pct"/>
            <w:vAlign w:val="center"/>
          </w:tcPr>
          <w:p w14:paraId="3B63EE7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报价方式</w:t>
            </w:r>
          </w:p>
        </w:tc>
        <w:tc>
          <w:tcPr>
            <w:tcW w:w="3493" w:type="pct"/>
            <w:vAlign w:val="center"/>
          </w:tcPr>
          <w:p w14:paraId="148D9C7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1、勘察费报价：投标人自行报价。勘察费报价为投标人完成本工程所需的所有勘察工作，包括岩土勘察</w:t>
            </w:r>
            <w:bookmarkStart w:id="9" w:name="OLE_LINK34"/>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工程测量、管线探测</w:t>
            </w:r>
            <w:bookmarkEnd w:id="9"/>
            <w:r>
              <w:rPr>
                <w:rFonts w:hint="eastAsia" w:ascii="宋体" w:hAnsi="宋体" w:eastAsia="宋体" w:cs="宋体"/>
                <w:color w:val="auto"/>
                <w:szCs w:val="21"/>
                <w:highlight w:val="none"/>
              </w:rPr>
              <w:t>等的实物工作收费、进出场费、技术工作收费等全部成本、利润、税金以及风险等。</w:t>
            </w:r>
          </w:p>
          <w:p w14:paraId="182DD83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2、设计费报价：投标人自行报价。设计费报价为投标人完成本工程所有专业方案设计、初步设计等工作及履行合同的成本、利润、税金及风险等。</w:t>
            </w:r>
          </w:p>
          <w:p w14:paraId="2CD79D5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3、勘察设计费的结算方式按合同约定执行。</w:t>
            </w:r>
          </w:p>
        </w:tc>
      </w:tr>
      <w:tr w14:paraId="472D4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416989D">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3.2.4</w:t>
            </w:r>
          </w:p>
        </w:tc>
        <w:tc>
          <w:tcPr>
            <w:tcW w:w="1065" w:type="pct"/>
            <w:vAlign w:val="center"/>
          </w:tcPr>
          <w:p w14:paraId="6428988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3493" w:type="pct"/>
            <w:vAlign w:val="center"/>
          </w:tcPr>
          <w:p w14:paraId="6381765F">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p w14:paraId="45FFB0E8">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■有，</w:t>
            </w:r>
            <w:r>
              <w:rPr>
                <w:rFonts w:ascii="宋体" w:hAnsi="宋体" w:eastAsia="宋体" w:cs="宋体"/>
                <w:b/>
                <w:bCs/>
                <w:color w:val="auto"/>
                <w:szCs w:val="21"/>
                <w:highlight w:val="none"/>
              </w:rPr>
              <w:t>最高投标限价：</w:t>
            </w:r>
            <w:bookmarkStart w:id="10" w:name="OLE_LINK1"/>
            <w:r>
              <w:rPr>
                <w:rFonts w:hint="eastAsia" w:ascii="宋体" w:hAnsi="宋体" w:eastAsia="宋体" w:cs="宋体"/>
                <w:b/>
                <w:bCs/>
                <w:color w:val="auto"/>
                <w:szCs w:val="21"/>
                <w:highlight w:val="none"/>
                <w:u w:val="single"/>
              </w:rPr>
              <w:t>284.096万元，其中：工程勘察费最高投标限价：79.902万元，工程设计费最高投标限价：204.194万元</w:t>
            </w:r>
            <w:bookmarkEnd w:id="10"/>
            <w:r>
              <w:rPr>
                <w:rFonts w:hint="eastAsia" w:ascii="宋体" w:hAnsi="宋体" w:eastAsia="宋体" w:cs="宋体"/>
                <w:color w:val="auto"/>
                <w:szCs w:val="21"/>
                <w:highlight w:val="none"/>
              </w:rPr>
              <w:t>。</w:t>
            </w:r>
          </w:p>
          <w:p w14:paraId="6889387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注：投标报价由投标人根据招标文件要求以及企业自身情况填报。投标人未按要求报价或投标报价（含投标总报价、勘察费报价、设计费报价）超过上述相应最高投标限价的为无效标。</w:t>
            </w:r>
          </w:p>
        </w:tc>
      </w:tr>
      <w:tr w14:paraId="7DCF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862DCBE">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3.2.5</w:t>
            </w:r>
          </w:p>
        </w:tc>
        <w:tc>
          <w:tcPr>
            <w:tcW w:w="1065" w:type="pct"/>
            <w:vAlign w:val="center"/>
          </w:tcPr>
          <w:p w14:paraId="1DE3943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3493" w:type="pct"/>
            <w:vAlign w:val="center"/>
          </w:tcPr>
          <w:p w14:paraId="5B8A7AD6">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投标人必须详细审阅全部招标文件，充分考虑职责和义务，全面地理解招标文件对投标报价的要求，并按招标人提出的条件及内容进行报价。</w:t>
            </w:r>
            <w:r>
              <w:rPr>
                <w:rFonts w:hint="eastAsia" w:ascii="宋体" w:hAnsi="宋体" w:eastAsia="宋体" w:cs="宋体"/>
                <w:color w:val="auto"/>
                <w:szCs w:val="21"/>
                <w:highlight w:val="none"/>
                <w:lang w:bidi="ar"/>
              </w:rPr>
              <w:t>所有报价均以人民币表示，以元为单位，保留小数点后两位小数，第三位小数四舍五入。</w:t>
            </w:r>
          </w:p>
        </w:tc>
      </w:tr>
      <w:tr w14:paraId="3BDB1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0C3CA2E">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3.3.1</w:t>
            </w:r>
          </w:p>
        </w:tc>
        <w:tc>
          <w:tcPr>
            <w:tcW w:w="1065" w:type="pct"/>
            <w:vAlign w:val="center"/>
          </w:tcPr>
          <w:p w14:paraId="591875F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493" w:type="pct"/>
            <w:vAlign w:val="center"/>
          </w:tcPr>
          <w:p w14:paraId="48650B59">
            <w:pPr>
              <w:wordWrap w:val="0"/>
              <w:spacing w:line="276" w:lineRule="auto"/>
              <w:rPr>
                <w:rFonts w:ascii="宋体" w:hAnsi="宋体" w:eastAsia="宋体" w:cs="宋体"/>
                <w:color w:val="auto"/>
                <w:szCs w:val="21"/>
                <w:highlight w:val="none"/>
              </w:rPr>
            </w:pPr>
            <w:r>
              <w:rPr>
                <w:rFonts w:hint="eastAsia" w:ascii="宋体" w:hAnsi="宋体" w:eastAsia="宋体" w:cs="宋体"/>
                <w:b/>
                <w:bCs/>
                <w:color w:val="auto"/>
                <w:szCs w:val="21"/>
                <w:highlight w:val="none"/>
                <w:u w:val="single"/>
              </w:rPr>
              <w:t>90</w:t>
            </w:r>
            <w:r>
              <w:rPr>
                <w:rFonts w:hint="eastAsia" w:ascii="宋体" w:hAnsi="宋体" w:eastAsia="宋体" w:cs="宋体"/>
                <w:color w:val="auto"/>
                <w:szCs w:val="21"/>
                <w:highlight w:val="none"/>
              </w:rPr>
              <w:t>日历天（从投标截止之日计起）</w:t>
            </w:r>
          </w:p>
        </w:tc>
      </w:tr>
      <w:tr w14:paraId="11E3D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6E35C1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3.4.1</w:t>
            </w:r>
          </w:p>
        </w:tc>
        <w:tc>
          <w:tcPr>
            <w:tcW w:w="1065" w:type="pct"/>
            <w:vAlign w:val="center"/>
          </w:tcPr>
          <w:p w14:paraId="098D2A6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93" w:type="pct"/>
            <w:vAlign w:val="center"/>
          </w:tcPr>
          <w:p w14:paraId="11B1207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408765E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□要求</w:t>
            </w:r>
          </w:p>
          <w:p w14:paraId="673C8926">
            <w:pPr>
              <w:widowControl/>
              <w:wordWrap w:val="0"/>
              <w:topLinePunct/>
              <w:spacing w:after="120"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缴纳金额：</w:t>
            </w:r>
            <w:r>
              <w:rPr>
                <w:rFonts w:hint="eastAsia" w:ascii="宋体" w:hAnsi="宋体" w:eastAsia="宋体" w:cs="宋体"/>
                <w:color w:val="auto"/>
                <w:kern w:val="0"/>
                <w:szCs w:val="21"/>
                <w:highlight w:val="none"/>
                <w:u w:val="single"/>
                <w:lang w:val="zh-CN"/>
              </w:rPr>
              <w:t>/。</w:t>
            </w:r>
          </w:p>
          <w:p w14:paraId="1E5BAD2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4CAE2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49744D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3.4.4</w:t>
            </w:r>
          </w:p>
        </w:tc>
        <w:tc>
          <w:tcPr>
            <w:tcW w:w="1065" w:type="pct"/>
            <w:vAlign w:val="center"/>
          </w:tcPr>
          <w:p w14:paraId="5CA3F26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其他可以不予退还投标保证金的情形</w:t>
            </w:r>
          </w:p>
        </w:tc>
        <w:tc>
          <w:tcPr>
            <w:tcW w:w="3493" w:type="pct"/>
            <w:vAlign w:val="center"/>
          </w:tcPr>
          <w:p w14:paraId="2FD2ECC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408EA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2448832">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p>
        </w:tc>
        <w:tc>
          <w:tcPr>
            <w:tcW w:w="1065" w:type="pct"/>
            <w:vAlign w:val="center"/>
          </w:tcPr>
          <w:p w14:paraId="7382619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资格审查资料的特殊要求</w:t>
            </w:r>
          </w:p>
        </w:tc>
        <w:tc>
          <w:tcPr>
            <w:tcW w:w="3493" w:type="pct"/>
            <w:vAlign w:val="center"/>
          </w:tcPr>
          <w:p w14:paraId="2134E3C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■无</w:t>
            </w:r>
          </w:p>
          <w:p w14:paraId="3BAB6CB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□有，具体要求：</w:t>
            </w:r>
          </w:p>
        </w:tc>
      </w:tr>
      <w:tr w14:paraId="74D47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B60EBF0">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3.5.2</w:t>
            </w:r>
          </w:p>
        </w:tc>
        <w:tc>
          <w:tcPr>
            <w:tcW w:w="1065" w:type="pct"/>
            <w:vAlign w:val="center"/>
          </w:tcPr>
          <w:p w14:paraId="56751E9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近年财务状况的年份要求</w:t>
            </w:r>
          </w:p>
        </w:tc>
        <w:tc>
          <w:tcPr>
            <w:tcW w:w="3493" w:type="pct"/>
            <w:vAlign w:val="center"/>
          </w:tcPr>
          <w:p w14:paraId="0898846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22E81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2ACAA5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w:t>
            </w:r>
          </w:p>
        </w:tc>
        <w:tc>
          <w:tcPr>
            <w:tcW w:w="1065" w:type="pct"/>
            <w:vAlign w:val="center"/>
          </w:tcPr>
          <w:p w14:paraId="73D9D4E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近年完成的类似项目情况的时间要求</w:t>
            </w:r>
          </w:p>
        </w:tc>
        <w:tc>
          <w:tcPr>
            <w:tcW w:w="3493" w:type="pct"/>
            <w:vAlign w:val="center"/>
          </w:tcPr>
          <w:p w14:paraId="10C0DAF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p>
        </w:tc>
      </w:tr>
      <w:tr w14:paraId="6C484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30EE76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p>
        </w:tc>
        <w:tc>
          <w:tcPr>
            <w:tcW w:w="1065" w:type="pct"/>
            <w:vAlign w:val="center"/>
          </w:tcPr>
          <w:p w14:paraId="42F7DA0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3493" w:type="pct"/>
            <w:vAlign w:val="center"/>
          </w:tcPr>
          <w:p w14:paraId="388F086F">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4A70A51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76489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7BB70F8">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3.7.3</w:t>
            </w:r>
          </w:p>
        </w:tc>
        <w:tc>
          <w:tcPr>
            <w:tcW w:w="1065" w:type="pct"/>
            <w:vAlign w:val="center"/>
          </w:tcPr>
          <w:p w14:paraId="4FCC1BB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投标文件签字或盖章要求</w:t>
            </w:r>
          </w:p>
        </w:tc>
        <w:tc>
          <w:tcPr>
            <w:tcW w:w="3493" w:type="pct"/>
            <w:vAlign w:val="center"/>
          </w:tcPr>
          <w:p w14:paraId="16E57B18">
            <w:pPr>
              <w:wordWrap w:val="0"/>
              <w:spacing w:line="276" w:lineRule="auto"/>
              <w:rPr>
                <w:rFonts w:ascii="宋体" w:hAnsi="宋体" w:eastAsia="宋体"/>
                <w:color w:val="auto"/>
                <w:szCs w:val="24"/>
                <w:highlight w:val="none"/>
                <w:u w:val="single"/>
              </w:rPr>
            </w:pPr>
            <w:r>
              <w:rPr>
                <w:rFonts w:ascii="宋体" w:hAnsi="宋体" w:eastAsia="宋体"/>
                <w:color w:val="auto"/>
                <w:szCs w:val="24"/>
                <w:highlight w:val="none"/>
                <w:u w:val="single"/>
              </w:rPr>
              <w:t>投标文件格式规定需个人签字的，应签字或签章后扫描上传</w:t>
            </w:r>
            <w:r>
              <w:rPr>
                <w:rFonts w:hint="eastAsia"/>
                <w:color w:val="auto"/>
                <w:szCs w:val="21"/>
                <w:highlight w:val="none"/>
                <w:u w:val="single"/>
              </w:rPr>
              <w:t>（</w:t>
            </w:r>
            <w:r>
              <w:rPr>
                <w:rFonts w:ascii="Calibri" w:hAnsi="Calibri" w:eastAsia="宋体" w:cs="Times New Roman"/>
                <w:color w:val="auto"/>
                <w:szCs w:val="24"/>
                <w:highlight w:val="none"/>
                <w:u w:val="single"/>
              </w:rPr>
              <w:t>可靠的电子签名与手写签名或者盖章具有同等的法律效力</w:t>
            </w:r>
            <w:r>
              <w:rPr>
                <w:rFonts w:hint="eastAsia"/>
                <w:color w:val="auto"/>
                <w:szCs w:val="21"/>
                <w:highlight w:val="none"/>
                <w:u w:val="single"/>
              </w:rPr>
              <w:t>）</w:t>
            </w:r>
            <w:r>
              <w:rPr>
                <w:rFonts w:ascii="宋体" w:hAnsi="宋体" w:eastAsia="宋体"/>
                <w:color w:val="auto"/>
                <w:szCs w:val="24"/>
                <w:highlight w:val="none"/>
                <w:u w:val="single"/>
              </w:rPr>
              <w:t>。投标文件格式规定盖单位公章的页面必须盖单位公章</w:t>
            </w:r>
            <w:r>
              <w:rPr>
                <w:rFonts w:hint="eastAsia" w:ascii="宋体" w:hAnsi="宋体" w:eastAsia="宋体"/>
                <w:color w:val="auto"/>
                <w:szCs w:val="24"/>
                <w:highlight w:val="none"/>
                <w:u w:val="single"/>
              </w:rPr>
              <w:t>或电子公章</w:t>
            </w:r>
            <w:r>
              <w:rPr>
                <w:rFonts w:ascii="宋体" w:hAnsi="宋体" w:eastAsia="宋体"/>
                <w:color w:val="auto"/>
                <w:szCs w:val="24"/>
                <w:highlight w:val="none"/>
                <w:u w:val="single"/>
              </w:rPr>
              <w:t>（公章与电子公章具有相同法律效力）</w:t>
            </w:r>
            <w:r>
              <w:rPr>
                <w:rFonts w:hint="eastAsia" w:ascii="宋体" w:hAnsi="宋体" w:eastAsia="宋体"/>
                <w:color w:val="auto"/>
                <w:szCs w:val="24"/>
                <w:highlight w:val="none"/>
                <w:u w:val="single"/>
              </w:rPr>
              <w:t>。</w:t>
            </w:r>
          </w:p>
        </w:tc>
      </w:tr>
      <w:tr w14:paraId="6880C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15E729F6">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4.1.2</w:t>
            </w:r>
          </w:p>
        </w:tc>
        <w:tc>
          <w:tcPr>
            <w:tcW w:w="1065" w:type="pct"/>
            <w:vAlign w:val="center"/>
          </w:tcPr>
          <w:p w14:paraId="5C7D419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封套上应载明的信息（适用于提交备用光盘或U盘的情况）</w:t>
            </w:r>
          </w:p>
        </w:tc>
        <w:tc>
          <w:tcPr>
            <w:tcW w:w="3493" w:type="pct"/>
            <w:vAlign w:val="center"/>
          </w:tcPr>
          <w:p w14:paraId="47E4FB73">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如有提交投标文件光盘备用，封套上应注明如下信息：</w:t>
            </w:r>
          </w:p>
          <w:p w14:paraId="23FCAEA8">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刻录好的投标文件光盘分别密封在不透明的密封袋并作标记，其中：</w:t>
            </w:r>
          </w:p>
          <w:p w14:paraId="28BD629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1.“商务文件（含资格审查文件）光盘”应在密封袋上写明（1）招标人名称；（2）“[项目名称] 商务文件（含资格审查文件）光盘”字样；（3）投标人名称；并在封口处加盖投标人单位公章；</w:t>
            </w:r>
          </w:p>
          <w:p w14:paraId="1FD6872F">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2.“技术文件光盘”、“保密文件光盘”应仅在密封袋上写明“[项目名称][技术文件光盘或保密文件光盘]”字样，并不得盖章或加具其它可以识别投标人身份的标记。</w:t>
            </w:r>
          </w:p>
        </w:tc>
      </w:tr>
      <w:tr w14:paraId="09547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592ECC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4.2.1</w:t>
            </w:r>
          </w:p>
        </w:tc>
        <w:tc>
          <w:tcPr>
            <w:tcW w:w="1065" w:type="pct"/>
            <w:vAlign w:val="center"/>
          </w:tcPr>
          <w:p w14:paraId="22DD7FC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3493" w:type="pct"/>
            <w:vAlign w:val="center"/>
          </w:tcPr>
          <w:p w14:paraId="0EC6C098">
            <w:pPr>
              <w:wordWrap w:val="0"/>
              <w:spacing w:line="276" w:lineRule="auto"/>
              <w:rPr>
                <w:rFonts w:ascii="宋体" w:hAnsi="宋体" w:eastAsia="宋体" w:cs="宋体"/>
                <w:color w:val="auto"/>
                <w:szCs w:val="21"/>
                <w:highlight w:val="none"/>
              </w:rPr>
            </w:pPr>
            <w:r>
              <w:rPr>
                <w:rFonts w:ascii="宋体" w:hAnsi="Times New Roman" w:eastAsia="宋体"/>
                <w:color w:val="auto"/>
                <w:szCs w:val="24"/>
                <w:highlight w:val="none"/>
              </w:rPr>
              <w:t>投标截止时间：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分（北京时间）</w:t>
            </w:r>
            <w:r>
              <w:rPr>
                <w:rFonts w:hint="eastAsia" w:ascii="Times New Roman" w:hAnsi="Times New Roman"/>
                <w:color w:val="auto"/>
                <w:szCs w:val="21"/>
                <w:highlight w:val="none"/>
                <w:u w:val="single"/>
                <w:lang w:eastAsia="zh-CN"/>
              </w:rPr>
              <w:t>（</w:t>
            </w:r>
            <w:r>
              <w:rPr>
                <w:rFonts w:hint="eastAsia" w:ascii="宋体" w:hAnsi="宋体" w:eastAsia="宋体" w:cs="宋体"/>
                <w:color w:val="auto"/>
                <w:kern w:val="0"/>
                <w:szCs w:val="21"/>
                <w:highlight w:val="none"/>
                <w:shd w:val="clear" w:color="auto" w:fill="FFFFFF"/>
                <w:lang w:val="en-US" w:eastAsia="zh-CN" w:bidi="ar"/>
              </w:rPr>
              <w:t>具体</w:t>
            </w:r>
            <w:r>
              <w:rPr>
                <w:rFonts w:hint="eastAsia" w:ascii="宋体" w:hAnsi="宋体" w:eastAsia="宋体" w:cs="宋体"/>
                <w:color w:val="auto"/>
                <w:kern w:val="0"/>
                <w:szCs w:val="21"/>
                <w:highlight w:val="none"/>
                <w:u w:val="single"/>
                <w:shd w:val="clear" w:color="auto" w:fill="FFFFFF"/>
                <w:lang w:val="en-US" w:eastAsia="zh-CN" w:bidi="ar"/>
              </w:rPr>
              <w:t>时间</w:t>
            </w:r>
            <w:r>
              <w:rPr>
                <w:rFonts w:hint="eastAsia" w:ascii="宋体" w:hAnsi="宋体" w:eastAsia="宋体" w:cs="宋体"/>
                <w:color w:val="auto"/>
                <w:kern w:val="0"/>
                <w:szCs w:val="21"/>
                <w:highlight w:val="none"/>
                <w:u w:val="single"/>
                <w:shd w:val="clear" w:color="auto" w:fill="FFFFFF"/>
                <w:lang w:bidi="ar"/>
              </w:rPr>
              <w:t>安排以广州交易集团有限公司（广州公共资源交易中心）网站中“建设工程”→“项目查询（日程安排、答疑纪要）”公布的为准</w:t>
            </w:r>
            <w:r>
              <w:rPr>
                <w:rFonts w:hint="eastAsia" w:ascii="Times New Roman" w:hAnsi="Times New Roman"/>
                <w:color w:val="auto"/>
                <w:szCs w:val="21"/>
                <w:highlight w:val="none"/>
                <w:u w:val="single"/>
                <w:lang w:eastAsia="zh-CN"/>
              </w:rPr>
              <w:t>）</w:t>
            </w:r>
            <w:r>
              <w:rPr>
                <w:rFonts w:hint="eastAsia" w:ascii="宋体" w:hAnsi="宋体" w:eastAsia="宋体" w:cs="宋体"/>
                <w:color w:val="auto"/>
                <w:szCs w:val="21"/>
                <w:highlight w:val="none"/>
              </w:rPr>
              <w:t>，以广州交易集团有限公司（广州公共资源交易中心）网站发布信息为准。</w:t>
            </w:r>
          </w:p>
        </w:tc>
      </w:tr>
      <w:tr w14:paraId="6B7F2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73913CC">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1065" w:type="pct"/>
            <w:vAlign w:val="center"/>
          </w:tcPr>
          <w:p w14:paraId="29A1B67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开标时间和地点</w:t>
            </w:r>
          </w:p>
        </w:tc>
        <w:tc>
          <w:tcPr>
            <w:tcW w:w="3493" w:type="pct"/>
            <w:vAlign w:val="center"/>
          </w:tcPr>
          <w:p w14:paraId="3C1E33E7">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1.开标时间：</w:t>
            </w:r>
            <w:r>
              <w:rPr>
                <w:rFonts w:hint="eastAsia" w:ascii="宋体" w:hAnsi="宋体" w:eastAsia="宋体" w:cs="宋体"/>
                <w:color w:val="auto"/>
                <w:szCs w:val="21"/>
                <w:highlight w:val="none"/>
                <w:u w:val="single"/>
                <w:lang w:bidi="ar"/>
              </w:rPr>
              <w:t>同投标截止时间</w:t>
            </w:r>
          </w:p>
          <w:p w14:paraId="28A30ED5">
            <w:pPr>
              <w:wordWrap w:val="0"/>
              <w:spacing w:line="276" w:lineRule="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lang w:bidi="ar"/>
              </w:rPr>
              <w:t>2.开标地点：</w:t>
            </w:r>
            <w:r>
              <w:rPr>
                <w:rFonts w:hint="eastAsia" w:ascii="宋体" w:hAnsi="宋体" w:eastAsia="宋体" w:cs="宋体"/>
                <w:color w:val="auto"/>
                <w:szCs w:val="21"/>
                <w:highlight w:val="none"/>
                <w:u w:val="single"/>
                <w:lang w:bidi="ar"/>
              </w:rPr>
              <w:t>广州交易集团有限公司（广州公共资源交易中心）指定开标室。</w:t>
            </w:r>
          </w:p>
          <w:p w14:paraId="0F1C5D12">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3.递交投标文件备用光盘时间：____年____月____日____时____分至____年____月____日____时____分；递交地点：</w:t>
            </w:r>
            <w:r>
              <w:rPr>
                <w:rFonts w:hint="eastAsia" w:ascii="宋体" w:hAnsi="宋体" w:eastAsia="宋体" w:cs="宋体"/>
                <w:color w:val="auto"/>
                <w:szCs w:val="21"/>
                <w:highlight w:val="none"/>
                <w:u w:val="single"/>
                <w:lang w:bidi="ar"/>
              </w:rPr>
              <w:t>广州交易集团有限公司（广州公共资源交易中心）指定开标室</w:t>
            </w:r>
            <w:r>
              <w:rPr>
                <w:rFonts w:hint="eastAsia" w:ascii="宋体" w:hAnsi="宋体" w:eastAsia="宋体" w:cs="宋体"/>
                <w:color w:val="auto"/>
                <w:szCs w:val="21"/>
                <w:highlight w:val="none"/>
                <w:lang w:bidi="ar"/>
              </w:rPr>
              <w:t>(</w:t>
            </w:r>
            <w:r>
              <w:rPr>
                <w:rFonts w:hint="eastAsia" w:ascii="宋体" w:hAnsi="宋体" w:eastAsia="宋体" w:cs="宋体"/>
                <w:color w:val="auto"/>
                <w:kern w:val="0"/>
                <w:szCs w:val="21"/>
                <w:highlight w:val="none"/>
                <w:shd w:val="clear" w:color="auto" w:fill="FFFFFF"/>
                <w:lang w:val="en-US" w:eastAsia="zh-CN" w:bidi="ar"/>
              </w:rPr>
              <w:t>具体</w:t>
            </w:r>
            <w:r>
              <w:rPr>
                <w:rFonts w:hint="eastAsia" w:ascii="宋体" w:hAnsi="宋体" w:eastAsia="宋体" w:cs="宋体"/>
                <w:color w:val="auto"/>
                <w:kern w:val="0"/>
                <w:szCs w:val="21"/>
                <w:highlight w:val="none"/>
                <w:u w:val="single"/>
                <w:shd w:val="clear" w:color="auto" w:fill="FFFFFF"/>
                <w:lang w:val="en-US" w:eastAsia="zh-CN" w:bidi="ar"/>
              </w:rPr>
              <w:t>时间及场地</w:t>
            </w:r>
            <w:r>
              <w:rPr>
                <w:rFonts w:hint="eastAsia" w:ascii="宋体" w:hAnsi="宋体" w:eastAsia="宋体" w:cs="宋体"/>
                <w:color w:val="auto"/>
                <w:kern w:val="0"/>
                <w:szCs w:val="21"/>
                <w:highlight w:val="none"/>
                <w:u w:val="single"/>
                <w:shd w:val="clear" w:color="auto" w:fill="FFFFFF"/>
                <w:lang w:bidi="ar"/>
              </w:rPr>
              <w:t>安排以广州交易集团有限公司（广州公共资源交易中心）网站中“建设工程”→“项目查询（日程安排、答疑纪要）”公布的为准</w:t>
            </w:r>
            <w:r>
              <w:rPr>
                <w:rFonts w:hint="eastAsia" w:ascii="宋体" w:hAnsi="宋体" w:eastAsia="宋体" w:cs="宋体"/>
                <w:color w:val="auto"/>
                <w:szCs w:val="21"/>
                <w:highlight w:val="none"/>
                <w:lang w:bidi="ar"/>
              </w:rPr>
              <w:t>）。</w:t>
            </w:r>
          </w:p>
          <w:p w14:paraId="39B2629B">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4.提交投标文件光盘备用</w:t>
            </w:r>
          </w:p>
          <w:p w14:paraId="05F51007">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BD0C0A6">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5.补救方案</w:t>
            </w:r>
          </w:p>
          <w:p w14:paraId="7EAF873B">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459702E">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（2）评标时突发情况的补救方案：若遇不可抗力发生（指网络瘫痪、服务器损坏、交易系统故障短期无法恢复等因素），由评标委员会开启投标人递交的全部投标文件光盘，并按光盘内容进行评审。</w:t>
            </w:r>
          </w:p>
          <w:p w14:paraId="666B31A4">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（3）除发生上述情况外，开标评标均以投标人通过交易平台网上递交的电子投标文件为准。</w:t>
            </w:r>
          </w:p>
          <w:p w14:paraId="59ACFB0F">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6.开标时，投标人代表有权参加现场开标或在线开标，也可以自主决定不参加开标，投标人选择参加在线开标的，具体按照交易平台相关指南进行操作。</w:t>
            </w:r>
          </w:p>
          <w:p w14:paraId="6859AE6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7.上述时间及地点是否有改变，请密切留意补充公告或招标答疑纪要的相关信息。</w:t>
            </w:r>
          </w:p>
        </w:tc>
      </w:tr>
      <w:tr w14:paraId="360C2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205E8D6">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6.1.1</w:t>
            </w:r>
          </w:p>
        </w:tc>
        <w:tc>
          <w:tcPr>
            <w:tcW w:w="1065" w:type="pct"/>
            <w:vAlign w:val="center"/>
          </w:tcPr>
          <w:p w14:paraId="3665400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3493" w:type="pct"/>
            <w:vAlign w:val="center"/>
          </w:tcPr>
          <w:p w14:paraId="33AA3146">
            <w:pPr>
              <w:wordWrap w:val="0"/>
              <w:spacing w:line="276" w:lineRule="auto"/>
              <w:rPr>
                <w:rFonts w:hint="eastAsia" w:ascii="宋体" w:hAnsi="宋体" w:eastAsia="宋体" w:cs="宋体"/>
                <w:color w:val="auto"/>
                <w:szCs w:val="21"/>
                <w:highlight w:val="none"/>
                <w:u w:val="single"/>
                <w:lang w:bidi="ar"/>
              </w:rPr>
            </w:pPr>
            <w:bookmarkStart w:id="11" w:name="OLE_LINK32"/>
            <w:r>
              <w:rPr>
                <w:rFonts w:hint="eastAsia" w:ascii="宋体" w:hAnsi="宋体" w:eastAsia="宋体" w:cs="宋体"/>
                <w:color w:val="auto"/>
                <w:szCs w:val="21"/>
                <w:highlight w:val="none"/>
                <w:u w:val="single"/>
                <w:lang w:bidi="ar"/>
              </w:rPr>
              <w:t>评标委员会构成：</w:t>
            </w:r>
            <w:r>
              <w:rPr>
                <w:rFonts w:hint="eastAsia" w:ascii="宋体" w:hAnsi="宋体" w:eastAsia="宋体" w:cs="宋体"/>
                <w:color w:val="auto"/>
                <w:szCs w:val="21"/>
                <w:highlight w:val="none"/>
                <w:u w:val="single"/>
                <w:lang w:val="en-US" w:eastAsia="zh-CN" w:bidi="ar"/>
              </w:rPr>
              <w:t>7</w:t>
            </w:r>
            <w:r>
              <w:rPr>
                <w:rFonts w:hint="eastAsia" w:ascii="宋体" w:hAnsi="宋体" w:eastAsia="宋体" w:cs="宋体"/>
                <w:color w:val="auto"/>
                <w:szCs w:val="21"/>
                <w:highlight w:val="none"/>
                <w:u w:val="single"/>
                <w:lang w:bidi="ar"/>
              </w:rPr>
              <w:t>人</w:t>
            </w:r>
          </w:p>
          <w:p w14:paraId="6952E431">
            <w:pPr>
              <w:wordWrap w:val="0"/>
              <w:spacing w:line="276" w:lineRule="auto"/>
              <w:rPr>
                <w:rFonts w:hint="eastAsia"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其中招标人代表</w:t>
            </w:r>
            <w:r>
              <w:rPr>
                <w:rFonts w:hint="eastAsia" w:ascii="宋体" w:hAnsi="宋体" w:eastAsia="宋体" w:cs="宋体"/>
                <w:color w:val="auto"/>
                <w:szCs w:val="21"/>
                <w:highlight w:val="none"/>
                <w:u w:val="single"/>
                <w:lang w:val="en-US" w:eastAsia="zh-CN" w:bidi="ar"/>
              </w:rPr>
              <w:t>2</w:t>
            </w:r>
            <w:r>
              <w:rPr>
                <w:rFonts w:hint="eastAsia" w:ascii="宋体" w:hAnsi="宋体" w:eastAsia="宋体" w:cs="宋体"/>
                <w:color w:val="auto"/>
                <w:szCs w:val="21"/>
                <w:highlight w:val="none"/>
                <w:u w:val="single"/>
                <w:lang w:bidi="ar"/>
              </w:rPr>
              <w:t>人，专家</w:t>
            </w:r>
            <w:r>
              <w:rPr>
                <w:rFonts w:hint="eastAsia" w:ascii="宋体" w:hAnsi="宋体" w:eastAsia="宋体" w:cs="宋体"/>
                <w:color w:val="auto"/>
                <w:szCs w:val="21"/>
                <w:highlight w:val="none"/>
                <w:u w:val="single"/>
                <w:lang w:val="en-US" w:eastAsia="zh-CN" w:bidi="ar"/>
              </w:rPr>
              <w:t>5</w:t>
            </w:r>
            <w:r>
              <w:rPr>
                <w:rFonts w:hint="eastAsia" w:ascii="宋体" w:hAnsi="宋体" w:eastAsia="宋体" w:cs="宋体"/>
                <w:color w:val="auto"/>
                <w:szCs w:val="21"/>
                <w:highlight w:val="none"/>
                <w:u w:val="single"/>
                <w:lang w:bidi="ar"/>
              </w:rPr>
              <w:t>人；</w:t>
            </w:r>
          </w:p>
          <w:p w14:paraId="55649D67">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评标专家确定方式：由招标人依法抽取</w:t>
            </w:r>
            <w:bookmarkEnd w:id="11"/>
          </w:p>
        </w:tc>
      </w:tr>
      <w:tr w14:paraId="53801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44C0C8F7">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6.3.2</w:t>
            </w:r>
          </w:p>
        </w:tc>
        <w:tc>
          <w:tcPr>
            <w:tcW w:w="1065" w:type="pct"/>
            <w:vAlign w:val="center"/>
          </w:tcPr>
          <w:p w14:paraId="42A24FD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评标委员会推荐中标候选人的人数</w:t>
            </w:r>
          </w:p>
        </w:tc>
        <w:tc>
          <w:tcPr>
            <w:tcW w:w="3493" w:type="pct"/>
            <w:vAlign w:val="center"/>
          </w:tcPr>
          <w:p w14:paraId="00E9B00F">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推荐3名中标候选人</w:t>
            </w:r>
          </w:p>
        </w:tc>
      </w:tr>
      <w:tr w14:paraId="28880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5E68229">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065" w:type="pct"/>
            <w:vAlign w:val="center"/>
          </w:tcPr>
          <w:p w14:paraId="324C03B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中标候选人公示媒介及期限</w:t>
            </w:r>
          </w:p>
        </w:tc>
        <w:tc>
          <w:tcPr>
            <w:tcW w:w="3493" w:type="pct"/>
            <w:vAlign w:val="center"/>
          </w:tcPr>
          <w:p w14:paraId="7592016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公示媒介：</w:t>
            </w:r>
            <w:r>
              <w:rPr>
                <w:rFonts w:hint="eastAsia" w:ascii="宋体" w:hAnsi="宋体" w:eastAsia="宋体" w:cs="宋体"/>
                <w:color w:val="auto"/>
                <w:szCs w:val="21"/>
                <w:highlight w:val="none"/>
                <w:u w:val="single"/>
                <w:lang w:bidi="ar"/>
              </w:rPr>
              <w:t>广州交易集团有限公司（广州公共资源交易中心）网</w:t>
            </w:r>
            <w:r>
              <w:rPr>
                <w:rFonts w:hint="eastAsia" w:ascii="宋体" w:hAnsi="宋体" w:eastAsia="宋体" w:cs="宋体"/>
                <w:color w:val="auto"/>
                <w:szCs w:val="21"/>
                <w:highlight w:val="none"/>
                <w:u w:val="single"/>
                <w:lang w:val="en-US" w:eastAsia="zh-CN" w:bidi="ar"/>
              </w:rPr>
              <w:t>站</w:t>
            </w:r>
            <w:r>
              <w:rPr>
                <w:rFonts w:hint="eastAsia" w:ascii="宋体" w:hAnsi="宋体" w:eastAsia="宋体" w:cs="宋体"/>
                <w:color w:val="auto"/>
                <w:szCs w:val="21"/>
                <w:highlight w:val="none"/>
                <w:u w:val="single"/>
                <w:lang w:bidi="ar"/>
              </w:rPr>
              <w:t>、广东省招标投标监管网、中国招标投标公共服务平台</w:t>
            </w:r>
          </w:p>
          <w:p w14:paraId="61D28AC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公示期限：</w:t>
            </w:r>
            <w:r>
              <w:rPr>
                <w:rFonts w:hint="eastAsia" w:ascii="宋体" w:hAnsi="宋体" w:eastAsia="宋体" w:cs="宋体"/>
                <w:color w:val="auto"/>
                <w:szCs w:val="21"/>
                <w:highlight w:val="none"/>
                <w:u w:val="single"/>
                <w:lang w:bidi="ar"/>
              </w:rPr>
              <w:t xml:space="preserve"> 3 </w:t>
            </w:r>
            <w:r>
              <w:rPr>
                <w:rFonts w:hint="eastAsia" w:ascii="宋体" w:hAnsi="宋体" w:eastAsia="宋体" w:cs="宋体"/>
                <w:color w:val="auto"/>
                <w:szCs w:val="21"/>
                <w:highlight w:val="none"/>
                <w:lang w:bidi="ar"/>
              </w:rPr>
              <w:t>日（不少于3日，最后一天应为工作日）</w:t>
            </w:r>
          </w:p>
          <w:p w14:paraId="534311A9">
            <w:pPr>
              <w:wordWrap w:val="0"/>
              <w:spacing w:line="276" w:lineRule="auto"/>
              <w:rPr>
                <w:rFonts w:ascii="宋体" w:hAnsi="宋体" w:eastAsia="宋体" w:cs="宋体"/>
                <w:color w:val="auto"/>
                <w:szCs w:val="21"/>
                <w:highlight w:val="none"/>
              </w:rPr>
            </w:pPr>
          </w:p>
        </w:tc>
      </w:tr>
      <w:tr w14:paraId="324CC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BA482EC">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7.4</w:t>
            </w:r>
          </w:p>
        </w:tc>
        <w:tc>
          <w:tcPr>
            <w:tcW w:w="1065" w:type="pct"/>
            <w:vAlign w:val="center"/>
          </w:tcPr>
          <w:p w14:paraId="445E776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3493" w:type="pct"/>
            <w:vAlign w:val="center"/>
          </w:tcPr>
          <w:p w14:paraId="50AAB60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p w14:paraId="4E9FA684">
            <w:pPr>
              <w:wordWrap w:val="0"/>
              <w:spacing w:line="276"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rPr>
              <w:t>■否</w:t>
            </w:r>
          </w:p>
        </w:tc>
      </w:tr>
      <w:tr w14:paraId="7D759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6243E1F6">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7.6</w:t>
            </w:r>
          </w:p>
        </w:tc>
        <w:tc>
          <w:tcPr>
            <w:tcW w:w="1065" w:type="pct"/>
            <w:vAlign w:val="center"/>
          </w:tcPr>
          <w:p w14:paraId="7DAC7D6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技术成果经济补偿</w:t>
            </w:r>
          </w:p>
        </w:tc>
        <w:tc>
          <w:tcPr>
            <w:tcW w:w="3493" w:type="pct"/>
            <w:vAlign w:val="center"/>
          </w:tcPr>
          <w:p w14:paraId="6335884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■不补偿</w:t>
            </w:r>
          </w:p>
          <w:p w14:paraId="26E0AE3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□补偿，补偿标准： </w:t>
            </w:r>
          </w:p>
        </w:tc>
      </w:tr>
      <w:tr w14:paraId="6C04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5CA91E97">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7.7.1</w:t>
            </w:r>
          </w:p>
        </w:tc>
        <w:tc>
          <w:tcPr>
            <w:tcW w:w="1065" w:type="pct"/>
            <w:vAlign w:val="center"/>
          </w:tcPr>
          <w:p w14:paraId="398F410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3493" w:type="pct"/>
            <w:vAlign w:val="center"/>
          </w:tcPr>
          <w:p w14:paraId="637651BC">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是否要求中标人提交履约保证金：</w:t>
            </w:r>
          </w:p>
          <w:p w14:paraId="33ED91E9">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■要求，履约保证金的形式：</w:t>
            </w:r>
            <w:r>
              <w:rPr>
                <w:rFonts w:hint="eastAsia" w:ascii="宋体" w:hAnsi="宋体" w:eastAsia="宋体" w:cs="Times New Roman"/>
                <w:color w:val="auto"/>
                <w:szCs w:val="21"/>
                <w:highlight w:val="none"/>
                <w:u w:val="single"/>
              </w:rPr>
              <w:t>按合同约定</w:t>
            </w:r>
            <w:r>
              <w:rPr>
                <w:rFonts w:hint="eastAsia" w:ascii="宋体" w:hAnsi="宋体" w:eastAsia="宋体" w:cs="宋体"/>
                <w:color w:val="auto"/>
                <w:szCs w:val="21"/>
                <w:highlight w:val="none"/>
                <w:u w:val="single"/>
              </w:rPr>
              <w:t>。</w:t>
            </w:r>
          </w:p>
          <w:p w14:paraId="72B0AA9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履约保证金的金额：</w:t>
            </w:r>
            <w:r>
              <w:rPr>
                <w:rFonts w:hint="eastAsia" w:ascii="宋体" w:hAnsi="宋体" w:eastAsia="宋体" w:cs="Times New Roman"/>
                <w:color w:val="auto"/>
                <w:szCs w:val="21"/>
                <w:highlight w:val="none"/>
                <w:u w:val="single"/>
              </w:rPr>
              <w:t>合同暂定总价（含税）的</w:t>
            </w:r>
            <w:r>
              <w:rPr>
                <w:rFonts w:ascii="宋体" w:hAnsi="宋体" w:eastAsia="宋体" w:cs="Times New Roman"/>
                <w:color w:val="auto"/>
                <w:szCs w:val="21"/>
                <w:highlight w:val="none"/>
                <w:u w:val="single"/>
              </w:rPr>
              <w:t>10%</w:t>
            </w:r>
            <w:r>
              <w:rPr>
                <w:rFonts w:hint="eastAsia" w:ascii="宋体" w:hAnsi="宋体" w:eastAsia="宋体" w:cs="宋体"/>
                <w:color w:val="auto"/>
                <w:szCs w:val="21"/>
                <w:highlight w:val="none"/>
                <w:u w:val="single"/>
              </w:rPr>
              <w:t>。</w:t>
            </w:r>
          </w:p>
          <w:p w14:paraId="4DEE42A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□不要求</w:t>
            </w:r>
          </w:p>
        </w:tc>
      </w:tr>
      <w:tr w14:paraId="72EB7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3B632E50">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065" w:type="pct"/>
            <w:vAlign w:val="center"/>
          </w:tcPr>
          <w:p w14:paraId="586221D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是否采用电子招标投标</w:t>
            </w:r>
          </w:p>
        </w:tc>
        <w:tc>
          <w:tcPr>
            <w:tcW w:w="3493" w:type="pct"/>
            <w:vAlign w:val="center"/>
          </w:tcPr>
          <w:p w14:paraId="6AC0008A">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□否</w:t>
            </w:r>
          </w:p>
          <w:p w14:paraId="713D6D9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■是</w:t>
            </w:r>
          </w:p>
        </w:tc>
      </w:tr>
      <w:tr w14:paraId="1088A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111CA8E">
            <w:pPr>
              <w:wordWrap w:val="0"/>
              <w:autoSpaceDE w:val="0"/>
              <w:autoSpaceDN w:val="0"/>
              <w:spacing w:line="276"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4559" w:type="pct"/>
            <w:gridSpan w:val="2"/>
            <w:vAlign w:val="center"/>
          </w:tcPr>
          <w:p w14:paraId="4D8CD62B">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需要补充的其他内容</w:t>
            </w:r>
          </w:p>
        </w:tc>
      </w:tr>
      <w:tr w14:paraId="36BA3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2362B0E3">
            <w:pPr>
              <w:wordWrap w:val="0"/>
              <w:autoSpaceDE w:val="0"/>
              <w:autoSpaceDN w:val="0"/>
              <w:spacing w:line="276" w:lineRule="auto"/>
              <w:jc w:val="center"/>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.1</w:t>
            </w:r>
          </w:p>
        </w:tc>
        <w:tc>
          <w:tcPr>
            <w:tcW w:w="1065" w:type="pct"/>
            <w:vAlign w:val="center"/>
          </w:tcPr>
          <w:p w14:paraId="7CECBE46">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特别提示</w:t>
            </w:r>
          </w:p>
        </w:tc>
        <w:tc>
          <w:tcPr>
            <w:tcW w:w="3493" w:type="pct"/>
            <w:vAlign w:val="center"/>
          </w:tcPr>
          <w:p w14:paraId="7C6CA45B">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投标人在本项目招标人的工程项目中存在下列行为的，将被拒绝一年内参与我单位后续工程投标。（注：拒绝投标时限自招标人发出通知之日起计）：</w:t>
            </w:r>
          </w:p>
          <w:p w14:paraId="1A62D77D">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1）将中标工程转包或者违法分包的；</w:t>
            </w:r>
          </w:p>
          <w:p w14:paraId="678F9647">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2）在中标工程中不执行质量、安全生产相关规定的，造成质量或安全事故的；</w:t>
            </w:r>
          </w:p>
          <w:p w14:paraId="088F4F13">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3）出让投标资格的；</w:t>
            </w:r>
          </w:p>
          <w:p w14:paraId="4C628705">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4）存在围标或串标情形的；</w:t>
            </w:r>
          </w:p>
          <w:p w14:paraId="6BCC8D78">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5）在投标文件中提供虚假材料的；</w:t>
            </w:r>
          </w:p>
          <w:p w14:paraId="56D56A32">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6）存在少放、不放业绩、奖项等客观评审资料，减少自身竞争力情形的；</w:t>
            </w:r>
          </w:p>
          <w:p w14:paraId="1E16BB20">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7）存在行贿情形的；</w:t>
            </w:r>
          </w:p>
          <w:p w14:paraId="3D87172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8）拖欠农民工工资的；</w:t>
            </w:r>
          </w:p>
          <w:p w14:paraId="0B5FAB69">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9）未按照国家、省、市有关建筑施工实名制管理和工人工资支付分账管理的规定执行，被行政监管部门处罚的。</w:t>
            </w:r>
          </w:p>
        </w:tc>
      </w:tr>
      <w:tr w14:paraId="61064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7D8B85CD">
            <w:pPr>
              <w:wordWrap w:val="0"/>
              <w:autoSpaceDE w:val="0"/>
              <w:autoSpaceDN w:val="0"/>
              <w:spacing w:line="276" w:lineRule="auto"/>
              <w:jc w:val="center"/>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u w:val="single"/>
                <w:lang w:val="en-US" w:eastAsia="zh-CN"/>
              </w:rPr>
              <w:t>11</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2</w:t>
            </w:r>
          </w:p>
        </w:tc>
        <w:tc>
          <w:tcPr>
            <w:tcW w:w="1065" w:type="pct"/>
            <w:vAlign w:val="center"/>
          </w:tcPr>
          <w:p w14:paraId="3F649F5B">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tc>
        <w:tc>
          <w:tcPr>
            <w:tcW w:w="3493" w:type="pct"/>
            <w:vAlign w:val="center"/>
          </w:tcPr>
          <w:p w14:paraId="1ABC752C">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1、招标公告、招标文件、答疑纪要等招标资料全部发布在广州交易集团有限公司（广州公共资源交易中心）网站，由投标人自行下载查阅。</w:t>
            </w:r>
          </w:p>
          <w:p w14:paraId="3FAF28EE">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lang w:bidi="ar"/>
              </w:rPr>
              <w:t>2、投标截止时间、开标时间和地点：发布在广州交易集团有限公司（广州公共资源交易中心）网站（具体在网站主页“建设工程”中“项目查询”输入“项目名称”或“项目编号”进行查询）。</w:t>
            </w:r>
          </w:p>
          <w:p w14:paraId="489610CF">
            <w:pPr>
              <w:wordWrap w:val="0"/>
              <w:spacing w:line="276" w:lineRule="auto"/>
              <w:rPr>
                <w:rFonts w:ascii="宋体" w:hAnsi="宋体" w:eastAsia="宋体" w:cs="宋体"/>
                <w:color w:val="auto"/>
                <w:szCs w:val="21"/>
                <w:highlight w:val="none"/>
                <w:u w:val="single"/>
                <w:lang w:bidi="ar"/>
              </w:rPr>
            </w:pPr>
            <w:r>
              <w:rPr>
                <w:rFonts w:hint="eastAsia" w:ascii="宋体" w:hAnsi="宋体" w:eastAsia="宋体" w:cs="宋体"/>
                <w:color w:val="auto"/>
                <w:szCs w:val="21"/>
                <w:highlight w:val="none"/>
                <w:u w:val="single"/>
                <w:lang w:bidi="ar"/>
              </w:rPr>
              <w:t>3、中标后，中标单位须提交与网上上传电子投标文件完全一致的纸质投标文件（一式四份，加盖公章）至招标人。</w:t>
            </w:r>
          </w:p>
        </w:tc>
      </w:tr>
      <w:tr w14:paraId="043EC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440" w:type="pct"/>
            <w:vAlign w:val="center"/>
          </w:tcPr>
          <w:p w14:paraId="07808E34">
            <w:pPr>
              <w:wordWrap w:val="0"/>
              <w:autoSpaceDE w:val="0"/>
              <w:autoSpaceDN w:val="0"/>
              <w:spacing w:line="276" w:lineRule="auto"/>
              <w:jc w:val="center"/>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u w:val="single"/>
                <w:lang w:val="en-US" w:eastAsia="zh-CN"/>
              </w:rPr>
              <w:t>11</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val="en-US" w:eastAsia="zh-CN"/>
              </w:rPr>
              <w:t>3</w:t>
            </w:r>
          </w:p>
        </w:tc>
        <w:tc>
          <w:tcPr>
            <w:tcW w:w="1065" w:type="pct"/>
            <w:vAlign w:val="center"/>
          </w:tcPr>
          <w:p w14:paraId="38791649">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其他费用</w:t>
            </w:r>
          </w:p>
        </w:tc>
        <w:tc>
          <w:tcPr>
            <w:tcW w:w="3493" w:type="pct"/>
            <w:vAlign w:val="center"/>
          </w:tcPr>
          <w:p w14:paraId="09F61451">
            <w:pPr>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交易服务费：</w:t>
            </w:r>
            <w:r>
              <w:rPr>
                <w:rFonts w:hint="eastAsia" w:ascii="宋体" w:hAnsi="宋体" w:eastAsia="宋体" w:cs="宋体"/>
                <w:color w:val="auto"/>
                <w:kern w:val="0"/>
                <w:szCs w:val="21"/>
                <w:highlight w:val="none"/>
                <w:u w:val="single"/>
              </w:rPr>
              <w:t>由中标单位支付。</w:t>
            </w:r>
          </w:p>
          <w:p w14:paraId="1FD0F420">
            <w:pPr>
              <w:wordWrap w:val="0"/>
              <w:spacing w:line="276"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招标代理费：</w:t>
            </w:r>
            <w:r>
              <w:rPr>
                <w:rFonts w:hint="eastAsia" w:ascii="宋体" w:hAnsi="宋体" w:eastAsia="宋体" w:cs="宋体"/>
                <w:color w:val="auto"/>
                <w:kern w:val="0"/>
                <w:szCs w:val="21"/>
                <w:highlight w:val="none"/>
                <w:u w:val="single"/>
              </w:rPr>
              <w:t>由中标人支付，金额以招标人与招标代理机构签订的招标代理合同为准。</w:t>
            </w:r>
          </w:p>
        </w:tc>
      </w:tr>
    </w:tbl>
    <w:p w14:paraId="5DCF6AED">
      <w:pPr>
        <w:wordWrap w:val="0"/>
        <w:ind w:left="420" w:leftChars="200"/>
        <w:rPr>
          <w:rFonts w:ascii="宋体" w:hAnsi="宋体" w:eastAsia="宋体" w:cs="宋体"/>
          <w:color w:val="auto"/>
          <w:szCs w:val="24"/>
          <w:highlight w:val="none"/>
        </w:rPr>
      </w:pPr>
    </w:p>
    <w:p w14:paraId="5B4D05DE">
      <w:pPr>
        <w:widowControl/>
        <w:jc w:val="left"/>
        <w:rPr>
          <w:rFonts w:ascii="宋体" w:hAnsi="宋体" w:eastAsia="宋体" w:cs="宋体"/>
          <w:color w:val="auto"/>
          <w:szCs w:val="24"/>
          <w:highlight w:val="none"/>
        </w:rPr>
      </w:pPr>
      <w:r>
        <w:rPr>
          <w:rFonts w:hint="eastAsia" w:ascii="宋体" w:hAnsi="宋体" w:eastAsia="宋体" w:cs="宋体"/>
          <w:color w:val="auto"/>
          <w:szCs w:val="24"/>
          <w:highlight w:val="none"/>
        </w:rPr>
        <w:br w:type="page"/>
      </w:r>
    </w:p>
    <w:p w14:paraId="20B29A74">
      <w:pPr>
        <w:pStyle w:val="3"/>
        <w:rPr>
          <w:color w:val="auto"/>
          <w:highlight w:val="none"/>
        </w:rPr>
      </w:pPr>
      <w:r>
        <w:rPr>
          <w:color w:val="auto"/>
          <w:highlight w:val="none"/>
        </w:rPr>
        <w:t>投标须知修改表</w:t>
      </w:r>
    </w:p>
    <w:p w14:paraId="782A13FD">
      <w:pPr>
        <w:pStyle w:val="43"/>
        <w:pBdr>
          <w:bottom w:val="single" w:color="auto" w:sz="6" w:space="1"/>
        </w:pBdr>
        <w:spacing w:after="0" w:line="360" w:lineRule="auto"/>
        <w:ind w:firstLine="0" w:firstLineChars="0"/>
        <w:rPr>
          <w:rFonts w:ascii="宋体" w:hAnsi="宋体"/>
          <w:bCs/>
          <w:color w:val="auto"/>
          <w:sz w:val="24"/>
          <w:szCs w:val="24"/>
          <w:highlight w:val="none"/>
        </w:rPr>
      </w:pPr>
      <w:r>
        <w:rPr>
          <w:rFonts w:ascii="宋体" w:hAnsi="宋体"/>
          <w:b/>
          <w:color w:val="auto"/>
          <w:sz w:val="24"/>
          <w:szCs w:val="24"/>
          <w:highlight w:val="none"/>
        </w:rPr>
        <w:t>本投标须知使用</w:t>
      </w:r>
      <w:r>
        <w:rPr>
          <w:rFonts w:hint="eastAsia" w:ascii="宋体" w:hAnsi="宋体"/>
          <w:b/>
          <w:color w:val="auto"/>
          <w:sz w:val="24"/>
          <w:szCs w:val="24"/>
          <w:highlight w:val="none"/>
        </w:rPr>
        <w:t>GZJTZB2025-1</w:t>
      </w:r>
      <w:r>
        <w:rPr>
          <w:rFonts w:ascii="宋体" w:hAnsi="宋体"/>
          <w:b/>
          <w:color w:val="auto"/>
          <w:sz w:val="24"/>
          <w:szCs w:val="24"/>
          <w:highlight w:val="none"/>
        </w:rPr>
        <w:t>招标文件范本的投标须知通用条款，与该通用条款不同之处，均在本表中列明，并以现文为准，原文不再有效。</w:t>
      </w:r>
      <w:r>
        <w:rPr>
          <w:rFonts w:hint="eastAsia" w:ascii="宋体" w:hAnsi="宋体"/>
          <w:bCs/>
          <w:color w:val="auto"/>
          <w:sz w:val="24"/>
          <w:szCs w:val="24"/>
          <w:highlight w:val="none"/>
        </w:rPr>
        <w:t>（注：招标人按《投标须知修改表》修改的内容对应修改通用条款，属于删除的采用“</w:t>
      </w:r>
      <w:r>
        <w:rPr>
          <w:rFonts w:hint="eastAsia" w:ascii="宋体" w:hAnsi="宋体"/>
          <w:bCs/>
          <w:strike/>
          <w:color w:val="auto"/>
          <w:sz w:val="24"/>
          <w:szCs w:val="24"/>
          <w:highlight w:val="none"/>
        </w:rPr>
        <w:t xml:space="preserve">   </w:t>
      </w:r>
      <w:r>
        <w:rPr>
          <w:rFonts w:hint="eastAsia" w:ascii="宋体" w:hAnsi="宋体"/>
          <w:bCs/>
          <w:color w:val="auto"/>
          <w:sz w:val="24"/>
          <w:szCs w:val="24"/>
          <w:highlight w:val="none"/>
        </w:rPr>
        <w:t>”表示，如“</w:t>
      </w:r>
      <w:r>
        <w:rPr>
          <w:rFonts w:hint="eastAsia" w:ascii="宋体" w:hAnsi="宋体"/>
          <w:bCs/>
          <w:strike/>
          <w:color w:val="auto"/>
          <w:sz w:val="24"/>
          <w:szCs w:val="24"/>
          <w:highlight w:val="none"/>
        </w:rPr>
        <w:t>删除</w:t>
      </w:r>
      <w:r>
        <w:rPr>
          <w:rFonts w:hint="eastAsia" w:ascii="宋体" w:hAnsi="宋体"/>
          <w:bCs/>
          <w:color w:val="auto"/>
          <w:sz w:val="24"/>
          <w:szCs w:val="24"/>
          <w:highlight w:val="none"/>
        </w:rPr>
        <w:t>”；属于新增的内容，用</w:t>
      </w:r>
      <w:r>
        <w:rPr>
          <w:rFonts w:hint="eastAsia" w:ascii="宋体" w:hAnsi="宋体"/>
          <w:b/>
          <w:color w:val="auto"/>
          <w:sz w:val="24"/>
          <w:szCs w:val="24"/>
          <w:highlight w:val="none"/>
        </w:rPr>
        <w:t>黑色加粗</w:t>
      </w:r>
      <w:r>
        <w:rPr>
          <w:rFonts w:hint="eastAsia" w:ascii="宋体" w:hAnsi="宋体"/>
          <w:bCs/>
          <w:color w:val="auto"/>
          <w:sz w:val="24"/>
          <w:szCs w:val="24"/>
          <w:highlight w:val="none"/>
        </w:rPr>
        <w:t>字体显示,并加注下划线，如“</w:t>
      </w:r>
      <w:r>
        <w:rPr>
          <w:rFonts w:hint="eastAsia" w:ascii="宋体" w:hAnsi="宋体"/>
          <w:b/>
          <w:color w:val="auto"/>
          <w:sz w:val="24"/>
          <w:szCs w:val="24"/>
          <w:highlight w:val="none"/>
          <w:u w:val="single"/>
        </w:rPr>
        <w:t>新增修改</w:t>
      </w:r>
      <w:r>
        <w:rPr>
          <w:rFonts w:hint="eastAsia" w:ascii="宋体" w:hAnsi="宋体"/>
          <w:bCs/>
          <w:color w:val="auto"/>
          <w:sz w:val="24"/>
          <w:szCs w:val="24"/>
          <w:highlight w:val="none"/>
        </w:rPr>
        <w:t>”。）</w:t>
      </w:r>
    </w:p>
    <w:p w14:paraId="17F3CB1B">
      <w:pPr>
        <w:spacing w:beforeLines="0" w:afterLines="0" w:line="360" w:lineRule="auto"/>
        <w:ind w:firstLine="482" w:firstLineChars="200"/>
        <w:jc w:val="both"/>
        <w:rPr>
          <w:rFonts w:hint="default" w:ascii="宋体" w:hAnsi="宋体" w:eastAsia="宋体"/>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lang w:val="en-US" w:eastAsia="zh-CN"/>
        </w:rPr>
        <w:t>2.1</w:t>
      </w:r>
      <w:r>
        <w:rPr>
          <w:rFonts w:ascii="宋体" w:hAnsi="宋体" w:eastAsia="宋体"/>
          <w:b/>
          <w:bCs/>
          <w:color w:val="auto"/>
          <w:sz w:val="24"/>
          <w:szCs w:val="24"/>
          <w:highlight w:val="none"/>
        </w:rPr>
        <w:t xml:space="preserve">         修改类型：修改</w:t>
      </w:r>
    </w:p>
    <w:p w14:paraId="28600941">
      <w:pPr>
        <w:spacing w:line="360" w:lineRule="auto"/>
        <w:ind w:firstLine="426" w:firstLineChars="177"/>
        <w:rPr>
          <w:rFonts w:hint="eastAsia"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本招标文件包括：</w:t>
      </w:r>
    </w:p>
    <w:p w14:paraId="13A6741A">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（1）招标公告；</w:t>
      </w:r>
    </w:p>
    <w:p w14:paraId="4665993D">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（2）投标人须知；</w:t>
      </w:r>
    </w:p>
    <w:p w14:paraId="718C9315">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（3）评标办法；</w:t>
      </w:r>
    </w:p>
    <w:p w14:paraId="70ABF106">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（4）合同条款及格式；</w:t>
      </w:r>
    </w:p>
    <w:p w14:paraId="0215D335">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（5）委托人要求；</w:t>
      </w:r>
    </w:p>
    <w:p w14:paraId="46AEEC02">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（6）投标文件格式；</w:t>
      </w:r>
    </w:p>
    <w:p w14:paraId="65CE007B">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（7）投标人须知前附表规定的其他资料。</w:t>
      </w:r>
    </w:p>
    <w:p w14:paraId="5287DC15">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根据本章第 1.10 款、第 2.2 款和第 2.3 款对招标文件所作的澄清、修改，构成招标文件的组成部分。</w:t>
      </w:r>
    </w:p>
    <w:p w14:paraId="03FE7789">
      <w:pPr>
        <w:spacing w:line="360" w:lineRule="auto"/>
        <w:ind w:firstLine="426" w:firstLineChars="177"/>
        <w:rPr>
          <w:rFonts w:hint="eastAsia" w:ascii="宋体" w:hAnsi="宋体" w:eastAsia="宋体"/>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color w:val="auto"/>
          <w:sz w:val="24"/>
          <w:szCs w:val="24"/>
          <w:highlight w:val="none"/>
        </w:rPr>
        <w:t>本招标文件包括：</w:t>
      </w:r>
    </w:p>
    <w:p w14:paraId="3F17F1F0">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（1）招标公告；</w:t>
      </w:r>
    </w:p>
    <w:p w14:paraId="030E5336">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（2）投标人须知；</w:t>
      </w:r>
    </w:p>
    <w:p w14:paraId="255BE75E">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（3）评标办法；</w:t>
      </w:r>
    </w:p>
    <w:p w14:paraId="53023FB1">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（4）合同条款及格式；</w:t>
      </w:r>
    </w:p>
    <w:p w14:paraId="16A606CF">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w:t>
      </w:r>
      <w:r>
        <w:rPr>
          <w:rFonts w:hint="eastAsia" w:ascii="宋体" w:hAnsi="宋体" w:eastAsia="宋体" w:cs="宋体"/>
          <w:strike/>
          <w:color w:val="auto"/>
          <w:spacing w:val="-2"/>
          <w:kern w:val="0"/>
          <w:sz w:val="24"/>
          <w:szCs w:val="24"/>
          <w:highlight w:val="none"/>
        </w:rPr>
        <w:t>委托人</w:t>
      </w:r>
      <w:r>
        <w:rPr>
          <w:rFonts w:hint="eastAsia" w:ascii="宋体" w:hAnsi="宋体" w:eastAsia="宋体"/>
          <w:b/>
          <w:bCs/>
          <w:color w:val="auto"/>
          <w:sz w:val="24"/>
          <w:szCs w:val="24"/>
          <w:highlight w:val="none"/>
          <w:u w:val="single"/>
          <w:lang w:val="en-US" w:eastAsia="zh-CN"/>
        </w:rPr>
        <w:t>发包人</w:t>
      </w:r>
      <w:r>
        <w:rPr>
          <w:rFonts w:hint="eastAsia" w:ascii="宋体" w:hAnsi="宋体" w:eastAsia="宋体"/>
          <w:color w:val="auto"/>
          <w:sz w:val="24"/>
          <w:szCs w:val="24"/>
          <w:highlight w:val="none"/>
        </w:rPr>
        <w:t>要求；</w:t>
      </w:r>
    </w:p>
    <w:p w14:paraId="5389D0D9">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（6）投标文件格式；</w:t>
      </w:r>
    </w:p>
    <w:p w14:paraId="17D7D4C9">
      <w:pPr>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（7）投标人须知前附表规定的其他资料。</w:t>
      </w:r>
    </w:p>
    <w:p w14:paraId="0E4D4D42">
      <w:pPr>
        <w:pBdr>
          <w:bottom w:val="single" w:color="auto" w:sz="6" w:space="1"/>
        </w:pBdr>
        <w:spacing w:beforeLines="0" w:afterLines="0" w:line="360" w:lineRule="auto"/>
        <w:ind w:firstLine="537" w:firstLineChars="224"/>
        <w:jc w:val="both"/>
        <w:rPr>
          <w:rFonts w:hint="default" w:ascii="宋体" w:hAnsi="宋体" w:eastAsia="宋体"/>
          <w:color w:val="auto"/>
          <w:sz w:val="24"/>
          <w:szCs w:val="24"/>
          <w:highlight w:val="none"/>
        </w:rPr>
      </w:pPr>
      <w:r>
        <w:rPr>
          <w:rFonts w:hint="eastAsia" w:ascii="宋体" w:hAnsi="宋体" w:eastAsia="宋体"/>
          <w:color w:val="auto"/>
          <w:sz w:val="24"/>
          <w:szCs w:val="24"/>
          <w:highlight w:val="none"/>
        </w:rPr>
        <w:t>根据本章第 1.10 款、第 2.2 款和第 2.3 款对招标文件所作的澄清、修改，构成招标文件的组成部分。</w:t>
      </w:r>
    </w:p>
    <w:p w14:paraId="397FA57D">
      <w:pPr>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3.5.1至3.5.4</w:t>
      </w:r>
      <w:r>
        <w:rPr>
          <w:rFonts w:ascii="宋体" w:hAnsi="宋体" w:eastAsia="宋体"/>
          <w:b/>
          <w:bCs/>
          <w:color w:val="auto"/>
          <w:sz w:val="24"/>
          <w:szCs w:val="24"/>
          <w:highlight w:val="none"/>
        </w:rPr>
        <w:t xml:space="preserve">         修改类型：修改</w:t>
      </w:r>
    </w:p>
    <w:p w14:paraId="1D0EE0F4">
      <w:pPr>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olor w:val="auto"/>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14:paraId="79BA1694">
      <w:pPr>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14:paraId="4B604E32">
      <w:pPr>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14:paraId="452708A3">
      <w:pPr>
        <w:spacing w:line="360" w:lineRule="auto"/>
        <w:ind w:firstLine="424" w:firstLineChars="177"/>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3.5.4 投标人须知前附表规定接受联合体投标的，本章第3.5.1项至第3.5.3项规定的表格和资料应包括联合体各方相关情况。</w:t>
      </w:r>
    </w:p>
    <w:p w14:paraId="7E02D4A9">
      <w:pPr>
        <w:spacing w:line="360" w:lineRule="auto"/>
        <w:ind w:firstLine="426" w:firstLineChars="177"/>
        <w:rPr>
          <w:rFonts w:ascii="宋体" w:hAnsi="宋体" w:eastAsia="宋体"/>
          <w:strike/>
          <w:color w:val="auto"/>
          <w:sz w:val="24"/>
          <w:szCs w:val="24"/>
          <w:highlight w:val="none"/>
        </w:rPr>
      </w:pPr>
      <w:r>
        <w:rPr>
          <w:rFonts w:hint="eastAsia" w:ascii="宋体" w:hAnsi="宋体" w:eastAsia="宋体"/>
          <w:b/>
          <w:bCs/>
          <w:color w:val="auto"/>
          <w:sz w:val="24"/>
          <w:szCs w:val="24"/>
          <w:highlight w:val="none"/>
        </w:rPr>
        <w:t>现文：</w:t>
      </w:r>
      <w:r>
        <w:rPr>
          <w:rFonts w:hint="eastAsia" w:ascii="宋体" w:hAnsi="宋体" w:eastAsia="宋体"/>
          <w:strike/>
          <w:color w:val="auto"/>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14:paraId="6DC831B9">
      <w:pPr>
        <w:spacing w:line="360" w:lineRule="auto"/>
        <w:ind w:firstLine="424" w:firstLineChars="177"/>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14:paraId="5789AF32">
      <w:pPr>
        <w:spacing w:line="360" w:lineRule="auto"/>
        <w:ind w:firstLine="424" w:firstLineChars="177"/>
        <w:rPr>
          <w:rFonts w:ascii="宋体" w:hAnsi="宋体" w:eastAsia="宋体"/>
          <w:strike/>
          <w:color w:val="auto"/>
          <w:sz w:val="24"/>
          <w:szCs w:val="24"/>
          <w:highlight w:val="none"/>
        </w:rPr>
      </w:pPr>
      <w:r>
        <w:rPr>
          <w:rFonts w:hint="eastAsia" w:ascii="宋体" w:hAnsi="宋体" w:eastAsia="宋体"/>
          <w:strike/>
          <w:color w:val="auto"/>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社保证明文件，由招标人自行确定。）</w:t>
      </w:r>
    </w:p>
    <w:p w14:paraId="33177848">
      <w:pPr>
        <w:spacing w:line="360" w:lineRule="auto"/>
        <w:ind w:firstLine="424" w:firstLineChars="177"/>
        <w:rPr>
          <w:rFonts w:ascii="宋体" w:hAnsi="宋体" w:eastAsia="宋体"/>
          <w:b/>
          <w:bCs/>
          <w:strike/>
          <w:color w:val="auto"/>
          <w:sz w:val="24"/>
          <w:szCs w:val="24"/>
          <w:highlight w:val="none"/>
          <w:u w:val="single"/>
        </w:rPr>
      </w:pPr>
      <w:r>
        <w:rPr>
          <w:rFonts w:hint="eastAsia" w:ascii="宋体" w:hAnsi="宋体" w:eastAsia="宋体"/>
          <w:strike/>
          <w:color w:val="auto"/>
          <w:sz w:val="24"/>
          <w:szCs w:val="24"/>
          <w:highlight w:val="none"/>
        </w:rPr>
        <w:t>3.5.4 投标人须知前附表规定接受联合体投标的，本章第3.5.1项至第3.5.3项规定的表格和资料应包括联合体各方相关情况。</w:t>
      </w:r>
    </w:p>
    <w:p w14:paraId="4BF0FB24">
      <w:pPr>
        <w:pBdr>
          <w:bottom w:val="single" w:color="auto" w:sz="6" w:space="1"/>
        </w:pBdr>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3.5.1 资格审查资料详见第六章“投标文件格式”。</w:t>
      </w:r>
    </w:p>
    <w:p w14:paraId="5926569B">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14:paraId="0EFD0022">
      <w:pPr>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（以下无正文）</w:t>
      </w:r>
    </w:p>
    <w:p w14:paraId="373A1BEC">
      <w:pPr>
        <w:wordWrap w:val="0"/>
        <w:spacing w:line="360" w:lineRule="auto"/>
        <w:ind w:left="420" w:left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CA4D6EE">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2" w:name="_Toc111186724"/>
      <w:bookmarkStart w:id="13" w:name="_Toc193357939"/>
      <w:bookmarkStart w:id="14" w:name="_Toc3060"/>
      <w:r>
        <w:rPr>
          <w:rFonts w:hint="eastAsia" w:ascii="宋体" w:hAnsi="宋体" w:eastAsia="宋体" w:cs="宋体"/>
          <w:b/>
          <w:bCs/>
          <w:color w:val="auto"/>
          <w:kern w:val="0"/>
          <w:sz w:val="30"/>
          <w:szCs w:val="30"/>
          <w:highlight w:val="none"/>
          <w:lang w:val="zh-CN"/>
        </w:rPr>
        <w:t>1. 总则</w:t>
      </w:r>
      <w:bookmarkEnd w:id="12"/>
      <w:bookmarkEnd w:id="13"/>
      <w:bookmarkEnd w:id="14"/>
    </w:p>
    <w:p w14:paraId="3CC4FE7F">
      <w:pPr>
        <w:keepNext/>
        <w:keepLines/>
        <w:wordWrap w:val="0"/>
        <w:spacing w:before="260" w:line="416" w:lineRule="auto"/>
        <w:outlineLvl w:val="2"/>
        <w:rPr>
          <w:rFonts w:ascii="宋体" w:hAnsi="宋体" w:eastAsia="宋体" w:cs="宋体"/>
          <w:b/>
          <w:bCs/>
          <w:color w:val="auto"/>
          <w:spacing w:val="-2"/>
          <w:kern w:val="0"/>
          <w:sz w:val="24"/>
          <w:szCs w:val="24"/>
          <w:highlight w:val="none"/>
          <w:lang w:val="zh-CN"/>
        </w:rPr>
      </w:pPr>
      <w:bookmarkStart w:id="15" w:name="_Toc111186725"/>
      <w:bookmarkStart w:id="16" w:name="_Toc193357940"/>
      <w:bookmarkStart w:id="17" w:name="_Toc7733"/>
      <w:r>
        <w:rPr>
          <w:rFonts w:hint="eastAsia" w:ascii="宋体" w:hAnsi="宋体" w:eastAsia="宋体" w:cs="宋体"/>
          <w:b/>
          <w:bCs/>
          <w:color w:val="auto"/>
          <w:spacing w:val="1"/>
          <w:sz w:val="28"/>
          <w:szCs w:val="32"/>
          <w:highlight w:val="none"/>
          <w:lang w:val="zh-CN"/>
        </w:rPr>
        <w:t>1.1 招标项目概况</w:t>
      </w:r>
      <w:bookmarkEnd w:id="15"/>
      <w:bookmarkEnd w:id="16"/>
      <w:bookmarkEnd w:id="17"/>
    </w:p>
    <w:p w14:paraId="6274F9A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 根据《中华人民共和国招标投标法》、《中华人民共和国招标投标法实施条例》等有关法律、法规和规章的规定，本招标项目已具备招标条件，现对勘察设计进行招标。</w:t>
      </w:r>
    </w:p>
    <w:p w14:paraId="626CEEE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 招标人：见投标人须知前附表。</w:t>
      </w:r>
    </w:p>
    <w:p w14:paraId="66B88E4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1.1.3 招标代理机构：见投标人须知前附表。</w:t>
      </w:r>
    </w:p>
    <w:p w14:paraId="752886D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1.1.4 招标项目名称：见投标人须知前附表。</w:t>
      </w:r>
    </w:p>
    <w:p w14:paraId="6111A8F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1.1.5 项目建设地点：见投标人须知前附表。</w:t>
      </w:r>
    </w:p>
    <w:p w14:paraId="17BBE6B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1.1.6 项目建设规模：见投标人须知前附表。</w:t>
      </w:r>
    </w:p>
    <w:p w14:paraId="34A9921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1.1.7 项目投资估算：见投标人须知前附表。</w:t>
      </w:r>
    </w:p>
    <w:p w14:paraId="1705E3C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0B2818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8" w:name="_Toc193357941"/>
      <w:bookmarkStart w:id="19" w:name="_Toc111186726"/>
      <w:bookmarkStart w:id="20" w:name="_Toc14504"/>
      <w:r>
        <w:rPr>
          <w:rFonts w:hint="eastAsia" w:ascii="宋体" w:hAnsi="宋体" w:eastAsia="宋体" w:cs="宋体"/>
          <w:b/>
          <w:bCs/>
          <w:color w:val="auto"/>
          <w:spacing w:val="1"/>
          <w:sz w:val="28"/>
          <w:szCs w:val="32"/>
          <w:highlight w:val="none"/>
          <w:lang w:val="zh-CN"/>
        </w:rPr>
        <w:t>1.2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招标项目</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资</w:t>
      </w:r>
      <w:r>
        <w:rPr>
          <w:rFonts w:hint="eastAsia" w:ascii="宋体" w:hAnsi="宋体" w:eastAsia="宋体" w:cs="宋体"/>
          <w:b/>
          <w:bCs/>
          <w:color w:val="auto"/>
          <w:spacing w:val="-3"/>
          <w:sz w:val="28"/>
          <w:szCs w:val="32"/>
          <w:highlight w:val="none"/>
          <w:lang w:val="zh-CN"/>
        </w:rPr>
        <w:t>金</w:t>
      </w:r>
      <w:r>
        <w:rPr>
          <w:rFonts w:hint="eastAsia" w:ascii="宋体" w:hAnsi="宋体" w:eastAsia="宋体" w:cs="宋体"/>
          <w:b/>
          <w:bCs/>
          <w:color w:val="auto"/>
          <w:spacing w:val="1"/>
          <w:sz w:val="28"/>
          <w:szCs w:val="32"/>
          <w:highlight w:val="none"/>
          <w:lang w:val="zh-CN"/>
        </w:rPr>
        <w:t>来源和</w:t>
      </w:r>
      <w:r>
        <w:rPr>
          <w:rFonts w:hint="eastAsia" w:ascii="宋体" w:hAnsi="宋体" w:eastAsia="宋体" w:cs="宋体"/>
          <w:b/>
          <w:bCs/>
          <w:color w:val="auto"/>
          <w:spacing w:val="-3"/>
          <w:sz w:val="28"/>
          <w:szCs w:val="32"/>
          <w:highlight w:val="none"/>
          <w:lang w:val="zh-CN"/>
        </w:rPr>
        <w:t>落</w:t>
      </w:r>
      <w:r>
        <w:rPr>
          <w:rFonts w:hint="eastAsia" w:ascii="宋体" w:hAnsi="宋体" w:eastAsia="宋体" w:cs="宋体"/>
          <w:b/>
          <w:bCs/>
          <w:color w:val="auto"/>
          <w:spacing w:val="1"/>
          <w:sz w:val="28"/>
          <w:szCs w:val="32"/>
          <w:highlight w:val="none"/>
          <w:lang w:val="zh-CN"/>
        </w:rPr>
        <w:t>实情况</w:t>
      </w:r>
      <w:bookmarkEnd w:id="18"/>
      <w:bookmarkEnd w:id="19"/>
      <w:bookmarkEnd w:id="20"/>
    </w:p>
    <w:p w14:paraId="3C534F8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1.2.1 资金来源及比例：见投标人须知前附表。</w:t>
      </w:r>
    </w:p>
    <w:p w14:paraId="32049B8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1.2.2 资金落实情况：见投标人须知前附表。</w:t>
      </w:r>
    </w:p>
    <w:p w14:paraId="6894DB8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01019C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1" w:name="_Toc13854"/>
      <w:bookmarkStart w:id="22" w:name="_Toc111186727"/>
      <w:bookmarkStart w:id="23" w:name="_Toc193357942"/>
      <w:r>
        <w:rPr>
          <w:rFonts w:hint="eastAsia" w:ascii="宋体" w:hAnsi="宋体" w:eastAsia="宋体" w:cs="宋体"/>
          <w:b/>
          <w:bCs/>
          <w:color w:val="auto"/>
          <w:spacing w:val="1"/>
          <w:sz w:val="28"/>
          <w:szCs w:val="32"/>
          <w:highlight w:val="none"/>
          <w:lang w:val="zh-CN"/>
        </w:rPr>
        <w:t>1.3</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招标范</w:t>
      </w:r>
      <w:r>
        <w:rPr>
          <w:rFonts w:hint="eastAsia" w:ascii="宋体" w:hAnsi="宋体" w:eastAsia="宋体" w:cs="宋体"/>
          <w:b/>
          <w:bCs/>
          <w:color w:val="auto"/>
          <w:spacing w:val="-3"/>
          <w:sz w:val="28"/>
          <w:szCs w:val="32"/>
          <w:highlight w:val="none"/>
          <w:lang w:val="zh-CN"/>
        </w:rPr>
        <w:t>围</w:t>
      </w:r>
      <w:r>
        <w:rPr>
          <w:rFonts w:hint="eastAsia" w:ascii="宋体" w:hAnsi="宋体" w:eastAsia="宋体" w:cs="宋体"/>
          <w:b/>
          <w:bCs/>
          <w:color w:val="auto"/>
          <w:spacing w:val="1"/>
          <w:sz w:val="28"/>
          <w:szCs w:val="32"/>
          <w:highlight w:val="none"/>
          <w:lang w:val="zh-CN"/>
        </w:rPr>
        <w:t>、勘察设</w:t>
      </w:r>
      <w:r>
        <w:rPr>
          <w:rFonts w:hint="eastAsia" w:ascii="宋体" w:hAnsi="宋体" w:eastAsia="宋体" w:cs="宋体"/>
          <w:b/>
          <w:bCs/>
          <w:color w:val="auto"/>
          <w:spacing w:val="-2"/>
          <w:sz w:val="28"/>
          <w:szCs w:val="32"/>
          <w:highlight w:val="none"/>
          <w:lang w:val="zh-CN"/>
        </w:rPr>
        <w:t>计</w:t>
      </w:r>
      <w:r>
        <w:rPr>
          <w:rFonts w:hint="eastAsia" w:ascii="宋体" w:hAnsi="宋体" w:eastAsia="宋体" w:cs="宋体"/>
          <w:b/>
          <w:bCs/>
          <w:color w:val="auto"/>
          <w:spacing w:val="1"/>
          <w:sz w:val="28"/>
          <w:szCs w:val="32"/>
          <w:highlight w:val="none"/>
          <w:lang w:val="zh-CN"/>
        </w:rPr>
        <w:t>服务期</w:t>
      </w:r>
      <w:r>
        <w:rPr>
          <w:rFonts w:hint="eastAsia" w:ascii="宋体" w:hAnsi="宋体" w:eastAsia="宋体" w:cs="宋体"/>
          <w:b/>
          <w:bCs/>
          <w:color w:val="auto"/>
          <w:spacing w:val="-3"/>
          <w:sz w:val="28"/>
          <w:szCs w:val="32"/>
          <w:highlight w:val="none"/>
          <w:lang w:val="zh-CN"/>
        </w:rPr>
        <w:t>限</w:t>
      </w:r>
      <w:r>
        <w:rPr>
          <w:rFonts w:hint="eastAsia" w:ascii="宋体" w:hAnsi="宋体" w:eastAsia="宋体" w:cs="宋体"/>
          <w:b/>
          <w:bCs/>
          <w:color w:val="auto"/>
          <w:spacing w:val="1"/>
          <w:sz w:val="28"/>
          <w:szCs w:val="32"/>
          <w:highlight w:val="none"/>
          <w:lang w:val="zh-CN"/>
        </w:rPr>
        <w:t>和质</w:t>
      </w:r>
      <w:r>
        <w:rPr>
          <w:rFonts w:hint="eastAsia" w:ascii="宋体" w:hAnsi="宋体" w:eastAsia="宋体" w:cs="宋体"/>
          <w:b/>
          <w:bCs/>
          <w:color w:val="auto"/>
          <w:spacing w:val="-3"/>
          <w:sz w:val="28"/>
          <w:szCs w:val="32"/>
          <w:highlight w:val="none"/>
          <w:lang w:val="zh-CN"/>
        </w:rPr>
        <w:t>量标</w:t>
      </w:r>
      <w:r>
        <w:rPr>
          <w:rFonts w:hint="eastAsia" w:ascii="宋体" w:hAnsi="宋体" w:eastAsia="宋体" w:cs="宋体"/>
          <w:b/>
          <w:bCs/>
          <w:color w:val="auto"/>
          <w:spacing w:val="1"/>
          <w:sz w:val="28"/>
          <w:szCs w:val="32"/>
          <w:highlight w:val="none"/>
          <w:lang w:val="zh-CN"/>
        </w:rPr>
        <w:t>准</w:t>
      </w:r>
      <w:bookmarkEnd w:id="21"/>
      <w:bookmarkEnd w:id="22"/>
      <w:bookmarkEnd w:id="23"/>
    </w:p>
    <w:p w14:paraId="044913D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1.3.1 招标范围：见投标人须知前附表。</w:t>
      </w:r>
    </w:p>
    <w:p w14:paraId="6E63696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1.3.2 勘察设计服务期限：见投标人须知前附表。</w:t>
      </w:r>
    </w:p>
    <w:p w14:paraId="529F1CD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1.3.3 质量标准：见投标人须知前附表。</w:t>
      </w:r>
    </w:p>
    <w:p w14:paraId="69AED18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446139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4" w:name="_Toc193357943"/>
      <w:bookmarkStart w:id="25" w:name="_Toc111186728"/>
      <w:bookmarkStart w:id="26" w:name="_Toc22012"/>
      <w:r>
        <w:rPr>
          <w:rFonts w:hint="eastAsia" w:ascii="宋体" w:hAnsi="宋体" w:eastAsia="宋体" w:cs="宋体"/>
          <w:b/>
          <w:bCs/>
          <w:color w:val="auto"/>
          <w:spacing w:val="1"/>
          <w:sz w:val="28"/>
          <w:szCs w:val="32"/>
          <w:highlight w:val="none"/>
          <w:lang w:val="zh-CN"/>
        </w:rPr>
        <w:t>1.4</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投标人</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格要求</w:t>
      </w:r>
      <w:bookmarkEnd w:id="24"/>
      <w:bookmarkEnd w:id="25"/>
      <w:bookmarkEnd w:id="26"/>
    </w:p>
    <w:p w14:paraId="7F223BE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1.4.1 投标人应具备承担本招标项目资质条件、能力和信誉：</w:t>
      </w:r>
    </w:p>
    <w:p w14:paraId="78305B1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（1）资质要求：见投标人须知前附表；</w:t>
      </w:r>
    </w:p>
    <w:p w14:paraId="004762C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（2）业绩要求：见投标人须知前附表；</w:t>
      </w:r>
    </w:p>
    <w:p w14:paraId="625C29A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（3）项目负责人的资格要求：应当具备工程设计类注册执业资格（如有），具体要求见投标人须知前附表；</w:t>
      </w:r>
    </w:p>
    <w:p w14:paraId="7DA842E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（4）其他主要人员要求：见投标人须知前附表。</w:t>
      </w:r>
    </w:p>
    <w:p w14:paraId="2CEA0FC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（5）其他要求：见投标人须知前附表。</w:t>
      </w:r>
    </w:p>
    <w:p w14:paraId="7C3A185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需要提交的相关证明材料见本章第3.5款的规定。</w:t>
      </w:r>
    </w:p>
    <w:p w14:paraId="1C2A887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1.4.2 投标人须知前附表规定接受联合体投标的，联合体除应符合本章第1.4.1项和投标人须知前附表的要求外，还应遵守以下规定：</w:t>
      </w:r>
    </w:p>
    <w:p w14:paraId="4132430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（1）联合体各方应按招标文件提供的格式签订联合体协议书，明确联合体牵头人和各方权利义务，并承诺就中标项目向招标人承担连带责任；</w:t>
      </w:r>
    </w:p>
    <w:p w14:paraId="6836E65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（2）由同一专业的单位组成的联合体，按照资质等级较低的单位确定资质等级；</w:t>
      </w:r>
    </w:p>
    <w:p w14:paraId="0A6013C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（3）联合体各方不得再以自己名义单独或参加其他联合体在本招标项目中投标，否则各相关投标均无效。</w:t>
      </w:r>
    </w:p>
    <w:p w14:paraId="046DC0F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1.4.3 投标人不得存在下列情形之一：</w:t>
      </w:r>
    </w:p>
    <w:p w14:paraId="6321A59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（1）为招标人不具有独立法人资格的附属机构（单位）；</w:t>
      </w:r>
    </w:p>
    <w:p w14:paraId="6774194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（2）与招标人存在利害关系且可能影响招标公正性；</w:t>
      </w:r>
    </w:p>
    <w:p w14:paraId="49D976E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（3）与本招标项目的其他投标人为同一个单位负责人；</w:t>
      </w:r>
    </w:p>
    <w:p w14:paraId="3B15A41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（4）与本招标项目的其他投标人存在控股、管理关系；</w:t>
      </w:r>
    </w:p>
    <w:p w14:paraId="13EF549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（5）为本招标项目的代建人或建设管理单位；</w:t>
      </w:r>
    </w:p>
    <w:p w14:paraId="1FB9625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（6）为本招标项目的招标代理机构；</w:t>
      </w:r>
    </w:p>
    <w:p w14:paraId="543ACE5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（7）与本招标项目的代建人或招标代理机构同为一个法定代表人；</w:t>
      </w:r>
    </w:p>
    <w:p w14:paraId="1F622F9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（8）与本招标项目的代建人或招标代理机构存在控股或参股关系；</w:t>
      </w:r>
    </w:p>
    <w:p w14:paraId="5FC376C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9）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61C923C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（10）被责令停产停业、暂扣或者吊销许可证、暂扣或者吊销执照（本项事实应当以根据《中华人民共和国行政处罚法》依法作出并已生效的行政处罚决定为认定依据）；</w:t>
      </w:r>
    </w:p>
    <w:p w14:paraId="25E9D5E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（11）进入清算程序，或被宣告破产，或其他丧失履约能力的情形；</w:t>
      </w:r>
    </w:p>
    <w:p w14:paraId="3CF1C06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12）在最近三年内发生重大设计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69A381D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u w:val="single"/>
        </w:rPr>
      </w:pPr>
      <w:r>
        <w:rPr>
          <w:rFonts w:hint="eastAsia" w:ascii="宋体" w:hAnsi="宋体" w:eastAsia="宋体" w:cs="宋体"/>
          <w:color w:val="auto"/>
          <w:spacing w:val="-2"/>
          <w:kern w:val="0"/>
          <w:sz w:val="24"/>
          <w:szCs w:val="24"/>
          <w:highlight w:val="none"/>
        </w:rPr>
        <w:t>（13）法律法规或投标人须知前附表规定的其他情形。</w:t>
      </w:r>
    </w:p>
    <w:p w14:paraId="09E3DBD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10A1EC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27" w:name="_Toc111186729"/>
      <w:bookmarkStart w:id="28" w:name="_Toc29074"/>
      <w:bookmarkStart w:id="29" w:name="_Toc193357944"/>
      <w:r>
        <w:rPr>
          <w:rFonts w:hint="eastAsia" w:ascii="宋体" w:hAnsi="宋体" w:eastAsia="宋体" w:cs="宋体"/>
          <w:b/>
          <w:bCs/>
          <w:color w:val="auto"/>
          <w:spacing w:val="1"/>
          <w:sz w:val="28"/>
          <w:szCs w:val="32"/>
          <w:highlight w:val="none"/>
          <w:lang w:val="zh-CN"/>
        </w:rPr>
        <w:t>1.5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费用承担</w:t>
      </w:r>
      <w:bookmarkEnd w:id="27"/>
      <w:bookmarkEnd w:id="28"/>
      <w:bookmarkEnd w:id="29"/>
    </w:p>
    <w:p w14:paraId="00CF23E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投标人准备和参加投标活动发生的费用自理。</w:t>
      </w:r>
    </w:p>
    <w:p w14:paraId="2C729DD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D4697BB">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0" w:name="_Toc193357945"/>
      <w:bookmarkStart w:id="31" w:name="_Toc111186730"/>
      <w:bookmarkStart w:id="32" w:name="_Toc8560"/>
      <w:r>
        <w:rPr>
          <w:rFonts w:hint="eastAsia" w:ascii="宋体" w:hAnsi="宋体" w:eastAsia="宋体" w:cs="宋体"/>
          <w:b/>
          <w:bCs/>
          <w:color w:val="auto"/>
          <w:spacing w:val="1"/>
          <w:sz w:val="28"/>
          <w:szCs w:val="32"/>
          <w:highlight w:val="none"/>
          <w:lang w:val="zh-CN"/>
        </w:rPr>
        <w:t>1.6</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保密</w:t>
      </w:r>
      <w:bookmarkEnd w:id="30"/>
      <w:bookmarkEnd w:id="31"/>
      <w:bookmarkEnd w:id="32"/>
    </w:p>
    <w:p w14:paraId="7058119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参与招标投标活动的各方应对招标文件和投标文件中的商业和技术等秘密保密，否则应承担相应的法律责任。</w:t>
      </w:r>
    </w:p>
    <w:p w14:paraId="46AC53B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304CE57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3" w:name="_Toc111186731"/>
      <w:bookmarkStart w:id="34" w:name="_Toc28000"/>
      <w:bookmarkStart w:id="35" w:name="_Toc193357946"/>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语言文字</w:t>
      </w:r>
      <w:bookmarkEnd w:id="33"/>
      <w:bookmarkEnd w:id="34"/>
      <w:bookmarkEnd w:id="35"/>
    </w:p>
    <w:p w14:paraId="4670096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招标投标文件使用的语言文字为中文。专用术语使用外文的，应附有中文注释。</w:t>
      </w:r>
    </w:p>
    <w:p w14:paraId="2959A38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3424986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6" w:name="_Toc111186732"/>
      <w:bookmarkStart w:id="37" w:name="_Toc3237"/>
      <w:bookmarkStart w:id="38" w:name="_Toc193357947"/>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8</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计量单位</w:t>
      </w:r>
      <w:bookmarkEnd w:id="36"/>
      <w:bookmarkEnd w:id="37"/>
      <w:bookmarkEnd w:id="38"/>
    </w:p>
    <w:p w14:paraId="0999133E">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所有计量均采用中华人民共和国法定计量单位。</w:t>
      </w:r>
    </w:p>
    <w:p w14:paraId="43C3D32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654458F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39" w:name="_Toc111186733"/>
      <w:bookmarkStart w:id="40" w:name="_Toc9357"/>
      <w:bookmarkStart w:id="41" w:name="_Toc193357948"/>
      <w:r>
        <w:rPr>
          <w:rFonts w:hint="eastAsia" w:ascii="宋体" w:hAnsi="宋体" w:eastAsia="宋体" w:cs="宋体"/>
          <w:b/>
          <w:bCs/>
          <w:color w:val="auto"/>
          <w:spacing w:val="1"/>
          <w:sz w:val="28"/>
          <w:szCs w:val="32"/>
          <w:highlight w:val="none"/>
          <w:lang w:val="zh-CN"/>
        </w:rPr>
        <w:t>1.9</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踏勘现场</w:t>
      </w:r>
      <w:bookmarkEnd w:id="39"/>
      <w:bookmarkEnd w:id="40"/>
      <w:bookmarkEnd w:id="41"/>
    </w:p>
    <w:p w14:paraId="1D73060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17CC2D5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1.9.2 投标人踏勘现场发生的费用自理。</w:t>
      </w:r>
    </w:p>
    <w:p w14:paraId="7667084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1.9.3 除招标人的原因外，投标人自行负责踏勘现场中所发生的人员伤亡和财产损失。</w:t>
      </w:r>
    </w:p>
    <w:p w14:paraId="3B109AF4">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1.9.4 由于投标人没有对工程现场及周围环境进行踏勘，造成投标失误的，由投标人自行承担责任和损失。</w:t>
      </w:r>
    </w:p>
    <w:p w14:paraId="745E53E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0DEC515F">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2" w:name="_Toc16096"/>
      <w:bookmarkStart w:id="43" w:name="_Toc111186734"/>
      <w:bookmarkStart w:id="44" w:name="_Toc193357949"/>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
          <w:sz w:val="28"/>
          <w:szCs w:val="32"/>
          <w:highlight w:val="none"/>
          <w:lang w:val="zh-CN"/>
        </w:rPr>
        <w:t>0</w:t>
      </w:r>
      <w:r>
        <w:rPr>
          <w:rFonts w:hint="eastAsia" w:ascii="宋体" w:hAnsi="宋体" w:eastAsia="宋体" w:cs="宋体"/>
          <w:b/>
          <w:bCs/>
          <w:color w:val="auto"/>
          <w:spacing w:val="-2"/>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投标预备会</w:t>
      </w:r>
      <w:bookmarkEnd w:id="42"/>
      <w:bookmarkEnd w:id="43"/>
      <w:bookmarkEnd w:id="44"/>
    </w:p>
    <w:p w14:paraId="0ADBC38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1.10.1 投标人须知前附表规定召开投标预备会的，招标人按投标人须知前附表规定的时间和地点召开投标预备会，澄清投标人提出的问题。</w:t>
      </w:r>
    </w:p>
    <w:p w14:paraId="7D5DC41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1.10.2 投标人应按投标人须知前附表规定的时间和形式将提出的问题送达招标人，以便招标人在会议期间澄清。</w:t>
      </w:r>
    </w:p>
    <w:p w14:paraId="7AEE72F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1.10.3 投标预备会后，招标人将对投标人所提问题的澄清，以投标人须知前附表规定的形式通知所有购买招标文件的投标人。该澄清内容为招标文件的组成部分。</w:t>
      </w:r>
    </w:p>
    <w:p w14:paraId="3F0B945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3C3BA85">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5" w:name="_Toc16438"/>
      <w:bookmarkStart w:id="46" w:name="_Toc193357950"/>
      <w:bookmarkStart w:id="47" w:name="_Toc111186735"/>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12"/>
          <w:sz w:val="28"/>
          <w:szCs w:val="32"/>
          <w:highlight w:val="none"/>
          <w:lang w:val="zh-CN"/>
        </w:rPr>
        <w:t>1</w:t>
      </w:r>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分包</w:t>
      </w:r>
      <w:bookmarkEnd w:id="45"/>
      <w:bookmarkEnd w:id="46"/>
      <w:bookmarkEnd w:id="47"/>
    </w:p>
    <w:p w14:paraId="2D0C84B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69C7CA2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1.11.2 中标人不得向他人转让中标项目，接受分包的人不得再次分包。中标人应当就分包项目向招标人负责，接受分包的人就分包项目承担连带责任。</w:t>
      </w:r>
    </w:p>
    <w:p w14:paraId="25415F0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4AD0091F">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48" w:name="_Toc10229"/>
      <w:bookmarkStart w:id="49" w:name="_Toc111186736"/>
      <w:bookmarkStart w:id="50" w:name="_Toc193357951"/>
      <w:r>
        <w:rPr>
          <w:rFonts w:hint="eastAsia" w:ascii="宋体" w:hAnsi="宋体" w:eastAsia="宋体" w:cs="宋体"/>
          <w:b/>
          <w:bCs/>
          <w:color w:val="auto"/>
          <w:spacing w:val="1"/>
          <w:sz w:val="28"/>
          <w:szCs w:val="32"/>
          <w:highlight w:val="none"/>
          <w:lang w:val="zh-CN"/>
        </w:rPr>
        <w:t>1.</w:t>
      </w:r>
      <w:r>
        <w:rPr>
          <w:rFonts w:hint="eastAsia" w:ascii="宋体" w:hAnsi="宋体" w:eastAsia="宋体" w:cs="宋体"/>
          <w:b/>
          <w:bCs/>
          <w:color w:val="auto"/>
          <w:spacing w:val="-2"/>
          <w:sz w:val="28"/>
          <w:szCs w:val="32"/>
          <w:highlight w:val="none"/>
          <w:lang w:val="zh-CN"/>
        </w:rPr>
        <w:t>1</w:t>
      </w:r>
      <w:r>
        <w:rPr>
          <w:rFonts w:hint="eastAsia" w:ascii="宋体" w:hAnsi="宋体" w:eastAsia="宋体" w:cs="宋体"/>
          <w:b/>
          <w:bCs/>
          <w:color w:val="auto"/>
          <w:spacing w:val="1"/>
          <w:sz w:val="28"/>
          <w:szCs w:val="32"/>
          <w:highlight w:val="none"/>
          <w:lang w:val="zh-CN"/>
        </w:rPr>
        <w:t>2</w:t>
      </w:r>
      <w:r>
        <w:rPr>
          <w:rFonts w:hint="eastAsia" w:ascii="宋体" w:hAnsi="宋体" w:eastAsia="宋体" w:cs="宋体"/>
          <w:b/>
          <w:bCs/>
          <w:color w:val="auto"/>
          <w:spacing w:val="-1"/>
          <w:sz w:val="28"/>
          <w:szCs w:val="32"/>
          <w:highlight w:val="none"/>
          <w:lang w:val="zh-CN"/>
        </w:rPr>
        <w:t xml:space="preserve"> </w:t>
      </w:r>
      <w:r>
        <w:rPr>
          <w:rFonts w:hint="eastAsia" w:ascii="宋体" w:hAnsi="宋体" w:eastAsia="宋体" w:cs="宋体"/>
          <w:b/>
          <w:bCs/>
          <w:color w:val="auto"/>
          <w:spacing w:val="1"/>
          <w:sz w:val="28"/>
          <w:szCs w:val="32"/>
          <w:highlight w:val="none"/>
          <w:lang w:val="zh-CN"/>
        </w:rPr>
        <w:t>响应和偏差</w:t>
      </w:r>
      <w:bookmarkEnd w:id="48"/>
      <w:bookmarkEnd w:id="49"/>
      <w:bookmarkEnd w:id="50"/>
    </w:p>
    <w:p w14:paraId="0F05DDA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1.12.1 投标文件应当对招标文件的实质性要求和条件作出满足性或更有利于招标人的响应，否则，投标人的投标将被否决。实质性要求和条件见投标人须知前附表。</w:t>
      </w:r>
    </w:p>
    <w:p w14:paraId="3584B8F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1.12.2 投标人应根据招标文件的要求提供投标设计方案等内容以对招标文件作出响应。</w:t>
      </w:r>
    </w:p>
    <w:p w14:paraId="28044A21">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1.12.3 投标人须知前附表允许投标文件偏离招标文件某些要求的，偏差应当符合招标文件规定的偏差范围和幅度。</w:t>
      </w:r>
    </w:p>
    <w:p w14:paraId="2934CCD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11F2C7A0">
      <w:pPr>
        <w:keepNext/>
        <w:keepLines/>
        <w:wordWrap w:val="0"/>
        <w:spacing w:line="360" w:lineRule="auto"/>
        <w:outlineLvl w:val="1"/>
        <w:rPr>
          <w:rFonts w:ascii="宋体" w:hAnsi="宋体" w:eastAsia="宋体" w:cs="宋体"/>
          <w:b/>
          <w:bCs/>
          <w:color w:val="auto"/>
          <w:kern w:val="0"/>
          <w:sz w:val="24"/>
          <w:szCs w:val="30"/>
          <w:highlight w:val="none"/>
          <w:lang w:val="zh-CN"/>
        </w:rPr>
      </w:pPr>
      <w:bookmarkStart w:id="51" w:name="_Toc111186737"/>
      <w:bookmarkStart w:id="52" w:name="_Toc193357952"/>
      <w:bookmarkStart w:id="53" w:name="_Toc22370"/>
      <w:r>
        <w:rPr>
          <w:rFonts w:hint="eastAsia" w:ascii="宋体" w:hAnsi="宋体" w:eastAsia="宋体" w:cs="宋体"/>
          <w:b/>
          <w:bCs/>
          <w:color w:val="auto"/>
          <w:kern w:val="0"/>
          <w:sz w:val="30"/>
          <w:szCs w:val="30"/>
          <w:highlight w:val="none"/>
          <w:lang w:val="zh-CN"/>
        </w:rPr>
        <w:t>2.</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招标文件</w:t>
      </w:r>
      <w:bookmarkEnd w:id="51"/>
      <w:bookmarkEnd w:id="52"/>
      <w:bookmarkEnd w:id="53"/>
    </w:p>
    <w:p w14:paraId="4D52296B">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4" w:name="_Toc111186738"/>
      <w:bookmarkStart w:id="55" w:name="_Toc22346"/>
      <w:bookmarkStart w:id="56" w:name="_Toc193357953"/>
      <w:r>
        <w:rPr>
          <w:rFonts w:hint="eastAsia" w:ascii="宋体" w:hAnsi="宋体" w:eastAsia="宋体" w:cs="宋体"/>
          <w:b/>
          <w:bCs/>
          <w:color w:val="auto"/>
          <w:spacing w:val="1"/>
          <w:sz w:val="28"/>
          <w:szCs w:val="32"/>
          <w:highlight w:val="none"/>
          <w:lang w:val="zh-CN"/>
        </w:rPr>
        <w:t>2.1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54"/>
      <w:bookmarkEnd w:id="55"/>
      <w:bookmarkEnd w:id="56"/>
    </w:p>
    <w:p w14:paraId="235A293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本招标文件包括：</w:t>
      </w:r>
    </w:p>
    <w:p w14:paraId="1D5DFA07">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（1）招标公告；</w:t>
      </w:r>
    </w:p>
    <w:p w14:paraId="3983C76C">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（2）投标人须知；</w:t>
      </w:r>
    </w:p>
    <w:p w14:paraId="14EE3B0D">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（3）评标办法；</w:t>
      </w:r>
    </w:p>
    <w:p w14:paraId="2777BDF5">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（4）合同条款及格式；</w:t>
      </w:r>
    </w:p>
    <w:p w14:paraId="451F299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（5）</w:t>
      </w:r>
      <w:r>
        <w:rPr>
          <w:rFonts w:hint="eastAsia" w:ascii="宋体" w:hAnsi="宋体" w:eastAsia="宋体" w:cs="宋体"/>
          <w:strike/>
          <w:color w:val="auto"/>
          <w:spacing w:val="-2"/>
          <w:kern w:val="0"/>
          <w:sz w:val="24"/>
          <w:szCs w:val="24"/>
          <w:highlight w:val="none"/>
        </w:rPr>
        <w:t>委托人</w:t>
      </w:r>
      <w:r>
        <w:rPr>
          <w:rFonts w:hint="eastAsia" w:ascii="宋体" w:hAnsi="宋体" w:eastAsia="宋体"/>
          <w:b/>
          <w:bCs/>
          <w:color w:val="auto"/>
          <w:sz w:val="24"/>
          <w:szCs w:val="24"/>
          <w:highlight w:val="none"/>
          <w:u w:val="single"/>
          <w:lang w:val="en-US" w:eastAsia="zh-CN"/>
        </w:rPr>
        <w:t>发包人</w:t>
      </w:r>
      <w:r>
        <w:rPr>
          <w:rFonts w:hint="eastAsia" w:ascii="宋体" w:hAnsi="宋体" w:eastAsia="宋体" w:cs="宋体"/>
          <w:color w:val="auto"/>
          <w:spacing w:val="-2"/>
          <w:kern w:val="0"/>
          <w:sz w:val="24"/>
          <w:szCs w:val="24"/>
          <w:highlight w:val="none"/>
        </w:rPr>
        <w:t>要求；</w:t>
      </w:r>
    </w:p>
    <w:p w14:paraId="6603E00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（6）投标文件格式；</w:t>
      </w:r>
    </w:p>
    <w:p w14:paraId="7AE360B8">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（7）投标人须知前附表规定的其他资料。</w:t>
      </w:r>
    </w:p>
    <w:p w14:paraId="7349935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根据本章第1.10款、第2.2款和第2.3款对招标文件所作的澄清、修改，构成招标文件的组成部分。</w:t>
      </w:r>
    </w:p>
    <w:p w14:paraId="13EEC8E6">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455504E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57" w:name="_Toc193357954"/>
      <w:bookmarkStart w:id="58" w:name="_Toc9843"/>
      <w:bookmarkStart w:id="59" w:name="_Toc111186739"/>
      <w:r>
        <w:rPr>
          <w:rFonts w:hint="eastAsia" w:ascii="宋体" w:hAnsi="宋体" w:eastAsia="宋体" w:cs="宋体"/>
          <w:b/>
          <w:bCs/>
          <w:color w:val="auto"/>
          <w:spacing w:val="1"/>
          <w:sz w:val="28"/>
          <w:szCs w:val="32"/>
          <w:highlight w:val="none"/>
          <w:lang w:val="zh-CN"/>
        </w:rPr>
        <w:t>2.2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bookmarkEnd w:id="57"/>
      <w:bookmarkEnd w:id="58"/>
      <w:bookmarkEnd w:id="59"/>
      <w:r>
        <w:rPr>
          <w:rFonts w:hint="eastAsia" w:ascii="宋体" w:hAnsi="宋体" w:eastAsia="宋体" w:cs="宋体"/>
          <w:b/>
          <w:bCs/>
          <w:color w:val="auto"/>
          <w:spacing w:val="1"/>
          <w:sz w:val="28"/>
          <w:szCs w:val="32"/>
          <w:highlight w:val="none"/>
          <w:lang w:val="zh-CN"/>
        </w:rPr>
        <w:t>答疑</w:t>
      </w:r>
    </w:p>
    <w:p w14:paraId="48F542F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2.2.1 投标人应仔细阅读和检查招标文件的全部内容。如有疑问，应按投标人须知前附表规定的时间和形式将提出的问题送达招标人，要求招标人对招标文件予以澄清。</w:t>
      </w:r>
    </w:p>
    <w:p w14:paraId="13F9FCD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2.2.2 招标答疑采用网上答疑方式进行。投标人若对招标文件有疑问的，通过</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网站提交，应按照</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网站关于全流程电子化项目的相关指南进行操作。提问一律不得署名。</w:t>
      </w:r>
    </w:p>
    <w:p w14:paraId="282D029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2.2.3 招标答疑会会议纪要将在提交投标文件截止时间15日前在</w:t>
      </w:r>
      <w:r>
        <w:rPr>
          <w:rFonts w:hint="eastAsia" w:ascii="宋体" w:hAnsi="宋体" w:eastAsia="宋体" w:cs="宋体"/>
          <w:color w:val="auto"/>
          <w:spacing w:val="-2"/>
          <w:kern w:val="0"/>
          <w:sz w:val="24"/>
          <w:szCs w:val="24"/>
          <w:highlight w:val="none"/>
          <w:u w:val="single"/>
        </w:rPr>
        <w:t>广州交易集团有限公司（广州公共资源交易中心）网站“项目答疑纪要”专区公开</w:t>
      </w:r>
      <w:r>
        <w:rPr>
          <w:rFonts w:hint="eastAsia" w:ascii="宋体" w:hAnsi="宋体" w:eastAsia="宋体" w:cs="宋体"/>
          <w:color w:val="auto"/>
          <w:spacing w:val="-2"/>
          <w:kern w:val="0"/>
          <w:sz w:val="24"/>
          <w:szCs w:val="24"/>
          <w:highlight w:val="none"/>
        </w:rPr>
        <w:t>发布。答疑纪要一经在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网站发布，视作已发放给所有投标人。澄清发出的时间距本章第4.2.1项规定的投标截止时间不足15日的，并且澄清内容可能影响投标文件编制的，将相应延长投标截止时间。</w:t>
      </w:r>
    </w:p>
    <w:p w14:paraId="40D243E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2.2.4 招标答疑会会议纪要是招标文件的组成部分，对投标人起约束作用。若招标答疑会会议纪要与招标文件有矛盾时，以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网站最后发布的答疑纪要为准。</w:t>
      </w:r>
    </w:p>
    <w:p w14:paraId="78C4B0E2">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2.2.5 除非招标人认为确有必要答复，否则，招标人有权拒绝回复投标人在本章第2.2.1项规定的时间后的任何澄清要求。</w:t>
      </w:r>
    </w:p>
    <w:p w14:paraId="4C90278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66CBA1B">
      <w:pPr>
        <w:keepNext/>
        <w:keepLines/>
        <w:wordWrap w:val="0"/>
        <w:spacing w:before="260" w:line="416" w:lineRule="auto"/>
        <w:outlineLvl w:val="2"/>
        <w:rPr>
          <w:rFonts w:ascii="宋体" w:hAnsi="宋体" w:eastAsia="宋体" w:cs="宋体"/>
          <w:b/>
          <w:bCs/>
          <w:color w:val="auto"/>
          <w:spacing w:val="1"/>
          <w:kern w:val="0"/>
          <w:sz w:val="28"/>
          <w:szCs w:val="28"/>
          <w:highlight w:val="none"/>
          <w:lang w:val="zh-CN"/>
        </w:rPr>
      </w:pPr>
      <w:bookmarkStart w:id="60" w:name="_Toc193357955"/>
      <w:bookmarkStart w:id="61" w:name="_Toc111186740"/>
      <w:bookmarkStart w:id="62" w:name="_Toc8197"/>
      <w:r>
        <w:rPr>
          <w:rFonts w:hint="eastAsia" w:ascii="宋体" w:hAnsi="宋体" w:eastAsia="宋体" w:cs="宋体"/>
          <w:b/>
          <w:bCs/>
          <w:color w:val="auto"/>
          <w:spacing w:val="1"/>
          <w:sz w:val="28"/>
          <w:szCs w:val="32"/>
          <w:highlight w:val="none"/>
          <w:lang w:val="zh-CN"/>
        </w:rPr>
        <w:t>2.3 招标文件的澄清与修改</w:t>
      </w:r>
      <w:bookmarkEnd w:id="60"/>
      <w:bookmarkEnd w:id="61"/>
      <w:bookmarkEnd w:id="62"/>
    </w:p>
    <w:p w14:paraId="33162DB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2.3.1 招标文件发出后，在提交投标文件截止时间15日前，招标人可对招标文件进行必要的澄清或修改。</w:t>
      </w:r>
    </w:p>
    <w:p w14:paraId="3D0291A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2.3.2 招标文件的澄清或修改将在广州交易集团有限公司（广州公共资源交易中心）网站“项目答疑纪要”专区公开发布。招标文件的澄清或修改一经在</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网站发布，视作已发放给所有投标人，以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网站发布时间作为送达时间。</w:t>
      </w:r>
    </w:p>
    <w:p w14:paraId="3055D693">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2.3.3 招标文件的澄清或修改是招标文件的组成部分，对投标人起约束作用。</w:t>
      </w:r>
    </w:p>
    <w:p w14:paraId="1EE64CAA">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2.3.4 招标文件的澄清或修改均以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网站发布的内容为准。当招标文件的澄清、修改、补充等在同一内容的表述不一致时，以</w:t>
      </w:r>
      <w:r>
        <w:rPr>
          <w:rFonts w:hint="eastAsia" w:ascii="宋体" w:hAnsi="宋体" w:eastAsia="宋体" w:cs="宋体"/>
          <w:color w:val="auto"/>
          <w:spacing w:val="-2"/>
          <w:kern w:val="0"/>
          <w:sz w:val="24"/>
          <w:szCs w:val="24"/>
          <w:highlight w:val="none"/>
          <w:u w:val="single"/>
        </w:rPr>
        <w:t>广州交易集团有限公司（广州公共资源交易中心）</w:t>
      </w:r>
      <w:r>
        <w:rPr>
          <w:rFonts w:hint="eastAsia" w:ascii="宋体" w:hAnsi="宋体" w:eastAsia="宋体" w:cs="宋体"/>
          <w:color w:val="auto"/>
          <w:spacing w:val="-2"/>
          <w:kern w:val="0"/>
          <w:sz w:val="24"/>
          <w:szCs w:val="24"/>
          <w:highlight w:val="none"/>
        </w:rPr>
        <w:t>网站最后发布的内容为准。</w:t>
      </w:r>
    </w:p>
    <w:p w14:paraId="1A35A99F">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B964F19">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24161C05">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3" w:name="_Toc193357956"/>
      <w:bookmarkStart w:id="64" w:name="_Toc17179"/>
      <w:bookmarkStart w:id="65" w:name="_Toc111186741"/>
      <w:r>
        <w:rPr>
          <w:rFonts w:hint="eastAsia" w:ascii="宋体" w:hAnsi="宋体" w:eastAsia="宋体" w:cs="宋体"/>
          <w:b/>
          <w:bCs/>
          <w:color w:val="auto"/>
          <w:spacing w:val="1"/>
          <w:sz w:val="28"/>
          <w:szCs w:val="32"/>
          <w:highlight w:val="none"/>
          <w:lang w:val="zh-CN"/>
        </w:rPr>
        <w:t>2.4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招标文件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异议</w:t>
      </w:r>
      <w:bookmarkEnd w:id="63"/>
      <w:bookmarkEnd w:id="64"/>
      <w:bookmarkEnd w:id="65"/>
    </w:p>
    <w:p w14:paraId="2D972C70">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r>
        <w:rPr>
          <w:rFonts w:hint="eastAsia" w:ascii="宋体" w:hAnsi="宋体" w:eastAsia="宋体" w:cs="宋体"/>
          <w:color w:val="auto"/>
          <w:spacing w:val="-2"/>
          <w:kern w:val="0"/>
          <w:sz w:val="24"/>
          <w:szCs w:val="24"/>
          <w:highlight w:val="none"/>
        </w:rPr>
        <w:t>投标人或者其他利害关系人对招标文件有异议的，应当在投标截止时间10日前以书面形式提出。招标人将在收到异议之日起3日内作出答复；作出答复前，将暂停招标投标活动。</w:t>
      </w:r>
    </w:p>
    <w:p w14:paraId="4FE16A4B">
      <w:pPr>
        <w:wordWrap w:val="0"/>
        <w:autoSpaceDE w:val="0"/>
        <w:autoSpaceDN w:val="0"/>
        <w:spacing w:line="360" w:lineRule="auto"/>
        <w:ind w:firstLine="472" w:firstLineChars="200"/>
        <w:rPr>
          <w:rFonts w:ascii="宋体" w:hAnsi="宋体" w:eastAsia="宋体" w:cs="宋体"/>
          <w:color w:val="auto"/>
          <w:spacing w:val="-2"/>
          <w:kern w:val="0"/>
          <w:sz w:val="24"/>
          <w:szCs w:val="24"/>
          <w:highlight w:val="none"/>
        </w:rPr>
      </w:pPr>
    </w:p>
    <w:p w14:paraId="13130E8A">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66" w:name="_Toc7081"/>
      <w:bookmarkStart w:id="67" w:name="_Toc193357957"/>
      <w:bookmarkStart w:id="68" w:name="_Toc111186742"/>
      <w:r>
        <w:rPr>
          <w:rFonts w:hint="eastAsia" w:ascii="宋体" w:hAnsi="宋体" w:eastAsia="宋体" w:cs="宋体"/>
          <w:b/>
          <w:bCs/>
          <w:color w:val="auto"/>
          <w:kern w:val="0"/>
          <w:sz w:val="30"/>
          <w:szCs w:val="30"/>
          <w:highlight w:val="none"/>
          <w:lang w:val="zh-CN"/>
        </w:rPr>
        <w:t>3.</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投标文件</w:t>
      </w:r>
      <w:bookmarkEnd w:id="66"/>
      <w:bookmarkEnd w:id="67"/>
      <w:bookmarkEnd w:id="68"/>
    </w:p>
    <w:p w14:paraId="30AA8D0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69" w:name="_Toc193357958"/>
      <w:bookmarkStart w:id="70" w:name="_Toc14590"/>
      <w:bookmarkStart w:id="71" w:name="_Toc111186743"/>
      <w:r>
        <w:rPr>
          <w:rFonts w:hint="eastAsia" w:ascii="宋体" w:hAnsi="宋体" w:eastAsia="宋体" w:cs="宋体"/>
          <w:b/>
          <w:bCs/>
          <w:color w:val="auto"/>
          <w:spacing w:val="1"/>
          <w:sz w:val="28"/>
          <w:szCs w:val="32"/>
          <w:highlight w:val="none"/>
          <w:lang w:val="zh-CN"/>
        </w:rPr>
        <w:t>3.1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组成</w:t>
      </w:r>
      <w:bookmarkEnd w:id="69"/>
      <w:bookmarkEnd w:id="70"/>
      <w:bookmarkEnd w:id="71"/>
      <w:r>
        <w:rPr>
          <w:rFonts w:hint="eastAsia" w:ascii="宋体" w:hAnsi="宋体" w:eastAsia="宋体" w:cs="宋体"/>
          <w:b/>
          <w:bCs/>
          <w:color w:val="auto"/>
          <w:spacing w:val="1"/>
          <w:sz w:val="28"/>
          <w:szCs w:val="32"/>
          <w:highlight w:val="none"/>
          <w:lang w:val="zh-CN"/>
        </w:rPr>
        <w:t>（适用于暗标形式）</w:t>
      </w:r>
    </w:p>
    <w:p w14:paraId="7ADBB87E">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商务文件（含资格审查文件）由下列资料组成：</w:t>
      </w:r>
    </w:p>
    <w:p w14:paraId="0F41A178">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5BE1671C">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697AFAA3">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35D87716">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（4）投标保证金（如有）；</w:t>
      </w:r>
    </w:p>
    <w:p w14:paraId="75022CB5">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6A93C258">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5D477D6D">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5584BEC1">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技术文件</w:t>
      </w:r>
    </w:p>
    <w:p w14:paraId="094AD79B">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勘察设计方案（暗标）。</w:t>
      </w:r>
    </w:p>
    <w:p w14:paraId="42E12790">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投标人须知前附表规定不接受联合体投标的，或投标人没有组成联合体的，投标文件不包括本章第3.1.1（3）目所指的联合体协议书。</w:t>
      </w:r>
    </w:p>
    <w:p w14:paraId="5883A2DA">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投标人须知前附表未要求提交投标保证金的，投标文件不包括本章第3.1.1（4）目所指的投标保证金。</w:t>
      </w:r>
    </w:p>
    <w:p w14:paraId="76E20A58">
      <w:pPr>
        <w:wordWrap w:val="0"/>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保密要求</w:t>
      </w:r>
    </w:p>
    <w:p w14:paraId="41BCA437">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14:paraId="682D4291">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4632B5F">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2" w:name="_Toc26290"/>
      <w:bookmarkStart w:id="73" w:name="_Toc193357959"/>
      <w:bookmarkStart w:id="74" w:name="_Toc111186744"/>
      <w:r>
        <w:rPr>
          <w:rFonts w:hint="eastAsia" w:ascii="宋体" w:hAnsi="宋体" w:eastAsia="宋体" w:cs="宋体"/>
          <w:b/>
          <w:bCs/>
          <w:color w:val="auto"/>
          <w:spacing w:val="1"/>
          <w:sz w:val="28"/>
          <w:szCs w:val="32"/>
          <w:highlight w:val="none"/>
          <w:lang w:val="zh-CN"/>
        </w:rPr>
        <w:t>3.2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投标报价</w:t>
      </w:r>
      <w:bookmarkEnd w:id="72"/>
      <w:bookmarkEnd w:id="73"/>
      <w:bookmarkEnd w:id="74"/>
    </w:p>
    <w:p w14:paraId="705F3B94">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投标报价应包括国家规定的增值税税金，除投标人须知前附表另有规定外，增值税税金按一般计税方法计算。投标人应按第六章“投标文件格式”的要求在投标函中进行报价并填写勘察设计费用清单。</w:t>
      </w:r>
    </w:p>
    <w:p w14:paraId="1A2B0618">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3.2.2 投标人应充分了解该项目的总体情况以及影响投标报价的其他要素。</w:t>
      </w:r>
    </w:p>
    <w:p w14:paraId="75633BA0">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3.2.3 本项目的报价方式见投标人须知前附表。投标人在投标截止时间前修改投标函中的投标报价总额，应同时修改投标文件“勘察设计费报价表”中的相应报价。此修改须符合本章第4.3款的有关要求。</w:t>
      </w:r>
    </w:p>
    <w:p w14:paraId="39766907">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3.2.4 招标人设有最高投标限价的，投标人的投标报价不得超过最高投标限价，最高投标限价在投标人须知前附表中载明。</w:t>
      </w:r>
    </w:p>
    <w:p w14:paraId="1E2500F5">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olor w:val="auto"/>
          <w:sz w:val="24"/>
          <w:szCs w:val="24"/>
          <w:highlight w:val="none"/>
        </w:rPr>
        <w:t>3.2.5 投标报价的其他要求见投标人须知前附表。</w:t>
      </w:r>
    </w:p>
    <w:p w14:paraId="6E2AEB8C">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808ADC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5" w:name="_Toc7276"/>
      <w:bookmarkStart w:id="76" w:name="_Toc111186745"/>
      <w:bookmarkStart w:id="77" w:name="_Toc193357960"/>
      <w:r>
        <w:rPr>
          <w:rFonts w:hint="eastAsia" w:ascii="宋体" w:hAnsi="宋体" w:eastAsia="宋体" w:cs="宋体"/>
          <w:b/>
          <w:bCs/>
          <w:color w:val="auto"/>
          <w:spacing w:val="1"/>
          <w:sz w:val="28"/>
          <w:szCs w:val="32"/>
          <w:highlight w:val="none"/>
          <w:lang w:val="zh-CN"/>
        </w:rPr>
        <w:t>3.3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投标有效期</w:t>
      </w:r>
      <w:bookmarkEnd w:id="75"/>
      <w:bookmarkEnd w:id="76"/>
      <w:bookmarkEnd w:id="77"/>
    </w:p>
    <w:p w14:paraId="3C48366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3.3.1 除投标人须知前附表另有规定外，投标有效期不少于90天。</w:t>
      </w:r>
    </w:p>
    <w:p w14:paraId="13CA51F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3.3.2 在投标有效期内，投标人撤销投标文件的，应承担招标文件和法律规定的责任。</w:t>
      </w:r>
    </w:p>
    <w:p w14:paraId="0A1E0B4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457644D">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627F707">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78" w:name="_Toc193357961"/>
      <w:bookmarkStart w:id="79" w:name="_Toc3821"/>
      <w:bookmarkStart w:id="80" w:name="_Toc111186746"/>
      <w:r>
        <w:rPr>
          <w:rFonts w:hint="eastAsia" w:ascii="宋体" w:hAnsi="宋体" w:eastAsia="宋体" w:cs="宋体"/>
          <w:b/>
          <w:bCs/>
          <w:color w:val="auto"/>
          <w:spacing w:val="1"/>
          <w:sz w:val="28"/>
          <w:szCs w:val="32"/>
          <w:highlight w:val="none"/>
          <w:lang w:val="zh-CN"/>
        </w:rPr>
        <w:t>3.4 投标保证金</w:t>
      </w:r>
      <w:bookmarkEnd w:id="78"/>
      <w:bookmarkEnd w:id="79"/>
      <w:bookmarkEnd w:id="80"/>
    </w:p>
    <w:p w14:paraId="6AEF2BF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3.4.1 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78F9CA6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3.4.2 投标人不按本章第3.4.1项要求提交投标保证金的，评标委员会将否决其投标。未按招标文件要求提交符合免予提供投标保证金相关证明材料，且未提交投标保证金的投标人，视为未按要求提供投标保证金。</w:t>
      </w:r>
    </w:p>
    <w:p w14:paraId="7F14D70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3.4.3 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15604B9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3.4.4 在提交投标文件截止时间后到招标文件规定的投标有效期终止之前，投标人不得撤销其投标文件，否则招标人可以不退还投标保证金。</w:t>
      </w:r>
    </w:p>
    <w:p w14:paraId="502DA1D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3.4.5 有下列情形之一的，投标保证金将不予退还：</w:t>
      </w:r>
    </w:p>
    <w:p w14:paraId="0B59E28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（1）投标人在提交投标文件截止时间后到招标文件规定的投标有效期终止之前撤销投标文件；</w:t>
      </w:r>
    </w:p>
    <w:p w14:paraId="005A7E4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（2）中标人在收到中标通知书后，无正当理由不与招标人订立合同，在签订合同时向招标人提出附加条件，或者不按照招标文件要求提交履约保证金；</w:t>
      </w:r>
    </w:p>
    <w:p w14:paraId="0E8B6A3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（3）发生投标人须知前附表规定的其他可以不予退还投标保证金的情形。</w:t>
      </w:r>
    </w:p>
    <w:p w14:paraId="3BF6C3B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3E03D562">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86E4BA5">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81" w:name="_Toc193357963"/>
      <w:bookmarkStart w:id="82" w:name="_Toc19411"/>
      <w:bookmarkStart w:id="83" w:name="_Toc111186747"/>
      <w:r>
        <w:rPr>
          <w:rFonts w:hint="eastAsia" w:ascii="宋体" w:hAnsi="宋体" w:eastAsia="宋体" w:cs="宋体"/>
          <w:b/>
          <w:bCs/>
          <w:color w:val="auto"/>
          <w:spacing w:val="1"/>
          <w:sz w:val="28"/>
          <w:szCs w:val="32"/>
          <w:highlight w:val="none"/>
          <w:lang w:val="zh-CN"/>
        </w:rPr>
        <w:t>3.5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资格审查</w:t>
      </w:r>
      <w:r>
        <w:rPr>
          <w:rFonts w:hint="eastAsia" w:ascii="宋体" w:hAnsi="宋体" w:eastAsia="宋体" w:cs="宋体"/>
          <w:b/>
          <w:bCs/>
          <w:color w:val="auto"/>
          <w:spacing w:val="-3"/>
          <w:sz w:val="28"/>
          <w:szCs w:val="32"/>
          <w:highlight w:val="none"/>
          <w:lang w:val="zh-CN"/>
        </w:rPr>
        <w:t>资</w:t>
      </w:r>
      <w:r>
        <w:rPr>
          <w:rFonts w:hint="eastAsia" w:ascii="宋体" w:hAnsi="宋体" w:eastAsia="宋体" w:cs="宋体"/>
          <w:b/>
          <w:bCs/>
          <w:color w:val="auto"/>
          <w:spacing w:val="1"/>
          <w:sz w:val="28"/>
          <w:szCs w:val="32"/>
          <w:highlight w:val="none"/>
          <w:lang w:val="zh-CN"/>
        </w:rPr>
        <w:t>料</w:t>
      </w:r>
      <w:r>
        <w:rPr>
          <w:rFonts w:hint="eastAsia" w:ascii="宋体" w:hAnsi="宋体" w:eastAsia="宋体" w:cs="宋体"/>
          <w:b/>
          <w:bCs/>
          <w:color w:val="auto"/>
          <w:spacing w:val="-3"/>
          <w:sz w:val="28"/>
          <w:szCs w:val="32"/>
          <w:highlight w:val="none"/>
          <w:lang w:val="zh-CN"/>
        </w:rPr>
        <w:t>（</w:t>
      </w:r>
      <w:r>
        <w:rPr>
          <w:rFonts w:hint="eastAsia" w:ascii="宋体" w:hAnsi="宋体" w:eastAsia="宋体" w:cs="宋体"/>
          <w:b/>
          <w:bCs/>
          <w:color w:val="auto"/>
          <w:spacing w:val="1"/>
          <w:sz w:val="28"/>
          <w:szCs w:val="32"/>
          <w:highlight w:val="none"/>
          <w:lang w:val="zh-CN"/>
        </w:rPr>
        <w:t>适用于</w:t>
      </w:r>
      <w:r>
        <w:rPr>
          <w:rFonts w:hint="eastAsia" w:ascii="宋体" w:hAnsi="宋体" w:eastAsia="宋体" w:cs="宋体"/>
          <w:b/>
          <w:bCs/>
          <w:color w:val="auto"/>
          <w:spacing w:val="-3"/>
          <w:sz w:val="28"/>
          <w:szCs w:val="32"/>
          <w:highlight w:val="none"/>
          <w:lang w:val="zh-CN"/>
        </w:rPr>
        <w:t>未</w:t>
      </w:r>
      <w:r>
        <w:rPr>
          <w:rFonts w:hint="eastAsia" w:ascii="宋体" w:hAnsi="宋体" w:eastAsia="宋体" w:cs="宋体"/>
          <w:b/>
          <w:bCs/>
          <w:color w:val="auto"/>
          <w:spacing w:val="1"/>
          <w:sz w:val="28"/>
          <w:szCs w:val="32"/>
          <w:highlight w:val="none"/>
          <w:lang w:val="zh-CN"/>
        </w:rPr>
        <w:t>进行</w:t>
      </w:r>
      <w:r>
        <w:rPr>
          <w:rFonts w:hint="eastAsia" w:ascii="宋体" w:hAnsi="宋体" w:eastAsia="宋体" w:cs="宋体"/>
          <w:b/>
          <w:bCs/>
          <w:color w:val="auto"/>
          <w:spacing w:val="-3"/>
          <w:sz w:val="28"/>
          <w:szCs w:val="32"/>
          <w:highlight w:val="none"/>
          <w:lang w:val="zh-CN"/>
        </w:rPr>
        <w:t>资格</w:t>
      </w:r>
      <w:r>
        <w:rPr>
          <w:rFonts w:hint="eastAsia" w:ascii="宋体" w:hAnsi="宋体" w:eastAsia="宋体" w:cs="宋体"/>
          <w:b/>
          <w:bCs/>
          <w:color w:val="auto"/>
          <w:spacing w:val="1"/>
          <w:sz w:val="28"/>
          <w:szCs w:val="32"/>
          <w:highlight w:val="none"/>
          <w:lang w:val="zh-CN"/>
        </w:rPr>
        <w:t>预审的）</w:t>
      </w:r>
      <w:bookmarkEnd w:id="81"/>
      <w:bookmarkEnd w:id="82"/>
      <w:bookmarkEnd w:id="83"/>
    </w:p>
    <w:p w14:paraId="629A4DF2">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除投标人须知前附表另有规定外，投标人应按招标公告投标人资格要求及下列规定提供资格审查资料，以证明其满足本章第1.4款规定的资质、业绩等要求。</w:t>
      </w:r>
    </w:p>
    <w:p w14:paraId="58DCA209">
      <w:pPr>
        <w:wordWrap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3.5.1 “投标人基本情况表”应附投标人营业执照和组织机构代码证的扫描件（按照“三证合一”或“五证合一”登记制度进行登记的，可仅提供营业执照扫描件）、投标人勘察设计资质证书副本等材料的扫描件。</w:t>
      </w:r>
    </w:p>
    <w:p w14:paraId="029FF937">
      <w:pPr>
        <w:wordWrap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3.5.2 “近年完成的类似勘察设计项目情况表”应附中标通知书和（或）合同协议书、委托人出具的证明文件；具体时间要求见投标人须知前附表，每张表格只填写一个项目，并标明序号。</w:t>
      </w:r>
    </w:p>
    <w:p w14:paraId="526522E9">
      <w:pPr>
        <w:wordWrap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3.5.3 “拟委任的主要人员汇总表”应填报满足本章第1.4.1项规定的项目负责人和其他主要人员的相关信息。“主要人员简历表”中项目负责人应附身份证、学历证、职称证、执业资格证书和社保缴费证明扫描件，管理过的项目业绩须附合同协议书（如有）扫描件；其他主要人员应附身份证、学历证、职称证、有关证书和社保缴费证明扫描件（如有）。</w:t>
      </w:r>
      <w:r>
        <w:rPr>
          <w:rFonts w:hint="eastAsia" w:ascii="宋体" w:hAnsi="宋体" w:eastAsia="宋体" w:cs="宋体"/>
          <w:strike/>
          <w:color w:val="auto"/>
          <w:kern w:val="0"/>
          <w:sz w:val="24"/>
          <w:szCs w:val="24"/>
          <w:highlight w:val="none"/>
          <w:lang w:eastAsia="zh-CN"/>
        </w:rPr>
        <w:t>（注：以上人员社保要求：具有离投标截止时间最近</w:t>
      </w:r>
      <w:r>
        <w:rPr>
          <w:rFonts w:hint="eastAsia" w:ascii="宋体" w:hAnsi="宋体" w:eastAsia="宋体" w:cs="宋体"/>
          <w:strike/>
          <w:color w:val="auto"/>
          <w:kern w:val="0"/>
          <w:sz w:val="24"/>
          <w:szCs w:val="24"/>
          <w:highlight w:val="none"/>
          <w:lang w:val="en-US" w:eastAsia="zh-CN"/>
        </w:rPr>
        <w:t>的至少1</w:t>
      </w:r>
      <w:r>
        <w:rPr>
          <w:rFonts w:hint="eastAsia" w:ascii="宋体" w:hAnsi="宋体" w:eastAsia="宋体" w:cs="宋体"/>
          <w:strike/>
          <w:color w:val="auto"/>
          <w:kern w:val="0"/>
          <w:sz w:val="24"/>
          <w:szCs w:val="24"/>
          <w:highlight w:val="none"/>
          <w:lang w:eastAsia="zh-CN"/>
        </w:rPr>
        <w:t>个月在本单位缴纳的社保证明文件，由招标人自行确定。）</w:t>
      </w:r>
    </w:p>
    <w:p w14:paraId="0A42D19D">
      <w:pPr>
        <w:wordWrap w:val="0"/>
        <w:spacing w:line="360" w:lineRule="auto"/>
        <w:ind w:firstLine="480" w:firstLineChars="200"/>
        <w:rPr>
          <w:rFonts w:hint="eastAsia" w:ascii="宋体" w:hAnsi="宋体" w:eastAsia="宋体" w:cs="宋体"/>
          <w:strike/>
          <w:color w:val="auto"/>
          <w:kern w:val="0"/>
          <w:sz w:val="24"/>
          <w:szCs w:val="24"/>
          <w:highlight w:val="none"/>
        </w:rPr>
      </w:pPr>
      <w:r>
        <w:rPr>
          <w:rFonts w:hint="eastAsia" w:ascii="宋体" w:hAnsi="宋体" w:eastAsia="宋体" w:cs="宋体"/>
          <w:strike/>
          <w:color w:val="auto"/>
          <w:kern w:val="0"/>
          <w:sz w:val="24"/>
          <w:szCs w:val="24"/>
          <w:highlight w:val="none"/>
        </w:rPr>
        <w:t>3.5.4 投标人须知前附表规定接受联合体投标的，本章第3.5.1项至第3.5.3项规定的表格和资料应包括联合体各方相关情况。</w:t>
      </w:r>
    </w:p>
    <w:p w14:paraId="45AE9E31">
      <w:pPr>
        <w:wordWrap w:val="0"/>
        <w:spacing w:line="360" w:lineRule="auto"/>
        <w:ind w:firstLine="482" w:firstLineChars="200"/>
        <w:rPr>
          <w:rFonts w:ascii="宋体" w:hAnsi="宋体" w:eastAsia="宋体" w:cs="宋体"/>
          <w:strike/>
          <w:color w:val="auto"/>
          <w:sz w:val="24"/>
          <w:szCs w:val="24"/>
          <w:highlight w:val="none"/>
          <w:u w:val="single"/>
        </w:rPr>
      </w:pPr>
      <w:r>
        <w:rPr>
          <w:rFonts w:hint="eastAsia" w:ascii="宋体" w:hAnsi="宋体" w:eastAsia="宋体"/>
          <w:b/>
          <w:bCs/>
          <w:color w:val="auto"/>
          <w:sz w:val="24"/>
          <w:szCs w:val="24"/>
          <w:highlight w:val="none"/>
          <w:u w:val="single"/>
        </w:rPr>
        <w:t>3.5.1 资格审查资料详见第六章“投标文件格式”。</w:t>
      </w:r>
    </w:p>
    <w:p w14:paraId="1A18CE0B">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0E7BF6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84" w:name="_Toc111186748"/>
      <w:bookmarkStart w:id="85" w:name="_Toc193357964"/>
      <w:bookmarkStart w:id="86" w:name="_Toc10646"/>
      <w:r>
        <w:rPr>
          <w:rFonts w:hint="eastAsia" w:ascii="宋体" w:hAnsi="宋体" w:eastAsia="宋体" w:cs="宋体"/>
          <w:b/>
          <w:bCs/>
          <w:color w:val="auto"/>
          <w:spacing w:val="1"/>
          <w:sz w:val="28"/>
          <w:szCs w:val="32"/>
          <w:highlight w:val="none"/>
          <w:lang w:val="zh-CN"/>
        </w:rPr>
        <w:t>3.6 备选投标方案</w:t>
      </w:r>
      <w:bookmarkEnd w:id="84"/>
      <w:bookmarkEnd w:id="85"/>
      <w:bookmarkEnd w:id="86"/>
    </w:p>
    <w:p w14:paraId="2029CF6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3.6.1 除投标人须知前附表规定允许外，投标人不得递交备选投标方案，否则其投标将被否决。</w:t>
      </w:r>
    </w:p>
    <w:p w14:paraId="0843300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2D3462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3.6.3 投标人提供两个或两个以上投标报价，或者在投标文件中提供一个报价，但同时提供两个或两个以上勘察设计方案的，视为提供备选方案。</w:t>
      </w:r>
    </w:p>
    <w:p w14:paraId="7B57188B">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7A618B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87" w:name="_Toc111186749"/>
      <w:bookmarkStart w:id="88" w:name="_Toc193357965"/>
      <w:bookmarkStart w:id="89" w:name="_Toc7643"/>
      <w:r>
        <w:rPr>
          <w:rFonts w:hint="eastAsia" w:ascii="宋体" w:hAnsi="宋体" w:eastAsia="宋体" w:cs="宋体"/>
          <w:b/>
          <w:bCs/>
          <w:color w:val="auto"/>
          <w:spacing w:val="1"/>
          <w:sz w:val="28"/>
          <w:szCs w:val="32"/>
          <w:highlight w:val="none"/>
          <w:lang w:val="zh-CN"/>
        </w:rPr>
        <w:t>3.7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编制</w:t>
      </w:r>
      <w:bookmarkEnd w:id="87"/>
      <w:bookmarkEnd w:id="88"/>
      <w:bookmarkEnd w:id="89"/>
    </w:p>
    <w:p w14:paraId="52363107">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7209685F">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3.7.2 投标文件应当对招标文件有关勘察设计服务期限、投标有效期、发包人要求、招标范围等实质性内容作出响应。</w:t>
      </w:r>
    </w:p>
    <w:p w14:paraId="4ACDBB46">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14:paraId="16C7021B">
      <w:pPr>
        <w:wordWrap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3.7.4 联合体投标时，投标人封面及其他内容落款中的“投标人”应填写联合体各方的单位全称【格式为：（主）XXXX公司（成）XXXX公司】。除</w:t>
      </w:r>
      <w:r>
        <w:rPr>
          <w:rFonts w:hint="eastAsia" w:ascii="宋体" w:hAnsi="宋体" w:eastAsia="宋体" w:cs="宋体"/>
          <w:color w:val="auto"/>
          <w:kern w:val="0"/>
          <w:sz w:val="24"/>
          <w:szCs w:val="24"/>
          <w:highlight w:val="none"/>
          <w:lang w:eastAsia="zh-CN"/>
        </w:rPr>
        <w:t>联合体协议书</w:t>
      </w:r>
      <w:r>
        <w:rPr>
          <w:rFonts w:hint="eastAsia" w:ascii="宋体" w:hAnsi="宋体" w:eastAsia="宋体" w:cs="宋体"/>
          <w:color w:val="auto"/>
          <w:kern w:val="0"/>
          <w:sz w:val="24"/>
          <w:szCs w:val="24"/>
          <w:highlight w:val="none"/>
        </w:rPr>
        <w:t>需联合体各方按要求共同盖章签字，其余可由联合体主办方签字、盖章即可，由联合体主办方法人签字的电子投标文件需提供主办方法定代表人身份证明，若由联合体主办方法定代表人授权签字的电子投标文件需提供法定代表人身份证明及其授权委托书、授权委托人身份证扫描件。</w:t>
      </w:r>
    </w:p>
    <w:p w14:paraId="70B052D5">
      <w:pPr>
        <w:wordWrap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3.7.5 投标文件应按照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网站关于全流程电子化项目的相关指南进行编制。如因不按上述编排要求编制而所引起系统无法检索、读取相关信息时，其后果将由投标人自行承担。</w:t>
      </w:r>
    </w:p>
    <w:p w14:paraId="594B12D0">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51B41E1">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90" w:name="_Toc193357966"/>
      <w:bookmarkStart w:id="91" w:name="_Toc30610"/>
      <w:bookmarkStart w:id="92" w:name="_Toc111186750"/>
      <w:r>
        <w:rPr>
          <w:rFonts w:hint="eastAsia" w:ascii="宋体" w:hAnsi="宋体" w:eastAsia="宋体" w:cs="宋体"/>
          <w:b/>
          <w:bCs/>
          <w:color w:val="auto"/>
          <w:spacing w:val="1"/>
          <w:kern w:val="0"/>
          <w:sz w:val="30"/>
          <w:szCs w:val="30"/>
          <w:highlight w:val="none"/>
          <w:lang w:val="zh-CN"/>
        </w:rPr>
        <w:t>4</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投标</w:t>
      </w:r>
      <w:bookmarkEnd w:id="90"/>
      <w:bookmarkEnd w:id="91"/>
      <w:bookmarkEnd w:id="92"/>
    </w:p>
    <w:p w14:paraId="2327982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3" w:name="_Toc26954"/>
      <w:bookmarkStart w:id="94" w:name="_Toc193357967"/>
      <w:bookmarkStart w:id="95" w:name="_Toc111186751"/>
      <w:r>
        <w:rPr>
          <w:rFonts w:hint="eastAsia" w:ascii="宋体" w:hAnsi="宋体" w:eastAsia="宋体" w:cs="宋体"/>
          <w:b/>
          <w:bCs/>
          <w:color w:val="auto"/>
          <w:spacing w:val="1"/>
          <w:sz w:val="28"/>
          <w:szCs w:val="32"/>
          <w:highlight w:val="none"/>
          <w:lang w:val="zh-CN"/>
        </w:rPr>
        <w:t>4.1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密</w:t>
      </w:r>
      <w:r>
        <w:rPr>
          <w:rFonts w:hint="eastAsia" w:ascii="宋体" w:hAnsi="宋体" w:eastAsia="宋体" w:cs="宋体"/>
          <w:b/>
          <w:bCs/>
          <w:color w:val="auto"/>
          <w:spacing w:val="-3"/>
          <w:sz w:val="28"/>
          <w:szCs w:val="32"/>
          <w:highlight w:val="none"/>
          <w:lang w:val="zh-CN"/>
        </w:rPr>
        <w:t>封</w:t>
      </w:r>
      <w:r>
        <w:rPr>
          <w:rFonts w:hint="eastAsia" w:ascii="宋体" w:hAnsi="宋体" w:eastAsia="宋体" w:cs="宋体"/>
          <w:b/>
          <w:bCs/>
          <w:color w:val="auto"/>
          <w:spacing w:val="1"/>
          <w:sz w:val="28"/>
          <w:szCs w:val="32"/>
          <w:highlight w:val="none"/>
          <w:lang w:val="zh-CN"/>
        </w:rPr>
        <w:t>和标记</w:t>
      </w:r>
      <w:bookmarkEnd w:id="93"/>
      <w:bookmarkEnd w:id="94"/>
      <w:bookmarkEnd w:id="95"/>
    </w:p>
    <w:p w14:paraId="03021B8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投标人应当按照招标文件和电子招标投标交易平台的要求加密投标文件（不含备用光盘），具体要求见投标人须知前附表。</w:t>
      </w:r>
    </w:p>
    <w:p w14:paraId="7B087A2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（如有）投标文件备用光盘封套上应写明的内容见投标人须知前附表。</w:t>
      </w:r>
    </w:p>
    <w:p w14:paraId="0A43C90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4.1.3 未按本章第4.1.1项要求加密的投标文件，招标人将授权</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网站交易平台予以拒收。</w:t>
      </w:r>
    </w:p>
    <w:p w14:paraId="4B973531">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C8D1C7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6" w:name="_Toc28727"/>
      <w:bookmarkStart w:id="97" w:name="_Toc111186752"/>
      <w:bookmarkStart w:id="98" w:name="_Toc193357968"/>
      <w:r>
        <w:rPr>
          <w:rFonts w:hint="eastAsia" w:ascii="宋体" w:hAnsi="宋体" w:eastAsia="宋体" w:cs="宋体"/>
          <w:b/>
          <w:bCs/>
          <w:color w:val="auto"/>
          <w:spacing w:val="1"/>
          <w:sz w:val="28"/>
          <w:szCs w:val="32"/>
          <w:highlight w:val="none"/>
          <w:lang w:val="zh-CN"/>
        </w:rPr>
        <w:t>4.2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递交</w:t>
      </w:r>
      <w:bookmarkEnd w:id="96"/>
      <w:bookmarkEnd w:id="97"/>
      <w:bookmarkEnd w:id="98"/>
    </w:p>
    <w:p w14:paraId="79E63B1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4.2.1 投标人应在投标人须知前附表规定的投标截止时间前</w:t>
      </w:r>
      <w:r>
        <w:rPr>
          <w:rFonts w:hint="eastAsia" w:ascii="宋体" w:hAnsi="宋体" w:eastAsia="宋体" w:cs="宋体"/>
          <w:color w:val="auto"/>
          <w:kern w:val="0"/>
          <w:sz w:val="24"/>
          <w:szCs w:val="24"/>
          <w:highlight w:val="none"/>
        </w:rPr>
        <w:t>通过</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网站交易平台递交电子投标文件</w:t>
      </w:r>
      <w:r>
        <w:rPr>
          <w:rFonts w:ascii="宋体" w:hAnsi="宋体" w:eastAsia="宋体" w:cs="宋体"/>
          <w:color w:val="auto"/>
          <w:kern w:val="0"/>
          <w:sz w:val="24"/>
          <w:szCs w:val="24"/>
          <w:highlight w:val="none"/>
        </w:rPr>
        <w:t>。</w:t>
      </w:r>
    </w:p>
    <w:p w14:paraId="19FC459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4.2.2</w:t>
      </w:r>
      <w:r>
        <w:rPr>
          <w:rFonts w:hint="eastAsia" w:ascii="宋体" w:hAnsi="宋体" w:eastAsia="宋体" w:cs="宋体"/>
          <w:color w:val="auto"/>
          <w:kern w:val="0"/>
          <w:sz w:val="24"/>
          <w:szCs w:val="24"/>
          <w:highlight w:val="none"/>
        </w:rPr>
        <w:t xml:space="preserve"> 投标人完成电子投标文件上传后，</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网站交易平台即时向投标人发出递交回执通知。递交时间以递交回执通知载明的传输完成时间为准</w:t>
      </w:r>
      <w:r>
        <w:rPr>
          <w:rFonts w:ascii="宋体" w:hAnsi="宋体" w:eastAsia="宋体" w:cs="宋体"/>
          <w:color w:val="auto"/>
          <w:kern w:val="0"/>
          <w:sz w:val="24"/>
          <w:szCs w:val="24"/>
          <w:highlight w:val="none"/>
        </w:rPr>
        <w:t>。</w:t>
      </w:r>
    </w:p>
    <w:p w14:paraId="4B74666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 xml:space="preserve">4.2.3 </w:t>
      </w:r>
      <w:r>
        <w:rPr>
          <w:rFonts w:hint="eastAsia" w:ascii="宋体" w:hAnsi="宋体" w:eastAsia="宋体" w:cs="宋体"/>
          <w:color w:val="auto"/>
          <w:kern w:val="0"/>
          <w:sz w:val="24"/>
          <w:szCs w:val="24"/>
          <w:highlight w:val="none"/>
        </w:rPr>
        <w:t>逾期送达的电子投标文件，</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网站交易平台将予以拒收。</w:t>
      </w:r>
    </w:p>
    <w:p w14:paraId="321BA4F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4.2.</w:t>
      </w:r>
      <w:r>
        <w:rPr>
          <w:rFonts w:hint="eastAsia" w:ascii="宋体" w:hAnsi="宋体" w:eastAsia="宋体" w:cs="宋体"/>
          <w:color w:val="auto"/>
          <w:kern w:val="0"/>
          <w:sz w:val="24"/>
          <w:szCs w:val="24"/>
          <w:highlight w:val="none"/>
        </w:rPr>
        <w:t>4 投标截止前，招标人拒绝接收符合条件的投标文件，投标人可向招标监督机构投诉</w:t>
      </w:r>
      <w:r>
        <w:rPr>
          <w:rFonts w:ascii="宋体" w:hAnsi="宋体" w:eastAsia="宋体" w:cs="宋体"/>
          <w:color w:val="auto"/>
          <w:kern w:val="0"/>
          <w:sz w:val="24"/>
          <w:szCs w:val="24"/>
          <w:highlight w:val="none"/>
        </w:rPr>
        <w:t>。</w:t>
      </w:r>
    </w:p>
    <w:p w14:paraId="32C8D051">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E15DE73">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99" w:name="_Toc32035"/>
      <w:bookmarkStart w:id="100" w:name="_Toc193357969"/>
      <w:bookmarkStart w:id="101" w:name="_Toc111186753"/>
      <w:r>
        <w:rPr>
          <w:rFonts w:hint="eastAsia" w:ascii="宋体" w:hAnsi="宋体" w:eastAsia="宋体" w:cs="宋体"/>
          <w:b/>
          <w:bCs/>
          <w:color w:val="auto"/>
          <w:spacing w:val="1"/>
          <w:sz w:val="28"/>
          <w:szCs w:val="32"/>
          <w:highlight w:val="none"/>
          <w:lang w:val="zh-CN"/>
        </w:rPr>
        <w:t>4.3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投标文件</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修</w:t>
      </w:r>
      <w:r>
        <w:rPr>
          <w:rFonts w:hint="eastAsia" w:ascii="宋体" w:hAnsi="宋体" w:eastAsia="宋体" w:cs="宋体"/>
          <w:b/>
          <w:bCs/>
          <w:color w:val="auto"/>
          <w:spacing w:val="-3"/>
          <w:sz w:val="28"/>
          <w:szCs w:val="32"/>
          <w:highlight w:val="none"/>
          <w:lang w:val="zh-CN"/>
        </w:rPr>
        <w:t>改</w:t>
      </w:r>
      <w:r>
        <w:rPr>
          <w:rFonts w:hint="eastAsia" w:ascii="宋体" w:hAnsi="宋体" w:eastAsia="宋体" w:cs="宋体"/>
          <w:b/>
          <w:bCs/>
          <w:color w:val="auto"/>
          <w:spacing w:val="1"/>
          <w:sz w:val="28"/>
          <w:szCs w:val="32"/>
          <w:highlight w:val="none"/>
          <w:lang w:val="zh-CN"/>
        </w:rPr>
        <w:t>与撤回</w:t>
      </w:r>
      <w:bookmarkEnd w:id="99"/>
      <w:bookmarkEnd w:id="100"/>
      <w:bookmarkEnd w:id="101"/>
    </w:p>
    <w:p w14:paraId="6186AAE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4.3.1 在规定的投标截止时间前，投标人可以修改或撤回已递交的投标文件，但应以书面形式通知招标人。</w:t>
      </w:r>
    </w:p>
    <w:p w14:paraId="2CC76A7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4.3.2 投标人修改或撤回已递交投标文件，需在交易平台发出修改或撤回通知，并按要求加盖电子印章。电子招标投标交易平台收到通知后，即时向投标人发出确认回执通知。</w:t>
      </w:r>
    </w:p>
    <w:p w14:paraId="76F4734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4.3.3 修改后再次递交的，按第4.2项的规定执行。</w:t>
      </w:r>
    </w:p>
    <w:p w14:paraId="0CCD56C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4.3.4 在投标截止时间之后，投标人不得补充、修改和更换投标文件。</w:t>
      </w:r>
    </w:p>
    <w:p w14:paraId="725EAEC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4.3.5 投标人撤回投标文件的，招标人自收到投标人书面撤回通知之日起5日内退还已收取的投标保证金。</w:t>
      </w:r>
    </w:p>
    <w:p w14:paraId="19F2E17E">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26511A0C">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02" w:name="_Toc3959"/>
      <w:bookmarkStart w:id="103" w:name="_Toc111186754"/>
      <w:bookmarkStart w:id="104" w:name="_Toc193357970"/>
      <w:r>
        <w:rPr>
          <w:rFonts w:hint="eastAsia" w:ascii="宋体" w:hAnsi="宋体" w:eastAsia="宋体" w:cs="宋体"/>
          <w:b/>
          <w:bCs/>
          <w:color w:val="auto"/>
          <w:spacing w:val="1"/>
          <w:kern w:val="0"/>
          <w:sz w:val="30"/>
          <w:szCs w:val="30"/>
          <w:highlight w:val="none"/>
          <w:lang w:val="zh-CN"/>
        </w:rPr>
        <w:t>5</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开标</w:t>
      </w:r>
      <w:bookmarkEnd w:id="102"/>
      <w:bookmarkEnd w:id="103"/>
      <w:bookmarkEnd w:id="104"/>
    </w:p>
    <w:p w14:paraId="2AE28DBC">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5" w:name="_Toc111186756"/>
      <w:bookmarkStart w:id="106" w:name="_Toc27261"/>
      <w:bookmarkStart w:id="107" w:name="_Toc193357972"/>
      <w:bookmarkStart w:id="108" w:name="_Toc25072089"/>
      <w:r>
        <w:rPr>
          <w:rFonts w:hint="eastAsia" w:ascii="宋体" w:hAnsi="宋体" w:eastAsia="宋体" w:cs="宋体"/>
          <w:b/>
          <w:bCs/>
          <w:color w:val="auto"/>
          <w:spacing w:val="1"/>
          <w:sz w:val="28"/>
          <w:szCs w:val="32"/>
          <w:highlight w:val="none"/>
          <w:lang w:val="zh-CN"/>
        </w:rPr>
        <w:t>5.1 开标时间和地点</w:t>
      </w:r>
      <w:bookmarkEnd w:id="105"/>
      <w:bookmarkEnd w:id="106"/>
      <w:bookmarkEnd w:id="107"/>
      <w:bookmarkEnd w:id="108"/>
    </w:p>
    <w:p w14:paraId="0C97210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5.1.1 招标人按投标须知前附表规定的时间和地点公开开标。截标后，开标开始时间因故推迟的，相关评标信息仍以原定的开标开始时间的信息为准。</w:t>
      </w:r>
    </w:p>
    <w:p w14:paraId="0D92B6C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F9C2DA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7603C4E">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09" w:name="_Toc20443"/>
      <w:bookmarkStart w:id="110" w:name="_Toc111186757"/>
      <w:bookmarkStart w:id="111" w:name="_Toc193357973"/>
      <w:r>
        <w:rPr>
          <w:rFonts w:hint="eastAsia" w:ascii="宋体" w:hAnsi="宋体" w:eastAsia="宋体" w:cs="宋体"/>
          <w:b/>
          <w:bCs/>
          <w:color w:val="auto"/>
          <w:spacing w:val="1"/>
          <w:sz w:val="28"/>
          <w:szCs w:val="32"/>
          <w:highlight w:val="none"/>
          <w:lang w:val="zh-CN"/>
        </w:rPr>
        <w:t>5.2 开标程序</w:t>
      </w:r>
      <w:bookmarkEnd w:id="109"/>
      <w:bookmarkEnd w:id="110"/>
      <w:bookmarkEnd w:id="111"/>
    </w:p>
    <w:p w14:paraId="7E6ACF0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5.2.1 在投标截止时间后一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3AD7124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5.2.2 按开标记录表规定的内容进行唱标。</w:t>
      </w:r>
    </w:p>
    <w:p w14:paraId="1972DB5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5.2.3 投标人代表、招标人代表等有关人员在开标记录上签字确认；若有关人员不签字的，不影响开标程序。</w:t>
      </w:r>
    </w:p>
    <w:p w14:paraId="0CDE173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5.2.4 开标结束。</w:t>
      </w:r>
    </w:p>
    <w:p w14:paraId="6C4FFF2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1F59E2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5.2.6 开标时，两个（含两个）以上的投标人加密打包投标文件的硬件特征码（含MAC地址、硬盘序列号、CPU名称、主板等）一致的，由评标委员会否决其投标。</w:t>
      </w:r>
    </w:p>
    <w:p w14:paraId="6BB34F6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B43611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2" w:name="_Toc193357974"/>
      <w:bookmarkStart w:id="113" w:name="_Toc111186758"/>
      <w:bookmarkStart w:id="114" w:name="_Toc26094"/>
      <w:r>
        <w:rPr>
          <w:rFonts w:hint="eastAsia" w:ascii="宋体" w:hAnsi="宋体" w:eastAsia="宋体" w:cs="宋体"/>
          <w:b/>
          <w:bCs/>
          <w:color w:val="auto"/>
          <w:spacing w:val="1"/>
          <w:sz w:val="28"/>
          <w:szCs w:val="32"/>
          <w:highlight w:val="none"/>
          <w:lang w:val="zh-CN"/>
        </w:rPr>
        <w:t>5.3 开标异议</w:t>
      </w:r>
      <w:bookmarkEnd w:id="112"/>
      <w:bookmarkEnd w:id="113"/>
      <w:bookmarkEnd w:id="114"/>
    </w:p>
    <w:p w14:paraId="7B72673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1 参加现场开标的投标人对开标结果有异议的，应当在开标现场提出，该投标人代表须同时出示本人身份证原件，招标人应当当场作出答复，并制作记录。未答复的，开标程序不得结束。</w:t>
      </w:r>
    </w:p>
    <w:p w14:paraId="61D3E97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rPr>
        <w:t>2 参加在线开标的投标人对开标结果有异议的，应当在唱标结束后的规定时间内使用单位数字证书登录</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14:paraId="434FC055">
      <w:pPr>
        <w:wordWrap w:val="0"/>
        <w:autoSpaceDE w:val="0"/>
        <w:autoSpaceDN w:val="0"/>
        <w:spacing w:line="360" w:lineRule="auto"/>
        <w:ind w:firstLine="480" w:firstLineChars="200"/>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5.3.3 投标人未参加开标或在规定的时间内未提出异议的，视为对开标无异议。</w:t>
      </w:r>
    </w:p>
    <w:p w14:paraId="7F3AC6AA">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7E42C2A">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15" w:name="_Toc27043"/>
      <w:bookmarkStart w:id="116" w:name="_Toc111186759"/>
      <w:bookmarkStart w:id="117" w:name="_Toc193357975"/>
      <w:r>
        <w:rPr>
          <w:rFonts w:hint="eastAsia" w:ascii="宋体" w:hAnsi="宋体" w:eastAsia="宋体" w:cs="宋体"/>
          <w:b/>
          <w:bCs/>
          <w:color w:val="auto"/>
          <w:spacing w:val="1"/>
          <w:kern w:val="0"/>
          <w:sz w:val="30"/>
          <w:szCs w:val="30"/>
          <w:highlight w:val="none"/>
          <w:lang w:val="zh-CN"/>
        </w:rPr>
        <w:t>6</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spacing w:val="2"/>
          <w:kern w:val="0"/>
          <w:sz w:val="30"/>
          <w:szCs w:val="30"/>
          <w:highlight w:val="none"/>
          <w:lang w:val="zh-CN"/>
        </w:rPr>
        <w:t>评标</w:t>
      </w:r>
      <w:bookmarkEnd w:id="115"/>
      <w:bookmarkEnd w:id="116"/>
      <w:bookmarkEnd w:id="117"/>
    </w:p>
    <w:p w14:paraId="082155A5">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18" w:name="_Toc874"/>
      <w:bookmarkStart w:id="119" w:name="_Toc111186760"/>
      <w:bookmarkStart w:id="120" w:name="_Toc193357976"/>
      <w:r>
        <w:rPr>
          <w:rFonts w:hint="eastAsia" w:ascii="宋体" w:hAnsi="宋体" w:eastAsia="宋体" w:cs="宋体"/>
          <w:b/>
          <w:bCs/>
          <w:color w:val="auto"/>
          <w:spacing w:val="1"/>
          <w:sz w:val="28"/>
          <w:szCs w:val="32"/>
          <w:highlight w:val="none"/>
          <w:lang w:val="zh-CN"/>
        </w:rPr>
        <w:t>6.1 评标委员会</w:t>
      </w:r>
      <w:bookmarkEnd w:id="118"/>
      <w:bookmarkEnd w:id="119"/>
      <w:bookmarkEnd w:id="120"/>
    </w:p>
    <w:p w14:paraId="3A3FC45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6.1.1 评标由招标人依法组建的评标委员会负责。</w:t>
      </w:r>
      <w:r>
        <w:rPr>
          <w:rFonts w:hint="eastAsia" w:ascii="宋体" w:hAnsi="宋体" w:eastAsia="宋体" w:cs="宋体"/>
          <w:color w:val="auto"/>
          <w:kern w:val="0"/>
          <w:sz w:val="24"/>
          <w:szCs w:val="24"/>
          <w:highlight w:val="none"/>
        </w:rPr>
        <w:t>评标委员会由有关技术、经济等方面的专家和招标人代表组成，专家从</w:t>
      </w:r>
      <w:r>
        <w:rPr>
          <w:rFonts w:hint="eastAsia" w:ascii="宋体" w:hAnsi="宋体" w:eastAsia="宋体" w:cs="宋体"/>
          <w:color w:val="auto"/>
          <w:kern w:val="0"/>
          <w:sz w:val="24"/>
          <w:szCs w:val="24"/>
          <w:highlight w:val="none"/>
          <w:u w:val="single"/>
        </w:rPr>
        <w:t>广东省综合评标评审专家库</w:t>
      </w:r>
      <w:r>
        <w:rPr>
          <w:rFonts w:hint="eastAsia" w:ascii="宋体" w:hAnsi="宋体" w:eastAsia="宋体" w:cs="宋体"/>
          <w:color w:val="auto"/>
          <w:kern w:val="0"/>
          <w:sz w:val="24"/>
          <w:szCs w:val="24"/>
          <w:highlight w:val="none"/>
        </w:rPr>
        <w:t>中抽取或按远程异地评标专家抽取相关规定组建</w:t>
      </w:r>
      <w:r>
        <w:rPr>
          <w:rFonts w:ascii="宋体" w:hAnsi="宋体" w:eastAsia="宋体" w:cs="宋体"/>
          <w:color w:val="auto"/>
          <w:kern w:val="0"/>
          <w:sz w:val="24"/>
          <w:szCs w:val="24"/>
          <w:highlight w:val="none"/>
        </w:rPr>
        <w:t>。评标委员会成员人数以及技术、经济等方面专家的确定方式见投标人须知前附表。</w:t>
      </w:r>
    </w:p>
    <w:p w14:paraId="243085C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6.1.2 评标委员会成员有下列情形之一的，应当回避：</w:t>
      </w:r>
    </w:p>
    <w:p w14:paraId="22027D9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(1)投标人或投标人主要负责人的近亲属；</w:t>
      </w:r>
    </w:p>
    <w:p w14:paraId="66C8C593">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(2)项目主管部门或者行政监督部门的人员；</w:t>
      </w:r>
    </w:p>
    <w:p w14:paraId="646A655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rPr>
        <w:t>招标人或投标人的工作人员、退休或离职未满3年的人员；</w:t>
      </w:r>
    </w:p>
    <w:p w14:paraId="1ABCA0D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4</w:t>
      </w:r>
      <w:r>
        <w:rPr>
          <w:rFonts w:ascii="宋体" w:hAnsi="宋体" w:eastAsia="宋体" w:cs="宋体"/>
          <w:color w:val="auto"/>
          <w:kern w:val="0"/>
          <w:sz w:val="24"/>
          <w:szCs w:val="24"/>
          <w:highlight w:val="none"/>
        </w:rPr>
        <w:t>)与投标人有经济利益关系，可能影响对投标公正评审的；</w:t>
      </w:r>
    </w:p>
    <w:p w14:paraId="62CC4F0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5</w:t>
      </w:r>
      <w:r>
        <w:rPr>
          <w:rFonts w:ascii="宋体" w:hAnsi="宋体" w:eastAsia="宋体" w:cs="宋体"/>
          <w:color w:val="auto"/>
          <w:kern w:val="0"/>
          <w:sz w:val="24"/>
          <w:szCs w:val="24"/>
          <w:highlight w:val="none"/>
        </w:rPr>
        <w:t>)曾因在招标、评标以及其他与招标投标有关活动中从事违法行为而受过行政处罚或刑事处罚的；</w:t>
      </w:r>
    </w:p>
    <w:p w14:paraId="654BEEB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rPr>
        <w:t>6</w:t>
      </w:r>
      <w:r>
        <w:rPr>
          <w:rFonts w:ascii="宋体" w:hAnsi="宋体" w:eastAsia="宋体" w:cs="宋体"/>
          <w:color w:val="auto"/>
          <w:kern w:val="0"/>
          <w:sz w:val="24"/>
          <w:szCs w:val="24"/>
          <w:highlight w:val="none"/>
        </w:rPr>
        <w:t>)与投标人有其他利害关系。</w:t>
      </w:r>
    </w:p>
    <w:p w14:paraId="721CFD97">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764B4E9A">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2024113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1" w:name="_Toc111186761"/>
      <w:bookmarkStart w:id="122" w:name="_Toc9043"/>
      <w:bookmarkStart w:id="123" w:name="_Toc193357977"/>
      <w:r>
        <w:rPr>
          <w:rFonts w:hint="eastAsia" w:ascii="宋体" w:hAnsi="宋体" w:eastAsia="宋体" w:cs="宋体"/>
          <w:b/>
          <w:bCs/>
          <w:color w:val="auto"/>
          <w:spacing w:val="1"/>
          <w:sz w:val="28"/>
          <w:szCs w:val="32"/>
          <w:highlight w:val="none"/>
          <w:lang w:val="zh-CN"/>
        </w:rPr>
        <w:t>6.2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评标原则</w:t>
      </w:r>
      <w:bookmarkEnd w:id="121"/>
      <w:bookmarkEnd w:id="122"/>
      <w:bookmarkEnd w:id="123"/>
    </w:p>
    <w:p w14:paraId="565B826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评标活动遵循公平、公正、科学和择优的原则。</w:t>
      </w:r>
    </w:p>
    <w:p w14:paraId="36474AF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E53E8BB">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24" w:name="_Toc193357978"/>
      <w:bookmarkStart w:id="125" w:name="_Toc10255"/>
      <w:bookmarkStart w:id="126" w:name="_Toc111186762"/>
      <w:r>
        <w:rPr>
          <w:rFonts w:hint="eastAsia" w:ascii="宋体" w:hAnsi="宋体" w:eastAsia="宋体" w:cs="宋体"/>
          <w:b/>
          <w:bCs/>
          <w:color w:val="auto"/>
          <w:spacing w:val="1"/>
          <w:sz w:val="28"/>
          <w:szCs w:val="32"/>
          <w:highlight w:val="none"/>
          <w:lang w:val="zh-CN"/>
        </w:rPr>
        <w:t>6.3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w:t>
      </w:r>
      <w:bookmarkEnd w:id="124"/>
      <w:bookmarkEnd w:id="125"/>
      <w:bookmarkEnd w:id="126"/>
    </w:p>
    <w:p w14:paraId="710EEC6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6.3.1 评标委员会按照第三章“评标办法”规定的方法、评审因素、标准和程序对投标文件进行评审。第三章“评标办法”没有规定的方法、评审因素和标准，不作为评标依据。</w:t>
      </w:r>
    </w:p>
    <w:p w14:paraId="30322F1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t>6.3.2 评标完成后，评标委员会应当向招标人提交书面评标报告和中标候选人名单。评标委员会推荐中标候选人的人数见投标人须知前附表。</w:t>
      </w:r>
    </w:p>
    <w:p w14:paraId="256F1C2D">
      <w:pPr>
        <w:wordWrap w:val="0"/>
        <w:spacing w:line="360" w:lineRule="auto"/>
        <w:ind w:firstLine="480" w:firstLineChars="200"/>
        <w:rPr>
          <w:rFonts w:ascii="宋体" w:hAnsi="宋体" w:eastAsia="宋体" w:cs="宋体"/>
          <w:color w:val="auto"/>
          <w:sz w:val="24"/>
          <w:szCs w:val="24"/>
          <w:highlight w:val="none"/>
        </w:rPr>
      </w:pPr>
    </w:p>
    <w:p w14:paraId="0D4E2424">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27" w:name="_Toc111186763"/>
      <w:bookmarkStart w:id="128" w:name="_Toc193357979"/>
      <w:bookmarkStart w:id="129" w:name="_Toc10209"/>
      <w:r>
        <w:rPr>
          <w:rFonts w:hint="eastAsia" w:ascii="宋体" w:hAnsi="宋体" w:eastAsia="宋体" w:cs="宋体"/>
          <w:b/>
          <w:bCs/>
          <w:color w:val="auto"/>
          <w:spacing w:val="1"/>
          <w:kern w:val="0"/>
          <w:sz w:val="30"/>
          <w:szCs w:val="30"/>
          <w:highlight w:val="none"/>
          <w:lang w:val="zh-CN"/>
        </w:rPr>
        <w:t>7</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合同授予</w:t>
      </w:r>
      <w:bookmarkEnd w:id="127"/>
      <w:bookmarkEnd w:id="128"/>
      <w:bookmarkEnd w:id="129"/>
    </w:p>
    <w:p w14:paraId="4A1DA64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0" w:name="_Toc193357980"/>
      <w:bookmarkStart w:id="131" w:name="_Toc111186764"/>
      <w:bookmarkStart w:id="132" w:name="_Toc3077"/>
      <w:r>
        <w:rPr>
          <w:rFonts w:hint="eastAsia" w:ascii="宋体" w:hAnsi="宋体" w:eastAsia="宋体" w:cs="宋体"/>
          <w:b/>
          <w:bCs/>
          <w:color w:val="auto"/>
          <w:spacing w:val="1"/>
          <w:sz w:val="28"/>
          <w:szCs w:val="32"/>
          <w:highlight w:val="none"/>
          <w:lang w:val="zh-CN"/>
        </w:rPr>
        <w:t>7.1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公示</w:t>
      </w:r>
      <w:bookmarkEnd w:id="130"/>
      <w:bookmarkEnd w:id="131"/>
      <w:bookmarkEnd w:id="132"/>
    </w:p>
    <w:p w14:paraId="081D221C">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7.1.1 招标人在收到评标报告之日起3日内，按照投标人须知前附表规定的公示媒介和期限公示中标候选人，公示期不得少于3天，最后一天应为工作日。</w:t>
      </w:r>
    </w:p>
    <w:p w14:paraId="6FBD89E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7.1.2 在产生中标候选人后，招标人将中标候选人的投标文件商务部分（包括人员、业绩、奖项等资料）在</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网站和广东省招标投标监管网公开。</w:t>
      </w:r>
    </w:p>
    <w:p w14:paraId="2B70CC5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w:t>
      </w:r>
      <w:bookmarkStart w:id="133" w:name="OLE_LINK21"/>
      <w:r>
        <w:rPr>
          <w:rFonts w:hint="eastAsia" w:ascii="宋体" w:hAnsi="宋体" w:eastAsia="宋体" w:cs="宋体"/>
          <w:color w:val="auto"/>
          <w:kern w:val="0"/>
          <w:sz w:val="24"/>
          <w:szCs w:val="24"/>
          <w:highlight w:val="none"/>
        </w:rPr>
        <w:t>国家发展改革委等部门关于严格执行招标投标法规制度进一步规范招标投标主体行为的若干意见</w:t>
      </w:r>
      <w:bookmarkEnd w:id="133"/>
      <w:r>
        <w:rPr>
          <w:rFonts w:hint="eastAsia" w:ascii="宋体" w:hAnsi="宋体" w:eastAsia="宋体" w:cs="宋体"/>
          <w:color w:val="auto"/>
          <w:kern w:val="0"/>
          <w:sz w:val="24"/>
          <w:szCs w:val="24"/>
          <w:highlight w:val="none"/>
        </w:rPr>
        <w:t>》（发改法规规〔2022〕1117号），招标人应当在中标候选人公示前认真审查评标委员会提交的书面评标报告，发现异常情形的，依照法定程序进行复核，确认存在问题的，依照法定程序予以纠正。</w:t>
      </w:r>
    </w:p>
    <w:p w14:paraId="64375A1A">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3DA8D61B">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4" w:name="_Toc19391"/>
      <w:bookmarkStart w:id="135" w:name="_Toc193357981"/>
      <w:bookmarkStart w:id="136" w:name="_Toc111186765"/>
      <w:r>
        <w:rPr>
          <w:rFonts w:hint="eastAsia" w:ascii="宋体" w:hAnsi="宋体" w:eastAsia="宋体" w:cs="宋体"/>
          <w:b/>
          <w:bCs/>
          <w:color w:val="auto"/>
          <w:spacing w:val="1"/>
          <w:sz w:val="28"/>
          <w:szCs w:val="32"/>
          <w:highlight w:val="none"/>
          <w:lang w:val="zh-CN"/>
        </w:rPr>
        <w:t>7.2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评标结果</w:t>
      </w:r>
      <w:r>
        <w:rPr>
          <w:rFonts w:hint="eastAsia" w:ascii="宋体" w:hAnsi="宋体" w:eastAsia="宋体" w:cs="宋体"/>
          <w:b/>
          <w:bCs/>
          <w:color w:val="auto"/>
          <w:spacing w:val="-3"/>
          <w:sz w:val="28"/>
          <w:szCs w:val="32"/>
          <w:highlight w:val="none"/>
          <w:lang w:val="zh-CN"/>
        </w:rPr>
        <w:t>异</w:t>
      </w:r>
      <w:r>
        <w:rPr>
          <w:rFonts w:hint="eastAsia" w:ascii="宋体" w:hAnsi="宋体" w:eastAsia="宋体" w:cs="宋体"/>
          <w:b/>
          <w:bCs/>
          <w:color w:val="auto"/>
          <w:spacing w:val="1"/>
          <w:sz w:val="28"/>
          <w:szCs w:val="32"/>
          <w:highlight w:val="none"/>
          <w:lang w:val="zh-CN"/>
        </w:rPr>
        <w:t>议</w:t>
      </w:r>
      <w:bookmarkEnd w:id="134"/>
      <w:bookmarkEnd w:id="135"/>
      <w:bookmarkEnd w:id="136"/>
    </w:p>
    <w:p w14:paraId="66613EB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投标人或者其他利害关系人对评标结果有异议的，应当在中标候选人公示期间通过电子交易系统提出。招标人将在收到异议之日起3日内在电子交易系统作出答复；作出答复前，将暂停招标投标活动。</w:t>
      </w:r>
    </w:p>
    <w:p w14:paraId="7D195E22">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0C87E998">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37" w:name="_Toc193357982"/>
      <w:bookmarkStart w:id="138" w:name="_Toc17235"/>
      <w:bookmarkStart w:id="139" w:name="_Toc111186766"/>
      <w:r>
        <w:rPr>
          <w:rFonts w:hint="eastAsia" w:ascii="宋体" w:hAnsi="宋体" w:eastAsia="宋体" w:cs="宋体"/>
          <w:b/>
          <w:bCs/>
          <w:color w:val="auto"/>
          <w:spacing w:val="1"/>
          <w:sz w:val="28"/>
          <w:szCs w:val="32"/>
          <w:highlight w:val="none"/>
          <w:lang w:val="zh-CN"/>
        </w:rPr>
        <w:t>7.3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中标候选</w:t>
      </w:r>
      <w:r>
        <w:rPr>
          <w:rFonts w:hint="eastAsia" w:ascii="宋体" w:hAnsi="宋体" w:eastAsia="宋体" w:cs="宋体"/>
          <w:b/>
          <w:bCs/>
          <w:color w:val="auto"/>
          <w:spacing w:val="-3"/>
          <w:sz w:val="28"/>
          <w:szCs w:val="32"/>
          <w:highlight w:val="none"/>
          <w:lang w:val="zh-CN"/>
        </w:rPr>
        <w:t>人</w:t>
      </w:r>
      <w:r>
        <w:rPr>
          <w:rFonts w:hint="eastAsia" w:ascii="宋体" w:hAnsi="宋体" w:eastAsia="宋体" w:cs="宋体"/>
          <w:b/>
          <w:bCs/>
          <w:color w:val="auto"/>
          <w:spacing w:val="1"/>
          <w:sz w:val="28"/>
          <w:szCs w:val="32"/>
          <w:highlight w:val="none"/>
          <w:lang w:val="zh-CN"/>
        </w:rPr>
        <w:t>履</w:t>
      </w:r>
      <w:r>
        <w:rPr>
          <w:rFonts w:hint="eastAsia" w:ascii="宋体" w:hAnsi="宋体" w:eastAsia="宋体" w:cs="宋体"/>
          <w:b/>
          <w:bCs/>
          <w:color w:val="auto"/>
          <w:spacing w:val="-3"/>
          <w:sz w:val="28"/>
          <w:szCs w:val="32"/>
          <w:highlight w:val="none"/>
          <w:lang w:val="zh-CN"/>
        </w:rPr>
        <w:t>约</w:t>
      </w:r>
      <w:r>
        <w:rPr>
          <w:rFonts w:hint="eastAsia" w:ascii="宋体" w:hAnsi="宋体" w:eastAsia="宋体" w:cs="宋体"/>
          <w:b/>
          <w:bCs/>
          <w:color w:val="auto"/>
          <w:spacing w:val="1"/>
          <w:sz w:val="28"/>
          <w:szCs w:val="32"/>
          <w:highlight w:val="none"/>
          <w:lang w:val="zh-CN"/>
        </w:rPr>
        <w:t>能力审查</w:t>
      </w:r>
      <w:bookmarkEnd w:id="137"/>
      <w:bookmarkEnd w:id="138"/>
      <w:bookmarkEnd w:id="139"/>
    </w:p>
    <w:p w14:paraId="18329E1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330E9836">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204C052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0" w:name="_Toc111186767"/>
      <w:bookmarkStart w:id="141" w:name="_Toc193357983"/>
      <w:bookmarkStart w:id="142" w:name="_Toc1732"/>
      <w:r>
        <w:rPr>
          <w:rFonts w:hint="eastAsia" w:ascii="宋体" w:hAnsi="宋体" w:eastAsia="宋体" w:cs="宋体"/>
          <w:b/>
          <w:bCs/>
          <w:color w:val="auto"/>
          <w:spacing w:val="1"/>
          <w:sz w:val="28"/>
          <w:szCs w:val="32"/>
          <w:highlight w:val="none"/>
          <w:lang w:val="zh-CN"/>
        </w:rPr>
        <w:t>7.4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定标</w:t>
      </w:r>
      <w:bookmarkEnd w:id="140"/>
      <w:bookmarkEnd w:id="141"/>
      <w:bookmarkEnd w:id="142"/>
    </w:p>
    <w:p w14:paraId="0066411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按照投标人须知前附表的规定，招标人或招标人授权的评标委员会依法确定中标人。</w:t>
      </w:r>
    </w:p>
    <w:p w14:paraId="486C2A6C">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852396D">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3" w:name="_Toc4759"/>
      <w:bookmarkStart w:id="144" w:name="_Toc193357984"/>
      <w:bookmarkStart w:id="145" w:name="_Toc111186768"/>
      <w:r>
        <w:rPr>
          <w:rFonts w:hint="eastAsia" w:ascii="宋体" w:hAnsi="宋体" w:eastAsia="宋体" w:cs="宋体"/>
          <w:b/>
          <w:bCs/>
          <w:color w:val="auto"/>
          <w:spacing w:val="1"/>
          <w:sz w:val="28"/>
          <w:szCs w:val="32"/>
          <w:highlight w:val="none"/>
          <w:lang w:val="zh-CN"/>
        </w:rPr>
        <w:t>7.5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中标通知</w:t>
      </w:r>
      <w:bookmarkEnd w:id="143"/>
      <w:bookmarkEnd w:id="144"/>
      <w:bookmarkEnd w:id="145"/>
    </w:p>
    <w:p w14:paraId="2E979DF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7.5.1 在法规规定的时间内，招标人向中标人发出中标通知书。在广东省招标投标监管网和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网站发布中标信息，视同将中标结果通知未中标的投标人。</w:t>
      </w:r>
    </w:p>
    <w:p w14:paraId="6B34237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7.5.2 政府投资项目，中标通知书发出前，中标人应未被纳入失信惩戒名单，否则招标人将取消其中标资格。失信联合惩戒名单以“信用广州”网站公布的为准。</w:t>
      </w:r>
    </w:p>
    <w:p w14:paraId="010968B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24E3401">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6" w:name="_Toc193357985"/>
      <w:bookmarkStart w:id="147" w:name="_Toc11927"/>
      <w:bookmarkStart w:id="148" w:name="_Toc111186769"/>
      <w:r>
        <w:rPr>
          <w:rFonts w:hint="eastAsia" w:ascii="宋体" w:hAnsi="宋体" w:eastAsia="宋体" w:cs="宋体"/>
          <w:b/>
          <w:bCs/>
          <w:color w:val="auto"/>
          <w:spacing w:val="1"/>
          <w:sz w:val="28"/>
          <w:szCs w:val="32"/>
          <w:highlight w:val="none"/>
          <w:lang w:val="zh-CN"/>
        </w:rPr>
        <w:t>7.6</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技术成果</w:t>
      </w:r>
      <w:r>
        <w:rPr>
          <w:rFonts w:hint="eastAsia" w:ascii="宋体" w:hAnsi="宋体" w:eastAsia="宋体" w:cs="宋体"/>
          <w:b/>
          <w:bCs/>
          <w:color w:val="auto"/>
          <w:spacing w:val="-3"/>
          <w:sz w:val="28"/>
          <w:szCs w:val="32"/>
          <w:highlight w:val="none"/>
          <w:lang w:val="zh-CN"/>
        </w:rPr>
        <w:t>经</w:t>
      </w:r>
      <w:r>
        <w:rPr>
          <w:rFonts w:hint="eastAsia" w:ascii="宋体" w:hAnsi="宋体" w:eastAsia="宋体" w:cs="宋体"/>
          <w:b/>
          <w:bCs/>
          <w:color w:val="auto"/>
          <w:spacing w:val="1"/>
          <w:sz w:val="28"/>
          <w:szCs w:val="32"/>
          <w:highlight w:val="none"/>
          <w:lang w:val="zh-CN"/>
        </w:rPr>
        <w:t>济</w:t>
      </w:r>
      <w:r>
        <w:rPr>
          <w:rFonts w:hint="eastAsia" w:ascii="宋体" w:hAnsi="宋体" w:eastAsia="宋体" w:cs="宋体"/>
          <w:b/>
          <w:bCs/>
          <w:color w:val="auto"/>
          <w:spacing w:val="-3"/>
          <w:sz w:val="28"/>
          <w:szCs w:val="32"/>
          <w:highlight w:val="none"/>
          <w:lang w:val="zh-CN"/>
        </w:rPr>
        <w:t>补</w:t>
      </w:r>
      <w:r>
        <w:rPr>
          <w:rFonts w:hint="eastAsia" w:ascii="宋体" w:hAnsi="宋体" w:eastAsia="宋体" w:cs="宋体"/>
          <w:b/>
          <w:bCs/>
          <w:color w:val="auto"/>
          <w:spacing w:val="1"/>
          <w:sz w:val="28"/>
          <w:szCs w:val="32"/>
          <w:highlight w:val="none"/>
          <w:lang w:val="zh-CN"/>
        </w:rPr>
        <w:t>偿</w:t>
      </w:r>
      <w:bookmarkEnd w:id="146"/>
      <w:bookmarkEnd w:id="147"/>
      <w:bookmarkEnd w:id="148"/>
    </w:p>
    <w:p w14:paraId="4F9CF66D">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招标人对符合招标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w:t>
      </w:r>
      <w:r>
        <w:rPr>
          <w:rFonts w:hint="eastAsia" w:ascii="宋体" w:hAnsi="宋体" w:eastAsia="宋体" w:cs="宋体"/>
          <w:color w:val="auto"/>
          <w:spacing w:val="-2"/>
          <w:kern w:val="0"/>
          <w:sz w:val="24"/>
          <w:szCs w:val="24"/>
          <w:highlight w:val="none"/>
        </w:rPr>
        <w:t>规</w:t>
      </w:r>
      <w:r>
        <w:rPr>
          <w:rFonts w:hint="eastAsia" w:ascii="宋体" w:hAnsi="宋体" w:eastAsia="宋体" w:cs="宋体"/>
          <w:color w:val="auto"/>
          <w:kern w:val="0"/>
          <w:sz w:val="24"/>
          <w:szCs w:val="24"/>
          <w:highlight w:val="none"/>
        </w:rPr>
        <w:t>定的未中标人的技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w:t>
      </w:r>
      <w:r>
        <w:rPr>
          <w:rFonts w:hint="eastAsia" w:ascii="宋体" w:hAnsi="宋体" w:eastAsia="宋体" w:cs="宋体"/>
          <w:color w:val="auto"/>
          <w:spacing w:val="-2"/>
          <w:kern w:val="0"/>
          <w:sz w:val="24"/>
          <w:szCs w:val="24"/>
          <w:highlight w:val="none"/>
        </w:rPr>
        <w:t>果</w:t>
      </w:r>
      <w:r>
        <w:rPr>
          <w:rFonts w:hint="eastAsia" w:ascii="宋体" w:hAnsi="宋体" w:eastAsia="宋体" w:cs="宋体"/>
          <w:color w:val="auto"/>
          <w:kern w:val="0"/>
          <w:sz w:val="24"/>
          <w:szCs w:val="24"/>
          <w:highlight w:val="none"/>
        </w:rPr>
        <w:t>进行补偿的，招标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将</w:t>
      </w:r>
      <w:r>
        <w:rPr>
          <w:rFonts w:hint="eastAsia" w:ascii="宋体" w:hAnsi="宋体" w:eastAsia="宋体" w:cs="宋体"/>
          <w:color w:val="auto"/>
          <w:spacing w:val="-2"/>
          <w:kern w:val="0"/>
          <w:sz w:val="24"/>
          <w:szCs w:val="24"/>
          <w:highlight w:val="none"/>
        </w:rPr>
        <w:t>按</w:t>
      </w:r>
      <w:r>
        <w:rPr>
          <w:rFonts w:hint="eastAsia" w:ascii="宋体" w:hAnsi="宋体" w:eastAsia="宋体" w:cs="宋体"/>
          <w:color w:val="auto"/>
          <w:kern w:val="0"/>
          <w:sz w:val="24"/>
          <w:szCs w:val="24"/>
          <w:highlight w:val="none"/>
        </w:rPr>
        <w:t>投标人须知前附表规定的标准</w:t>
      </w:r>
      <w:r>
        <w:rPr>
          <w:rFonts w:hint="eastAsia" w:ascii="宋体" w:hAnsi="宋体" w:eastAsia="宋体" w:cs="宋体"/>
          <w:color w:val="auto"/>
          <w:spacing w:val="-2"/>
          <w:kern w:val="0"/>
          <w:sz w:val="24"/>
          <w:szCs w:val="24"/>
          <w:highlight w:val="none"/>
        </w:rPr>
        <w:t>给</w:t>
      </w:r>
      <w:r>
        <w:rPr>
          <w:rFonts w:hint="eastAsia" w:ascii="宋体" w:hAnsi="宋体" w:eastAsia="宋体" w:cs="宋体"/>
          <w:color w:val="auto"/>
          <w:kern w:val="0"/>
          <w:sz w:val="24"/>
          <w:szCs w:val="24"/>
          <w:highlight w:val="none"/>
        </w:rPr>
        <w:t>予经</w:t>
      </w:r>
      <w:r>
        <w:rPr>
          <w:rFonts w:hint="eastAsia" w:ascii="宋体" w:hAnsi="宋体" w:eastAsia="宋体" w:cs="宋体"/>
          <w:color w:val="auto"/>
          <w:spacing w:val="-2"/>
          <w:kern w:val="0"/>
          <w:sz w:val="24"/>
          <w:szCs w:val="24"/>
          <w:highlight w:val="none"/>
        </w:rPr>
        <w:t>济</w:t>
      </w:r>
      <w:r>
        <w:rPr>
          <w:rFonts w:hint="eastAsia" w:ascii="宋体" w:hAnsi="宋体" w:eastAsia="宋体" w:cs="宋体"/>
          <w:color w:val="auto"/>
          <w:kern w:val="0"/>
          <w:sz w:val="24"/>
          <w:szCs w:val="24"/>
          <w:highlight w:val="none"/>
        </w:rPr>
        <w:t>补偿，未中标人</w:t>
      </w:r>
      <w:r>
        <w:rPr>
          <w:rFonts w:hint="eastAsia" w:ascii="宋体" w:hAnsi="宋体" w:eastAsia="宋体" w:cs="宋体"/>
          <w:color w:val="auto"/>
          <w:spacing w:val="-2"/>
          <w:kern w:val="0"/>
          <w:sz w:val="24"/>
          <w:szCs w:val="24"/>
          <w:highlight w:val="none"/>
        </w:rPr>
        <w:t>在</w:t>
      </w:r>
      <w:r>
        <w:rPr>
          <w:rFonts w:hint="eastAsia" w:ascii="宋体" w:hAnsi="宋体" w:eastAsia="宋体" w:cs="宋体"/>
          <w:color w:val="auto"/>
          <w:kern w:val="0"/>
          <w:sz w:val="24"/>
          <w:szCs w:val="24"/>
          <w:highlight w:val="none"/>
        </w:rPr>
        <w:t>投标</w:t>
      </w:r>
      <w:r>
        <w:rPr>
          <w:rFonts w:hint="eastAsia" w:ascii="宋体" w:hAnsi="宋体" w:eastAsia="宋体" w:cs="宋体"/>
          <w:color w:val="auto"/>
          <w:spacing w:val="-2"/>
          <w:kern w:val="0"/>
          <w:sz w:val="24"/>
          <w:szCs w:val="24"/>
          <w:highlight w:val="none"/>
        </w:rPr>
        <w:t>文</w:t>
      </w:r>
      <w:r>
        <w:rPr>
          <w:rFonts w:hint="eastAsia" w:ascii="宋体" w:hAnsi="宋体" w:eastAsia="宋体" w:cs="宋体"/>
          <w:color w:val="auto"/>
          <w:kern w:val="0"/>
          <w:sz w:val="24"/>
          <w:szCs w:val="24"/>
          <w:highlight w:val="none"/>
        </w:rPr>
        <w:t>件中声明放弃技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成果</w:t>
      </w:r>
      <w:r>
        <w:rPr>
          <w:rFonts w:hint="eastAsia" w:ascii="宋体" w:hAnsi="宋体" w:eastAsia="宋体" w:cs="宋体"/>
          <w:color w:val="auto"/>
          <w:spacing w:val="-2"/>
          <w:kern w:val="0"/>
          <w:sz w:val="24"/>
          <w:szCs w:val="24"/>
          <w:highlight w:val="none"/>
        </w:rPr>
        <w:t>经</w:t>
      </w:r>
      <w:r>
        <w:rPr>
          <w:rFonts w:hint="eastAsia" w:ascii="宋体" w:hAnsi="宋体" w:eastAsia="宋体" w:cs="宋体"/>
          <w:color w:val="auto"/>
          <w:kern w:val="0"/>
          <w:sz w:val="24"/>
          <w:szCs w:val="24"/>
          <w:highlight w:val="none"/>
        </w:rPr>
        <w:t>济补偿费</w:t>
      </w:r>
      <w:r>
        <w:rPr>
          <w:rFonts w:hint="eastAsia" w:ascii="宋体" w:hAnsi="宋体" w:eastAsia="宋体" w:cs="宋体"/>
          <w:color w:val="auto"/>
          <w:spacing w:val="1"/>
          <w:kern w:val="0"/>
          <w:sz w:val="24"/>
          <w:szCs w:val="24"/>
          <w:highlight w:val="none"/>
        </w:rPr>
        <w:t>的</w:t>
      </w:r>
      <w:r>
        <w:rPr>
          <w:rFonts w:hint="eastAsia" w:ascii="宋体" w:hAnsi="宋体" w:eastAsia="宋体" w:cs="宋体"/>
          <w:color w:val="auto"/>
          <w:kern w:val="0"/>
          <w:sz w:val="24"/>
          <w:szCs w:val="24"/>
          <w:highlight w:val="none"/>
        </w:rPr>
        <w:t>除</w:t>
      </w:r>
      <w:r>
        <w:rPr>
          <w:rFonts w:hint="eastAsia" w:ascii="宋体" w:hAnsi="宋体" w:eastAsia="宋体" w:cs="宋体"/>
          <w:color w:val="auto"/>
          <w:spacing w:val="-2"/>
          <w:kern w:val="0"/>
          <w:sz w:val="24"/>
          <w:szCs w:val="24"/>
          <w:highlight w:val="none"/>
        </w:rPr>
        <w:t>外</w:t>
      </w:r>
      <w:r>
        <w:rPr>
          <w:rFonts w:hint="eastAsia" w:ascii="宋体" w:hAnsi="宋体" w:eastAsia="宋体" w:cs="宋体"/>
          <w:color w:val="auto"/>
          <w:kern w:val="0"/>
          <w:sz w:val="24"/>
          <w:szCs w:val="24"/>
          <w:highlight w:val="none"/>
        </w:rPr>
        <w:t>。招标</w:t>
      </w:r>
      <w:r>
        <w:rPr>
          <w:rFonts w:hint="eastAsia" w:ascii="宋体" w:hAnsi="宋体" w:eastAsia="宋体" w:cs="宋体"/>
          <w:color w:val="auto"/>
          <w:spacing w:val="-2"/>
          <w:kern w:val="0"/>
          <w:sz w:val="24"/>
          <w:szCs w:val="24"/>
          <w:highlight w:val="none"/>
        </w:rPr>
        <w:t>人</w:t>
      </w:r>
      <w:r>
        <w:rPr>
          <w:rFonts w:hint="eastAsia" w:ascii="宋体" w:hAnsi="宋体" w:eastAsia="宋体" w:cs="宋体"/>
          <w:color w:val="auto"/>
          <w:kern w:val="0"/>
          <w:sz w:val="24"/>
          <w:szCs w:val="24"/>
          <w:highlight w:val="none"/>
        </w:rPr>
        <w:t>将</w:t>
      </w:r>
      <w:r>
        <w:rPr>
          <w:rFonts w:hint="eastAsia" w:ascii="宋体" w:hAnsi="宋体" w:eastAsia="宋体" w:cs="宋体"/>
          <w:color w:val="auto"/>
          <w:spacing w:val="-2"/>
          <w:kern w:val="0"/>
          <w:sz w:val="24"/>
          <w:szCs w:val="24"/>
          <w:highlight w:val="none"/>
        </w:rPr>
        <w:t>于</w:t>
      </w:r>
      <w:r>
        <w:rPr>
          <w:rFonts w:hint="eastAsia" w:ascii="宋体" w:hAnsi="宋体" w:eastAsia="宋体" w:cs="宋体"/>
          <w:color w:val="auto"/>
          <w:kern w:val="0"/>
          <w:sz w:val="24"/>
          <w:szCs w:val="24"/>
          <w:highlight w:val="none"/>
        </w:rPr>
        <w:t>中</w:t>
      </w:r>
      <w:r>
        <w:rPr>
          <w:rFonts w:hint="eastAsia" w:ascii="宋体" w:hAnsi="宋体" w:eastAsia="宋体" w:cs="宋体"/>
          <w:color w:val="auto"/>
          <w:spacing w:val="-2"/>
          <w:kern w:val="0"/>
          <w:sz w:val="24"/>
          <w:szCs w:val="24"/>
          <w:highlight w:val="none"/>
        </w:rPr>
        <w:t>标</w:t>
      </w:r>
      <w:r>
        <w:rPr>
          <w:rFonts w:hint="eastAsia" w:ascii="宋体" w:hAnsi="宋体" w:eastAsia="宋体" w:cs="宋体"/>
          <w:color w:val="auto"/>
          <w:kern w:val="0"/>
          <w:sz w:val="24"/>
          <w:szCs w:val="24"/>
          <w:highlight w:val="none"/>
        </w:rPr>
        <w:t>通</w:t>
      </w:r>
      <w:r>
        <w:rPr>
          <w:rFonts w:hint="eastAsia" w:ascii="宋体" w:hAnsi="宋体" w:eastAsia="宋体" w:cs="宋体"/>
          <w:color w:val="auto"/>
          <w:spacing w:val="-2"/>
          <w:kern w:val="0"/>
          <w:sz w:val="24"/>
          <w:szCs w:val="24"/>
          <w:highlight w:val="none"/>
        </w:rPr>
        <w:t>知</w:t>
      </w:r>
      <w:r>
        <w:rPr>
          <w:rFonts w:hint="eastAsia" w:ascii="宋体" w:hAnsi="宋体" w:eastAsia="宋体" w:cs="宋体"/>
          <w:color w:val="auto"/>
          <w:kern w:val="0"/>
          <w:sz w:val="24"/>
          <w:szCs w:val="24"/>
          <w:highlight w:val="none"/>
        </w:rPr>
        <w:t>书</w:t>
      </w:r>
      <w:r>
        <w:rPr>
          <w:rFonts w:hint="eastAsia" w:ascii="宋体" w:hAnsi="宋体" w:eastAsia="宋体" w:cs="宋体"/>
          <w:color w:val="auto"/>
          <w:spacing w:val="-2"/>
          <w:kern w:val="0"/>
          <w:sz w:val="24"/>
          <w:szCs w:val="24"/>
          <w:highlight w:val="none"/>
        </w:rPr>
        <w:t>发</w:t>
      </w:r>
      <w:r>
        <w:rPr>
          <w:rFonts w:hint="eastAsia" w:ascii="宋体" w:hAnsi="宋体" w:eastAsia="宋体" w:cs="宋体"/>
          <w:color w:val="auto"/>
          <w:kern w:val="0"/>
          <w:sz w:val="24"/>
          <w:szCs w:val="24"/>
          <w:highlight w:val="none"/>
        </w:rPr>
        <w:t>出后</w:t>
      </w:r>
      <w:r>
        <w:rPr>
          <w:rFonts w:hint="eastAsia" w:ascii="宋体" w:hAnsi="宋体" w:eastAsia="宋体" w:cs="宋体"/>
          <w:color w:val="auto"/>
          <w:spacing w:val="-2"/>
          <w:kern w:val="0"/>
          <w:sz w:val="24"/>
          <w:szCs w:val="24"/>
          <w:highlight w:val="none"/>
        </w:rPr>
        <w:t>3</w:t>
      </w:r>
      <w:r>
        <w:rPr>
          <w:rFonts w:hint="eastAsia" w:ascii="宋体" w:hAnsi="宋体" w:eastAsia="宋体" w:cs="宋体"/>
          <w:color w:val="auto"/>
          <w:kern w:val="0"/>
          <w:sz w:val="24"/>
          <w:szCs w:val="24"/>
          <w:highlight w:val="none"/>
        </w:rPr>
        <w:t>0</w:t>
      </w:r>
      <w:r>
        <w:rPr>
          <w:rFonts w:hint="eastAsia" w:ascii="宋体" w:hAnsi="宋体" w:eastAsia="宋体" w:cs="宋体"/>
          <w:color w:val="auto"/>
          <w:spacing w:val="-2"/>
          <w:kern w:val="0"/>
          <w:sz w:val="24"/>
          <w:szCs w:val="24"/>
          <w:highlight w:val="none"/>
        </w:rPr>
        <w:t>日</w:t>
      </w:r>
      <w:r>
        <w:rPr>
          <w:rFonts w:hint="eastAsia" w:ascii="宋体" w:hAnsi="宋体" w:eastAsia="宋体" w:cs="宋体"/>
          <w:color w:val="auto"/>
          <w:kern w:val="0"/>
          <w:sz w:val="24"/>
          <w:szCs w:val="24"/>
          <w:highlight w:val="none"/>
        </w:rPr>
        <w:t>内</w:t>
      </w:r>
      <w:r>
        <w:rPr>
          <w:rFonts w:hint="eastAsia" w:ascii="宋体" w:hAnsi="宋体" w:eastAsia="宋体" w:cs="宋体"/>
          <w:color w:val="auto"/>
          <w:spacing w:val="-2"/>
          <w:kern w:val="0"/>
          <w:sz w:val="24"/>
          <w:szCs w:val="24"/>
          <w:highlight w:val="none"/>
        </w:rPr>
        <w:t>向</w:t>
      </w:r>
      <w:r>
        <w:rPr>
          <w:rFonts w:hint="eastAsia" w:ascii="宋体" w:hAnsi="宋体" w:eastAsia="宋体" w:cs="宋体"/>
          <w:color w:val="auto"/>
          <w:kern w:val="0"/>
          <w:sz w:val="24"/>
          <w:szCs w:val="24"/>
          <w:highlight w:val="none"/>
        </w:rPr>
        <w:t>未</w:t>
      </w:r>
      <w:r>
        <w:rPr>
          <w:rFonts w:hint="eastAsia" w:ascii="宋体" w:hAnsi="宋体" w:eastAsia="宋体" w:cs="宋体"/>
          <w:color w:val="auto"/>
          <w:spacing w:val="-2"/>
          <w:kern w:val="0"/>
          <w:sz w:val="24"/>
          <w:szCs w:val="24"/>
          <w:highlight w:val="none"/>
        </w:rPr>
        <w:t>中</w:t>
      </w:r>
      <w:r>
        <w:rPr>
          <w:rFonts w:hint="eastAsia" w:ascii="宋体" w:hAnsi="宋体" w:eastAsia="宋体" w:cs="宋体"/>
          <w:color w:val="auto"/>
          <w:kern w:val="0"/>
          <w:sz w:val="24"/>
          <w:szCs w:val="24"/>
          <w:highlight w:val="none"/>
        </w:rPr>
        <w:t>标</w:t>
      </w:r>
      <w:r>
        <w:rPr>
          <w:rFonts w:hint="eastAsia" w:ascii="宋体" w:hAnsi="宋体" w:eastAsia="宋体" w:cs="宋体"/>
          <w:color w:val="auto"/>
          <w:spacing w:val="-2"/>
          <w:kern w:val="0"/>
          <w:sz w:val="24"/>
          <w:szCs w:val="24"/>
          <w:highlight w:val="none"/>
        </w:rPr>
        <w:t>人支</w:t>
      </w:r>
      <w:r>
        <w:rPr>
          <w:rFonts w:hint="eastAsia" w:ascii="宋体" w:hAnsi="宋体" w:eastAsia="宋体" w:cs="宋体"/>
          <w:color w:val="auto"/>
          <w:kern w:val="0"/>
          <w:sz w:val="24"/>
          <w:szCs w:val="24"/>
          <w:highlight w:val="none"/>
        </w:rPr>
        <w:t>付技</w:t>
      </w:r>
      <w:r>
        <w:rPr>
          <w:rFonts w:hint="eastAsia" w:ascii="宋体" w:hAnsi="宋体" w:eastAsia="宋体" w:cs="宋体"/>
          <w:color w:val="auto"/>
          <w:spacing w:val="-2"/>
          <w:kern w:val="0"/>
          <w:sz w:val="24"/>
          <w:szCs w:val="24"/>
          <w:highlight w:val="none"/>
        </w:rPr>
        <w:t>术</w:t>
      </w:r>
      <w:r>
        <w:rPr>
          <w:rFonts w:hint="eastAsia" w:ascii="宋体" w:hAnsi="宋体" w:eastAsia="宋体" w:cs="宋体"/>
          <w:color w:val="auto"/>
          <w:kern w:val="0"/>
          <w:sz w:val="24"/>
          <w:szCs w:val="24"/>
          <w:highlight w:val="none"/>
        </w:rPr>
        <w:t>成</w:t>
      </w:r>
      <w:r>
        <w:rPr>
          <w:rFonts w:hint="eastAsia" w:ascii="宋体" w:hAnsi="宋体" w:eastAsia="宋体" w:cs="宋体"/>
          <w:color w:val="auto"/>
          <w:spacing w:val="-2"/>
          <w:kern w:val="0"/>
          <w:sz w:val="24"/>
          <w:szCs w:val="24"/>
          <w:highlight w:val="none"/>
        </w:rPr>
        <w:t>果</w:t>
      </w:r>
      <w:r>
        <w:rPr>
          <w:rFonts w:hint="eastAsia" w:ascii="宋体" w:hAnsi="宋体" w:eastAsia="宋体" w:cs="宋体"/>
          <w:color w:val="auto"/>
          <w:kern w:val="0"/>
          <w:sz w:val="24"/>
          <w:szCs w:val="24"/>
          <w:highlight w:val="none"/>
        </w:rPr>
        <w:t>经</w:t>
      </w:r>
      <w:r>
        <w:rPr>
          <w:rFonts w:hint="eastAsia" w:ascii="宋体" w:hAnsi="宋体" w:eastAsia="宋体" w:cs="宋体"/>
          <w:color w:val="auto"/>
          <w:spacing w:val="-2"/>
          <w:kern w:val="0"/>
          <w:sz w:val="24"/>
          <w:szCs w:val="24"/>
          <w:highlight w:val="none"/>
        </w:rPr>
        <w:t>济</w:t>
      </w:r>
      <w:r>
        <w:rPr>
          <w:rFonts w:hint="eastAsia" w:ascii="宋体" w:hAnsi="宋体" w:eastAsia="宋体" w:cs="宋体"/>
          <w:color w:val="auto"/>
          <w:kern w:val="0"/>
          <w:sz w:val="24"/>
          <w:szCs w:val="24"/>
          <w:highlight w:val="none"/>
        </w:rPr>
        <w:t>补</w:t>
      </w:r>
      <w:r>
        <w:rPr>
          <w:rFonts w:hint="eastAsia" w:ascii="宋体" w:hAnsi="宋体" w:eastAsia="宋体" w:cs="宋体"/>
          <w:color w:val="auto"/>
          <w:spacing w:val="-2"/>
          <w:kern w:val="0"/>
          <w:sz w:val="24"/>
          <w:szCs w:val="24"/>
          <w:highlight w:val="none"/>
        </w:rPr>
        <w:t>偿</w:t>
      </w:r>
      <w:r>
        <w:rPr>
          <w:rFonts w:hint="eastAsia" w:ascii="宋体" w:hAnsi="宋体" w:eastAsia="宋体" w:cs="宋体"/>
          <w:color w:val="auto"/>
          <w:kern w:val="0"/>
          <w:sz w:val="24"/>
          <w:szCs w:val="24"/>
          <w:highlight w:val="none"/>
        </w:rPr>
        <w:t>费。</w:t>
      </w:r>
    </w:p>
    <w:p w14:paraId="1FD22CB1">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78460B0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49" w:name="_Toc5726"/>
      <w:bookmarkStart w:id="150" w:name="_Toc193357986"/>
      <w:bookmarkStart w:id="151" w:name="_Toc111186770"/>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履约保证金</w:t>
      </w:r>
      <w:bookmarkEnd w:id="149"/>
      <w:bookmarkEnd w:id="150"/>
      <w:bookmarkEnd w:id="151"/>
    </w:p>
    <w:p w14:paraId="2E62CB6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F5C71D7">
      <w:pPr>
        <w:wordWrap w:val="0"/>
        <w:autoSpaceDE w:val="0"/>
        <w:autoSpaceDN w:val="0"/>
        <w:spacing w:line="360" w:lineRule="auto"/>
        <w:ind w:firstLine="480" w:firstLineChars="200"/>
        <w:rPr>
          <w:rFonts w:ascii="宋体" w:hAnsi="宋体" w:eastAsia="宋体" w:cs="宋体"/>
          <w:strike/>
          <w:color w:val="auto"/>
          <w:kern w:val="0"/>
          <w:sz w:val="24"/>
          <w:szCs w:val="24"/>
          <w:highlight w:val="none"/>
        </w:rPr>
      </w:pPr>
      <w:r>
        <w:rPr>
          <w:rFonts w:hint="eastAsia" w:ascii="宋体" w:hAnsi="宋体" w:eastAsia="宋体" w:cs="宋体"/>
          <w:color w:val="auto"/>
          <w:kern w:val="0"/>
          <w:sz w:val="24"/>
          <w:szCs w:val="24"/>
          <w:highlight w:val="none"/>
        </w:rPr>
        <w:t>7.7.2 中标人不能按本章第7.7.1项要求提交履约保证金的，视为放弃中标，其投标保证金不予退还，给招标人造成的损失超过投标保证金数额的，中标人还应当对超过部分予以赔偿。</w:t>
      </w:r>
    </w:p>
    <w:p w14:paraId="1038B3E5">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5227DA2">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2" w:name="_Toc193357987"/>
      <w:bookmarkStart w:id="153" w:name="_Toc32040"/>
      <w:bookmarkStart w:id="154" w:name="_Toc111186771"/>
      <w:r>
        <w:rPr>
          <w:rFonts w:hint="eastAsia" w:ascii="宋体" w:hAnsi="宋体" w:eastAsia="宋体" w:cs="宋体"/>
          <w:b/>
          <w:bCs/>
          <w:color w:val="auto"/>
          <w:spacing w:val="1"/>
          <w:sz w:val="28"/>
          <w:szCs w:val="32"/>
          <w:highlight w:val="none"/>
          <w:lang w:val="zh-CN"/>
        </w:rPr>
        <w:t>7</w:t>
      </w:r>
      <w:r>
        <w:rPr>
          <w:rFonts w:hint="eastAsia" w:ascii="宋体" w:hAnsi="宋体" w:eastAsia="宋体" w:cs="宋体"/>
          <w:b/>
          <w:bCs/>
          <w:color w:val="auto"/>
          <w:spacing w:val="-1"/>
          <w:sz w:val="28"/>
          <w:szCs w:val="32"/>
          <w:highlight w:val="none"/>
          <w:lang w:val="zh-CN"/>
        </w:rPr>
        <w:t>.</w:t>
      </w:r>
      <w:r>
        <w:rPr>
          <w:rFonts w:hint="eastAsia" w:ascii="宋体" w:hAnsi="宋体" w:eastAsia="宋体" w:cs="宋体"/>
          <w:b/>
          <w:bCs/>
          <w:color w:val="auto"/>
          <w:spacing w:val="1"/>
          <w:sz w:val="28"/>
          <w:szCs w:val="32"/>
          <w:highlight w:val="none"/>
          <w:lang w:val="zh-CN"/>
        </w:rPr>
        <w:t>8</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签订合同</w:t>
      </w:r>
      <w:bookmarkEnd w:id="152"/>
      <w:bookmarkEnd w:id="153"/>
      <w:bookmarkEnd w:id="154"/>
    </w:p>
    <w:p w14:paraId="5B8C530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7.8.1 招标人和中标人应当在中标通知书发出之日起30日内，根据招标文件和中标人的投标文件订立书面合同，并通过电子交易系统与中标人在线签订合同，并在广东省招标投标监管网和</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411667B">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7.8.2 发出中标通知书后，招标人无正当理由拒签合同，或者在签订合同时向中标人提出附加条件的，招标人向中标人退还投标保证金；给中标人造成损失的，还应当赔偿损失。</w:t>
      </w:r>
    </w:p>
    <w:p w14:paraId="27AA8944">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7.8.3 联合体中标的，联合体各方应当共同与招标人签订合同，就中标项目向招标人承担连带责任。</w:t>
      </w:r>
    </w:p>
    <w:p w14:paraId="11B57584">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65F2E943">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55" w:name="_Toc14874"/>
      <w:bookmarkStart w:id="156" w:name="_Toc111186772"/>
      <w:bookmarkStart w:id="157" w:name="_Toc193357988"/>
      <w:r>
        <w:rPr>
          <w:rFonts w:hint="eastAsia" w:ascii="宋体" w:hAnsi="宋体" w:eastAsia="宋体" w:cs="宋体"/>
          <w:b/>
          <w:bCs/>
          <w:color w:val="auto"/>
          <w:spacing w:val="1"/>
          <w:kern w:val="0"/>
          <w:sz w:val="30"/>
          <w:szCs w:val="30"/>
          <w:highlight w:val="none"/>
          <w:lang w:val="zh-CN"/>
        </w:rPr>
        <w:t>8</w:t>
      </w:r>
      <w:r>
        <w:rPr>
          <w:rFonts w:hint="eastAsia" w:ascii="宋体" w:hAnsi="宋体" w:eastAsia="宋体" w:cs="宋体"/>
          <w:b/>
          <w:bCs/>
          <w:color w:val="auto"/>
          <w:spacing w:val="-1"/>
          <w:kern w:val="0"/>
          <w:sz w:val="30"/>
          <w:szCs w:val="30"/>
          <w:highlight w:val="none"/>
          <w:lang w:val="zh-CN"/>
        </w:rPr>
        <w:t>.</w:t>
      </w:r>
      <w:r>
        <w:rPr>
          <w:rFonts w:hint="eastAsia" w:ascii="宋体" w:hAnsi="宋体" w:eastAsia="宋体" w:cs="宋体"/>
          <w:b/>
          <w:bCs/>
          <w:color w:val="auto"/>
          <w:kern w:val="0"/>
          <w:sz w:val="30"/>
          <w:szCs w:val="30"/>
          <w:highlight w:val="none"/>
          <w:lang w:val="zh-CN"/>
        </w:rPr>
        <w:t>纪律和监督</w:t>
      </w:r>
      <w:bookmarkEnd w:id="155"/>
      <w:bookmarkEnd w:id="156"/>
      <w:bookmarkEnd w:id="157"/>
    </w:p>
    <w:p w14:paraId="03A0055A">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58" w:name="_Toc3133"/>
      <w:bookmarkStart w:id="159" w:name="_Toc193357989"/>
      <w:bookmarkStart w:id="160" w:name="_Toc111186773"/>
      <w:r>
        <w:rPr>
          <w:rFonts w:hint="eastAsia" w:ascii="宋体" w:hAnsi="宋体" w:eastAsia="宋体" w:cs="宋体"/>
          <w:b/>
          <w:bCs/>
          <w:color w:val="auto"/>
          <w:spacing w:val="1"/>
          <w:sz w:val="28"/>
          <w:szCs w:val="32"/>
          <w:highlight w:val="none"/>
          <w:lang w:val="zh-CN"/>
        </w:rPr>
        <w:t>8.1</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对招标人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58"/>
      <w:bookmarkEnd w:id="159"/>
      <w:bookmarkEnd w:id="160"/>
    </w:p>
    <w:p w14:paraId="69A6FE0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招标人不得泄露招标投标活动中应当保密的情况和资料，不得与招标代理、投标人串通损害国家利益、社会公共利益或者他人合法权益。</w:t>
      </w:r>
    </w:p>
    <w:p w14:paraId="5D7F47D4">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B5DC946">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1" w:name="_Toc9243"/>
      <w:bookmarkStart w:id="162" w:name="_Toc111186774"/>
      <w:bookmarkStart w:id="163" w:name="_Toc193357990"/>
      <w:r>
        <w:rPr>
          <w:rFonts w:hint="eastAsia" w:ascii="宋体" w:hAnsi="宋体" w:eastAsia="宋体" w:cs="宋体"/>
          <w:b/>
          <w:bCs/>
          <w:color w:val="auto"/>
          <w:spacing w:val="1"/>
          <w:sz w:val="28"/>
          <w:szCs w:val="32"/>
          <w:highlight w:val="none"/>
          <w:lang w:val="zh-CN"/>
        </w:rPr>
        <w:t>8.2</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对投标人</w:t>
      </w:r>
      <w:r>
        <w:rPr>
          <w:rFonts w:hint="eastAsia" w:ascii="宋体" w:hAnsi="宋体" w:eastAsia="宋体" w:cs="宋体"/>
          <w:b/>
          <w:bCs/>
          <w:color w:val="auto"/>
          <w:spacing w:val="-3"/>
          <w:sz w:val="28"/>
          <w:szCs w:val="32"/>
          <w:highlight w:val="none"/>
          <w:lang w:val="zh-CN"/>
        </w:rPr>
        <w:t>的</w:t>
      </w:r>
      <w:r>
        <w:rPr>
          <w:rFonts w:hint="eastAsia" w:ascii="宋体" w:hAnsi="宋体" w:eastAsia="宋体" w:cs="宋体"/>
          <w:b/>
          <w:bCs/>
          <w:color w:val="auto"/>
          <w:spacing w:val="1"/>
          <w:sz w:val="28"/>
          <w:szCs w:val="32"/>
          <w:highlight w:val="none"/>
          <w:lang w:val="zh-CN"/>
        </w:rPr>
        <w:t>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61"/>
      <w:bookmarkEnd w:id="162"/>
      <w:bookmarkEnd w:id="163"/>
    </w:p>
    <w:p w14:paraId="0EDA7E58">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不得相互串通投标或者与招标人（招标代理）串通投标，不得向招标人或者评标委员会成员行贿谋取中标，不得以他人名义投标或者以其他方式弄虚作假骗取中标；投标人不得以任何方式干扰、影响评标工作。</w:t>
      </w:r>
    </w:p>
    <w:p w14:paraId="6729D939">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233A4AA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4" w:name="_Toc30238"/>
      <w:bookmarkStart w:id="165" w:name="_Toc193357991"/>
      <w:bookmarkStart w:id="166" w:name="_Toc111186775"/>
      <w:r>
        <w:rPr>
          <w:rFonts w:hint="eastAsia" w:ascii="宋体" w:hAnsi="宋体" w:eastAsia="宋体" w:cs="宋体"/>
          <w:b/>
          <w:bCs/>
          <w:color w:val="auto"/>
          <w:spacing w:val="1"/>
          <w:sz w:val="28"/>
          <w:szCs w:val="32"/>
          <w:highlight w:val="none"/>
          <w:lang w:val="zh-CN"/>
        </w:rPr>
        <w:t>8.3</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对评标委</w:t>
      </w:r>
      <w:r>
        <w:rPr>
          <w:rFonts w:hint="eastAsia" w:ascii="宋体" w:hAnsi="宋体" w:eastAsia="宋体" w:cs="宋体"/>
          <w:b/>
          <w:bCs/>
          <w:color w:val="auto"/>
          <w:spacing w:val="-3"/>
          <w:sz w:val="28"/>
          <w:szCs w:val="32"/>
          <w:highlight w:val="none"/>
          <w:lang w:val="zh-CN"/>
        </w:rPr>
        <w:t>员</w:t>
      </w:r>
      <w:r>
        <w:rPr>
          <w:rFonts w:hint="eastAsia" w:ascii="宋体" w:hAnsi="宋体" w:eastAsia="宋体" w:cs="宋体"/>
          <w:b/>
          <w:bCs/>
          <w:color w:val="auto"/>
          <w:spacing w:val="1"/>
          <w:sz w:val="28"/>
          <w:szCs w:val="32"/>
          <w:highlight w:val="none"/>
          <w:lang w:val="zh-CN"/>
        </w:rPr>
        <w:t>会</w:t>
      </w:r>
      <w:r>
        <w:rPr>
          <w:rFonts w:hint="eastAsia" w:ascii="宋体" w:hAnsi="宋体" w:eastAsia="宋体" w:cs="宋体"/>
          <w:b/>
          <w:bCs/>
          <w:color w:val="auto"/>
          <w:spacing w:val="-3"/>
          <w:sz w:val="28"/>
          <w:szCs w:val="32"/>
          <w:highlight w:val="none"/>
          <w:lang w:val="zh-CN"/>
        </w:rPr>
        <w:t>成</w:t>
      </w:r>
      <w:r>
        <w:rPr>
          <w:rFonts w:hint="eastAsia" w:ascii="宋体" w:hAnsi="宋体" w:eastAsia="宋体" w:cs="宋体"/>
          <w:b/>
          <w:bCs/>
          <w:color w:val="auto"/>
          <w:spacing w:val="1"/>
          <w:sz w:val="28"/>
          <w:szCs w:val="32"/>
          <w:highlight w:val="none"/>
          <w:lang w:val="zh-CN"/>
        </w:rPr>
        <w:t>员的纪</w:t>
      </w:r>
      <w:r>
        <w:rPr>
          <w:rFonts w:hint="eastAsia" w:ascii="宋体" w:hAnsi="宋体" w:eastAsia="宋体" w:cs="宋体"/>
          <w:b/>
          <w:bCs/>
          <w:color w:val="auto"/>
          <w:spacing w:val="-3"/>
          <w:sz w:val="28"/>
          <w:szCs w:val="32"/>
          <w:highlight w:val="none"/>
          <w:lang w:val="zh-CN"/>
        </w:rPr>
        <w:t>律</w:t>
      </w:r>
      <w:r>
        <w:rPr>
          <w:rFonts w:hint="eastAsia" w:ascii="宋体" w:hAnsi="宋体" w:eastAsia="宋体" w:cs="宋体"/>
          <w:b/>
          <w:bCs/>
          <w:color w:val="auto"/>
          <w:spacing w:val="1"/>
          <w:sz w:val="28"/>
          <w:szCs w:val="32"/>
          <w:highlight w:val="none"/>
          <w:lang w:val="zh-CN"/>
        </w:rPr>
        <w:t>要求</w:t>
      </w:r>
      <w:bookmarkEnd w:id="164"/>
      <w:bookmarkEnd w:id="165"/>
      <w:bookmarkEnd w:id="166"/>
    </w:p>
    <w:p w14:paraId="7FA70E12">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评标活动中，评标委员会成员应当客观、公正地履行职责，遵守职业道德，不得擅离职守，影响评标程序正常进行，不得使用第三章“评标办法”没有规定的评审因素和标准进行评标。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535016E4">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67" w:name="_Toc111186776"/>
      <w:bookmarkStart w:id="168" w:name="_Toc193357992"/>
      <w:bookmarkStart w:id="169" w:name="_Toc9711"/>
      <w:r>
        <w:rPr>
          <w:rFonts w:hint="eastAsia" w:ascii="宋体" w:hAnsi="宋体" w:eastAsia="宋体" w:cs="宋体"/>
          <w:b/>
          <w:bCs/>
          <w:color w:val="auto"/>
          <w:spacing w:val="1"/>
          <w:sz w:val="28"/>
          <w:szCs w:val="32"/>
          <w:highlight w:val="none"/>
          <w:lang w:val="zh-CN"/>
        </w:rPr>
        <w:t>8.4</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对与评标</w:t>
      </w:r>
      <w:r>
        <w:rPr>
          <w:rFonts w:hint="eastAsia" w:ascii="宋体" w:hAnsi="宋体" w:eastAsia="宋体" w:cs="宋体"/>
          <w:b/>
          <w:bCs/>
          <w:color w:val="auto"/>
          <w:spacing w:val="-3"/>
          <w:sz w:val="28"/>
          <w:szCs w:val="32"/>
          <w:highlight w:val="none"/>
          <w:lang w:val="zh-CN"/>
        </w:rPr>
        <w:t>活</w:t>
      </w:r>
      <w:r>
        <w:rPr>
          <w:rFonts w:hint="eastAsia" w:ascii="宋体" w:hAnsi="宋体" w:eastAsia="宋体" w:cs="宋体"/>
          <w:b/>
          <w:bCs/>
          <w:color w:val="auto"/>
          <w:spacing w:val="1"/>
          <w:sz w:val="28"/>
          <w:szCs w:val="32"/>
          <w:highlight w:val="none"/>
          <w:lang w:val="zh-CN"/>
        </w:rPr>
        <w:t>动</w:t>
      </w:r>
      <w:r>
        <w:rPr>
          <w:rFonts w:hint="eastAsia" w:ascii="宋体" w:hAnsi="宋体" w:eastAsia="宋体" w:cs="宋体"/>
          <w:b/>
          <w:bCs/>
          <w:color w:val="auto"/>
          <w:spacing w:val="-3"/>
          <w:sz w:val="28"/>
          <w:szCs w:val="32"/>
          <w:highlight w:val="none"/>
          <w:lang w:val="zh-CN"/>
        </w:rPr>
        <w:t>有</w:t>
      </w:r>
      <w:r>
        <w:rPr>
          <w:rFonts w:hint="eastAsia" w:ascii="宋体" w:hAnsi="宋体" w:eastAsia="宋体" w:cs="宋体"/>
          <w:b/>
          <w:bCs/>
          <w:color w:val="auto"/>
          <w:spacing w:val="1"/>
          <w:sz w:val="28"/>
          <w:szCs w:val="32"/>
          <w:highlight w:val="none"/>
          <w:lang w:val="zh-CN"/>
        </w:rPr>
        <w:t>关的工</w:t>
      </w:r>
      <w:r>
        <w:rPr>
          <w:rFonts w:hint="eastAsia" w:ascii="宋体" w:hAnsi="宋体" w:eastAsia="宋体" w:cs="宋体"/>
          <w:b/>
          <w:bCs/>
          <w:color w:val="auto"/>
          <w:spacing w:val="-3"/>
          <w:sz w:val="28"/>
          <w:szCs w:val="32"/>
          <w:highlight w:val="none"/>
          <w:lang w:val="zh-CN"/>
        </w:rPr>
        <w:t>作</w:t>
      </w:r>
      <w:r>
        <w:rPr>
          <w:rFonts w:hint="eastAsia" w:ascii="宋体" w:hAnsi="宋体" w:eastAsia="宋体" w:cs="宋体"/>
          <w:b/>
          <w:bCs/>
          <w:color w:val="auto"/>
          <w:spacing w:val="1"/>
          <w:sz w:val="28"/>
          <w:szCs w:val="32"/>
          <w:highlight w:val="none"/>
          <w:lang w:val="zh-CN"/>
        </w:rPr>
        <w:t>人员</w:t>
      </w:r>
      <w:r>
        <w:rPr>
          <w:rFonts w:hint="eastAsia" w:ascii="宋体" w:hAnsi="宋体" w:eastAsia="宋体" w:cs="宋体"/>
          <w:b/>
          <w:bCs/>
          <w:color w:val="auto"/>
          <w:spacing w:val="-3"/>
          <w:sz w:val="28"/>
          <w:szCs w:val="32"/>
          <w:highlight w:val="none"/>
          <w:lang w:val="zh-CN"/>
        </w:rPr>
        <w:t>的纪</w:t>
      </w:r>
      <w:r>
        <w:rPr>
          <w:rFonts w:hint="eastAsia" w:ascii="宋体" w:hAnsi="宋体" w:eastAsia="宋体" w:cs="宋体"/>
          <w:b/>
          <w:bCs/>
          <w:color w:val="auto"/>
          <w:spacing w:val="1"/>
          <w:sz w:val="28"/>
          <w:szCs w:val="32"/>
          <w:highlight w:val="none"/>
          <w:lang w:val="zh-CN"/>
        </w:rPr>
        <w:t>律要求</w:t>
      </w:r>
      <w:bookmarkEnd w:id="167"/>
      <w:bookmarkEnd w:id="168"/>
      <w:bookmarkEnd w:id="169"/>
    </w:p>
    <w:p w14:paraId="4BABE48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DD953FF">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E9EADB0">
      <w:pPr>
        <w:keepNext/>
        <w:keepLines/>
        <w:wordWrap w:val="0"/>
        <w:spacing w:before="260" w:line="416" w:lineRule="auto"/>
        <w:outlineLvl w:val="2"/>
        <w:rPr>
          <w:rFonts w:ascii="宋体" w:hAnsi="宋体" w:eastAsia="宋体" w:cs="宋体"/>
          <w:b/>
          <w:bCs/>
          <w:color w:val="auto"/>
          <w:spacing w:val="1"/>
          <w:sz w:val="28"/>
          <w:szCs w:val="32"/>
          <w:highlight w:val="none"/>
          <w:lang w:val="zh-CN"/>
        </w:rPr>
      </w:pPr>
      <w:bookmarkStart w:id="170" w:name="_Toc111186777"/>
      <w:bookmarkStart w:id="171" w:name="_Toc193357993"/>
      <w:bookmarkStart w:id="172" w:name="_Toc3297"/>
      <w:r>
        <w:rPr>
          <w:rFonts w:hint="eastAsia" w:ascii="宋体" w:hAnsi="宋体" w:eastAsia="宋体" w:cs="宋体"/>
          <w:b/>
          <w:bCs/>
          <w:color w:val="auto"/>
          <w:spacing w:val="1"/>
          <w:sz w:val="28"/>
          <w:szCs w:val="32"/>
          <w:highlight w:val="none"/>
          <w:lang w:val="zh-CN"/>
        </w:rPr>
        <w:t>8.5</w:t>
      </w:r>
      <w:r>
        <w:rPr>
          <w:rFonts w:hint="eastAsia" w:ascii="宋体" w:hAnsi="宋体" w:eastAsia="宋体" w:cs="宋体"/>
          <w:b/>
          <w:bCs/>
          <w:color w:val="auto"/>
          <w:spacing w:val="68"/>
          <w:sz w:val="28"/>
          <w:szCs w:val="32"/>
          <w:highlight w:val="none"/>
          <w:lang w:val="zh-CN"/>
        </w:rPr>
        <w:t xml:space="preserve"> </w:t>
      </w:r>
      <w:r>
        <w:rPr>
          <w:rFonts w:hint="eastAsia" w:ascii="宋体" w:hAnsi="宋体" w:eastAsia="宋体" w:cs="宋体"/>
          <w:b/>
          <w:bCs/>
          <w:color w:val="auto"/>
          <w:spacing w:val="1"/>
          <w:sz w:val="28"/>
          <w:szCs w:val="32"/>
          <w:highlight w:val="none"/>
          <w:lang w:val="zh-CN"/>
        </w:rPr>
        <w:t>投诉</w:t>
      </w:r>
      <w:bookmarkEnd w:id="170"/>
      <w:bookmarkEnd w:id="171"/>
      <w:bookmarkEnd w:id="172"/>
    </w:p>
    <w:p w14:paraId="024259D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1645259E">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1D87F5F8">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52240065">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73" w:name="_Toc193357994"/>
      <w:bookmarkStart w:id="174" w:name="_Toc111186778"/>
      <w:bookmarkStart w:id="175" w:name="_Toc32014"/>
      <w:r>
        <w:rPr>
          <w:rFonts w:hint="eastAsia" w:ascii="宋体" w:hAnsi="宋体" w:eastAsia="宋体" w:cs="宋体"/>
          <w:b/>
          <w:bCs/>
          <w:color w:val="auto"/>
          <w:spacing w:val="1"/>
          <w:kern w:val="0"/>
          <w:sz w:val="30"/>
          <w:szCs w:val="30"/>
          <w:highlight w:val="none"/>
          <w:lang w:val="zh-CN"/>
        </w:rPr>
        <w:t>9</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8"/>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是否采用电子招标投标</w:t>
      </w:r>
      <w:bookmarkEnd w:id="173"/>
      <w:bookmarkEnd w:id="174"/>
      <w:bookmarkEnd w:id="175"/>
    </w:p>
    <w:p w14:paraId="6E6C540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本招标项目采用电子招标投标方式，按照</w:t>
      </w:r>
      <w:r>
        <w:rPr>
          <w:rFonts w:hint="eastAsia" w:ascii="宋体" w:hAnsi="宋体" w:eastAsia="宋体" w:cs="宋体"/>
          <w:color w:val="auto"/>
          <w:kern w:val="0"/>
          <w:sz w:val="24"/>
          <w:szCs w:val="24"/>
          <w:highlight w:val="none"/>
          <w:u w:val="single"/>
        </w:rPr>
        <w:t>广州交易集团有限公司（广州公共资源交易中心）</w:t>
      </w:r>
      <w:r>
        <w:rPr>
          <w:rFonts w:hint="eastAsia" w:ascii="宋体" w:hAnsi="宋体" w:eastAsia="宋体" w:cs="宋体"/>
          <w:color w:val="auto"/>
          <w:kern w:val="0"/>
          <w:sz w:val="24"/>
          <w:szCs w:val="24"/>
          <w:highlight w:val="none"/>
        </w:rPr>
        <w:t>网站关于全流程电子化项目的相关指南进行操作。</w:t>
      </w:r>
    </w:p>
    <w:p w14:paraId="21F7A30B">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1D450EB0">
      <w:pPr>
        <w:keepNext/>
        <w:keepLines/>
        <w:wordWrap w:val="0"/>
        <w:spacing w:line="360" w:lineRule="auto"/>
        <w:outlineLvl w:val="1"/>
        <w:rPr>
          <w:rFonts w:ascii="宋体" w:hAnsi="宋体" w:eastAsia="宋体" w:cs="宋体"/>
          <w:b/>
          <w:bCs/>
          <w:color w:val="auto"/>
          <w:kern w:val="0"/>
          <w:sz w:val="30"/>
          <w:szCs w:val="30"/>
          <w:highlight w:val="none"/>
          <w:lang w:val="zh-CN"/>
        </w:rPr>
      </w:pPr>
      <w:bookmarkStart w:id="176" w:name="_Toc25836"/>
      <w:bookmarkStart w:id="177" w:name="_Toc193357995"/>
      <w:bookmarkStart w:id="178" w:name="_Toc111186779"/>
      <w:r>
        <w:rPr>
          <w:rFonts w:hint="eastAsia" w:ascii="宋体" w:hAnsi="宋体" w:eastAsia="宋体" w:cs="宋体"/>
          <w:b/>
          <w:bCs/>
          <w:color w:val="auto"/>
          <w:spacing w:val="1"/>
          <w:kern w:val="0"/>
          <w:sz w:val="30"/>
          <w:szCs w:val="30"/>
          <w:highlight w:val="none"/>
          <w:lang w:val="zh-CN"/>
        </w:rPr>
        <w:t>10</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4"/>
          <w:kern w:val="0"/>
          <w:sz w:val="30"/>
          <w:szCs w:val="30"/>
          <w:highlight w:val="none"/>
          <w:lang w:val="zh-CN"/>
        </w:rPr>
        <w:t xml:space="preserve"> </w:t>
      </w:r>
      <w:bookmarkEnd w:id="176"/>
      <w:bookmarkEnd w:id="177"/>
      <w:bookmarkEnd w:id="178"/>
      <w:r>
        <w:rPr>
          <w:rFonts w:hint="eastAsia" w:ascii="宋体" w:hAnsi="宋体" w:eastAsia="宋体" w:cs="宋体"/>
          <w:b/>
          <w:bCs/>
          <w:color w:val="auto"/>
          <w:kern w:val="0"/>
          <w:sz w:val="30"/>
          <w:szCs w:val="30"/>
          <w:highlight w:val="none"/>
          <w:lang w:val="zh-CN"/>
        </w:rPr>
        <w:t>重新招标情形</w:t>
      </w:r>
    </w:p>
    <w:p w14:paraId="1B7843F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在下列情况下，依法必须招标项目的招标人在分析招标失败的原因并采取相应措施后，应当依照本办法重新招标：</w:t>
      </w:r>
    </w:p>
    <w:p w14:paraId="75A37DC6">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（一）资格审查合格的投标人不足三个的；</w:t>
      </w:r>
    </w:p>
    <w:p w14:paraId="7CE4B821">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（二）在投标截止时间前提交投标文件的投标人少于三个的；</w:t>
      </w:r>
    </w:p>
    <w:p w14:paraId="1791B525">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（三）所有投标均被否决的；</w:t>
      </w:r>
    </w:p>
    <w:p w14:paraId="16B12139">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（四）评标委员会否决不合格投标后，因有效投标不足三个使得投标明显缺乏竞争，评标委员会决定否决全部投标的；</w:t>
      </w:r>
    </w:p>
    <w:p w14:paraId="410DC270">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（五）根据《工程建设项目勘察设计招标投标办法》第四十六条规定，同意延长投标有效期的投标人少于三个的；</w:t>
      </w:r>
    </w:p>
    <w:p w14:paraId="5B0D947A">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（六）符合法律法规需重新招标的其他情形。</w:t>
      </w:r>
    </w:p>
    <w:p w14:paraId="52C2FCE0">
      <w:pPr>
        <w:wordWrap w:val="0"/>
        <w:autoSpaceDE w:val="0"/>
        <w:autoSpaceDN w:val="0"/>
        <w:spacing w:line="360" w:lineRule="auto"/>
        <w:ind w:firstLine="480" w:firstLineChars="200"/>
        <w:rPr>
          <w:rFonts w:ascii="宋体" w:hAnsi="宋体" w:eastAsia="宋体" w:cs="宋体"/>
          <w:color w:val="auto"/>
          <w:kern w:val="0"/>
          <w:sz w:val="24"/>
          <w:szCs w:val="24"/>
          <w:highlight w:val="none"/>
        </w:rPr>
      </w:pPr>
    </w:p>
    <w:p w14:paraId="4E67F577">
      <w:pPr>
        <w:keepNext/>
        <w:keepLines/>
        <w:wordWrap w:val="0"/>
        <w:spacing w:line="360" w:lineRule="auto"/>
        <w:outlineLvl w:val="1"/>
        <w:rPr>
          <w:rFonts w:ascii="宋体" w:hAnsi="宋体" w:eastAsia="宋体" w:cs="宋体"/>
          <w:b/>
          <w:bCs/>
          <w:color w:val="auto"/>
          <w:kern w:val="0"/>
          <w:sz w:val="30"/>
          <w:szCs w:val="30"/>
          <w:highlight w:val="none"/>
          <w:lang w:val="zh-CN"/>
        </w:rPr>
      </w:pPr>
      <w:r>
        <w:rPr>
          <w:rFonts w:hint="eastAsia" w:ascii="宋体" w:hAnsi="宋体" w:eastAsia="宋体" w:cs="宋体"/>
          <w:b/>
          <w:bCs/>
          <w:color w:val="auto"/>
          <w:spacing w:val="1"/>
          <w:kern w:val="0"/>
          <w:sz w:val="30"/>
          <w:szCs w:val="30"/>
          <w:highlight w:val="none"/>
          <w:lang w:val="zh-CN"/>
        </w:rPr>
        <w:t>11</w:t>
      </w:r>
      <w:r>
        <w:rPr>
          <w:rFonts w:hint="eastAsia" w:ascii="宋体" w:hAnsi="宋体" w:eastAsia="宋体" w:cs="宋体"/>
          <w:b/>
          <w:bCs/>
          <w:color w:val="auto"/>
          <w:kern w:val="0"/>
          <w:sz w:val="30"/>
          <w:szCs w:val="30"/>
          <w:highlight w:val="none"/>
          <w:lang w:val="zh-CN"/>
        </w:rPr>
        <w:t>.</w:t>
      </w:r>
      <w:r>
        <w:rPr>
          <w:rFonts w:hint="eastAsia" w:ascii="宋体" w:hAnsi="宋体" w:eastAsia="宋体" w:cs="宋体"/>
          <w:b/>
          <w:bCs/>
          <w:color w:val="auto"/>
          <w:spacing w:val="74"/>
          <w:kern w:val="0"/>
          <w:sz w:val="30"/>
          <w:szCs w:val="30"/>
          <w:highlight w:val="none"/>
          <w:lang w:val="zh-CN"/>
        </w:rPr>
        <w:t xml:space="preserve"> </w:t>
      </w:r>
      <w:r>
        <w:rPr>
          <w:rFonts w:hint="eastAsia" w:ascii="宋体" w:hAnsi="宋体" w:eastAsia="宋体" w:cs="宋体"/>
          <w:b/>
          <w:bCs/>
          <w:color w:val="auto"/>
          <w:kern w:val="0"/>
          <w:sz w:val="30"/>
          <w:szCs w:val="30"/>
          <w:highlight w:val="none"/>
          <w:lang w:val="zh-CN"/>
        </w:rPr>
        <w:t>需要补充的其他内容</w:t>
      </w:r>
    </w:p>
    <w:p w14:paraId="13F07F2F">
      <w:pPr>
        <w:wordWrap w:val="0"/>
        <w:autoSpaceDE w:val="0"/>
        <w:autoSpaceDN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需要补充的其他内容：见投标人须知前附表。</w:t>
      </w:r>
    </w:p>
    <w:p w14:paraId="702B79BE">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kern w:val="0"/>
          <w:sz w:val="28"/>
          <w:szCs w:val="32"/>
          <w:highlight w:val="none"/>
          <w:lang w:val="zh-CN"/>
        </w:rPr>
        <w:br w:type="page"/>
      </w:r>
      <w:bookmarkStart w:id="179" w:name="_Toc193357997"/>
      <w:bookmarkStart w:id="180" w:name="_Toc111186781"/>
      <w:bookmarkStart w:id="181" w:name="_Toc5282"/>
    </w:p>
    <w:bookmarkEnd w:id="179"/>
    <w:bookmarkEnd w:id="180"/>
    <w:bookmarkEnd w:id="181"/>
    <w:p w14:paraId="25271BF4">
      <w:pPr>
        <w:pStyle w:val="2"/>
        <w:rPr>
          <w:color w:val="auto"/>
          <w:highlight w:val="none"/>
        </w:rPr>
      </w:pPr>
      <w:bookmarkStart w:id="182" w:name="_Toc111186786"/>
      <w:bookmarkStart w:id="183" w:name="_Toc193358002"/>
      <w:r>
        <w:rPr>
          <w:rFonts w:hint="eastAsia"/>
          <w:color w:val="auto"/>
          <w:highlight w:val="none"/>
        </w:rPr>
        <w:t>第三章  评标办法（综合评估法）</w:t>
      </w:r>
      <w:bookmarkEnd w:id="182"/>
      <w:bookmarkEnd w:id="183"/>
    </w:p>
    <w:p w14:paraId="6E169C12">
      <w:pPr>
        <w:pStyle w:val="3"/>
        <w:wordWrap w:val="0"/>
        <w:rPr>
          <w:color w:val="auto"/>
          <w:highlight w:val="none"/>
        </w:rPr>
      </w:pPr>
      <w:bookmarkStart w:id="184" w:name="_Toc193358003"/>
      <w:bookmarkStart w:id="185" w:name="_Toc32538"/>
      <w:bookmarkStart w:id="186" w:name="_Toc111186787"/>
      <w:r>
        <w:rPr>
          <w:rFonts w:hint="eastAsia"/>
          <w:color w:val="auto"/>
          <w:highlight w:val="none"/>
        </w:rPr>
        <w:t>（适用于技术文件为暗标形式）</w:t>
      </w:r>
    </w:p>
    <w:p w14:paraId="48CC3652">
      <w:pPr>
        <w:pStyle w:val="3"/>
        <w:wordWrap w:val="0"/>
        <w:rPr>
          <w:color w:val="auto"/>
          <w:highlight w:val="none"/>
        </w:rPr>
      </w:pPr>
      <w:r>
        <w:rPr>
          <w:rFonts w:hint="eastAsia"/>
          <w:color w:val="auto"/>
          <w:highlight w:val="none"/>
        </w:rPr>
        <w:t>评标办法前附表</w:t>
      </w:r>
      <w:bookmarkEnd w:id="184"/>
      <w:bookmarkEnd w:id="185"/>
      <w:bookmarkEnd w:id="186"/>
    </w:p>
    <w:tbl>
      <w:tblPr>
        <w:tblStyle w:val="45"/>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850"/>
        <w:gridCol w:w="1643"/>
        <w:gridCol w:w="5976"/>
      </w:tblGrid>
      <w:tr w14:paraId="7F62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737" w:type="dxa"/>
            <w:gridSpan w:val="2"/>
            <w:vAlign w:val="center"/>
          </w:tcPr>
          <w:p w14:paraId="2561784E">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643" w:type="dxa"/>
            <w:vAlign w:val="center"/>
          </w:tcPr>
          <w:p w14:paraId="3908BD78">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评审因素</w:t>
            </w:r>
          </w:p>
        </w:tc>
        <w:tc>
          <w:tcPr>
            <w:tcW w:w="5976" w:type="dxa"/>
            <w:vAlign w:val="center"/>
          </w:tcPr>
          <w:p w14:paraId="6A7C2A2E">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r>
      <w:tr w14:paraId="5B12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Align w:val="center"/>
          </w:tcPr>
          <w:p w14:paraId="674F23B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50" w:type="dxa"/>
            <w:vAlign w:val="center"/>
          </w:tcPr>
          <w:p w14:paraId="3E27A8C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评标方法</w:t>
            </w:r>
          </w:p>
        </w:tc>
        <w:tc>
          <w:tcPr>
            <w:tcW w:w="1643" w:type="dxa"/>
            <w:vAlign w:val="center"/>
          </w:tcPr>
          <w:p w14:paraId="71AABF3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中标候选人排序方法</w:t>
            </w:r>
          </w:p>
        </w:tc>
        <w:tc>
          <w:tcPr>
            <w:tcW w:w="5976" w:type="dxa"/>
            <w:vAlign w:val="center"/>
          </w:tcPr>
          <w:p w14:paraId="7BA57044">
            <w:pPr>
              <w:wordWrap w:val="0"/>
              <w:spacing w:line="276" w:lineRule="auto"/>
              <w:rPr>
                <w:rFonts w:ascii="宋体" w:hAnsi="宋体" w:eastAsia="宋体" w:cs="宋体"/>
                <w:color w:val="auto"/>
                <w:szCs w:val="21"/>
                <w:highlight w:val="none"/>
              </w:rPr>
            </w:pPr>
            <w:r>
              <w:rPr>
                <w:rFonts w:hint="eastAsia" w:ascii="宋体" w:hAnsi="宋体" w:eastAsia="宋体" w:cs="宋体"/>
                <w:b/>
                <w:bCs/>
                <w:color w:val="auto"/>
                <w:szCs w:val="21"/>
                <w:highlight w:val="none"/>
              </w:rPr>
              <w:t>综合评分（即总得分）相等时中标候选人顺序：</w:t>
            </w:r>
            <w:r>
              <w:rPr>
                <w:rFonts w:hint="eastAsia" w:ascii="宋体" w:hAnsi="宋体" w:eastAsia="宋体" w:cs="宋体"/>
                <w:color w:val="auto"/>
                <w:szCs w:val="21"/>
                <w:highlight w:val="none"/>
                <w:u w:val="single"/>
              </w:rPr>
              <w:t>以技术文件得分高的排前；技术文件得分也相同的，以商务文件得分高的排前；若商务文件得分仍相同的，以投标报价较低的排前；如仍存在相同情况，则对具有相同情况的投标人，由评标委员会采用记名投票方式，确定投标人最终名次的排序。</w:t>
            </w:r>
          </w:p>
        </w:tc>
      </w:tr>
      <w:tr w14:paraId="075A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restart"/>
            <w:vAlign w:val="center"/>
          </w:tcPr>
          <w:p w14:paraId="5CA8110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850" w:type="dxa"/>
            <w:vMerge w:val="restart"/>
            <w:vAlign w:val="center"/>
          </w:tcPr>
          <w:p w14:paraId="4FDEEA2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商务文件形式评审标准</w:t>
            </w:r>
          </w:p>
        </w:tc>
        <w:tc>
          <w:tcPr>
            <w:tcW w:w="1643" w:type="dxa"/>
            <w:vAlign w:val="center"/>
          </w:tcPr>
          <w:p w14:paraId="441FB6F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5976" w:type="dxa"/>
            <w:vAlign w:val="center"/>
          </w:tcPr>
          <w:p w14:paraId="08AD242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与营业执照或事业单位登记机构核发的事业单位法人证书、资质证书一致。</w:t>
            </w:r>
          </w:p>
        </w:tc>
      </w:tr>
      <w:tr w14:paraId="7FEE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03E4772D">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3FA75940">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356F62B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5976" w:type="dxa"/>
            <w:vAlign w:val="center"/>
          </w:tcPr>
          <w:p w14:paraId="146BECE5">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投标人声明、廉洁承诺书、法定代表人身份证明；委托投标的还应提供法人授权委托证明书。</w:t>
            </w:r>
          </w:p>
        </w:tc>
      </w:tr>
      <w:tr w14:paraId="531E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12CCCC07">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49E86D9C">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236111B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投标函及投标函附录签字盖章</w:t>
            </w:r>
          </w:p>
        </w:tc>
        <w:tc>
          <w:tcPr>
            <w:tcW w:w="5976" w:type="dxa"/>
            <w:vAlign w:val="center"/>
          </w:tcPr>
          <w:p w14:paraId="7F7CCCC6">
            <w:pPr>
              <w:wordWrap w:val="0"/>
              <w:spacing w:line="276"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有法定代表人或其委托代理人签字</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或盖章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并</w:t>
            </w:r>
            <w:r>
              <w:rPr>
                <w:rFonts w:hint="eastAsia" w:ascii="宋体" w:hAnsi="宋体" w:eastAsia="宋体" w:cs="宋体"/>
                <w:color w:val="auto"/>
                <w:szCs w:val="21"/>
                <w:highlight w:val="none"/>
                <w:lang w:bidi="ar"/>
              </w:rPr>
              <w:t>加盖单位章。由法定代表人签字</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或盖章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的，应附法定代表人身份证明；由代理人签字</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或盖章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的，应附法定代表人身份证明及授权委托书，身份证明或授权委托书参考第六章“投标文件格式”的规定。</w:t>
            </w:r>
          </w:p>
        </w:tc>
      </w:tr>
      <w:tr w14:paraId="7282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14D42472">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0895D80E">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619B975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5976" w:type="dxa"/>
            <w:vAlign w:val="center"/>
          </w:tcPr>
          <w:p w14:paraId="115AB1D8">
            <w:pPr>
              <w:wordWrap w:val="0"/>
              <w:spacing w:line="276" w:lineRule="auto"/>
              <w:rPr>
                <w:rFonts w:ascii="宋体" w:hAnsi="宋体" w:eastAsia="宋体" w:cs="宋体"/>
                <w:color w:val="auto"/>
                <w:szCs w:val="21"/>
                <w:highlight w:val="none"/>
              </w:rPr>
            </w:pPr>
            <w:r>
              <w:rPr>
                <w:rFonts w:hint="eastAsia" w:ascii="宋体" w:hAnsi="宋体" w:eastAsia="宋体" w:cs="Times New Roman"/>
                <w:color w:val="auto"/>
                <w:szCs w:val="21"/>
                <w:highlight w:val="none"/>
              </w:rPr>
              <w:t>符合第六章“投标文件格式”的规定。</w:t>
            </w:r>
          </w:p>
        </w:tc>
      </w:tr>
      <w:tr w14:paraId="58BB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3B216E7E">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53C185EF">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2A76DAF1">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联合体投标人</w:t>
            </w:r>
          </w:p>
        </w:tc>
        <w:tc>
          <w:tcPr>
            <w:tcW w:w="5976" w:type="dxa"/>
            <w:vAlign w:val="center"/>
          </w:tcPr>
          <w:p w14:paraId="2D4BBC6C">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提交符合招标文件要求的联合体协议书，明确各方职责分工、权利义务，并承诺就中标项目向招标人承担连带责任。</w:t>
            </w:r>
          </w:p>
        </w:tc>
      </w:tr>
      <w:tr w14:paraId="615F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1D4B2846">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67BD9408">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7C50CC20">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备选投标方案</w:t>
            </w:r>
          </w:p>
        </w:tc>
        <w:tc>
          <w:tcPr>
            <w:tcW w:w="5976" w:type="dxa"/>
            <w:vAlign w:val="center"/>
          </w:tcPr>
          <w:p w14:paraId="4BB0AA88">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除招标文件明确允许提交备选投标方案外，投标人不得提交备选投标方案。</w:t>
            </w:r>
          </w:p>
        </w:tc>
      </w:tr>
      <w:tr w14:paraId="44A7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1269C21C">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3D923B93">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73F2B965">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投标人硬件特征码</w:t>
            </w:r>
          </w:p>
        </w:tc>
        <w:tc>
          <w:tcPr>
            <w:tcW w:w="5976" w:type="dxa"/>
            <w:vAlign w:val="center"/>
          </w:tcPr>
          <w:p w14:paraId="00929074">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投标人与其他投标人加密打包投标文件硬件特征码不一致，以</w:t>
            </w:r>
            <w:r>
              <w:rPr>
                <w:rFonts w:hint="eastAsia" w:ascii="宋体" w:hAnsi="宋体" w:eastAsia="宋体" w:cs="宋体"/>
                <w:color w:val="auto"/>
                <w:kern w:val="0"/>
                <w:szCs w:val="21"/>
                <w:highlight w:val="none"/>
                <w:u w:val="single"/>
              </w:rPr>
              <w:t>广州交易集团有限公司（广州公共资源交易中心）</w:t>
            </w:r>
            <w:r>
              <w:rPr>
                <w:rFonts w:hint="eastAsia" w:ascii="宋体" w:hAnsi="宋体" w:eastAsia="宋体" w:cs="宋体"/>
                <w:color w:val="auto"/>
                <w:kern w:val="0"/>
                <w:szCs w:val="21"/>
                <w:highlight w:val="none"/>
              </w:rPr>
              <w:t>交易平台开标系统的检索信息为准。</w:t>
            </w:r>
          </w:p>
        </w:tc>
      </w:tr>
      <w:tr w14:paraId="46D3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restart"/>
            <w:vAlign w:val="center"/>
          </w:tcPr>
          <w:p w14:paraId="25C509AF">
            <w:pPr>
              <w:widowControl/>
              <w:wordWrap w:val="0"/>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2.1.2</w:t>
            </w:r>
          </w:p>
        </w:tc>
        <w:tc>
          <w:tcPr>
            <w:tcW w:w="850" w:type="dxa"/>
            <w:vMerge w:val="restart"/>
            <w:vAlign w:val="center"/>
          </w:tcPr>
          <w:p w14:paraId="36DFCE29">
            <w:pPr>
              <w:widowControl/>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资格评审标准</w:t>
            </w:r>
          </w:p>
        </w:tc>
        <w:tc>
          <w:tcPr>
            <w:tcW w:w="1643" w:type="dxa"/>
            <w:vAlign w:val="center"/>
          </w:tcPr>
          <w:p w14:paraId="32861111">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营业执照</w:t>
            </w:r>
            <w:r>
              <w:rPr>
                <w:rFonts w:hint="eastAsia" w:ascii="宋体" w:hAnsi="宋体" w:eastAsia="宋体" w:cs="宋体"/>
                <w:color w:val="auto"/>
                <w:spacing w:val="-1"/>
                <w:kern w:val="0"/>
                <w:szCs w:val="21"/>
                <w:highlight w:val="none"/>
                <w:lang w:val="en-US" w:eastAsia="zh-CN"/>
              </w:rPr>
              <w:t>或事业单位法人证书</w:t>
            </w:r>
          </w:p>
        </w:tc>
        <w:tc>
          <w:tcPr>
            <w:tcW w:w="5976" w:type="dxa"/>
            <w:vAlign w:val="center"/>
          </w:tcPr>
          <w:p w14:paraId="14F52A93">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符合第二章“投标人须知”第3.5.1项规定，具备有效的营业执照</w:t>
            </w:r>
            <w:r>
              <w:rPr>
                <w:rFonts w:hint="eastAsia" w:ascii="宋体" w:hAnsi="宋体" w:eastAsia="宋体" w:cs="宋体"/>
                <w:color w:val="auto"/>
                <w:kern w:val="0"/>
                <w:szCs w:val="21"/>
                <w:highlight w:val="none"/>
                <w:lang w:val="en-US" w:eastAsia="zh-CN"/>
              </w:rPr>
              <w:t>或事业单位法人证书</w:t>
            </w:r>
            <w:r>
              <w:rPr>
                <w:rFonts w:hint="eastAsia" w:ascii="宋体" w:hAnsi="宋体" w:eastAsia="宋体" w:cs="宋体"/>
                <w:color w:val="auto"/>
                <w:kern w:val="0"/>
                <w:szCs w:val="21"/>
                <w:highlight w:val="none"/>
              </w:rPr>
              <w:t>。</w:t>
            </w:r>
          </w:p>
        </w:tc>
      </w:tr>
      <w:tr w14:paraId="7537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4DF57966">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370558EF">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52386F33">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资质要求</w:t>
            </w:r>
          </w:p>
        </w:tc>
        <w:tc>
          <w:tcPr>
            <w:tcW w:w="5976" w:type="dxa"/>
            <w:vAlign w:val="center"/>
          </w:tcPr>
          <w:p w14:paraId="789F3AD6">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31C6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42042AFA">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41244608">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724E3C3B">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业绩要求</w:t>
            </w:r>
          </w:p>
        </w:tc>
        <w:tc>
          <w:tcPr>
            <w:tcW w:w="5976" w:type="dxa"/>
            <w:vAlign w:val="center"/>
          </w:tcPr>
          <w:p w14:paraId="49BAD487">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u w:val="single"/>
                <w:lang w:bidi="ar"/>
              </w:rPr>
              <w:t>/。</w:t>
            </w:r>
          </w:p>
        </w:tc>
      </w:tr>
      <w:tr w14:paraId="062D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64A09E27">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16CC7FD4">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79A43A21">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项目负责人</w:t>
            </w:r>
          </w:p>
        </w:tc>
        <w:tc>
          <w:tcPr>
            <w:tcW w:w="5976" w:type="dxa"/>
            <w:vAlign w:val="center"/>
          </w:tcPr>
          <w:p w14:paraId="424F42A5">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17C9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30D83EF0">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5A8FB721">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27570220">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其他要求</w:t>
            </w:r>
          </w:p>
        </w:tc>
        <w:tc>
          <w:tcPr>
            <w:tcW w:w="5976" w:type="dxa"/>
            <w:vAlign w:val="center"/>
          </w:tcPr>
          <w:p w14:paraId="047FCEEA">
            <w:pPr>
              <w:wordWrap w:val="0"/>
              <w:autoSpaceDE w:val="0"/>
              <w:autoSpaceDN w:val="0"/>
              <w:spacing w:line="276" w:lineRule="auto"/>
              <w:jc w:val="left"/>
              <w:rPr>
                <w:rFonts w:ascii="宋体" w:hAnsi="宋体" w:eastAsia="宋体" w:cs="宋体"/>
                <w:color w:val="auto"/>
                <w:spacing w:val="1"/>
                <w:kern w:val="0"/>
                <w:szCs w:val="21"/>
                <w:highlight w:val="none"/>
              </w:rPr>
            </w:pPr>
            <w:r>
              <w:rPr>
                <w:rFonts w:hint="eastAsia" w:ascii="宋体" w:hAnsi="宋体" w:eastAsia="宋体" w:cs="宋体"/>
                <w:color w:val="auto"/>
                <w:kern w:val="0"/>
                <w:szCs w:val="21"/>
                <w:highlight w:val="none"/>
              </w:rPr>
              <w:t>符合第二章“投标人须知”第1.4.1项规定</w:t>
            </w:r>
          </w:p>
        </w:tc>
      </w:tr>
      <w:tr w14:paraId="70D2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2E520D3C">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32466422">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227332FF">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联合体投标人</w:t>
            </w:r>
          </w:p>
        </w:tc>
        <w:tc>
          <w:tcPr>
            <w:tcW w:w="5976" w:type="dxa"/>
            <w:vAlign w:val="center"/>
          </w:tcPr>
          <w:p w14:paraId="1D5F8F6F">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符合第二章“投标人须知”第1.4.2项规定</w:t>
            </w:r>
          </w:p>
        </w:tc>
      </w:tr>
      <w:tr w14:paraId="6F92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23252B64">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44B8167A">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44DB144F">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不存在禁止投标的情形</w:t>
            </w:r>
          </w:p>
        </w:tc>
        <w:tc>
          <w:tcPr>
            <w:tcW w:w="5976" w:type="dxa"/>
            <w:vAlign w:val="center"/>
          </w:tcPr>
          <w:p w14:paraId="58C8E05D">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不存在第二章“投标人须知”第1.4.3项规定的任何一种情形（按投标人提供的《投标人声明》内容进行评审）</w:t>
            </w:r>
          </w:p>
        </w:tc>
      </w:tr>
      <w:tr w14:paraId="3DB1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1376B1D3">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6A38CC43">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62451960">
            <w:pPr>
              <w:wordWrap w:val="0"/>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在投标截止时间前，投标人（如为联合体，则联合体各方）未被列入拖欠农民工工资失信联合惩戒对象名单</w:t>
            </w:r>
          </w:p>
        </w:tc>
        <w:tc>
          <w:tcPr>
            <w:tcW w:w="5976" w:type="dxa"/>
            <w:vAlign w:val="center"/>
          </w:tcPr>
          <w:p w14:paraId="7F6C41C8">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投标人无需提供资料，按交易系统比对的结果进行评审。</w:t>
            </w:r>
          </w:p>
        </w:tc>
      </w:tr>
      <w:tr w14:paraId="51C0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209E68AF">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07C1EF3E">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6838C75E">
            <w:pPr>
              <w:autoSpaceDE w:val="0"/>
              <w:autoSpaceDN w:val="0"/>
              <w:spacing w:line="276" w:lineRule="auto"/>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在投标截止时间前，投标人（如为联合体，则联合体各方）未被列入“失信被执行人”名单</w:t>
            </w:r>
          </w:p>
        </w:tc>
        <w:tc>
          <w:tcPr>
            <w:tcW w:w="5976" w:type="dxa"/>
            <w:vAlign w:val="center"/>
          </w:tcPr>
          <w:p w14:paraId="2973F854">
            <w:pPr>
              <w:wordWrap w:val="0"/>
              <w:autoSpaceDE w:val="0"/>
              <w:autoSpaceDN w:val="0"/>
              <w:spacing w:line="276"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投标人无需提供资料，按交易系统比对的结果进行评审。</w:t>
            </w:r>
          </w:p>
        </w:tc>
      </w:tr>
      <w:tr w14:paraId="28D3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restart"/>
            <w:vAlign w:val="center"/>
          </w:tcPr>
          <w:p w14:paraId="4EDE9E1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2.1.3（1）</w:t>
            </w:r>
          </w:p>
        </w:tc>
        <w:tc>
          <w:tcPr>
            <w:tcW w:w="850" w:type="dxa"/>
            <w:vMerge w:val="restart"/>
            <w:vAlign w:val="center"/>
          </w:tcPr>
          <w:p w14:paraId="0CF9C1A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商务文件响应性评审标准</w:t>
            </w:r>
          </w:p>
        </w:tc>
        <w:tc>
          <w:tcPr>
            <w:tcW w:w="1643" w:type="dxa"/>
            <w:vAlign w:val="center"/>
          </w:tcPr>
          <w:p w14:paraId="45E3B04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5976" w:type="dxa"/>
            <w:vAlign w:val="center"/>
          </w:tcPr>
          <w:p w14:paraId="6FBAB9D0">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符合第二章“投标人须知”第3.2款规定</w:t>
            </w:r>
          </w:p>
        </w:tc>
      </w:tr>
      <w:tr w14:paraId="6F6D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05B766BD">
            <w:pPr>
              <w:wordWrap w:val="0"/>
              <w:spacing w:line="276" w:lineRule="auto"/>
              <w:jc w:val="center"/>
              <w:rPr>
                <w:rFonts w:ascii="宋体" w:hAnsi="宋体" w:eastAsia="宋体" w:cs="宋体"/>
                <w:color w:val="auto"/>
                <w:szCs w:val="21"/>
                <w:highlight w:val="none"/>
              </w:rPr>
            </w:pPr>
          </w:p>
        </w:tc>
        <w:tc>
          <w:tcPr>
            <w:tcW w:w="850" w:type="dxa"/>
            <w:vMerge w:val="continue"/>
            <w:vAlign w:val="center"/>
          </w:tcPr>
          <w:p w14:paraId="2B3472CE">
            <w:pPr>
              <w:wordWrap w:val="0"/>
              <w:spacing w:line="276" w:lineRule="auto"/>
              <w:jc w:val="center"/>
              <w:rPr>
                <w:rFonts w:ascii="宋体" w:hAnsi="宋体" w:eastAsia="宋体" w:cs="宋体"/>
                <w:color w:val="auto"/>
                <w:szCs w:val="21"/>
                <w:highlight w:val="none"/>
              </w:rPr>
            </w:pPr>
          </w:p>
        </w:tc>
        <w:tc>
          <w:tcPr>
            <w:tcW w:w="1643" w:type="dxa"/>
            <w:vAlign w:val="center"/>
          </w:tcPr>
          <w:p w14:paraId="1B8DDC4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5976" w:type="dxa"/>
            <w:vAlign w:val="center"/>
          </w:tcPr>
          <w:p w14:paraId="6567459E">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符合第二章“投标人须知”第1.3.1项规定</w:t>
            </w:r>
          </w:p>
        </w:tc>
      </w:tr>
      <w:tr w14:paraId="7F97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05C62F32">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0D61BFB7">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2E64E04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勘察设计服务期限</w:t>
            </w:r>
          </w:p>
        </w:tc>
        <w:tc>
          <w:tcPr>
            <w:tcW w:w="5976" w:type="dxa"/>
            <w:vAlign w:val="center"/>
          </w:tcPr>
          <w:p w14:paraId="12356021">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符合第二章“投标人须知”第1.3.2项规定</w:t>
            </w:r>
          </w:p>
        </w:tc>
      </w:tr>
      <w:tr w14:paraId="53A2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08A83732">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0841DF2E">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54C909F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976" w:type="dxa"/>
            <w:vAlign w:val="center"/>
          </w:tcPr>
          <w:p w14:paraId="0215384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符合第二章“投标人须知”第1.3.3项规定</w:t>
            </w:r>
          </w:p>
        </w:tc>
      </w:tr>
      <w:tr w14:paraId="24C9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0B6203F9">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4D0FE2BF">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706460C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976" w:type="dxa"/>
            <w:vAlign w:val="center"/>
          </w:tcPr>
          <w:p w14:paraId="50D02BF4">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符合第二章“投标人须知”第3.3.1项规定</w:t>
            </w:r>
          </w:p>
        </w:tc>
      </w:tr>
      <w:tr w14:paraId="60C5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63C74EA3">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75B3A1D4">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362BBE9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串通投标情形</w:t>
            </w:r>
          </w:p>
        </w:tc>
        <w:tc>
          <w:tcPr>
            <w:tcW w:w="5976" w:type="dxa"/>
            <w:vAlign w:val="center"/>
          </w:tcPr>
          <w:p w14:paraId="019CDF89">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lang w:bidi="ar"/>
              </w:rPr>
              <w:t>不存在串通投标情形（串通投标情形以《广东省实施〈中华人民共和国招标投标法〉办法》第十六条规定的为准）。</w:t>
            </w:r>
          </w:p>
        </w:tc>
      </w:tr>
      <w:tr w14:paraId="7012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7" w:type="dxa"/>
            <w:vMerge w:val="continue"/>
            <w:vAlign w:val="center"/>
          </w:tcPr>
          <w:p w14:paraId="31E1AD78">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5A21096E">
            <w:pPr>
              <w:widowControl/>
              <w:wordWrap w:val="0"/>
              <w:spacing w:line="276" w:lineRule="auto"/>
              <w:jc w:val="left"/>
              <w:rPr>
                <w:rFonts w:ascii="宋体" w:hAnsi="宋体" w:eastAsia="宋体" w:cs="宋体"/>
                <w:color w:val="auto"/>
                <w:szCs w:val="21"/>
                <w:highlight w:val="none"/>
              </w:rPr>
            </w:pPr>
          </w:p>
        </w:tc>
        <w:tc>
          <w:tcPr>
            <w:tcW w:w="7619" w:type="dxa"/>
            <w:gridSpan w:val="2"/>
            <w:vAlign w:val="center"/>
          </w:tcPr>
          <w:p w14:paraId="5D63DEB5">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商务文件响应性评审标准中“投标内容”、“勘察设计服务期限”、“质量标准”、“投标有效期”，以投标人在</w:t>
            </w:r>
            <w:bookmarkStart w:id="187" w:name="OLE_LINK36"/>
            <w:r>
              <w:rPr>
                <w:rFonts w:hint="eastAsia" w:ascii="宋体" w:hAnsi="宋体" w:eastAsia="宋体" w:cs="宋体"/>
                <w:color w:val="auto"/>
                <w:szCs w:val="21"/>
                <w:highlight w:val="none"/>
                <w:u w:val="single"/>
                <w:lang w:val="en-US" w:eastAsia="zh-CN"/>
              </w:rPr>
              <w:t>投标函附录</w:t>
            </w:r>
            <w:bookmarkEnd w:id="187"/>
            <w:r>
              <w:rPr>
                <w:rFonts w:hint="eastAsia" w:ascii="宋体" w:hAnsi="宋体" w:eastAsia="宋体" w:cs="宋体"/>
                <w:color w:val="auto"/>
                <w:szCs w:val="21"/>
                <w:highlight w:val="none"/>
                <w:u w:val="single"/>
              </w:rPr>
              <w:t>中的承诺为准。</w:t>
            </w:r>
          </w:p>
        </w:tc>
      </w:tr>
      <w:tr w14:paraId="06F4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87" w:type="dxa"/>
            <w:vMerge w:val="restart"/>
            <w:vAlign w:val="center"/>
          </w:tcPr>
          <w:p w14:paraId="7C64611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2.1.3（2）</w:t>
            </w:r>
          </w:p>
        </w:tc>
        <w:tc>
          <w:tcPr>
            <w:tcW w:w="850" w:type="dxa"/>
            <w:vMerge w:val="restart"/>
            <w:vAlign w:val="center"/>
          </w:tcPr>
          <w:p w14:paraId="138CBB0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技术文件初步评审标准</w:t>
            </w:r>
          </w:p>
        </w:tc>
        <w:tc>
          <w:tcPr>
            <w:tcW w:w="1643" w:type="dxa"/>
            <w:vAlign w:val="center"/>
          </w:tcPr>
          <w:p w14:paraId="55C2AB50">
            <w:pPr>
              <w:spacing w:line="276" w:lineRule="auto"/>
              <w:jc w:val="center"/>
              <w:rPr>
                <w:rFonts w:ascii="宋体" w:hAnsi="宋体" w:eastAsia="宋体" w:cs="宋体"/>
                <w:color w:val="auto"/>
                <w:szCs w:val="21"/>
                <w:highlight w:val="none"/>
                <w:u w:val="single"/>
              </w:rPr>
            </w:pPr>
            <w:r>
              <w:rPr>
                <w:rFonts w:hint="eastAsia" w:ascii="宋体" w:hAnsi="宋体" w:eastAsia="宋体" w:cs="Times New Roman"/>
                <w:color w:val="auto"/>
                <w:szCs w:val="20"/>
                <w:highlight w:val="none"/>
              </w:rPr>
              <w:t>编制要求</w:t>
            </w:r>
          </w:p>
        </w:tc>
        <w:tc>
          <w:tcPr>
            <w:tcW w:w="5976" w:type="dxa"/>
            <w:vAlign w:val="center"/>
          </w:tcPr>
          <w:p w14:paraId="2BCDADBD">
            <w:pPr>
              <w:wordWrap w:val="0"/>
              <w:spacing w:line="276"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未发现投标人在勘察设计方案内标注名称、印章、商标、图形等记认符号，使人辨认出投标人或其专业技术人员的身份。</w:t>
            </w:r>
          </w:p>
        </w:tc>
      </w:tr>
      <w:tr w14:paraId="412E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87" w:type="dxa"/>
            <w:vMerge w:val="continue"/>
            <w:vAlign w:val="center"/>
          </w:tcPr>
          <w:p w14:paraId="5DB00E85">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67325835">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2E3CACB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未发现互相雷同和串通投标</w:t>
            </w:r>
          </w:p>
        </w:tc>
        <w:tc>
          <w:tcPr>
            <w:tcW w:w="5976" w:type="dxa"/>
            <w:vAlign w:val="center"/>
          </w:tcPr>
          <w:p w14:paraId="24C535D6">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0860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87" w:type="dxa"/>
            <w:vMerge w:val="continue"/>
            <w:vAlign w:val="center"/>
          </w:tcPr>
          <w:p w14:paraId="67EF6191">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1B562040">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024291D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未发现明显抄袭行为</w:t>
            </w:r>
          </w:p>
        </w:tc>
        <w:tc>
          <w:tcPr>
            <w:tcW w:w="5976" w:type="dxa"/>
            <w:vAlign w:val="center"/>
          </w:tcPr>
          <w:p w14:paraId="1B81869F">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0CB8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87" w:type="dxa"/>
            <w:vMerge w:val="continue"/>
            <w:vAlign w:val="center"/>
          </w:tcPr>
          <w:p w14:paraId="117D7B27">
            <w:pPr>
              <w:widowControl/>
              <w:wordWrap w:val="0"/>
              <w:spacing w:line="276" w:lineRule="auto"/>
              <w:jc w:val="left"/>
              <w:rPr>
                <w:rFonts w:ascii="宋体" w:hAnsi="宋体" w:eastAsia="宋体" w:cs="宋体"/>
                <w:color w:val="auto"/>
                <w:szCs w:val="21"/>
                <w:highlight w:val="none"/>
              </w:rPr>
            </w:pPr>
          </w:p>
        </w:tc>
        <w:tc>
          <w:tcPr>
            <w:tcW w:w="850" w:type="dxa"/>
            <w:vMerge w:val="continue"/>
            <w:vAlign w:val="center"/>
          </w:tcPr>
          <w:p w14:paraId="72FDAF31">
            <w:pPr>
              <w:widowControl/>
              <w:wordWrap w:val="0"/>
              <w:spacing w:line="276" w:lineRule="auto"/>
              <w:jc w:val="left"/>
              <w:rPr>
                <w:rFonts w:ascii="宋体" w:hAnsi="宋体" w:eastAsia="宋体" w:cs="宋体"/>
                <w:color w:val="auto"/>
                <w:szCs w:val="21"/>
                <w:highlight w:val="none"/>
              </w:rPr>
            </w:pPr>
          </w:p>
        </w:tc>
        <w:tc>
          <w:tcPr>
            <w:tcW w:w="1643" w:type="dxa"/>
            <w:vAlign w:val="center"/>
          </w:tcPr>
          <w:p w14:paraId="219A5D75">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未发现侵犯他人著作权和特许权</w:t>
            </w:r>
          </w:p>
        </w:tc>
        <w:tc>
          <w:tcPr>
            <w:tcW w:w="5976" w:type="dxa"/>
            <w:vAlign w:val="center"/>
          </w:tcPr>
          <w:p w14:paraId="26879E5A">
            <w:pPr>
              <w:wordWrap w:val="0"/>
              <w:spacing w:line="276" w:lineRule="auto"/>
              <w:jc w:val="left"/>
              <w:rPr>
                <w:rFonts w:ascii="宋体" w:hAnsi="宋体" w:eastAsia="宋体" w:cs="宋体"/>
                <w:color w:val="auto"/>
                <w:szCs w:val="21"/>
                <w:highlight w:val="none"/>
                <w:u w:val="single"/>
              </w:rPr>
            </w:pPr>
            <w:r>
              <w:rPr>
                <w:rFonts w:hint="eastAsia" w:ascii="宋体" w:hAnsi="宋体" w:eastAsia="宋体" w:cs="Times New Roman"/>
                <w:color w:val="auto"/>
                <w:highlight w:val="none"/>
              </w:rPr>
              <w:t>满足左述要求。</w:t>
            </w:r>
          </w:p>
        </w:tc>
      </w:tr>
      <w:tr w14:paraId="0F94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106F1B7A">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p>
        </w:tc>
        <w:tc>
          <w:tcPr>
            <w:tcW w:w="1643" w:type="dxa"/>
            <w:vAlign w:val="center"/>
          </w:tcPr>
          <w:p w14:paraId="7909C46A">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条款内容</w:t>
            </w:r>
          </w:p>
        </w:tc>
        <w:tc>
          <w:tcPr>
            <w:tcW w:w="5976" w:type="dxa"/>
            <w:vAlign w:val="center"/>
          </w:tcPr>
          <w:p w14:paraId="5DA192CE">
            <w:pPr>
              <w:wordWrap w:val="0"/>
              <w:spacing w:line="276"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编列内容</w:t>
            </w:r>
          </w:p>
        </w:tc>
      </w:tr>
      <w:tr w14:paraId="71B1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7EE21AB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643" w:type="dxa"/>
            <w:vAlign w:val="center"/>
          </w:tcPr>
          <w:p w14:paraId="37CB8B7E">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分值构成</w:t>
            </w:r>
          </w:p>
        </w:tc>
        <w:tc>
          <w:tcPr>
            <w:tcW w:w="5976" w:type="dxa"/>
            <w:vAlign w:val="center"/>
          </w:tcPr>
          <w:p w14:paraId="152DC39D">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商务文件部分A：</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分（权重30%）</w:t>
            </w:r>
          </w:p>
          <w:p w14:paraId="0F5C5F7E">
            <w:pPr>
              <w:wordWrap w:val="0"/>
              <w:spacing w:line="276" w:lineRule="auto"/>
              <w:rPr>
                <w:rFonts w:ascii="宋体" w:hAnsi="宋体" w:eastAsia="宋体" w:cs="宋体"/>
                <w:color w:val="auto"/>
                <w:szCs w:val="21"/>
                <w:highlight w:val="none"/>
              </w:rPr>
            </w:pPr>
            <w:r>
              <w:rPr>
                <w:rFonts w:hint="eastAsia" w:ascii="宋体" w:hAnsi="宋体" w:eastAsia="宋体" w:cs="宋体"/>
                <w:color w:val="auto"/>
                <w:spacing w:val="-2"/>
                <w:szCs w:val="21"/>
                <w:highlight w:val="none"/>
              </w:rPr>
              <w:t>技术文件</w:t>
            </w:r>
            <w:r>
              <w:rPr>
                <w:rFonts w:hint="eastAsia" w:ascii="宋体" w:hAnsi="宋体" w:eastAsia="宋体" w:cs="宋体"/>
                <w:color w:val="auto"/>
                <w:szCs w:val="21"/>
                <w:highlight w:val="none"/>
              </w:rPr>
              <w:t>部分B：</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分（权重60%）</w:t>
            </w:r>
          </w:p>
          <w:p w14:paraId="6F07B4C2">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rPr>
              <w:t>投标报价C：</w:t>
            </w:r>
            <w:r>
              <w:rPr>
                <w:rFonts w:hint="eastAsia" w:ascii="宋体" w:hAnsi="宋体" w:eastAsia="宋体" w:cs="宋体"/>
                <w:color w:val="auto"/>
                <w:szCs w:val="21"/>
                <w:highlight w:val="none"/>
                <w:u w:val="single"/>
              </w:rPr>
              <w:t>100</w:t>
            </w:r>
            <w:r>
              <w:rPr>
                <w:rFonts w:hint="eastAsia" w:ascii="宋体" w:hAnsi="宋体" w:eastAsia="宋体" w:cs="宋体"/>
                <w:color w:val="auto"/>
                <w:szCs w:val="21"/>
                <w:highlight w:val="none"/>
              </w:rPr>
              <w:t>分（权重10%）</w:t>
            </w:r>
          </w:p>
          <w:p w14:paraId="640D419E">
            <w:pPr>
              <w:wordWrap w:val="0"/>
              <w:spacing w:line="276" w:lineRule="auto"/>
              <w:rPr>
                <w:rFonts w:ascii="宋体" w:hAnsi="宋体" w:eastAsia="宋体" w:cs="Times New Roman"/>
                <w:b/>
                <w:color w:val="auto"/>
                <w:szCs w:val="21"/>
                <w:highlight w:val="none"/>
                <w:u w:val="single"/>
              </w:rPr>
            </w:pPr>
            <w:r>
              <w:rPr>
                <w:rFonts w:hint="eastAsia" w:ascii="宋体" w:hAnsi="宋体" w:eastAsia="宋体" w:cs="Times New Roman"/>
                <w:bCs/>
                <w:color w:val="auto"/>
                <w:szCs w:val="21"/>
                <w:highlight w:val="none"/>
              </w:rPr>
              <w:t>其他评分因素（信用评价得分）D：</w:t>
            </w:r>
            <w:r>
              <w:rPr>
                <w:rFonts w:hint="eastAsia" w:ascii="宋体" w:hAnsi="宋体" w:eastAsia="宋体" w:cs="Times New Roman"/>
                <w:bCs/>
                <w:color w:val="auto"/>
                <w:szCs w:val="21"/>
                <w:highlight w:val="none"/>
                <w:u w:val="single"/>
              </w:rPr>
              <w:t>/</w:t>
            </w:r>
          </w:p>
          <w:p w14:paraId="22170A89">
            <w:pPr>
              <w:wordWrap w:val="0"/>
              <w:spacing w:line="276" w:lineRule="auto"/>
              <w:rPr>
                <w:rFonts w:ascii="宋体" w:hAnsi="宋体" w:eastAsia="宋体" w:cs="Times New Roman"/>
                <w:b/>
                <w:color w:val="auto"/>
                <w:szCs w:val="21"/>
                <w:highlight w:val="none"/>
                <w:u w:val="single"/>
              </w:rPr>
            </w:pPr>
            <w:r>
              <w:rPr>
                <w:rFonts w:hint="eastAsia" w:ascii="宋体" w:hAnsi="宋体" w:eastAsia="宋体" w:cs="Times New Roman"/>
                <w:b/>
                <w:color w:val="auto"/>
                <w:szCs w:val="21"/>
                <w:highlight w:val="none"/>
                <w:u w:val="single"/>
              </w:rPr>
              <w:t>投标人总得分</w:t>
            </w:r>
            <w:r>
              <w:rPr>
                <w:rFonts w:ascii="宋体" w:hAnsi="宋体" w:eastAsia="宋体" w:cs="Times New Roman"/>
                <w:b/>
                <w:color w:val="auto"/>
                <w:szCs w:val="21"/>
                <w:highlight w:val="none"/>
                <w:u w:val="single"/>
              </w:rPr>
              <w:t>=A×30%+B×60%+C×10%。</w:t>
            </w:r>
          </w:p>
        </w:tc>
      </w:tr>
      <w:tr w14:paraId="7515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298F17F8">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643" w:type="dxa"/>
            <w:vAlign w:val="center"/>
          </w:tcPr>
          <w:p w14:paraId="2C4C75F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评标基准价计算方法</w:t>
            </w:r>
          </w:p>
        </w:tc>
        <w:tc>
          <w:tcPr>
            <w:tcW w:w="5976" w:type="dxa"/>
            <w:vAlign w:val="center"/>
          </w:tcPr>
          <w:p w14:paraId="25471C72">
            <w:pPr>
              <w:wordWrap w:val="0"/>
              <w:spacing w:line="276"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当位于最高投标限价的[90%，100%]的有效投标人大于或等于5名时，去掉该区间内一个最高价和一个最低价，取该区间内余下投标价的</w:t>
            </w:r>
            <w:bookmarkStart w:id="188" w:name="OLE_LINK37"/>
            <w:r>
              <w:rPr>
                <w:rFonts w:hint="eastAsia" w:ascii="宋体" w:hAnsi="宋体" w:eastAsia="宋体" w:cs="宋体"/>
                <w:color w:val="auto"/>
                <w:szCs w:val="21"/>
                <w:highlight w:val="none"/>
                <w:u w:val="single"/>
              </w:rPr>
              <w:t>算术</w:t>
            </w:r>
            <w:bookmarkEnd w:id="188"/>
            <w:r>
              <w:rPr>
                <w:rFonts w:hint="eastAsia" w:ascii="宋体" w:hAnsi="宋体" w:eastAsia="宋体" w:cs="宋体"/>
                <w:color w:val="auto"/>
                <w:szCs w:val="21"/>
                <w:highlight w:val="none"/>
                <w:u w:val="single"/>
              </w:rPr>
              <w:t>平均值作为评标基准价。当位于最高投标限价的[90%，100%]的有效投标人小于5名时，取所有该区间内的有效投标价的</w:t>
            </w:r>
            <w:bookmarkStart w:id="189" w:name="OLE_LINK7"/>
            <w:r>
              <w:rPr>
                <w:rFonts w:hint="eastAsia" w:ascii="宋体" w:hAnsi="宋体" w:eastAsia="宋体" w:cs="宋体"/>
                <w:color w:val="auto"/>
                <w:szCs w:val="21"/>
                <w:highlight w:val="none"/>
                <w:u w:val="single"/>
              </w:rPr>
              <w:t>算术</w:t>
            </w:r>
            <w:bookmarkEnd w:id="189"/>
            <w:r>
              <w:rPr>
                <w:rFonts w:hint="eastAsia" w:ascii="宋体" w:hAnsi="宋体" w:eastAsia="宋体" w:cs="宋体"/>
                <w:color w:val="auto"/>
                <w:szCs w:val="21"/>
                <w:highlight w:val="none"/>
                <w:u w:val="single"/>
              </w:rPr>
              <w:t>平均值作为评标基准价；若无报价位于该区间内，则以最高投标限价的90%作为</w:t>
            </w:r>
            <w:bookmarkStart w:id="190" w:name="OLE_LINK38"/>
            <w:r>
              <w:rPr>
                <w:rFonts w:hint="eastAsia" w:ascii="宋体" w:hAnsi="宋体" w:eastAsia="宋体" w:cs="宋体"/>
                <w:color w:val="auto"/>
                <w:szCs w:val="21"/>
                <w:highlight w:val="none"/>
                <w:u w:val="single"/>
              </w:rPr>
              <w:t>评标基准价</w:t>
            </w:r>
            <w:bookmarkEnd w:id="190"/>
            <w:r>
              <w:rPr>
                <w:rFonts w:hint="eastAsia" w:ascii="宋体" w:hAnsi="宋体" w:eastAsia="宋体" w:cs="宋体"/>
                <w:color w:val="auto"/>
                <w:szCs w:val="21"/>
                <w:highlight w:val="none"/>
                <w:u w:val="single"/>
              </w:rPr>
              <w:t>（有效投标人为通过本章第2.1款初步评审的投标人）。评标基准价</w:t>
            </w:r>
            <w:r>
              <w:rPr>
                <w:rFonts w:hint="eastAsia" w:ascii="宋体" w:hAnsi="宋体" w:eastAsia="宋体" w:cs="宋体"/>
                <w:color w:val="auto"/>
                <w:highlight w:val="none"/>
              </w:rPr>
              <w:t>保留小数点后</w:t>
            </w:r>
            <w:r>
              <w:rPr>
                <w:rFonts w:hint="eastAsia" w:ascii="宋体" w:hAnsi="宋体" w:eastAsia="宋体" w:cs="宋体"/>
                <w:color w:val="auto"/>
                <w:highlight w:val="none"/>
                <w:lang w:eastAsia="zh-CN"/>
              </w:rPr>
              <w:t>两位</w:t>
            </w:r>
            <w:r>
              <w:rPr>
                <w:rFonts w:hint="eastAsia" w:ascii="宋体" w:hAnsi="宋体" w:eastAsia="宋体" w:cs="宋体"/>
                <w:color w:val="auto"/>
                <w:highlight w:val="none"/>
              </w:rPr>
              <w:t>小数</w:t>
            </w:r>
            <w:r>
              <w:rPr>
                <w:rFonts w:hint="eastAsia" w:ascii="宋体" w:hAnsi="宋体" w:eastAsia="宋体" w:cs="宋体"/>
                <w:color w:val="auto"/>
                <w:highlight w:val="none"/>
                <w:lang w:eastAsia="zh-CN"/>
              </w:rPr>
              <w:t>。</w:t>
            </w:r>
          </w:p>
        </w:tc>
      </w:tr>
      <w:tr w14:paraId="5BEC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5527DD0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643" w:type="dxa"/>
            <w:vAlign w:val="center"/>
          </w:tcPr>
          <w:p w14:paraId="7B63641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投标报价的偏差率</w:t>
            </w:r>
          </w:p>
          <w:p w14:paraId="5B4A3D7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计算公式</w:t>
            </w:r>
          </w:p>
        </w:tc>
        <w:tc>
          <w:tcPr>
            <w:tcW w:w="5976" w:type="dxa"/>
            <w:vAlign w:val="center"/>
          </w:tcPr>
          <w:p w14:paraId="63D412BD">
            <w:pPr>
              <w:wordWrap w:val="0"/>
              <w:spacing w:line="276" w:lineRule="auto"/>
              <w:rPr>
                <w:rFonts w:ascii="宋体" w:hAnsi="宋体" w:eastAsia="宋体" w:cs="宋体"/>
                <w:b/>
                <w:bCs/>
                <w:color w:val="auto"/>
                <w:szCs w:val="21"/>
                <w:highlight w:val="none"/>
                <w:u w:val="single"/>
              </w:rPr>
            </w:pPr>
            <w:r>
              <w:rPr>
                <w:rFonts w:hint="eastAsia" w:ascii="宋体" w:hAnsi="宋体" w:eastAsia="宋体" w:cs="宋体"/>
                <w:color w:val="auto"/>
                <w:szCs w:val="21"/>
                <w:highlight w:val="none"/>
              </w:rPr>
              <w:t>投标报价偏差率=（投标报价-评标基准价）/评标基准价×100%。</w:t>
            </w:r>
          </w:p>
        </w:tc>
      </w:tr>
      <w:tr w14:paraId="5A78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61E57A5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2.2.4（1）</w:t>
            </w:r>
          </w:p>
        </w:tc>
        <w:tc>
          <w:tcPr>
            <w:tcW w:w="1643" w:type="dxa"/>
            <w:vAlign w:val="center"/>
          </w:tcPr>
          <w:p w14:paraId="48C1AE7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商务文件评分标准</w:t>
            </w:r>
          </w:p>
        </w:tc>
        <w:tc>
          <w:tcPr>
            <w:tcW w:w="5976" w:type="dxa"/>
            <w:vAlign w:val="center"/>
          </w:tcPr>
          <w:p w14:paraId="79C7827D">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详见附件一</w:t>
            </w:r>
          </w:p>
        </w:tc>
      </w:tr>
      <w:tr w14:paraId="2615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33D3052C">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1643" w:type="dxa"/>
            <w:vAlign w:val="center"/>
          </w:tcPr>
          <w:p w14:paraId="6BBEE86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技术文件评分标准</w:t>
            </w:r>
          </w:p>
        </w:tc>
        <w:tc>
          <w:tcPr>
            <w:tcW w:w="5976" w:type="dxa"/>
            <w:vAlign w:val="center"/>
          </w:tcPr>
          <w:p w14:paraId="0D1FDDE3">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详见附件二</w:t>
            </w:r>
          </w:p>
        </w:tc>
      </w:tr>
      <w:tr w14:paraId="0D34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37" w:type="dxa"/>
            <w:gridSpan w:val="2"/>
            <w:vAlign w:val="center"/>
          </w:tcPr>
          <w:p w14:paraId="24374984">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1643" w:type="dxa"/>
            <w:vAlign w:val="center"/>
          </w:tcPr>
          <w:p w14:paraId="38A85AD5">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rPr>
              <w:t>投标报价评分标准</w:t>
            </w:r>
          </w:p>
        </w:tc>
        <w:tc>
          <w:tcPr>
            <w:tcW w:w="5976" w:type="dxa"/>
            <w:vAlign w:val="center"/>
          </w:tcPr>
          <w:p w14:paraId="64918107">
            <w:pPr>
              <w:wordWrap w:val="0"/>
              <w:spacing w:line="276" w:lineRule="auto"/>
              <w:rPr>
                <w:rFonts w:ascii="宋体" w:hAnsi="宋体" w:eastAsia="宋体" w:cs="宋体"/>
                <w:color w:val="auto"/>
                <w:szCs w:val="21"/>
                <w:highlight w:val="none"/>
              </w:rPr>
            </w:pPr>
            <w:r>
              <w:rPr>
                <w:rFonts w:hint="eastAsia" w:ascii="宋体" w:hAnsi="宋体" w:eastAsia="宋体" w:cs="宋体"/>
                <w:color w:val="auto"/>
                <w:szCs w:val="21"/>
                <w:highlight w:val="none"/>
                <w:u w:val="single"/>
              </w:rPr>
              <w:t>以评标基准价作为计算各有效投标人报价得分的基础，当投标报价等于评标基准价时得100分，投标报价与评标基准价之差，每上偏1%扣0.</w:t>
            </w:r>
            <w:r>
              <w:rPr>
                <w:rFonts w:ascii="宋体" w:hAnsi="宋体" w:eastAsia="宋体" w:cs="宋体"/>
                <w:color w:val="auto"/>
                <w:szCs w:val="21"/>
                <w:highlight w:val="none"/>
                <w:u w:val="single"/>
              </w:rPr>
              <w:t>5</w:t>
            </w:r>
            <w:r>
              <w:rPr>
                <w:rFonts w:hint="eastAsia" w:ascii="宋体" w:hAnsi="宋体" w:eastAsia="宋体" w:cs="宋体"/>
                <w:color w:val="auto"/>
                <w:szCs w:val="21"/>
                <w:highlight w:val="none"/>
                <w:u w:val="single"/>
              </w:rPr>
              <w:t>分，下偏1%扣0.</w:t>
            </w:r>
            <w:r>
              <w:rPr>
                <w:rFonts w:ascii="宋体" w:hAnsi="宋体" w:eastAsia="宋体" w:cs="宋体"/>
                <w:color w:val="auto"/>
                <w:szCs w:val="21"/>
                <w:highlight w:val="none"/>
                <w:u w:val="single"/>
              </w:rPr>
              <w:t>3</w:t>
            </w:r>
            <w:r>
              <w:rPr>
                <w:rFonts w:hint="eastAsia" w:ascii="宋体" w:hAnsi="宋体" w:eastAsia="宋体" w:cs="宋体"/>
                <w:color w:val="auto"/>
                <w:szCs w:val="21"/>
                <w:highlight w:val="none"/>
                <w:u w:val="single"/>
              </w:rPr>
              <w:t>分，扣至</w:t>
            </w:r>
            <w:r>
              <w:rPr>
                <w:rFonts w:ascii="宋体" w:hAnsi="宋体" w:eastAsia="宋体" w:cs="宋体"/>
                <w:color w:val="auto"/>
                <w:szCs w:val="21"/>
                <w:highlight w:val="none"/>
                <w:u w:val="single"/>
              </w:rPr>
              <w:t>0分为止。</w:t>
            </w:r>
          </w:p>
        </w:tc>
      </w:tr>
    </w:tbl>
    <w:p w14:paraId="00C930A5">
      <w:pPr>
        <w:wordWrap w:val="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7D887A92">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type w:val="continuous"/>
          <w:pgSz w:w="11905" w:h="16838"/>
          <w:pgMar w:top="1474" w:right="1701" w:bottom="1474" w:left="1701" w:header="720" w:footer="720" w:gutter="0"/>
          <w:cols w:space="720" w:num="1"/>
        </w:sectPr>
      </w:pPr>
    </w:p>
    <w:p w14:paraId="6A628712">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附件一：</w:t>
      </w:r>
    </w:p>
    <w:p w14:paraId="1372B8DE">
      <w:pPr>
        <w:jc w:val="center"/>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商务文件综合评分表</w:t>
      </w:r>
    </w:p>
    <w:tbl>
      <w:tblPr>
        <w:tblStyle w:val="45"/>
        <w:tblW w:w="5403"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3"/>
        <w:gridCol w:w="692"/>
        <w:gridCol w:w="12"/>
        <w:gridCol w:w="705"/>
        <w:gridCol w:w="3"/>
        <w:gridCol w:w="13392"/>
      </w:tblGrid>
      <w:tr w14:paraId="0B84E0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98" w:hRule="atLeast"/>
          <w:jc w:val="center"/>
        </w:trPr>
        <w:tc>
          <w:tcPr>
            <w:tcW w:w="144" w:type="pct"/>
            <w:gridSpan w:val="2"/>
            <w:vMerge w:val="restart"/>
            <w:vAlign w:val="center"/>
          </w:tcPr>
          <w:p w14:paraId="27094CDC">
            <w:pPr>
              <w:pStyle w:val="158"/>
              <w:snapToGrid w:val="0"/>
              <w:spacing w:line="276" w:lineRule="auto"/>
              <w:ind w:left="-2" w:leftChars="-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1" w:type="pct"/>
            <w:gridSpan w:val="2"/>
            <w:vMerge w:val="restart"/>
            <w:vAlign w:val="center"/>
          </w:tcPr>
          <w:p w14:paraId="395B3D69">
            <w:pPr>
              <w:pStyle w:val="158"/>
              <w:snapToGrid w:val="0"/>
              <w:spacing w:line="276" w:lineRule="auto"/>
              <w:ind w:left="-2" w:leftChars="-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31" w:type="pct"/>
            <w:vMerge w:val="restart"/>
            <w:vAlign w:val="center"/>
          </w:tcPr>
          <w:p w14:paraId="6DF91D0A">
            <w:pPr>
              <w:pStyle w:val="158"/>
              <w:snapToGrid w:val="0"/>
              <w:spacing w:line="276" w:lineRule="auto"/>
              <w:ind w:left="-2" w:leftChars="-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分数</w:t>
            </w:r>
          </w:p>
        </w:tc>
        <w:tc>
          <w:tcPr>
            <w:tcW w:w="4392" w:type="pct"/>
            <w:gridSpan w:val="2"/>
            <w:vMerge w:val="restart"/>
            <w:vAlign w:val="center"/>
          </w:tcPr>
          <w:p w14:paraId="1018016A">
            <w:pPr>
              <w:pStyle w:val="158"/>
              <w:snapToGrid w:val="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 分 说 明</w:t>
            </w:r>
          </w:p>
        </w:tc>
      </w:tr>
      <w:tr w14:paraId="25DE09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144" w:type="pct"/>
            <w:gridSpan w:val="2"/>
            <w:vMerge w:val="continue"/>
            <w:vAlign w:val="center"/>
          </w:tcPr>
          <w:p w14:paraId="71EC3EC8">
            <w:pPr>
              <w:pStyle w:val="158"/>
              <w:snapToGrid w:val="0"/>
              <w:spacing w:line="276" w:lineRule="auto"/>
              <w:jc w:val="center"/>
              <w:rPr>
                <w:rFonts w:hint="eastAsia" w:ascii="宋体" w:hAnsi="宋体" w:eastAsia="宋体" w:cs="宋体"/>
                <w:color w:val="auto"/>
                <w:sz w:val="21"/>
                <w:szCs w:val="21"/>
                <w:highlight w:val="none"/>
              </w:rPr>
            </w:pPr>
          </w:p>
        </w:tc>
        <w:tc>
          <w:tcPr>
            <w:tcW w:w="231" w:type="pct"/>
            <w:gridSpan w:val="2"/>
            <w:vMerge w:val="continue"/>
            <w:vAlign w:val="center"/>
          </w:tcPr>
          <w:p w14:paraId="75E2B1B8">
            <w:pPr>
              <w:pStyle w:val="158"/>
              <w:snapToGrid w:val="0"/>
              <w:spacing w:line="276" w:lineRule="auto"/>
              <w:jc w:val="center"/>
              <w:rPr>
                <w:rFonts w:hint="eastAsia" w:ascii="宋体" w:hAnsi="宋体" w:eastAsia="宋体" w:cs="宋体"/>
                <w:color w:val="auto"/>
                <w:sz w:val="21"/>
                <w:szCs w:val="21"/>
                <w:highlight w:val="none"/>
              </w:rPr>
            </w:pPr>
          </w:p>
        </w:tc>
        <w:tc>
          <w:tcPr>
            <w:tcW w:w="231" w:type="pct"/>
            <w:vMerge w:val="continue"/>
            <w:vAlign w:val="center"/>
          </w:tcPr>
          <w:p w14:paraId="60AA047F">
            <w:pPr>
              <w:pStyle w:val="158"/>
              <w:snapToGrid w:val="0"/>
              <w:spacing w:line="276" w:lineRule="auto"/>
              <w:jc w:val="center"/>
              <w:rPr>
                <w:rFonts w:hint="eastAsia" w:ascii="宋体" w:hAnsi="宋体" w:eastAsia="宋体" w:cs="宋体"/>
                <w:color w:val="auto"/>
                <w:sz w:val="21"/>
                <w:szCs w:val="21"/>
                <w:highlight w:val="none"/>
              </w:rPr>
            </w:pPr>
          </w:p>
        </w:tc>
        <w:tc>
          <w:tcPr>
            <w:tcW w:w="4392" w:type="pct"/>
            <w:gridSpan w:val="2"/>
            <w:vMerge w:val="continue"/>
            <w:vAlign w:val="center"/>
          </w:tcPr>
          <w:p w14:paraId="22BC5AA3">
            <w:pPr>
              <w:pStyle w:val="158"/>
              <w:snapToGrid w:val="0"/>
              <w:spacing w:line="276" w:lineRule="auto"/>
              <w:jc w:val="center"/>
              <w:rPr>
                <w:rFonts w:hint="eastAsia" w:ascii="宋体" w:hAnsi="宋体" w:eastAsia="宋体" w:cs="宋体"/>
                <w:color w:val="auto"/>
                <w:sz w:val="21"/>
                <w:szCs w:val="21"/>
                <w:highlight w:val="none"/>
              </w:rPr>
            </w:pPr>
          </w:p>
        </w:tc>
      </w:tr>
      <w:tr w14:paraId="54D960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44" w:type="pct"/>
            <w:gridSpan w:val="2"/>
            <w:vAlign w:val="center"/>
          </w:tcPr>
          <w:p w14:paraId="2A019DCF">
            <w:pPr>
              <w:pStyle w:val="158"/>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231" w:type="pct"/>
            <w:gridSpan w:val="2"/>
            <w:vAlign w:val="center"/>
          </w:tcPr>
          <w:p w14:paraId="130C98C5">
            <w:pPr>
              <w:pStyle w:val="15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企业类似业绩</w:t>
            </w:r>
          </w:p>
        </w:tc>
        <w:tc>
          <w:tcPr>
            <w:tcW w:w="231" w:type="pct"/>
            <w:vAlign w:val="center"/>
          </w:tcPr>
          <w:p w14:paraId="75F5901F">
            <w:pPr>
              <w:pStyle w:val="156"/>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30</w:t>
            </w:r>
          </w:p>
        </w:tc>
        <w:tc>
          <w:tcPr>
            <w:tcW w:w="4392" w:type="pct"/>
            <w:gridSpan w:val="2"/>
            <w:vAlign w:val="center"/>
          </w:tcPr>
          <w:p w14:paraId="38DAA701">
            <w:pPr>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）投标人自2022年1月1日</w:t>
            </w:r>
            <w:r>
              <w:rPr>
                <w:rFonts w:hint="eastAsia" w:ascii="宋体" w:hAnsi="宋体" w:eastAsia="宋体" w:cs="宋体"/>
                <w:color w:val="auto"/>
                <w:szCs w:val="21"/>
                <w:highlight w:val="none"/>
                <w:u w:val="none"/>
              </w:rPr>
              <w:t>至投标截止时间止</w:t>
            </w:r>
            <w:r>
              <w:rPr>
                <w:rFonts w:hint="eastAsia" w:ascii="宋体" w:hAnsi="宋体" w:eastAsia="宋体" w:cs="宋体"/>
                <w:color w:val="auto"/>
                <w:szCs w:val="21"/>
                <w:highlight w:val="none"/>
                <w:lang w:val="zh-CN"/>
              </w:rPr>
              <w:t>，完成过建安工程费大于或等于</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000万元的</w:t>
            </w:r>
            <w:bookmarkStart w:id="191" w:name="OLE_LINK39"/>
            <w:r>
              <w:rPr>
                <w:rFonts w:hint="eastAsia" w:ascii="宋体" w:hAnsi="宋体" w:eastAsia="宋体" w:cs="宋体"/>
                <w:color w:val="auto"/>
                <w:szCs w:val="21"/>
                <w:highlight w:val="none"/>
              </w:rPr>
              <w:t>市政公用工程</w:t>
            </w:r>
            <w:r>
              <w:rPr>
                <w:rFonts w:hint="eastAsia" w:ascii="宋体" w:hAnsi="宋体" w:eastAsia="宋体" w:cs="宋体"/>
                <w:color w:val="auto"/>
                <w:szCs w:val="21"/>
                <w:highlight w:val="none"/>
                <w:lang w:val="zh-CN"/>
              </w:rPr>
              <w:t>项目</w:t>
            </w:r>
            <w:bookmarkEnd w:id="191"/>
            <w:r>
              <w:rPr>
                <w:rFonts w:hint="eastAsia" w:ascii="宋体" w:hAnsi="宋体" w:eastAsia="宋体" w:cs="宋体"/>
                <w:color w:val="auto"/>
                <w:szCs w:val="21"/>
                <w:highlight w:val="none"/>
                <w:lang w:val="zh-CN"/>
              </w:rPr>
              <w:t>设计业绩，每项得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本项最多得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分。</w:t>
            </w:r>
          </w:p>
          <w:p w14:paraId="0E34EEAC">
            <w:pPr>
              <w:autoSpaceDE/>
              <w:autoSpaceDN/>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2）投</w:t>
            </w:r>
            <w:r>
              <w:rPr>
                <w:rFonts w:hint="eastAsia" w:ascii="宋体" w:hAnsi="宋体" w:eastAsia="宋体" w:cs="宋体"/>
                <w:color w:val="auto"/>
                <w:szCs w:val="21"/>
                <w:highlight w:val="none"/>
                <w:lang w:val="zh-CN"/>
              </w:rPr>
              <w:t>标人自</w:t>
            </w:r>
            <w:r>
              <w:rPr>
                <w:rFonts w:ascii="宋体" w:hAnsi="宋体" w:eastAsia="宋体" w:cs="宋体"/>
                <w:color w:val="auto"/>
                <w:szCs w:val="21"/>
                <w:highlight w:val="none"/>
                <w:lang w:val="zh-CN"/>
              </w:rPr>
              <w:t>2022年1月1日</w:t>
            </w:r>
            <w:r>
              <w:rPr>
                <w:rFonts w:hint="eastAsia" w:ascii="宋体" w:hAnsi="宋体" w:eastAsia="宋体" w:cs="宋体"/>
                <w:color w:val="auto"/>
                <w:szCs w:val="21"/>
                <w:highlight w:val="none"/>
                <w:u w:val="none"/>
              </w:rPr>
              <w:t>至投标截止时间止</w:t>
            </w:r>
            <w:r>
              <w:rPr>
                <w:rFonts w:ascii="宋体" w:hAnsi="宋体" w:eastAsia="宋体" w:cs="宋体"/>
                <w:color w:val="auto"/>
                <w:szCs w:val="21"/>
                <w:highlight w:val="none"/>
                <w:lang w:val="zh-CN"/>
              </w:rPr>
              <w:t>，完成过的市政公用工程项目</w:t>
            </w:r>
            <w:r>
              <w:rPr>
                <w:rFonts w:hint="eastAsia" w:ascii="宋体" w:hAnsi="宋体" w:eastAsia="宋体" w:cs="宋体"/>
                <w:color w:val="auto"/>
                <w:szCs w:val="21"/>
                <w:highlight w:val="none"/>
                <w:lang w:val="zh-CN"/>
              </w:rPr>
              <w:t>勘察</w:t>
            </w:r>
            <w:r>
              <w:rPr>
                <w:rFonts w:ascii="宋体" w:hAnsi="宋体" w:eastAsia="宋体" w:cs="宋体"/>
                <w:color w:val="auto"/>
                <w:szCs w:val="21"/>
                <w:highlight w:val="none"/>
                <w:lang w:val="zh-CN"/>
              </w:rPr>
              <w:t>业绩，每项得</w:t>
            </w: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lang w:val="zh-CN"/>
              </w:rPr>
              <w:t>分。本项最多得15分。</w:t>
            </w:r>
          </w:p>
          <w:p w14:paraId="7DE1D908">
            <w:pPr>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注：</w:t>
            </w:r>
            <w:bookmarkStart w:id="192" w:name="OLE_LINK41"/>
            <w:bookmarkStart w:id="193" w:name="OLE_LINK40"/>
            <w:r>
              <w:rPr>
                <w:rFonts w:hint="eastAsia" w:ascii="宋体" w:hAnsi="宋体" w:eastAsia="宋体" w:cs="宋体"/>
                <w:bCs/>
                <w:color w:val="auto"/>
                <w:szCs w:val="21"/>
                <w:highlight w:val="none"/>
                <w:lang w:val="en-US" w:eastAsia="zh-CN"/>
              </w:rPr>
              <w:t>1.</w:t>
            </w:r>
            <w:r>
              <w:rPr>
                <w:rFonts w:hint="eastAsia" w:ascii="宋体" w:hAnsi="宋体" w:eastAsia="宋体" w:cs="宋体"/>
                <w:b/>
                <w:bCs w:val="0"/>
                <w:color w:val="auto"/>
                <w:szCs w:val="21"/>
                <w:highlight w:val="none"/>
              </w:rPr>
              <w:t>设计</w:t>
            </w:r>
            <w:r>
              <w:rPr>
                <w:rFonts w:hint="eastAsia" w:ascii="宋体" w:hAnsi="宋体" w:eastAsia="宋体" w:cs="宋体"/>
                <w:b/>
                <w:color w:val="auto"/>
                <w:szCs w:val="21"/>
                <w:highlight w:val="none"/>
                <w:lang w:val="zh-CN"/>
              </w:rPr>
              <w:t>业绩</w:t>
            </w:r>
            <w:r>
              <w:rPr>
                <w:rFonts w:hint="eastAsia" w:ascii="宋体" w:hAnsi="宋体" w:eastAsia="宋体" w:cs="宋体"/>
                <w:color w:val="auto"/>
                <w:szCs w:val="21"/>
                <w:highlight w:val="none"/>
              </w:rPr>
              <w:t>需</w:t>
            </w:r>
            <w:r>
              <w:rPr>
                <w:rFonts w:hint="eastAsia" w:ascii="宋体" w:hAnsi="宋体" w:eastAsia="宋体" w:cs="宋体"/>
                <w:color w:val="auto"/>
                <w:szCs w:val="21"/>
                <w:highlight w:val="none"/>
                <w:lang w:val="zh-CN"/>
              </w:rPr>
              <w:t>同时提供合同文本关键页、中标通知书（或免招标证明文件）、</w:t>
            </w:r>
            <w:r>
              <w:rPr>
                <w:rFonts w:hint="eastAsia" w:ascii="宋体" w:hAnsi="宋体" w:eastAsia="宋体" w:cs="宋体"/>
                <w:color w:val="auto"/>
                <w:szCs w:val="21"/>
                <w:highlight w:val="none"/>
                <w:lang w:val="zh-CN" w:eastAsia="zh-CN"/>
              </w:rPr>
              <w:t>初步设计批复（或审查证明）或施工图审查合格书（或备案证明）</w:t>
            </w:r>
            <w:r>
              <w:rPr>
                <w:rFonts w:hint="eastAsia" w:ascii="宋体" w:hAnsi="宋体" w:eastAsia="宋体" w:cs="宋体"/>
                <w:color w:val="auto"/>
                <w:szCs w:val="21"/>
                <w:highlight w:val="none"/>
                <w:lang w:val="zh-CN"/>
              </w:rPr>
              <w:t>扫描件。时间以</w:t>
            </w:r>
            <w:r>
              <w:rPr>
                <w:rFonts w:hint="eastAsia" w:ascii="宋体" w:hAnsi="宋体" w:eastAsia="宋体" w:cs="宋体"/>
                <w:color w:val="auto"/>
                <w:szCs w:val="21"/>
                <w:highlight w:val="none"/>
                <w:lang w:val="zh-CN" w:eastAsia="zh-CN"/>
              </w:rPr>
              <w:t>初步设计批复（或审查证明）或施工图审查合格书（或备案证明）</w:t>
            </w:r>
            <w:r>
              <w:rPr>
                <w:rFonts w:hint="eastAsia" w:ascii="宋体" w:hAnsi="宋体" w:eastAsia="宋体" w:cs="宋体"/>
                <w:color w:val="auto"/>
                <w:szCs w:val="21"/>
                <w:highlight w:val="none"/>
                <w:lang w:val="zh-CN"/>
              </w:rPr>
              <w:t>为准。如以上资料不能证明业绩规模或技术指标的，须另提供业主盖章的业绩证明或可证明业绩规模或技术指标的其他资料扫描件</w:t>
            </w:r>
            <w:bookmarkEnd w:id="192"/>
            <w:r>
              <w:rPr>
                <w:rFonts w:hint="eastAsia" w:ascii="宋体" w:hAnsi="宋体" w:eastAsia="宋体" w:cs="宋体"/>
                <w:color w:val="auto"/>
                <w:szCs w:val="21"/>
                <w:highlight w:val="none"/>
                <w:lang w:val="zh-CN"/>
              </w:rPr>
              <w:t>。</w:t>
            </w:r>
            <w:bookmarkEnd w:id="193"/>
          </w:p>
          <w:p w14:paraId="453333A4">
            <w:pPr>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cs="宋体"/>
                <w:color w:val="auto"/>
                <w:szCs w:val="21"/>
                <w:highlight w:val="none"/>
                <w:lang w:val="en-US" w:eastAsia="zh-CN"/>
              </w:rPr>
              <w:t>2.</w:t>
            </w:r>
            <w:r>
              <w:rPr>
                <w:rFonts w:hint="eastAsia" w:ascii="宋体" w:hAnsi="宋体" w:eastAsia="宋体" w:cs="宋体"/>
                <w:b/>
                <w:bCs/>
                <w:color w:val="auto"/>
                <w:szCs w:val="21"/>
                <w:highlight w:val="none"/>
                <w:lang w:val="en-US" w:eastAsia="zh-CN"/>
              </w:rPr>
              <w:t>勘察业绩</w:t>
            </w:r>
            <w:r>
              <w:rPr>
                <w:rFonts w:hint="eastAsia" w:ascii="宋体" w:hAnsi="宋体" w:eastAsia="宋体" w:cs="宋体"/>
                <w:color w:val="auto"/>
                <w:szCs w:val="21"/>
                <w:highlight w:val="none"/>
                <w:lang w:val="en-US" w:eastAsia="zh-CN"/>
              </w:rPr>
              <w:t>需同时提供合同文本关键页、中标通知书（或免招标证明文件）、勘察成果审查合格证明文件扫描件。时间以勘察成果审查合格证明文件为准。如以上资料不能证明业绩规模或技术指标的，须另提供业主盖章的业绩证明或可证明业绩规模或技术指标的其他资料扫描件。</w:t>
            </w:r>
          </w:p>
          <w:p w14:paraId="3B5E0E8F">
            <w:pPr>
              <w:autoSpaceDE w:val="0"/>
              <w:autoSpaceDN w:val="0"/>
              <w:spacing w:line="360" w:lineRule="auto"/>
              <w:rPr>
                <w:rFonts w:hint="eastAsia"/>
                <w:color w:val="auto"/>
                <w:highlight w:val="none"/>
                <w:lang w:val="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同一项目含设计和勘察的按分别满足上述要求各计算一次设计业绩和勘察业绩。</w:t>
            </w:r>
          </w:p>
        </w:tc>
      </w:tr>
      <w:tr w14:paraId="33C97C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144" w:type="pct"/>
            <w:gridSpan w:val="2"/>
            <w:vAlign w:val="center"/>
          </w:tcPr>
          <w:p w14:paraId="04AC2C6A">
            <w:pPr>
              <w:pStyle w:val="158"/>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231" w:type="pct"/>
            <w:gridSpan w:val="2"/>
            <w:vAlign w:val="center"/>
          </w:tcPr>
          <w:p w14:paraId="180B11A7">
            <w:pPr>
              <w:pStyle w:val="2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企业业绩获奖</w:t>
            </w:r>
          </w:p>
        </w:tc>
        <w:tc>
          <w:tcPr>
            <w:tcW w:w="231" w:type="pct"/>
            <w:vAlign w:val="center"/>
          </w:tcPr>
          <w:p w14:paraId="76631613">
            <w:pPr>
              <w:pStyle w:val="25"/>
              <w:spacing w:line="360" w:lineRule="auto"/>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20</w:t>
            </w:r>
          </w:p>
        </w:tc>
        <w:tc>
          <w:tcPr>
            <w:tcW w:w="4392" w:type="pct"/>
            <w:gridSpan w:val="2"/>
            <w:tcBorders>
              <w:bottom w:val="single" w:color="auto" w:sz="4" w:space="0"/>
            </w:tcBorders>
            <w:vAlign w:val="center"/>
          </w:tcPr>
          <w:p w14:paraId="4DC163DA">
            <w:pPr>
              <w:numPr>
                <w:ilvl w:val="0"/>
                <w:numId w:val="1"/>
              </w:numPr>
              <w:spacing w:line="360" w:lineRule="auto"/>
              <w:rPr>
                <w:rFonts w:hint="eastAsia" w:ascii="宋体" w:hAnsi="宋体" w:eastAsia="宋体" w:cs="宋体"/>
                <w:color w:val="auto"/>
                <w:kern w:val="1"/>
                <w:szCs w:val="21"/>
                <w:highlight w:val="none"/>
              </w:rPr>
            </w:pPr>
            <w:r>
              <w:rPr>
                <w:rFonts w:hint="eastAsia" w:ascii="宋体" w:hAnsi="宋体" w:eastAsia="宋体" w:cs="宋体"/>
                <w:color w:val="auto"/>
                <w:kern w:val="1"/>
                <w:szCs w:val="21"/>
                <w:highlight w:val="none"/>
              </w:rPr>
              <w:t>投标人自2022年1月1日至投标截止时间止，承接的市政公用工程设计项目：获国家级奖项，每项得4分；获省级（含直辖市、自治区）奖项，每项得2分；获市（含副省级）奖项，每项得1分；本小项最高得10分。</w:t>
            </w:r>
          </w:p>
          <w:p w14:paraId="7CF5952B">
            <w:pPr>
              <w:numPr>
                <w:ilvl w:val="0"/>
                <w:numId w:val="1"/>
              </w:numPr>
              <w:spacing w:line="360" w:lineRule="auto"/>
              <w:rPr>
                <w:rFonts w:hint="eastAsia" w:ascii="宋体" w:hAnsi="宋体" w:eastAsia="宋体" w:cs="宋体"/>
                <w:color w:val="auto"/>
                <w:kern w:val="1"/>
                <w:szCs w:val="21"/>
                <w:highlight w:val="none"/>
                <w:lang w:val="zh-CN"/>
              </w:rPr>
            </w:pPr>
            <w:r>
              <w:rPr>
                <w:rFonts w:hint="eastAsia" w:ascii="宋体" w:hAnsi="宋体" w:eastAsia="宋体" w:cs="宋体"/>
                <w:color w:val="auto"/>
                <w:kern w:val="1"/>
                <w:szCs w:val="21"/>
                <w:highlight w:val="none"/>
              </w:rPr>
              <w:t>投标人自2022年1月1日至投标截止时间止，承接的市政公用工程勘察项目：获国家级奖项，每项得4分；获省级（含直辖市、自治区）奖项，每项得2分；获市（含副省级）奖项，每项得1分；本小项最高得10分。</w:t>
            </w:r>
          </w:p>
          <w:p w14:paraId="1E24C04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bookmarkStart w:id="194" w:name="OLE_LINK22"/>
            <w:bookmarkStart w:id="195" w:name="OLE_LINK43"/>
            <w:bookmarkStart w:id="196" w:name="OLE_LINK24"/>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获奖奖项是由住建部颁发的全国优秀工程勘察设计奖、中国勘察设计协会颁发的全国优秀工程勘察设计行业奖、省级建设行政主管部门或省级工程勘察设计行业协会颁发的省级优秀勘察或设计奖、市级建设行政主管部门或市级工程勘察设计行业协会颁发的市级优秀勘察或设计奖；由国务院颁发的国家科学技术奖、住建部的华夏建设科学技术奖励委员会颁发的华夏建设科学技术奖、省级人民政府颁发的省级科学技术奖、市级（人民政府颁发的市级科学技术奖）</w:t>
            </w:r>
            <w:bookmarkEnd w:id="194"/>
            <w:bookmarkStart w:id="197" w:name="OLE_LINK23"/>
            <w:r>
              <w:rPr>
                <w:rFonts w:hint="eastAsia" w:ascii="宋体" w:hAnsi="宋体" w:eastAsia="宋体" w:cs="宋体"/>
                <w:bCs/>
                <w:color w:val="auto"/>
                <w:szCs w:val="21"/>
                <w:highlight w:val="none"/>
                <w:lang w:eastAsia="zh-CN"/>
              </w:rPr>
              <w:t>。</w:t>
            </w:r>
            <w:r>
              <w:rPr>
                <w:rFonts w:hint="eastAsia" w:ascii="宋体" w:hAnsi="宋体" w:eastAsia="宋体" w:cs="宋体"/>
                <w:color w:val="auto"/>
                <w:kern w:val="1"/>
                <w:szCs w:val="21"/>
                <w:highlight w:val="none"/>
                <w:u w:val="none"/>
              </w:rPr>
              <w:t>投标人</w:t>
            </w:r>
            <w:r>
              <w:rPr>
                <w:rFonts w:hint="eastAsia" w:ascii="宋体" w:hAnsi="宋体" w:eastAsia="宋体" w:cs="宋体"/>
                <w:color w:val="auto"/>
                <w:kern w:val="1"/>
                <w:szCs w:val="21"/>
                <w:highlight w:val="none"/>
                <w:u w:val="none"/>
                <w:lang w:val="en-US" w:eastAsia="zh-CN"/>
              </w:rPr>
              <w:t>应</w:t>
            </w:r>
            <w:r>
              <w:rPr>
                <w:rFonts w:hint="eastAsia" w:ascii="宋体" w:hAnsi="宋体" w:eastAsia="宋体" w:cs="宋体"/>
                <w:color w:val="auto"/>
                <w:szCs w:val="21"/>
                <w:highlight w:val="none"/>
                <w:lang w:val="en-US" w:eastAsia="zh-CN"/>
              </w:rPr>
              <w:t>提供获奖证书或获奖证明文件扫描件，获奖认定</w:t>
            </w:r>
            <w:r>
              <w:rPr>
                <w:rFonts w:hint="eastAsia" w:ascii="宋体" w:hAnsi="宋体" w:eastAsia="宋体" w:cs="宋体"/>
                <w:color w:val="auto"/>
                <w:szCs w:val="21"/>
                <w:highlight w:val="none"/>
              </w:rPr>
              <w:t>时间以获奖证书或获奖证明文件载明的时间为准。</w:t>
            </w:r>
            <w:bookmarkEnd w:id="195"/>
            <w:bookmarkEnd w:id="197"/>
          </w:p>
          <w:p w14:paraId="1A99F314">
            <w:pPr>
              <w:spacing w:line="360" w:lineRule="auto"/>
              <w:jc w:val="left"/>
              <w:rPr>
                <w:rFonts w:hint="eastAsia" w:ascii="宋体" w:hAnsi="宋体" w:eastAsia="宋体" w:cs="宋体"/>
                <w:b w:val="0"/>
                <w:bCs/>
                <w:color w:val="auto"/>
                <w:szCs w:val="21"/>
                <w:highlight w:val="none"/>
                <w:u w:val="none"/>
              </w:rPr>
            </w:pPr>
            <w:r>
              <w:rPr>
                <w:rFonts w:hint="eastAsia" w:ascii="宋体" w:hAnsi="宋体" w:eastAsia="宋体" w:cs="宋体"/>
                <w:color w:val="auto"/>
                <w:szCs w:val="21"/>
                <w:highlight w:val="none"/>
                <w:lang w:val="en-US" w:eastAsia="zh-CN"/>
              </w:rPr>
              <w:t>②</w:t>
            </w:r>
            <w:bookmarkStart w:id="198" w:name="OLE_LINK44"/>
            <w:r>
              <w:rPr>
                <w:rFonts w:hint="eastAsia" w:ascii="宋体" w:hAnsi="宋体" w:eastAsia="宋体" w:cs="宋体"/>
                <w:bCs/>
                <w:color w:val="auto"/>
                <w:szCs w:val="21"/>
                <w:highlight w:val="none"/>
              </w:rPr>
              <w:t>如颁发单位为行业协会或</w:t>
            </w:r>
            <w:r>
              <w:rPr>
                <w:rFonts w:hint="eastAsia" w:ascii="宋体" w:hAnsi="宋体" w:eastAsia="宋体" w:cs="宋体"/>
                <w:color w:val="auto"/>
                <w:szCs w:val="21"/>
                <w:highlight w:val="none"/>
              </w:rPr>
              <w:t>经民政部批准成立的相关协会颁发的奖项</w:t>
            </w:r>
            <w:r>
              <w:rPr>
                <w:rFonts w:hint="eastAsia" w:ascii="宋体" w:hAnsi="宋体" w:eastAsia="宋体" w:cs="宋体"/>
                <w:bCs/>
                <w:color w:val="auto"/>
                <w:szCs w:val="21"/>
                <w:highlight w:val="none"/>
              </w:rPr>
              <w:t>，还须提供该</w:t>
            </w:r>
            <w:r>
              <w:rPr>
                <w:rFonts w:hint="eastAsia" w:ascii="宋体" w:hAnsi="宋体" w:eastAsia="宋体" w:cs="宋体"/>
                <w:b w:val="0"/>
                <w:bCs/>
                <w:color w:val="auto"/>
                <w:szCs w:val="21"/>
                <w:highlight w:val="none"/>
                <w:u w:val="none"/>
              </w:rPr>
              <w:t>协会在中国社会组织政务服务平台</w:t>
            </w:r>
            <w:r>
              <w:rPr>
                <w:rFonts w:hint="eastAsia" w:ascii="宋体" w:hAnsi="宋体" w:eastAsia="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rPr>
              <w:t>全国社会组织信用信息公示平台</w:t>
            </w:r>
            <w:r>
              <w:rPr>
                <w:rFonts w:hint="eastAsia" w:ascii="宋体" w:hAnsi="宋体" w:eastAsia="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rPr>
              <w:t>(网址:</w:t>
            </w:r>
            <w:r>
              <w:rPr>
                <w:rFonts w:hint="eastAsia" w:ascii="宋体" w:hAnsi="宋体" w:eastAsia="宋体" w:cs="宋体"/>
                <w:color w:val="auto"/>
                <w:szCs w:val="21"/>
                <w:highlight w:val="none"/>
              </w:rPr>
              <w:t>https://xxgs.chinanpo.mca.gov.cn/gsxt/newList</w:t>
            </w:r>
            <w:r>
              <w:rPr>
                <w:rFonts w:hint="eastAsia" w:ascii="宋体" w:hAnsi="宋体" w:eastAsia="宋体" w:cs="宋体"/>
                <w:b w:val="0"/>
                <w:bCs/>
                <w:color w:val="auto"/>
                <w:szCs w:val="21"/>
                <w:highlight w:val="none"/>
                <w:u w:val="none"/>
              </w:rPr>
              <w:t>)查询结果截图，查询结果“状态”栏必须为“正常”。</w:t>
            </w:r>
            <w:bookmarkEnd w:id="196"/>
            <w:bookmarkEnd w:id="198"/>
          </w:p>
          <w:p w14:paraId="574D66EE">
            <w:pPr>
              <w:spacing w:line="360" w:lineRule="auto"/>
              <w:jc w:val="left"/>
              <w:rPr>
                <w:rFonts w:hint="eastAsia" w:ascii="宋体" w:hAnsi="宋体" w:eastAsia="宋体" w:cs="宋体"/>
                <w:b w:val="0"/>
                <w:bCs/>
                <w:color w:val="auto"/>
                <w:szCs w:val="21"/>
                <w:highlight w:val="none"/>
                <w:u w:val="none"/>
              </w:rPr>
            </w:pPr>
            <w:r>
              <w:rPr>
                <w:rFonts w:hint="eastAsia" w:ascii="宋体" w:hAnsi="宋体" w:eastAsia="宋体" w:cs="宋体"/>
                <w:color w:val="auto"/>
                <w:szCs w:val="21"/>
                <w:highlight w:val="none"/>
                <w:lang w:val="en-US" w:eastAsia="zh-CN"/>
              </w:rPr>
              <w:t>③</w:t>
            </w:r>
            <w:r>
              <w:rPr>
                <w:rFonts w:hint="eastAsia" w:ascii="宋体" w:hAnsi="宋体" w:eastAsia="宋体" w:cs="宋体"/>
                <w:color w:val="auto"/>
                <w:kern w:val="1"/>
                <w:szCs w:val="21"/>
                <w:highlight w:val="none"/>
                <w:u w:val="none"/>
              </w:rPr>
              <w:t>同一项目获奖按项目最高获奖只计算一次得分</w:t>
            </w:r>
            <w:r>
              <w:rPr>
                <w:rFonts w:hint="eastAsia" w:ascii="宋体" w:hAnsi="宋体" w:eastAsia="宋体" w:cs="宋体"/>
                <w:color w:val="auto"/>
                <w:kern w:val="1"/>
                <w:szCs w:val="21"/>
                <w:highlight w:val="none"/>
                <w:u w:val="none"/>
                <w:lang w:eastAsia="zh-CN"/>
              </w:rPr>
              <w:t>，</w:t>
            </w:r>
            <w:r>
              <w:rPr>
                <w:rFonts w:hint="eastAsia" w:hAnsi="宋体" w:eastAsia="宋体" w:cs="宋体"/>
                <w:color w:val="auto"/>
                <w:szCs w:val="21"/>
                <w:highlight w:val="none"/>
                <w:lang w:bidi="ar"/>
              </w:rPr>
              <w:t>同一</w:t>
            </w:r>
            <w:r>
              <w:rPr>
                <w:rFonts w:hint="eastAsia" w:hAnsi="宋体" w:eastAsia="宋体" w:cs="宋体"/>
                <w:color w:val="auto"/>
                <w:szCs w:val="21"/>
                <w:highlight w:val="none"/>
                <w:lang w:val="en-US" w:eastAsia="zh-CN" w:bidi="ar"/>
              </w:rPr>
              <w:t>奖项</w:t>
            </w:r>
            <w:r>
              <w:rPr>
                <w:rFonts w:hint="eastAsia" w:hAnsi="宋体" w:eastAsia="宋体" w:cs="宋体"/>
                <w:color w:val="auto"/>
                <w:szCs w:val="21"/>
                <w:highlight w:val="none"/>
                <w:lang w:bidi="ar"/>
              </w:rPr>
              <w:t>含设计和勘察</w:t>
            </w:r>
            <w:r>
              <w:rPr>
                <w:rFonts w:hint="eastAsia" w:ascii="宋体" w:hAnsi="宋体" w:eastAsia="宋体" w:cs="宋体"/>
                <w:color w:val="auto"/>
                <w:szCs w:val="21"/>
                <w:highlight w:val="none"/>
                <w:lang w:val="zh-CN" w:bidi="ar"/>
              </w:rPr>
              <w:t>的</w:t>
            </w:r>
            <w:r>
              <w:rPr>
                <w:rFonts w:hint="eastAsia" w:hAnsi="宋体" w:eastAsia="宋体" w:cs="宋体"/>
                <w:color w:val="auto"/>
                <w:szCs w:val="21"/>
                <w:highlight w:val="none"/>
                <w:lang w:bidi="ar"/>
              </w:rPr>
              <w:t>，只能按上述要求计算一次设计</w:t>
            </w:r>
            <w:r>
              <w:rPr>
                <w:rFonts w:hint="eastAsia" w:ascii="宋体" w:hAnsi="宋体" w:eastAsia="宋体" w:cs="宋体"/>
                <w:color w:val="auto"/>
                <w:szCs w:val="21"/>
                <w:highlight w:val="none"/>
                <w:lang w:val="zh-CN" w:bidi="ar"/>
              </w:rPr>
              <w:t>奖项</w:t>
            </w:r>
            <w:r>
              <w:rPr>
                <w:rFonts w:hint="eastAsia" w:hAnsi="宋体" w:eastAsia="宋体" w:cs="宋体"/>
                <w:color w:val="auto"/>
                <w:szCs w:val="21"/>
                <w:highlight w:val="none"/>
                <w:lang w:bidi="ar"/>
              </w:rPr>
              <w:t>或勘察</w:t>
            </w:r>
            <w:r>
              <w:rPr>
                <w:rFonts w:hint="eastAsia" w:ascii="宋体" w:hAnsi="宋体" w:eastAsia="宋体" w:cs="宋体"/>
                <w:color w:val="auto"/>
                <w:szCs w:val="21"/>
                <w:highlight w:val="none"/>
                <w:lang w:val="zh-CN" w:bidi="ar"/>
              </w:rPr>
              <w:t>奖项</w:t>
            </w:r>
            <w:r>
              <w:rPr>
                <w:rFonts w:hint="eastAsia" w:hAnsi="宋体" w:eastAsia="宋体" w:cs="宋体"/>
                <w:color w:val="auto"/>
                <w:szCs w:val="21"/>
                <w:highlight w:val="none"/>
                <w:lang w:bidi="ar"/>
              </w:rPr>
              <w:t>）</w:t>
            </w:r>
            <w:r>
              <w:rPr>
                <w:rFonts w:hint="eastAsia" w:ascii="宋体" w:hAnsi="宋体" w:eastAsia="宋体" w:cs="宋体"/>
                <w:color w:val="auto"/>
                <w:kern w:val="1"/>
                <w:szCs w:val="21"/>
                <w:highlight w:val="none"/>
                <w:u w:val="none"/>
              </w:rPr>
              <w:t>。</w:t>
            </w:r>
          </w:p>
        </w:tc>
      </w:tr>
      <w:tr w14:paraId="05F164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43" w:type="pct"/>
            <w:vMerge w:val="restart"/>
            <w:vAlign w:val="center"/>
          </w:tcPr>
          <w:p w14:paraId="7BDD0258">
            <w:pPr>
              <w:pStyle w:val="158"/>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228" w:type="pct"/>
            <w:gridSpan w:val="2"/>
            <w:vMerge w:val="restart"/>
            <w:vAlign w:val="center"/>
          </w:tcPr>
          <w:p w14:paraId="6E9EAA5B">
            <w:pPr>
              <w:pStyle w:val="25"/>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人员配备及技术水平</w:t>
            </w:r>
          </w:p>
        </w:tc>
        <w:tc>
          <w:tcPr>
            <w:tcW w:w="236" w:type="pct"/>
            <w:gridSpan w:val="3"/>
            <w:vMerge w:val="restart"/>
            <w:vAlign w:val="center"/>
          </w:tcPr>
          <w:p w14:paraId="303F5AE7">
            <w:pPr>
              <w:pStyle w:val="25"/>
              <w:spacing w:line="360" w:lineRule="auto"/>
              <w:jc w:val="center"/>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30</w:t>
            </w:r>
          </w:p>
          <w:p w14:paraId="7D883445">
            <w:pPr>
              <w:pStyle w:val="25"/>
              <w:spacing w:line="360" w:lineRule="auto"/>
              <w:jc w:val="center"/>
              <w:rPr>
                <w:rFonts w:hint="eastAsia" w:ascii="宋体" w:hAnsi="宋体" w:eastAsia="宋体" w:cs="宋体"/>
                <w:color w:val="auto"/>
                <w:szCs w:val="21"/>
                <w:highlight w:val="none"/>
                <w:lang w:val="en-US"/>
              </w:rPr>
            </w:pPr>
          </w:p>
        </w:tc>
        <w:tc>
          <w:tcPr>
            <w:tcW w:w="4391" w:type="pct"/>
            <w:vAlign w:val="center"/>
          </w:tcPr>
          <w:p w14:paraId="57E9F29F">
            <w:pPr>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、项目负责人设计经历及业务能力：</w:t>
            </w:r>
          </w:p>
          <w:p w14:paraId="6AA835E2">
            <w:pPr>
              <w:pStyle w:val="5"/>
              <w:numPr>
                <w:ilvl w:val="255"/>
                <w:numId w:val="0"/>
              </w:numPr>
              <w:spacing w:line="360" w:lineRule="auto"/>
              <w:ind w:left="-2" w:leftChars="-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bidi="ar"/>
              </w:rPr>
              <w:t>（</w:t>
            </w:r>
            <w:r>
              <w:rPr>
                <w:rFonts w:hint="eastAsia" w:ascii="宋体" w:hAnsi="宋体" w:cs="宋体"/>
                <w:color w:val="auto"/>
                <w:szCs w:val="21"/>
                <w:highlight w:val="none"/>
                <w:lang w:val="en-US" w:eastAsia="zh-CN" w:bidi="ar"/>
              </w:rPr>
              <w:t>1</w:t>
            </w:r>
            <w:r>
              <w:rPr>
                <w:rFonts w:hint="eastAsia" w:ascii="宋体" w:hAnsi="宋体" w:eastAsia="宋体" w:cs="宋体"/>
                <w:color w:val="auto"/>
                <w:szCs w:val="21"/>
                <w:highlight w:val="none"/>
                <w:lang w:val="zh-CN" w:bidi="ar"/>
              </w:rPr>
              <w:t>）</w:t>
            </w:r>
            <w:r>
              <w:rPr>
                <w:rFonts w:hint="eastAsia" w:ascii="宋体" w:hAnsi="宋体" w:eastAsia="宋体" w:cs="宋体"/>
                <w:color w:val="auto"/>
                <w:szCs w:val="21"/>
                <w:highlight w:val="none"/>
                <w:lang w:bidi="ar"/>
              </w:rPr>
              <w:t>具备</w:t>
            </w:r>
            <w:r>
              <w:rPr>
                <w:rFonts w:hint="eastAsia" w:ascii="宋体" w:hAnsi="宋体" w:eastAsia="宋体" w:cs="宋体"/>
                <w:color w:val="auto"/>
                <w:szCs w:val="21"/>
                <w:highlight w:val="none"/>
                <w:lang w:val="zh-CN"/>
              </w:rPr>
              <w:t>注册土木工程师（道路工程）得1分，</w:t>
            </w:r>
            <w:r>
              <w:rPr>
                <w:rFonts w:hint="eastAsia" w:ascii="宋体" w:hAnsi="宋体" w:eastAsia="宋体" w:cs="宋体"/>
                <w:color w:val="auto"/>
                <w:spacing w:val="9"/>
                <w:szCs w:val="21"/>
                <w:highlight w:val="none"/>
              </w:rPr>
              <w:t>具备</w:t>
            </w:r>
            <w:r>
              <w:rPr>
                <w:rFonts w:hint="eastAsia" w:ascii="宋体" w:hAnsi="宋体" w:eastAsia="宋体" w:cs="宋体"/>
                <w:snapToGrid w:val="0"/>
                <w:color w:val="auto"/>
                <w:spacing w:val="7"/>
                <w:szCs w:val="21"/>
                <w:highlight w:val="none"/>
              </w:rPr>
              <w:t>注册土木工程师（岩土）</w:t>
            </w:r>
            <w:r>
              <w:rPr>
                <w:rFonts w:hint="eastAsia" w:ascii="宋体" w:hAnsi="宋体" w:eastAsia="宋体" w:cs="宋体"/>
                <w:color w:val="auto"/>
                <w:spacing w:val="9"/>
                <w:szCs w:val="21"/>
                <w:highlight w:val="none"/>
              </w:rPr>
              <w:t>得</w:t>
            </w:r>
            <w:r>
              <w:rPr>
                <w:rFonts w:hint="eastAsia" w:ascii="宋体" w:hAnsi="宋体" w:cs="宋体"/>
                <w:color w:val="auto"/>
                <w:spacing w:val="9"/>
                <w:szCs w:val="21"/>
                <w:highlight w:val="none"/>
                <w:lang w:val="en-US" w:eastAsia="zh-CN"/>
              </w:rPr>
              <w:t>1</w:t>
            </w:r>
            <w:r>
              <w:rPr>
                <w:rFonts w:hint="eastAsia" w:ascii="宋体" w:hAnsi="宋体" w:eastAsia="宋体" w:cs="宋体"/>
                <w:color w:val="auto"/>
                <w:spacing w:val="9"/>
                <w:szCs w:val="21"/>
                <w:highlight w:val="none"/>
              </w:rPr>
              <w:t>分，具备注册结构工程师</w:t>
            </w:r>
            <w:r>
              <w:rPr>
                <w:rFonts w:hint="eastAsia" w:ascii="宋体" w:hAnsi="宋体" w:eastAsia="宋体" w:cs="宋体"/>
                <w:color w:val="auto"/>
                <w:szCs w:val="21"/>
                <w:highlight w:val="none"/>
                <w:lang w:val="zh-CN"/>
              </w:rPr>
              <w:t>得1分</w:t>
            </w:r>
            <w:r>
              <w:rPr>
                <w:rFonts w:hint="eastAsia" w:ascii="宋体" w:hAnsi="宋体" w:eastAsia="宋体" w:cs="宋体"/>
                <w:color w:val="auto"/>
                <w:kern w:val="1"/>
                <w:szCs w:val="21"/>
                <w:highlight w:val="none"/>
              </w:rPr>
              <w:t>。</w:t>
            </w:r>
          </w:p>
          <w:p w14:paraId="0F01F170">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bidi="ar"/>
              </w:rPr>
              <w:t>本小项最多得</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val="zh-CN" w:bidi="ar"/>
              </w:rPr>
              <w:t>分。</w:t>
            </w:r>
          </w:p>
          <w:p w14:paraId="7DDABBE5">
            <w:pPr>
              <w:pStyle w:val="5"/>
              <w:numPr>
                <w:ilvl w:val="255"/>
                <w:numId w:val="0"/>
              </w:numPr>
              <w:spacing w:line="360" w:lineRule="auto"/>
              <w:ind w:left="-2" w:leftChars="-1"/>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zh-CN"/>
              </w:rPr>
              <w:t>）</w:t>
            </w:r>
            <w:r>
              <w:rPr>
                <w:rFonts w:hint="eastAsia" w:ascii="宋体" w:hAnsi="宋体" w:eastAsia="宋体" w:cs="宋体"/>
                <w:color w:val="auto"/>
                <w:kern w:val="1"/>
                <w:szCs w:val="21"/>
                <w:highlight w:val="none"/>
              </w:rPr>
              <w:t>自2022年1月1日</w:t>
            </w:r>
            <w:r>
              <w:rPr>
                <w:rFonts w:hint="eastAsia" w:ascii="宋体" w:hAnsi="宋体" w:eastAsia="宋体" w:cs="宋体"/>
                <w:color w:val="auto"/>
                <w:szCs w:val="21"/>
                <w:highlight w:val="none"/>
                <w:u w:val="none"/>
              </w:rPr>
              <w:t>至投标截止时间止，</w:t>
            </w:r>
            <w:r>
              <w:rPr>
                <w:rFonts w:hint="eastAsia" w:ascii="宋体" w:hAnsi="宋体" w:eastAsia="宋体" w:cs="宋体"/>
                <w:color w:val="auto"/>
                <w:kern w:val="1"/>
                <w:szCs w:val="21"/>
                <w:highlight w:val="none"/>
              </w:rPr>
              <w:t>参与</w:t>
            </w:r>
            <w:r>
              <w:rPr>
                <w:rFonts w:hint="eastAsia" w:ascii="宋体" w:hAnsi="宋体" w:cs="宋体"/>
                <w:color w:val="auto"/>
                <w:kern w:val="1"/>
                <w:szCs w:val="21"/>
                <w:highlight w:val="none"/>
                <w:lang w:val="en-US" w:eastAsia="zh-CN"/>
              </w:rPr>
              <w:t>设计</w:t>
            </w:r>
            <w:r>
              <w:rPr>
                <w:rFonts w:hint="eastAsia" w:ascii="宋体" w:hAnsi="宋体" w:eastAsia="宋体" w:cs="宋体"/>
                <w:color w:val="auto"/>
                <w:kern w:val="1"/>
                <w:szCs w:val="21"/>
                <w:highlight w:val="none"/>
              </w:rPr>
              <w:t>的</w:t>
            </w:r>
            <w:bookmarkStart w:id="199" w:name="OLE_LINK45"/>
            <w:r>
              <w:rPr>
                <w:rFonts w:hint="eastAsia" w:ascii="宋体" w:hAnsi="宋体" w:eastAsia="宋体" w:cs="宋体"/>
                <w:color w:val="auto"/>
                <w:szCs w:val="21"/>
                <w:highlight w:val="none"/>
              </w:rPr>
              <w:t>市政公用工程</w:t>
            </w:r>
            <w:r>
              <w:rPr>
                <w:rFonts w:hint="eastAsia" w:ascii="宋体" w:hAnsi="宋体" w:eastAsia="宋体" w:cs="宋体"/>
                <w:color w:val="auto"/>
                <w:kern w:val="1"/>
                <w:szCs w:val="21"/>
                <w:highlight w:val="none"/>
              </w:rPr>
              <w:t>项目</w:t>
            </w:r>
            <w:bookmarkEnd w:id="199"/>
            <w:r>
              <w:rPr>
                <w:rFonts w:hint="eastAsia" w:ascii="宋体" w:hAnsi="宋体" w:cs="宋体"/>
                <w:color w:val="auto"/>
                <w:kern w:val="1"/>
                <w:szCs w:val="21"/>
                <w:highlight w:val="none"/>
                <w:lang w:eastAsia="zh-CN"/>
              </w:rPr>
              <w:t>：</w:t>
            </w:r>
            <w:r>
              <w:rPr>
                <w:rFonts w:hint="eastAsia" w:ascii="宋体" w:hAnsi="宋体" w:eastAsia="宋体" w:cs="宋体"/>
                <w:color w:val="auto"/>
                <w:szCs w:val="21"/>
                <w:highlight w:val="none"/>
                <w:lang w:val="zh-CN"/>
              </w:rPr>
              <w:t>获得</w:t>
            </w:r>
            <w:r>
              <w:rPr>
                <w:rFonts w:hint="eastAsia" w:ascii="宋体" w:hAnsi="宋体" w:eastAsia="宋体" w:cs="宋体"/>
                <w:color w:val="auto"/>
                <w:szCs w:val="21"/>
                <w:highlight w:val="none"/>
                <w:lang w:bidi="ar"/>
              </w:rPr>
              <w:t>国家级奖项的，每项得</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分；获得省级（</w:t>
            </w:r>
            <w:r>
              <w:rPr>
                <w:rFonts w:hint="eastAsia" w:ascii="宋体" w:hAnsi="宋体" w:cs="宋体"/>
                <w:color w:val="auto"/>
                <w:szCs w:val="21"/>
                <w:highlight w:val="none"/>
                <w:lang w:val="en-US" w:eastAsia="zh-CN" w:bidi="ar"/>
              </w:rPr>
              <w:t>含</w:t>
            </w:r>
            <w:r>
              <w:rPr>
                <w:rFonts w:hint="eastAsia" w:ascii="宋体" w:hAnsi="宋体" w:eastAsia="宋体" w:cs="宋体"/>
                <w:color w:val="auto"/>
                <w:szCs w:val="21"/>
                <w:highlight w:val="none"/>
                <w:lang w:bidi="ar"/>
              </w:rPr>
              <w:t>直辖市</w:t>
            </w:r>
            <w:bookmarkStart w:id="200" w:name="OLE_LINK14"/>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自治区</w:t>
            </w:r>
            <w:bookmarkEnd w:id="200"/>
            <w:r>
              <w:rPr>
                <w:rFonts w:hint="eastAsia" w:ascii="宋体" w:hAnsi="宋体" w:eastAsia="宋体" w:cs="宋体"/>
                <w:color w:val="auto"/>
                <w:szCs w:val="21"/>
                <w:highlight w:val="none"/>
                <w:lang w:bidi="ar"/>
              </w:rPr>
              <w:t>）奖项的，每项得1.</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分；市级奖（含副省级）的，每项得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w:t>
            </w:r>
            <w:r>
              <w:rPr>
                <w:rFonts w:hint="eastAsia" w:ascii="宋体" w:hAnsi="宋体" w:cs="宋体"/>
                <w:color w:val="auto"/>
                <w:kern w:val="1"/>
                <w:szCs w:val="21"/>
                <w:highlight w:val="none"/>
                <w:lang w:eastAsia="zh-CN"/>
              </w:rPr>
              <w:t>，</w:t>
            </w:r>
            <w:r>
              <w:rPr>
                <w:rFonts w:hint="eastAsia" w:ascii="宋体" w:hAnsi="宋体" w:eastAsia="宋体" w:cs="宋体"/>
                <w:color w:val="auto"/>
                <w:szCs w:val="21"/>
                <w:highlight w:val="none"/>
                <w:lang w:bidi="ar"/>
              </w:rPr>
              <w:t>本小项最多得</w:t>
            </w:r>
            <w:r>
              <w:rPr>
                <w:rFonts w:hint="eastAsia" w:ascii="宋体" w:hAnsi="宋体" w:cs="宋体"/>
                <w:color w:val="auto"/>
                <w:szCs w:val="21"/>
                <w:highlight w:val="none"/>
                <w:lang w:val="en-US" w:eastAsia="zh-CN" w:bidi="ar"/>
              </w:rPr>
              <w:t>7</w:t>
            </w:r>
            <w:r>
              <w:rPr>
                <w:rFonts w:hint="eastAsia" w:ascii="宋体" w:hAnsi="宋体" w:eastAsia="宋体" w:cs="宋体"/>
                <w:color w:val="auto"/>
                <w:szCs w:val="21"/>
                <w:highlight w:val="none"/>
                <w:lang w:bidi="ar"/>
              </w:rPr>
              <w:t>分</w:t>
            </w:r>
            <w:r>
              <w:rPr>
                <w:rFonts w:hint="eastAsia" w:ascii="宋体" w:hAnsi="宋体" w:eastAsia="宋体" w:cs="宋体"/>
                <w:color w:val="auto"/>
                <w:kern w:val="1"/>
                <w:szCs w:val="21"/>
                <w:highlight w:val="none"/>
              </w:rPr>
              <w:t>。</w:t>
            </w:r>
          </w:p>
          <w:p w14:paraId="77838861">
            <w:pPr>
              <w:autoSpaceDE w:val="0"/>
              <w:autoSpaceDN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）自2022年1月1日至</w:t>
            </w:r>
            <w:r>
              <w:rPr>
                <w:rFonts w:hint="eastAsia" w:ascii="宋体" w:hAnsi="宋体" w:eastAsia="宋体" w:cs="宋体"/>
                <w:color w:val="auto"/>
                <w:szCs w:val="21"/>
                <w:highlight w:val="none"/>
                <w:u w:val="none"/>
              </w:rPr>
              <w:t>投标截止时间止</w:t>
            </w:r>
            <w:r>
              <w:rPr>
                <w:rFonts w:hint="eastAsia" w:ascii="宋体" w:hAnsi="宋体" w:eastAsia="宋体" w:cs="宋体"/>
                <w:color w:val="auto"/>
                <w:szCs w:val="21"/>
                <w:highlight w:val="none"/>
                <w:lang w:val="zh-CN"/>
              </w:rPr>
              <w:t>，参加过建安工程费大于或等于</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000万元的</w:t>
            </w:r>
            <w:r>
              <w:rPr>
                <w:rFonts w:hint="eastAsia" w:ascii="宋体" w:hAnsi="宋体" w:eastAsia="宋体" w:cs="宋体"/>
                <w:color w:val="auto"/>
                <w:szCs w:val="21"/>
                <w:highlight w:val="none"/>
              </w:rPr>
              <w:t>市政公用工程</w:t>
            </w:r>
            <w:r>
              <w:rPr>
                <w:rFonts w:hint="eastAsia" w:ascii="宋体" w:hAnsi="宋体" w:eastAsia="宋体" w:cs="宋体"/>
                <w:color w:val="auto"/>
                <w:szCs w:val="21"/>
                <w:highlight w:val="none"/>
                <w:lang w:val="zh-CN"/>
              </w:rPr>
              <w:t>项目设计</w:t>
            </w:r>
            <w:r>
              <w:rPr>
                <w:rFonts w:hint="eastAsia" w:ascii="宋体" w:hAnsi="宋体" w:eastAsia="宋体" w:cs="宋体"/>
                <w:color w:val="auto"/>
                <w:szCs w:val="21"/>
                <w:highlight w:val="none"/>
                <w:lang w:val="en-US" w:eastAsia="zh-CN"/>
              </w:rPr>
              <w:t>业绩</w:t>
            </w:r>
            <w:r>
              <w:rPr>
                <w:rFonts w:hint="eastAsia" w:ascii="宋体" w:hAnsi="宋体" w:eastAsia="宋体" w:cs="宋体"/>
                <w:color w:val="auto"/>
                <w:szCs w:val="21"/>
                <w:highlight w:val="none"/>
                <w:lang w:val="zh-CN"/>
              </w:rPr>
              <w:t>，每项得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本小项最多得6分。</w:t>
            </w:r>
          </w:p>
          <w:p w14:paraId="5DF3CD6B">
            <w:pPr>
              <w:pStyle w:val="25"/>
              <w:spacing w:line="36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本项</w:t>
            </w:r>
            <w:r>
              <w:rPr>
                <w:rFonts w:hint="eastAsia" w:ascii="宋体" w:hAnsi="宋体" w:eastAsia="宋体" w:cs="宋体"/>
                <w:color w:val="auto"/>
                <w:szCs w:val="21"/>
                <w:highlight w:val="none"/>
              </w:rPr>
              <w:t>最多得</w:t>
            </w:r>
            <w:r>
              <w:rPr>
                <w:rFonts w:hint="eastAsia" w:ascii="宋体" w:hAnsi="宋体" w:eastAsia="宋体" w:cs="宋体"/>
                <w:color w:val="auto"/>
                <w:szCs w:val="21"/>
                <w:highlight w:val="none"/>
                <w:lang w:val="en-US"/>
              </w:rPr>
              <w:t>16</w:t>
            </w:r>
            <w:r>
              <w:rPr>
                <w:rFonts w:hint="eastAsia" w:ascii="宋体" w:hAnsi="宋体" w:eastAsia="宋体" w:cs="宋体"/>
                <w:color w:val="auto"/>
                <w:szCs w:val="21"/>
                <w:highlight w:val="none"/>
              </w:rPr>
              <w:t>分。</w:t>
            </w:r>
          </w:p>
          <w:p w14:paraId="5B3F515E">
            <w:pPr>
              <w:pStyle w:val="25"/>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rPr>
              <w:t>注：</w:t>
            </w:r>
            <w:r>
              <w:rPr>
                <w:rFonts w:hint="eastAsia" w:hAnsi="宋体" w:cs="宋体"/>
                <w:color w:val="auto"/>
                <w:szCs w:val="21"/>
                <w:highlight w:val="none"/>
                <w:lang w:val="en-US" w:eastAsia="zh-CN"/>
              </w:rPr>
              <w:t>1.</w:t>
            </w:r>
            <w:r>
              <w:rPr>
                <w:rFonts w:hint="eastAsia" w:ascii="宋体" w:hAnsi="宋体" w:eastAsia="宋体" w:cs="宋体"/>
                <w:color w:val="auto"/>
                <w:szCs w:val="21"/>
                <w:highlight w:val="none"/>
              </w:rPr>
              <w:t>须提供</w:t>
            </w:r>
            <w:r>
              <w:rPr>
                <w:rFonts w:hint="eastAsia" w:hAnsi="宋体" w:cs="宋体"/>
                <w:color w:val="auto"/>
                <w:szCs w:val="21"/>
                <w:highlight w:val="none"/>
                <w:lang w:val="en-US" w:eastAsia="zh-CN"/>
              </w:rPr>
              <w:t>项目</w:t>
            </w:r>
            <w:r>
              <w:rPr>
                <w:rFonts w:hint="eastAsia" w:ascii="宋体" w:hAnsi="宋体" w:eastAsia="宋体" w:cs="宋体"/>
                <w:color w:val="auto"/>
                <w:szCs w:val="21"/>
                <w:highlight w:val="none"/>
              </w:rPr>
              <w:t>负责人</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证书等证明材料扫描件，</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 w:val="21"/>
                <w:szCs w:val="21"/>
                <w:highlight w:val="none"/>
                <w:u w:val="none"/>
              </w:rPr>
              <w:t>须提供本项目投标截止日前三个月内任意一个月在本单位缴纳的社保证明文件</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含非独立法人的分公司或分支机构社保缴纳记录</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lang w:val="en-US" w:eastAsia="zh-CN"/>
              </w:rPr>
              <w:t>扫描件</w:t>
            </w:r>
            <w:r>
              <w:rPr>
                <w:rFonts w:hint="eastAsia" w:ascii="宋体" w:hAnsi="宋体" w:eastAsia="宋体" w:cs="宋体"/>
                <w:color w:val="auto"/>
                <w:szCs w:val="21"/>
                <w:highlight w:val="none"/>
                <w:lang w:val="zh-CN" w:eastAsia="zh-CN"/>
              </w:rPr>
              <w:t>，不提供不得分。</w:t>
            </w:r>
          </w:p>
          <w:p w14:paraId="0EFE7D02">
            <w:pPr>
              <w:pStyle w:val="25"/>
              <w:spacing w:line="360" w:lineRule="auto"/>
              <w:rPr>
                <w:rFonts w:hint="eastAsia" w:hAnsi="宋体" w:cs="宋体"/>
                <w:color w:val="auto"/>
                <w:szCs w:val="21"/>
                <w:highlight w:val="none"/>
                <w:lang w:val="en-US" w:eastAsia="zh-CN"/>
              </w:rPr>
            </w:pPr>
            <w:r>
              <w:rPr>
                <w:rFonts w:hint="eastAsia" w:hAnsi="宋体" w:cs="宋体"/>
                <w:color w:val="auto"/>
                <w:szCs w:val="21"/>
                <w:highlight w:val="none"/>
                <w:lang w:val="en-US" w:eastAsia="zh-CN"/>
              </w:rPr>
              <w:t>2.</w:t>
            </w:r>
            <w:bookmarkStart w:id="201" w:name="OLE_LINK46"/>
            <w:r>
              <w:rPr>
                <w:rFonts w:hint="eastAsia" w:ascii="宋体" w:hAnsi="宋体" w:eastAsia="宋体" w:cs="宋体"/>
                <w:color w:val="auto"/>
                <w:szCs w:val="21"/>
                <w:highlight w:val="none"/>
              </w:rPr>
              <w:t>获奖奖项是由住建部颁发的全国优秀工程勘察设计奖、中国勘察设计协会颁发的全国优秀工程勘察设计行业奖、省级建设行政主管部门或省级工程勘察设计行业协会颁发的省级优秀勘察或设计奖、市级建设行政主管部门或市级工程勘察设计行业协会颁发的市级优秀勘察或设计奖；由国务院颁发的国家科学技术奖、住建部的华夏建设科学技术奖励委员会颁发的华夏建设科学技术奖、省级人民政府颁发的省级科学技术奖、市级（人民政府颁发的市级科学技术奖）</w:t>
            </w:r>
            <w:r>
              <w:rPr>
                <w:rFonts w:hint="eastAsia" w:ascii="宋体" w:hAnsi="宋体" w:eastAsia="宋体" w:cs="宋体"/>
                <w:bCs/>
                <w:color w:val="auto"/>
                <w:szCs w:val="21"/>
                <w:highlight w:val="none"/>
                <w:lang w:eastAsia="zh-CN"/>
              </w:rPr>
              <w:t>。</w:t>
            </w:r>
            <w:r>
              <w:rPr>
                <w:rFonts w:hint="eastAsia" w:ascii="宋体" w:hAnsi="宋体" w:eastAsia="宋体" w:cs="宋体"/>
                <w:color w:val="auto"/>
                <w:kern w:val="1"/>
                <w:szCs w:val="21"/>
                <w:highlight w:val="none"/>
                <w:u w:val="none"/>
                <w:lang w:val="en-US" w:eastAsia="zh-CN"/>
              </w:rPr>
              <w:t>应</w:t>
            </w:r>
            <w:r>
              <w:rPr>
                <w:rFonts w:hint="eastAsia" w:ascii="宋体" w:hAnsi="宋体" w:eastAsia="宋体" w:cs="宋体"/>
                <w:color w:val="auto"/>
                <w:szCs w:val="21"/>
                <w:highlight w:val="none"/>
                <w:lang w:val="en-US" w:eastAsia="zh-CN"/>
              </w:rPr>
              <w:t>提供获奖证书或获奖证明文件扫描件，获奖认定</w:t>
            </w:r>
            <w:r>
              <w:rPr>
                <w:rFonts w:hint="eastAsia" w:ascii="宋体" w:hAnsi="宋体" w:eastAsia="宋体" w:cs="宋体"/>
                <w:color w:val="auto"/>
                <w:szCs w:val="21"/>
                <w:highlight w:val="none"/>
              </w:rPr>
              <w:t>时间以获奖证书或获奖证明文件载明的时间为准。</w:t>
            </w:r>
            <w:bookmarkEnd w:id="201"/>
            <w:bookmarkStart w:id="202" w:name="OLE_LINK47"/>
            <w:r>
              <w:rPr>
                <w:rFonts w:hint="eastAsia" w:ascii="宋体" w:hAnsi="宋体" w:eastAsia="宋体" w:cs="宋体"/>
                <w:bCs/>
                <w:color w:val="auto"/>
                <w:szCs w:val="21"/>
                <w:highlight w:val="none"/>
              </w:rPr>
              <w:t>如颁发单位为行业协会或</w:t>
            </w:r>
            <w:r>
              <w:rPr>
                <w:rFonts w:hint="eastAsia" w:ascii="宋体" w:hAnsi="宋体" w:eastAsia="宋体" w:cs="宋体"/>
                <w:color w:val="auto"/>
                <w:szCs w:val="21"/>
                <w:highlight w:val="none"/>
              </w:rPr>
              <w:t>经民政部批准成立的相关协会颁发的奖项</w:t>
            </w:r>
            <w:r>
              <w:rPr>
                <w:rFonts w:hint="eastAsia" w:ascii="宋体" w:hAnsi="宋体" w:eastAsia="宋体" w:cs="宋体"/>
                <w:bCs/>
                <w:color w:val="auto"/>
                <w:szCs w:val="21"/>
                <w:highlight w:val="none"/>
              </w:rPr>
              <w:t>，还须提供该</w:t>
            </w:r>
            <w:r>
              <w:rPr>
                <w:rFonts w:hint="eastAsia" w:ascii="宋体" w:hAnsi="宋体" w:eastAsia="宋体" w:cs="宋体"/>
                <w:b w:val="0"/>
                <w:bCs/>
                <w:color w:val="auto"/>
                <w:szCs w:val="21"/>
                <w:highlight w:val="none"/>
                <w:u w:val="none"/>
              </w:rPr>
              <w:t>协会在中国社会组织政务服务平台</w:t>
            </w:r>
            <w:r>
              <w:rPr>
                <w:rFonts w:hint="eastAsia" w:ascii="宋体" w:hAnsi="宋体" w:eastAsia="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rPr>
              <w:t>全国社会组织信用信息公示平台</w:t>
            </w:r>
            <w:r>
              <w:rPr>
                <w:rFonts w:hint="eastAsia" w:ascii="宋体" w:hAnsi="宋体" w:eastAsia="宋体" w:cs="宋体"/>
                <w:b w:val="0"/>
                <w:bCs/>
                <w:color w:val="auto"/>
                <w:szCs w:val="21"/>
                <w:highlight w:val="none"/>
                <w:u w:val="none"/>
                <w:lang w:eastAsia="zh-CN"/>
              </w:rPr>
              <w:t>）</w:t>
            </w:r>
            <w:r>
              <w:rPr>
                <w:rFonts w:hint="eastAsia" w:ascii="宋体" w:hAnsi="宋体" w:eastAsia="宋体" w:cs="宋体"/>
                <w:b w:val="0"/>
                <w:bCs/>
                <w:color w:val="auto"/>
                <w:szCs w:val="21"/>
                <w:highlight w:val="none"/>
                <w:u w:val="none"/>
              </w:rPr>
              <w:t>(网址:</w:t>
            </w:r>
            <w:r>
              <w:rPr>
                <w:rFonts w:hint="eastAsia" w:ascii="宋体" w:hAnsi="宋体" w:eastAsia="宋体" w:cs="宋体"/>
                <w:color w:val="auto"/>
                <w:szCs w:val="21"/>
                <w:highlight w:val="none"/>
              </w:rPr>
              <w:t>https://xxgs.chinanpo.mca.gov.cn/gsxt/newList</w:t>
            </w:r>
            <w:r>
              <w:rPr>
                <w:rFonts w:hint="eastAsia" w:ascii="宋体" w:hAnsi="宋体" w:eastAsia="宋体" w:cs="宋体"/>
                <w:b w:val="0"/>
                <w:bCs/>
                <w:color w:val="auto"/>
                <w:szCs w:val="21"/>
                <w:highlight w:val="none"/>
                <w:u w:val="none"/>
              </w:rPr>
              <w:t>)查询结果截图，查询结果“状态”栏必须为“正常”。</w:t>
            </w:r>
            <w:bookmarkEnd w:id="202"/>
            <w:r>
              <w:rPr>
                <w:rFonts w:hint="eastAsia" w:ascii="宋体" w:hAnsi="宋体" w:eastAsia="宋体" w:cs="宋体"/>
                <w:color w:val="auto"/>
                <w:kern w:val="1"/>
                <w:szCs w:val="21"/>
                <w:highlight w:val="none"/>
                <w:u w:val="none"/>
              </w:rPr>
              <w:t>同一项目获奖按项目最高获奖只计算一次得分。</w:t>
            </w:r>
          </w:p>
          <w:p w14:paraId="1F23F6B7">
            <w:pPr>
              <w:pStyle w:val="25"/>
              <w:spacing w:line="360" w:lineRule="auto"/>
              <w:rPr>
                <w:rFonts w:hint="eastAsia" w:ascii="宋体" w:hAnsi="宋体" w:eastAsia="宋体" w:cs="宋体"/>
                <w:color w:val="auto"/>
                <w:szCs w:val="21"/>
                <w:highlight w:val="none"/>
              </w:rPr>
            </w:pP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项目负责人业绩</w:t>
            </w:r>
            <w:r>
              <w:rPr>
                <w:rFonts w:hint="eastAsia" w:ascii="宋体" w:hAnsi="宋体" w:eastAsia="宋体" w:cs="宋体"/>
                <w:color w:val="auto"/>
                <w:szCs w:val="21"/>
                <w:highlight w:val="none"/>
                <w:lang w:val="en-US"/>
              </w:rPr>
              <w:t>需</w:t>
            </w:r>
            <w:r>
              <w:rPr>
                <w:rFonts w:hint="eastAsia" w:ascii="宋体" w:hAnsi="宋体" w:eastAsia="宋体" w:cs="宋体"/>
                <w:color w:val="auto"/>
                <w:szCs w:val="21"/>
                <w:highlight w:val="none"/>
              </w:rPr>
              <w:t>同时提供合同文本关键页、中标通知书（或免招标证明文件）、</w:t>
            </w:r>
            <w:bookmarkStart w:id="203" w:name="OLE_LINK19"/>
            <w:bookmarkStart w:id="204" w:name="OLE_LINK12"/>
            <w:bookmarkStart w:id="205" w:name="OLE_LINK13"/>
            <w:r>
              <w:rPr>
                <w:rFonts w:hint="eastAsia" w:hAnsi="宋体" w:cs="宋体"/>
                <w:color w:val="auto"/>
                <w:szCs w:val="21"/>
                <w:highlight w:val="none"/>
                <w:lang w:eastAsia="zh-CN"/>
              </w:rPr>
              <w:t>初步设计批复（或审查证明）或施工图审查合格书（或备案证明）</w:t>
            </w:r>
            <w:bookmarkEnd w:id="203"/>
            <w:r>
              <w:rPr>
                <w:rFonts w:hint="eastAsia" w:ascii="宋体" w:hAnsi="宋体" w:eastAsia="宋体" w:cs="宋体"/>
                <w:color w:val="auto"/>
                <w:szCs w:val="21"/>
                <w:highlight w:val="none"/>
              </w:rPr>
              <w:t>扫描件</w:t>
            </w:r>
            <w:bookmarkEnd w:id="204"/>
            <w:bookmarkEnd w:id="205"/>
            <w:r>
              <w:rPr>
                <w:rFonts w:hint="eastAsia" w:ascii="宋体" w:hAnsi="宋体" w:eastAsia="宋体" w:cs="宋体"/>
                <w:color w:val="auto"/>
                <w:szCs w:val="21"/>
                <w:highlight w:val="none"/>
              </w:rPr>
              <w:t>。时间以</w:t>
            </w:r>
            <w:r>
              <w:rPr>
                <w:rFonts w:hint="eastAsia" w:hAnsi="宋体" w:cs="宋体"/>
                <w:color w:val="auto"/>
                <w:szCs w:val="21"/>
                <w:highlight w:val="none"/>
                <w:lang w:eastAsia="zh-CN"/>
              </w:rPr>
              <w:t>初步设计批复（或审查证明）或施工图审查合格书（或备案证明）</w:t>
            </w:r>
            <w:r>
              <w:rPr>
                <w:rFonts w:hint="eastAsia" w:ascii="宋体" w:hAnsi="宋体" w:eastAsia="宋体" w:cs="宋体"/>
                <w:color w:val="auto"/>
                <w:szCs w:val="21"/>
                <w:highlight w:val="none"/>
              </w:rPr>
              <w:t>扫描件为准。如以上资料不能证明业绩规模或技术指标的，须另提供业主盖章的业绩证明或可证明业绩规模或技术指标的其他资料扫描件。</w:t>
            </w:r>
          </w:p>
        </w:tc>
      </w:tr>
      <w:tr w14:paraId="4B32BC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43" w:type="pct"/>
            <w:vMerge w:val="continue"/>
            <w:vAlign w:val="center"/>
          </w:tcPr>
          <w:p w14:paraId="439318E5">
            <w:pPr>
              <w:pStyle w:val="158"/>
              <w:snapToGrid w:val="0"/>
              <w:spacing w:line="360" w:lineRule="auto"/>
              <w:jc w:val="center"/>
              <w:rPr>
                <w:rFonts w:hint="eastAsia" w:ascii="宋体" w:hAnsi="宋体" w:eastAsia="宋体" w:cs="宋体"/>
                <w:color w:val="auto"/>
                <w:sz w:val="21"/>
                <w:szCs w:val="21"/>
                <w:highlight w:val="none"/>
              </w:rPr>
            </w:pPr>
          </w:p>
        </w:tc>
        <w:tc>
          <w:tcPr>
            <w:tcW w:w="228" w:type="pct"/>
            <w:gridSpan w:val="2"/>
            <w:vMerge w:val="continue"/>
            <w:vAlign w:val="center"/>
          </w:tcPr>
          <w:p w14:paraId="310114AD">
            <w:pPr>
              <w:pStyle w:val="25"/>
              <w:spacing w:line="360" w:lineRule="auto"/>
              <w:jc w:val="center"/>
              <w:rPr>
                <w:rFonts w:hint="eastAsia" w:ascii="宋体" w:hAnsi="宋体" w:eastAsia="宋体" w:cs="宋体"/>
                <w:color w:val="auto"/>
                <w:szCs w:val="21"/>
                <w:highlight w:val="none"/>
              </w:rPr>
            </w:pPr>
          </w:p>
        </w:tc>
        <w:tc>
          <w:tcPr>
            <w:tcW w:w="236" w:type="pct"/>
            <w:gridSpan w:val="3"/>
            <w:vMerge w:val="continue"/>
            <w:vAlign w:val="center"/>
          </w:tcPr>
          <w:p w14:paraId="50632B5C">
            <w:pPr>
              <w:pStyle w:val="25"/>
              <w:spacing w:line="360" w:lineRule="auto"/>
              <w:jc w:val="center"/>
              <w:rPr>
                <w:rFonts w:hint="eastAsia" w:ascii="宋体" w:hAnsi="宋体" w:eastAsia="宋体" w:cs="宋体"/>
                <w:color w:val="auto"/>
                <w:szCs w:val="21"/>
                <w:highlight w:val="none"/>
              </w:rPr>
            </w:pPr>
          </w:p>
        </w:tc>
        <w:tc>
          <w:tcPr>
            <w:tcW w:w="4391" w:type="pct"/>
            <w:vAlign w:val="center"/>
          </w:tcPr>
          <w:p w14:paraId="1297504F">
            <w:pPr>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、各专业负责人设计经历及业务能力（设计负责人除外）：</w:t>
            </w:r>
          </w:p>
          <w:p w14:paraId="51180325">
            <w:pPr>
              <w:autoSpaceDE w:val="0"/>
              <w:autoSpaceDN w:val="0"/>
              <w:adjustRightInd w:val="0"/>
              <w:spacing w:line="360" w:lineRule="auto"/>
              <w:rPr>
                <w:rFonts w:hint="eastAsia" w:ascii="宋体" w:hAnsi="宋体" w:eastAsia="宋体" w:cs="宋体"/>
                <w:strike/>
                <w:color w:val="auto"/>
                <w:szCs w:val="21"/>
                <w:highlight w:val="none"/>
              </w:rPr>
            </w:pPr>
            <w:r>
              <w:rPr>
                <w:rFonts w:hint="eastAsia" w:ascii="宋体" w:hAnsi="宋体" w:eastAsia="宋体" w:cs="宋体"/>
                <w:color w:val="auto"/>
                <w:szCs w:val="21"/>
                <w:highlight w:val="none"/>
                <w:lang w:val="zh-CN" w:bidi="ar"/>
              </w:rPr>
              <w:t>（1）给排水专业负责人：具备给排水</w:t>
            </w:r>
            <w:r>
              <w:rPr>
                <w:rFonts w:hint="eastAsia" w:ascii="宋体" w:hAnsi="宋体" w:eastAsia="宋体" w:cs="宋体"/>
                <w:color w:val="auto"/>
                <w:szCs w:val="21"/>
                <w:highlight w:val="none"/>
                <w:lang w:val="en-US" w:eastAsia="zh-CN" w:bidi="ar"/>
              </w:rPr>
              <w:t>类</w:t>
            </w:r>
            <w:r>
              <w:rPr>
                <w:rFonts w:hint="eastAsia" w:ascii="宋体" w:hAnsi="宋体" w:eastAsia="宋体" w:cs="宋体"/>
                <w:color w:val="auto"/>
                <w:szCs w:val="21"/>
                <w:highlight w:val="none"/>
                <w:lang w:val="zh-CN" w:bidi="ar"/>
              </w:rPr>
              <w:t>高级</w:t>
            </w:r>
            <w:bookmarkStart w:id="206" w:name="OLE_LINK15"/>
            <w:r>
              <w:rPr>
                <w:rFonts w:hint="eastAsia" w:ascii="宋体" w:hAnsi="宋体" w:eastAsia="宋体" w:cs="宋体"/>
                <w:color w:val="auto"/>
                <w:szCs w:val="21"/>
                <w:highlight w:val="none"/>
                <w:lang w:val="en-US" w:eastAsia="zh-CN" w:bidi="ar"/>
              </w:rPr>
              <w:t>工程师（或以上）</w:t>
            </w:r>
            <w:bookmarkEnd w:id="206"/>
            <w:r>
              <w:rPr>
                <w:rFonts w:hint="eastAsia" w:ascii="宋体" w:hAnsi="宋体" w:eastAsia="宋体" w:cs="宋体"/>
                <w:color w:val="auto"/>
                <w:szCs w:val="21"/>
                <w:highlight w:val="none"/>
                <w:lang w:val="zh-CN" w:bidi="ar"/>
              </w:rPr>
              <w:t>职称得1分，具备注册公用设备工程师（给水排水）加1分，</w:t>
            </w:r>
            <w:r>
              <w:rPr>
                <w:rFonts w:hint="eastAsia" w:ascii="宋体" w:hAnsi="宋体" w:eastAsia="宋体" w:cs="宋体"/>
                <w:color w:val="auto"/>
                <w:szCs w:val="21"/>
                <w:highlight w:val="none"/>
              </w:rPr>
              <w:t>本小项最多得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0F5A1EA2">
            <w:pPr>
              <w:autoSpaceDE w:val="0"/>
              <w:autoSpaceDN w:val="0"/>
              <w:adjustRightInd w:val="0"/>
              <w:spacing w:line="360" w:lineRule="auto"/>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（2）结构专业负责人：具备结构</w:t>
            </w:r>
            <w:r>
              <w:rPr>
                <w:rFonts w:hint="eastAsia" w:ascii="宋体" w:hAnsi="宋体" w:eastAsia="宋体" w:cs="宋体"/>
                <w:color w:val="auto"/>
                <w:szCs w:val="21"/>
                <w:highlight w:val="none"/>
                <w:lang w:val="en-US" w:eastAsia="zh-CN" w:bidi="ar"/>
              </w:rPr>
              <w:t>类</w:t>
            </w:r>
            <w:r>
              <w:rPr>
                <w:rFonts w:hint="eastAsia" w:ascii="宋体" w:hAnsi="宋体" w:eastAsia="宋体" w:cs="宋体"/>
                <w:color w:val="auto"/>
                <w:szCs w:val="21"/>
                <w:highlight w:val="none"/>
                <w:lang w:val="zh-CN" w:bidi="ar"/>
              </w:rPr>
              <w:t>高级</w:t>
            </w:r>
            <w:r>
              <w:rPr>
                <w:rFonts w:hint="eastAsia" w:ascii="宋体" w:hAnsi="宋体" w:eastAsia="宋体" w:cs="宋体"/>
                <w:color w:val="auto"/>
                <w:szCs w:val="21"/>
                <w:highlight w:val="none"/>
                <w:lang w:val="en-US" w:eastAsia="zh-CN" w:bidi="ar"/>
              </w:rPr>
              <w:t>工程师（或以上）</w:t>
            </w:r>
            <w:r>
              <w:rPr>
                <w:rFonts w:hint="eastAsia" w:ascii="宋体" w:hAnsi="宋体" w:eastAsia="宋体" w:cs="宋体"/>
                <w:color w:val="auto"/>
                <w:szCs w:val="21"/>
                <w:highlight w:val="none"/>
                <w:lang w:val="zh-CN" w:bidi="ar"/>
              </w:rPr>
              <w:t>职称得1分，具备一级注册结构工程师加1分，</w:t>
            </w:r>
            <w:r>
              <w:rPr>
                <w:rFonts w:hint="eastAsia" w:ascii="宋体" w:hAnsi="宋体" w:eastAsia="宋体" w:cs="宋体"/>
                <w:color w:val="auto"/>
                <w:szCs w:val="21"/>
                <w:highlight w:val="none"/>
              </w:rPr>
              <w:t>本小项最多得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5163FC16">
            <w:pPr>
              <w:numPr>
                <w:ilvl w:val="0"/>
                <w:numId w:val="2"/>
              </w:numPr>
              <w:autoSpaceDE w:val="0"/>
              <w:autoSpaceDN w:val="0"/>
              <w:adjustRightInd w:val="0"/>
              <w:spacing w:line="360" w:lineRule="auto"/>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电气专业负责人：具备电气</w:t>
            </w:r>
            <w:r>
              <w:rPr>
                <w:rFonts w:hint="eastAsia" w:ascii="宋体" w:hAnsi="宋体" w:eastAsia="宋体" w:cs="宋体"/>
                <w:color w:val="auto"/>
                <w:szCs w:val="21"/>
                <w:highlight w:val="none"/>
                <w:lang w:val="en-US" w:eastAsia="zh-CN" w:bidi="ar"/>
              </w:rPr>
              <w:t>类</w:t>
            </w:r>
            <w:r>
              <w:rPr>
                <w:rFonts w:hint="eastAsia" w:ascii="宋体" w:hAnsi="宋体" w:eastAsia="宋体" w:cs="宋体"/>
                <w:color w:val="auto"/>
                <w:szCs w:val="21"/>
                <w:highlight w:val="none"/>
                <w:lang w:val="zh-CN" w:bidi="ar"/>
              </w:rPr>
              <w:t>高级</w:t>
            </w:r>
            <w:r>
              <w:rPr>
                <w:rFonts w:hint="eastAsia" w:ascii="宋体" w:hAnsi="宋体" w:eastAsia="宋体" w:cs="宋体"/>
                <w:color w:val="auto"/>
                <w:szCs w:val="21"/>
                <w:highlight w:val="none"/>
                <w:lang w:val="en-US" w:eastAsia="zh-CN" w:bidi="ar"/>
              </w:rPr>
              <w:t>工程师（或以上）</w:t>
            </w:r>
            <w:r>
              <w:rPr>
                <w:rFonts w:hint="eastAsia" w:ascii="宋体" w:hAnsi="宋体" w:eastAsia="宋体" w:cs="宋体"/>
                <w:color w:val="auto"/>
                <w:szCs w:val="21"/>
                <w:highlight w:val="none"/>
                <w:lang w:val="zh-CN" w:bidi="ar"/>
              </w:rPr>
              <w:t>职称得1分，具备注册电气工程师（供配电）加1分，</w:t>
            </w:r>
            <w:r>
              <w:rPr>
                <w:rFonts w:hint="eastAsia" w:ascii="宋体" w:hAnsi="宋体" w:eastAsia="宋体" w:cs="宋体"/>
                <w:color w:val="auto"/>
                <w:szCs w:val="21"/>
                <w:highlight w:val="none"/>
              </w:rPr>
              <w:t>本小项最多得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3F1E8BF9">
            <w:pPr>
              <w:numPr>
                <w:ilvl w:val="0"/>
                <w:numId w:val="2"/>
              </w:num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bidi="ar"/>
              </w:rPr>
              <w:t>造价专业负责人：具备工程造价</w:t>
            </w:r>
            <w:r>
              <w:rPr>
                <w:rFonts w:hint="eastAsia" w:ascii="宋体" w:hAnsi="宋体" w:eastAsia="宋体" w:cs="宋体"/>
                <w:color w:val="auto"/>
                <w:szCs w:val="21"/>
                <w:highlight w:val="none"/>
                <w:lang w:val="en-US" w:eastAsia="zh-CN" w:bidi="ar"/>
              </w:rPr>
              <w:t>类</w:t>
            </w:r>
            <w:r>
              <w:rPr>
                <w:rFonts w:hint="eastAsia" w:ascii="宋体" w:hAnsi="宋体" w:eastAsia="宋体" w:cs="宋体"/>
                <w:color w:val="auto"/>
                <w:szCs w:val="21"/>
                <w:highlight w:val="none"/>
                <w:lang w:val="zh-CN" w:bidi="ar"/>
              </w:rPr>
              <w:t>高级</w:t>
            </w:r>
            <w:r>
              <w:rPr>
                <w:rFonts w:hint="eastAsia" w:ascii="宋体" w:hAnsi="宋体" w:eastAsia="宋体" w:cs="宋体"/>
                <w:color w:val="auto"/>
                <w:szCs w:val="21"/>
                <w:highlight w:val="none"/>
                <w:lang w:val="en-US" w:eastAsia="zh-CN" w:bidi="ar"/>
              </w:rPr>
              <w:t>工程师（或以上）</w:t>
            </w:r>
            <w:r>
              <w:rPr>
                <w:rFonts w:hint="eastAsia" w:ascii="宋体" w:hAnsi="宋体" w:eastAsia="宋体" w:cs="宋体"/>
                <w:color w:val="auto"/>
                <w:szCs w:val="21"/>
                <w:highlight w:val="none"/>
                <w:lang w:val="zh-CN" w:bidi="ar"/>
              </w:rPr>
              <w:t>职称得1分，具备一级造价工程师加1分，</w:t>
            </w:r>
            <w:r>
              <w:rPr>
                <w:rFonts w:hint="eastAsia" w:ascii="宋体" w:hAnsi="宋体" w:eastAsia="宋体" w:cs="宋体"/>
                <w:color w:val="auto"/>
                <w:szCs w:val="21"/>
                <w:highlight w:val="none"/>
              </w:rPr>
              <w:t>本小项最多得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1930BF53">
            <w:pPr>
              <w:numPr>
                <w:ilvl w:val="0"/>
                <w:numId w:val="2"/>
              </w:num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bidi="ar"/>
              </w:rPr>
              <w:t>勘察负责人：具备</w:t>
            </w:r>
            <w:bookmarkStart w:id="207" w:name="OLE_LINK16"/>
            <w:r>
              <w:rPr>
                <w:rFonts w:hint="eastAsia" w:ascii="宋体" w:hAnsi="宋体" w:eastAsia="宋体" w:cs="宋体"/>
                <w:color w:val="auto"/>
                <w:szCs w:val="21"/>
                <w:highlight w:val="none"/>
                <w:lang w:val="en-US" w:eastAsia="zh-CN" w:bidi="ar"/>
              </w:rPr>
              <w:t>岩土或勘查工程</w:t>
            </w:r>
            <w:bookmarkStart w:id="208" w:name="OLE_LINK17"/>
            <w:r>
              <w:rPr>
                <w:rFonts w:hint="eastAsia" w:ascii="宋体" w:hAnsi="宋体" w:eastAsia="宋体" w:cs="宋体"/>
                <w:color w:val="auto"/>
                <w:szCs w:val="21"/>
                <w:highlight w:val="none"/>
                <w:lang w:val="en-US" w:eastAsia="zh-CN" w:bidi="ar"/>
              </w:rPr>
              <w:t>类</w:t>
            </w:r>
            <w:r>
              <w:rPr>
                <w:rFonts w:hint="eastAsia" w:ascii="宋体" w:hAnsi="宋体" w:eastAsia="宋体" w:cs="宋体"/>
                <w:color w:val="auto"/>
                <w:szCs w:val="21"/>
                <w:highlight w:val="none"/>
                <w:lang w:val="zh-CN" w:bidi="ar"/>
              </w:rPr>
              <w:t>高级</w:t>
            </w:r>
            <w:r>
              <w:rPr>
                <w:rFonts w:hint="eastAsia" w:ascii="宋体" w:hAnsi="宋体" w:eastAsia="宋体" w:cs="宋体"/>
                <w:color w:val="auto"/>
                <w:szCs w:val="21"/>
                <w:highlight w:val="none"/>
                <w:lang w:val="en-US" w:eastAsia="zh-CN" w:bidi="ar"/>
              </w:rPr>
              <w:t>工程师（或以上）</w:t>
            </w:r>
            <w:bookmarkEnd w:id="208"/>
            <w:r>
              <w:rPr>
                <w:rFonts w:hint="eastAsia" w:ascii="宋体" w:hAnsi="宋体" w:eastAsia="宋体" w:cs="宋体"/>
                <w:color w:val="auto"/>
                <w:szCs w:val="21"/>
                <w:highlight w:val="none"/>
                <w:lang w:val="zh-CN" w:bidi="ar"/>
              </w:rPr>
              <w:t>职称得1分</w:t>
            </w:r>
            <w:bookmarkEnd w:id="207"/>
            <w:r>
              <w:rPr>
                <w:rFonts w:hint="eastAsia" w:ascii="宋体" w:hAnsi="宋体" w:eastAsia="宋体" w:cs="宋体"/>
                <w:color w:val="auto"/>
                <w:szCs w:val="21"/>
                <w:highlight w:val="none"/>
                <w:lang w:val="zh-CN" w:bidi="ar"/>
              </w:rPr>
              <w:t>，具备注册土木工程师（岩土）加1分，</w:t>
            </w:r>
            <w:r>
              <w:rPr>
                <w:rFonts w:hint="eastAsia" w:ascii="宋体" w:hAnsi="宋体" w:eastAsia="宋体" w:cs="宋体"/>
                <w:color w:val="auto"/>
                <w:szCs w:val="21"/>
                <w:highlight w:val="none"/>
              </w:rPr>
              <w:t>本小项最多得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0EB3FE45">
            <w:pPr>
              <w:numPr>
                <w:ilvl w:val="0"/>
                <w:numId w:val="2"/>
              </w:num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bidi="ar"/>
              </w:rPr>
              <w:t>安全专业负责人：具备</w:t>
            </w:r>
            <w:bookmarkStart w:id="209" w:name="OLE_LINK18"/>
            <w:r>
              <w:rPr>
                <w:rFonts w:hint="eastAsia" w:ascii="宋体" w:hAnsi="宋体" w:eastAsia="宋体" w:cs="宋体"/>
                <w:color w:val="auto"/>
                <w:szCs w:val="21"/>
                <w:highlight w:val="none"/>
                <w:lang w:val="zh-CN" w:bidi="ar"/>
              </w:rPr>
              <w:t>安全工程</w:t>
            </w:r>
            <w:r>
              <w:rPr>
                <w:rFonts w:hint="eastAsia" w:ascii="宋体" w:hAnsi="宋体" w:eastAsia="宋体" w:cs="宋体"/>
                <w:color w:val="auto"/>
                <w:szCs w:val="21"/>
                <w:highlight w:val="none"/>
                <w:lang w:val="en-US" w:eastAsia="zh-CN" w:bidi="ar"/>
              </w:rPr>
              <w:t>类</w:t>
            </w:r>
            <w:r>
              <w:rPr>
                <w:rFonts w:hint="eastAsia" w:ascii="宋体" w:hAnsi="宋体" w:eastAsia="宋体" w:cs="宋体"/>
                <w:color w:val="auto"/>
                <w:szCs w:val="21"/>
                <w:highlight w:val="none"/>
                <w:lang w:val="zh-CN" w:bidi="ar"/>
              </w:rPr>
              <w:t>高级</w:t>
            </w:r>
            <w:r>
              <w:rPr>
                <w:rFonts w:hint="eastAsia" w:ascii="宋体" w:hAnsi="宋体" w:eastAsia="宋体" w:cs="宋体"/>
                <w:color w:val="auto"/>
                <w:szCs w:val="21"/>
                <w:highlight w:val="none"/>
                <w:lang w:val="en-US" w:eastAsia="zh-CN" w:bidi="ar"/>
              </w:rPr>
              <w:t>工程师（或以上）</w:t>
            </w:r>
            <w:r>
              <w:rPr>
                <w:rFonts w:hint="eastAsia" w:ascii="宋体" w:hAnsi="宋体" w:eastAsia="宋体" w:cs="宋体"/>
                <w:color w:val="auto"/>
                <w:szCs w:val="21"/>
                <w:highlight w:val="none"/>
                <w:lang w:val="zh-CN" w:bidi="ar"/>
              </w:rPr>
              <w:t>职称</w:t>
            </w:r>
            <w:bookmarkEnd w:id="209"/>
            <w:r>
              <w:rPr>
                <w:rFonts w:hint="eastAsia" w:ascii="宋体" w:hAnsi="宋体" w:eastAsia="宋体" w:cs="宋体"/>
                <w:color w:val="auto"/>
                <w:szCs w:val="21"/>
                <w:highlight w:val="none"/>
                <w:lang w:val="en-US" w:eastAsia="zh-CN" w:bidi="ar"/>
              </w:rPr>
              <w:t>得</w:t>
            </w:r>
            <w:r>
              <w:rPr>
                <w:rFonts w:hint="eastAsia" w:ascii="宋体" w:hAnsi="宋体" w:eastAsia="宋体" w:cs="宋体"/>
                <w:color w:val="auto"/>
                <w:szCs w:val="21"/>
                <w:highlight w:val="none"/>
                <w:lang w:val="zh-CN" w:bidi="ar"/>
              </w:rPr>
              <w:t>1分，具备注册安全工程师</w:t>
            </w:r>
            <w:r>
              <w:rPr>
                <w:rFonts w:hint="eastAsia" w:ascii="宋体" w:hAnsi="宋体" w:eastAsia="宋体" w:cs="宋体"/>
                <w:color w:val="auto"/>
                <w:szCs w:val="21"/>
                <w:highlight w:val="none"/>
                <w:lang w:val="en-US" w:eastAsia="zh-CN" w:bidi="ar"/>
              </w:rPr>
              <w:t>加</w:t>
            </w:r>
            <w:r>
              <w:rPr>
                <w:rFonts w:hint="eastAsia" w:ascii="宋体" w:hAnsi="宋体" w:eastAsia="宋体" w:cs="宋体"/>
                <w:color w:val="auto"/>
                <w:szCs w:val="21"/>
                <w:highlight w:val="none"/>
                <w:lang w:val="zh-CN" w:bidi="ar"/>
              </w:rPr>
              <w:t>1分，</w:t>
            </w:r>
            <w:r>
              <w:rPr>
                <w:rFonts w:hint="eastAsia" w:ascii="宋体" w:hAnsi="宋体" w:eastAsia="宋体" w:cs="宋体"/>
                <w:color w:val="auto"/>
                <w:szCs w:val="21"/>
                <w:highlight w:val="none"/>
              </w:rPr>
              <w:t>本小项最多得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79C32FD0">
            <w:pPr>
              <w:numPr>
                <w:ilvl w:val="0"/>
                <w:numId w:val="2"/>
              </w:numPr>
              <w:autoSpaceDE w:val="0"/>
              <w:autoSpaceDN w:val="0"/>
              <w:adjustRightIn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道路</w:t>
            </w:r>
            <w:r>
              <w:rPr>
                <w:rFonts w:hint="eastAsia" w:ascii="宋体" w:hAnsi="宋体" w:eastAsia="宋体" w:cs="宋体"/>
                <w:color w:val="auto"/>
                <w:szCs w:val="21"/>
                <w:highlight w:val="none"/>
                <w:lang w:val="zh-CN" w:bidi="ar"/>
              </w:rPr>
              <w:t>专业负责人：</w:t>
            </w:r>
            <w:r>
              <w:rPr>
                <w:rFonts w:hint="eastAsia" w:ascii="宋体" w:hAnsi="宋体" w:eastAsia="宋体" w:cs="宋体"/>
                <w:color w:val="auto"/>
                <w:szCs w:val="21"/>
                <w:highlight w:val="none"/>
                <w:shd w:val="clear"/>
                <w:lang w:val="zh-CN" w:bidi="ar"/>
              </w:rPr>
              <w:t>具备</w:t>
            </w:r>
            <w:r>
              <w:rPr>
                <w:rFonts w:hint="eastAsia" w:ascii="宋体" w:hAnsi="宋体" w:eastAsia="宋体" w:cs="宋体"/>
                <w:color w:val="auto"/>
                <w:szCs w:val="21"/>
                <w:highlight w:val="none"/>
                <w:shd w:val="clear"/>
                <w:lang w:val="en-US" w:eastAsia="zh-CN" w:bidi="ar"/>
              </w:rPr>
              <w:t>路桥</w:t>
            </w:r>
            <w:r>
              <w:rPr>
                <w:rFonts w:hint="eastAsia" w:ascii="宋体" w:hAnsi="宋体" w:eastAsia="宋体" w:cs="宋体"/>
                <w:color w:val="auto"/>
                <w:szCs w:val="21"/>
                <w:highlight w:val="none"/>
                <w:lang w:val="en-US" w:eastAsia="zh-CN" w:bidi="ar"/>
              </w:rPr>
              <w:t>类</w:t>
            </w:r>
            <w:r>
              <w:rPr>
                <w:rFonts w:hint="eastAsia" w:ascii="宋体" w:hAnsi="宋体" w:eastAsia="宋体" w:cs="宋体"/>
                <w:color w:val="auto"/>
                <w:szCs w:val="21"/>
                <w:highlight w:val="none"/>
                <w:lang w:val="zh-CN" w:bidi="ar"/>
              </w:rPr>
              <w:t>高级</w:t>
            </w:r>
            <w:r>
              <w:rPr>
                <w:rFonts w:hint="eastAsia" w:ascii="宋体" w:hAnsi="宋体" w:eastAsia="宋体" w:cs="宋体"/>
                <w:color w:val="auto"/>
                <w:szCs w:val="21"/>
                <w:highlight w:val="none"/>
                <w:lang w:val="en-US" w:eastAsia="zh-CN" w:bidi="ar"/>
              </w:rPr>
              <w:t>工程师（或以上）</w:t>
            </w:r>
            <w:r>
              <w:rPr>
                <w:rFonts w:hint="eastAsia" w:ascii="宋体" w:hAnsi="宋体" w:eastAsia="宋体" w:cs="宋体"/>
                <w:color w:val="auto"/>
                <w:szCs w:val="21"/>
                <w:highlight w:val="none"/>
                <w:lang w:val="zh-CN" w:bidi="ar"/>
              </w:rPr>
              <w:t>职称</w:t>
            </w:r>
            <w:r>
              <w:rPr>
                <w:rFonts w:hint="eastAsia" w:ascii="宋体" w:hAnsi="宋体" w:eastAsia="宋体" w:cs="宋体"/>
                <w:color w:val="auto"/>
                <w:szCs w:val="21"/>
                <w:highlight w:val="none"/>
                <w:shd w:val="clear"/>
                <w:lang w:val="zh-CN" w:bidi="ar"/>
              </w:rPr>
              <w:t>得1分，具备</w:t>
            </w:r>
            <w:r>
              <w:rPr>
                <w:rFonts w:hint="eastAsia" w:ascii="宋体" w:hAnsi="宋体" w:eastAsia="宋体" w:cs="宋体"/>
                <w:color w:val="auto"/>
                <w:szCs w:val="21"/>
                <w:highlight w:val="none"/>
                <w:shd w:val="clear"/>
                <w:lang w:val="en-US" w:eastAsia="zh-CN" w:bidi="ar"/>
              </w:rPr>
              <w:t>注册土工工程师（道路工程）</w:t>
            </w:r>
            <w:r>
              <w:rPr>
                <w:rFonts w:hint="eastAsia" w:ascii="宋体" w:hAnsi="宋体" w:eastAsia="宋体" w:cs="宋体"/>
                <w:color w:val="auto"/>
                <w:szCs w:val="21"/>
                <w:highlight w:val="none"/>
                <w:shd w:val="clear"/>
                <w:lang w:val="zh-CN" w:bidi="ar"/>
              </w:rPr>
              <w:t>加1分</w:t>
            </w:r>
            <w:r>
              <w:rPr>
                <w:rFonts w:hint="eastAsia" w:ascii="宋体" w:hAnsi="宋体" w:eastAsia="宋体" w:cs="宋体"/>
                <w:color w:val="auto"/>
                <w:szCs w:val="21"/>
                <w:highlight w:val="none"/>
                <w:lang w:val="zh-CN" w:bidi="ar"/>
              </w:rPr>
              <w:t>，本小</w:t>
            </w:r>
            <w:r>
              <w:rPr>
                <w:rFonts w:hint="eastAsia" w:ascii="宋体" w:hAnsi="宋体" w:eastAsia="宋体" w:cs="宋体"/>
                <w:color w:val="auto"/>
                <w:szCs w:val="21"/>
                <w:highlight w:val="none"/>
              </w:rPr>
              <w:t>项最多得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1A1D424C">
            <w:pPr>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本项</w:t>
            </w:r>
            <w:r>
              <w:rPr>
                <w:rFonts w:hint="eastAsia" w:ascii="宋体" w:hAnsi="宋体" w:eastAsia="宋体" w:cs="宋体"/>
                <w:color w:val="auto"/>
                <w:szCs w:val="21"/>
                <w:highlight w:val="none"/>
                <w:lang w:val="zh-CN"/>
              </w:rPr>
              <w:t>最多得</w:t>
            </w: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val="zh-CN"/>
              </w:rPr>
              <w:t>分。</w:t>
            </w:r>
          </w:p>
          <w:p w14:paraId="1B522618">
            <w:pPr>
              <w:autoSpaceDE w:val="0"/>
              <w:autoSpaceDN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rPr>
              <w:t>注：</w:t>
            </w:r>
            <w:bookmarkStart w:id="210" w:name="OLE_LINK25"/>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须提供各专业负责人</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证书等证明材料扫描件，</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 w:val="21"/>
                <w:szCs w:val="21"/>
                <w:highlight w:val="none"/>
                <w:u w:val="none"/>
              </w:rPr>
              <w:t>须提供本项目投标截止日前三个月内任意一个月在本单位缴纳的社保证明文件</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u w:val="none"/>
                <w:lang w:val="en-US" w:eastAsia="zh-CN"/>
              </w:rPr>
              <w:t>含非独立法人的分公司或分支机构社保缴纳记录</w:t>
            </w:r>
            <w:r>
              <w:rPr>
                <w:rFonts w:hint="eastAsia" w:ascii="宋体" w:hAnsi="宋体" w:eastAsia="宋体" w:cs="宋体"/>
                <w:color w:val="auto"/>
                <w:szCs w:val="21"/>
                <w:highlight w:val="none"/>
                <w:u w:val="none"/>
                <w:lang w:eastAsia="zh-CN"/>
              </w:rPr>
              <w:t>）</w:t>
            </w:r>
            <w:r>
              <w:rPr>
                <w:rFonts w:hint="eastAsia" w:ascii="宋体" w:hAnsi="宋体" w:eastAsia="宋体" w:cs="宋体"/>
                <w:color w:val="auto"/>
                <w:szCs w:val="21"/>
                <w:highlight w:val="none"/>
                <w:lang w:val="en-US" w:eastAsia="zh-CN"/>
              </w:rPr>
              <w:t>扫描件</w:t>
            </w:r>
            <w:bookmarkStart w:id="211" w:name="OLE_LINK33"/>
            <w:r>
              <w:rPr>
                <w:rFonts w:hint="eastAsia" w:ascii="宋体" w:hAnsi="宋体" w:eastAsia="宋体" w:cs="宋体"/>
                <w:color w:val="auto"/>
                <w:szCs w:val="21"/>
                <w:highlight w:val="none"/>
                <w:lang w:val="zh-CN" w:eastAsia="zh-CN"/>
              </w:rPr>
              <w:t>，不提供不得分</w:t>
            </w:r>
            <w:bookmarkEnd w:id="211"/>
            <w:r>
              <w:rPr>
                <w:rFonts w:hint="eastAsia" w:ascii="宋体" w:hAnsi="宋体" w:eastAsia="宋体" w:cs="宋体"/>
                <w:color w:val="auto"/>
                <w:szCs w:val="21"/>
                <w:highlight w:val="none"/>
                <w:lang w:val="zh-CN" w:eastAsia="zh-CN"/>
              </w:rPr>
              <w:t>。</w:t>
            </w:r>
            <w:bookmarkEnd w:id="210"/>
          </w:p>
          <w:p w14:paraId="0327234E">
            <w:pPr>
              <w:autoSpaceDE w:val="0"/>
              <w:autoSpaceDN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上述各专业人员不可兼任，每专业仅计算一人得分，一个专业配置多人仅计算第一人得分。</w:t>
            </w:r>
          </w:p>
        </w:tc>
      </w:tr>
      <w:tr w14:paraId="7B6CDB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848" w:hRule="atLeast"/>
          <w:jc w:val="center"/>
        </w:trPr>
        <w:tc>
          <w:tcPr>
            <w:tcW w:w="143" w:type="pct"/>
            <w:vAlign w:val="center"/>
          </w:tcPr>
          <w:p w14:paraId="757585A7">
            <w:pPr>
              <w:pStyle w:val="158"/>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228" w:type="pct"/>
            <w:gridSpan w:val="2"/>
            <w:vAlign w:val="center"/>
          </w:tcPr>
          <w:p w14:paraId="0C3643FF">
            <w:pPr>
              <w:pStyle w:val="158"/>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第三方</w:t>
            </w:r>
            <w:r>
              <w:rPr>
                <w:rFonts w:hint="eastAsia" w:ascii="宋体" w:hAnsi="宋体" w:eastAsia="宋体" w:cs="宋体"/>
                <w:color w:val="auto"/>
                <w:szCs w:val="21"/>
                <w:highlight w:val="none"/>
              </w:rPr>
              <w:t>信用</w:t>
            </w:r>
            <w:r>
              <w:rPr>
                <w:rFonts w:hint="eastAsia" w:ascii="宋体" w:hAnsi="宋体" w:eastAsia="宋体" w:cs="宋体"/>
                <w:color w:val="auto"/>
                <w:szCs w:val="21"/>
                <w:highlight w:val="none"/>
                <w:lang w:val="zh-CN"/>
              </w:rPr>
              <w:t>评价</w:t>
            </w:r>
          </w:p>
        </w:tc>
        <w:tc>
          <w:tcPr>
            <w:tcW w:w="236" w:type="pct"/>
            <w:gridSpan w:val="3"/>
            <w:shd w:val="clear" w:color="auto" w:fill="auto"/>
            <w:vAlign w:val="center"/>
          </w:tcPr>
          <w:p w14:paraId="5715B2A4">
            <w:pPr>
              <w:pStyle w:val="156"/>
              <w:wordWrap w:val="0"/>
              <w:topLinePunct/>
              <w:adjustRightInd w:val="0"/>
              <w:spacing w:line="360" w:lineRule="auto"/>
              <w:jc w:val="center"/>
              <w:rPr>
                <w:rFonts w:hint="eastAsia" w:ascii="宋体" w:hAnsi="宋体" w:eastAsia="宋体" w:cs="宋体"/>
                <w:color w:val="auto"/>
                <w:sz w:val="21"/>
                <w:szCs w:val="21"/>
                <w:highlight w:val="none"/>
                <w:lang w:val="zh-CN" w:bidi="ar"/>
              </w:rPr>
            </w:pPr>
            <w:r>
              <w:rPr>
                <w:rFonts w:hint="eastAsia" w:ascii="宋体" w:hAnsi="宋体" w:eastAsia="宋体" w:cs="宋体"/>
                <w:color w:val="auto"/>
                <w:szCs w:val="21"/>
                <w:highlight w:val="none"/>
                <w:lang w:val="zh-CN" w:bidi="ar"/>
              </w:rPr>
              <w:t>20</w:t>
            </w:r>
          </w:p>
        </w:tc>
        <w:tc>
          <w:tcPr>
            <w:tcW w:w="4391" w:type="pct"/>
            <w:shd w:val="clear" w:color="auto" w:fill="auto"/>
            <w:vAlign w:val="center"/>
          </w:tcPr>
          <w:p w14:paraId="08E5A68D">
            <w:pPr>
              <w:autoSpaceDE w:val="0"/>
              <w:autoSpaceDN w:val="0"/>
              <w:adjustRightInd w:val="0"/>
              <w:spacing w:line="360" w:lineRule="auto"/>
              <w:rPr>
                <w:rFonts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投标人同时具备质量管理体系认证、职业健康安全管理体系认证、环境管理体系认证且在有效期内的，得</w:t>
            </w:r>
            <w:r>
              <w:rPr>
                <w:rFonts w:ascii="宋体" w:hAnsi="宋体" w:eastAsia="宋体" w:cs="宋体"/>
                <w:color w:val="auto"/>
                <w:szCs w:val="21"/>
                <w:highlight w:val="none"/>
                <w:lang w:bidi="ar"/>
              </w:rPr>
              <w:t>20</w:t>
            </w:r>
            <w:r>
              <w:rPr>
                <w:rFonts w:hint="eastAsia" w:ascii="宋体" w:hAnsi="宋体" w:eastAsia="宋体" w:cs="宋体"/>
                <w:color w:val="auto"/>
                <w:szCs w:val="21"/>
                <w:highlight w:val="none"/>
                <w:lang w:val="zh-CN" w:bidi="ar"/>
              </w:rPr>
              <w:t>分；</w:t>
            </w:r>
          </w:p>
          <w:p w14:paraId="5D480CF2">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具备上述其中2个认证证书且在有效期内得</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分；</w:t>
            </w:r>
          </w:p>
          <w:p w14:paraId="1F4823A9">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具备上述其中1个认证证书且在有效期内得</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p w14:paraId="620F2440">
            <w:pPr>
              <w:autoSpaceDE w:val="0"/>
              <w:autoSpaceDN w:val="0"/>
              <w:adjustRightInd w:val="0"/>
              <w:spacing w:line="360" w:lineRule="auto"/>
              <w:rPr>
                <w:rFonts w:ascii="宋体" w:hAnsi="宋体" w:eastAsia="宋体" w:cs="宋体"/>
                <w:color w:val="auto"/>
                <w:szCs w:val="21"/>
                <w:highlight w:val="none"/>
                <w:lang w:val="zh-CN" w:bidi="ar"/>
              </w:rPr>
            </w:pPr>
            <w:r>
              <w:rPr>
                <w:rFonts w:hint="eastAsia" w:ascii="宋体" w:hAnsi="宋体" w:eastAsia="宋体" w:cs="宋体"/>
                <w:color w:val="auto"/>
                <w:kern w:val="0"/>
                <w:szCs w:val="21"/>
                <w:highlight w:val="none"/>
              </w:rPr>
              <w:t>其他情况不得分，</w:t>
            </w:r>
            <w:r>
              <w:rPr>
                <w:rFonts w:hint="eastAsia" w:ascii="宋体" w:hAnsi="宋体" w:eastAsia="宋体" w:cs="宋体"/>
                <w:color w:val="auto"/>
                <w:kern w:val="0"/>
                <w:szCs w:val="21"/>
                <w:highlight w:val="none"/>
                <w:lang w:val="zh-CN"/>
              </w:rPr>
              <w:t>本项最多得</w:t>
            </w:r>
            <w:r>
              <w:rPr>
                <w:rFonts w:ascii="宋体" w:hAnsi="宋体" w:eastAsia="宋体" w:cs="宋体"/>
                <w:color w:val="auto"/>
                <w:kern w:val="0"/>
                <w:szCs w:val="21"/>
                <w:highlight w:val="none"/>
              </w:rPr>
              <w:t>20</w:t>
            </w:r>
            <w:r>
              <w:rPr>
                <w:rFonts w:hint="eastAsia" w:ascii="宋体" w:hAnsi="宋体" w:eastAsia="宋体" w:cs="宋体"/>
                <w:color w:val="auto"/>
                <w:kern w:val="0"/>
                <w:szCs w:val="21"/>
                <w:highlight w:val="none"/>
                <w:lang w:val="zh-CN"/>
              </w:rPr>
              <w:t>分。</w:t>
            </w:r>
          </w:p>
          <w:p w14:paraId="601AB783">
            <w:pPr>
              <w:autoSpaceDE w:val="0"/>
              <w:autoSpaceDN w:val="0"/>
              <w:adjustRightInd w:val="0"/>
              <w:spacing w:line="360" w:lineRule="auto"/>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zh-CN" w:bidi="ar"/>
              </w:rPr>
              <w:t>注：需提供证书扫描件及全国认证认可信息公共服务平台（http://cx.cnca.cn/）查询结果截图。</w:t>
            </w:r>
          </w:p>
        </w:tc>
      </w:tr>
      <w:tr w14:paraId="35FFFA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5" w:hRule="atLeast"/>
          <w:jc w:val="center"/>
        </w:trPr>
        <w:tc>
          <w:tcPr>
            <w:tcW w:w="143" w:type="pct"/>
            <w:vAlign w:val="center"/>
          </w:tcPr>
          <w:p w14:paraId="451CFFE1">
            <w:pPr>
              <w:pStyle w:val="158"/>
              <w:snapToGrid w:val="0"/>
              <w:spacing w:line="360" w:lineRule="auto"/>
              <w:jc w:val="center"/>
              <w:rPr>
                <w:rFonts w:hint="eastAsia" w:ascii="宋体" w:hAnsi="宋体" w:eastAsia="宋体" w:cs="宋体"/>
                <w:color w:val="auto"/>
                <w:sz w:val="21"/>
                <w:szCs w:val="21"/>
                <w:highlight w:val="none"/>
              </w:rPr>
            </w:pPr>
          </w:p>
        </w:tc>
        <w:tc>
          <w:tcPr>
            <w:tcW w:w="228" w:type="pct"/>
            <w:gridSpan w:val="2"/>
            <w:vAlign w:val="center"/>
          </w:tcPr>
          <w:p w14:paraId="1ADFF308">
            <w:pPr>
              <w:pStyle w:val="158"/>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236" w:type="pct"/>
            <w:gridSpan w:val="3"/>
            <w:vAlign w:val="center"/>
          </w:tcPr>
          <w:p w14:paraId="16E08F4C">
            <w:pPr>
              <w:pStyle w:val="158"/>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4391" w:type="pct"/>
            <w:vAlign w:val="center"/>
          </w:tcPr>
          <w:p w14:paraId="2C35C0AA">
            <w:pPr>
              <w:pStyle w:val="158"/>
              <w:snapToGrid w:val="0"/>
              <w:spacing w:line="360" w:lineRule="auto"/>
              <w:jc w:val="center"/>
              <w:rPr>
                <w:rFonts w:hint="eastAsia" w:ascii="宋体" w:hAnsi="宋体" w:eastAsia="宋体" w:cs="宋体"/>
                <w:color w:val="auto"/>
                <w:sz w:val="21"/>
                <w:szCs w:val="21"/>
                <w:highlight w:val="none"/>
              </w:rPr>
            </w:pPr>
          </w:p>
        </w:tc>
      </w:tr>
    </w:tbl>
    <w:p w14:paraId="08357BA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42A66F9">
      <w:pPr>
        <w:pStyle w:val="5"/>
        <w:spacing w:line="360" w:lineRule="auto"/>
        <w:ind w:firstLine="0" w:firstLineChars="0"/>
        <w:rPr>
          <w:rFonts w:hint="eastAsia" w:ascii="宋体" w:hAnsi="宋体" w:eastAsia="宋体" w:cs="宋体"/>
          <w:color w:val="auto"/>
          <w:szCs w:val="21"/>
          <w:highlight w:val="none"/>
        </w:rPr>
      </w:pPr>
      <w:bookmarkStart w:id="212" w:name="OLE_LINK49"/>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w:t>
      </w:r>
      <w:bookmarkStart w:id="213" w:name="OLE_LINK50"/>
      <w:r>
        <w:rPr>
          <w:rFonts w:hint="eastAsia" w:ascii="宋体" w:hAnsi="宋体" w:eastAsia="宋体" w:cs="宋体"/>
          <w:color w:val="auto"/>
          <w:szCs w:val="21"/>
          <w:highlight w:val="none"/>
        </w:rPr>
        <w:t>市政公用工程包括给水工程、排水工程（含污水处理厂）、燃气工程、电力工程、热力工程、城市道路工程、城市桥梁工程、城市隧道工程（指城市规划区内的穿山过江隧道、地铁隧道、地下交通工程、地下过街通道）、公共交通工程、轨道交通工程、环境卫生工程、照明工程、绿化工程。其他非市政公用工程项目，如：房建、铁路、化工、冶金等获奖不参与计分。</w:t>
      </w:r>
      <w:bookmarkEnd w:id="213"/>
    </w:p>
    <w:p w14:paraId="3FEF4635">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bookmarkStart w:id="214" w:name="OLE_LINK48"/>
      <w:r>
        <w:rPr>
          <w:rFonts w:hint="eastAsia" w:ascii="宋体" w:hAnsi="宋体" w:eastAsia="宋体" w:cs="宋体"/>
          <w:color w:val="auto"/>
          <w:szCs w:val="21"/>
          <w:highlight w:val="none"/>
        </w:rPr>
        <w:t>以联合体方式投标的，除勘察</w:t>
      </w:r>
      <w:r>
        <w:rPr>
          <w:rFonts w:hint="eastAsia" w:ascii="宋体" w:hAnsi="宋体" w:eastAsia="宋体" w:cs="宋体"/>
          <w:color w:val="auto"/>
          <w:szCs w:val="21"/>
          <w:highlight w:val="none"/>
          <w:lang w:val="en-US" w:eastAsia="zh-CN"/>
        </w:rPr>
        <w:t>负责人、投标人勘察业绩、投标人勘察项目获奖</w:t>
      </w:r>
      <w:r>
        <w:rPr>
          <w:rFonts w:hint="eastAsia" w:ascii="宋体" w:hAnsi="宋体" w:eastAsia="宋体" w:cs="宋体"/>
          <w:color w:val="auto"/>
          <w:szCs w:val="21"/>
          <w:highlight w:val="none"/>
        </w:rPr>
        <w:t>由负责勘察任务的单位提供外，其他各项评分内容仅按联合体主办方的证明材料计算得分。</w:t>
      </w:r>
      <w:bookmarkEnd w:id="214"/>
    </w:p>
    <w:p w14:paraId="57586869">
      <w:pPr>
        <w:wordWrap/>
        <w:spacing w:line="360" w:lineRule="auto"/>
        <w:ind w:firstLine="0" w:firstLineChars="0"/>
        <w:jc w:val="left"/>
        <w:rPr>
          <w:rFonts w:ascii="宋体" w:hAnsi="宋体" w:eastAsia="宋体" w:cs="宋体"/>
          <w:color w:val="auto"/>
          <w:szCs w:val="21"/>
          <w:highlight w:val="none"/>
        </w:rPr>
        <w:sectPr>
          <w:pgSz w:w="16838" w:h="11905" w:orient="landscape"/>
          <w:pgMar w:top="1701" w:right="1474" w:bottom="1701" w:left="1474" w:header="720" w:footer="720" w:gutter="0"/>
          <w:cols w:space="720" w:num="1"/>
        </w:sect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highlight w:val="none"/>
        </w:rPr>
        <w:t>本表按百分制评分，所有评委分数汇总后的算术平均值为投标人的得分。分数出现小数点，保留小数点后</w:t>
      </w:r>
      <w:r>
        <w:rPr>
          <w:rFonts w:hint="eastAsia" w:ascii="宋体" w:hAnsi="宋体" w:eastAsia="宋体" w:cs="宋体"/>
          <w:color w:val="auto"/>
          <w:highlight w:val="none"/>
          <w:lang w:eastAsia="zh-CN"/>
        </w:rPr>
        <w:t>两位</w:t>
      </w:r>
      <w:r>
        <w:rPr>
          <w:rFonts w:hint="eastAsia" w:ascii="宋体" w:hAnsi="宋体" w:eastAsia="宋体" w:cs="宋体"/>
          <w:color w:val="auto"/>
          <w:highlight w:val="none"/>
        </w:rPr>
        <w:t>小数，第三位小数四舍五入</w:t>
      </w:r>
      <w:r>
        <w:rPr>
          <w:rFonts w:hint="eastAsia" w:ascii="宋体" w:hAnsi="宋体" w:eastAsia="宋体" w:cs="宋体"/>
          <w:color w:val="auto"/>
          <w:szCs w:val="21"/>
          <w:highlight w:val="none"/>
        </w:rPr>
        <w:t>。</w:t>
      </w:r>
    </w:p>
    <w:bookmarkEnd w:id="212"/>
    <w:p w14:paraId="3A46192D">
      <w:pPr>
        <w:wordWrap w:val="0"/>
        <w:autoSpaceDE w:val="0"/>
        <w:autoSpaceDN w:val="0"/>
        <w:spacing w:line="276" w:lineRule="auto"/>
        <w:jc w:val="left"/>
        <w:outlineLvl w:val="3"/>
        <w:rPr>
          <w:rFonts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附件二：</w:t>
      </w:r>
    </w:p>
    <w:p w14:paraId="0F192DAF">
      <w:pPr>
        <w:spacing w:line="360" w:lineRule="auto"/>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技术文件（勘察设计方案）综合评分表</w:t>
      </w:r>
    </w:p>
    <w:tbl>
      <w:tblPr>
        <w:tblStyle w:val="45"/>
        <w:tblpPr w:leftFromText="180" w:rightFromText="180" w:vertAnchor="text" w:horzAnchor="page" w:tblpX="1287" w:tblpY="152"/>
        <w:tblOverlap w:val="never"/>
        <w:tblW w:w="49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9"/>
        <w:gridCol w:w="1822"/>
        <w:gridCol w:w="1301"/>
        <w:gridCol w:w="10202"/>
      </w:tblGrid>
      <w:tr w14:paraId="42166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36" w:hRule="atLeast"/>
        </w:trPr>
        <w:tc>
          <w:tcPr>
            <w:tcW w:w="180" w:type="pct"/>
            <w:tcBorders>
              <w:top w:val="single" w:color="auto" w:sz="6" w:space="0"/>
              <w:left w:val="single" w:color="auto" w:sz="6" w:space="0"/>
              <w:bottom w:val="single" w:color="auto" w:sz="6" w:space="0"/>
              <w:right w:val="single" w:color="auto" w:sz="6" w:space="0"/>
            </w:tcBorders>
            <w:textDirection w:val="tbRlV"/>
            <w:vAlign w:val="center"/>
          </w:tcPr>
          <w:p w14:paraId="1C1DDC0F">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658" w:type="pct"/>
            <w:tcBorders>
              <w:top w:val="single" w:color="auto" w:sz="6" w:space="0"/>
              <w:left w:val="single" w:color="auto" w:sz="6" w:space="0"/>
              <w:bottom w:val="single" w:color="auto" w:sz="6" w:space="0"/>
              <w:right w:val="single" w:color="auto" w:sz="6" w:space="0"/>
            </w:tcBorders>
            <w:vAlign w:val="center"/>
          </w:tcPr>
          <w:p w14:paraId="5306EEBF">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项目</w:t>
            </w:r>
          </w:p>
        </w:tc>
        <w:tc>
          <w:tcPr>
            <w:tcW w:w="470" w:type="pct"/>
            <w:tcBorders>
              <w:top w:val="single" w:color="auto" w:sz="6" w:space="0"/>
              <w:left w:val="single" w:color="auto" w:sz="6" w:space="0"/>
              <w:bottom w:val="single" w:color="auto" w:sz="6" w:space="0"/>
              <w:right w:val="single" w:color="auto" w:sz="6" w:space="0"/>
            </w:tcBorders>
            <w:vAlign w:val="center"/>
          </w:tcPr>
          <w:p w14:paraId="4D2FA9B2">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分值分配</w:t>
            </w:r>
          </w:p>
        </w:tc>
        <w:tc>
          <w:tcPr>
            <w:tcW w:w="3689" w:type="pct"/>
            <w:tcBorders>
              <w:top w:val="single" w:color="auto" w:sz="6" w:space="0"/>
              <w:left w:val="single" w:color="auto" w:sz="6" w:space="0"/>
              <w:bottom w:val="single" w:color="auto" w:sz="6" w:space="0"/>
              <w:right w:val="single" w:color="auto" w:sz="6" w:space="0"/>
            </w:tcBorders>
            <w:vAlign w:val="center"/>
          </w:tcPr>
          <w:p w14:paraId="5B887952">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内</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容</w:t>
            </w:r>
          </w:p>
        </w:tc>
      </w:tr>
      <w:tr w14:paraId="6BB2C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0" w:type="pct"/>
            <w:tcBorders>
              <w:top w:val="single" w:color="auto" w:sz="6" w:space="0"/>
              <w:left w:val="single" w:color="auto" w:sz="6" w:space="0"/>
              <w:bottom w:val="single" w:color="auto" w:sz="6" w:space="0"/>
              <w:right w:val="single" w:color="auto" w:sz="6" w:space="0"/>
            </w:tcBorders>
            <w:vAlign w:val="center"/>
          </w:tcPr>
          <w:p w14:paraId="28E5C547">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一</w:t>
            </w:r>
          </w:p>
        </w:tc>
        <w:tc>
          <w:tcPr>
            <w:tcW w:w="658" w:type="pct"/>
            <w:tcBorders>
              <w:top w:val="single" w:color="auto" w:sz="6" w:space="0"/>
              <w:left w:val="single" w:color="auto" w:sz="6" w:space="0"/>
              <w:bottom w:val="single" w:color="auto" w:sz="6" w:space="0"/>
              <w:right w:val="single" w:color="auto" w:sz="6" w:space="0"/>
            </w:tcBorders>
            <w:shd w:val="clear" w:color="auto" w:fill="auto"/>
            <w:vAlign w:val="center"/>
          </w:tcPr>
          <w:p w14:paraId="56F3C1D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项目的理解和把握</w:t>
            </w:r>
          </w:p>
        </w:tc>
        <w:tc>
          <w:tcPr>
            <w:tcW w:w="470" w:type="pct"/>
            <w:tcBorders>
              <w:top w:val="single" w:color="auto" w:sz="6" w:space="0"/>
              <w:left w:val="single" w:color="auto" w:sz="6" w:space="0"/>
              <w:bottom w:val="single" w:color="auto" w:sz="6" w:space="0"/>
              <w:right w:val="single" w:color="auto" w:sz="6" w:space="0"/>
            </w:tcBorders>
            <w:shd w:val="clear" w:color="auto" w:fill="auto"/>
            <w:vAlign w:val="center"/>
          </w:tcPr>
          <w:p w14:paraId="551816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689" w:type="pct"/>
            <w:tcBorders>
              <w:top w:val="single" w:color="auto" w:sz="6" w:space="0"/>
              <w:left w:val="single" w:color="auto" w:sz="6" w:space="0"/>
              <w:bottom w:val="single" w:color="auto" w:sz="6" w:space="0"/>
              <w:right w:val="single" w:color="auto" w:sz="6" w:space="0"/>
            </w:tcBorders>
            <w:shd w:val="clear" w:color="auto" w:fill="auto"/>
            <w:vAlign w:val="center"/>
          </w:tcPr>
          <w:p w14:paraId="05587A7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根据投标人对本项目的背景、目标、意义以及其他要求的理解分析(包括但不限于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规划背景、项目目标、建设意义、其他要求的理解和分析）进行评分。</w:t>
            </w:r>
          </w:p>
          <w:p w14:paraId="5806F8A0">
            <w:pPr>
              <w:spacing w:line="360" w:lineRule="auto"/>
              <w:jc w:val="left"/>
              <w:rPr>
                <w:rFonts w:hint="eastAsia" w:ascii="宋体" w:hAnsi="宋体" w:eastAsia="宋体" w:cs="宋体"/>
                <w:color w:val="auto"/>
                <w:szCs w:val="21"/>
                <w:highlight w:val="none"/>
              </w:rPr>
            </w:pPr>
            <w:bookmarkStart w:id="215" w:name="OLE_LINK5"/>
            <w:r>
              <w:rPr>
                <w:rFonts w:hint="eastAsia" w:ascii="宋体" w:hAnsi="宋体" w:eastAsia="宋体" w:cs="宋体"/>
                <w:color w:val="auto"/>
                <w:szCs w:val="21"/>
                <w:highlight w:val="none"/>
                <w:lang w:val="zh-CN" w:eastAsia="zh-CN"/>
              </w:rPr>
              <w:t>优得</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eastAsia="zh-CN"/>
              </w:rPr>
              <w:t>分，</w:t>
            </w:r>
            <w:bookmarkStart w:id="216" w:name="OLE_LINK4"/>
            <w:r>
              <w:rPr>
                <w:rFonts w:hint="eastAsia" w:ascii="宋体" w:hAnsi="宋体" w:eastAsia="宋体" w:cs="宋体"/>
                <w:color w:val="auto"/>
                <w:szCs w:val="21"/>
                <w:highlight w:val="none"/>
                <w:shd w:val="clear"/>
                <w:lang w:val="zh-CN" w:eastAsia="zh-CN"/>
              </w:rPr>
              <w:t>良得</w:t>
            </w:r>
            <w:r>
              <w:rPr>
                <w:rFonts w:hint="eastAsia" w:ascii="宋体" w:hAnsi="宋体" w:eastAsia="宋体" w:cs="宋体"/>
                <w:color w:val="auto"/>
                <w:szCs w:val="21"/>
                <w:highlight w:val="none"/>
                <w:shd w:val="clear"/>
                <w:lang w:val="en-US" w:eastAsia="zh-CN"/>
              </w:rPr>
              <w:t>13</w:t>
            </w:r>
            <w:r>
              <w:rPr>
                <w:rFonts w:hint="eastAsia" w:ascii="宋体" w:hAnsi="宋体" w:eastAsia="宋体" w:cs="宋体"/>
                <w:color w:val="auto"/>
                <w:szCs w:val="21"/>
                <w:highlight w:val="none"/>
                <w:shd w:val="clear"/>
                <w:lang w:val="zh-CN" w:eastAsia="zh-CN"/>
              </w:rPr>
              <w:t>分，</w:t>
            </w:r>
            <w:r>
              <w:rPr>
                <w:rFonts w:hint="eastAsia" w:ascii="宋体" w:hAnsi="宋体" w:eastAsia="宋体" w:cs="宋体"/>
                <w:color w:val="auto"/>
                <w:szCs w:val="21"/>
                <w:highlight w:val="none"/>
                <w:shd w:val="clear"/>
                <w:lang w:val="en-US" w:eastAsia="zh-CN"/>
              </w:rPr>
              <w:t>中得11分，差</w:t>
            </w:r>
            <w:r>
              <w:rPr>
                <w:rFonts w:hint="eastAsia" w:ascii="宋体" w:hAnsi="宋体" w:eastAsia="宋体" w:cs="宋体"/>
                <w:color w:val="auto"/>
                <w:szCs w:val="21"/>
                <w:highlight w:val="none"/>
                <w:shd w:val="clear"/>
                <w:lang w:val="zh-CN" w:eastAsia="zh-CN"/>
              </w:rPr>
              <w:t>得</w:t>
            </w:r>
            <w:r>
              <w:rPr>
                <w:rFonts w:hint="eastAsia" w:ascii="宋体" w:hAnsi="宋体" w:eastAsia="宋体" w:cs="宋体"/>
                <w:color w:val="auto"/>
                <w:szCs w:val="21"/>
                <w:highlight w:val="none"/>
                <w:shd w:val="clear"/>
                <w:lang w:val="en-US" w:eastAsia="zh-CN"/>
              </w:rPr>
              <w:t>9</w:t>
            </w:r>
            <w:r>
              <w:rPr>
                <w:rFonts w:hint="eastAsia" w:ascii="宋体" w:hAnsi="宋体" w:eastAsia="宋体" w:cs="宋体"/>
                <w:color w:val="auto"/>
                <w:szCs w:val="21"/>
                <w:highlight w:val="none"/>
                <w:shd w:val="clear"/>
                <w:lang w:val="zh-CN" w:eastAsia="zh-CN"/>
              </w:rPr>
              <w:t>分，</w:t>
            </w:r>
            <w:bookmarkEnd w:id="216"/>
            <w:r>
              <w:rPr>
                <w:rFonts w:hint="eastAsia" w:ascii="宋体" w:hAnsi="宋体" w:eastAsia="宋体" w:cs="宋体"/>
                <w:color w:val="auto"/>
                <w:szCs w:val="21"/>
                <w:highlight w:val="none"/>
                <w:lang w:eastAsia="zh-CN"/>
              </w:rPr>
              <w:t>不提供</w:t>
            </w:r>
            <w:r>
              <w:rPr>
                <w:rFonts w:hint="eastAsia" w:ascii="宋体" w:hAnsi="宋体" w:eastAsia="宋体" w:cs="宋体"/>
                <w:color w:val="auto"/>
                <w:szCs w:val="21"/>
                <w:highlight w:val="none"/>
                <w:lang w:val="zh-CN" w:eastAsia="zh-CN"/>
              </w:rPr>
              <w:t>得0分。</w:t>
            </w:r>
            <w:bookmarkEnd w:id="215"/>
          </w:p>
        </w:tc>
      </w:tr>
      <w:tr w14:paraId="49FFE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180" w:type="pct"/>
            <w:tcBorders>
              <w:top w:val="single" w:color="auto" w:sz="6" w:space="0"/>
              <w:left w:val="single" w:color="auto" w:sz="6" w:space="0"/>
              <w:bottom w:val="single" w:color="auto" w:sz="6" w:space="0"/>
              <w:right w:val="single" w:color="auto" w:sz="6" w:space="0"/>
            </w:tcBorders>
            <w:vAlign w:val="center"/>
          </w:tcPr>
          <w:p w14:paraId="5C2BE820">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658" w:type="pct"/>
            <w:tcBorders>
              <w:top w:val="single" w:color="auto" w:sz="6" w:space="0"/>
              <w:left w:val="single" w:color="auto" w:sz="6" w:space="0"/>
              <w:bottom w:val="single" w:color="auto" w:sz="6" w:space="0"/>
              <w:right w:val="single" w:color="auto" w:sz="6" w:space="0"/>
            </w:tcBorders>
            <w:shd w:val="clear" w:color="auto" w:fill="auto"/>
            <w:vAlign w:val="center"/>
          </w:tcPr>
          <w:p w14:paraId="534629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现状调研和分析</w:t>
            </w:r>
          </w:p>
        </w:tc>
        <w:tc>
          <w:tcPr>
            <w:tcW w:w="470" w:type="pct"/>
            <w:tcBorders>
              <w:top w:val="single" w:color="auto" w:sz="6" w:space="0"/>
              <w:left w:val="single" w:color="auto" w:sz="6" w:space="0"/>
              <w:bottom w:val="single" w:color="auto" w:sz="6" w:space="0"/>
              <w:right w:val="single" w:color="auto" w:sz="6" w:space="0"/>
            </w:tcBorders>
            <w:shd w:val="clear" w:color="auto" w:fill="auto"/>
            <w:vAlign w:val="center"/>
          </w:tcPr>
          <w:p w14:paraId="0ACA9D0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3689" w:type="pct"/>
            <w:tcBorders>
              <w:top w:val="single" w:color="auto" w:sz="6" w:space="0"/>
              <w:left w:val="single" w:color="auto" w:sz="6" w:space="0"/>
              <w:bottom w:val="single" w:color="auto" w:sz="6" w:space="0"/>
              <w:right w:val="single" w:color="auto" w:sz="6" w:space="0"/>
            </w:tcBorders>
            <w:shd w:val="clear" w:color="auto" w:fill="auto"/>
            <w:vAlign w:val="center"/>
          </w:tcPr>
          <w:p w14:paraId="37122D6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根据投标人对本项目的现状各项情况的调研和分析，全面、合理。</w:t>
            </w:r>
          </w:p>
          <w:p w14:paraId="259642E1">
            <w:pPr>
              <w:spacing w:line="360" w:lineRule="auto"/>
              <w:jc w:val="left"/>
              <w:rPr>
                <w:rFonts w:hint="eastAsia" w:ascii="宋体" w:hAnsi="宋体" w:eastAsia="宋体" w:cs="宋体"/>
                <w:color w:val="auto"/>
                <w:szCs w:val="21"/>
                <w:highlight w:val="none"/>
              </w:rPr>
            </w:pPr>
            <w:bookmarkStart w:id="217" w:name="OLE_LINK6"/>
            <w:r>
              <w:rPr>
                <w:rFonts w:hint="eastAsia" w:ascii="宋体" w:hAnsi="宋体" w:eastAsia="宋体" w:cs="宋体"/>
                <w:color w:val="auto"/>
                <w:szCs w:val="21"/>
                <w:highlight w:val="none"/>
                <w:lang w:val="zh-CN" w:eastAsia="zh-CN"/>
              </w:rPr>
              <w:t>优得</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val="zh-CN" w:eastAsia="zh-CN"/>
              </w:rPr>
              <w:t>分，</w:t>
            </w:r>
            <w:bookmarkStart w:id="218" w:name="OLE_LINK2"/>
            <w:r>
              <w:rPr>
                <w:rFonts w:hint="eastAsia" w:ascii="宋体" w:hAnsi="宋体" w:eastAsia="宋体" w:cs="宋体"/>
                <w:color w:val="auto"/>
                <w:szCs w:val="21"/>
                <w:highlight w:val="none"/>
                <w:shd w:val="clear"/>
                <w:lang w:val="zh-CN" w:eastAsia="zh-CN"/>
              </w:rPr>
              <w:t>良得</w:t>
            </w:r>
            <w:r>
              <w:rPr>
                <w:rFonts w:hint="eastAsia" w:ascii="宋体" w:hAnsi="宋体" w:eastAsia="宋体" w:cs="宋体"/>
                <w:color w:val="auto"/>
                <w:szCs w:val="21"/>
                <w:highlight w:val="none"/>
                <w:shd w:val="clear"/>
                <w:lang w:val="en-US" w:eastAsia="zh-CN"/>
              </w:rPr>
              <w:t>18</w:t>
            </w:r>
            <w:r>
              <w:rPr>
                <w:rFonts w:hint="eastAsia" w:ascii="宋体" w:hAnsi="宋体" w:eastAsia="宋体" w:cs="宋体"/>
                <w:color w:val="auto"/>
                <w:szCs w:val="21"/>
                <w:highlight w:val="none"/>
                <w:shd w:val="clear"/>
                <w:lang w:val="zh-CN" w:eastAsia="zh-CN"/>
              </w:rPr>
              <w:t>分，</w:t>
            </w:r>
            <w:r>
              <w:rPr>
                <w:rFonts w:hint="eastAsia" w:ascii="宋体" w:hAnsi="宋体" w:eastAsia="宋体" w:cs="宋体"/>
                <w:color w:val="auto"/>
                <w:szCs w:val="21"/>
                <w:highlight w:val="none"/>
                <w:shd w:val="clear"/>
                <w:lang w:val="en-US" w:eastAsia="zh-CN"/>
              </w:rPr>
              <w:t>中得16分，差</w:t>
            </w:r>
            <w:r>
              <w:rPr>
                <w:rFonts w:hint="eastAsia" w:ascii="宋体" w:hAnsi="宋体" w:eastAsia="宋体" w:cs="宋体"/>
                <w:color w:val="auto"/>
                <w:szCs w:val="21"/>
                <w:highlight w:val="none"/>
                <w:shd w:val="clear"/>
                <w:lang w:val="zh-CN" w:eastAsia="zh-CN"/>
              </w:rPr>
              <w:t>得</w:t>
            </w:r>
            <w:r>
              <w:rPr>
                <w:rFonts w:hint="eastAsia" w:ascii="宋体" w:hAnsi="宋体" w:eastAsia="宋体" w:cs="宋体"/>
                <w:color w:val="auto"/>
                <w:szCs w:val="21"/>
                <w:highlight w:val="none"/>
                <w:shd w:val="clear"/>
                <w:lang w:val="en-US" w:eastAsia="zh-CN"/>
              </w:rPr>
              <w:t>14</w:t>
            </w:r>
            <w:r>
              <w:rPr>
                <w:rFonts w:hint="eastAsia" w:ascii="宋体" w:hAnsi="宋体" w:eastAsia="宋体" w:cs="宋体"/>
                <w:color w:val="auto"/>
                <w:szCs w:val="21"/>
                <w:highlight w:val="none"/>
                <w:shd w:val="clear"/>
                <w:lang w:val="zh-CN" w:eastAsia="zh-CN"/>
              </w:rPr>
              <w:t>分，</w:t>
            </w:r>
            <w:bookmarkEnd w:id="218"/>
            <w:bookmarkStart w:id="219" w:name="OLE_LINK3"/>
            <w:r>
              <w:rPr>
                <w:rFonts w:hint="eastAsia" w:ascii="宋体" w:hAnsi="宋体" w:eastAsia="宋体" w:cs="宋体"/>
                <w:color w:val="auto"/>
                <w:szCs w:val="21"/>
                <w:highlight w:val="none"/>
                <w:lang w:eastAsia="zh-CN"/>
              </w:rPr>
              <w:t>不提供</w:t>
            </w:r>
            <w:r>
              <w:rPr>
                <w:rFonts w:hint="eastAsia" w:ascii="宋体" w:hAnsi="宋体" w:eastAsia="宋体" w:cs="宋体"/>
                <w:color w:val="auto"/>
                <w:szCs w:val="21"/>
                <w:highlight w:val="none"/>
                <w:lang w:val="zh-CN" w:eastAsia="zh-CN"/>
              </w:rPr>
              <w:t>得0分。</w:t>
            </w:r>
            <w:bookmarkEnd w:id="217"/>
            <w:bookmarkEnd w:id="219"/>
          </w:p>
        </w:tc>
      </w:tr>
      <w:tr w14:paraId="40E8E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8" w:hRule="atLeast"/>
        </w:trPr>
        <w:tc>
          <w:tcPr>
            <w:tcW w:w="180" w:type="pct"/>
            <w:tcBorders>
              <w:top w:val="single" w:color="auto" w:sz="6" w:space="0"/>
              <w:left w:val="single" w:color="auto" w:sz="6" w:space="0"/>
              <w:bottom w:val="single" w:color="auto" w:sz="6" w:space="0"/>
              <w:right w:val="single" w:color="auto" w:sz="6" w:space="0"/>
            </w:tcBorders>
            <w:vAlign w:val="center"/>
          </w:tcPr>
          <w:p w14:paraId="632CD701">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p>
        </w:tc>
        <w:tc>
          <w:tcPr>
            <w:tcW w:w="658" w:type="pct"/>
            <w:tcBorders>
              <w:top w:val="single" w:color="auto" w:sz="6" w:space="0"/>
              <w:left w:val="single" w:color="auto" w:sz="6" w:space="0"/>
              <w:bottom w:val="single" w:color="auto" w:sz="6" w:space="0"/>
              <w:right w:val="single" w:color="auto" w:sz="6" w:space="0"/>
            </w:tcBorders>
            <w:shd w:val="clear" w:color="auto" w:fill="auto"/>
            <w:vAlign w:val="center"/>
          </w:tcPr>
          <w:p w14:paraId="0F6E07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设计方案</w:t>
            </w:r>
          </w:p>
        </w:tc>
        <w:tc>
          <w:tcPr>
            <w:tcW w:w="470" w:type="pct"/>
            <w:tcBorders>
              <w:top w:val="single" w:color="auto" w:sz="6" w:space="0"/>
              <w:left w:val="single" w:color="auto" w:sz="6" w:space="0"/>
              <w:bottom w:val="single" w:color="auto" w:sz="6" w:space="0"/>
              <w:right w:val="single" w:color="auto" w:sz="6" w:space="0"/>
            </w:tcBorders>
            <w:shd w:val="clear" w:color="auto" w:fill="auto"/>
            <w:vAlign w:val="center"/>
          </w:tcPr>
          <w:p w14:paraId="0A8D90EE">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p>
        </w:tc>
        <w:tc>
          <w:tcPr>
            <w:tcW w:w="3689" w:type="pct"/>
            <w:tcBorders>
              <w:top w:val="single" w:color="auto" w:sz="6" w:space="0"/>
              <w:left w:val="single" w:color="auto" w:sz="6" w:space="0"/>
              <w:bottom w:val="single" w:color="auto" w:sz="6" w:space="0"/>
              <w:right w:val="single" w:color="auto" w:sz="6" w:space="0"/>
            </w:tcBorders>
            <w:shd w:val="clear" w:color="auto" w:fill="auto"/>
            <w:vAlign w:val="center"/>
          </w:tcPr>
          <w:p w14:paraId="5758F307">
            <w:pPr>
              <w:spacing w:line="360" w:lineRule="auto"/>
              <w:ind w:right="-105" w:rightChar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案结合项目特点，设计科学合理，能正确理解并执行建设内容，达到相应的深度要求。提出针对性的设计方案，设计方案应符合现行规划、区域建设发展的要求，与周边地块衔接合理，因地制宜，改造效果明显；方案设计与现有周边城市风貌协调统一，能够彰显当地特色，体现岭南风格；与周边路网、管网规划协调一致，对区域内路网的交通组织理解充分，道路功能定位合理；技术措施优。</w:t>
            </w:r>
          </w:p>
          <w:p w14:paraId="3B7883F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shd w:val="clear"/>
                <w:lang w:val="zh-CN" w:eastAsia="zh-CN"/>
              </w:rPr>
              <w:t>良得</w:t>
            </w:r>
            <w:r>
              <w:rPr>
                <w:rFonts w:hint="eastAsia" w:ascii="宋体" w:hAnsi="宋体" w:eastAsia="宋体" w:cs="宋体"/>
                <w:color w:val="auto"/>
                <w:szCs w:val="21"/>
                <w:highlight w:val="none"/>
                <w:shd w:val="clear"/>
                <w:lang w:val="en-US" w:eastAsia="zh-CN"/>
              </w:rPr>
              <w:t>28</w:t>
            </w:r>
            <w:r>
              <w:rPr>
                <w:rFonts w:hint="eastAsia" w:ascii="宋体" w:hAnsi="宋体" w:eastAsia="宋体" w:cs="宋体"/>
                <w:color w:val="auto"/>
                <w:szCs w:val="21"/>
                <w:highlight w:val="none"/>
                <w:shd w:val="clear"/>
                <w:lang w:val="zh-CN" w:eastAsia="zh-CN"/>
              </w:rPr>
              <w:t>分，</w:t>
            </w:r>
            <w:r>
              <w:rPr>
                <w:rFonts w:hint="eastAsia" w:ascii="宋体" w:hAnsi="宋体" w:eastAsia="宋体" w:cs="宋体"/>
                <w:color w:val="auto"/>
                <w:szCs w:val="21"/>
                <w:highlight w:val="none"/>
                <w:shd w:val="clear"/>
                <w:lang w:val="en-US" w:eastAsia="zh-CN"/>
              </w:rPr>
              <w:t>中得26分，差</w:t>
            </w:r>
            <w:r>
              <w:rPr>
                <w:rFonts w:hint="eastAsia" w:ascii="宋体" w:hAnsi="宋体" w:eastAsia="宋体" w:cs="宋体"/>
                <w:color w:val="auto"/>
                <w:szCs w:val="21"/>
                <w:highlight w:val="none"/>
                <w:shd w:val="clear"/>
                <w:lang w:val="zh-CN" w:eastAsia="zh-CN"/>
              </w:rPr>
              <w:t>得</w:t>
            </w:r>
            <w:r>
              <w:rPr>
                <w:rFonts w:hint="eastAsia" w:ascii="宋体" w:hAnsi="宋体" w:eastAsia="宋体" w:cs="宋体"/>
                <w:color w:val="auto"/>
                <w:szCs w:val="21"/>
                <w:highlight w:val="none"/>
                <w:shd w:val="clear"/>
                <w:lang w:val="en-US" w:eastAsia="zh-CN"/>
              </w:rPr>
              <w:t>24</w:t>
            </w:r>
            <w:r>
              <w:rPr>
                <w:rFonts w:hint="eastAsia" w:ascii="宋体" w:hAnsi="宋体" w:eastAsia="宋体" w:cs="宋体"/>
                <w:color w:val="auto"/>
                <w:szCs w:val="21"/>
                <w:highlight w:val="none"/>
                <w:shd w:val="clear"/>
                <w:lang w:val="zh-CN" w:eastAsia="zh-CN"/>
              </w:rPr>
              <w:t>分，</w:t>
            </w:r>
            <w:r>
              <w:rPr>
                <w:rFonts w:hint="eastAsia" w:ascii="宋体" w:hAnsi="宋体" w:eastAsia="宋体" w:cs="宋体"/>
                <w:color w:val="auto"/>
                <w:szCs w:val="21"/>
                <w:highlight w:val="none"/>
                <w:lang w:eastAsia="zh-CN"/>
              </w:rPr>
              <w:t>不提供</w:t>
            </w:r>
            <w:r>
              <w:rPr>
                <w:rFonts w:hint="eastAsia" w:ascii="宋体" w:hAnsi="宋体" w:eastAsia="宋体" w:cs="宋体"/>
                <w:color w:val="auto"/>
                <w:szCs w:val="21"/>
                <w:highlight w:val="none"/>
                <w:lang w:val="zh-CN" w:eastAsia="zh-CN"/>
              </w:rPr>
              <w:t>得0分。</w:t>
            </w:r>
          </w:p>
        </w:tc>
      </w:tr>
      <w:tr w14:paraId="5006F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80" w:type="pct"/>
            <w:tcBorders>
              <w:top w:val="single" w:color="auto" w:sz="6" w:space="0"/>
              <w:left w:val="single" w:color="auto" w:sz="6" w:space="0"/>
              <w:bottom w:val="single" w:color="auto" w:sz="6" w:space="0"/>
              <w:right w:val="single" w:color="auto" w:sz="6" w:space="0"/>
            </w:tcBorders>
            <w:vAlign w:val="center"/>
          </w:tcPr>
          <w:p w14:paraId="34F5C0A3">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w:t>
            </w:r>
          </w:p>
        </w:tc>
        <w:tc>
          <w:tcPr>
            <w:tcW w:w="658" w:type="pct"/>
            <w:tcBorders>
              <w:top w:val="single" w:color="auto" w:sz="6" w:space="0"/>
              <w:left w:val="single" w:color="auto" w:sz="6" w:space="0"/>
              <w:bottom w:val="single" w:color="auto" w:sz="6" w:space="0"/>
              <w:right w:val="single" w:color="auto" w:sz="6" w:space="0"/>
            </w:tcBorders>
            <w:shd w:val="clear" w:color="auto" w:fill="auto"/>
            <w:vAlign w:val="center"/>
          </w:tcPr>
          <w:p w14:paraId="528FE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重难点、关键点分析及措施</w:t>
            </w:r>
          </w:p>
        </w:tc>
        <w:tc>
          <w:tcPr>
            <w:tcW w:w="470" w:type="pct"/>
            <w:tcBorders>
              <w:top w:val="single" w:color="auto" w:sz="6" w:space="0"/>
              <w:left w:val="single" w:color="auto" w:sz="6" w:space="0"/>
              <w:bottom w:val="single" w:color="auto" w:sz="6" w:space="0"/>
              <w:right w:val="single" w:color="auto" w:sz="6" w:space="0"/>
            </w:tcBorders>
            <w:shd w:val="clear" w:color="auto" w:fill="auto"/>
            <w:vAlign w:val="center"/>
          </w:tcPr>
          <w:p w14:paraId="5EA445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9" w:type="pct"/>
            <w:tcBorders>
              <w:top w:val="single" w:color="auto" w:sz="6" w:space="0"/>
              <w:left w:val="single" w:color="auto" w:sz="6" w:space="0"/>
              <w:bottom w:val="single" w:color="auto" w:sz="6" w:space="0"/>
              <w:right w:val="single" w:color="auto" w:sz="6" w:space="0"/>
            </w:tcBorders>
            <w:shd w:val="clear" w:color="auto" w:fill="auto"/>
            <w:vAlign w:val="center"/>
          </w:tcPr>
          <w:p w14:paraId="00F8B80D">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对项目的重、难点及关键点的分析，提出针对性的解决策略。</w:t>
            </w:r>
          </w:p>
          <w:p w14:paraId="484874E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中得3分，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p>
        </w:tc>
      </w:tr>
      <w:tr w14:paraId="39BFE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80" w:type="pct"/>
            <w:tcBorders>
              <w:top w:val="single" w:color="auto" w:sz="6" w:space="0"/>
              <w:left w:val="single" w:color="auto" w:sz="6" w:space="0"/>
              <w:bottom w:val="single" w:color="auto" w:sz="6" w:space="0"/>
              <w:right w:val="single" w:color="auto" w:sz="6" w:space="0"/>
            </w:tcBorders>
            <w:vAlign w:val="center"/>
          </w:tcPr>
          <w:p w14:paraId="07026A55">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w:t>
            </w:r>
          </w:p>
        </w:tc>
        <w:tc>
          <w:tcPr>
            <w:tcW w:w="658" w:type="pct"/>
            <w:tcBorders>
              <w:top w:val="single" w:color="auto" w:sz="6" w:space="0"/>
              <w:left w:val="single" w:color="auto" w:sz="6" w:space="0"/>
              <w:bottom w:val="single" w:color="auto" w:sz="6" w:space="0"/>
              <w:right w:val="single" w:color="auto" w:sz="6" w:space="0"/>
            </w:tcBorders>
            <w:shd w:val="clear" w:color="auto" w:fill="auto"/>
            <w:vAlign w:val="center"/>
          </w:tcPr>
          <w:p w14:paraId="261E3F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勘察方案</w:t>
            </w:r>
          </w:p>
        </w:tc>
        <w:tc>
          <w:tcPr>
            <w:tcW w:w="470" w:type="pct"/>
            <w:tcBorders>
              <w:top w:val="single" w:color="auto" w:sz="6" w:space="0"/>
              <w:left w:val="single" w:color="auto" w:sz="6" w:space="0"/>
              <w:bottom w:val="single" w:color="auto" w:sz="6" w:space="0"/>
              <w:right w:val="single" w:color="auto" w:sz="6" w:space="0"/>
            </w:tcBorders>
            <w:shd w:val="clear" w:color="auto" w:fill="auto"/>
            <w:vAlign w:val="center"/>
          </w:tcPr>
          <w:p w14:paraId="2BF788EE">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20</w:t>
            </w:r>
          </w:p>
        </w:tc>
        <w:tc>
          <w:tcPr>
            <w:tcW w:w="3689" w:type="pct"/>
            <w:tcBorders>
              <w:top w:val="single" w:color="auto" w:sz="6" w:space="0"/>
              <w:left w:val="single" w:color="auto" w:sz="6" w:space="0"/>
              <w:bottom w:val="single" w:color="auto" w:sz="6" w:space="0"/>
              <w:right w:val="single" w:color="auto" w:sz="6" w:space="0"/>
            </w:tcBorders>
            <w:shd w:val="clear" w:color="auto" w:fill="auto"/>
            <w:vAlign w:val="center"/>
          </w:tcPr>
          <w:p w14:paraId="763D5B0F">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勘察方案合理可行，勘察的重点、难点理解准确，建议合理可行；勘察工作流程规范，工期进度计划合理可行，有针对本项目所制定的勘察进度安排、质量保证措施，对后续服务安排及保证措施承诺可行可信程度高。</w:t>
            </w:r>
          </w:p>
          <w:p w14:paraId="224C9AC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w:t>
            </w:r>
            <w:r>
              <w:rPr>
                <w:rFonts w:ascii="宋体" w:hAnsi="宋体" w:eastAsia="宋体" w:cs="宋体"/>
                <w:color w:val="auto"/>
                <w:szCs w:val="21"/>
                <w:highlight w:val="none"/>
              </w:rPr>
              <w:t>20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zh-CN"/>
              </w:rPr>
              <w:t>良得</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，中得</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分，差</w:t>
            </w:r>
            <w:r>
              <w:rPr>
                <w:rFonts w:hint="eastAsia" w:ascii="宋体" w:hAnsi="宋体" w:eastAsia="宋体" w:cs="宋体"/>
                <w:color w:val="auto"/>
                <w:szCs w:val="21"/>
                <w:highlight w:val="none"/>
                <w:lang w:val="zh-CN"/>
              </w:rPr>
              <w:t>得</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分</w:t>
            </w:r>
            <w:r>
              <w:rPr>
                <w:rFonts w:hint="eastAsia" w:ascii="宋体" w:hAnsi="宋体" w:eastAsia="宋体" w:cs="宋体"/>
                <w:color w:val="auto"/>
                <w:szCs w:val="21"/>
                <w:highlight w:val="none"/>
              </w:rPr>
              <w:t>，不提供</w:t>
            </w:r>
            <w:r>
              <w:rPr>
                <w:rFonts w:hint="eastAsia" w:ascii="宋体" w:hAnsi="宋体" w:eastAsia="宋体" w:cs="宋体"/>
                <w:color w:val="auto"/>
                <w:szCs w:val="21"/>
                <w:highlight w:val="none"/>
                <w:lang w:val="zh-CN"/>
              </w:rPr>
              <w:t>得</w:t>
            </w:r>
            <w:r>
              <w:rPr>
                <w:rFonts w:ascii="宋体" w:hAnsi="宋体" w:eastAsia="宋体" w:cs="宋体"/>
                <w:color w:val="auto"/>
                <w:szCs w:val="21"/>
                <w:highlight w:val="none"/>
              </w:rPr>
              <w:t>0</w:t>
            </w:r>
            <w:r>
              <w:rPr>
                <w:rFonts w:hint="eastAsia" w:ascii="宋体" w:hAnsi="宋体" w:eastAsia="宋体" w:cs="宋体"/>
                <w:color w:val="auto"/>
                <w:szCs w:val="21"/>
                <w:highlight w:val="none"/>
                <w:lang w:val="zh-CN"/>
              </w:rPr>
              <w:t>分。</w:t>
            </w:r>
          </w:p>
        </w:tc>
      </w:tr>
      <w:tr w14:paraId="6F34D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9" w:hRule="atLeast"/>
        </w:trPr>
        <w:tc>
          <w:tcPr>
            <w:tcW w:w="180" w:type="pct"/>
            <w:vMerge w:val="restart"/>
            <w:tcBorders>
              <w:top w:val="single" w:color="auto" w:sz="6" w:space="0"/>
              <w:left w:val="single" w:color="auto" w:sz="6" w:space="0"/>
              <w:right w:val="single" w:color="auto" w:sz="6" w:space="0"/>
            </w:tcBorders>
            <w:vAlign w:val="center"/>
          </w:tcPr>
          <w:p w14:paraId="1F465347">
            <w:pPr>
              <w:wordWrap w:val="0"/>
              <w:topLinePunct/>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六</w:t>
            </w:r>
          </w:p>
        </w:tc>
        <w:tc>
          <w:tcPr>
            <w:tcW w:w="658" w:type="pct"/>
            <w:vMerge w:val="restart"/>
            <w:tcBorders>
              <w:top w:val="single" w:color="auto" w:sz="6" w:space="0"/>
              <w:left w:val="single" w:color="auto" w:sz="6" w:space="0"/>
              <w:right w:val="single" w:color="auto" w:sz="6" w:space="0"/>
            </w:tcBorders>
            <w:vAlign w:val="center"/>
          </w:tcPr>
          <w:p w14:paraId="3061192D">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进度安排及投资估算控制</w:t>
            </w:r>
          </w:p>
        </w:tc>
        <w:tc>
          <w:tcPr>
            <w:tcW w:w="470" w:type="pct"/>
            <w:tcBorders>
              <w:top w:val="single" w:color="auto" w:sz="6" w:space="0"/>
              <w:left w:val="single" w:color="auto" w:sz="6" w:space="0"/>
              <w:bottom w:val="single" w:color="auto" w:sz="6" w:space="0"/>
              <w:right w:val="single" w:color="auto" w:sz="6" w:space="0"/>
            </w:tcBorders>
            <w:shd w:val="clear" w:color="auto" w:fill="auto"/>
            <w:vAlign w:val="center"/>
          </w:tcPr>
          <w:p w14:paraId="05AD13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9" w:type="pct"/>
            <w:tcBorders>
              <w:top w:val="single" w:color="auto" w:sz="6" w:space="0"/>
              <w:left w:val="single" w:color="auto" w:sz="6" w:space="0"/>
              <w:bottom w:val="single" w:color="auto" w:sz="6" w:space="0"/>
              <w:right w:val="single" w:color="auto" w:sz="6" w:space="0"/>
            </w:tcBorders>
            <w:shd w:val="clear" w:color="auto" w:fill="auto"/>
            <w:vAlign w:val="center"/>
          </w:tcPr>
          <w:p w14:paraId="3FE83E0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工程总投资合理，投资估算编制依据正确，达到相应的深度要求。节约工程总投资的措施及理由合理、可信、可行。</w:t>
            </w:r>
            <w:r>
              <w:rPr>
                <w:rFonts w:hint="eastAsia" w:ascii="宋体" w:hAnsi="宋体" w:eastAsia="宋体" w:cs="宋体"/>
                <w:color w:val="auto"/>
                <w:szCs w:val="21"/>
                <w:highlight w:val="none"/>
                <w:lang w:val="zh-CN"/>
              </w:rPr>
              <w:t>（注：投资估算中不能体现相应的投标报价）</w:t>
            </w:r>
          </w:p>
          <w:p w14:paraId="1CB3256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中得3分，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p>
        </w:tc>
      </w:tr>
      <w:tr w14:paraId="5599E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180" w:type="pct"/>
            <w:vMerge w:val="continue"/>
            <w:tcBorders>
              <w:left w:val="single" w:color="auto" w:sz="6" w:space="0"/>
              <w:bottom w:val="single" w:color="auto" w:sz="6" w:space="0"/>
              <w:right w:val="single" w:color="auto" w:sz="6" w:space="0"/>
            </w:tcBorders>
            <w:vAlign w:val="center"/>
          </w:tcPr>
          <w:p w14:paraId="7F14CE91">
            <w:pPr>
              <w:wordWrap w:val="0"/>
              <w:topLinePunct/>
              <w:spacing w:line="360" w:lineRule="auto"/>
              <w:jc w:val="center"/>
              <w:rPr>
                <w:rFonts w:hint="eastAsia" w:ascii="宋体" w:hAnsi="宋体" w:eastAsia="宋体" w:cs="宋体"/>
                <w:color w:val="auto"/>
                <w:szCs w:val="21"/>
                <w:highlight w:val="none"/>
                <w:lang w:val="zh-CN"/>
              </w:rPr>
            </w:pPr>
          </w:p>
        </w:tc>
        <w:tc>
          <w:tcPr>
            <w:tcW w:w="658" w:type="pct"/>
            <w:vMerge w:val="continue"/>
            <w:tcBorders>
              <w:left w:val="single" w:color="auto" w:sz="6" w:space="0"/>
              <w:bottom w:val="single" w:color="auto" w:sz="6" w:space="0"/>
              <w:right w:val="single" w:color="auto" w:sz="6" w:space="0"/>
            </w:tcBorders>
            <w:vAlign w:val="center"/>
          </w:tcPr>
          <w:p w14:paraId="1BA85F67">
            <w:pPr>
              <w:wordWrap w:val="0"/>
              <w:topLinePunct/>
              <w:spacing w:line="360" w:lineRule="auto"/>
              <w:jc w:val="center"/>
              <w:rPr>
                <w:rFonts w:hint="eastAsia" w:ascii="宋体" w:hAnsi="宋体" w:eastAsia="宋体" w:cs="宋体"/>
                <w:color w:val="auto"/>
                <w:szCs w:val="21"/>
                <w:highlight w:val="none"/>
              </w:rPr>
            </w:pPr>
          </w:p>
        </w:tc>
        <w:tc>
          <w:tcPr>
            <w:tcW w:w="470" w:type="pct"/>
            <w:tcBorders>
              <w:top w:val="single" w:color="auto" w:sz="6" w:space="0"/>
              <w:left w:val="single" w:color="auto" w:sz="6" w:space="0"/>
              <w:bottom w:val="single" w:color="auto" w:sz="6" w:space="0"/>
              <w:right w:val="single" w:color="auto" w:sz="6" w:space="0"/>
            </w:tcBorders>
            <w:shd w:val="clear" w:color="auto" w:fill="auto"/>
            <w:vAlign w:val="center"/>
          </w:tcPr>
          <w:p w14:paraId="58F01BB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689" w:type="pct"/>
            <w:tcBorders>
              <w:top w:val="single" w:color="auto" w:sz="6" w:space="0"/>
              <w:left w:val="single" w:color="auto" w:sz="6" w:space="0"/>
              <w:bottom w:val="single" w:color="auto" w:sz="6" w:space="0"/>
              <w:right w:val="single" w:color="auto" w:sz="6" w:space="0"/>
            </w:tcBorders>
            <w:shd w:val="clear" w:color="auto" w:fill="auto"/>
            <w:vAlign w:val="center"/>
          </w:tcPr>
          <w:p w14:paraId="31396439">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根据投标人对本项目的进度计划与安排，各阶段工作内容全面细致、工作时间节点清晰、对应的进度管理方案合理可行。</w:t>
            </w:r>
          </w:p>
          <w:p w14:paraId="2C8D07B1">
            <w:pPr>
              <w:pStyle w:val="5"/>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优得</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分，良得</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中得3分，</w:t>
            </w:r>
            <w:r>
              <w:rPr>
                <w:rFonts w:hint="eastAsia" w:ascii="宋体" w:hAnsi="宋体" w:eastAsia="宋体" w:cs="宋体"/>
                <w:color w:val="auto"/>
                <w:szCs w:val="21"/>
                <w:highlight w:val="none"/>
                <w:shd w:val="clear" w:color="auto" w:fill="auto"/>
                <w:lang w:val="en-US" w:eastAsia="zh-CN"/>
              </w:rPr>
              <w:t>差</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不提供</w:t>
            </w:r>
            <w:r>
              <w:rPr>
                <w:rFonts w:hint="eastAsia" w:ascii="宋体" w:hAnsi="宋体" w:eastAsia="宋体" w:cs="宋体"/>
                <w:color w:val="auto"/>
                <w:szCs w:val="21"/>
                <w:highlight w:val="none"/>
                <w:lang w:val="zh-CN" w:eastAsia="zh-CN"/>
              </w:rPr>
              <w:t>得0分。</w:t>
            </w:r>
          </w:p>
        </w:tc>
      </w:tr>
      <w:tr w14:paraId="6B137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8" w:hRule="atLeast"/>
        </w:trPr>
        <w:tc>
          <w:tcPr>
            <w:tcW w:w="839" w:type="pct"/>
            <w:gridSpan w:val="2"/>
            <w:tcBorders>
              <w:top w:val="single" w:color="auto" w:sz="6" w:space="0"/>
              <w:left w:val="single" w:color="auto" w:sz="6" w:space="0"/>
              <w:bottom w:val="single" w:color="auto" w:sz="6" w:space="0"/>
              <w:right w:val="single" w:color="auto" w:sz="6" w:space="0"/>
            </w:tcBorders>
            <w:vAlign w:val="center"/>
          </w:tcPr>
          <w:p w14:paraId="7D4C0453">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总计</w:t>
            </w:r>
          </w:p>
        </w:tc>
        <w:tc>
          <w:tcPr>
            <w:tcW w:w="470" w:type="pct"/>
            <w:tcBorders>
              <w:top w:val="single" w:color="auto" w:sz="6" w:space="0"/>
              <w:left w:val="single" w:color="auto" w:sz="6" w:space="0"/>
              <w:bottom w:val="single" w:color="auto" w:sz="6" w:space="0"/>
              <w:right w:val="single" w:color="auto" w:sz="6" w:space="0"/>
            </w:tcBorders>
            <w:vAlign w:val="center"/>
          </w:tcPr>
          <w:p w14:paraId="04B5F455">
            <w:pPr>
              <w:wordWrap w:val="0"/>
              <w:topLinePunct/>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3689" w:type="pct"/>
            <w:tcBorders>
              <w:top w:val="single" w:color="auto" w:sz="6" w:space="0"/>
              <w:left w:val="single" w:color="auto" w:sz="6" w:space="0"/>
              <w:bottom w:val="single" w:color="auto" w:sz="6" w:space="0"/>
              <w:right w:val="single" w:color="auto" w:sz="6" w:space="0"/>
            </w:tcBorders>
            <w:vAlign w:val="center"/>
          </w:tcPr>
          <w:p w14:paraId="0E8C3E79">
            <w:pPr>
              <w:wordWrap w:val="0"/>
              <w:topLinePunct/>
              <w:spacing w:line="360" w:lineRule="auto"/>
              <w:jc w:val="center"/>
              <w:rPr>
                <w:rFonts w:hint="eastAsia" w:ascii="宋体" w:hAnsi="宋体" w:eastAsia="宋体" w:cs="宋体"/>
                <w:color w:val="auto"/>
                <w:szCs w:val="21"/>
                <w:highlight w:val="none"/>
              </w:rPr>
            </w:pPr>
          </w:p>
        </w:tc>
      </w:tr>
    </w:tbl>
    <w:p w14:paraId="39103B1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注：本表按百分制评分，所有评委分数汇总后的算术平均值为投标人的得分。分数出现小数点，保留小数点后两位小数，第三位小数四舍五入。</w:t>
      </w:r>
    </w:p>
    <w:p w14:paraId="00D1DA60">
      <w:pPr>
        <w:rPr>
          <w:rFonts w:hint="eastAsia" w:ascii="宋体" w:hAnsi="宋体" w:eastAsia="宋体" w:cs="宋体"/>
          <w:color w:val="auto"/>
          <w:szCs w:val="21"/>
          <w:highlight w:val="none"/>
          <w:lang w:eastAsia="zh-CN"/>
        </w:rPr>
      </w:pPr>
    </w:p>
    <w:p w14:paraId="09C6B542">
      <w:pPr>
        <w:widowControl/>
        <w:jc w:val="left"/>
        <w:rPr>
          <w:rFonts w:hint="eastAsia"/>
          <w:color w:val="auto"/>
          <w:highlight w:val="none"/>
        </w:rPr>
        <w:sectPr>
          <w:pgSz w:w="16838" w:h="11905" w:orient="landscape"/>
          <w:pgMar w:top="1701" w:right="1474" w:bottom="1701" w:left="1474" w:header="720" w:footer="720" w:gutter="0"/>
          <w:cols w:space="720" w:num="1"/>
        </w:sectPr>
      </w:pPr>
      <w:bookmarkStart w:id="220" w:name="_Toc26447"/>
    </w:p>
    <w:p w14:paraId="6B03691B">
      <w:pPr>
        <w:pStyle w:val="3"/>
        <w:rPr>
          <w:color w:val="auto"/>
          <w:sz w:val="32"/>
          <w:szCs w:val="24"/>
          <w:highlight w:val="none"/>
        </w:rPr>
      </w:pPr>
      <w:r>
        <w:rPr>
          <w:rFonts w:hint="eastAsia"/>
          <w:color w:val="auto"/>
          <w:highlight w:val="none"/>
        </w:rPr>
        <w:t>评标办法</w:t>
      </w:r>
      <w:r>
        <w:rPr>
          <w:color w:val="auto"/>
          <w:highlight w:val="none"/>
        </w:rPr>
        <w:t>修改表</w:t>
      </w:r>
      <w:bookmarkEnd w:id="220"/>
    </w:p>
    <w:p w14:paraId="7D508C48">
      <w:pPr>
        <w:pStyle w:val="43"/>
        <w:pBdr>
          <w:bottom w:val="single" w:color="auto" w:sz="6" w:space="1"/>
        </w:pBdr>
        <w:wordWrap w:val="0"/>
        <w:spacing w:after="0" w:line="360" w:lineRule="auto"/>
        <w:ind w:firstLine="0" w:firstLineChars="0"/>
        <w:rPr>
          <w:rFonts w:ascii="宋体" w:hAnsi="宋体"/>
          <w:b/>
          <w:color w:val="auto"/>
          <w:sz w:val="24"/>
          <w:szCs w:val="24"/>
          <w:highlight w:val="none"/>
        </w:rPr>
      </w:pPr>
      <w:r>
        <w:rPr>
          <w:rFonts w:ascii="宋体" w:hAnsi="宋体"/>
          <w:b/>
          <w:color w:val="auto"/>
          <w:sz w:val="24"/>
          <w:szCs w:val="24"/>
          <w:highlight w:val="none"/>
        </w:rPr>
        <w:t>本投标须知使用</w:t>
      </w:r>
      <w:r>
        <w:rPr>
          <w:rFonts w:hint="eastAsia" w:ascii="宋体" w:hAnsi="宋体"/>
          <w:b/>
          <w:color w:val="auto"/>
          <w:sz w:val="24"/>
          <w:szCs w:val="24"/>
          <w:highlight w:val="none"/>
        </w:rPr>
        <w:t>GZJTZB2025-1</w:t>
      </w:r>
      <w:r>
        <w:rPr>
          <w:rFonts w:ascii="宋体" w:hAnsi="宋体"/>
          <w:b/>
          <w:color w:val="auto"/>
          <w:sz w:val="24"/>
          <w:szCs w:val="24"/>
          <w:highlight w:val="none"/>
        </w:rPr>
        <w:t>招标文件范本的</w:t>
      </w:r>
      <w:r>
        <w:rPr>
          <w:rFonts w:hint="eastAsia" w:ascii="宋体" w:hAnsi="宋体"/>
          <w:b/>
          <w:color w:val="auto"/>
          <w:sz w:val="24"/>
          <w:szCs w:val="24"/>
          <w:highlight w:val="none"/>
        </w:rPr>
        <w:t>评标办法</w:t>
      </w:r>
      <w:r>
        <w:rPr>
          <w:rFonts w:ascii="宋体" w:hAnsi="宋体"/>
          <w:b/>
          <w:color w:val="auto"/>
          <w:sz w:val="24"/>
          <w:szCs w:val="24"/>
          <w:highlight w:val="none"/>
        </w:rPr>
        <w:t>条款，与该条款不同之处，均在本表中列明，并以现文为准，原文不再有效。</w:t>
      </w:r>
      <w:r>
        <w:rPr>
          <w:rFonts w:hint="eastAsia" w:ascii="宋体" w:hAnsi="宋体"/>
          <w:bCs/>
          <w:color w:val="auto"/>
          <w:sz w:val="24"/>
          <w:szCs w:val="24"/>
          <w:highlight w:val="none"/>
        </w:rPr>
        <w:t>（注：招标人按《评标办法修改表》修改的内容对应修改通用条款，属于删除的采用“</w:t>
      </w:r>
      <w:r>
        <w:rPr>
          <w:rFonts w:hint="eastAsia" w:ascii="宋体" w:hAnsi="宋体"/>
          <w:bCs/>
          <w:strike/>
          <w:color w:val="auto"/>
          <w:sz w:val="24"/>
          <w:szCs w:val="24"/>
          <w:highlight w:val="none"/>
        </w:rPr>
        <w:t xml:space="preserve">   </w:t>
      </w:r>
      <w:r>
        <w:rPr>
          <w:rFonts w:hint="eastAsia" w:ascii="宋体" w:hAnsi="宋体"/>
          <w:bCs/>
          <w:color w:val="auto"/>
          <w:sz w:val="24"/>
          <w:szCs w:val="24"/>
          <w:highlight w:val="none"/>
        </w:rPr>
        <w:t>”表示，如“</w:t>
      </w:r>
      <w:r>
        <w:rPr>
          <w:rFonts w:hint="eastAsia" w:ascii="宋体" w:hAnsi="宋体"/>
          <w:bCs/>
          <w:strike/>
          <w:color w:val="auto"/>
          <w:sz w:val="24"/>
          <w:szCs w:val="24"/>
          <w:highlight w:val="none"/>
        </w:rPr>
        <w:t>删除</w:t>
      </w:r>
      <w:r>
        <w:rPr>
          <w:rFonts w:hint="eastAsia" w:ascii="宋体" w:hAnsi="宋体"/>
          <w:bCs/>
          <w:color w:val="auto"/>
          <w:sz w:val="24"/>
          <w:szCs w:val="24"/>
          <w:highlight w:val="none"/>
        </w:rPr>
        <w:t>”；属于新增、修改的内容，用</w:t>
      </w:r>
      <w:r>
        <w:rPr>
          <w:rFonts w:hint="eastAsia" w:ascii="宋体" w:hAnsi="宋体"/>
          <w:b/>
          <w:color w:val="auto"/>
          <w:sz w:val="24"/>
          <w:szCs w:val="24"/>
          <w:highlight w:val="none"/>
        </w:rPr>
        <w:t>黑色加粗</w:t>
      </w:r>
      <w:r>
        <w:rPr>
          <w:rFonts w:hint="eastAsia" w:ascii="宋体" w:hAnsi="宋体"/>
          <w:bCs/>
          <w:color w:val="auto"/>
          <w:sz w:val="24"/>
          <w:szCs w:val="24"/>
          <w:highlight w:val="none"/>
        </w:rPr>
        <w:t>字体显示,并加注下划线，如“</w:t>
      </w:r>
      <w:r>
        <w:rPr>
          <w:rFonts w:hint="eastAsia" w:ascii="宋体" w:hAnsi="宋体"/>
          <w:b/>
          <w:color w:val="auto"/>
          <w:sz w:val="24"/>
          <w:szCs w:val="24"/>
          <w:highlight w:val="none"/>
          <w:u w:val="single"/>
        </w:rPr>
        <w:t>新增修改</w:t>
      </w:r>
      <w:r>
        <w:rPr>
          <w:rFonts w:hint="eastAsia" w:ascii="宋体" w:hAnsi="宋体"/>
          <w:bCs/>
          <w:color w:val="auto"/>
          <w:sz w:val="24"/>
          <w:szCs w:val="24"/>
          <w:highlight w:val="none"/>
        </w:rPr>
        <w:t>”。）</w:t>
      </w:r>
    </w:p>
    <w:p w14:paraId="4DCC0A86">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w:t>
      </w:r>
      <w:r>
        <w:rPr>
          <w:rFonts w:ascii="宋体" w:hAnsi="宋体" w:eastAsia="宋体"/>
          <w:b/>
          <w:bCs/>
          <w:color w:val="auto"/>
          <w:sz w:val="24"/>
          <w:szCs w:val="24"/>
          <w:highlight w:val="none"/>
        </w:rPr>
        <w:t xml:space="preserve">           修改类型：修改</w:t>
      </w:r>
    </w:p>
    <w:p w14:paraId="449A9B32">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 评标程序</w:t>
      </w:r>
    </w:p>
    <w:p w14:paraId="3833FC66">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评标活动按以下六个步骤进行：</w:t>
      </w:r>
    </w:p>
    <w:p w14:paraId="4417B4F9">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（1）商务文件初步评审（含商务文件形式评审、商务文件响应性评审）及资格评审；</w:t>
      </w:r>
    </w:p>
    <w:p w14:paraId="2BB2B7FC">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（2）商务文件详细评审；</w:t>
      </w:r>
    </w:p>
    <w:p w14:paraId="5C4D9AD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（3）技术文件初步评审；</w:t>
      </w:r>
    </w:p>
    <w:p w14:paraId="0131A20D">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（4）技术文件详细评审；</w:t>
      </w:r>
    </w:p>
    <w:p w14:paraId="1C06629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（5）揭晓技术文件评审结果；</w:t>
      </w:r>
    </w:p>
    <w:p w14:paraId="7FD5598E">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（6）汇总投标人总得分；</w:t>
      </w:r>
    </w:p>
    <w:p w14:paraId="4054FA44">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（7）推荐中标候选人，提交评标报告。</w:t>
      </w:r>
    </w:p>
    <w:p w14:paraId="6A509405">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3. 评标程序</w:t>
      </w:r>
    </w:p>
    <w:p w14:paraId="1666FBA7">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评标活动按以下</w:t>
      </w:r>
      <w:r>
        <w:rPr>
          <w:rFonts w:hint="eastAsia" w:ascii="宋体" w:hAnsi="宋体" w:eastAsia="宋体"/>
          <w:strike/>
          <w:color w:val="auto"/>
          <w:sz w:val="24"/>
          <w:szCs w:val="24"/>
          <w:highlight w:val="none"/>
        </w:rPr>
        <w:t>六个</w:t>
      </w:r>
      <w:r>
        <w:rPr>
          <w:rFonts w:hint="eastAsia" w:ascii="宋体" w:hAnsi="宋体" w:eastAsia="宋体"/>
          <w:color w:val="auto"/>
          <w:sz w:val="24"/>
          <w:szCs w:val="24"/>
          <w:highlight w:val="none"/>
        </w:rPr>
        <w:t>步骤进行：</w:t>
      </w:r>
    </w:p>
    <w:p w14:paraId="60B19C3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s="宋体"/>
          <w:strike/>
          <w:color w:val="auto"/>
          <w:sz w:val="24"/>
          <w:szCs w:val="24"/>
          <w:highlight w:val="none"/>
        </w:rPr>
        <w:t>商务文件初步评审（含商务文件形式评审、商务文件响应性评审）及资格评审；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olor w:val="auto"/>
          <w:sz w:val="24"/>
          <w:szCs w:val="24"/>
          <w:highlight w:val="none"/>
        </w:rPr>
        <w:t>；</w:t>
      </w:r>
    </w:p>
    <w:p w14:paraId="7D17F29D">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（2）商务文件详细评审；</w:t>
      </w:r>
    </w:p>
    <w:p w14:paraId="24C31C2D">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（3）技术文件初步评审；</w:t>
      </w:r>
    </w:p>
    <w:p w14:paraId="25451ABE">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（4）技术文件详细评审；</w:t>
      </w:r>
    </w:p>
    <w:p w14:paraId="55CBDC99">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（5）揭晓技术文件评审结果；</w:t>
      </w:r>
    </w:p>
    <w:p w14:paraId="427DC2AC">
      <w:pPr>
        <w:wordWrap w:val="0"/>
        <w:spacing w:line="360" w:lineRule="auto"/>
        <w:ind w:firstLine="426" w:firstLineChars="177"/>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（6）报价评审；</w:t>
      </w:r>
    </w:p>
    <w:p w14:paraId="2AD25B98">
      <w:pPr>
        <w:wordWrap w:val="0"/>
        <w:spacing w:line="360" w:lineRule="auto"/>
        <w:ind w:firstLine="426" w:firstLineChars="177"/>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（7）</w:t>
      </w:r>
      <w:r>
        <w:rPr>
          <w:rFonts w:hint="eastAsia" w:ascii="宋体" w:hAnsi="宋体" w:eastAsia="宋体"/>
          <w:color w:val="auto"/>
          <w:sz w:val="24"/>
          <w:szCs w:val="24"/>
          <w:highlight w:val="none"/>
        </w:rPr>
        <w:t>汇总投标人总得分；</w:t>
      </w:r>
    </w:p>
    <w:p w14:paraId="54237419">
      <w:pPr>
        <w:pBdr>
          <w:bottom w:val="single" w:color="auto" w:sz="6" w:space="1"/>
        </w:pBdr>
        <w:wordWrap w:val="0"/>
        <w:spacing w:line="360" w:lineRule="auto"/>
        <w:ind w:firstLine="426" w:firstLineChars="177"/>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（8）</w:t>
      </w:r>
      <w:r>
        <w:rPr>
          <w:rFonts w:hint="eastAsia" w:ascii="宋体" w:hAnsi="宋体" w:eastAsia="宋体"/>
          <w:color w:val="auto"/>
          <w:sz w:val="24"/>
          <w:szCs w:val="24"/>
          <w:highlight w:val="none"/>
        </w:rPr>
        <w:t>推荐中标候选人，提交评标报告。</w:t>
      </w:r>
    </w:p>
    <w:p w14:paraId="4AE8B221">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w:t>
      </w:r>
      <w:r>
        <w:rPr>
          <w:rFonts w:ascii="宋体" w:hAnsi="宋体" w:eastAsia="宋体"/>
          <w:b/>
          <w:bCs/>
          <w:color w:val="auto"/>
          <w:sz w:val="24"/>
          <w:szCs w:val="24"/>
          <w:highlight w:val="none"/>
        </w:rPr>
        <w:t xml:space="preserve">          修改类型：修改</w:t>
      </w:r>
    </w:p>
    <w:p w14:paraId="1CA39B85">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3.1 商务文件初步评审及资格评审</w:t>
      </w:r>
    </w:p>
    <w:p w14:paraId="5979F31D">
      <w:pPr>
        <w:pBdr>
          <w:bottom w:val="single" w:color="auto" w:sz="6" w:space="1"/>
        </w:pBdr>
        <w:wordWrap w:val="0"/>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 xml:space="preserve">3.1 </w:t>
      </w:r>
      <w:r>
        <w:rPr>
          <w:rFonts w:hint="eastAsia" w:ascii="宋体" w:hAnsi="宋体" w:eastAsia="宋体" w:cs="宋体"/>
          <w:b/>
          <w:bCs/>
          <w:strike/>
          <w:color w:val="auto"/>
          <w:spacing w:val="1"/>
          <w:sz w:val="24"/>
          <w:szCs w:val="24"/>
          <w:highlight w:val="none"/>
          <w:lang w:val="zh-CN"/>
        </w:rPr>
        <w:t>商务文件初步评审及资格评审</w:t>
      </w:r>
      <w:r>
        <w:rPr>
          <w:rFonts w:hint="eastAsia" w:ascii="宋体" w:hAnsi="宋体" w:eastAsia="宋体" w:cs="宋体"/>
          <w:b/>
          <w:bCs/>
          <w:color w:val="auto"/>
          <w:spacing w:val="1"/>
          <w:sz w:val="24"/>
          <w:szCs w:val="24"/>
          <w:highlight w:val="none"/>
          <w:u w:val="single"/>
          <w:lang w:val="zh-CN"/>
        </w:rPr>
        <w:t>商务文件形式评审、资格评审、商务文件响应性评审</w:t>
      </w:r>
    </w:p>
    <w:p w14:paraId="4AEEE956">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3.1.1</w:t>
      </w:r>
      <w:r>
        <w:rPr>
          <w:rFonts w:ascii="宋体" w:hAnsi="宋体" w:eastAsia="宋体"/>
          <w:b/>
          <w:bCs/>
          <w:color w:val="auto"/>
          <w:sz w:val="24"/>
          <w:szCs w:val="24"/>
          <w:highlight w:val="none"/>
        </w:rPr>
        <w:t xml:space="preserve">        修改类型：修改</w:t>
      </w:r>
    </w:p>
    <w:p w14:paraId="7E158663">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商务文件、资格审查文件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5FFF80F8">
      <w:pPr>
        <w:pBdr>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w:t>
      </w:r>
      <w:r>
        <w:rPr>
          <w:rFonts w:hint="eastAsia" w:ascii="宋体" w:hAnsi="宋体" w:eastAsia="宋体" w:cs="宋体"/>
          <w:strike/>
          <w:color w:val="auto"/>
          <w:sz w:val="24"/>
          <w:szCs w:val="24"/>
          <w:highlight w:val="none"/>
        </w:rPr>
        <w:t>商务文件、资格审查文件初步评审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。有一项不符合评审标准的，评标委员会应当否决其投标，未能通过</w:t>
      </w:r>
      <w:r>
        <w:rPr>
          <w:rFonts w:hint="eastAsia" w:ascii="宋体" w:hAnsi="宋体" w:eastAsia="宋体" w:cs="宋体"/>
          <w:strike/>
          <w:color w:val="auto"/>
          <w:sz w:val="24"/>
          <w:szCs w:val="24"/>
          <w:highlight w:val="none"/>
        </w:rPr>
        <w:t>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4B037219">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3.1.</w:t>
      </w:r>
      <w:r>
        <w:rPr>
          <w:rFonts w:hint="eastAsia" w:ascii="宋体" w:hAnsi="宋体" w:eastAsia="宋体"/>
          <w:b/>
          <w:bCs/>
          <w:color w:val="auto"/>
          <w:sz w:val="24"/>
          <w:szCs w:val="24"/>
          <w:highlight w:val="none"/>
          <w:lang w:val="en-US" w:eastAsia="zh-CN"/>
        </w:rPr>
        <w:t>3</w:t>
      </w:r>
      <w:r>
        <w:rPr>
          <w:rFonts w:ascii="宋体" w:hAnsi="宋体" w:eastAsia="宋体"/>
          <w:b/>
          <w:bCs/>
          <w:color w:val="auto"/>
          <w:sz w:val="24"/>
          <w:szCs w:val="24"/>
          <w:highlight w:val="none"/>
        </w:rPr>
        <w:t xml:space="preserve">        修改类型：修改</w:t>
      </w:r>
    </w:p>
    <w:p w14:paraId="013B8335">
      <w:pPr>
        <w:wordWrap w:val="0"/>
        <w:spacing w:line="360" w:lineRule="auto"/>
        <w:ind w:firstLine="426" w:firstLineChars="177"/>
        <w:rPr>
          <w:rFonts w:hint="eastAsia" w:ascii="宋体" w:hAnsi="宋体" w:eastAsia="宋体" w:cs="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14:paraId="674703DB">
      <w:pPr>
        <w:wordWrap w:val="0"/>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49CDF753">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s="宋体"/>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7DD6757">
      <w:pPr>
        <w:pBdr>
          <w:bottom w:val="single" w:color="auto" w:sz="6" w:space="1"/>
        </w:pBdr>
        <w:wordWrap w:val="0"/>
        <w:spacing w:line="360" w:lineRule="auto"/>
        <w:ind w:firstLine="426" w:firstLineChars="177"/>
        <w:rPr>
          <w:rFonts w:hint="eastAsia" w:ascii="宋体" w:hAnsi="宋体" w:eastAsia="宋体" w:cs="宋体"/>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14:paraId="1B3071CA">
      <w:pPr>
        <w:numPr>
          <w:ilvl w:val="0"/>
          <w:numId w:val="3"/>
        </w:numPr>
        <w:pBdr>
          <w:bottom w:val="single" w:color="auto" w:sz="6" w:space="1"/>
        </w:pBdr>
        <w:wordWrap w:val="0"/>
        <w:spacing w:line="360" w:lineRule="auto"/>
        <w:ind w:firstLine="424" w:firstLineChars="177"/>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u w:val="none"/>
        </w:rPr>
        <w:t>投标文件中的大写金额与小写金额不一致的，以大写金额为准</w:t>
      </w:r>
      <w:r>
        <w:rPr>
          <w:rFonts w:hint="eastAsia" w:ascii="宋体" w:hAnsi="宋体" w:eastAsia="宋体" w:cs="宋体"/>
          <w:strike/>
          <w:color w:val="auto"/>
          <w:sz w:val="24"/>
          <w:szCs w:val="24"/>
          <w:highlight w:val="none"/>
        </w:rPr>
        <w:t>；</w:t>
      </w:r>
    </w:p>
    <w:p w14:paraId="5B4B1517">
      <w:pPr>
        <w:numPr>
          <w:ilvl w:val="-1"/>
          <w:numId w:val="0"/>
        </w:numPr>
        <w:pBdr>
          <w:bottom w:val="single" w:color="auto" w:sz="6" w:space="1"/>
        </w:pBd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trike/>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8A77A9F">
      <w:pPr>
        <w:pBdr>
          <w:bottom w:val="single" w:color="auto" w:sz="6" w:space="1"/>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）投标报价与投标下浮率不符时，以投标下浮率为准修正投标报价；</w:t>
      </w:r>
    </w:p>
    <w:p w14:paraId="464F78C2">
      <w:pPr>
        <w:pBdr>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）投标总报价与勘察费、设计费投标报价相加不符时，以勘察费、设计费投标报价相加为准修正投标总报价，除非评标委员会认为勘察费、设计费投标报价有明显的小数点错误。</w:t>
      </w:r>
    </w:p>
    <w:p w14:paraId="54A1AA81">
      <w:pPr>
        <w:pStyle w:val="25"/>
        <w:rPr>
          <w:color w:val="auto"/>
          <w:highlight w:val="none"/>
        </w:rPr>
      </w:pPr>
    </w:p>
    <w:p w14:paraId="1DBBE6A4">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3.2.2</w:t>
      </w:r>
      <w:r>
        <w:rPr>
          <w:rFonts w:ascii="宋体" w:hAnsi="宋体" w:eastAsia="宋体"/>
          <w:b/>
          <w:bCs/>
          <w:color w:val="auto"/>
          <w:sz w:val="24"/>
          <w:szCs w:val="24"/>
          <w:highlight w:val="none"/>
        </w:rPr>
        <w:t xml:space="preserve">        修改类型：修改</w:t>
      </w:r>
    </w:p>
    <w:p w14:paraId="56B212C3">
      <w:pPr>
        <w:wordWrap w:val="0"/>
        <w:spacing w:line="360" w:lineRule="auto"/>
        <w:ind w:firstLine="426" w:firstLineChars="177"/>
        <w:rPr>
          <w:rFonts w:ascii="宋体" w:hAnsi="宋体" w:eastAsia="宋体"/>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算术平均值（由招标人自行设置），分数出现小数点，保留小数点后二位，第三位小数四舍五入。</w:t>
      </w:r>
    </w:p>
    <w:p w14:paraId="42FCEF7C">
      <w:pPr>
        <w:wordWrap w:val="0"/>
        <w:spacing w:line="360" w:lineRule="auto"/>
        <w:ind w:firstLine="426" w:firstLineChars="177"/>
        <w:rPr>
          <w:rFonts w:ascii="宋体" w:hAnsi="宋体" w:eastAsia="宋体"/>
          <w:b/>
          <w:bCs/>
          <w:color w:val="auto"/>
          <w:sz w:val="24"/>
          <w:szCs w:val="24"/>
          <w:highlight w:val="none"/>
          <w:u w:val="single"/>
        </w:rPr>
      </w:pPr>
      <w:r>
        <w:rPr>
          <w:rFonts w:ascii="宋体" w:hAnsi="宋体" w:eastAsia="宋体"/>
          <w:b/>
          <w:bCs/>
          <w:color w:val="auto"/>
          <w:sz w:val="24"/>
          <w:szCs w:val="24"/>
          <w:highlight w:val="none"/>
        </w:rPr>
        <w:t>现文：</w:t>
      </w: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w:t>
      </w:r>
      <w:r>
        <w:rPr>
          <w:rFonts w:hint="eastAsia" w:ascii="宋体" w:hAnsi="宋体" w:eastAsia="宋体" w:cs="宋体"/>
          <w:b w:val="0"/>
          <w:bCs w:val="0"/>
          <w:color w:val="auto"/>
          <w:sz w:val="24"/>
          <w:szCs w:val="24"/>
          <w:highlight w:val="none"/>
          <w:u w:val="none"/>
        </w:rPr>
        <w:t>算术平均值</w:t>
      </w:r>
      <w:r>
        <w:rPr>
          <w:rFonts w:hint="eastAsia" w:ascii="宋体" w:hAnsi="宋体" w:eastAsia="宋体" w:cs="宋体"/>
          <w:strike/>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14:paraId="251653AA">
      <w:pPr>
        <w:pBdr>
          <w:top w:val="single" w:color="auto" w:sz="6" w:space="1"/>
          <w:bottom w:val="single" w:color="auto" w:sz="6" w:space="1"/>
        </w:pBdr>
        <w:wordWrap w:val="0"/>
        <w:spacing w:line="360" w:lineRule="auto"/>
        <w:ind w:firstLine="426" w:firstLineChars="177"/>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条款号：3.4.2        修改类型：修改</w:t>
      </w:r>
    </w:p>
    <w:p w14:paraId="6B575613">
      <w:pPr>
        <w:pBdr>
          <w:top w:val="single" w:color="auto" w:sz="6" w:space="1"/>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3.4.2 评标委员会按本章第2.2款规定的评审因素计算各投标人技术文件的得分B，（以下两种方法招标人自行选择）①技术文件评审得分B为从各评标专家打分中去掉一个最高分和去掉一个最低分后的剩余评标专家打分的算术平均值；②技术文件评审得分B为各评标专家打分的算术平均值，分数出现小数点，保留小数点后二位，第三位小数四舍五入。</w:t>
      </w:r>
    </w:p>
    <w:p w14:paraId="73780BA1">
      <w:pPr>
        <w:pBdr>
          <w:top w:val="single" w:color="auto" w:sz="6" w:space="1"/>
          <w:bottom w:val="single" w:color="auto" w:sz="6" w:space="1"/>
        </w:pBdr>
        <w:wordWrap w:val="0"/>
        <w:spacing w:line="360" w:lineRule="auto"/>
        <w:ind w:firstLine="426" w:firstLineChars="177"/>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3.4.2 评标委员会按本章第2.2款规定的评审因素计算各投标人技术文件的得分B，</w:t>
      </w:r>
      <w:r>
        <w:rPr>
          <w:rFonts w:hint="eastAsia" w:ascii="宋体" w:hAnsi="宋体" w:eastAsia="宋体" w:cs="宋体"/>
          <w:strike/>
          <w:color w:val="auto"/>
          <w:sz w:val="24"/>
          <w:szCs w:val="24"/>
          <w:highlight w:val="none"/>
        </w:rPr>
        <w:t>（以下两种方法招标人自行选择）①技术文件评审得分B为从各评标专家打分中去掉一个最高分和去掉一个最低分后的剩余评标专家打分的算术平均值；②</w:t>
      </w:r>
      <w:r>
        <w:rPr>
          <w:rFonts w:hint="eastAsia" w:ascii="宋体" w:hAnsi="宋体" w:eastAsia="宋体" w:cs="宋体"/>
          <w:color w:val="auto"/>
          <w:sz w:val="24"/>
          <w:szCs w:val="24"/>
          <w:highlight w:val="none"/>
        </w:rPr>
        <w:t>技术文件评审得分B为各评标专家打分的算术平均值，分数出现小数点，保留小数点后二位，第三位小数四舍五入。</w:t>
      </w:r>
    </w:p>
    <w:p w14:paraId="3641EB26">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条款号：</w:t>
      </w:r>
      <w:r>
        <w:rPr>
          <w:rFonts w:hint="eastAsia" w:ascii="宋体" w:hAnsi="宋体" w:eastAsia="宋体"/>
          <w:b/>
          <w:bCs/>
          <w:color w:val="auto"/>
          <w:sz w:val="24"/>
          <w:szCs w:val="24"/>
          <w:highlight w:val="none"/>
        </w:rPr>
        <w:t>3.6</w:t>
      </w:r>
      <w:r>
        <w:rPr>
          <w:rFonts w:ascii="宋体" w:hAnsi="宋体" w:eastAsia="宋体"/>
          <w:b/>
          <w:bCs/>
          <w:color w:val="auto"/>
          <w:sz w:val="24"/>
          <w:szCs w:val="24"/>
          <w:highlight w:val="none"/>
        </w:rPr>
        <w:t xml:space="preserve">        修改类型：修改</w:t>
      </w:r>
    </w:p>
    <w:p w14:paraId="00384CBA">
      <w:pP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原文：</w:t>
      </w:r>
      <w:r>
        <w:rPr>
          <w:rFonts w:hint="eastAsia" w:ascii="宋体" w:hAnsi="宋体" w:eastAsia="宋体"/>
          <w:b/>
          <w:bCs/>
          <w:color w:val="auto"/>
          <w:sz w:val="24"/>
          <w:szCs w:val="24"/>
          <w:highlight w:val="none"/>
        </w:rPr>
        <w:t>3.6 汇总投标人总得分</w:t>
      </w:r>
    </w:p>
    <w:p w14:paraId="227240B5">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3.6.1 评标委员会按本章第2.2款规定的量化因素和分值进行打分，并计算出综合得分。</w:t>
      </w:r>
    </w:p>
    <w:p w14:paraId="30DB4818">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（1）按本章第2.2.4（1）目规定的评审因素和分值对商务文件部分计算出得分A；</w:t>
      </w:r>
    </w:p>
    <w:p w14:paraId="2EF9B303">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（2）按本章第2.2.4（2）目规定的评审因素和分值对技术文件部分计算出得分B；</w:t>
      </w:r>
    </w:p>
    <w:p w14:paraId="5B276051">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（3）按本章第2.2.4（3）目规定的评审因素和分值对投标报价计算出得分C；</w:t>
      </w:r>
    </w:p>
    <w:p w14:paraId="215515D0">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（4）按本章第2.2.4（4）目规定的评审因素和分值对其他部分计算出得分D。</w:t>
      </w:r>
    </w:p>
    <w:p w14:paraId="780A56FD">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3.6.2 评分分值计算保留小数点后两位，小数点后第三位“四舍五入”。</w:t>
      </w:r>
    </w:p>
    <w:p w14:paraId="627F4875">
      <w:pP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3.6.3 投标人得分=A+B+C+D。</w:t>
      </w:r>
    </w:p>
    <w:p w14:paraId="41728F48">
      <w:pPr>
        <w:pBdr>
          <w:bottom w:val="single" w:color="auto" w:sz="6" w:space="1"/>
        </w:pBdr>
        <w:wordWrap w:val="0"/>
        <w:spacing w:line="360" w:lineRule="auto"/>
        <w:ind w:firstLine="426" w:firstLineChars="177"/>
        <w:rPr>
          <w:rFonts w:ascii="宋体" w:hAnsi="宋体" w:eastAsia="宋体"/>
          <w:b/>
          <w:bCs/>
          <w:color w:val="auto"/>
          <w:sz w:val="24"/>
          <w:szCs w:val="24"/>
          <w:highlight w:val="none"/>
        </w:rPr>
      </w:pPr>
      <w:r>
        <w:rPr>
          <w:rFonts w:ascii="宋体" w:hAnsi="宋体" w:eastAsia="宋体"/>
          <w:b/>
          <w:bCs/>
          <w:color w:val="auto"/>
          <w:sz w:val="24"/>
          <w:szCs w:val="24"/>
          <w:highlight w:val="none"/>
        </w:rPr>
        <w:t>现文：</w:t>
      </w:r>
      <w:r>
        <w:rPr>
          <w:rFonts w:hint="eastAsia" w:ascii="宋体" w:hAnsi="宋体" w:eastAsia="宋体"/>
          <w:b/>
          <w:bCs/>
          <w:color w:val="auto"/>
          <w:sz w:val="24"/>
          <w:szCs w:val="24"/>
          <w:highlight w:val="none"/>
        </w:rPr>
        <w:t xml:space="preserve">3.6 </w:t>
      </w:r>
      <w:r>
        <w:rPr>
          <w:rFonts w:hint="eastAsia" w:ascii="宋体" w:hAnsi="宋体" w:eastAsia="宋体" w:cs="宋体"/>
          <w:b/>
          <w:bCs/>
          <w:strike/>
          <w:color w:val="auto"/>
          <w:spacing w:val="1"/>
          <w:sz w:val="24"/>
          <w:szCs w:val="24"/>
          <w:highlight w:val="none"/>
        </w:rPr>
        <w:t>汇总投标人总得分</w:t>
      </w:r>
      <w:r>
        <w:rPr>
          <w:rFonts w:hint="eastAsia" w:ascii="宋体" w:hAnsi="宋体" w:eastAsia="宋体" w:cs="宋体"/>
          <w:b/>
          <w:bCs/>
          <w:strike w:val="0"/>
          <w:color w:val="auto"/>
          <w:spacing w:val="1"/>
          <w:sz w:val="24"/>
          <w:szCs w:val="24"/>
          <w:highlight w:val="none"/>
          <w:u w:val="single"/>
        </w:rPr>
        <w:t>报价评审及</w:t>
      </w:r>
      <w:r>
        <w:rPr>
          <w:rFonts w:hint="eastAsia" w:ascii="宋体" w:hAnsi="宋体" w:eastAsia="宋体" w:cs="宋体"/>
          <w:b/>
          <w:bCs/>
          <w:strike w:val="0"/>
          <w:color w:val="auto"/>
          <w:spacing w:val="1"/>
          <w:sz w:val="24"/>
          <w:szCs w:val="24"/>
          <w:highlight w:val="none"/>
        </w:rPr>
        <w:t>汇总投标人总得分</w:t>
      </w:r>
    </w:p>
    <w:p w14:paraId="4DED2971">
      <w:pPr>
        <w:pBdr>
          <w:bottom w:val="single" w:color="auto" w:sz="6" w:space="1"/>
        </w:pBdr>
        <w:wordWrap w:val="0"/>
        <w:spacing w:line="360" w:lineRule="auto"/>
        <w:ind w:firstLine="424" w:firstLineChars="177"/>
        <w:rPr>
          <w:rFonts w:hint="eastAsia" w:ascii="宋体" w:hAnsi="宋体" w:eastAsia="宋体"/>
          <w:strike/>
          <w:color w:val="auto"/>
          <w:sz w:val="24"/>
          <w:szCs w:val="24"/>
          <w:highlight w:val="none"/>
        </w:rPr>
      </w:pPr>
      <w:r>
        <w:rPr>
          <w:rFonts w:hint="eastAsia" w:ascii="宋体" w:hAnsi="宋体" w:eastAsia="宋体"/>
          <w:color w:val="auto"/>
          <w:sz w:val="24"/>
          <w:szCs w:val="24"/>
          <w:highlight w:val="none"/>
        </w:rPr>
        <w:t>3.6.1</w:t>
      </w:r>
      <w:r>
        <w:rPr>
          <w:rFonts w:hint="eastAsia" w:ascii="宋体" w:hAnsi="宋体" w:eastAsia="宋体"/>
          <w:strike/>
          <w:color w:val="auto"/>
          <w:sz w:val="24"/>
          <w:szCs w:val="24"/>
          <w:highlight w:val="none"/>
        </w:rPr>
        <w:t>评标委员会按本章第2.2款规定的量化因素和分值进行打分，并计算出综合得分。</w:t>
      </w:r>
    </w:p>
    <w:p w14:paraId="56475ECF">
      <w:pPr>
        <w:pBdr>
          <w:bottom w:val="single" w:color="auto" w:sz="6" w:space="1"/>
        </w:pBdr>
        <w:wordWrap w:val="0"/>
        <w:spacing w:line="360" w:lineRule="auto"/>
        <w:ind w:firstLine="424" w:firstLineChars="177"/>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（1）按本章第2.2.4（1）目规定的评审因素和分值对商务文件部分计算出得分A；</w:t>
      </w:r>
    </w:p>
    <w:p w14:paraId="6C7D12DD">
      <w:pPr>
        <w:pBdr>
          <w:bottom w:val="single" w:color="auto" w:sz="6" w:space="1"/>
        </w:pBdr>
        <w:wordWrap w:val="0"/>
        <w:spacing w:line="360" w:lineRule="auto"/>
        <w:ind w:firstLine="424" w:firstLineChars="177"/>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（2）按本章第2.2.4（2）目规定的评审因素和分值对技术文件部分计算出得分B；</w:t>
      </w:r>
    </w:p>
    <w:p w14:paraId="6347E899">
      <w:pPr>
        <w:pBdr>
          <w:bottom w:val="single" w:color="auto" w:sz="6" w:space="1"/>
        </w:pBdr>
        <w:wordWrap w:val="0"/>
        <w:spacing w:line="360" w:lineRule="auto"/>
        <w:ind w:firstLine="424" w:firstLineChars="177"/>
        <w:rPr>
          <w:rFonts w:hint="eastAsia" w:ascii="宋体" w:hAnsi="宋体" w:eastAsia="宋体"/>
          <w:strike/>
          <w:color w:val="auto"/>
          <w:sz w:val="24"/>
          <w:szCs w:val="24"/>
          <w:highlight w:val="none"/>
        </w:rPr>
      </w:pPr>
      <w:r>
        <w:rPr>
          <w:rFonts w:hint="eastAsia" w:ascii="宋体" w:hAnsi="宋体" w:eastAsia="宋体"/>
          <w:strike/>
          <w:color w:val="auto"/>
          <w:sz w:val="24"/>
          <w:szCs w:val="24"/>
          <w:highlight w:val="none"/>
        </w:rPr>
        <w:t>（3）按本章第2.2.4（3）目规定的评审因素和分值对投标报价计算出得分C；</w:t>
      </w:r>
    </w:p>
    <w:p w14:paraId="35034E52">
      <w:pPr>
        <w:pBdr>
          <w:bottom w:val="single" w:color="auto" w:sz="6" w:space="1"/>
        </w:pBd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strike/>
          <w:color w:val="auto"/>
          <w:sz w:val="24"/>
          <w:szCs w:val="24"/>
          <w:highlight w:val="none"/>
        </w:rPr>
        <w:t>（4）按本章第2.2.4（4）目规定的评审因素和分值对其他部分计算出得分D。</w:t>
      </w:r>
      <w:r>
        <w:rPr>
          <w:rFonts w:hint="eastAsia" w:ascii="宋体" w:hAnsi="宋体" w:eastAsia="宋体"/>
          <w:color w:val="auto"/>
          <w:sz w:val="24"/>
          <w:szCs w:val="24"/>
          <w:highlight w:val="none"/>
          <w:lang w:val="en-US" w:eastAsia="zh-CN"/>
        </w:rPr>
        <w:t xml:space="preserve">    </w:t>
      </w:r>
      <w:r>
        <w:rPr>
          <w:rFonts w:hint="eastAsia" w:ascii="宋体" w:hAnsi="宋体" w:eastAsia="宋体"/>
          <w:b/>
          <w:bCs/>
          <w:color w:val="auto"/>
          <w:sz w:val="24"/>
          <w:szCs w:val="24"/>
          <w:highlight w:val="none"/>
          <w:u w:val="single"/>
        </w:rPr>
        <w:t>报价评审，评标委员会按本章第2.2款规定的评审因素计算各投标人投标报价的得分C，分数出现小数点，保留小数点后二位，第三位小数四舍五入。</w:t>
      </w:r>
    </w:p>
    <w:p w14:paraId="713440EE">
      <w:pPr>
        <w:pBdr>
          <w:bottom w:val="single" w:color="auto" w:sz="6" w:space="1"/>
        </w:pBdr>
        <w:wordWrap w:val="0"/>
        <w:spacing w:line="360" w:lineRule="auto"/>
        <w:ind w:firstLine="424" w:firstLineChars="177"/>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3.6.2 </w:t>
      </w:r>
      <w:r>
        <w:rPr>
          <w:rFonts w:hint="eastAsia" w:ascii="宋体" w:hAnsi="宋体" w:eastAsia="宋体"/>
          <w:strike/>
          <w:color w:val="auto"/>
          <w:sz w:val="24"/>
          <w:szCs w:val="24"/>
          <w:highlight w:val="none"/>
        </w:rPr>
        <w:t>评分分值计算保留小数点后两位，小数点后第三位“四舍五入”。</w:t>
      </w:r>
      <w:r>
        <w:rPr>
          <w:rFonts w:hint="eastAsia" w:ascii="宋体" w:hAnsi="宋体" w:eastAsia="宋体"/>
          <w:b/>
          <w:bCs/>
          <w:color w:val="auto"/>
          <w:sz w:val="24"/>
          <w:szCs w:val="24"/>
          <w:highlight w:val="none"/>
          <w:u w:val="single"/>
        </w:rPr>
        <w:t>评标委员会按本章第2.2.1款的规定汇总各投标人的总得分。</w:t>
      </w:r>
    </w:p>
    <w:p w14:paraId="4941DE83">
      <w:pPr>
        <w:pBdr>
          <w:bottom w:val="single" w:color="auto" w:sz="6" w:space="1"/>
        </w:pBdr>
        <w:wordWrap w:val="0"/>
        <w:spacing w:line="360" w:lineRule="auto"/>
        <w:ind w:firstLine="424" w:firstLineChars="177"/>
        <w:rPr>
          <w:rFonts w:ascii="宋体" w:hAnsi="宋体" w:eastAsia="宋体"/>
          <w:color w:val="auto"/>
          <w:sz w:val="24"/>
          <w:szCs w:val="24"/>
          <w:highlight w:val="none"/>
        </w:rPr>
      </w:pPr>
      <w:r>
        <w:rPr>
          <w:rFonts w:hint="eastAsia" w:ascii="宋体" w:hAnsi="宋体" w:eastAsia="宋体"/>
          <w:strike/>
          <w:color w:val="auto"/>
          <w:sz w:val="24"/>
          <w:szCs w:val="24"/>
          <w:highlight w:val="none"/>
        </w:rPr>
        <w:t xml:space="preserve">3.6.3 投标人得分=A+B+C+D。 </w:t>
      </w:r>
    </w:p>
    <w:p w14:paraId="1911C803">
      <w:pPr>
        <w:wordWrap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注：以上修改，仅限于本范本中有可供选择条款的情形。</w:t>
      </w:r>
    </w:p>
    <w:p w14:paraId="3AAEBD33">
      <w:pPr>
        <w:widowControl/>
        <w:wordWrap w:val="0"/>
        <w:spacing w:line="360" w:lineRule="auto"/>
        <w:jc w:val="left"/>
        <w:rPr>
          <w:rFonts w:ascii="宋体" w:hAnsi="宋体" w:eastAsia="宋体" w:cs="宋体"/>
          <w:color w:val="auto"/>
          <w:szCs w:val="24"/>
          <w:highlight w:val="none"/>
        </w:rPr>
      </w:pPr>
      <w:r>
        <w:rPr>
          <w:rFonts w:ascii="宋体" w:hAnsi="宋体" w:eastAsia="宋体"/>
          <w:color w:val="auto"/>
          <w:sz w:val="24"/>
          <w:szCs w:val="24"/>
          <w:highlight w:val="none"/>
        </w:rPr>
        <w:t>（以下无正文）</w:t>
      </w:r>
      <w:r>
        <w:rPr>
          <w:rFonts w:ascii="宋体" w:hAnsi="宋体" w:eastAsia="宋体" w:cs="宋体"/>
          <w:color w:val="auto"/>
          <w:szCs w:val="24"/>
          <w:highlight w:val="none"/>
        </w:rPr>
        <w:br w:type="page"/>
      </w:r>
    </w:p>
    <w:p w14:paraId="4FC1A4F7">
      <w:pPr>
        <w:keepNext/>
        <w:keepLines/>
        <w:wordWrap w:val="0"/>
        <w:spacing w:before="260" w:line="416" w:lineRule="auto"/>
        <w:outlineLvl w:val="2"/>
        <w:rPr>
          <w:rFonts w:ascii="宋体" w:hAnsi="宋体" w:eastAsia="宋体" w:cs="宋体"/>
          <w:b/>
          <w:bCs/>
          <w:color w:val="auto"/>
          <w:spacing w:val="1"/>
          <w:sz w:val="28"/>
          <w:szCs w:val="32"/>
          <w:highlight w:val="none"/>
          <w:lang w:val="zh-CN"/>
        </w:rPr>
        <w:sectPr>
          <w:type w:val="continuous"/>
          <w:pgSz w:w="11905" w:h="16838"/>
          <w:pgMar w:top="1474" w:right="1701" w:bottom="1474" w:left="1701" w:header="720" w:footer="720" w:gutter="0"/>
          <w:cols w:space="720" w:num="1"/>
        </w:sectPr>
      </w:pPr>
    </w:p>
    <w:p w14:paraId="6FA80FB3">
      <w:pPr>
        <w:keepNext/>
        <w:keepLines/>
        <w:wordWrap w:val="0"/>
        <w:spacing w:line="360" w:lineRule="auto"/>
        <w:jc w:val="left"/>
        <w:outlineLvl w:val="1"/>
        <w:rPr>
          <w:rFonts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1. 评标方法</w:t>
      </w:r>
    </w:p>
    <w:p w14:paraId="3DAE0EE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按照评标办法前附表的规定确定中标候选人顺序。</w:t>
      </w:r>
    </w:p>
    <w:p w14:paraId="0F2AF3C3">
      <w:pPr>
        <w:wordWrap w:val="0"/>
        <w:spacing w:line="360" w:lineRule="auto"/>
        <w:ind w:firstLine="480" w:firstLineChars="200"/>
        <w:rPr>
          <w:rFonts w:ascii="宋体" w:hAnsi="宋体" w:eastAsia="宋体" w:cs="宋体"/>
          <w:color w:val="auto"/>
          <w:sz w:val="24"/>
          <w:szCs w:val="24"/>
          <w:highlight w:val="none"/>
        </w:rPr>
      </w:pPr>
    </w:p>
    <w:p w14:paraId="320F3FAA">
      <w:pPr>
        <w:keepNext/>
        <w:keepLines/>
        <w:wordWrap w:val="0"/>
        <w:spacing w:line="360" w:lineRule="auto"/>
        <w:jc w:val="left"/>
        <w:outlineLvl w:val="1"/>
        <w:rPr>
          <w:rFonts w:ascii="宋体" w:hAnsi="宋体" w:eastAsia="宋体" w:cs="宋体"/>
          <w:b/>
          <w:bCs/>
          <w:color w:val="auto"/>
          <w:spacing w:val="1"/>
          <w:kern w:val="0"/>
          <w:sz w:val="30"/>
          <w:szCs w:val="30"/>
          <w:highlight w:val="none"/>
          <w:lang w:val="zh-CN"/>
        </w:rPr>
      </w:pPr>
      <w:r>
        <w:rPr>
          <w:rFonts w:hint="eastAsia" w:ascii="宋体" w:hAnsi="宋体" w:eastAsia="宋体" w:cs="宋体"/>
          <w:b/>
          <w:bCs/>
          <w:color w:val="auto"/>
          <w:spacing w:val="1"/>
          <w:kern w:val="0"/>
          <w:sz w:val="30"/>
          <w:szCs w:val="30"/>
          <w:highlight w:val="none"/>
          <w:lang w:val="zh-CN"/>
        </w:rPr>
        <w:t>2. 评审标准</w:t>
      </w:r>
    </w:p>
    <w:p w14:paraId="5A791864">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sz w:val="28"/>
          <w:szCs w:val="32"/>
          <w:highlight w:val="none"/>
          <w:lang w:val="zh-CN"/>
        </w:rPr>
        <w:t>2.1 初步评审标准</w:t>
      </w:r>
    </w:p>
    <w:p w14:paraId="591369F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商务文件形式评审标准：见评标办法前附表。</w:t>
      </w:r>
    </w:p>
    <w:p w14:paraId="15DCF03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资格评审标准：见评标办法前附表。</w:t>
      </w:r>
    </w:p>
    <w:p w14:paraId="415BACE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2.1.3（1）商务文件响应性评审标准：见评标办法前附表。</w:t>
      </w:r>
    </w:p>
    <w:p w14:paraId="19AED30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2.1.3（2）技术文件初步评审标准：见评标办法前附表。</w:t>
      </w:r>
    </w:p>
    <w:p w14:paraId="24525CA9">
      <w:pPr>
        <w:wordWrap w:val="0"/>
        <w:spacing w:line="360" w:lineRule="auto"/>
        <w:ind w:firstLine="480" w:firstLineChars="200"/>
        <w:rPr>
          <w:rFonts w:ascii="宋体" w:hAnsi="宋体" w:eastAsia="宋体" w:cs="宋体"/>
          <w:color w:val="auto"/>
          <w:sz w:val="24"/>
          <w:szCs w:val="24"/>
          <w:highlight w:val="none"/>
        </w:rPr>
      </w:pPr>
    </w:p>
    <w:p w14:paraId="6272FA01">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sz w:val="28"/>
          <w:szCs w:val="32"/>
          <w:highlight w:val="none"/>
          <w:lang w:val="zh-CN"/>
        </w:rPr>
        <w:t>2.2 分值构成与评分标准</w:t>
      </w:r>
    </w:p>
    <w:p w14:paraId="11F52B5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5532FE3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（1）商务文件部分：见评标办法前附表；</w:t>
      </w:r>
    </w:p>
    <w:p w14:paraId="4D28749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（2）技术文件部分：见评标办法前附表；</w:t>
      </w:r>
    </w:p>
    <w:p w14:paraId="3360FEE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（3）投标报价：见评标办法前附表；</w:t>
      </w:r>
    </w:p>
    <w:p w14:paraId="691FF92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（4）其他评分因素：见评标办法前附表。</w:t>
      </w:r>
    </w:p>
    <w:p w14:paraId="41C7674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 评标基准价计算</w:t>
      </w:r>
    </w:p>
    <w:p w14:paraId="0A1D505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评标基准价计算方法：见评标办法前附表。</w:t>
      </w:r>
    </w:p>
    <w:p w14:paraId="70725D7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 投标报价的偏差率计算</w:t>
      </w:r>
    </w:p>
    <w:p w14:paraId="1F2754D2">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投标报价的偏差率计算公式：见评标办法前附表。</w:t>
      </w:r>
    </w:p>
    <w:p w14:paraId="6D03A1E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 评分标准</w:t>
      </w:r>
    </w:p>
    <w:p w14:paraId="39C6EDB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（1）商务文件评分标准：见评标办法前附表；</w:t>
      </w:r>
    </w:p>
    <w:p w14:paraId="6DF6DC9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（2）技术文件评分标准：见评标办法前附表；</w:t>
      </w:r>
    </w:p>
    <w:p w14:paraId="7382D0F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（3）投标报价评分标准：见评标办法前附表；</w:t>
      </w:r>
    </w:p>
    <w:p w14:paraId="0D13009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（4）其他因素评分标准：见评标办法前附表。</w:t>
      </w:r>
    </w:p>
    <w:p w14:paraId="22294FAE">
      <w:pPr>
        <w:wordWrap w:val="0"/>
        <w:spacing w:line="360" w:lineRule="auto"/>
        <w:ind w:firstLine="480" w:firstLineChars="200"/>
        <w:rPr>
          <w:rFonts w:ascii="宋体" w:hAnsi="宋体" w:eastAsia="宋体" w:cs="宋体"/>
          <w:strike/>
          <w:color w:val="auto"/>
          <w:sz w:val="24"/>
          <w:szCs w:val="24"/>
          <w:highlight w:val="none"/>
        </w:rPr>
      </w:pPr>
    </w:p>
    <w:p w14:paraId="177C93C8">
      <w:pPr>
        <w:keepNext/>
        <w:keepLines/>
        <w:pBdr>
          <w:top w:val="none" w:color="auto" w:sz="0" w:space="0"/>
          <w:left w:val="none" w:color="auto" w:sz="0" w:space="0"/>
          <w:bottom w:val="none" w:color="auto" w:sz="0" w:space="0"/>
          <w:right w:val="none" w:color="auto" w:sz="0" w:space="0"/>
          <w:between w:val="none" w:color="auto" w:sz="0" w:space="0"/>
        </w:pBdr>
        <w:wordWrap w:val="0"/>
        <w:spacing w:line="360" w:lineRule="auto"/>
        <w:jc w:val="left"/>
        <w:outlineLvl w:val="1"/>
        <w:rPr>
          <w:rFonts w:ascii="宋体" w:hAnsi="宋体" w:eastAsia="宋体" w:cs="宋体"/>
          <w:b/>
          <w:bCs/>
          <w:color w:val="auto"/>
          <w:spacing w:val="1"/>
          <w:kern w:val="0"/>
          <w:sz w:val="30"/>
          <w:szCs w:val="30"/>
          <w:highlight w:val="none"/>
          <w:lang w:val="zh-CN"/>
        </w:rPr>
      </w:pPr>
      <w:r>
        <w:rPr>
          <w:rFonts w:hint="eastAsia" w:ascii="宋体" w:hAnsi="宋体" w:eastAsia="宋体" w:cs="宋体"/>
          <w:b/>
          <w:bCs/>
          <w:color w:val="auto"/>
          <w:spacing w:val="1"/>
          <w:kern w:val="0"/>
          <w:sz w:val="30"/>
          <w:szCs w:val="30"/>
          <w:highlight w:val="none"/>
          <w:lang w:val="zh-CN"/>
        </w:rPr>
        <w:t>3. 评标程序</w:t>
      </w:r>
    </w:p>
    <w:p w14:paraId="58C7ACF0">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评标活动按以下</w:t>
      </w:r>
      <w:r>
        <w:rPr>
          <w:rFonts w:hint="eastAsia" w:ascii="宋体" w:hAnsi="宋体" w:eastAsia="宋体" w:cs="宋体"/>
          <w:strike/>
          <w:color w:val="auto"/>
          <w:sz w:val="24"/>
          <w:szCs w:val="24"/>
          <w:highlight w:val="none"/>
        </w:rPr>
        <w:t>六个</w:t>
      </w:r>
      <w:r>
        <w:rPr>
          <w:rFonts w:hint="eastAsia" w:ascii="宋体" w:hAnsi="宋体" w:eastAsia="宋体" w:cs="宋体"/>
          <w:color w:val="auto"/>
          <w:sz w:val="24"/>
          <w:szCs w:val="24"/>
          <w:highlight w:val="none"/>
        </w:rPr>
        <w:t>步骤进行：</w:t>
      </w:r>
    </w:p>
    <w:p w14:paraId="52E23B44">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24" w:firstLineChars="1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trike/>
          <w:color w:val="auto"/>
          <w:sz w:val="24"/>
          <w:szCs w:val="24"/>
          <w:highlight w:val="none"/>
        </w:rPr>
        <w:t>商务文件初步评审（含商务文件形式评审、商务文件响应性评审）及资格评审；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olor w:val="auto"/>
          <w:sz w:val="24"/>
          <w:szCs w:val="24"/>
          <w:highlight w:val="none"/>
        </w:rPr>
        <w:t>；</w:t>
      </w:r>
    </w:p>
    <w:p w14:paraId="3699047E">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（2）商务文件详细评审；</w:t>
      </w:r>
    </w:p>
    <w:p w14:paraId="3E5C122C">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（3）技术文件初步评审；</w:t>
      </w:r>
    </w:p>
    <w:p w14:paraId="08003EE4">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（4）技术文件详细评审；</w:t>
      </w:r>
    </w:p>
    <w:p w14:paraId="01EB4409">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（5）揭晓技术文件评审结果；</w:t>
      </w:r>
    </w:p>
    <w:p w14:paraId="23D2BD97">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2" w:firstLineChars="200"/>
        <w:rPr>
          <w:rFonts w:ascii="宋体" w:hAnsi="宋体" w:eastAsia="宋体"/>
          <w:b/>
          <w:bCs/>
          <w:color w:val="auto"/>
          <w:sz w:val="24"/>
          <w:szCs w:val="24"/>
          <w:highlight w:val="none"/>
          <w:u w:val="single"/>
        </w:rPr>
      </w:pPr>
      <w:bookmarkStart w:id="221" w:name="OLE_LINK53"/>
      <w:r>
        <w:rPr>
          <w:rFonts w:hint="eastAsia" w:ascii="宋体" w:hAnsi="宋体" w:eastAsia="宋体"/>
          <w:b/>
          <w:bCs/>
          <w:color w:val="auto"/>
          <w:sz w:val="24"/>
          <w:szCs w:val="24"/>
          <w:highlight w:val="none"/>
          <w:u w:val="single"/>
        </w:rPr>
        <w:t>（6）报价评审；</w:t>
      </w:r>
    </w:p>
    <w:p w14:paraId="28CEA20A">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（7）</w:t>
      </w:r>
      <w:r>
        <w:rPr>
          <w:rFonts w:hint="eastAsia" w:ascii="宋体" w:hAnsi="宋体" w:eastAsia="宋体"/>
          <w:color w:val="auto"/>
          <w:sz w:val="24"/>
          <w:szCs w:val="24"/>
          <w:highlight w:val="none"/>
        </w:rPr>
        <w:t>汇总投标人总得分；</w:t>
      </w:r>
    </w:p>
    <w:p w14:paraId="35AC4D59">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2" w:firstLineChars="200"/>
        <w:rPr>
          <w:rFonts w:ascii="宋体" w:hAnsi="宋体" w:eastAsia="宋体"/>
          <w:color w:val="auto"/>
          <w:sz w:val="24"/>
          <w:szCs w:val="24"/>
          <w:highlight w:val="none"/>
        </w:rPr>
      </w:pPr>
      <w:r>
        <w:rPr>
          <w:rFonts w:hint="eastAsia" w:ascii="宋体" w:hAnsi="宋体" w:eastAsia="宋体"/>
          <w:b/>
          <w:bCs/>
          <w:color w:val="auto"/>
          <w:sz w:val="24"/>
          <w:szCs w:val="24"/>
          <w:highlight w:val="none"/>
          <w:u w:val="single"/>
        </w:rPr>
        <w:t>（8）</w:t>
      </w:r>
      <w:r>
        <w:rPr>
          <w:rFonts w:hint="eastAsia" w:ascii="宋体" w:hAnsi="宋体" w:eastAsia="宋体"/>
          <w:color w:val="auto"/>
          <w:sz w:val="24"/>
          <w:szCs w:val="24"/>
          <w:highlight w:val="none"/>
        </w:rPr>
        <w:t>推荐中标候选人，提交评标报告。</w:t>
      </w:r>
    </w:p>
    <w:bookmarkEnd w:id="221"/>
    <w:p w14:paraId="5DCE10D1">
      <w:pPr>
        <w:keepNext/>
        <w:keepLines/>
        <w:pBdr>
          <w:top w:val="none" w:color="auto" w:sz="0" w:space="0"/>
          <w:left w:val="none" w:color="auto" w:sz="0" w:space="0"/>
          <w:bottom w:val="none" w:color="auto" w:sz="0" w:space="0"/>
          <w:right w:val="none" w:color="auto" w:sz="0" w:space="0"/>
          <w:between w:val="none" w:color="auto" w:sz="0" w:space="0"/>
        </w:pBdr>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sz w:val="28"/>
          <w:szCs w:val="32"/>
          <w:highlight w:val="none"/>
          <w:lang w:val="zh-CN"/>
        </w:rPr>
        <w:t xml:space="preserve">3.1 </w:t>
      </w:r>
      <w:r>
        <w:rPr>
          <w:rFonts w:hint="eastAsia" w:ascii="宋体" w:hAnsi="宋体" w:eastAsia="宋体" w:cs="宋体"/>
          <w:b/>
          <w:bCs/>
          <w:strike/>
          <w:color w:val="auto"/>
          <w:spacing w:val="1"/>
          <w:sz w:val="28"/>
          <w:szCs w:val="32"/>
          <w:highlight w:val="none"/>
          <w:lang w:val="zh-CN"/>
        </w:rPr>
        <w:t>商务文件初步评审及资格评审</w:t>
      </w:r>
      <w:r>
        <w:rPr>
          <w:rFonts w:hint="eastAsia" w:ascii="宋体" w:hAnsi="宋体" w:eastAsia="宋体" w:cs="宋体"/>
          <w:b/>
          <w:bCs/>
          <w:color w:val="auto"/>
          <w:spacing w:val="1"/>
          <w:sz w:val="28"/>
          <w:szCs w:val="32"/>
          <w:highlight w:val="none"/>
          <w:u w:val="single"/>
          <w:lang w:val="zh-CN"/>
        </w:rPr>
        <w:t>商务文件形式评审、资格评审、商务文件响应性评审</w:t>
      </w:r>
    </w:p>
    <w:p w14:paraId="71E94C37">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 评标委员会如认为有必要，可以要求投标人提交第二章“投标人须知”规定的有关证明和证件的原件，以便核验。评标委员会依据本章第2.1款规定的标准对投标文件进行</w:t>
      </w:r>
      <w:r>
        <w:rPr>
          <w:rFonts w:hint="eastAsia" w:ascii="宋体" w:hAnsi="宋体" w:eastAsia="宋体" w:cs="宋体"/>
          <w:strike/>
          <w:color w:val="auto"/>
          <w:sz w:val="24"/>
          <w:szCs w:val="24"/>
          <w:highlight w:val="none"/>
        </w:rPr>
        <w:t>商务文件、资格审查文件初步评审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。有一项不符合评审标准的，评标委员会应当否决其投标，未能通过</w:t>
      </w:r>
      <w:r>
        <w:rPr>
          <w:rFonts w:hint="eastAsia" w:ascii="宋体" w:hAnsi="宋体" w:eastAsia="宋体" w:cs="宋体"/>
          <w:strike/>
          <w:color w:val="auto"/>
          <w:sz w:val="24"/>
          <w:szCs w:val="24"/>
          <w:highlight w:val="none"/>
        </w:rPr>
        <w:t>初步评审</w:t>
      </w:r>
      <w:r>
        <w:rPr>
          <w:rFonts w:hint="eastAsia" w:ascii="宋体" w:hAnsi="宋体" w:eastAsia="宋体"/>
          <w:b/>
          <w:bCs/>
          <w:color w:val="auto"/>
          <w:sz w:val="24"/>
          <w:szCs w:val="24"/>
          <w:highlight w:val="none"/>
          <w:u w:val="single"/>
        </w:rPr>
        <w:t>商务文件形式评审、资格评审、商务文件响应性评审</w:t>
      </w:r>
      <w:r>
        <w:rPr>
          <w:rFonts w:hint="eastAsia" w:ascii="宋体" w:hAnsi="宋体" w:eastAsia="宋体" w:cs="宋体"/>
          <w:color w:val="auto"/>
          <w:sz w:val="24"/>
          <w:szCs w:val="24"/>
          <w:highlight w:val="none"/>
        </w:rPr>
        <w:t>的投标人，其投标不再参与后续的评审程序。如果有否决投标提议，则评标委员会成员共同表决，按照少数服从多数的原则决定是否否决其投标。若有效投标不足3个的，或当N个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1A443A8A">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3.1.1.1 商务文件形式评审：</w:t>
      </w:r>
    </w:p>
    <w:p w14:paraId="39DEE00A">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评标委员会根据评标办法前附表中规定的评审因素和评审标准，对投标人的商务文件进行形式评审。通过商务文件形式评审的投标文件方可参加下一阶段评审程序。</w:t>
      </w:r>
    </w:p>
    <w:p w14:paraId="61DEE9C4">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3.1.1.2 资格评审：</w:t>
      </w:r>
    </w:p>
    <w:p w14:paraId="3E61ECB4">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评标委员会根据评标办法前附表中的规定的评审因素和评审标准，对投标人的资格审查文件进行资格评审。通过资格评审的投标文件方可参加下一阶段评审程序。</w:t>
      </w:r>
    </w:p>
    <w:p w14:paraId="39C4C227">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3.1.1.3 商务文件响应性评审：</w:t>
      </w:r>
    </w:p>
    <w:p w14:paraId="47211C56">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评标委员会根据评标办法前附表中规定的评审因素和评审标准，对投标人的商务文件进行响应性评审。通过商务文件响应性评审的投标文件方可参加下一阶段评审程序。</w:t>
      </w:r>
    </w:p>
    <w:p w14:paraId="7BED0EFD">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3.1.2 投标人有以下情形之一的，评标委员会应当否决其投标：</w:t>
      </w:r>
    </w:p>
    <w:p w14:paraId="116C4FCF">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（1）投标文件没有对招标文件的实质性要求和条件作出响应，或者对招标文件的偏差超出招标文件规定的偏差范围或最高项数；</w:t>
      </w:r>
    </w:p>
    <w:p w14:paraId="17B10BA2">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（2）有串通投标、弄虚作假、行贿等违法行为。</w:t>
      </w:r>
    </w:p>
    <w:p w14:paraId="73794931">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招标人设置了成本警示价的，对于低于成本警示价的投标报价，投标人必须提供详细的单价、措施等分析供评标委员会评审，由评标委员会判定其是否低于企业自身成本。在评标过程中，评标委员会发现投标人的报价明显低于其他投标报价或者低于成本警示价，使得其投标报价可能低于个别成本的，应当要求该投标人作出书面说明并提供相关证明材料。投标人不能合理说明或者不能提供相关说明材料的，由评标委员会认定该投标人以低于成本报价竞标，应当否决其投标。</w:t>
      </w:r>
    </w:p>
    <w:p w14:paraId="18EF0401">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（4）评标办法规定的其他应当否决其投标的情形。</w:t>
      </w:r>
    </w:p>
    <w:p w14:paraId="7FB6D2C1">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14:paraId="4A378F51">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（1）投标文件中的大写金额与小写金额不一致的，以大写金额为准；</w:t>
      </w:r>
    </w:p>
    <w:p w14:paraId="24955A19">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5B7DDFA1">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26" w:firstLineChars="177"/>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）投标报价与投标下浮率不符时，以投标下浮率为准修正投标报价；</w:t>
      </w:r>
    </w:p>
    <w:p w14:paraId="202539D6">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26" w:firstLineChars="1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）投标总报价与勘察费</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设计费投标报价</w:t>
      </w:r>
      <w:r>
        <w:rPr>
          <w:rFonts w:hint="eastAsia" w:ascii="宋体" w:hAnsi="宋体" w:eastAsia="宋体" w:cs="宋体"/>
          <w:b/>
          <w:bCs/>
          <w:color w:val="auto"/>
          <w:sz w:val="24"/>
          <w:szCs w:val="24"/>
          <w:highlight w:val="none"/>
          <w:u w:val="single"/>
          <w:lang w:val="en-US" w:eastAsia="zh-CN"/>
        </w:rPr>
        <w:t>相加</w:t>
      </w:r>
      <w:r>
        <w:rPr>
          <w:rFonts w:hint="eastAsia" w:ascii="宋体" w:hAnsi="宋体" w:eastAsia="宋体" w:cs="宋体"/>
          <w:b/>
          <w:bCs/>
          <w:color w:val="auto"/>
          <w:sz w:val="24"/>
          <w:szCs w:val="24"/>
          <w:highlight w:val="none"/>
          <w:u w:val="single"/>
        </w:rPr>
        <w:t>不符时，以勘察费</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设计费投标报价</w:t>
      </w:r>
      <w:r>
        <w:rPr>
          <w:rFonts w:hint="eastAsia" w:ascii="宋体" w:hAnsi="宋体" w:eastAsia="宋体" w:cs="宋体"/>
          <w:b/>
          <w:bCs/>
          <w:color w:val="auto"/>
          <w:sz w:val="24"/>
          <w:szCs w:val="24"/>
          <w:highlight w:val="none"/>
          <w:u w:val="single"/>
          <w:lang w:val="en-US" w:eastAsia="zh-CN"/>
        </w:rPr>
        <w:t>相加</w:t>
      </w:r>
      <w:r>
        <w:rPr>
          <w:rFonts w:hint="eastAsia" w:ascii="宋体" w:hAnsi="宋体" w:eastAsia="宋体" w:cs="宋体"/>
          <w:b/>
          <w:bCs/>
          <w:color w:val="auto"/>
          <w:sz w:val="24"/>
          <w:szCs w:val="24"/>
          <w:highlight w:val="none"/>
          <w:u w:val="single"/>
        </w:rPr>
        <w:t>为准修正投标总报价</w:t>
      </w:r>
      <w:r>
        <w:rPr>
          <w:rFonts w:hint="eastAsia" w:ascii="宋体" w:hAnsi="宋体" w:eastAsia="宋体" w:cs="宋体"/>
          <w:b/>
          <w:bCs/>
          <w:color w:val="auto"/>
          <w:sz w:val="24"/>
          <w:szCs w:val="24"/>
          <w:highlight w:val="none"/>
          <w:u w:val="single"/>
          <w:lang w:eastAsia="zh-CN"/>
        </w:rPr>
        <w:t>，除非评标委员会认为</w:t>
      </w:r>
      <w:r>
        <w:rPr>
          <w:rFonts w:hint="eastAsia" w:ascii="宋体" w:hAnsi="宋体" w:eastAsia="宋体" w:cs="宋体"/>
          <w:b/>
          <w:bCs/>
          <w:color w:val="auto"/>
          <w:sz w:val="24"/>
          <w:szCs w:val="24"/>
          <w:highlight w:val="none"/>
          <w:u w:val="single"/>
        </w:rPr>
        <w:t>勘察费</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设计费投标报价</w:t>
      </w:r>
      <w:r>
        <w:rPr>
          <w:rFonts w:hint="eastAsia" w:ascii="宋体" w:hAnsi="宋体" w:eastAsia="宋体" w:cs="宋体"/>
          <w:b/>
          <w:bCs/>
          <w:color w:val="auto"/>
          <w:sz w:val="24"/>
          <w:szCs w:val="24"/>
          <w:highlight w:val="none"/>
          <w:u w:val="single"/>
          <w:lang w:eastAsia="zh-CN"/>
        </w:rPr>
        <w:t>有明显的小数点错误</w:t>
      </w:r>
      <w:r>
        <w:rPr>
          <w:rFonts w:hint="eastAsia" w:ascii="宋体" w:hAnsi="宋体" w:eastAsia="宋体" w:cs="宋体"/>
          <w:b/>
          <w:bCs/>
          <w:color w:val="auto"/>
          <w:sz w:val="24"/>
          <w:szCs w:val="24"/>
          <w:highlight w:val="none"/>
          <w:u w:val="single"/>
        </w:rPr>
        <w:t>。</w:t>
      </w:r>
    </w:p>
    <w:p w14:paraId="56243E42">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24" w:firstLineChars="1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3.1.4 评标委员会不得将文件顺序、明显文字错误等列为否决投标的情形，评标委员会发现投标文件含义不明确、对同类问题表述不一致、有明显格式或文字、计算错误、投标报价可能低于成本影响履约的，应当要求投标人作必要的澄清、说明或补正后再判定投标人是否通过审查，不得直接否决投标。评标委员会不接受投标人主动提出的澄清、说明或补正。</w:t>
      </w:r>
    </w:p>
    <w:p w14:paraId="2223350D">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3.1.5 有效投标不足三个的，评标委员会应当对投标是否明显缺乏竞争和是否需要否决全部投标进行充分论证，并在评标报告中记载论证过程和结果。</w:t>
      </w:r>
    </w:p>
    <w:p w14:paraId="7C5B703B">
      <w:pPr>
        <w:pBdr>
          <w:top w:val="none" w:color="auto" w:sz="0" w:space="0"/>
          <w:left w:val="none" w:color="auto" w:sz="0" w:space="0"/>
          <w:bottom w:val="none" w:color="auto" w:sz="0" w:space="0"/>
          <w:right w:val="none" w:color="auto" w:sz="0" w:space="0"/>
          <w:between w:val="none" w:color="auto" w:sz="0" w:space="0"/>
        </w:pBd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3.1.6 若评标委员会各成员对否决投标意见不一致时，则按少数服从多数的原则作出评审结论。持有不同意见的评标委员会成员应书面记录本人意见后上传至评标系统，招标人应对评标委员会的意见合法、合理性进行确认。</w:t>
      </w:r>
    </w:p>
    <w:p w14:paraId="669E1BBF">
      <w:pPr>
        <w:wordWrap w:val="0"/>
        <w:spacing w:line="360" w:lineRule="auto"/>
        <w:ind w:firstLine="480" w:firstLineChars="200"/>
        <w:rPr>
          <w:rFonts w:ascii="宋体" w:hAnsi="宋体" w:eastAsia="宋体" w:cs="宋体"/>
          <w:color w:val="auto"/>
          <w:sz w:val="24"/>
          <w:szCs w:val="24"/>
          <w:highlight w:val="none"/>
        </w:rPr>
      </w:pPr>
    </w:p>
    <w:p w14:paraId="438D5427">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sz w:val="28"/>
          <w:szCs w:val="32"/>
          <w:highlight w:val="none"/>
          <w:lang w:val="zh-CN"/>
        </w:rPr>
        <w:t>3.2 商务文件详细评审</w:t>
      </w:r>
    </w:p>
    <w:p w14:paraId="536FA58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3.2.1 评标委员会按本章第2.2款规定的量化因素和分值进行打分，并计算出综合得分。</w:t>
      </w:r>
    </w:p>
    <w:p w14:paraId="0B7007BE">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3.2.2 评标委员会按本章第2.2.4（1）款规定的评审因素和分值计算各投标人商务文件的得分A，商务文件的评审得分A为各评标专家打分的算术平均值</w:t>
      </w:r>
      <w:r>
        <w:rPr>
          <w:rFonts w:hint="eastAsia" w:ascii="宋体" w:hAnsi="宋体" w:eastAsia="宋体" w:cs="宋体"/>
          <w:strike/>
          <w:color w:val="auto"/>
          <w:sz w:val="24"/>
          <w:szCs w:val="24"/>
          <w:highlight w:val="none"/>
        </w:rPr>
        <w:t>（由招标人自行设置）</w:t>
      </w:r>
      <w:r>
        <w:rPr>
          <w:rFonts w:hint="eastAsia" w:ascii="宋体" w:hAnsi="宋体" w:eastAsia="宋体" w:cs="宋体"/>
          <w:color w:val="auto"/>
          <w:sz w:val="24"/>
          <w:szCs w:val="24"/>
          <w:highlight w:val="none"/>
        </w:rPr>
        <w:t>，分数出现小数点，保留小数点后二位，第三位小数四舍五入。</w:t>
      </w:r>
    </w:p>
    <w:p w14:paraId="0DFF8DFB">
      <w:pPr>
        <w:wordWrap w:val="0"/>
        <w:spacing w:line="360" w:lineRule="auto"/>
        <w:ind w:firstLine="480" w:firstLineChars="200"/>
        <w:rPr>
          <w:rFonts w:ascii="宋体" w:hAnsi="宋体" w:eastAsia="宋体" w:cs="宋体"/>
          <w:color w:val="auto"/>
          <w:sz w:val="24"/>
          <w:szCs w:val="24"/>
          <w:highlight w:val="none"/>
          <w:u w:val="single"/>
        </w:rPr>
      </w:pPr>
    </w:p>
    <w:p w14:paraId="4397CE8C">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sz w:val="28"/>
          <w:szCs w:val="32"/>
          <w:highlight w:val="none"/>
        </w:rPr>
        <w:t>3.3</w:t>
      </w:r>
      <w:r>
        <w:rPr>
          <w:rFonts w:ascii="宋体" w:hAnsi="宋体" w:eastAsia="宋体" w:cs="宋体"/>
          <w:b/>
          <w:bCs/>
          <w:color w:val="auto"/>
          <w:spacing w:val="1"/>
          <w:sz w:val="28"/>
          <w:szCs w:val="32"/>
          <w:highlight w:val="none"/>
        </w:rPr>
        <w:t xml:space="preserve"> </w:t>
      </w:r>
      <w:r>
        <w:rPr>
          <w:rFonts w:hint="eastAsia" w:ascii="宋体" w:hAnsi="宋体" w:eastAsia="宋体" w:cs="宋体"/>
          <w:b/>
          <w:bCs/>
          <w:color w:val="auto"/>
          <w:spacing w:val="1"/>
          <w:sz w:val="28"/>
          <w:szCs w:val="32"/>
          <w:highlight w:val="none"/>
          <w:lang w:val="zh-CN"/>
        </w:rPr>
        <w:t>技术文件初步评审</w:t>
      </w:r>
    </w:p>
    <w:p w14:paraId="40D16DE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3.3.1 评标委员会依据本章第2.1.3（2）款规定的标准对投标文件进行技术文件初步评审。有一项不符合评审标准的，评标委员会应当否决其投标，未能通过技术文件初步评审的投标文件不能参加下一阶段评审程序。</w:t>
      </w:r>
    </w:p>
    <w:p w14:paraId="0C84EA97">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3.3.2 评标时若遇不可抗力发生（如：网络瘫痪、服务器损坏、交易系统故障短期无法恢复等因素），由评标委员会开启现场递交的全部备用投标文件光盘，并按备用光盘内容进行评审。</w:t>
      </w:r>
    </w:p>
    <w:p w14:paraId="2548DA4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3.3.3 技术文件光盘、保密文件光盘接收时不得启封，当符合上款条件需要对技术文件进行评审时，由交易服务机构见证人对技术文件光盘启封密封袋并编号，参与开标、评标的其他人员应当回避，完成编号后送交评标委员会进行评审。评标结果揭晓前，负责编号的工作人员不得向他人透露投标文件编号的情况。在完成技术文件评审后，由交易服务机构见证人和评标委员会共同开启保密文件光盘密封袋揭晓投标人身份。</w:t>
      </w:r>
    </w:p>
    <w:p w14:paraId="19EEBC89">
      <w:pPr>
        <w:wordWrap w:val="0"/>
        <w:spacing w:line="360" w:lineRule="auto"/>
        <w:ind w:firstLine="480" w:firstLineChars="200"/>
        <w:rPr>
          <w:rFonts w:ascii="宋体" w:hAnsi="宋体" w:eastAsia="宋体" w:cs="宋体"/>
          <w:color w:val="auto"/>
          <w:sz w:val="24"/>
          <w:szCs w:val="24"/>
          <w:highlight w:val="none"/>
          <w:u w:val="single"/>
        </w:rPr>
      </w:pPr>
    </w:p>
    <w:p w14:paraId="0C5D21BC">
      <w:pPr>
        <w:keepNext/>
        <w:keepLines/>
        <w:wordWrap w:val="0"/>
        <w:spacing w:before="260" w:line="416" w:lineRule="auto"/>
        <w:outlineLvl w:val="2"/>
        <w:rPr>
          <w:rFonts w:ascii="宋体" w:hAnsi="宋体" w:eastAsia="宋体" w:cs="宋体"/>
          <w:b/>
          <w:bCs/>
          <w:color w:val="auto"/>
          <w:spacing w:val="1"/>
          <w:sz w:val="28"/>
          <w:szCs w:val="32"/>
          <w:highlight w:val="none"/>
        </w:rPr>
      </w:pPr>
      <w:r>
        <w:rPr>
          <w:rFonts w:hint="eastAsia" w:ascii="宋体" w:hAnsi="宋体" w:eastAsia="宋体" w:cs="宋体"/>
          <w:b/>
          <w:bCs/>
          <w:color w:val="auto"/>
          <w:spacing w:val="1"/>
          <w:sz w:val="28"/>
          <w:szCs w:val="32"/>
          <w:highlight w:val="none"/>
        </w:rPr>
        <w:t>3.4 技术文件详细评审</w:t>
      </w:r>
    </w:p>
    <w:p w14:paraId="1027DD5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3.4.1 评标委员会按本章第2.2款规定的量化因素和分值进行打分，并计算出综合得分。</w:t>
      </w:r>
    </w:p>
    <w:p w14:paraId="33840365">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3.4.2 评标委员会按本章第2.2款规定的评审因素计算各投标人技术文件的得分B，</w:t>
      </w:r>
      <w:r>
        <w:rPr>
          <w:rFonts w:hint="eastAsia" w:ascii="宋体" w:hAnsi="宋体" w:eastAsia="宋体" w:cs="宋体"/>
          <w:strike/>
          <w:color w:val="auto"/>
          <w:sz w:val="24"/>
          <w:szCs w:val="24"/>
          <w:highlight w:val="none"/>
        </w:rPr>
        <w:t>（以下两种方法招标人自行选择）①技术文件评审得分B为从各评标专家打分中去掉一个最高分和去掉一个最低分后的剩余评标专家打分的算术平均值；②</w:t>
      </w:r>
      <w:r>
        <w:rPr>
          <w:rFonts w:hint="eastAsia" w:ascii="宋体" w:hAnsi="宋体" w:eastAsia="宋体" w:cs="宋体"/>
          <w:color w:val="auto"/>
          <w:sz w:val="24"/>
          <w:szCs w:val="24"/>
          <w:highlight w:val="none"/>
        </w:rPr>
        <w:t>技术文件评审得分B为各评标专家打分的算术平均值，分数出现小数点，保留小数点后二位，第三位小数四舍五入。</w:t>
      </w:r>
    </w:p>
    <w:p w14:paraId="68E17AC5">
      <w:pPr>
        <w:wordWrap w:val="0"/>
        <w:spacing w:line="360" w:lineRule="auto"/>
        <w:ind w:firstLine="480" w:firstLineChars="200"/>
        <w:rPr>
          <w:rFonts w:ascii="宋体" w:hAnsi="宋体" w:eastAsia="宋体" w:cs="宋体"/>
          <w:color w:val="auto"/>
          <w:sz w:val="24"/>
          <w:szCs w:val="24"/>
          <w:highlight w:val="none"/>
          <w:u w:val="single"/>
        </w:rPr>
      </w:pPr>
    </w:p>
    <w:p w14:paraId="14AA7263">
      <w:pPr>
        <w:keepNext/>
        <w:keepLines/>
        <w:wordWrap w:val="0"/>
        <w:spacing w:before="260" w:line="416" w:lineRule="auto"/>
        <w:outlineLvl w:val="2"/>
        <w:rPr>
          <w:rFonts w:ascii="宋体" w:hAnsi="宋体" w:eastAsia="宋体" w:cs="宋体"/>
          <w:b/>
          <w:bCs/>
          <w:color w:val="auto"/>
          <w:spacing w:val="1"/>
          <w:sz w:val="28"/>
          <w:szCs w:val="32"/>
          <w:highlight w:val="none"/>
        </w:rPr>
      </w:pPr>
      <w:r>
        <w:rPr>
          <w:rFonts w:hint="eastAsia" w:ascii="宋体" w:hAnsi="宋体" w:eastAsia="宋体" w:cs="宋体"/>
          <w:b/>
          <w:bCs/>
          <w:color w:val="auto"/>
          <w:spacing w:val="1"/>
          <w:sz w:val="28"/>
          <w:szCs w:val="32"/>
          <w:highlight w:val="none"/>
        </w:rPr>
        <w:t>3.5 揭晓技术文件评审结果</w:t>
      </w:r>
    </w:p>
    <w:p w14:paraId="5D2C9318">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3.5.1 由评标委员会在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电子交易系统揭晓，系统自动形成暗标编码表显示各投标单位对应的编码，并由评标委员会确认投标人技术文件的评审得分。</w:t>
      </w:r>
    </w:p>
    <w:p w14:paraId="10E62979">
      <w:pPr>
        <w:keepNext/>
        <w:keepLines/>
        <w:wordWrap w:val="0"/>
        <w:spacing w:before="260" w:line="416" w:lineRule="auto"/>
        <w:outlineLvl w:val="2"/>
        <w:rPr>
          <w:rFonts w:ascii="宋体" w:hAnsi="宋体" w:eastAsia="宋体" w:cs="宋体"/>
          <w:b/>
          <w:bCs/>
          <w:color w:val="auto"/>
          <w:spacing w:val="1"/>
          <w:sz w:val="28"/>
          <w:szCs w:val="32"/>
          <w:highlight w:val="none"/>
        </w:rPr>
      </w:pPr>
      <w:r>
        <w:rPr>
          <w:rFonts w:hint="eastAsia" w:ascii="宋体" w:hAnsi="宋体" w:eastAsia="宋体" w:cs="宋体"/>
          <w:b/>
          <w:bCs/>
          <w:color w:val="auto"/>
          <w:spacing w:val="1"/>
          <w:sz w:val="28"/>
          <w:szCs w:val="32"/>
          <w:highlight w:val="none"/>
        </w:rPr>
        <w:t>3.</w:t>
      </w:r>
      <w:r>
        <w:rPr>
          <w:rFonts w:ascii="宋体" w:hAnsi="宋体" w:eastAsia="宋体" w:cs="宋体"/>
          <w:b/>
          <w:bCs/>
          <w:color w:val="auto"/>
          <w:spacing w:val="1"/>
          <w:sz w:val="28"/>
          <w:szCs w:val="32"/>
          <w:highlight w:val="none"/>
        </w:rPr>
        <w:t>6</w:t>
      </w:r>
      <w:r>
        <w:rPr>
          <w:rFonts w:hint="eastAsia" w:ascii="宋体" w:hAnsi="宋体" w:eastAsia="宋体" w:cs="宋体"/>
          <w:b/>
          <w:bCs/>
          <w:color w:val="auto"/>
          <w:spacing w:val="1"/>
          <w:sz w:val="28"/>
          <w:szCs w:val="32"/>
          <w:highlight w:val="none"/>
        </w:rPr>
        <w:t xml:space="preserve"> </w:t>
      </w:r>
      <w:r>
        <w:rPr>
          <w:rFonts w:hint="eastAsia" w:ascii="宋体" w:hAnsi="宋体" w:eastAsia="宋体" w:cs="宋体"/>
          <w:b/>
          <w:bCs/>
          <w:strike/>
          <w:color w:val="auto"/>
          <w:spacing w:val="1"/>
          <w:sz w:val="28"/>
          <w:szCs w:val="32"/>
          <w:highlight w:val="none"/>
        </w:rPr>
        <w:t>汇总投标人总得分</w:t>
      </w:r>
      <w:r>
        <w:rPr>
          <w:rFonts w:hint="eastAsia" w:ascii="宋体" w:hAnsi="宋体" w:eastAsia="宋体" w:cs="宋体"/>
          <w:b/>
          <w:bCs/>
          <w:strike w:val="0"/>
          <w:color w:val="auto"/>
          <w:spacing w:val="1"/>
          <w:sz w:val="28"/>
          <w:szCs w:val="32"/>
          <w:highlight w:val="none"/>
          <w:u w:val="single"/>
        </w:rPr>
        <w:t>报价评审及</w:t>
      </w:r>
      <w:r>
        <w:rPr>
          <w:rFonts w:hint="eastAsia" w:ascii="宋体" w:hAnsi="宋体" w:eastAsia="宋体" w:cs="宋体"/>
          <w:b/>
          <w:bCs/>
          <w:strike w:val="0"/>
          <w:color w:val="auto"/>
          <w:spacing w:val="1"/>
          <w:sz w:val="28"/>
          <w:szCs w:val="32"/>
          <w:highlight w:val="none"/>
        </w:rPr>
        <w:t>汇总投标人总得分</w:t>
      </w:r>
    </w:p>
    <w:p w14:paraId="7B12D0B1">
      <w:pPr>
        <w:wordWrap w:val="0"/>
        <w:spacing w:line="360" w:lineRule="auto"/>
        <w:ind w:firstLine="480" w:firstLineChars="200"/>
        <w:rPr>
          <w:rFonts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strike/>
          <w:color w:val="auto"/>
          <w:sz w:val="24"/>
          <w:szCs w:val="24"/>
          <w:highlight w:val="none"/>
        </w:rPr>
        <w:t>评标委员会按本章第2.2款规定的量化因素和分值进行打分，并计算出综合得分。</w:t>
      </w:r>
    </w:p>
    <w:p w14:paraId="5E1C57B0">
      <w:pPr>
        <w:wordWrap w:val="0"/>
        <w:spacing w:line="360" w:lineRule="auto"/>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（1）按本章第2.2.4（1）目规定的评审因素和分值对商务文件部分计算出得分A；</w:t>
      </w:r>
    </w:p>
    <w:p w14:paraId="450F3ADC">
      <w:pPr>
        <w:wordWrap w:val="0"/>
        <w:spacing w:line="360" w:lineRule="auto"/>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（2）按本章第2.2.4（2）目规定的评审因素和分值对技术文件部分计算出得分B；</w:t>
      </w:r>
    </w:p>
    <w:p w14:paraId="206E9933">
      <w:pPr>
        <w:wordWrap w:val="0"/>
        <w:spacing w:line="360" w:lineRule="auto"/>
        <w:ind w:firstLine="480" w:firstLineChars="200"/>
        <w:rPr>
          <w:rFonts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（3）按本章第2.2.4（3）目规定的评审因素和分值对投标报价计算出得分C；</w:t>
      </w:r>
    </w:p>
    <w:p w14:paraId="0F4B34C9">
      <w:pPr>
        <w:wordWrap w:val="0"/>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（4）按本章第2.2.4（4）目规定的评审因素和分值对其他部分计算出得分D。</w:t>
      </w:r>
    </w:p>
    <w:p w14:paraId="2F2D4590">
      <w:pPr>
        <w:wordWrap w:val="0"/>
        <w:spacing w:line="360" w:lineRule="auto"/>
        <w:ind w:firstLine="482" w:firstLineChars="200"/>
        <w:rPr>
          <w:rFonts w:hint="eastAsia" w:ascii="宋体" w:hAnsi="宋体" w:eastAsia="宋体" w:cs="宋体"/>
          <w:strike/>
          <w:color w:val="auto"/>
          <w:sz w:val="24"/>
          <w:szCs w:val="24"/>
          <w:highlight w:val="none"/>
        </w:rPr>
      </w:pPr>
      <w:r>
        <w:rPr>
          <w:rFonts w:hint="eastAsia" w:ascii="宋体" w:hAnsi="宋体" w:eastAsia="宋体"/>
          <w:b/>
          <w:bCs/>
          <w:color w:val="auto"/>
          <w:sz w:val="24"/>
          <w:szCs w:val="24"/>
          <w:highlight w:val="none"/>
          <w:u w:val="single"/>
        </w:rPr>
        <w:t>报价评审，评标委员会按本章第2.2款规定的评审因素计算各投标人</w:t>
      </w:r>
      <w:r>
        <w:rPr>
          <w:rFonts w:hint="eastAsia" w:ascii="宋体" w:hAnsi="宋体" w:eastAsia="宋体"/>
          <w:b/>
          <w:bCs/>
          <w:color w:val="auto"/>
          <w:sz w:val="24"/>
          <w:szCs w:val="24"/>
          <w:highlight w:val="none"/>
          <w:u w:val="single"/>
          <w:lang w:val="en-US" w:eastAsia="zh-CN"/>
        </w:rPr>
        <w:t>投标报价</w:t>
      </w:r>
      <w:r>
        <w:rPr>
          <w:rFonts w:hint="eastAsia" w:ascii="宋体" w:hAnsi="宋体" w:eastAsia="宋体"/>
          <w:b/>
          <w:bCs/>
          <w:color w:val="auto"/>
          <w:sz w:val="24"/>
          <w:szCs w:val="24"/>
          <w:highlight w:val="none"/>
          <w:u w:val="single"/>
        </w:rPr>
        <w:t>的得分C，分数出现小数点，保留小数点后二位，第三位小数四舍五入。</w:t>
      </w:r>
    </w:p>
    <w:p w14:paraId="474B0A0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strike/>
          <w:color w:val="auto"/>
          <w:sz w:val="24"/>
          <w:szCs w:val="24"/>
          <w:highlight w:val="none"/>
        </w:rPr>
        <w:t>评分分值计算保留小数点后两位，小数点后第三位“四舍五入”。</w:t>
      </w:r>
      <w:r>
        <w:rPr>
          <w:rFonts w:hint="eastAsia" w:ascii="宋体" w:hAnsi="宋体" w:eastAsia="宋体" w:cs="宋体"/>
          <w:b/>
          <w:bCs/>
          <w:color w:val="auto"/>
          <w:sz w:val="24"/>
          <w:szCs w:val="24"/>
          <w:highlight w:val="none"/>
          <w:u w:val="single"/>
        </w:rPr>
        <w:t>评标委员会按本章第</w:t>
      </w:r>
      <w:r>
        <w:rPr>
          <w:rFonts w:ascii="宋体" w:hAnsi="宋体" w:eastAsia="宋体" w:cs="宋体"/>
          <w:b/>
          <w:bCs/>
          <w:color w:val="auto"/>
          <w:sz w:val="24"/>
          <w:szCs w:val="24"/>
          <w:highlight w:val="none"/>
          <w:u w:val="single"/>
        </w:rPr>
        <w:t>2.2.1款的规定汇总各</w:t>
      </w:r>
      <w:r>
        <w:rPr>
          <w:rFonts w:hint="eastAsia" w:ascii="宋体" w:hAnsi="宋体" w:eastAsia="宋体" w:cs="宋体"/>
          <w:b/>
          <w:bCs/>
          <w:color w:val="auto"/>
          <w:sz w:val="24"/>
          <w:szCs w:val="24"/>
          <w:highlight w:val="none"/>
          <w:u w:val="single"/>
        </w:rPr>
        <w:t>投标人</w:t>
      </w:r>
      <w:r>
        <w:rPr>
          <w:rFonts w:ascii="宋体" w:hAnsi="宋体" w:eastAsia="宋体" w:cs="宋体"/>
          <w:b/>
          <w:bCs/>
          <w:color w:val="auto"/>
          <w:sz w:val="24"/>
          <w:szCs w:val="24"/>
          <w:highlight w:val="none"/>
          <w:u w:val="single"/>
        </w:rPr>
        <w:t>的总得分。</w:t>
      </w:r>
    </w:p>
    <w:p w14:paraId="3211755C">
      <w:pPr>
        <w:wordWrap w:val="0"/>
        <w:spacing w:line="360" w:lineRule="auto"/>
        <w:ind w:firstLine="480" w:firstLineChars="200"/>
        <w:rPr>
          <w:rFonts w:ascii="宋体" w:hAnsi="宋体" w:eastAsia="宋体" w:cs="宋体"/>
          <w:strike/>
          <w:color w:val="auto"/>
          <w:sz w:val="24"/>
          <w:szCs w:val="24"/>
          <w:highlight w:val="none"/>
          <w:u w:val="single"/>
        </w:rPr>
      </w:pPr>
      <w:r>
        <w:rPr>
          <w:rFonts w:hint="eastAsia" w:ascii="宋体" w:hAnsi="宋体" w:eastAsia="宋体" w:cs="宋体"/>
          <w:strike/>
          <w:color w:val="auto"/>
          <w:sz w:val="24"/>
          <w:szCs w:val="24"/>
          <w:highlight w:val="none"/>
        </w:rPr>
        <w:t>3.6.3 投标人得分=A+B+C+D。</w:t>
      </w:r>
    </w:p>
    <w:p w14:paraId="49DE5D31">
      <w:pPr>
        <w:keepNext/>
        <w:keepLines/>
        <w:wordWrap w:val="0"/>
        <w:spacing w:before="260" w:line="416" w:lineRule="auto"/>
        <w:outlineLvl w:val="2"/>
        <w:rPr>
          <w:rFonts w:ascii="宋体" w:hAnsi="宋体" w:eastAsia="宋体" w:cs="宋体"/>
          <w:b/>
          <w:bCs/>
          <w:color w:val="auto"/>
          <w:spacing w:val="1"/>
          <w:sz w:val="28"/>
          <w:szCs w:val="32"/>
          <w:highlight w:val="none"/>
        </w:rPr>
      </w:pPr>
      <w:r>
        <w:rPr>
          <w:rFonts w:hint="eastAsia" w:ascii="宋体" w:hAnsi="宋体" w:eastAsia="宋体" w:cs="宋体"/>
          <w:b/>
          <w:bCs/>
          <w:color w:val="auto"/>
          <w:spacing w:val="1"/>
          <w:sz w:val="28"/>
          <w:szCs w:val="32"/>
          <w:highlight w:val="none"/>
        </w:rPr>
        <w:t>3.</w:t>
      </w:r>
      <w:r>
        <w:rPr>
          <w:rFonts w:ascii="宋体" w:hAnsi="宋体" w:eastAsia="宋体" w:cs="宋体"/>
          <w:b/>
          <w:bCs/>
          <w:color w:val="auto"/>
          <w:spacing w:val="1"/>
          <w:sz w:val="28"/>
          <w:szCs w:val="32"/>
          <w:highlight w:val="none"/>
        </w:rPr>
        <w:t>7</w:t>
      </w:r>
      <w:r>
        <w:rPr>
          <w:rFonts w:hint="eastAsia" w:ascii="宋体" w:hAnsi="宋体" w:eastAsia="宋体" w:cs="宋体"/>
          <w:b/>
          <w:bCs/>
          <w:color w:val="auto"/>
          <w:spacing w:val="1"/>
          <w:sz w:val="28"/>
          <w:szCs w:val="32"/>
          <w:highlight w:val="none"/>
        </w:rPr>
        <w:t xml:space="preserve"> 投标文件的澄清</w:t>
      </w:r>
    </w:p>
    <w:p w14:paraId="3D85AC51">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3.7.1 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36A5091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3.7.2 澄清、说明或补正不得超出投标文件的范围且不得改变投标文件实质性内容，并构成投标文件的组成部分。</w:t>
      </w:r>
    </w:p>
    <w:p w14:paraId="24D06853">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3.7.3 评标委员会对投标人提交的澄清、说明或补正有疑问的，可以要求投标人进一步澄清、说明或补正，直到满足评标委员会的要求。</w:t>
      </w:r>
    </w:p>
    <w:p w14:paraId="0BF81BFB">
      <w:pPr>
        <w:wordWrap w:val="0"/>
        <w:spacing w:line="360"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3.7.4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CBB0399">
      <w:pPr>
        <w:wordWrap w:val="0"/>
        <w:spacing w:line="360" w:lineRule="auto"/>
        <w:ind w:firstLine="480" w:firstLineChars="200"/>
        <w:rPr>
          <w:rFonts w:ascii="宋体" w:hAnsi="宋体" w:eastAsia="宋体" w:cs="宋体"/>
          <w:color w:val="auto"/>
          <w:sz w:val="24"/>
          <w:szCs w:val="24"/>
          <w:highlight w:val="none"/>
        </w:rPr>
      </w:pPr>
    </w:p>
    <w:p w14:paraId="601F1053">
      <w:pPr>
        <w:keepNext/>
        <w:keepLines/>
        <w:wordWrap w:val="0"/>
        <w:spacing w:before="260" w:line="416" w:lineRule="auto"/>
        <w:outlineLvl w:val="2"/>
        <w:rPr>
          <w:rFonts w:ascii="宋体" w:hAnsi="宋体" w:eastAsia="宋体" w:cs="宋体"/>
          <w:b/>
          <w:bCs/>
          <w:color w:val="auto"/>
          <w:spacing w:val="1"/>
          <w:sz w:val="28"/>
          <w:szCs w:val="32"/>
          <w:highlight w:val="none"/>
          <w:lang w:val="zh-CN"/>
        </w:rPr>
      </w:pPr>
      <w:r>
        <w:rPr>
          <w:rFonts w:hint="eastAsia" w:ascii="宋体" w:hAnsi="宋体" w:eastAsia="宋体" w:cs="宋体"/>
          <w:b/>
          <w:bCs/>
          <w:color w:val="auto"/>
          <w:spacing w:val="1"/>
          <w:sz w:val="28"/>
          <w:szCs w:val="32"/>
          <w:highlight w:val="none"/>
          <w:lang w:val="zh-CN"/>
        </w:rPr>
        <w:t>3.</w:t>
      </w:r>
      <w:r>
        <w:rPr>
          <w:rFonts w:hint="eastAsia" w:ascii="宋体" w:hAnsi="宋体" w:eastAsia="宋体" w:cs="宋体"/>
          <w:b/>
          <w:bCs/>
          <w:color w:val="auto"/>
          <w:spacing w:val="1"/>
          <w:sz w:val="28"/>
          <w:szCs w:val="32"/>
          <w:highlight w:val="none"/>
        </w:rPr>
        <w:t>8</w:t>
      </w:r>
      <w:r>
        <w:rPr>
          <w:rFonts w:hint="eastAsia" w:ascii="宋体" w:hAnsi="宋体" w:eastAsia="宋体" w:cs="宋体"/>
          <w:b/>
          <w:bCs/>
          <w:color w:val="auto"/>
          <w:spacing w:val="1"/>
          <w:sz w:val="28"/>
          <w:szCs w:val="32"/>
          <w:highlight w:val="none"/>
          <w:lang w:val="zh-CN"/>
        </w:rPr>
        <w:t xml:space="preserve"> 评标结果</w:t>
      </w:r>
    </w:p>
    <w:p w14:paraId="64AAA31C">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3.8.1 除第二章“投标人须知”前附表授权直接确定中标人外，评标委员会按照得分由高到低的顺序推荐中标候选人，并标明排序。</w:t>
      </w:r>
    </w:p>
    <w:p w14:paraId="5303A0D4">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3.8.2 评标委员会完成评标后，应当向招标人提交书面评标报告和中标候选人名单。</w:t>
      </w:r>
    </w:p>
    <w:p w14:paraId="7BDE66B4">
      <w:pPr>
        <w:widowControl/>
        <w:wordWrap w:val="0"/>
        <w:jc w:val="left"/>
        <w:rPr>
          <w:rFonts w:ascii="宋体" w:hAnsi="宋体" w:eastAsia="宋体" w:cs="宋体"/>
          <w:b/>
          <w:bCs/>
          <w:color w:val="auto"/>
          <w:kern w:val="0"/>
          <w:sz w:val="24"/>
          <w:szCs w:val="24"/>
          <w:highlight w:val="none"/>
          <w:lang w:val="zh-CN"/>
        </w:rPr>
      </w:pPr>
      <w:r>
        <w:rPr>
          <w:rFonts w:hint="eastAsia" w:ascii="宋体" w:hAnsi="宋体" w:eastAsia="宋体" w:cs="宋体"/>
          <w:color w:val="auto"/>
          <w:sz w:val="24"/>
          <w:szCs w:val="24"/>
          <w:highlight w:val="none"/>
        </w:rPr>
        <w:t>3.8.3 如采用评标定标分离方法的，按相关规定执行。</w:t>
      </w:r>
      <w:r>
        <w:rPr>
          <w:rFonts w:ascii="宋体" w:hAnsi="宋体" w:eastAsia="宋体" w:cs="宋体"/>
          <w:b/>
          <w:bCs/>
          <w:color w:val="auto"/>
          <w:kern w:val="0"/>
          <w:sz w:val="24"/>
          <w:szCs w:val="24"/>
          <w:highlight w:val="none"/>
          <w:lang w:val="zh-CN"/>
        </w:rPr>
        <w:br w:type="page"/>
      </w:r>
    </w:p>
    <w:p w14:paraId="43F0C2E2">
      <w:pPr>
        <w:keepNext/>
        <w:keepLines/>
        <w:wordWrap w:val="0"/>
        <w:spacing w:line="360" w:lineRule="auto"/>
        <w:ind w:firstLine="482" w:firstLineChars="200"/>
        <w:jc w:val="center"/>
        <w:outlineLvl w:val="1"/>
        <w:rPr>
          <w:rFonts w:ascii="宋体" w:hAnsi="宋体" w:eastAsia="宋体" w:cs="宋体"/>
          <w:b/>
          <w:bCs/>
          <w:color w:val="auto"/>
          <w:kern w:val="0"/>
          <w:sz w:val="24"/>
          <w:szCs w:val="24"/>
          <w:highlight w:val="none"/>
          <w:lang w:val="zh-CN"/>
        </w:rPr>
        <w:sectPr>
          <w:type w:val="continuous"/>
          <w:pgSz w:w="11905" w:h="16838"/>
          <w:pgMar w:top="1474" w:right="1701" w:bottom="1474" w:left="1701" w:header="720" w:footer="720" w:gutter="0"/>
          <w:cols w:space="720" w:num="1"/>
        </w:sectPr>
      </w:pPr>
    </w:p>
    <w:p w14:paraId="73615A59">
      <w:pPr>
        <w:pStyle w:val="2"/>
        <w:rPr>
          <w:color w:val="auto"/>
          <w:highlight w:val="none"/>
        </w:rPr>
      </w:pPr>
      <w:bookmarkStart w:id="222" w:name="_Toc111186799"/>
      <w:bookmarkStart w:id="223" w:name="_Toc193358019"/>
      <w:r>
        <w:rPr>
          <w:rFonts w:hint="eastAsia"/>
          <w:color w:val="auto"/>
          <w:highlight w:val="none"/>
        </w:rPr>
        <w:t>第四章  合同条款及格式</w:t>
      </w:r>
      <w:bookmarkEnd w:id="222"/>
      <w:bookmarkEnd w:id="223"/>
    </w:p>
    <w:p w14:paraId="66DB5AA9">
      <w:pPr>
        <w:wordWrap w:val="0"/>
        <w:spacing w:line="360" w:lineRule="auto"/>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另册</w:t>
      </w:r>
    </w:p>
    <w:p w14:paraId="7394B768">
      <w:pPr>
        <w:widowControl/>
        <w:wordWrap w:val="0"/>
        <w:jc w:val="left"/>
        <w:rPr>
          <w:rFonts w:ascii="宋体" w:hAnsi="宋体" w:eastAsia="宋体" w:cs="宋体"/>
          <w:color w:val="auto"/>
          <w:szCs w:val="24"/>
          <w:highlight w:val="none"/>
        </w:rPr>
      </w:pPr>
      <w:r>
        <w:rPr>
          <w:rFonts w:ascii="宋体" w:hAnsi="宋体" w:eastAsia="宋体" w:cs="宋体"/>
          <w:color w:val="auto"/>
          <w:szCs w:val="24"/>
          <w:highlight w:val="none"/>
        </w:rPr>
        <w:br w:type="page"/>
      </w:r>
    </w:p>
    <w:p w14:paraId="28A2EF25">
      <w:pPr>
        <w:wordWrap w:val="0"/>
        <w:autoSpaceDE w:val="0"/>
        <w:autoSpaceDN w:val="0"/>
        <w:spacing w:line="200" w:lineRule="exact"/>
        <w:jc w:val="left"/>
        <w:rPr>
          <w:rFonts w:ascii="宋体" w:hAnsi="宋体" w:eastAsia="宋体" w:cs="宋体"/>
          <w:color w:val="auto"/>
          <w:kern w:val="0"/>
          <w:sz w:val="20"/>
          <w:szCs w:val="20"/>
          <w:highlight w:val="none"/>
        </w:rPr>
        <w:sectPr>
          <w:type w:val="continuous"/>
          <w:pgSz w:w="11905" w:h="16838"/>
          <w:pgMar w:top="1474" w:right="1701" w:bottom="1474" w:left="1701" w:header="720" w:footer="720" w:gutter="0"/>
          <w:cols w:space="720" w:num="1"/>
          <w:docGrid w:linePitch="286" w:charSpace="0"/>
        </w:sectPr>
      </w:pPr>
    </w:p>
    <w:p w14:paraId="5BE20B20">
      <w:pPr>
        <w:pStyle w:val="2"/>
        <w:rPr>
          <w:color w:val="auto"/>
          <w:highlight w:val="none"/>
        </w:rPr>
      </w:pPr>
      <w:bookmarkStart w:id="224" w:name="_Toc193358020"/>
      <w:bookmarkStart w:id="225" w:name="_Toc82786981"/>
      <w:bookmarkStart w:id="226" w:name="_Toc111186800"/>
      <w:r>
        <w:rPr>
          <w:rFonts w:hint="eastAsia"/>
          <w:color w:val="auto"/>
          <w:highlight w:val="none"/>
        </w:rPr>
        <w:t>第二卷</w:t>
      </w:r>
      <w:bookmarkEnd w:id="224"/>
      <w:bookmarkEnd w:id="225"/>
      <w:bookmarkEnd w:id="226"/>
    </w:p>
    <w:p w14:paraId="3D2CE7C7">
      <w:pPr>
        <w:widowControl/>
        <w:wordWrap w:val="0"/>
        <w:jc w:val="left"/>
        <w:rPr>
          <w:rFonts w:ascii="宋体" w:hAnsi="宋体" w:eastAsia="宋体" w:cs="宋体"/>
          <w:color w:val="auto"/>
          <w:kern w:val="0"/>
          <w:sz w:val="14"/>
          <w:szCs w:val="14"/>
          <w:highlight w:val="none"/>
        </w:rPr>
        <w:sectPr>
          <w:type w:val="continuous"/>
          <w:pgSz w:w="11905" w:h="16838"/>
          <w:pgMar w:top="1474" w:right="1701" w:bottom="1474" w:left="1701" w:header="720" w:footer="720" w:gutter="0"/>
          <w:cols w:space="720" w:num="1"/>
        </w:sectPr>
      </w:pPr>
    </w:p>
    <w:p w14:paraId="06975024">
      <w:pPr>
        <w:pStyle w:val="2"/>
        <w:rPr>
          <w:color w:val="auto"/>
          <w:highlight w:val="none"/>
        </w:rPr>
      </w:pPr>
      <w:bookmarkStart w:id="227" w:name="_Toc193358021"/>
      <w:r>
        <w:rPr>
          <w:rFonts w:hint="eastAsia"/>
          <w:color w:val="auto"/>
          <w:highlight w:val="none"/>
        </w:rPr>
        <w:t xml:space="preserve">第五章 </w:t>
      </w:r>
      <w:r>
        <w:rPr>
          <w:color w:val="auto"/>
          <w:highlight w:val="none"/>
        </w:rPr>
        <w:t xml:space="preserve"> </w:t>
      </w:r>
      <w:r>
        <w:rPr>
          <w:rFonts w:hint="eastAsia"/>
          <w:color w:val="auto"/>
          <w:highlight w:val="none"/>
        </w:rPr>
        <w:t>发包人要求</w:t>
      </w:r>
      <w:bookmarkEnd w:id="227"/>
    </w:p>
    <w:p w14:paraId="0704193E">
      <w:pPr>
        <w:wordWrap w:val="0"/>
        <w:rPr>
          <w:rFonts w:ascii="宋体" w:hAnsi="宋体" w:eastAsia="宋体" w:cs="宋体"/>
          <w:color w:val="auto"/>
          <w:szCs w:val="24"/>
          <w:highlight w:val="none"/>
        </w:rPr>
      </w:pPr>
      <w:bookmarkStart w:id="228" w:name="_Toc82786986"/>
      <w:bookmarkStart w:id="229" w:name="_Toc111186802"/>
      <w:r>
        <w:rPr>
          <w:rFonts w:hint="eastAsia" w:ascii="宋体" w:hAnsi="宋体" w:eastAsia="宋体" w:cs="宋体"/>
          <w:color w:val="auto"/>
          <w:szCs w:val="24"/>
          <w:highlight w:val="none"/>
        </w:rPr>
        <w:br w:type="page"/>
      </w:r>
    </w:p>
    <w:p w14:paraId="185F19AE">
      <w:pPr>
        <w:pStyle w:val="2"/>
        <w:rPr>
          <w:color w:val="auto"/>
          <w:highlight w:val="none"/>
        </w:rPr>
      </w:pPr>
      <w:bookmarkStart w:id="230" w:name="_Toc193358022"/>
      <w:r>
        <w:rPr>
          <w:rFonts w:hint="eastAsia"/>
          <w:color w:val="auto"/>
          <w:highlight w:val="none"/>
        </w:rPr>
        <w:t>第三卷</w:t>
      </w:r>
      <w:bookmarkEnd w:id="228"/>
      <w:bookmarkEnd w:id="229"/>
      <w:bookmarkEnd w:id="230"/>
    </w:p>
    <w:p w14:paraId="0A39A248">
      <w:pPr>
        <w:widowControl/>
        <w:wordWrap w:val="0"/>
        <w:jc w:val="left"/>
        <w:rPr>
          <w:rFonts w:ascii="宋体" w:hAnsi="宋体" w:eastAsia="宋体" w:cs="宋体"/>
          <w:color w:val="auto"/>
          <w:spacing w:val="2"/>
          <w:kern w:val="0"/>
          <w:sz w:val="44"/>
          <w:szCs w:val="44"/>
          <w:highlight w:val="none"/>
        </w:rPr>
        <w:sectPr>
          <w:type w:val="continuous"/>
          <w:pgSz w:w="11905" w:h="16838"/>
          <w:pgMar w:top="1474" w:right="1701" w:bottom="1474" w:left="1701" w:header="720" w:footer="720" w:gutter="0"/>
          <w:cols w:space="720" w:num="1"/>
        </w:sectPr>
      </w:pPr>
    </w:p>
    <w:p w14:paraId="5C9AEE9C">
      <w:pPr>
        <w:pStyle w:val="2"/>
        <w:rPr>
          <w:color w:val="auto"/>
          <w:highlight w:val="none"/>
        </w:rPr>
        <w:sectPr>
          <w:type w:val="continuous"/>
          <w:pgSz w:w="11905" w:h="16838"/>
          <w:pgMar w:top="1474" w:right="1701" w:bottom="1474" w:left="1701" w:header="720" w:footer="720" w:gutter="0"/>
          <w:cols w:space="720" w:num="1"/>
        </w:sectPr>
      </w:pPr>
      <w:bookmarkStart w:id="231" w:name="_Toc193358023"/>
      <w:bookmarkStart w:id="232" w:name="_Toc111186803"/>
      <w:r>
        <w:rPr>
          <w:rFonts w:hint="eastAsia"/>
          <w:color w:val="auto"/>
          <w:highlight w:val="none"/>
        </w:rPr>
        <w:t>第六章  投标文件格式</w:t>
      </w:r>
      <w:bookmarkEnd w:id="231"/>
      <w:bookmarkEnd w:id="232"/>
    </w:p>
    <w:p w14:paraId="21CB3F15">
      <w:pPr>
        <w:pStyle w:val="4"/>
        <w:wordWrap w:val="0"/>
        <w:rPr>
          <w:color w:val="auto"/>
          <w:highlight w:val="none"/>
        </w:rPr>
      </w:pPr>
      <w:bookmarkStart w:id="233" w:name="_Toc193358024"/>
      <w:bookmarkStart w:id="234" w:name="_Toc18166"/>
      <w:bookmarkStart w:id="235" w:name="_Toc111186804"/>
      <w:r>
        <w:rPr>
          <w:rFonts w:hint="eastAsia"/>
          <w:color w:val="auto"/>
          <w:highlight w:val="none"/>
        </w:rPr>
        <w:t>1.</w:t>
      </w:r>
      <w:bookmarkEnd w:id="233"/>
      <w:bookmarkEnd w:id="234"/>
      <w:bookmarkEnd w:id="235"/>
      <w:r>
        <w:rPr>
          <w:rFonts w:hint="eastAsia"/>
          <w:color w:val="auto"/>
          <w:highlight w:val="none"/>
        </w:rPr>
        <w:t xml:space="preserve"> 商务文件（含资格审查文件）包括以下资料：</w:t>
      </w:r>
    </w:p>
    <w:p w14:paraId="147C8C4D">
      <w:pPr>
        <w:wordWrap w:val="0"/>
        <w:rPr>
          <w:rFonts w:ascii="宋体" w:hAnsi="宋体" w:eastAsia="宋体" w:cs="宋体"/>
          <w:color w:val="auto"/>
          <w:szCs w:val="24"/>
          <w:highlight w:val="none"/>
        </w:rPr>
        <w:sectPr>
          <w:type w:val="continuous"/>
          <w:pgSz w:w="11905" w:h="16838"/>
          <w:pgMar w:top="1474" w:right="1701" w:bottom="1474" w:left="1701" w:header="720" w:footer="720" w:gutter="0"/>
          <w:cols w:space="720" w:num="1"/>
        </w:sectPr>
      </w:pPr>
    </w:p>
    <w:p w14:paraId="0D5C6CCD">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789B64B9">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297D4159">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4BD407B9">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（4）投标保证金（如有）；</w:t>
      </w:r>
    </w:p>
    <w:p w14:paraId="1CE05D68">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（5）勘察设计费报价表；</w:t>
      </w:r>
    </w:p>
    <w:p w14:paraId="17EBB751">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6C7E0127">
      <w:pPr>
        <w:wordWrap w:val="0"/>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（7）投标人须知前附表规定的其他资料。</w:t>
      </w:r>
    </w:p>
    <w:p w14:paraId="2C44470B">
      <w:pPr>
        <w:widowControl/>
        <w:wordWrap w:val="0"/>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14:paraId="6D27977E">
      <w:pPr>
        <w:wordWrap w:val="0"/>
        <w:rPr>
          <w:rFonts w:ascii="宋体" w:hAnsi="宋体" w:eastAsia="宋体" w:cs="宋体"/>
          <w:b/>
          <w:bCs/>
          <w:color w:val="auto"/>
          <w:szCs w:val="21"/>
          <w:highlight w:val="none"/>
        </w:rPr>
        <w:sectPr>
          <w:type w:val="continuous"/>
          <w:pgSz w:w="11905" w:h="16838"/>
          <w:pgMar w:top="1474" w:right="1701" w:bottom="1474" w:left="1701" w:header="720" w:footer="720" w:gutter="0"/>
          <w:cols w:space="720" w:num="1"/>
        </w:sectPr>
      </w:pPr>
    </w:p>
    <w:p w14:paraId="1C609B51">
      <w:pPr>
        <w:pStyle w:val="6"/>
        <w:wordWrap w:val="0"/>
        <w:rPr>
          <w:color w:val="auto"/>
          <w:highlight w:val="none"/>
        </w:rPr>
      </w:pPr>
      <w:bookmarkStart w:id="236" w:name="_Toc111186813"/>
      <w:bookmarkStart w:id="237" w:name="_Toc20296"/>
      <w:bookmarkStart w:id="238" w:name="_Toc111186812"/>
      <w:bookmarkStart w:id="239" w:name="_Toc16936"/>
      <w:r>
        <w:rPr>
          <w:rFonts w:hint="eastAsia"/>
          <w:color w:val="auto"/>
          <w:highlight w:val="none"/>
        </w:rPr>
        <w:t>一</w:t>
      </w:r>
      <w:bookmarkEnd w:id="236"/>
      <w:bookmarkEnd w:id="237"/>
      <w:r>
        <w:rPr>
          <w:rFonts w:hint="eastAsia"/>
          <w:color w:val="auto"/>
          <w:highlight w:val="none"/>
        </w:rPr>
        <w:t>、投标函及投标函附录</w:t>
      </w:r>
    </w:p>
    <w:p w14:paraId="37ACB6DE">
      <w:pPr>
        <w:spacing w:line="360" w:lineRule="auto"/>
        <w:jc w:val="center"/>
        <w:rPr>
          <w:rFonts w:ascii="宋体" w:hAnsi="宋体" w:eastAsia="宋体" w:cs="宋体"/>
          <w:color w:val="auto"/>
          <w:sz w:val="24"/>
          <w:szCs w:val="24"/>
          <w:highlight w:val="none"/>
        </w:rPr>
      </w:pPr>
      <w:r>
        <w:rPr>
          <w:rFonts w:hint="eastAsia" w:ascii="宋体" w:hAnsi="宋体" w:eastAsia="宋体" w:cs="宋体"/>
          <w:b/>
          <w:color w:val="auto"/>
          <w:sz w:val="28"/>
          <w:szCs w:val="28"/>
          <w:highlight w:val="none"/>
        </w:rPr>
        <w:t>投标函</w:t>
      </w:r>
    </w:p>
    <w:p w14:paraId="7C1AF5E3">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（招标人名称）：</w:t>
      </w:r>
    </w:p>
    <w:p w14:paraId="14836F9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招标项目招标文件全部内容及其补充文件和技术规范等文件，愿意以人民币</w:t>
      </w:r>
      <w:bookmarkStart w:id="252" w:name="_GoBack"/>
      <w:bookmarkEnd w:id="252"/>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元</w:t>
      </w:r>
      <w:r>
        <w:rPr>
          <w:rFonts w:hint="eastAsia" w:ascii="宋体" w:hAnsi="宋体" w:eastAsia="宋体" w:cs="宋体"/>
          <w:color w:val="auto"/>
          <w:sz w:val="24"/>
          <w:szCs w:val="24"/>
          <w:highlight w:val="none"/>
        </w:rPr>
        <w:t>）的投标总报价，按合同约定完成勘察设计工作。我方项目负责人是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58D7A8C">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2.我方的投标文件包括下列内容：</w:t>
      </w:r>
    </w:p>
    <w:p w14:paraId="6A45CCE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34E5DD27">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（2）法定代表人身份证明或附有法定代表人身份证明的授权委托书；</w:t>
      </w:r>
    </w:p>
    <w:p w14:paraId="20CE320D">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（3）联合体协议书(如有)；</w:t>
      </w:r>
    </w:p>
    <w:p w14:paraId="78F5338C">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（4）投标人声明</w:t>
      </w:r>
    </w:p>
    <w:p w14:paraId="63099C6D">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（5）投标保证金(如有)；</w:t>
      </w:r>
    </w:p>
    <w:p w14:paraId="6A1F016F">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（6）勘察设计费报价表；</w:t>
      </w:r>
    </w:p>
    <w:p w14:paraId="3300ABE4">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（7）资格审查资料；</w:t>
      </w:r>
    </w:p>
    <w:p w14:paraId="3CC5E9E6">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（8）商务文件；</w:t>
      </w:r>
    </w:p>
    <w:p w14:paraId="2EDA2EBA">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（9）技术文件（勘察设计方案）；</w:t>
      </w:r>
    </w:p>
    <w:p w14:paraId="396867B1">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（10）投标文件光盘（备用）。注：投标人也可不提交投标文件光盘（备用）</w:t>
      </w:r>
    </w:p>
    <w:p w14:paraId="19F8CBEF">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投标文件的上述组成部分如存在内容不一致的，以投标函为准。</w:t>
      </w:r>
    </w:p>
    <w:p w14:paraId="20BA24D2">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3.我方承诺在招标文件规定的投标有效期内不撤销投标文件。</w:t>
      </w:r>
    </w:p>
    <w:p w14:paraId="66070EC6">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4.如我方中标，我方承诺：</w:t>
      </w:r>
    </w:p>
    <w:p w14:paraId="64FBDA3C">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（1）在收到中标通知书后，在法律法规规定的期限内与你方签订合同；</w:t>
      </w:r>
    </w:p>
    <w:p w14:paraId="723EC3D7">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（2）在签订合同时不向你方提出附加条件；</w:t>
      </w:r>
    </w:p>
    <w:p w14:paraId="3ED222C5">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（3）按照招标文件要求提交履约保证金；</w:t>
      </w:r>
    </w:p>
    <w:p w14:paraId="533722AB">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（4）在合同约定的期限内完成合同规定的全部义务；</w:t>
      </w:r>
    </w:p>
    <w:p w14:paraId="7C5A4889">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（5）承诺本项目拟投入的人员为本单位人员，并已按规定购买社保。</w:t>
      </w:r>
    </w:p>
    <w:p w14:paraId="3A313556">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5.如我方成为本项目的中标候选人，我方同意并授权招标人将我司投标文件商务部分的人员、业绩、奖项等资料进行公示。</w:t>
      </w:r>
    </w:p>
    <w:p w14:paraId="74405C6E">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我方遵守本投标书直至投标有效期满，在投标有效期满前，本投标书对我方一直具有约束力，随时可接受中标。我方承认所附投标文件资料为本投标书的一部分。如果我方投标书含有不符合招标文件规定的内容，我方同意按招标文件规定予以修正。</w:t>
      </w:r>
    </w:p>
    <w:p w14:paraId="6A33E958">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7.我方认同招标文件规定的评审规则，遵守评标委员会的裁决结果，并且不会采取妨碍项目进展的行为。我方理解你方没有必须接受你方可能收到的最低标或任何投标的义务。</w:t>
      </w:r>
    </w:p>
    <w:p w14:paraId="3597A814">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8.如果我方中标，我方将提供规定的履约担保，将在合同规定的日期开工，并在竣工时间内，按照上述文件完成项目。</w:t>
      </w:r>
    </w:p>
    <w:p w14:paraId="3129893C">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9.除非制定正式合同协议书并生效，本投标书以及你方中标通知书，应构成你我双方间具有约束力的合同。</w:t>
      </w:r>
    </w:p>
    <w:p w14:paraId="05261BFD">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在此声明，所递交的投标文件及有关资料内容完整、真实和准确，且不存在第二章“投标人须知”第1.4.3项规定的任何一种情形。若与事实不符，经查实，我方愿意接受公开通报，承担由此带来的法律的后果，并自愿停止参加你方组织的在广州市行政辖区内的招标投标活动3个月。</w:t>
      </w:r>
    </w:p>
    <w:p w14:paraId="58263AF4">
      <w:pPr>
        <w:wordWrap w:val="0"/>
        <w:spacing w:line="360" w:lineRule="auto"/>
        <w:ind w:firstLine="566" w:firstLineChars="2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11.（其他补充说明）。</w:t>
      </w:r>
    </w:p>
    <w:p w14:paraId="3BD2C173">
      <w:pPr>
        <w:wordWrap w:val="0"/>
        <w:spacing w:line="360" w:lineRule="auto"/>
        <w:rPr>
          <w:rFonts w:ascii="宋体" w:hAnsi="宋体" w:eastAsia="宋体" w:cs="宋体"/>
          <w:color w:val="auto"/>
          <w:sz w:val="24"/>
          <w:szCs w:val="24"/>
          <w:highlight w:val="none"/>
        </w:rPr>
      </w:pPr>
    </w:p>
    <w:p w14:paraId="0BE6332B">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DED67B4">
      <w:pPr>
        <w:wordWrap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lang w:eastAsia="zh-CN"/>
        </w:rPr>
        <w:t>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41CA442B">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5407E96C">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u w:val="single"/>
        </w:rPr>
        <w:t xml:space="preserve">                          </w:t>
      </w:r>
    </w:p>
    <w:p w14:paraId="4D4869E3">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0B6E0490">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205AA928">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7361561">
      <w:pPr>
        <w:wordWrap w:val="0"/>
        <w:spacing w:line="360" w:lineRule="auto"/>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2FDA2C6F">
      <w:pPr>
        <w:wordWrap w:val="0"/>
        <w:spacing w:line="360" w:lineRule="auto"/>
        <w:ind w:right="1200"/>
        <w:jc w:val="center"/>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u w:val="single"/>
        </w:rPr>
        <w:t>（注：如联合体投标人，由投标主办方盖章即可。）</w:t>
      </w:r>
    </w:p>
    <w:p w14:paraId="501318D9">
      <w:pPr>
        <w:wordWrap w:val="0"/>
        <w:jc w:val="center"/>
        <w:rPr>
          <w:rFonts w:ascii="宋体" w:hAnsi="宋体" w:eastAsia="宋体" w:cs="宋体"/>
          <w:b/>
          <w:color w:val="auto"/>
          <w:sz w:val="28"/>
          <w:szCs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8"/>
          <w:szCs w:val="28"/>
          <w:highlight w:val="none"/>
        </w:rPr>
        <w:t>投标函附录</w:t>
      </w:r>
    </w:p>
    <w:p w14:paraId="7D848A9B">
      <w:pPr>
        <w:wordWrap w:val="0"/>
        <w:jc w:val="center"/>
        <w:rPr>
          <w:rFonts w:ascii="宋体" w:hAnsi="宋体" w:eastAsia="宋体" w:cs="宋体"/>
          <w:b/>
          <w:bCs/>
          <w:color w:val="auto"/>
          <w:sz w:val="32"/>
          <w:szCs w:val="32"/>
          <w:highlight w:val="none"/>
        </w:rPr>
      </w:pPr>
    </w:p>
    <w:tbl>
      <w:tblPr>
        <w:tblStyle w:val="45"/>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30"/>
        <w:gridCol w:w="2785"/>
        <w:gridCol w:w="2698"/>
        <w:gridCol w:w="1798"/>
      </w:tblGrid>
      <w:tr w14:paraId="4BB16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723" w:type="pct"/>
            <w:vAlign w:val="center"/>
          </w:tcPr>
          <w:p w14:paraId="17ABFAF0">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36" w:type="pct"/>
            <w:vAlign w:val="center"/>
          </w:tcPr>
          <w:p w14:paraId="5B6729B7">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1585" w:type="pct"/>
            <w:vAlign w:val="center"/>
          </w:tcPr>
          <w:p w14:paraId="0840F2C5">
            <w:pPr>
              <w:wordWrap w:val="0"/>
              <w:autoSpaceDE w:val="0"/>
              <w:autoSpaceDN w:val="0"/>
              <w:spacing w:line="276"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约定内容</w:t>
            </w:r>
          </w:p>
        </w:tc>
        <w:tc>
          <w:tcPr>
            <w:tcW w:w="1056" w:type="pct"/>
            <w:vAlign w:val="center"/>
          </w:tcPr>
          <w:p w14:paraId="4871A7A6">
            <w:pPr>
              <w:wordWrap w:val="0"/>
              <w:autoSpaceDE w:val="0"/>
              <w:autoSpaceDN w:val="0"/>
              <w:spacing w:line="276" w:lineRule="auto"/>
              <w:ind w:right="3"/>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5F374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7F19984B">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636" w:type="pct"/>
            <w:vAlign w:val="center"/>
          </w:tcPr>
          <w:p w14:paraId="77E60484">
            <w:pPr>
              <w:wordWrap w:val="0"/>
              <w:autoSpaceDE w:val="0"/>
              <w:autoSpaceDN w:val="0"/>
              <w:spacing w:line="276" w:lineRule="auto"/>
              <w:ind w:left="-4" w:leftChars="-2"/>
              <w:jc w:val="center"/>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项目负责人</w:t>
            </w:r>
          </w:p>
        </w:tc>
        <w:tc>
          <w:tcPr>
            <w:tcW w:w="1585" w:type="pct"/>
            <w:vAlign w:val="center"/>
          </w:tcPr>
          <w:p w14:paraId="201996D6">
            <w:pPr>
              <w:wordWrap w:val="0"/>
              <w:autoSpaceDE w:val="0"/>
              <w:autoSpaceDN w:val="0"/>
              <w:spacing w:line="276" w:lineRule="auto"/>
              <w:ind w:left="102"/>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p>
        </w:tc>
        <w:tc>
          <w:tcPr>
            <w:tcW w:w="1056" w:type="pct"/>
            <w:vAlign w:val="center"/>
          </w:tcPr>
          <w:p w14:paraId="489741AA">
            <w:pPr>
              <w:wordWrap w:val="0"/>
              <w:spacing w:line="276" w:lineRule="auto"/>
              <w:jc w:val="center"/>
              <w:rPr>
                <w:rFonts w:ascii="宋体" w:hAnsi="宋体" w:eastAsia="宋体" w:cs="宋体"/>
                <w:color w:val="auto"/>
                <w:szCs w:val="21"/>
                <w:highlight w:val="none"/>
              </w:rPr>
            </w:pPr>
          </w:p>
        </w:tc>
      </w:tr>
      <w:tr w14:paraId="3B3FE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1694CD3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636" w:type="pct"/>
            <w:vAlign w:val="center"/>
          </w:tcPr>
          <w:p w14:paraId="4128825F">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勘察设计服务期限</w:t>
            </w:r>
          </w:p>
        </w:tc>
        <w:tc>
          <w:tcPr>
            <w:tcW w:w="1585" w:type="pct"/>
            <w:vAlign w:val="center"/>
          </w:tcPr>
          <w:p w14:paraId="6B1CEF83">
            <w:pPr>
              <w:wordWrap w:val="0"/>
              <w:autoSpaceDE w:val="0"/>
              <w:autoSpaceDN w:val="0"/>
              <w:spacing w:line="276" w:lineRule="auto"/>
              <w:ind w:left="102"/>
              <w:jc w:val="left"/>
              <w:rPr>
                <w:rFonts w:ascii="宋体" w:hAnsi="宋体" w:eastAsia="宋体" w:cs="宋体"/>
                <w:color w:val="auto"/>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243D7B26">
            <w:pPr>
              <w:wordWrap w:val="0"/>
              <w:spacing w:line="276" w:lineRule="auto"/>
              <w:jc w:val="center"/>
              <w:rPr>
                <w:rFonts w:ascii="宋体" w:hAnsi="宋体" w:eastAsia="宋体" w:cs="宋体"/>
                <w:color w:val="auto"/>
                <w:szCs w:val="21"/>
                <w:highlight w:val="none"/>
              </w:rPr>
            </w:pPr>
          </w:p>
        </w:tc>
      </w:tr>
      <w:tr w14:paraId="1F05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vAlign w:val="center"/>
          </w:tcPr>
          <w:p w14:paraId="7B4020BF">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636" w:type="pct"/>
            <w:vAlign w:val="center"/>
          </w:tcPr>
          <w:p w14:paraId="2143A03A">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合同</w:t>
            </w:r>
            <w:r>
              <w:rPr>
                <w:rFonts w:hint="eastAsia" w:ascii="宋体" w:hAnsi="宋体" w:eastAsia="宋体" w:cs="宋体"/>
                <w:color w:val="auto"/>
                <w:spacing w:val="-3"/>
                <w:szCs w:val="21"/>
                <w:highlight w:val="none"/>
              </w:rPr>
              <w:t>价</w:t>
            </w:r>
            <w:r>
              <w:rPr>
                <w:rFonts w:hint="eastAsia" w:ascii="宋体" w:hAnsi="宋体" w:eastAsia="宋体" w:cs="宋体"/>
                <w:color w:val="auto"/>
                <w:szCs w:val="21"/>
                <w:highlight w:val="none"/>
              </w:rPr>
              <w:t>款</w:t>
            </w:r>
            <w:r>
              <w:rPr>
                <w:rFonts w:hint="eastAsia" w:ascii="宋体" w:hAnsi="宋体" w:eastAsia="宋体" w:cs="宋体"/>
                <w:color w:val="auto"/>
                <w:spacing w:val="-3"/>
                <w:szCs w:val="21"/>
                <w:highlight w:val="none"/>
              </w:rPr>
              <w:t>确</w:t>
            </w:r>
            <w:r>
              <w:rPr>
                <w:rFonts w:hint="eastAsia" w:ascii="宋体" w:hAnsi="宋体" w:eastAsia="宋体" w:cs="宋体"/>
                <w:color w:val="auto"/>
                <w:szCs w:val="21"/>
                <w:highlight w:val="none"/>
              </w:rPr>
              <w:t>定</w:t>
            </w:r>
            <w:r>
              <w:rPr>
                <w:rFonts w:hint="eastAsia" w:ascii="宋体" w:hAnsi="宋体" w:eastAsia="宋体" w:cs="宋体"/>
                <w:color w:val="auto"/>
                <w:spacing w:val="-3"/>
                <w:szCs w:val="21"/>
                <w:highlight w:val="none"/>
              </w:rPr>
              <w:t>方式</w:t>
            </w:r>
          </w:p>
        </w:tc>
        <w:tc>
          <w:tcPr>
            <w:tcW w:w="1585" w:type="pct"/>
            <w:vAlign w:val="center"/>
          </w:tcPr>
          <w:p w14:paraId="6A7FE59D">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73B09AF3">
            <w:pPr>
              <w:wordWrap w:val="0"/>
              <w:spacing w:line="276" w:lineRule="auto"/>
              <w:jc w:val="center"/>
              <w:rPr>
                <w:rFonts w:ascii="宋体" w:hAnsi="宋体" w:eastAsia="宋体" w:cs="宋体"/>
                <w:color w:val="auto"/>
                <w:szCs w:val="21"/>
                <w:highlight w:val="none"/>
              </w:rPr>
            </w:pPr>
          </w:p>
        </w:tc>
      </w:tr>
      <w:tr w14:paraId="0B352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428BBF26">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636" w:type="pct"/>
            <w:vAlign w:val="center"/>
          </w:tcPr>
          <w:p w14:paraId="6FF4A841">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zCs w:val="21"/>
                <w:highlight w:val="none"/>
              </w:rPr>
              <w:t>投标内容</w:t>
            </w:r>
          </w:p>
        </w:tc>
        <w:tc>
          <w:tcPr>
            <w:tcW w:w="1585" w:type="pct"/>
            <w:vAlign w:val="center"/>
          </w:tcPr>
          <w:p w14:paraId="1D9D3B37">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40611EB3">
            <w:pPr>
              <w:wordWrap w:val="0"/>
              <w:spacing w:line="276" w:lineRule="auto"/>
              <w:jc w:val="center"/>
              <w:rPr>
                <w:rFonts w:ascii="宋体" w:hAnsi="宋体" w:eastAsia="宋体" w:cs="宋体"/>
                <w:color w:val="auto"/>
                <w:szCs w:val="21"/>
                <w:highlight w:val="none"/>
              </w:rPr>
            </w:pPr>
          </w:p>
        </w:tc>
      </w:tr>
      <w:tr w14:paraId="20354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723" w:type="pct"/>
            <w:vAlign w:val="center"/>
          </w:tcPr>
          <w:p w14:paraId="4FAD2ED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636" w:type="pct"/>
            <w:vAlign w:val="center"/>
          </w:tcPr>
          <w:p w14:paraId="666F044E">
            <w:pPr>
              <w:wordWrap w:val="0"/>
              <w:autoSpaceDE w:val="0"/>
              <w:autoSpaceDN w:val="0"/>
              <w:spacing w:line="276" w:lineRule="auto"/>
              <w:ind w:left="-4" w:leftChars="-3" w:hanging="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质量标准</w:t>
            </w:r>
          </w:p>
        </w:tc>
        <w:tc>
          <w:tcPr>
            <w:tcW w:w="1585" w:type="pct"/>
            <w:vAlign w:val="center"/>
          </w:tcPr>
          <w:p w14:paraId="11837173">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676FEB31">
            <w:pPr>
              <w:wordWrap w:val="0"/>
              <w:spacing w:line="276" w:lineRule="auto"/>
              <w:jc w:val="center"/>
              <w:rPr>
                <w:rFonts w:ascii="宋体" w:hAnsi="宋体" w:eastAsia="宋体" w:cs="宋体"/>
                <w:color w:val="auto"/>
                <w:szCs w:val="21"/>
                <w:highlight w:val="none"/>
              </w:rPr>
            </w:pPr>
          </w:p>
        </w:tc>
      </w:tr>
      <w:tr w14:paraId="588B0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723" w:type="pct"/>
            <w:vAlign w:val="center"/>
          </w:tcPr>
          <w:p w14:paraId="5528F5DA">
            <w:pPr>
              <w:wordWrap w:val="0"/>
              <w:autoSpaceDE w:val="0"/>
              <w:autoSpaceDN w:val="0"/>
              <w:spacing w:line="276"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636" w:type="pct"/>
            <w:vAlign w:val="center"/>
          </w:tcPr>
          <w:p w14:paraId="52BFC881">
            <w:pPr>
              <w:wordWrap w:val="0"/>
              <w:autoSpaceDE w:val="0"/>
              <w:autoSpaceDN w:val="0"/>
              <w:spacing w:line="276" w:lineRule="auto"/>
              <w:ind w:left="-4" w:leftChars="-2"/>
              <w:jc w:val="center"/>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投标有效期</w:t>
            </w:r>
          </w:p>
        </w:tc>
        <w:tc>
          <w:tcPr>
            <w:tcW w:w="1585" w:type="pct"/>
            <w:vAlign w:val="center"/>
          </w:tcPr>
          <w:p w14:paraId="30EA0AFB">
            <w:pPr>
              <w:wordWrap w:val="0"/>
              <w:autoSpaceDE w:val="0"/>
              <w:autoSpaceDN w:val="0"/>
              <w:spacing w:line="276" w:lineRule="auto"/>
              <w:ind w:left="102"/>
              <w:jc w:val="left"/>
              <w:rPr>
                <w:rFonts w:ascii="宋体" w:hAnsi="宋体" w:eastAsia="宋体" w:cs="宋体"/>
                <w:color w:val="auto"/>
                <w:spacing w:val="-1"/>
                <w:kern w:val="0"/>
                <w:szCs w:val="21"/>
                <w:highlight w:val="none"/>
              </w:rPr>
            </w:pPr>
            <w:r>
              <w:rPr>
                <w:rFonts w:hint="eastAsia" w:ascii="宋体" w:hAnsi="宋体" w:eastAsia="宋体" w:cs="宋体"/>
                <w:color w:val="auto"/>
                <w:spacing w:val="-1"/>
                <w:kern w:val="0"/>
                <w:szCs w:val="21"/>
                <w:highlight w:val="none"/>
              </w:rPr>
              <w:t>按招标文件要求</w:t>
            </w:r>
          </w:p>
        </w:tc>
        <w:tc>
          <w:tcPr>
            <w:tcW w:w="1056" w:type="pct"/>
            <w:vAlign w:val="center"/>
          </w:tcPr>
          <w:p w14:paraId="26E347DD">
            <w:pPr>
              <w:wordWrap w:val="0"/>
              <w:spacing w:line="276" w:lineRule="auto"/>
              <w:jc w:val="center"/>
              <w:rPr>
                <w:rFonts w:ascii="宋体" w:hAnsi="宋体" w:eastAsia="宋体" w:cs="宋体"/>
                <w:color w:val="auto"/>
                <w:szCs w:val="21"/>
                <w:highlight w:val="none"/>
              </w:rPr>
            </w:pPr>
          </w:p>
        </w:tc>
      </w:tr>
    </w:tbl>
    <w:p w14:paraId="6905277F">
      <w:pPr>
        <w:pBdr>
          <w:top w:val="single" w:color="auto" w:sz="4" w:space="1"/>
        </w:pBdr>
        <w:wordWrap w:val="0"/>
        <w:spacing w:line="360" w:lineRule="auto"/>
        <w:rPr>
          <w:rFonts w:ascii="宋体" w:hAnsi="宋体" w:eastAsia="宋体" w:cs="宋体"/>
          <w:bCs/>
          <w:color w:val="auto"/>
          <w:sz w:val="24"/>
          <w:szCs w:val="24"/>
          <w:highlight w:val="none"/>
        </w:rPr>
      </w:pPr>
    </w:p>
    <w:p w14:paraId="27899C60">
      <w:pPr>
        <w:pBdr>
          <w:top w:val="single" w:color="auto" w:sz="4" w:space="1"/>
        </w:pBdr>
        <w:wordWrap w:val="0"/>
        <w:spacing w:line="360" w:lineRule="auto"/>
        <w:ind w:firstLine="960" w:firstLineChars="400"/>
        <w:jc w:val="both"/>
        <w:rPr>
          <w:rFonts w:hint="eastAsia" w:ascii="宋体" w:hAnsi="宋体" w:eastAsia="宋体" w:cs="宋体"/>
          <w:bCs/>
          <w:color w:val="auto"/>
          <w:spacing w:val="-1"/>
          <w:sz w:val="24"/>
          <w:szCs w:val="24"/>
          <w:highlight w:val="none"/>
        </w:rPr>
      </w:pPr>
      <w:r>
        <w:rPr>
          <w:rFonts w:hint="eastAsia" w:ascii="宋体" w:hAnsi="宋体" w:eastAsia="宋体" w:cs="宋体"/>
          <w:bCs/>
          <w:color w:val="auto"/>
          <w:sz w:val="24"/>
          <w:szCs w:val="24"/>
          <w:highlight w:val="none"/>
        </w:rPr>
        <w:t>投标</w:t>
      </w:r>
      <w:r>
        <w:rPr>
          <w:rFonts w:hint="eastAsia" w:ascii="宋体" w:hAnsi="宋体" w:eastAsia="宋体" w:cs="宋体"/>
          <w:bCs/>
          <w:color w:val="auto"/>
          <w:spacing w:val="-2"/>
          <w:sz w:val="24"/>
          <w:szCs w:val="24"/>
          <w:highlight w:val="none"/>
        </w:rPr>
        <w:t>人：</w:t>
      </w:r>
      <w:r>
        <w:rPr>
          <w:rFonts w:hint="eastAsia" w:ascii="宋体" w:hAnsi="宋体" w:eastAsia="宋体" w:cs="宋体"/>
          <w:bCs/>
          <w:color w:val="auto"/>
          <w:spacing w:val="-2"/>
          <w:sz w:val="24"/>
          <w:szCs w:val="24"/>
          <w:highlight w:val="none"/>
          <w:u w:val="single"/>
        </w:rPr>
        <w:t xml:space="preserve">    </w:t>
      </w:r>
      <w:r>
        <w:rPr>
          <w:rFonts w:hint="eastAsia" w:ascii="宋体" w:hAnsi="宋体" w:eastAsia="宋体" w:cs="宋体"/>
          <w:bCs/>
          <w:color w:val="auto"/>
          <w:spacing w:val="-1"/>
          <w:sz w:val="24"/>
          <w:szCs w:val="24"/>
          <w:highlight w:val="none"/>
        </w:rPr>
        <w:t>（盖章）</w:t>
      </w:r>
    </w:p>
    <w:p w14:paraId="549BE972">
      <w:pPr>
        <w:pStyle w:val="5"/>
        <w:pBdr>
          <w:top w:val="single" w:color="auto" w:sz="4" w:space="1"/>
        </w:pBdr>
        <w:wordWrap/>
        <w:spacing w:line="360" w:lineRule="auto"/>
        <w:ind w:firstLine="960" w:firstLineChars="400"/>
        <w:jc w:val="both"/>
        <w:rPr>
          <w:rFonts w:hint="eastAsia" w:ascii="宋体" w:hAnsi="宋体" w:eastAsia="宋体" w:cs="宋体"/>
          <w:bCs/>
          <w:color w:val="auto"/>
          <w:spacing w:val="-1"/>
          <w:sz w:val="24"/>
          <w:szCs w:val="24"/>
          <w:highlight w:val="none"/>
        </w:rPr>
      </w:pPr>
      <w:r>
        <w:rPr>
          <w:rFonts w:hint="eastAsia" w:ascii="宋体" w:hAnsi="宋体" w:cs="宋体"/>
          <w:b w:val="0"/>
          <w:color w:val="auto"/>
          <w:sz w:val="24"/>
          <w:highlight w:val="none"/>
        </w:rPr>
        <w:t>法定代表人或其委托代理人：</w:t>
      </w:r>
      <w:r>
        <w:rPr>
          <w:rFonts w:hint="eastAsia" w:ascii="宋体" w:hAnsi="宋体" w:cs="宋体"/>
          <w:b w:val="0"/>
          <w:color w:val="auto"/>
          <w:sz w:val="24"/>
          <w:highlight w:val="none"/>
          <w:u w:val="single"/>
        </w:rPr>
        <w:tab/>
      </w:r>
      <w:r>
        <w:rPr>
          <w:rFonts w:hint="eastAsia" w:ascii="宋体" w:hAnsi="宋体" w:cs="宋体"/>
          <w:b w:val="0"/>
          <w:color w:val="auto"/>
          <w:sz w:val="24"/>
          <w:highlight w:val="none"/>
          <w:u w:val="single"/>
          <w:lang w:val="en-US" w:eastAsia="zh-CN"/>
        </w:rPr>
        <w:t xml:space="preserve">            </w:t>
      </w:r>
      <w:r>
        <w:rPr>
          <w:rFonts w:hint="eastAsia" w:ascii="宋体" w:hAnsi="宋体" w:cs="宋体"/>
          <w:b w:val="0"/>
          <w:color w:val="auto"/>
          <w:sz w:val="24"/>
          <w:highlight w:val="none"/>
        </w:rPr>
        <w:t>（签字或盖章）</w:t>
      </w:r>
    </w:p>
    <w:p w14:paraId="6BC2A8A4">
      <w:pPr>
        <w:wordWrap w:val="0"/>
        <w:spacing w:line="360" w:lineRule="auto"/>
        <w:jc w:val="center"/>
        <w:rPr>
          <w:rFonts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14:paraId="278F9D17">
      <w:pPr>
        <w:wordWrap w:val="0"/>
        <w:spacing w:line="360" w:lineRule="auto"/>
        <w:ind w:firstLine="240" w:firstLineChars="100"/>
        <w:rPr>
          <w:rFonts w:ascii="宋体" w:hAnsi="宋体" w:eastAsia="宋体" w:cs="宋体"/>
          <w:color w:val="auto"/>
          <w:sz w:val="24"/>
          <w:szCs w:val="24"/>
          <w:highlight w:val="none"/>
        </w:rPr>
      </w:pPr>
    </w:p>
    <w:p w14:paraId="1D0E29DC">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0004CC93">
      <w:pPr>
        <w:pStyle w:val="6"/>
        <w:wordWrap w:val="0"/>
        <w:rPr>
          <w:color w:val="auto"/>
          <w:highlight w:val="none"/>
        </w:rPr>
      </w:pPr>
      <w:r>
        <w:rPr>
          <w:rFonts w:hint="eastAsia"/>
          <w:color w:val="auto"/>
          <w:highlight w:val="none"/>
        </w:rPr>
        <w:br w:type="page"/>
      </w:r>
      <w:r>
        <w:rPr>
          <w:rFonts w:hint="eastAsia"/>
          <w:color w:val="auto"/>
          <w:highlight w:val="none"/>
        </w:rPr>
        <w:t>二、法定代表人身份证明及授权委托书</w:t>
      </w:r>
      <w:bookmarkEnd w:id="238"/>
      <w:bookmarkEnd w:id="239"/>
    </w:p>
    <w:p w14:paraId="63A8B426">
      <w:pPr>
        <w:wordWrap w:val="0"/>
        <w:jc w:val="center"/>
        <w:rPr>
          <w:rFonts w:ascii="宋体" w:hAnsi="宋体" w:eastAsia="宋体" w:cs="宋体"/>
          <w:b/>
          <w:color w:val="auto"/>
          <w:sz w:val="28"/>
          <w:szCs w:val="28"/>
          <w:highlight w:val="none"/>
        </w:rPr>
      </w:pPr>
      <w:bookmarkStart w:id="240" w:name="_Toc82786997"/>
      <w:bookmarkStart w:id="241" w:name="_Toc35513540"/>
      <w:r>
        <w:rPr>
          <w:rFonts w:hint="eastAsia" w:ascii="宋体" w:hAnsi="宋体" w:eastAsia="宋体" w:cs="宋体"/>
          <w:b/>
          <w:color w:val="auto"/>
          <w:sz w:val="28"/>
          <w:szCs w:val="28"/>
          <w:highlight w:val="none"/>
        </w:rPr>
        <w:t>法定代表人身份证明</w:t>
      </w:r>
      <w:bookmarkEnd w:id="240"/>
      <w:bookmarkEnd w:id="241"/>
    </w:p>
    <w:p w14:paraId="6302FE66">
      <w:pPr>
        <w:wordWrap w:val="0"/>
        <w:spacing w:line="360" w:lineRule="auto"/>
        <w:ind w:firstLine="480"/>
        <w:rPr>
          <w:rFonts w:ascii="宋体" w:hAnsi="宋体" w:eastAsia="宋体" w:cs="宋体"/>
          <w:color w:val="auto"/>
          <w:sz w:val="24"/>
          <w:szCs w:val="24"/>
          <w:highlight w:val="none"/>
        </w:rPr>
      </w:pPr>
    </w:p>
    <w:p w14:paraId="3021DE23">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0A8111C5">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4D644892">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06AC9712">
      <w:pPr>
        <w:wordWrap w:val="0"/>
        <w:spacing w:line="360" w:lineRule="auto"/>
        <w:ind w:firstLine="480"/>
        <w:rPr>
          <w:rFonts w:ascii="宋体" w:hAnsi="宋体" w:eastAsia="宋体" w:cs="宋体"/>
          <w:color w:val="auto"/>
          <w:sz w:val="24"/>
          <w:szCs w:val="24"/>
          <w:highlight w:val="none"/>
        </w:rPr>
      </w:pPr>
    </w:p>
    <w:p w14:paraId="6B497D6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6B8F0F3">
      <w:pPr>
        <w:wordWrap w:val="0"/>
        <w:spacing w:line="360" w:lineRule="auto"/>
        <w:ind w:firstLine="480"/>
        <w:rPr>
          <w:rFonts w:ascii="宋体" w:hAnsi="宋体" w:eastAsia="宋体" w:cs="宋体"/>
          <w:color w:val="auto"/>
          <w:sz w:val="24"/>
          <w:szCs w:val="24"/>
          <w:highlight w:val="none"/>
        </w:rPr>
      </w:pPr>
    </w:p>
    <w:p w14:paraId="28D98E8B">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val="en-US" w:eastAsia="zh-CN"/>
        </w:rPr>
        <w:t>扫描件</w:t>
      </w:r>
      <w:r>
        <w:rPr>
          <w:rFonts w:hint="eastAsia" w:ascii="宋体" w:hAnsi="宋体" w:eastAsia="宋体" w:cs="宋体"/>
          <w:color w:val="auto"/>
          <w:sz w:val="24"/>
          <w:szCs w:val="24"/>
          <w:highlight w:val="none"/>
        </w:rPr>
        <w:t>。</w:t>
      </w:r>
    </w:p>
    <w:p w14:paraId="720056BB">
      <w:pPr>
        <w:wordWrap w:val="0"/>
        <w:spacing w:line="360" w:lineRule="auto"/>
        <w:ind w:firstLine="480"/>
        <w:rPr>
          <w:rFonts w:ascii="宋体" w:hAnsi="宋体" w:eastAsia="宋体" w:cs="宋体"/>
          <w:color w:val="auto"/>
          <w:sz w:val="24"/>
          <w:szCs w:val="24"/>
          <w:highlight w:val="none"/>
        </w:rPr>
      </w:pPr>
    </w:p>
    <w:p w14:paraId="1E802D54">
      <w:pPr>
        <w:wordWrap w:val="0"/>
        <w:spacing w:line="360" w:lineRule="auto"/>
        <w:ind w:firstLine="480"/>
        <w:rPr>
          <w:rFonts w:ascii="宋体" w:hAnsi="宋体" w:eastAsia="宋体" w:cs="宋体"/>
          <w:color w:val="auto"/>
          <w:sz w:val="24"/>
          <w:szCs w:val="24"/>
          <w:highlight w:val="none"/>
        </w:rPr>
      </w:pPr>
    </w:p>
    <w:p w14:paraId="2D7FE6F8">
      <w:pPr>
        <w:wordWrap w:val="0"/>
        <w:spacing w:line="360" w:lineRule="auto"/>
        <w:ind w:firstLine="480"/>
        <w:rPr>
          <w:rFonts w:ascii="宋体" w:hAnsi="宋体" w:eastAsia="宋体" w:cs="宋体"/>
          <w:color w:val="auto"/>
          <w:sz w:val="24"/>
          <w:szCs w:val="24"/>
          <w:highlight w:val="none"/>
        </w:rPr>
      </w:pPr>
    </w:p>
    <w:p w14:paraId="71255DCA">
      <w:pPr>
        <w:wordWrap w:val="0"/>
        <w:spacing w:line="360" w:lineRule="auto"/>
        <w:ind w:firstLine="480"/>
        <w:rPr>
          <w:rFonts w:ascii="宋体" w:hAnsi="宋体" w:eastAsia="宋体" w:cs="宋体"/>
          <w:color w:val="auto"/>
          <w:sz w:val="24"/>
          <w:szCs w:val="24"/>
          <w:highlight w:val="none"/>
        </w:rPr>
      </w:pPr>
    </w:p>
    <w:p w14:paraId="0EFFD013">
      <w:pPr>
        <w:wordWrap w:val="0"/>
        <w:spacing w:line="360" w:lineRule="auto"/>
        <w:ind w:firstLine="42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w:t>
      </w:r>
      <w:r>
        <w:rPr>
          <w:rFonts w:hint="eastAsia" w:ascii="宋体" w:hAnsi="宋体" w:eastAsia="宋体" w:cs="宋体"/>
          <w:color w:val="auto"/>
          <w:sz w:val="24"/>
          <w:szCs w:val="24"/>
          <w:highlight w:val="none"/>
          <w:u w:val="single"/>
        </w:rPr>
        <w:t xml:space="preserve">          </w:t>
      </w:r>
      <w:bookmarkStart w:id="242" w:name="page82"/>
      <w:bookmarkEnd w:id="242"/>
      <w:r>
        <w:rPr>
          <w:rFonts w:hint="eastAsia" w:ascii="宋体" w:hAnsi="宋体" w:eastAsia="宋体" w:cs="宋体"/>
          <w:color w:val="auto"/>
          <w:sz w:val="24"/>
          <w:szCs w:val="24"/>
          <w:highlight w:val="none"/>
        </w:rPr>
        <w:t>（</w:t>
      </w:r>
      <w:bookmarkStart w:id="243" w:name="_Toc14709396"/>
      <w:r>
        <w:rPr>
          <w:rFonts w:hint="eastAsia" w:ascii="宋体" w:hAnsi="宋体" w:eastAsia="宋体" w:cs="宋体"/>
          <w:color w:val="auto"/>
          <w:sz w:val="24"/>
          <w:szCs w:val="24"/>
          <w:highlight w:val="none"/>
        </w:rPr>
        <w:t>盖单位章）</w:t>
      </w:r>
    </w:p>
    <w:bookmarkEnd w:id="243"/>
    <w:p w14:paraId="093C9FC7">
      <w:pPr>
        <w:wordWrap w:val="0"/>
        <w:spacing w:line="360" w:lineRule="auto"/>
        <w:ind w:firstLine="5280" w:firstLineChars="2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3E9135B">
      <w:pPr>
        <w:wordWrap w:val="0"/>
        <w:spacing w:line="360" w:lineRule="auto"/>
        <w:ind w:firstLine="480"/>
        <w:rPr>
          <w:rFonts w:ascii="宋体" w:hAnsi="宋体" w:eastAsia="宋体" w:cs="宋体"/>
          <w:color w:val="auto"/>
          <w:sz w:val="24"/>
          <w:szCs w:val="24"/>
          <w:highlight w:val="none"/>
        </w:rPr>
      </w:pPr>
    </w:p>
    <w:p w14:paraId="67702542">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联合体投标的，仅须提供联合体主办方出具的法定代表人身份证明</w:t>
      </w:r>
      <w:r>
        <w:rPr>
          <w:rFonts w:hint="eastAsia" w:ascii="宋体" w:hAnsi="宋体" w:eastAsia="宋体" w:cs="宋体"/>
          <w:color w:val="auto"/>
          <w:sz w:val="24"/>
          <w:szCs w:val="24"/>
          <w:highlight w:val="none"/>
        </w:rPr>
        <w:t>。</w:t>
      </w:r>
      <w:bookmarkStart w:id="244" w:name="_Toc35513541"/>
    </w:p>
    <w:p w14:paraId="1A07BB3D">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32"/>
          <w:szCs w:val="24"/>
          <w:highlight w:val="none"/>
        </w:rPr>
        <w:br w:type="page"/>
      </w:r>
      <w:bookmarkStart w:id="245" w:name="_Toc82786998"/>
      <w:r>
        <w:rPr>
          <w:rFonts w:hint="eastAsia" w:ascii="宋体" w:hAnsi="宋体" w:eastAsia="宋体" w:cs="宋体"/>
          <w:b/>
          <w:color w:val="auto"/>
          <w:sz w:val="28"/>
          <w:szCs w:val="28"/>
          <w:highlight w:val="none"/>
        </w:rPr>
        <w:t>授权委托书</w:t>
      </w:r>
      <w:bookmarkEnd w:id="244"/>
      <w:bookmarkEnd w:id="245"/>
    </w:p>
    <w:p w14:paraId="450280C9">
      <w:pPr>
        <w:wordWrap w:val="0"/>
        <w:spacing w:line="360" w:lineRule="auto"/>
        <w:ind w:firstLine="480"/>
        <w:rPr>
          <w:rFonts w:ascii="宋体" w:hAnsi="宋体" w:eastAsia="宋体" w:cs="宋体"/>
          <w:color w:val="auto"/>
          <w:sz w:val="24"/>
          <w:szCs w:val="24"/>
          <w:highlight w:val="none"/>
        </w:rPr>
      </w:pPr>
    </w:p>
    <w:p w14:paraId="7B6F2835">
      <w:pPr>
        <w:wordWrap w:val="0"/>
        <w:topLinePunct/>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（姓名）为我方代理人。代理人根据授权，以我方名义签署、澄清确认、递交、撤回、修改</w:t>
      </w:r>
      <w:r>
        <w:rPr>
          <w:rFonts w:hint="eastAsia" w:ascii="宋体" w:hAnsi="宋体" w:eastAsia="宋体" w:cs="宋体"/>
          <w:color w:val="auto"/>
          <w:sz w:val="24"/>
          <w:szCs w:val="24"/>
          <w:highlight w:val="none"/>
          <w:u w:val="single"/>
        </w:rPr>
        <w:t xml:space="preserve">       勘察设计</w:t>
      </w:r>
      <w:r>
        <w:rPr>
          <w:rFonts w:hint="eastAsia" w:ascii="宋体" w:hAnsi="宋体" w:eastAsia="宋体" w:cs="宋体"/>
          <w:color w:val="auto"/>
          <w:sz w:val="24"/>
          <w:szCs w:val="24"/>
          <w:highlight w:val="none"/>
        </w:rPr>
        <w:t>招标项目投标文件、签订合同和处理有关事宜，其法律后果由我方承担。</w:t>
      </w:r>
    </w:p>
    <w:p w14:paraId="2AE36D06">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CB17E7A">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3EFA55C0">
      <w:pPr>
        <w:wordWrap w:val="0"/>
        <w:spacing w:line="360" w:lineRule="auto"/>
        <w:ind w:firstLine="480"/>
        <w:rPr>
          <w:rFonts w:ascii="宋体" w:hAnsi="宋体" w:eastAsia="宋体" w:cs="宋体"/>
          <w:color w:val="auto"/>
          <w:sz w:val="24"/>
          <w:szCs w:val="24"/>
          <w:highlight w:val="none"/>
        </w:rPr>
      </w:pPr>
    </w:p>
    <w:p w14:paraId="51713E9C">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附：法定代表人身份证及委托代理人身份证</w:t>
      </w:r>
      <w:r>
        <w:rPr>
          <w:rFonts w:hint="eastAsia" w:ascii="宋体" w:hAnsi="宋体" w:eastAsia="宋体" w:cs="宋体"/>
          <w:color w:val="auto"/>
          <w:sz w:val="24"/>
          <w:szCs w:val="24"/>
          <w:highlight w:val="none"/>
          <w:lang w:val="en-US" w:eastAsia="zh-CN"/>
        </w:rPr>
        <w:t>扫描件</w:t>
      </w:r>
    </w:p>
    <w:p w14:paraId="6BE5A592">
      <w:pPr>
        <w:wordWrap w:val="0"/>
        <w:spacing w:line="360" w:lineRule="auto"/>
        <w:ind w:firstLine="480"/>
        <w:rPr>
          <w:rFonts w:ascii="宋体" w:hAnsi="宋体" w:eastAsia="宋体" w:cs="宋体"/>
          <w:color w:val="auto"/>
          <w:sz w:val="24"/>
          <w:szCs w:val="24"/>
          <w:highlight w:val="none"/>
        </w:rPr>
      </w:pPr>
    </w:p>
    <w:p w14:paraId="43C8559E">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注：本授权委托书需由投标人加盖单位公章并由其法定代表人和委托代理人签字。</w:t>
      </w:r>
    </w:p>
    <w:p w14:paraId="5C79817D">
      <w:pPr>
        <w:wordWrap w:val="0"/>
        <w:spacing w:line="360" w:lineRule="auto"/>
        <w:ind w:firstLine="480"/>
        <w:rPr>
          <w:rFonts w:ascii="宋体" w:hAnsi="宋体" w:eastAsia="宋体" w:cs="宋体"/>
          <w:color w:val="auto"/>
          <w:sz w:val="24"/>
          <w:szCs w:val="24"/>
          <w:highlight w:val="none"/>
        </w:rPr>
      </w:pPr>
    </w:p>
    <w:p w14:paraId="4E05EE99">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30FC89C6">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F9E5E3E">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14:paraId="7860DA22">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5794AD9A">
      <w:pPr>
        <w:wordWrap w:val="0"/>
        <w:spacing w:line="360" w:lineRule="auto"/>
        <w:ind w:firstLine="4108" w:firstLineChars="17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3FBF7FF">
      <w:pPr>
        <w:wordWrap w:val="0"/>
        <w:spacing w:line="360" w:lineRule="auto"/>
        <w:ind w:firstLine="42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869C7E7">
      <w:pPr>
        <w:wordWrap w:val="0"/>
        <w:spacing w:line="360" w:lineRule="auto"/>
        <w:ind w:firstLine="480"/>
        <w:rPr>
          <w:rFonts w:ascii="宋体" w:hAnsi="宋体" w:eastAsia="宋体" w:cs="宋体"/>
          <w:color w:val="auto"/>
          <w:sz w:val="24"/>
          <w:szCs w:val="24"/>
          <w:highlight w:val="none"/>
        </w:rPr>
      </w:pPr>
    </w:p>
    <w:p w14:paraId="59EFF0DC">
      <w:pPr>
        <w:wordWrap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u w:val="single"/>
        </w:rPr>
        <w:t>联合体投标的，仅须提供联合体主办方出具的授权委托书</w:t>
      </w:r>
      <w:r>
        <w:rPr>
          <w:rFonts w:hint="eastAsia" w:ascii="宋体" w:hAnsi="宋体" w:eastAsia="宋体" w:cs="宋体"/>
          <w:color w:val="auto"/>
          <w:sz w:val="24"/>
          <w:szCs w:val="24"/>
          <w:highlight w:val="none"/>
        </w:rPr>
        <w:t>。</w:t>
      </w:r>
    </w:p>
    <w:p w14:paraId="1E1E0A47">
      <w:pPr>
        <w:pStyle w:val="6"/>
        <w:wordWrap w:val="0"/>
        <w:rPr>
          <w:color w:val="auto"/>
          <w:highlight w:val="none"/>
        </w:rPr>
      </w:pPr>
      <w:r>
        <w:rPr>
          <w:rFonts w:hint="eastAsia"/>
          <w:color w:val="auto"/>
          <w:highlight w:val="none"/>
        </w:rPr>
        <w:br w:type="page"/>
      </w:r>
      <w:bookmarkStart w:id="246" w:name="_Toc17883"/>
      <w:bookmarkStart w:id="247" w:name="_Toc111186814"/>
    </w:p>
    <w:p w14:paraId="5476981F">
      <w:pPr>
        <w:pStyle w:val="6"/>
        <w:wordWrap w:val="0"/>
        <w:rPr>
          <w:color w:val="auto"/>
          <w:highlight w:val="none"/>
        </w:rPr>
      </w:pPr>
      <w:r>
        <w:rPr>
          <w:rFonts w:hint="eastAsia"/>
          <w:color w:val="auto"/>
          <w:highlight w:val="none"/>
        </w:rPr>
        <w:t>三</w:t>
      </w:r>
      <w:bookmarkEnd w:id="246"/>
      <w:bookmarkEnd w:id="247"/>
      <w:r>
        <w:rPr>
          <w:rFonts w:hint="eastAsia"/>
          <w:color w:val="auto"/>
          <w:highlight w:val="none"/>
        </w:rPr>
        <w:t>、联合体协议书</w:t>
      </w:r>
    </w:p>
    <w:p w14:paraId="19EC67A6">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联合体协议书</w:t>
      </w:r>
    </w:p>
    <w:p w14:paraId="6DF300FC">
      <w:pPr>
        <w:wordWrap w:val="0"/>
        <w:spacing w:line="240" w:lineRule="auto"/>
        <w:jc w:val="center"/>
        <w:rPr>
          <w:rFonts w:ascii="宋体" w:hAnsi="宋体" w:eastAsia="宋体" w:cs="宋体"/>
          <w:color w:val="auto"/>
          <w:sz w:val="24"/>
          <w:szCs w:val="24"/>
          <w:highlight w:val="none"/>
        </w:rPr>
      </w:pPr>
      <w:r>
        <w:rPr>
          <w:rFonts w:hint="eastAsia" w:ascii="宋体" w:hAnsi="宋体" w:eastAsia="宋体" w:cs="宋体"/>
          <w:b/>
          <w:color w:val="auto"/>
          <w:sz w:val="28"/>
          <w:szCs w:val="28"/>
          <w:highlight w:val="none"/>
        </w:rPr>
        <w:t>（参考格式）</w:t>
      </w:r>
    </w:p>
    <w:p w14:paraId="7B520444">
      <w:pPr>
        <w:wordWrap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3CFD950">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（招标人）</w:t>
      </w:r>
    </w:p>
    <w:p w14:paraId="4C852DB3">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决定组成联合体共同参加以上项目的投标，若中标，联合体各成员向招标人承担连带责任。我方授权委托本协议主办方，代表所有联合体成员参加投标、提交投标文件，以及与招标人签订合同，负责整个合同实施阶段的协调工作。</w:t>
      </w:r>
    </w:p>
    <w:p w14:paraId="02B172FF">
      <w:pPr>
        <w:wordWrap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协议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692ADBD1">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投标主办方：（盖章）</w:t>
      </w:r>
      <w:r>
        <w:rPr>
          <w:rFonts w:hint="eastAsia" w:ascii="宋体" w:hAnsi="宋体" w:eastAsia="宋体" w:cs="宋体"/>
          <w:color w:val="auto"/>
          <w:sz w:val="24"/>
          <w:szCs w:val="24"/>
          <w:highlight w:val="none"/>
          <w:u w:val="single"/>
          <w:lang w:val="zh-CN"/>
        </w:rPr>
        <w:t xml:space="preserve">                                         </w:t>
      </w:r>
    </w:p>
    <w:p w14:paraId="38339351">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lang w:val="zh-CN"/>
        </w:rPr>
        <w:t xml:space="preserve">                                                      </w:t>
      </w:r>
    </w:p>
    <w:p w14:paraId="4D69E685">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电话/传真：</w:t>
      </w:r>
      <w:r>
        <w:rPr>
          <w:rFonts w:hint="eastAsia" w:ascii="宋体" w:hAnsi="宋体" w:eastAsia="宋体" w:cs="宋体"/>
          <w:color w:val="auto"/>
          <w:sz w:val="24"/>
          <w:szCs w:val="24"/>
          <w:highlight w:val="none"/>
          <w:u w:val="single"/>
          <w:lang w:val="zh-CN"/>
        </w:rPr>
        <w:t xml:space="preserve">                             </w:t>
      </w:r>
    </w:p>
    <w:p w14:paraId="5DDBB791">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分工内容：</w:t>
      </w:r>
      <w:r>
        <w:rPr>
          <w:rFonts w:hint="eastAsia" w:ascii="宋体" w:hAnsi="宋体" w:eastAsia="宋体" w:cs="宋体"/>
          <w:color w:val="auto"/>
          <w:sz w:val="24"/>
          <w:szCs w:val="24"/>
          <w:highlight w:val="none"/>
          <w:u w:val="single"/>
          <w:lang w:val="zh-CN"/>
        </w:rPr>
        <w:t xml:space="preserve">                                                  </w:t>
      </w:r>
    </w:p>
    <w:p w14:paraId="5D97D004">
      <w:pPr>
        <w:wordWrap w:val="0"/>
        <w:spacing w:line="360" w:lineRule="auto"/>
        <w:rPr>
          <w:rFonts w:ascii="宋体" w:hAnsi="宋体" w:eastAsia="宋体" w:cs="宋体"/>
          <w:color w:val="auto"/>
          <w:sz w:val="24"/>
          <w:szCs w:val="24"/>
          <w:highlight w:val="none"/>
          <w:lang w:val="zh-CN"/>
        </w:rPr>
      </w:pPr>
    </w:p>
    <w:p w14:paraId="49A7C0D1">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联合体成员：（盖章）</w:t>
      </w:r>
      <w:r>
        <w:rPr>
          <w:rFonts w:hint="eastAsia" w:ascii="宋体" w:hAnsi="宋体" w:eastAsia="宋体" w:cs="宋体"/>
          <w:color w:val="auto"/>
          <w:sz w:val="24"/>
          <w:szCs w:val="24"/>
          <w:highlight w:val="none"/>
          <w:u w:val="single"/>
          <w:lang w:val="zh-CN"/>
        </w:rPr>
        <w:t xml:space="preserve">                                         </w:t>
      </w:r>
    </w:p>
    <w:p w14:paraId="43440674">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lang w:val="zh-CN"/>
        </w:rPr>
        <w:t xml:space="preserve">                                                      </w:t>
      </w:r>
    </w:p>
    <w:p w14:paraId="1C4911B7">
      <w:pPr>
        <w:wordWrap w:val="0"/>
        <w:spacing w:line="360" w:lineRule="auto"/>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电话/传真：</w:t>
      </w:r>
      <w:r>
        <w:rPr>
          <w:rFonts w:hint="eastAsia" w:ascii="宋体" w:hAnsi="宋体" w:eastAsia="宋体" w:cs="宋体"/>
          <w:color w:val="auto"/>
          <w:sz w:val="24"/>
          <w:szCs w:val="24"/>
          <w:highlight w:val="none"/>
          <w:u w:val="single"/>
          <w:lang w:val="zh-CN"/>
        </w:rPr>
        <w:t xml:space="preserve">                             </w:t>
      </w:r>
    </w:p>
    <w:p w14:paraId="2DEB3268">
      <w:pPr>
        <w:wordWrap w:val="0"/>
        <w:spacing w:line="360" w:lineRule="auto"/>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分工内容：</w:t>
      </w:r>
      <w:r>
        <w:rPr>
          <w:rFonts w:hint="eastAsia" w:ascii="宋体" w:hAnsi="宋体" w:eastAsia="宋体" w:cs="宋体"/>
          <w:color w:val="auto"/>
          <w:sz w:val="24"/>
          <w:szCs w:val="24"/>
          <w:highlight w:val="none"/>
          <w:u w:val="single"/>
          <w:lang w:val="zh-CN"/>
        </w:rPr>
        <w:t xml:space="preserve">                                                  </w:t>
      </w:r>
    </w:p>
    <w:p w14:paraId="3D5DD30B">
      <w:pPr>
        <w:pStyle w:val="25"/>
        <w:rPr>
          <w:rFonts w:hint="eastAsia" w:ascii="宋体" w:hAnsi="宋体" w:eastAsia="宋体" w:cs="宋体"/>
          <w:color w:val="auto"/>
          <w:sz w:val="24"/>
          <w:szCs w:val="24"/>
          <w:highlight w:val="none"/>
          <w:u w:val="single"/>
          <w:lang w:val="zh-CN"/>
        </w:rPr>
      </w:pPr>
    </w:p>
    <w:p w14:paraId="77405325">
      <w:pPr>
        <w:pStyle w:val="25"/>
        <w:rPr>
          <w:rFonts w:hint="eastAsia" w:ascii="宋体" w:hAnsi="宋体" w:eastAsia="宋体" w:cs="宋体"/>
          <w:color w:val="auto"/>
          <w:sz w:val="24"/>
          <w:szCs w:val="24"/>
          <w:highlight w:val="none"/>
          <w:u w:val="single"/>
          <w:lang w:val="zh-CN"/>
        </w:rPr>
      </w:pPr>
    </w:p>
    <w:p w14:paraId="5E384BB3">
      <w:pPr>
        <w:pStyle w:val="25"/>
        <w:rPr>
          <w:color w:val="auto"/>
          <w:highlight w:val="none"/>
          <w:lang w:val="zh-CN"/>
        </w:rPr>
      </w:pPr>
    </w:p>
    <w:p w14:paraId="18D8E411">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签订日期：       年    月    日</w:t>
      </w:r>
    </w:p>
    <w:p w14:paraId="2EBDD6C0">
      <w:pPr>
        <w:widowControl/>
        <w:wordWrap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注：非联合体投标的，无需提交本协议书。本联合体协议书可根据联合体成员数量自行调整相关内容。</w:t>
      </w:r>
    </w:p>
    <w:p w14:paraId="505B900C">
      <w:pPr>
        <w:pStyle w:val="6"/>
        <w:wordWrap w:val="0"/>
        <w:rPr>
          <w:color w:val="auto"/>
          <w:highlight w:val="none"/>
          <w:u w:val="single"/>
        </w:rPr>
      </w:pPr>
      <w:r>
        <w:rPr>
          <w:rFonts w:hint="eastAsia"/>
          <w:color w:val="auto"/>
          <w:highlight w:val="none"/>
        </w:rPr>
        <w:br w:type="page"/>
      </w:r>
      <w:bookmarkStart w:id="248" w:name="_Toc111186815"/>
      <w:bookmarkStart w:id="249" w:name="_Toc23229"/>
    </w:p>
    <w:p w14:paraId="31D74A4A">
      <w:pPr>
        <w:pStyle w:val="6"/>
        <w:wordWrap w:val="0"/>
        <w:rPr>
          <w:color w:val="auto"/>
          <w:highlight w:val="none"/>
        </w:rPr>
      </w:pPr>
      <w:r>
        <w:rPr>
          <w:rFonts w:hint="eastAsia"/>
          <w:color w:val="auto"/>
          <w:highlight w:val="none"/>
        </w:rPr>
        <w:t>四、投标保证金</w:t>
      </w:r>
    </w:p>
    <w:p w14:paraId="1B237F88">
      <w:pPr>
        <w:rPr>
          <w:rFonts w:ascii="宋体" w:hAnsi="宋体" w:eastAsia="宋体"/>
          <w:color w:val="auto"/>
          <w:sz w:val="24"/>
          <w:szCs w:val="24"/>
          <w:highlight w:val="none"/>
          <w:u w:val="single"/>
          <w:lang w:val="zh-CN"/>
        </w:rPr>
      </w:pPr>
      <w:r>
        <w:rPr>
          <w:rFonts w:hint="eastAsia" w:ascii="宋体" w:hAnsi="宋体" w:eastAsia="宋体"/>
          <w:color w:val="auto"/>
          <w:sz w:val="24"/>
          <w:szCs w:val="24"/>
          <w:highlight w:val="none"/>
          <w:u w:val="single"/>
          <w:lang w:val="zh-CN"/>
        </w:rPr>
        <w:t>本项目不要求。</w:t>
      </w:r>
    </w:p>
    <w:p w14:paraId="5CDDD626">
      <w:pPr>
        <w:widowControl/>
        <w:jc w:val="left"/>
        <w:rPr>
          <w:rFonts w:ascii="宋体" w:hAnsi="宋体" w:eastAsia="宋体" w:cs="Times New Roman"/>
          <w:b/>
          <w:color w:val="auto"/>
          <w:kern w:val="0"/>
          <w:sz w:val="24"/>
          <w:szCs w:val="24"/>
          <w:highlight w:val="none"/>
          <w:lang w:val="zh-CN"/>
        </w:rPr>
      </w:pPr>
      <w:r>
        <w:rPr>
          <w:rFonts w:hint="eastAsia"/>
          <w:color w:val="auto"/>
          <w:highlight w:val="none"/>
        </w:rPr>
        <w:br w:type="page"/>
      </w:r>
    </w:p>
    <w:p w14:paraId="465479A3">
      <w:pPr>
        <w:pStyle w:val="6"/>
        <w:wordWrap w:val="0"/>
        <w:rPr>
          <w:color w:val="auto"/>
          <w:highlight w:val="none"/>
        </w:rPr>
      </w:pPr>
      <w:r>
        <w:rPr>
          <w:rFonts w:hint="eastAsia"/>
          <w:color w:val="auto"/>
          <w:highlight w:val="none"/>
        </w:rPr>
        <w:t>五、勘察设计费报价表</w:t>
      </w:r>
    </w:p>
    <w:p w14:paraId="7470B1AC">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勘察设计费报价表</w:t>
      </w:r>
    </w:p>
    <w:p w14:paraId="1E983880">
      <w:pPr>
        <w:wordWrap w:val="0"/>
        <w:jc w:val="center"/>
        <w:rPr>
          <w:rFonts w:ascii="宋体" w:hAnsi="宋体" w:eastAsia="宋体" w:cs="宋体"/>
          <w:b/>
          <w:color w:val="auto"/>
          <w:sz w:val="32"/>
          <w:szCs w:val="24"/>
          <w:highlight w:val="none"/>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896"/>
        <w:gridCol w:w="1031"/>
        <w:gridCol w:w="2107"/>
        <w:gridCol w:w="4023"/>
      </w:tblGrid>
      <w:tr w14:paraId="7980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80" w:type="pct"/>
            <w:vAlign w:val="center"/>
          </w:tcPr>
          <w:p w14:paraId="058B9520">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14" w:type="pct"/>
            <w:vAlign w:val="center"/>
          </w:tcPr>
          <w:p w14:paraId="3FF681FD">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591" w:type="pct"/>
            <w:vAlign w:val="center"/>
          </w:tcPr>
          <w:p w14:paraId="67AEDE6B">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下浮率</w:t>
            </w:r>
          </w:p>
        </w:tc>
        <w:tc>
          <w:tcPr>
            <w:tcW w:w="1208" w:type="pct"/>
            <w:vAlign w:val="center"/>
          </w:tcPr>
          <w:p w14:paraId="41CB1C36">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投标报价</w:t>
            </w:r>
          </w:p>
        </w:tc>
        <w:tc>
          <w:tcPr>
            <w:tcW w:w="2307" w:type="pct"/>
            <w:vAlign w:val="center"/>
          </w:tcPr>
          <w:p w14:paraId="2A12E6E7">
            <w:pPr>
              <w:wordWrap w:val="0"/>
              <w:spacing w:line="276"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3951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80" w:type="pct"/>
            <w:vAlign w:val="center"/>
          </w:tcPr>
          <w:p w14:paraId="21ECA429">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514" w:type="pct"/>
            <w:vAlign w:val="center"/>
          </w:tcPr>
          <w:p w14:paraId="10877223">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勘察费</w:t>
            </w:r>
          </w:p>
        </w:tc>
        <w:tc>
          <w:tcPr>
            <w:tcW w:w="591" w:type="pct"/>
            <w:vAlign w:val="center"/>
          </w:tcPr>
          <w:p w14:paraId="350FB0A5">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1208" w:type="pct"/>
            <w:vAlign w:val="center"/>
          </w:tcPr>
          <w:p w14:paraId="6B5C831A">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7" w:type="pct"/>
            <w:vAlign w:val="center"/>
          </w:tcPr>
          <w:p w14:paraId="1CC92C5B">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下浮率</w:t>
            </w:r>
            <w:r>
              <w:rPr>
                <w:rFonts w:ascii="宋体" w:hAnsi="宋体" w:eastAsia="宋体" w:cs="宋体"/>
                <w:color w:val="auto"/>
                <w:szCs w:val="21"/>
                <w:highlight w:val="none"/>
              </w:rPr>
              <w:t>=【1-（勘察费投标报价/勘察费最高投标限价）】*100%</w:t>
            </w:r>
          </w:p>
        </w:tc>
      </w:tr>
      <w:tr w14:paraId="4E02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80" w:type="pct"/>
            <w:vAlign w:val="center"/>
          </w:tcPr>
          <w:p w14:paraId="435D3656">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514" w:type="pct"/>
            <w:vAlign w:val="center"/>
          </w:tcPr>
          <w:p w14:paraId="3D076A6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设计费</w:t>
            </w:r>
          </w:p>
        </w:tc>
        <w:tc>
          <w:tcPr>
            <w:tcW w:w="591" w:type="pct"/>
            <w:vAlign w:val="center"/>
          </w:tcPr>
          <w:p w14:paraId="6BF9078B">
            <w:pPr>
              <w:wordWrap w:val="0"/>
              <w:spacing w:line="276"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1208" w:type="pct"/>
            <w:vAlign w:val="center"/>
          </w:tcPr>
          <w:p w14:paraId="083841C0">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7" w:type="pct"/>
            <w:vAlign w:val="center"/>
          </w:tcPr>
          <w:p w14:paraId="556337A2">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下浮率</w:t>
            </w:r>
            <w:r>
              <w:rPr>
                <w:rFonts w:ascii="宋体" w:hAnsi="宋体" w:eastAsia="宋体" w:cs="宋体"/>
                <w:color w:val="auto"/>
                <w:szCs w:val="21"/>
                <w:highlight w:val="none"/>
              </w:rPr>
              <w:t>=【1-（设计费投标报价/设计费最高投标限价）】*100%</w:t>
            </w:r>
          </w:p>
        </w:tc>
      </w:tr>
      <w:tr w14:paraId="5DA1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94" w:type="pct"/>
            <w:gridSpan w:val="2"/>
            <w:vAlign w:val="center"/>
          </w:tcPr>
          <w:p w14:paraId="02502E71">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591" w:type="pct"/>
            <w:vAlign w:val="center"/>
          </w:tcPr>
          <w:p w14:paraId="62086D0F">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08" w:type="pct"/>
            <w:vAlign w:val="center"/>
          </w:tcPr>
          <w:p w14:paraId="1C0B783D">
            <w:pPr>
              <w:wordWrap w:val="0"/>
              <w:spacing w:line="276"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投标总报价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tc>
        <w:tc>
          <w:tcPr>
            <w:tcW w:w="2307" w:type="pct"/>
            <w:vAlign w:val="center"/>
          </w:tcPr>
          <w:p w14:paraId="5D464E99">
            <w:pPr>
              <w:wordWrap w:val="0"/>
              <w:spacing w:line="276"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rPr>
              <w:t>投标总报价=勘察费投标报价+设计费投标报价</w:t>
            </w:r>
          </w:p>
        </w:tc>
      </w:tr>
    </w:tbl>
    <w:p w14:paraId="69545FD3">
      <w:pPr>
        <w:wordWrap w:val="0"/>
        <w:spacing w:line="360" w:lineRule="auto"/>
        <w:rPr>
          <w:rFonts w:ascii="宋体" w:hAnsi="宋体" w:eastAsia="宋体"/>
          <w:color w:val="auto"/>
          <w:sz w:val="24"/>
          <w:szCs w:val="24"/>
          <w:highlight w:val="none"/>
        </w:rPr>
      </w:pPr>
    </w:p>
    <w:p w14:paraId="607842D4">
      <w:pPr>
        <w:wordWrap w:val="0"/>
        <w:spacing w:line="360" w:lineRule="auto"/>
        <w:jc w:val="right"/>
        <w:rPr>
          <w:rFonts w:ascii="宋体" w:hAnsi="宋体" w:eastAsia="宋体"/>
          <w:color w:val="auto"/>
          <w:sz w:val="24"/>
          <w:szCs w:val="24"/>
          <w:highlight w:val="none"/>
        </w:rPr>
      </w:pPr>
      <w:r>
        <w:rPr>
          <w:rFonts w:hint="eastAsia" w:ascii="宋体" w:hAnsi="宋体" w:eastAsia="宋体"/>
          <w:color w:val="auto"/>
          <w:sz w:val="24"/>
          <w:szCs w:val="24"/>
          <w:highlight w:val="none"/>
        </w:rPr>
        <w:t>投标人：</w:t>
      </w:r>
      <w:r>
        <w:rPr>
          <w:rFonts w:hint="eastAsia" w:ascii="宋体" w:hAnsi="宋体" w:eastAsia="宋体"/>
          <w:color w:val="auto"/>
          <w:sz w:val="24"/>
          <w:szCs w:val="24"/>
          <w:highlight w:val="none"/>
          <w:u w:val="single"/>
        </w:rPr>
        <w:t xml:space="preserve">    </w:t>
      </w:r>
      <w:r>
        <w:rPr>
          <w:rFonts w:hint="eastAsia" w:ascii="宋体" w:hAnsi="宋体" w:eastAsia="宋体"/>
          <w:color w:val="auto"/>
          <w:spacing w:val="-1"/>
          <w:sz w:val="24"/>
          <w:szCs w:val="24"/>
          <w:highlight w:val="none"/>
        </w:rPr>
        <w:t>（盖章）</w:t>
      </w:r>
    </w:p>
    <w:p w14:paraId="279E48C8">
      <w:pPr>
        <w:wordWrap w:val="0"/>
        <w:spacing w:line="360" w:lineRule="auto"/>
        <w:jc w:val="right"/>
        <w:rPr>
          <w:rFonts w:ascii="宋体" w:hAnsi="宋体" w:eastAsia="宋体" w:cs="宋体"/>
          <w:bCs/>
          <w:color w:val="auto"/>
          <w:sz w:val="24"/>
          <w:szCs w:val="24"/>
          <w:highlight w:val="none"/>
        </w:rPr>
      </w:pP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bCs/>
          <w:color w:val="auto"/>
          <w:sz w:val="24"/>
          <w:szCs w:val="24"/>
          <w:highlight w:val="none"/>
        </w:rPr>
        <w:t>日</w:t>
      </w:r>
    </w:p>
    <w:p w14:paraId="2E445364">
      <w:pPr>
        <w:wordWrap w:val="0"/>
        <w:spacing w:line="360" w:lineRule="auto"/>
        <w:rPr>
          <w:rFonts w:ascii="宋体" w:hAnsi="宋体" w:eastAsia="宋体" w:cs="宋体"/>
          <w:b/>
          <w:bCs/>
          <w:color w:val="auto"/>
          <w:sz w:val="24"/>
          <w:szCs w:val="24"/>
          <w:highlight w:val="none"/>
          <w:u w:val="single"/>
        </w:rPr>
      </w:pPr>
    </w:p>
    <w:p w14:paraId="3F7CE1DD">
      <w:pPr>
        <w:wordWrap w:val="0"/>
        <w:spacing w:line="360" w:lineRule="auto"/>
        <w:jc w:val="both"/>
        <w:rPr>
          <w:rFonts w:hint="eastAsia" w:ascii="宋体" w:hAnsi="宋体" w:eastAsia="宋体" w:cs="宋体"/>
          <w:b/>
          <w:bCs/>
          <w:color w:val="auto"/>
          <w:sz w:val="24"/>
          <w:szCs w:val="24"/>
          <w:highlight w:val="none"/>
          <w:u w:val="single"/>
        </w:rPr>
      </w:pPr>
      <w:bookmarkStart w:id="250" w:name="OLE_LINK58"/>
      <w:r>
        <w:rPr>
          <w:rFonts w:hint="eastAsia" w:ascii="宋体" w:hAnsi="宋体" w:eastAsia="宋体" w:cs="宋体"/>
          <w:b/>
          <w:bCs/>
          <w:color w:val="auto"/>
          <w:sz w:val="24"/>
          <w:szCs w:val="24"/>
          <w:highlight w:val="none"/>
          <w:u w:val="single"/>
        </w:rPr>
        <w:t>注：</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如联合体投标人，由投标主办方盖章即可。</w:t>
      </w:r>
    </w:p>
    <w:p w14:paraId="2468BE7F">
      <w:pPr>
        <w:wordWrap w:val="0"/>
        <w:spacing w:line="360" w:lineRule="auto"/>
        <w:jc w:val="both"/>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、投标报价填报保留到小数点后</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位。</w:t>
      </w:r>
    </w:p>
    <w:p w14:paraId="4FADE4CE">
      <w:pPr>
        <w:wordWrap w:val="0"/>
        <w:rPr>
          <w:rFonts w:ascii="宋体" w:hAnsi="宋体" w:eastAsia="宋体" w:cs="宋体"/>
          <w:color w:val="auto"/>
          <w:szCs w:val="24"/>
          <w:highlight w:val="none"/>
        </w:rPr>
      </w:pP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、投标下浮率以百分比为单位，保留到小数点后</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位。</w:t>
      </w:r>
      <w:bookmarkEnd w:id="250"/>
      <w:r>
        <w:rPr>
          <w:rFonts w:hint="eastAsia" w:ascii="宋体" w:hAnsi="宋体" w:eastAsia="宋体" w:cs="宋体"/>
          <w:color w:val="auto"/>
          <w:szCs w:val="24"/>
          <w:highlight w:val="none"/>
        </w:rPr>
        <w:br w:type="page"/>
      </w:r>
    </w:p>
    <w:bookmarkEnd w:id="248"/>
    <w:bookmarkEnd w:id="249"/>
    <w:p w14:paraId="62213BD8">
      <w:pPr>
        <w:pStyle w:val="6"/>
        <w:wordWrap w:val="0"/>
        <w:rPr>
          <w:color w:val="auto"/>
          <w:highlight w:val="none"/>
        </w:rPr>
      </w:pPr>
      <w:r>
        <w:rPr>
          <w:rFonts w:hint="eastAsia"/>
          <w:color w:val="auto"/>
          <w:highlight w:val="none"/>
        </w:rPr>
        <w:t>六、</w:t>
      </w:r>
      <w:r>
        <w:rPr>
          <w:rFonts w:hint="eastAsia" w:cs="宋体"/>
          <w:color w:val="auto"/>
          <w:highlight w:val="none"/>
        </w:rPr>
        <w:t>资格审查资料</w:t>
      </w:r>
    </w:p>
    <w:p w14:paraId="1995CC22">
      <w:pPr>
        <w:widowControl/>
        <w:spacing w:line="360" w:lineRule="auto"/>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（1）营业执照或事业单位登记机构核发的事业单位法人证书、资质证书；</w:t>
      </w:r>
    </w:p>
    <w:p w14:paraId="12615A92">
      <w:pPr>
        <w:widowControl/>
        <w:spacing w:line="360" w:lineRule="auto"/>
        <w:jc w:val="left"/>
        <w:rPr>
          <w:rFonts w:ascii="宋体" w:hAnsi="宋体" w:eastAsia="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olor w:val="auto"/>
          <w:sz w:val="24"/>
          <w:szCs w:val="24"/>
          <w:highlight w:val="none"/>
        </w:rPr>
        <w:t>项目负责人资格证明资料；</w:t>
      </w:r>
    </w:p>
    <w:p w14:paraId="2A16757A">
      <w:pPr>
        <w:widowControl/>
        <w:spacing w:line="360" w:lineRule="auto"/>
        <w:jc w:val="left"/>
        <w:rPr>
          <w:rFonts w:ascii="宋体" w:hAnsi="宋体" w:eastAsia="宋体" w:cs="宋体"/>
          <w:bCs/>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s="宋体"/>
          <w:bCs/>
          <w:color w:val="auto"/>
          <w:sz w:val="24"/>
          <w:szCs w:val="24"/>
          <w:highlight w:val="none"/>
        </w:rPr>
        <w:t>投标人声明、廉洁承诺书。</w:t>
      </w:r>
    </w:p>
    <w:p w14:paraId="13A66595">
      <w:pPr>
        <w:widowControl/>
        <w:spacing w:line="360" w:lineRule="auto"/>
        <w:jc w:val="left"/>
        <w:rPr>
          <w:rFonts w:ascii="宋体" w:hAnsi="宋体" w:eastAsia="宋体" w:cs="宋体"/>
          <w:bCs/>
          <w:color w:val="auto"/>
          <w:sz w:val="24"/>
          <w:szCs w:val="24"/>
          <w:highlight w:val="none"/>
        </w:rPr>
      </w:pPr>
    </w:p>
    <w:p w14:paraId="54DA3435">
      <w:pPr>
        <w:widowControl/>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9BD6EFA">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投标人声明</w:t>
      </w:r>
    </w:p>
    <w:p w14:paraId="0F3B175B">
      <w:pPr>
        <w:wordWrap w:val="0"/>
        <w:spacing w:line="360" w:lineRule="auto"/>
        <w:ind w:firstLine="629"/>
        <w:rPr>
          <w:rFonts w:ascii="宋体" w:hAnsi="宋体" w:eastAsia="宋体" w:cs="宋体"/>
          <w:color w:val="auto"/>
          <w:kern w:val="0"/>
          <w:sz w:val="24"/>
          <w:szCs w:val="24"/>
          <w:highlight w:val="none"/>
        </w:rPr>
      </w:pPr>
    </w:p>
    <w:p w14:paraId="1D8620F4">
      <w:pPr>
        <w:wordWrap w:val="0"/>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广州市花都区住房和城乡建设局</w:t>
      </w:r>
      <w:r>
        <w:rPr>
          <w:rFonts w:hint="eastAsia" w:ascii="宋体" w:hAnsi="宋体" w:eastAsia="宋体" w:cs="宋体"/>
          <w:color w:val="auto"/>
          <w:kern w:val="0"/>
          <w:sz w:val="24"/>
          <w:szCs w:val="24"/>
          <w:highlight w:val="none"/>
        </w:rPr>
        <w:t>、本招标项目招标人及招标监管机构：</w:t>
      </w:r>
    </w:p>
    <w:p w14:paraId="7BFA67AE">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本公司就参加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项目投标工作，作出郑重声明：</w:t>
      </w:r>
    </w:p>
    <w:p w14:paraId="3993A576">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一、本公司保证投标登记材料及其后提供的一切材料都是真实的。如我司成为本项目中标候选人，我司同意并授权招标人将我司投标文件的人员、业绩、奖项等资料进行公开。</w:t>
      </w:r>
    </w:p>
    <w:p w14:paraId="28926737">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本公司承诺遵循公平公正、公开、诚实信用原则，如实投标，真实反映企业实力，公平竞争，不弄虚作假，不以低于企业成本价竞标而降低设计服务质量，不与任何建设单位订立违背企业成本取费标准及相关规定的“阴阳合同”进行恶性竞争，扰乱市场秩序，不与其他单位串通投标或以行贿手段谋取中标，不出借资质、转让勘察设计业务。</w:t>
      </w:r>
    </w:p>
    <w:p w14:paraId="21A461EC">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三、本公司不存在招标文件第二章投标人须知第1.4.3项所规定的任何一种情形。具体如下：</w:t>
      </w:r>
    </w:p>
    <w:p w14:paraId="53339EE1">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（一）为招标人不具有独立法人资格的附属机构（单位）；</w:t>
      </w:r>
    </w:p>
    <w:p w14:paraId="5D5AA189">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（二）与招标人存在利害关系且可能影响招标公正性；</w:t>
      </w:r>
    </w:p>
    <w:p w14:paraId="1F76B624">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（三）与本招标项目的其他投标人为同一个单位负责人；</w:t>
      </w:r>
    </w:p>
    <w:p w14:paraId="547EF9E8">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（四）与本招标项目的其他投标人存在控股、管理关系；</w:t>
      </w:r>
    </w:p>
    <w:p w14:paraId="69061217">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（五）为本招标项目的代建人或建设管理单位；</w:t>
      </w:r>
    </w:p>
    <w:p w14:paraId="4EDDEB02">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（六）为本招标项目的招标代理机构；</w:t>
      </w:r>
    </w:p>
    <w:p w14:paraId="76E394DD">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（七）与本招标项目的代建人或招标代理机构同为一个法定代表人；</w:t>
      </w:r>
    </w:p>
    <w:p w14:paraId="600C682F">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（八）与本招标项目的代建人或招标代理机构存在控股或参股关系；</w:t>
      </w:r>
    </w:p>
    <w:p w14:paraId="56AC1CE3">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2A911121">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（十）被责令停产停业、暂扣或者吊销许可证、暂扣或者吊销执照（本项事实应当以根据《中华人民共和国行政处罚法》依法作出并已生效的行政处罚决定为认定依据。）；</w:t>
      </w:r>
    </w:p>
    <w:p w14:paraId="1185899A">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（十一）进入清算程序，或被宣告破产，或其他丧失履约能力的情形；</w:t>
      </w:r>
    </w:p>
    <w:p w14:paraId="6F07C65E">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二）在最近三年内发生重大设计质量问题（以相关行业主管部门的行政处罚决定或司法机关出具的有关法律文书为准。“最近三年”是指从投标截止时间之日起逆推三年，以相关行业主管部门、司法机关、仲裁机构出具的生效文件的落款时间起计算。）；</w:t>
      </w:r>
    </w:p>
    <w:p w14:paraId="5DF014C5">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（十三）法律法规或投标人须知前附表规定的其他情形。</w:t>
      </w:r>
    </w:p>
    <w:p w14:paraId="0FFD8947">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四、本公司及其有隶属关系的机构，没有参加本项目招标文件的编写工作；本公司与本次招标的招标代理机构没有隶属关系或其他利害关系 。</w:t>
      </w:r>
    </w:p>
    <w:p w14:paraId="23A86072">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五、本公司承诺，愿以承诺的投标报价方式承包本次招标所包含的工作，并承担勘察设计质量缺陷责任，中标后严格执行相关法律法规、设计规范等。</w:t>
      </w:r>
    </w:p>
    <w:p w14:paraId="44201C5F">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六、与本公司单位负责人为同一人或者与本公司存在控股、管理关系的其他单位包括：</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。（注：本条由投标人如实填写，如有，应列出全部满足招标公告资质要求的相关单位的名称；如无，则填写“无”</w:t>
      </w:r>
      <w:r>
        <w:rPr>
          <w:rFonts w:hint="eastAsia" w:ascii="宋体" w:hAnsi="宋体" w:eastAsia="宋体" w:cs="宋体"/>
          <w:color w:val="auto"/>
          <w:kern w:val="0"/>
          <w:sz w:val="24"/>
          <w:szCs w:val="24"/>
          <w:highlight w:val="none"/>
          <w:u w:val="single"/>
        </w:rPr>
        <w:t>；如联合体投标，联合体各成员需单独列明</w:t>
      </w:r>
      <w:r>
        <w:rPr>
          <w:rFonts w:hint="eastAsia" w:ascii="宋体" w:hAnsi="宋体" w:eastAsia="宋体" w:cs="宋体"/>
          <w:color w:val="auto"/>
          <w:kern w:val="0"/>
          <w:sz w:val="24"/>
          <w:szCs w:val="24"/>
          <w:highlight w:val="none"/>
        </w:rPr>
        <w:t>。）</w:t>
      </w:r>
    </w:p>
    <w:p w14:paraId="1BE453F7">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七、本公司承诺所提供的银行保函、保证保险、专业工程担保公司担保（如有）真实、有效。</w:t>
      </w:r>
    </w:p>
    <w:p w14:paraId="3943D9C3">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八、本公司积极响应广州市关于投身“百千万工程”的号召，主动参与政府投资类建设工程施工项目的建筑业结对帮扶等活动（市属国有企业投资项目参照执行）。</w:t>
      </w:r>
    </w:p>
    <w:p w14:paraId="576B0CAE">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九、本公司违反上述承诺，或本声明陈述与事实不符，经查实，本公司愿意接受公开通报，愿意按照广州市交通运输局有关信用评价管理有关规定，被记录为“不良交易行为信息”，承担由此带来的法律后果。</w:t>
      </w:r>
    </w:p>
    <w:p w14:paraId="42C92E70">
      <w:pPr>
        <w:wordWrap w:val="0"/>
        <w:spacing w:line="360" w:lineRule="auto"/>
        <w:ind w:firstLine="566" w:firstLineChars="236"/>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14:paraId="6EBF416E">
      <w:pPr>
        <w:wordWrap w:val="0"/>
        <w:spacing w:line="360" w:lineRule="auto"/>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14:paraId="54AC78B7">
      <w:pPr>
        <w:wordWrap w:val="0"/>
        <w:spacing w:line="360" w:lineRule="auto"/>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41436585">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2D63915E">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9D0DCFC">
      <w:pPr>
        <w:wordWrap w:val="0"/>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廉洁承诺书</w:t>
      </w:r>
    </w:p>
    <w:p w14:paraId="315DB10A">
      <w:pPr>
        <w:wordWrap w:val="0"/>
        <w:spacing w:line="360" w:lineRule="auto"/>
        <w:ind w:firstLine="629"/>
        <w:rPr>
          <w:rFonts w:ascii="宋体" w:hAnsi="宋体" w:eastAsia="宋体" w:cs="宋体"/>
          <w:color w:val="auto"/>
          <w:kern w:val="0"/>
          <w:sz w:val="24"/>
          <w:szCs w:val="24"/>
          <w:highlight w:val="none"/>
        </w:rPr>
      </w:pPr>
    </w:p>
    <w:p w14:paraId="1870142B">
      <w:pPr>
        <w:wordWrap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本招标项目招标人及招标监管机构：</w:t>
      </w:r>
    </w:p>
    <w:p w14:paraId="11015A50">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本公司参加了</w:t>
      </w:r>
      <w:r>
        <w:rPr>
          <w:rFonts w:hint="eastAsia" w:ascii="宋体" w:hAnsi="宋体" w:eastAsia="宋体" w:cs="宋体"/>
          <w:color w:val="auto"/>
          <w:kern w:val="0"/>
          <w:sz w:val="24"/>
          <w:szCs w:val="24"/>
          <w:highlight w:val="none"/>
          <w:u w:val="single"/>
        </w:rPr>
        <w:t xml:space="preserve">      （项目名称）</w:t>
      </w:r>
      <w:r>
        <w:rPr>
          <w:rFonts w:hint="eastAsia" w:ascii="宋体" w:hAnsi="宋体" w:eastAsia="宋体" w:cs="宋体"/>
          <w:color w:val="auto"/>
          <w:kern w:val="0"/>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633CCE59">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一、自觉遵守国家有关法律法规及廉洁规定。</w:t>
      </w:r>
    </w:p>
    <w:p w14:paraId="4E8EC631">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二、不与招标单位工作人员串通投标，损害国家利益、企业利益以及他人的合法利益；</w:t>
      </w:r>
    </w:p>
    <w:p w14:paraId="12364C9C">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三、不与其他单位围标、串标，不出让投标资格，不向招标人或评标委员会成员行贿。</w:t>
      </w:r>
    </w:p>
    <w:p w14:paraId="7C5D6814">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四、不以任何名义向参与招标、评标工作的有关人员提供高消费宴请及娱乐活动和赠送回扣、红包、礼金、购物卡、有价证券、贵重物品和好处费、感谢费等； </w:t>
      </w:r>
    </w:p>
    <w:p w14:paraId="48E684D3">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五、不以任何名义为参与招标、评标工作的有关人员装修住房、婚丧嫁娶、配偶子女的工作安排以及境内外旅游等提供方便；</w:t>
      </w:r>
    </w:p>
    <w:p w14:paraId="461F6E1C">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六、不以谋取非正当利益为目的，擅自与参与招标、评标工作的有关人员就业务问题进行私下商谈或者达成利益默契。</w:t>
      </w:r>
    </w:p>
    <w:p w14:paraId="7355035D">
      <w:pPr>
        <w:wordWrap w:val="0"/>
        <w:spacing w:line="360" w:lineRule="auto"/>
        <w:ind w:firstLine="566" w:firstLineChars="236"/>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本公司违反上述承诺，或本承诺陈述与事实不符，经查实，本公司愿意接受公开通报，被招标监管部门信用评价记录不良行为并扣分，并承担由此带来的法律后果。</w:t>
      </w:r>
    </w:p>
    <w:p w14:paraId="154534C4">
      <w:pPr>
        <w:wordWrap w:val="0"/>
        <w:spacing w:line="360" w:lineRule="auto"/>
        <w:jc w:val="left"/>
        <w:rPr>
          <w:rFonts w:ascii="宋体" w:hAnsi="宋体" w:eastAsia="宋体" w:cs="宋体"/>
          <w:color w:val="auto"/>
          <w:kern w:val="0"/>
          <w:sz w:val="24"/>
          <w:szCs w:val="24"/>
          <w:highlight w:val="none"/>
        </w:rPr>
      </w:pPr>
    </w:p>
    <w:p w14:paraId="452F4467">
      <w:pPr>
        <w:wordWrap w:val="0"/>
        <w:spacing w:line="360" w:lineRule="auto"/>
        <w:jc w:val="left"/>
        <w:rPr>
          <w:rFonts w:ascii="宋体" w:hAnsi="宋体" w:eastAsia="宋体" w:cs="宋体"/>
          <w:color w:val="auto"/>
          <w:kern w:val="0"/>
          <w:sz w:val="24"/>
          <w:szCs w:val="24"/>
          <w:highlight w:val="none"/>
        </w:rPr>
      </w:pPr>
    </w:p>
    <w:p w14:paraId="62969B43">
      <w:pPr>
        <w:wordWrap w:val="0"/>
        <w:spacing w:line="360" w:lineRule="auto"/>
        <w:ind w:firstLine="4080" w:firstLineChars="17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投标人（盖章）：</w:t>
      </w:r>
    </w:p>
    <w:p w14:paraId="4D500184">
      <w:pPr>
        <w:wordWrap w:val="0"/>
        <w:spacing w:line="360" w:lineRule="auto"/>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14:paraId="02634D91">
      <w:pPr>
        <w:wordWrap w:val="0"/>
        <w:spacing w:line="360" w:lineRule="auto"/>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u w:val="single"/>
        </w:rPr>
        <w:t>（注：如联合体投标人，由投标主办方盖章即可。）</w:t>
      </w:r>
    </w:p>
    <w:p w14:paraId="6BEF4BD0">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6C15274">
      <w:pPr>
        <w:pStyle w:val="6"/>
        <w:wordWrap w:val="0"/>
        <w:rPr>
          <w:rFonts w:cs="宋体"/>
          <w:color w:val="auto"/>
          <w:highlight w:val="none"/>
        </w:rPr>
      </w:pPr>
      <w:r>
        <w:rPr>
          <w:rFonts w:hint="eastAsia"/>
          <w:color w:val="auto"/>
          <w:highlight w:val="none"/>
        </w:rPr>
        <w:t>七、投标人须知前附表规定的其他资料</w:t>
      </w:r>
    </w:p>
    <w:p w14:paraId="3FF14323">
      <w:pPr>
        <w:wordWrap w:val="0"/>
        <w:spacing w:line="360" w:lineRule="auto"/>
        <w:rPr>
          <w:rFonts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投标人认为有必要提供的其他资料，格式自定。</w:t>
      </w:r>
    </w:p>
    <w:p w14:paraId="146FA5AE">
      <w:pPr>
        <w:pStyle w:val="6"/>
        <w:wordWrap w:val="0"/>
        <w:rPr>
          <w:rFonts w:cs="宋体"/>
          <w:color w:val="auto"/>
          <w:highlight w:val="none"/>
        </w:rPr>
      </w:pPr>
      <w:r>
        <w:rPr>
          <w:rFonts w:hint="eastAsia"/>
          <w:color w:val="auto"/>
          <w:highlight w:val="none"/>
        </w:rPr>
        <w:br w:type="page"/>
      </w:r>
    </w:p>
    <w:p w14:paraId="7F46040A">
      <w:pPr>
        <w:pStyle w:val="4"/>
        <w:wordWrap w:val="0"/>
        <w:rPr>
          <w:color w:val="auto"/>
          <w:highlight w:val="none"/>
        </w:rPr>
      </w:pPr>
      <w:r>
        <w:rPr>
          <w:rFonts w:hint="eastAsia"/>
          <w:color w:val="auto"/>
          <w:highlight w:val="none"/>
        </w:rPr>
        <w:t>2. 技术文件（勘察设计方案）编制</w:t>
      </w:r>
    </w:p>
    <w:p w14:paraId="4A64B06F">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2.1技术文件（勘察设计方案）暗标，由下列资料组成（总页码不超过300页）：</w:t>
      </w:r>
    </w:p>
    <w:p w14:paraId="6D8982CB">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（1）设计方案文本文件：</w:t>
      </w:r>
    </w:p>
    <w:p w14:paraId="733A84B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(a) 首页：写明项目名称、设计作品主题（不宜超过20个字）、编制年月； </w:t>
      </w:r>
    </w:p>
    <w:p w14:paraId="207EB64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 目录。</w:t>
      </w:r>
    </w:p>
    <w:p w14:paraId="5C51AB10">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 设计说明书（含本项目的难点、建议和工程创新）。</w:t>
      </w:r>
    </w:p>
    <w:p w14:paraId="1E16B4E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(d)  设计图纸（含效果图）。</w:t>
      </w:r>
    </w:p>
    <w:p w14:paraId="1768889D">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(e) 《工期计划表》（方案修改、初步设计、施工图设计的总工时和工期）。</w:t>
      </w:r>
    </w:p>
    <w:p w14:paraId="3F96D25F">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(f) 投标人认为有必要提供的其他资料。</w:t>
      </w:r>
    </w:p>
    <w:p w14:paraId="00745E3B">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zh-CN"/>
        </w:rPr>
        <w:t>勘察方案文本文件</w:t>
      </w:r>
      <w:r>
        <w:rPr>
          <w:rFonts w:hint="eastAsia" w:ascii="宋体" w:hAnsi="宋体" w:eastAsia="宋体" w:cs="宋体"/>
          <w:b/>
          <w:color w:val="auto"/>
          <w:sz w:val="24"/>
          <w:szCs w:val="24"/>
          <w:highlight w:val="none"/>
        </w:rPr>
        <w:t>：</w:t>
      </w:r>
    </w:p>
    <w:p w14:paraId="0C87E19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(a) 针对项目场地及工程性质采用的勘察方案及建议，本次勘察的重点、难点及建议。</w:t>
      </w:r>
    </w:p>
    <w:p w14:paraId="6FD65E69">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(b) 勘察工作流程和相应的工期进度计划。</w:t>
      </w:r>
    </w:p>
    <w:p w14:paraId="77AE1426">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(c) 勘察报告综合评价深度，勘察成果文件内容目录。</w:t>
      </w:r>
    </w:p>
    <w:p w14:paraId="0435C33A">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(d) 投标人掌握的勘察工作有关的法律法规、标准、规范一览表。</w:t>
      </w:r>
    </w:p>
    <w:p w14:paraId="6EB858AB">
      <w:pPr>
        <w:wordWrap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(e) 需要建设单位配合的事项。</w:t>
      </w:r>
    </w:p>
    <w:p w14:paraId="0656CBC2">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投标人参与施工验槽，解决工程设计和施工中与勘察工作有关问题的服务承诺、响应时间。</w:t>
      </w:r>
    </w:p>
    <w:p w14:paraId="1868A903">
      <w:pPr>
        <w:wordWrap w:val="0"/>
        <w:spacing w:line="360" w:lineRule="auto"/>
        <w:ind w:firstLine="480" w:firstLineChars="200"/>
        <w:rPr>
          <w:rFonts w:hint="eastAsia" w:ascii="宋体" w:hAnsi="宋体" w:eastAsia="宋体" w:cs="宋体"/>
          <w:color w:val="auto"/>
          <w:sz w:val="24"/>
          <w:szCs w:val="24"/>
          <w:highlight w:val="none"/>
        </w:rPr>
      </w:pPr>
      <w:bookmarkStart w:id="251" w:name="OLE_LINK57"/>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 投标人认为有必要提供的其他资料。</w:t>
      </w:r>
    </w:p>
    <w:bookmarkEnd w:id="251"/>
    <w:p w14:paraId="103990A4">
      <w:pPr>
        <w:wordWrap w:val="0"/>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保密要求</w:t>
      </w:r>
    </w:p>
    <w:p w14:paraId="61844005">
      <w:pPr>
        <w:wordWrap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勘察设计方案必须隐匿投标人及专业技术人员的名称及投标报价信息，投标人不得在勘察设计方案上标注或做任何可以辨认投标人及专业技术人员身份的名称、印章、商标，也不得显示投标报价信息。</w:t>
      </w:r>
    </w:p>
    <w:p w14:paraId="7C190455">
      <w:pPr>
        <w:wordWrap w:val="0"/>
        <w:rPr>
          <w:color w:val="auto"/>
          <w:highlight w:val="none"/>
        </w:rPr>
      </w:pPr>
    </w:p>
    <w:sectPr>
      <w:footerReference r:id="rId5" w:type="default"/>
      <w:footerReference r:id="rId6" w:type="even"/>
      <w:pgSz w:w="11905" w:h="16838"/>
      <w:pgMar w:top="1474" w:right="1701" w:bottom="1474"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210166"/>
      <w:docPartObj>
        <w:docPartGallery w:val="autotext"/>
      </w:docPartObj>
    </w:sdtPr>
    <w:sdtContent>
      <w:p w14:paraId="00E3AC7E">
        <w:pPr>
          <w:pStyle w:val="30"/>
          <w:jc w:val="center"/>
        </w:pPr>
        <w:r>
          <w:fldChar w:fldCharType="begin"/>
        </w:r>
        <w:r>
          <w:instrText xml:space="preserve">PAGE   \* MERGEFORMAT</w:instrText>
        </w:r>
        <w:r>
          <w:fldChar w:fldCharType="separate"/>
        </w:r>
        <w:r>
          <w:rPr>
            <w:lang w:val="zh-CN"/>
          </w:rPr>
          <w:t>1</w:t>
        </w:r>
        <w:r>
          <w:fldChar w:fldCharType="end"/>
        </w:r>
      </w:p>
    </w:sdtContent>
  </w:sdt>
  <w:p w14:paraId="5B13A4A8">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40391">
    <w:pPr>
      <w:pStyle w:val="30"/>
      <w:jc w:val="center"/>
    </w:pPr>
    <w:r>
      <w:fldChar w:fldCharType="begin"/>
    </w:r>
    <w:r>
      <w:instrText xml:space="preserve"> PAGE   \* MERGEFORMAT </w:instrText>
    </w:r>
    <w:r>
      <w:fldChar w:fldCharType="separate"/>
    </w:r>
    <w:r>
      <w:rPr>
        <w:lang w:val="zh-CN"/>
      </w:rPr>
      <w:t>44</w:t>
    </w:r>
    <w:r>
      <w:fldChar w:fldCharType="end"/>
    </w:r>
  </w:p>
  <w:p w14:paraId="35D3A5A1">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8745838"/>
      <w:docPartObj>
        <w:docPartGallery w:val="autotext"/>
      </w:docPartObj>
    </w:sdtPr>
    <w:sdtContent>
      <w:p w14:paraId="1E2A4BCA">
        <w:pPr>
          <w:pStyle w:val="30"/>
          <w:jc w:val="center"/>
        </w:pPr>
        <w:r>
          <w:fldChar w:fldCharType="begin"/>
        </w:r>
        <w:r>
          <w:instrText xml:space="preserve">PAGE   \* MERGEFORMAT</w:instrText>
        </w:r>
        <w:r>
          <w:fldChar w:fldCharType="separate"/>
        </w:r>
        <w:r>
          <w:rPr>
            <w:lang w:val="zh-CN"/>
          </w:rPr>
          <w:t>45</w:t>
        </w:r>
        <w:r>
          <w:fldChar w:fldCharType="end"/>
        </w:r>
      </w:p>
    </w:sdtContent>
  </w:sdt>
  <w:p w14:paraId="30370C61">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FE0BD">
    <w:pPr>
      <w:pStyle w:val="30"/>
      <w:framePr w:wrap="around" w:vAnchor="text" w:hAnchor="margin" w:xAlign="center" w:y="1"/>
      <w:rPr>
        <w:rStyle w:val="49"/>
      </w:rPr>
    </w:pPr>
    <w:r>
      <w:fldChar w:fldCharType="begin"/>
    </w:r>
    <w:r>
      <w:rPr>
        <w:rStyle w:val="49"/>
      </w:rPr>
      <w:instrText xml:space="preserve">PAGE  </w:instrText>
    </w:r>
    <w:r>
      <w:fldChar w:fldCharType="end"/>
    </w:r>
  </w:p>
  <w:p w14:paraId="7F845E5B">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1E480"/>
    <w:multiLevelType w:val="singleLevel"/>
    <w:tmpl w:val="A701E480"/>
    <w:lvl w:ilvl="0" w:tentative="0">
      <w:start w:val="1"/>
      <w:numFmt w:val="decimal"/>
      <w:suff w:val="nothing"/>
      <w:lvlText w:val="（%1）"/>
      <w:lvlJc w:val="left"/>
    </w:lvl>
  </w:abstractNum>
  <w:abstractNum w:abstractNumId="1">
    <w:nsid w:val="B031F6DC"/>
    <w:multiLevelType w:val="singleLevel"/>
    <w:tmpl w:val="B031F6DC"/>
    <w:lvl w:ilvl="0" w:tentative="0">
      <w:start w:val="3"/>
      <w:numFmt w:val="decimal"/>
      <w:suff w:val="nothing"/>
      <w:lvlText w:val="（%1）"/>
      <w:lvlJc w:val="left"/>
    </w:lvl>
  </w:abstractNum>
  <w:abstractNum w:abstractNumId="2">
    <w:nsid w:val="6F466DE9"/>
    <w:multiLevelType w:val="singleLevel"/>
    <w:tmpl w:val="6F466DE9"/>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kZDg4NWU1Y2I3MDEwZGMzMTk5YjRiYjQ1MWRhZjkifQ=="/>
  </w:docVars>
  <w:rsids>
    <w:rsidRoot w:val="00237017"/>
    <w:rsid w:val="000179C6"/>
    <w:rsid w:val="00033F07"/>
    <w:rsid w:val="0003797C"/>
    <w:rsid w:val="00065327"/>
    <w:rsid w:val="000723FD"/>
    <w:rsid w:val="0009472D"/>
    <w:rsid w:val="000B3F7A"/>
    <w:rsid w:val="000D3491"/>
    <w:rsid w:val="000E3E93"/>
    <w:rsid w:val="000E3F61"/>
    <w:rsid w:val="000E4830"/>
    <w:rsid w:val="000F777B"/>
    <w:rsid w:val="00111695"/>
    <w:rsid w:val="001133F7"/>
    <w:rsid w:val="00117D81"/>
    <w:rsid w:val="00125CC6"/>
    <w:rsid w:val="00136C66"/>
    <w:rsid w:val="00144AF1"/>
    <w:rsid w:val="00150776"/>
    <w:rsid w:val="0015125E"/>
    <w:rsid w:val="00151A27"/>
    <w:rsid w:val="00165682"/>
    <w:rsid w:val="00173865"/>
    <w:rsid w:val="00173CF7"/>
    <w:rsid w:val="00181DEC"/>
    <w:rsid w:val="00192AF9"/>
    <w:rsid w:val="00194AD4"/>
    <w:rsid w:val="001950BF"/>
    <w:rsid w:val="0019544D"/>
    <w:rsid w:val="001A0D43"/>
    <w:rsid w:val="001B068D"/>
    <w:rsid w:val="001B6471"/>
    <w:rsid w:val="001C245A"/>
    <w:rsid w:val="001C2CA6"/>
    <w:rsid w:val="001E5C63"/>
    <w:rsid w:val="001E5FCA"/>
    <w:rsid w:val="001F6132"/>
    <w:rsid w:val="00202FBA"/>
    <w:rsid w:val="002155F9"/>
    <w:rsid w:val="00220ED3"/>
    <w:rsid w:val="00222217"/>
    <w:rsid w:val="00224046"/>
    <w:rsid w:val="00232C1B"/>
    <w:rsid w:val="00237017"/>
    <w:rsid w:val="00240083"/>
    <w:rsid w:val="00244564"/>
    <w:rsid w:val="002507A7"/>
    <w:rsid w:val="002605C9"/>
    <w:rsid w:val="002610AA"/>
    <w:rsid w:val="00263AEA"/>
    <w:rsid w:val="0028421B"/>
    <w:rsid w:val="002B2FBE"/>
    <w:rsid w:val="002C555B"/>
    <w:rsid w:val="002F1C20"/>
    <w:rsid w:val="002F34C1"/>
    <w:rsid w:val="00306782"/>
    <w:rsid w:val="003141EC"/>
    <w:rsid w:val="00317808"/>
    <w:rsid w:val="003217D3"/>
    <w:rsid w:val="00322D37"/>
    <w:rsid w:val="0032790E"/>
    <w:rsid w:val="00331AE1"/>
    <w:rsid w:val="003476D9"/>
    <w:rsid w:val="003578AF"/>
    <w:rsid w:val="00357EEF"/>
    <w:rsid w:val="00362F4F"/>
    <w:rsid w:val="00363A04"/>
    <w:rsid w:val="00372A70"/>
    <w:rsid w:val="0037316F"/>
    <w:rsid w:val="003739FC"/>
    <w:rsid w:val="00375D70"/>
    <w:rsid w:val="00377872"/>
    <w:rsid w:val="00380B83"/>
    <w:rsid w:val="003906DC"/>
    <w:rsid w:val="00393CDC"/>
    <w:rsid w:val="003A03A3"/>
    <w:rsid w:val="003B0260"/>
    <w:rsid w:val="003B6D0C"/>
    <w:rsid w:val="003C543B"/>
    <w:rsid w:val="003D1752"/>
    <w:rsid w:val="003D33BC"/>
    <w:rsid w:val="003F3DDC"/>
    <w:rsid w:val="003F702A"/>
    <w:rsid w:val="004026ED"/>
    <w:rsid w:val="00416A5A"/>
    <w:rsid w:val="00420F62"/>
    <w:rsid w:val="00421F68"/>
    <w:rsid w:val="0042261D"/>
    <w:rsid w:val="00430F9E"/>
    <w:rsid w:val="004339A3"/>
    <w:rsid w:val="004549E3"/>
    <w:rsid w:val="00455814"/>
    <w:rsid w:val="004741C6"/>
    <w:rsid w:val="004765E6"/>
    <w:rsid w:val="00491344"/>
    <w:rsid w:val="004A2D6A"/>
    <w:rsid w:val="004A40C2"/>
    <w:rsid w:val="004A428F"/>
    <w:rsid w:val="004A45B4"/>
    <w:rsid w:val="004B3655"/>
    <w:rsid w:val="004B4FAE"/>
    <w:rsid w:val="004C3DF6"/>
    <w:rsid w:val="004D3BC4"/>
    <w:rsid w:val="004E167F"/>
    <w:rsid w:val="004E3382"/>
    <w:rsid w:val="004E4967"/>
    <w:rsid w:val="004F5E90"/>
    <w:rsid w:val="004F6AB2"/>
    <w:rsid w:val="00510996"/>
    <w:rsid w:val="005137AC"/>
    <w:rsid w:val="005310CF"/>
    <w:rsid w:val="00544656"/>
    <w:rsid w:val="00547C26"/>
    <w:rsid w:val="00547D15"/>
    <w:rsid w:val="00557AD7"/>
    <w:rsid w:val="005600C0"/>
    <w:rsid w:val="005817EE"/>
    <w:rsid w:val="00587C9A"/>
    <w:rsid w:val="00590D2E"/>
    <w:rsid w:val="005969A5"/>
    <w:rsid w:val="00597D19"/>
    <w:rsid w:val="005A1186"/>
    <w:rsid w:val="005A3666"/>
    <w:rsid w:val="005B48EF"/>
    <w:rsid w:val="005D3FA6"/>
    <w:rsid w:val="005D5FB7"/>
    <w:rsid w:val="005E0B4F"/>
    <w:rsid w:val="005E50CE"/>
    <w:rsid w:val="005E58CF"/>
    <w:rsid w:val="005F247C"/>
    <w:rsid w:val="005F4280"/>
    <w:rsid w:val="00601528"/>
    <w:rsid w:val="006071A5"/>
    <w:rsid w:val="0061085A"/>
    <w:rsid w:val="00617F31"/>
    <w:rsid w:val="0062205C"/>
    <w:rsid w:val="006255D7"/>
    <w:rsid w:val="00634E70"/>
    <w:rsid w:val="00644CDC"/>
    <w:rsid w:val="006626A3"/>
    <w:rsid w:val="00663D15"/>
    <w:rsid w:val="00673877"/>
    <w:rsid w:val="00682A9F"/>
    <w:rsid w:val="00684BA3"/>
    <w:rsid w:val="006864E5"/>
    <w:rsid w:val="006870A2"/>
    <w:rsid w:val="0068713D"/>
    <w:rsid w:val="00694C28"/>
    <w:rsid w:val="006A0291"/>
    <w:rsid w:val="006A0935"/>
    <w:rsid w:val="006C5CF8"/>
    <w:rsid w:val="006C5D28"/>
    <w:rsid w:val="006C6AF0"/>
    <w:rsid w:val="006D0A15"/>
    <w:rsid w:val="006D27BE"/>
    <w:rsid w:val="006E749F"/>
    <w:rsid w:val="007065FB"/>
    <w:rsid w:val="00716D38"/>
    <w:rsid w:val="0072138A"/>
    <w:rsid w:val="00746064"/>
    <w:rsid w:val="0076314A"/>
    <w:rsid w:val="007669D8"/>
    <w:rsid w:val="00770D94"/>
    <w:rsid w:val="0078062C"/>
    <w:rsid w:val="00787542"/>
    <w:rsid w:val="007911A5"/>
    <w:rsid w:val="0079675A"/>
    <w:rsid w:val="007A562A"/>
    <w:rsid w:val="007A72B1"/>
    <w:rsid w:val="007B22AF"/>
    <w:rsid w:val="007B32F7"/>
    <w:rsid w:val="007B77EB"/>
    <w:rsid w:val="007C2EFE"/>
    <w:rsid w:val="007C3A39"/>
    <w:rsid w:val="007C7DF1"/>
    <w:rsid w:val="007D399A"/>
    <w:rsid w:val="007E308A"/>
    <w:rsid w:val="007E7B1B"/>
    <w:rsid w:val="007F2D90"/>
    <w:rsid w:val="00805D7F"/>
    <w:rsid w:val="008102E0"/>
    <w:rsid w:val="00810609"/>
    <w:rsid w:val="00811613"/>
    <w:rsid w:val="008219DE"/>
    <w:rsid w:val="008248F5"/>
    <w:rsid w:val="00831A33"/>
    <w:rsid w:val="00831B1A"/>
    <w:rsid w:val="0083550A"/>
    <w:rsid w:val="00837D56"/>
    <w:rsid w:val="00852281"/>
    <w:rsid w:val="0088305A"/>
    <w:rsid w:val="008B340E"/>
    <w:rsid w:val="008B4A25"/>
    <w:rsid w:val="008B4C9B"/>
    <w:rsid w:val="008C7BCD"/>
    <w:rsid w:val="008D3190"/>
    <w:rsid w:val="008F40AC"/>
    <w:rsid w:val="008F5BC7"/>
    <w:rsid w:val="009018AB"/>
    <w:rsid w:val="00902A11"/>
    <w:rsid w:val="00905DBE"/>
    <w:rsid w:val="009139E3"/>
    <w:rsid w:val="00922DD8"/>
    <w:rsid w:val="0093248A"/>
    <w:rsid w:val="0094680B"/>
    <w:rsid w:val="00947739"/>
    <w:rsid w:val="00951015"/>
    <w:rsid w:val="00957F45"/>
    <w:rsid w:val="00961919"/>
    <w:rsid w:val="00973485"/>
    <w:rsid w:val="00973C00"/>
    <w:rsid w:val="00977B04"/>
    <w:rsid w:val="00983169"/>
    <w:rsid w:val="00985B09"/>
    <w:rsid w:val="009979FD"/>
    <w:rsid w:val="009B5946"/>
    <w:rsid w:val="009B64F5"/>
    <w:rsid w:val="009C30E8"/>
    <w:rsid w:val="009C5AC5"/>
    <w:rsid w:val="009D2D2F"/>
    <w:rsid w:val="00A105A5"/>
    <w:rsid w:val="00A13532"/>
    <w:rsid w:val="00A26EBD"/>
    <w:rsid w:val="00A3621E"/>
    <w:rsid w:val="00A45D31"/>
    <w:rsid w:val="00A461F0"/>
    <w:rsid w:val="00A63E1B"/>
    <w:rsid w:val="00A66FDB"/>
    <w:rsid w:val="00A73C47"/>
    <w:rsid w:val="00A752F6"/>
    <w:rsid w:val="00A81AC4"/>
    <w:rsid w:val="00A947D3"/>
    <w:rsid w:val="00A956B2"/>
    <w:rsid w:val="00A964FE"/>
    <w:rsid w:val="00A97CF9"/>
    <w:rsid w:val="00AA1E93"/>
    <w:rsid w:val="00AA72C4"/>
    <w:rsid w:val="00AB4E0C"/>
    <w:rsid w:val="00AD67A9"/>
    <w:rsid w:val="00AE57CA"/>
    <w:rsid w:val="00B141EE"/>
    <w:rsid w:val="00B2042F"/>
    <w:rsid w:val="00B41C87"/>
    <w:rsid w:val="00B46DA9"/>
    <w:rsid w:val="00B63632"/>
    <w:rsid w:val="00B72A5C"/>
    <w:rsid w:val="00B82D9C"/>
    <w:rsid w:val="00B8387F"/>
    <w:rsid w:val="00B86BEF"/>
    <w:rsid w:val="00B95C84"/>
    <w:rsid w:val="00BA21DC"/>
    <w:rsid w:val="00BA2A31"/>
    <w:rsid w:val="00BA2BBE"/>
    <w:rsid w:val="00BA35C2"/>
    <w:rsid w:val="00BE1068"/>
    <w:rsid w:val="00BF477D"/>
    <w:rsid w:val="00BF62B1"/>
    <w:rsid w:val="00C078A6"/>
    <w:rsid w:val="00C15C17"/>
    <w:rsid w:val="00C1700E"/>
    <w:rsid w:val="00C53534"/>
    <w:rsid w:val="00C623A3"/>
    <w:rsid w:val="00C7352B"/>
    <w:rsid w:val="00C73B12"/>
    <w:rsid w:val="00C82445"/>
    <w:rsid w:val="00C84F8B"/>
    <w:rsid w:val="00CA5AC4"/>
    <w:rsid w:val="00CB1724"/>
    <w:rsid w:val="00CB1B6A"/>
    <w:rsid w:val="00CB3E72"/>
    <w:rsid w:val="00CB7485"/>
    <w:rsid w:val="00CC1634"/>
    <w:rsid w:val="00CF76B9"/>
    <w:rsid w:val="00D07AF2"/>
    <w:rsid w:val="00D111FE"/>
    <w:rsid w:val="00D13D82"/>
    <w:rsid w:val="00D27AED"/>
    <w:rsid w:val="00D731B9"/>
    <w:rsid w:val="00D77D70"/>
    <w:rsid w:val="00D82277"/>
    <w:rsid w:val="00D8355E"/>
    <w:rsid w:val="00DA0AC1"/>
    <w:rsid w:val="00DB118E"/>
    <w:rsid w:val="00DB4051"/>
    <w:rsid w:val="00DB49A9"/>
    <w:rsid w:val="00DC15E9"/>
    <w:rsid w:val="00DC52D0"/>
    <w:rsid w:val="00DC6556"/>
    <w:rsid w:val="00DD0F1E"/>
    <w:rsid w:val="00DE0151"/>
    <w:rsid w:val="00DE4712"/>
    <w:rsid w:val="00DE6C93"/>
    <w:rsid w:val="00DF249B"/>
    <w:rsid w:val="00E02C60"/>
    <w:rsid w:val="00E16421"/>
    <w:rsid w:val="00E41BA1"/>
    <w:rsid w:val="00E56EEB"/>
    <w:rsid w:val="00E64D9C"/>
    <w:rsid w:val="00E94537"/>
    <w:rsid w:val="00EA2124"/>
    <w:rsid w:val="00EA5A13"/>
    <w:rsid w:val="00EA6AE2"/>
    <w:rsid w:val="00EB7358"/>
    <w:rsid w:val="00ED28E5"/>
    <w:rsid w:val="00ED7EEA"/>
    <w:rsid w:val="00EE22C4"/>
    <w:rsid w:val="00EF4C70"/>
    <w:rsid w:val="00F067AF"/>
    <w:rsid w:val="00F27633"/>
    <w:rsid w:val="00F5006D"/>
    <w:rsid w:val="00F52892"/>
    <w:rsid w:val="00F6097F"/>
    <w:rsid w:val="00F6138F"/>
    <w:rsid w:val="00F616E7"/>
    <w:rsid w:val="00F630D0"/>
    <w:rsid w:val="00F65C01"/>
    <w:rsid w:val="00F72222"/>
    <w:rsid w:val="00F7313A"/>
    <w:rsid w:val="00F750FF"/>
    <w:rsid w:val="00F76B60"/>
    <w:rsid w:val="00F8369D"/>
    <w:rsid w:val="00FB1615"/>
    <w:rsid w:val="00FB78FA"/>
    <w:rsid w:val="00FC546C"/>
    <w:rsid w:val="00FD72CC"/>
    <w:rsid w:val="00FE0890"/>
    <w:rsid w:val="00FE4FAE"/>
    <w:rsid w:val="00FF54C4"/>
    <w:rsid w:val="00FF7286"/>
    <w:rsid w:val="02FE7389"/>
    <w:rsid w:val="05FC03C1"/>
    <w:rsid w:val="099354E0"/>
    <w:rsid w:val="0BE25F65"/>
    <w:rsid w:val="1036638E"/>
    <w:rsid w:val="13186BE5"/>
    <w:rsid w:val="15833802"/>
    <w:rsid w:val="15E1618A"/>
    <w:rsid w:val="17FA6D51"/>
    <w:rsid w:val="19063917"/>
    <w:rsid w:val="1A857E19"/>
    <w:rsid w:val="1B3B67F8"/>
    <w:rsid w:val="1B877676"/>
    <w:rsid w:val="1C6B037B"/>
    <w:rsid w:val="1C7647EA"/>
    <w:rsid w:val="21996F99"/>
    <w:rsid w:val="2ADE7F6A"/>
    <w:rsid w:val="2BC8461F"/>
    <w:rsid w:val="307C7A62"/>
    <w:rsid w:val="309C0569"/>
    <w:rsid w:val="358F33A4"/>
    <w:rsid w:val="36D64AAF"/>
    <w:rsid w:val="374E2158"/>
    <w:rsid w:val="37971BCD"/>
    <w:rsid w:val="38220C59"/>
    <w:rsid w:val="394E6A33"/>
    <w:rsid w:val="3B2F44EF"/>
    <w:rsid w:val="3B321F03"/>
    <w:rsid w:val="3C54700A"/>
    <w:rsid w:val="4266760A"/>
    <w:rsid w:val="4EDE61CF"/>
    <w:rsid w:val="50E32EAD"/>
    <w:rsid w:val="51693C61"/>
    <w:rsid w:val="56B45E9F"/>
    <w:rsid w:val="59D24057"/>
    <w:rsid w:val="5C4A20C7"/>
    <w:rsid w:val="5E4D227B"/>
    <w:rsid w:val="61C8730E"/>
    <w:rsid w:val="62BC530E"/>
    <w:rsid w:val="63405923"/>
    <w:rsid w:val="65F61B10"/>
    <w:rsid w:val="67912FF2"/>
    <w:rsid w:val="68B268A6"/>
    <w:rsid w:val="6DC05190"/>
    <w:rsid w:val="78502585"/>
    <w:rsid w:val="787F24BF"/>
    <w:rsid w:val="78F661D7"/>
    <w:rsid w:val="7B003D85"/>
    <w:rsid w:val="7BA47FA3"/>
    <w:rsid w:val="7CD85FEA"/>
    <w:rsid w:val="7F00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9"/>
    <w:qFormat/>
    <w:uiPriority w:val="0"/>
    <w:pPr>
      <w:keepNext/>
      <w:keepLines/>
      <w:wordWrap w:val="0"/>
      <w:spacing w:line="360" w:lineRule="auto"/>
      <w:jc w:val="center"/>
      <w:outlineLvl w:val="0"/>
    </w:pPr>
    <w:rPr>
      <w:rFonts w:ascii="Times New Roman" w:hAnsi="Times New Roman" w:eastAsia="宋体" w:cs="Times New Roman"/>
      <w:b/>
      <w:bCs/>
      <w:kern w:val="44"/>
      <w:sz w:val="32"/>
      <w:szCs w:val="32"/>
      <w:lang w:val="zh-CN"/>
    </w:rPr>
  </w:style>
  <w:style w:type="paragraph" w:styleId="3">
    <w:name w:val="heading 2"/>
    <w:basedOn w:val="1"/>
    <w:next w:val="1"/>
    <w:link w:val="60"/>
    <w:qFormat/>
    <w:uiPriority w:val="0"/>
    <w:pPr>
      <w:keepNext/>
      <w:keepLines/>
      <w:spacing w:line="360" w:lineRule="auto"/>
      <w:jc w:val="center"/>
      <w:outlineLvl w:val="1"/>
    </w:pPr>
    <w:rPr>
      <w:rFonts w:ascii="Cambria" w:hAnsi="Cambria" w:eastAsia="宋体" w:cs="Times New Roman"/>
      <w:b/>
      <w:bCs/>
      <w:kern w:val="0"/>
      <w:sz w:val="30"/>
      <w:szCs w:val="30"/>
      <w:lang w:val="zh-CN"/>
    </w:rPr>
  </w:style>
  <w:style w:type="paragraph" w:styleId="4">
    <w:name w:val="heading 3"/>
    <w:basedOn w:val="1"/>
    <w:next w:val="5"/>
    <w:link w:val="68"/>
    <w:unhideWhenUsed/>
    <w:qFormat/>
    <w:uiPriority w:val="0"/>
    <w:pPr>
      <w:keepNext/>
      <w:keepLines/>
      <w:spacing w:line="360" w:lineRule="auto"/>
      <w:outlineLvl w:val="2"/>
    </w:pPr>
    <w:rPr>
      <w:rFonts w:ascii="宋体" w:hAnsi="宋体" w:eastAsia="宋体"/>
      <w:b/>
      <w:bCs/>
      <w:spacing w:val="1"/>
      <w:sz w:val="28"/>
      <w:szCs w:val="32"/>
      <w:lang w:val="zh-CN"/>
    </w:rPr>
  </w:style>
  <w:style w:type="paragraph" w:styleId="6">
    <w:name w:val="heading 4"/>
    <w:basedOn w:val="1"/>
    <w:next w:val="1"/>
    <w:link w:val="62"/>
    <w:qFormat/>
    <w:uiPriority w:val="0"/>
    <w:pPr>
      <w:autoSpaceDE w:val="0"/>
      <w:autoSpaceDN w:val="0"/>
      <w:adjustRightInd w:val="0"/>
      <w:spacing w:line="360" w:lineRule="auto"/>
      <w:jc w:val="left"/>
      <w:outlineLvl w:val="3"/>
    </w:pPr>
    <w:rPr>
      <w:rFonts w:ascii="宋体" w:hAnsi="宋体" w:eastAsia="宋体" w:cs="Times New Roman"/>
      <w:b/>
      <w:kern w:val="0"/>
      <w:sz w:val="24"/>
      <w:szCs w:val="24"/>
      <w:lang w:val="zh-CN"/>
    </w:rPr>
  </w:style>
  <w:style w:type="paragraph" w:styleId="7">
    <w:name w:val="heading 5"/>
    <w:basedOn w:val="6"/>
    <w:next w:val="5"/>
    <w:link w:val="63"/>
    <w:qFormat/>
    <w:uiPriority w:val="0"/>
    <w:pPr>
      <w:spacing w:line="240" w:lineRule="exact"/>
      <w:ind w:left="284" w:hanging="284"/>
      <w:outlineLvl w:val="4"/>
    </w:pPr>
    <w:rPr>
      <w:rFonts w:ascii="Arial" w:hAnsi="Arial"/>
      <w:kern w:val="2"/>
      <w:lang w:val="en-US"/>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5"/>
    <w:link w:val="65"/>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5"/>
    <w:link w:val="66"/>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5"/>
    <w:link w:val="67"/>
    <w:qFormat/>
    <w:uiPriority w:val="0"/>
    <w:pPr>
      <w:keepNext/>
      <w:keepLines/>
      <w:spacing w:before="240" w:after="64" w:line="320" w:lineRule="auto"/>
      <w:outlineLvl w:val="8"/>
    </w:pPr>
    <w:rPr>
      <w:rFonts w:ascii="Arial" w:hAnsi="Arial" w:eastAsia="黑体" w:cs="Times New Roman"/>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87"/>
    <w:unhideWhenUsed/>
    <w:qFormat/>
    <w:uiPriority w:val="0"/>
    <w:pPr>
      <w:ind w:firstLine="420" w:firstLineChars="200"/>
    </w:pPr>
    <w:rPr>
      <w:rFonts w:ascii="Times New Roman" w:hAnsi="Times New Roman" w:eastAsia="宋体" w:cs="Times New Roman"/>
      <w:szCs w:val="24"/>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qFormat/>
    <w:uiPriority w:val="39"/>
    <w:pPr>
      <w:ind w:left="1260"/>
      <w:jc w:val="left"/>
    </w:pPr>
    <w:rPr>
      <w:rFonts w:ascii="Calibri" w:hAnsi="Calibri" w:eastAsia="宋体" w:cs="Calibri"/>
      <w:sz w:val="18"/>
      <w:szCs w:val="18"/>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69"/>
    <w:qFormat/>
    <w:uiPriority w:val="0"/>
    <w:rPr>
      <w:rFonts w:ascii="宋体" w:hAnsi="Times New Roman" w:eastAsia="宋体" w:cs="Times New Roman"/>
      <w:kern w:val="0"/>
      <w:sz w:val="18"/>
      <w:szCs w:val="18"/>
      <w:lang w:val="zh-CN"/>
    </w:rPr>
  </w:style>
  <w:style w:type="paragraph" w:styleId="16">
    <w:name w:val="annotation text"/>
    <w:basedOn w:val="1"/>
    <w:link w:val="70"/>
    <w:qFormat/>
    <w:uiPriority w:val="0"/>
    <w:pPr>
      <w:jc w:val="left"/>
    </w:pPr>
    <w:rPr>
      <w:rFonts w:ascii="Times New Roman" w:hAnsi="Times New Roman" w:eastAsia="宋体" w:cs="Times New Roman"/>
      <w:szCs w:val="24"/>
      <w:lang w:val="zh-CN"/>
    </w:rPr>
  </w:style>
  <w:style w:type="paragraph" w:styleId="17">
    <w:name w:val="Salutation"/>
    <w:basedOn w:val="1"/>
    <w:next w:val="1"/>
    <w:link w:val="71"/>
    <w:qFormat/>
    <w:uiPriority w:val="0"/>
    <w:rPr>
      <w:rFonts w:ascii="Calibri" w:hAnsi="Calibri" w:eastAsia="宋体" w:cs="Times New Roman"/>
      <w:kern w:val="0"/>
      <w:sz w:val="32"/>
      <w:szCs w:val="24"/>
    </w:rPr>
  </w:style>
  <w:style w:type="paragraph" w:styleId="18">
    <w:name w:val="Body Text 3"/>
    <w:basedOn w:val="1"/>
    <w:link w:val="72"/>
    <w:qFormat/>
    <w:uiPriority w:val="0"/>
    <w:pPr>
      <w:spacing w:after="120"/>
    </w:pPr>
    <w:rPr>
      <w:rFonts w:ascii="Times New Roman" w:hAnsi="Times New Roman" w:eastAsia="宋体" w:cs="Times New Roman"/>
      <w:kern w:val="0"/>
      <w:sz w:val="16"/>
      <w:szCs w:val="16"/>
      <w:lang w:val="zh-CN"/>
    </w:rPr>
  </w:style>
  <w:style w:type="paragraph" w:styleId="19">
    <w:name w:val="Body Text"/>
    <w:basedOn w:val="1"/>
    <w:next w:val="1"/>
    <w:link w:val="73"/>
    <w:qFormat/>
    <w:uiPriority w:val="99"/>
    <w:pPr>
      <w:pBdr>
        <w:top w:val="single" w:color="auto" w:sz="4" w:space="1"/>
      </w:pBdr>
    </w:pPr>
    <w:rPr>
      <w:rFonts w:ascii="Times New Roman" w:hAnsi="Times New Roman" w:eastAsia="宋体" w:cs="Times New Roman"/>
      <w:b/>
      <w:bCs/>
      <w:szCs w:val="24"/>
    </w:rPr>
  </w:style>
  <w:style w:type="paragraph" w:styleId="20">
    <w:name w:val="Body Text Indent"/>
    <w:basedOn w:val="1"/>
    <w:next w:val="21"/>
    <w:link w:val="74"/>
    <w:qFormat/>
    <w:uiPriority w:val="0"/>
    <w:pPr>
      <w:ind w:firstLine="600" w:firstLineChars="200"/>
    </w:pPr>
    <w:rPr>
      <w:rFonts w:ascii="宋体" w:hAnsi="Times New Roman" w:eastAsia="宋体" w:cs="Times New Roman"/>
      <w:sz w:val="30"/>
      <w:szCs w:val="20"/>
      <w:lang w:val="zh-CN"/>
    </w:rPr>
  </w:style>
  <w:style w:type="paragraph" w:styleId="21">
    <w:name w:val="envelope return"/>
    <w:basedOn w:val="1"/>
    <w:qFormat/>
    <w:uiPriority w:val="0"/>
    <w:pPr>
      <w:snapToGrid w:val="0"/>
    </w:pPr>
    <w:rPr>
      <w:rFonts w:ascii="Arial" w:hAnsi="Arial" w:eastAsia="宋体" w:cs="Times New Roman"/>
      <w:szCs w:val="24"/>
    </w:rPr>
  </w:style>
  <w:style w:type="paragraph" w:styleId="22">
    <w:name w:val="index 4"/>
    <w:basedOn w:val="1"/>
    <w:next w:val="1"/>
    <w:unhideWhenUsed/>
    <w:qFormat/>
    <w:uiPriority w:val="99"/>
    <w:pPr>
      <w:ind w:left="600" w:leftChars="600"/>
    </w:pPr>
    <w:rPr>
      <w:rFonts w:ascii="Times New Roman" w:hAnsi="Times New Roman" w:eastAsia="宋体" w:cs="Times New Roman"/>
      <w:szCs w:val="24"/>
    </w:rPr>
  </w:style>
  <w:style w:type="paragraph" w:styleId="23">
    <w:name w:val="toc 5"/>
    <w:basedOn w:val="1"/>
    <w:next w:val="1"/>
    <w:qFormat/>
    <w:uiPriority w:val="39"/>
    <w:pPr>
      <w:ind w:left="840"/>
      <w:jc w:val="left"/>
    </w:pPr>
    <w:rPr>
      <w:rFonts w:ascii="Calibri" w:hAnsi="Calibri" w:eastAsia="宋体" w:cs="Calibri"/>
      <w:sz w:val="18"/>
      <w:szCs w:val="18"/>
    </w:rPr>
  </w:style>
  <w:style w:type="paragraph" w:styleId="24">
    <w:name w:val="toc 3"/>
    <w:basedOn w:val="1"/>
    <w:next w:val="1"/>
    <w:qFormat/>
    <w:uiPriority w:val="39"/>
    <w:pPr>
      <w:ind w:left="840" w:leftChars="400"/>
    </w:pPr>
    <w:rPr>
      <w:rFonts w:ascii="Times New Roman" w:hAnsi="Times New Roman" w:eastAsia="宋体" w:cs="Times New Roman"/>
      <w:szCs w:val="24"/>
    </w:rPr>
  </w:style>
  <w:style w:type="paragraph" w:styleId="25">
    <w:name w:val="Plain Text"/>
    <w:basedOn w:val="1"/>
    <w:link w:val="75"/>
    <w:qFormat/>
    <w:uiPriority w:val="0"/>
    <w:rPr>
      <w:rFonts w:ascii="宋体" w:hAnsi="Courier New" w:eastAsia="宋体" w:cs="Times New Roman"/>
      <w:szCs w:val="20"/>
      <w:lang w:val="zh-CN"/>
    </w:rPr>
  </w:style>
  <w:style w:type="paragraph" w:styleId="26">
    <w:name w:val="toc 8"/>
    <w:basedOn w:val="1"/>
    <w:next w:val="1"/>
    <w:qFormat/>
    <w:uiPriority w:val="39"/>
    <w:pPr>
      <w:ind w:left="1470"/>
      <w:jc w:val="left"/>
    </w:pPr>
    <w:rPr>
      <w:rFonts w:ascii="Calibri" w:hAnsi="Calibri" w:eastAsia="宋体" w:cs="Calibri"/>
      <w:sz w:val="18"/>
      <w:szCs w:val="18"/>
    </w:rPr>
  </w:style>
  <w:style w:type="paragraph" w:styleId="27">
    <w:name w:val="Date"/>
    <w:basedOn w:val="1"/>
    <w:next w:val="1"/>
    <w:link w:val="76"/>
    <w:qFormat/>
    <w:uiPriority w:val="0"/>
    <w:pPr>
      <w:ind w:left="100" w:leftChars="2500"/>
    </w:pPr>
    <w:rPr>
      <w:rFonts w:ascii="Calibri" w:hAnsi="Calibri" w:eastAsia="宋体" w:cs="Times New Roman"/>
      <w:kern w:val="0"/>
      <w:sz w:val="20"/>
      <w:szCs w:val="24"/>
    </w:rPr>
  </w:style>
  <w:style w:type="paragraph" w:styleId="28">
    <w:name w:val="Body Text Indent 2"/>
    <w:basedOn w:val="1"/>
    <w:link w:val="77"/>
    <w:qFormat/>
    <w:uiPriority w:val="0"/>
    <w:pPr>
      <w:spacing w:after="120" w:line="480" w:lineRule="auto"/>
      <w:ind w:left="420" w:leftChars="200"/>
    </w:pPr>
    <w:rPr>
      <w:rFonts w:ascii="Times New Roman" w:hAnsi="Times New Roman" w:eastAsia="Courier New" w:cs="Times New Roman"/>
      <w:kern w:val="0"/>
      <w:sz w:val="20"/>
      <w:szCs w:val="20"/>
      <w:lang w:val="zh-CN"/>
    </w:rPr>
  </w:style>
  <w:style w:type="paragraph" w:styleId="29">
    <w:name w:val="Balloon Text"/>
    <w:basedOn w:val="1"/>
    <w:link w:val="78"/>
    <w:qFormat/>
    <w:uiPriority w:val="0"/>
    <w:rPr>
      <w:rFonts w:ascii="Times New Roman" w:hAnsi="Times New Roman" w:eastAsia="宋体" w:cs="Times New Roman"/>
      <w:sz w:val="18"/>
      <w:szCs w:val="18"/>
      <w:lang w:val="zh-CN"/>
    </w:rPr>
  </w:style>
  <w:style w:type="paragraph" w:styleId="30">
    <w:name w:val="footer"/>
    <w:basedOn w:val="1"/>
    <w:link w:val="58"/>
    <w:unhideWhenUsed/>
    <w:qFormat/>
    <w:uiPriority w:val="99"/>
    <w:pPr>
      <w:tabs>
        <w:tab w:val="center" w:pos="4153"/>
        <w:tab w:val="right" w:pos="8306"/>
      </w:tabs>
      <w:snapToGrid w:val="0"/>
      <w:jc w:val="left"/>
    </w:pPr>
    <w:rPr>
      <w:sz w:val="18"/>
      <w:szCs w:val="18"/>
    </w:rPr>
  </w:style>
  <w:style w:type="paragraph" w:styleId="31">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rFonts w:ascii="Calibri" w:hAnsi="Calibri" w:eastAsia="宋体" w:cs="Calibri"/>
      <w:b/>
      <w:bCs/>
      <w:caps/>
      <w:sz w:val="20"/>
      <w:szCs w:val="20"/>
    </w:rPr>
  </w:style>
  <w:style w:type="paragraph" w:styleId="33">
    <w:name w:val="toc 4"/>
    <w:basedOn w:val="1"/>
    <w:next w:val="1"/>
    <w:qFormat/>
    <w:uiPriority w:val="39"/>
    <w:pPr>
      <w:ind w:left="630"/>
      <w:jc w:val="left"/>
    </w:pPr>
    <w:rPr>
      <w:rFonts w:ascii="Calibri" w:hAnsi="Calibri" w:eastAsia="宋体" w:cs="Calibri"/>
      <w:sz w:val="18"/>
      <w:szCs w:val="18"/>
    </w:rPr>
  </w:style>
  <w:style w:type="paragraph" w:styleId="34">
    <w:name w:val="toc 6"/>
    <w:basedOn w:val="1"/>
    <w:next w:val="1"/>
    <w:qFormat/>
    <w:uiPriority w:val="39"/>
    <w:pPr>
      <w:ind w:left="1050"/>
      <w:jc w:val="left"/>
    </w:pPr>
    <w:rPr>
      <w:rFonts w:ascii="Calibri" w:hAnsi="Calibri" w:eastAsia="宋体" w:cs="Calibri"/>
      <w:sz w:val="18"/>
      <w:szCs w:val="18"/>
    </w:rPr>
  </w:style>
  <w:style w:type="paragraph" w:styleId="35">
    <w:name w:val="Body Text Indent 3"/>
    <w:basedOn w:val="1"/>
    <w:link w:val="79"/>
    <w:qFormat/>
    <w:uiPriority w:val="0"/>
    <w:pPr>
      <w:spacing w:after="120"/>
      <w:ind w:left="420" w:leftChars="200"/>
    </w:pPr>
    <w:rPr>
      <w:rFonts w:ascii="Calibri" w:hAnsi="Calibri" w:eastAsia="宋体" w:cs="Times New Roman"/>
      <w:kern w:val="0"/>
      <w:sz w:val="16"/>
      <w:szCs w:val="20"/>
    </w:rPr>
  </w:style>
  <w:style w:type="paragraph" w:styleId="36">
    <w:name w:val="toc 2"/>
    <w:basedOn w:val="1"/>
    <w:next w:val="1"/>
    <w:unhideWhenUsed/>
    <w:qFormat/>
    <w:uiPriority w:val="39"/>
    <w:pPr>
      <w:ind w:left="420" w:leftChars="200"/>
    </w:pPr>
    <w:rPr>
      <w:rFonts w:ascii="Times New Roman" w:hAnsi="Times New Roman" w:eastAsia="宋体" w:cs="Times New Roman"/>
      <w:szCs w:val="24"/>
    </w:rPr>
  </w:style>
  <w:style w:type="paragraph" w:styleId="37">
    <w:name w:val="toc 9"/>
    <w:basedOn w:val="1"/>
    <w:next w:val="1"/>
    <w:qFormat/>
    <w:uiPriority w:val="39"/>
    <w:pPr>
      <w:ind w:left="1680"/>
      <w:jc w:val="left"/>
    </w:pPr>
    <w:rPr>
      <w:rFonts w:ascii="Calibri" w:hAnsi="Calibri" w:eastAsia="宋体" w:cs="Calibri"/>
      <w:sz w:val="18"/>
      <w:szCs w:val="18"/>
    </w:rPr>
  </w:style>
  <w:style w:type="paragraph" w:styleId="38">
    <w:name w:val="Body Text 2"/>
    <w:basedOn w:val="1"/>
    <w:link w:val="80"/>
    <w:qFormat/>
    <w:uiPriority w:val="0"/>
    <w:pPr>
      <w:spacing w:after="120" w:line="480" w:lineRule="auto"/>
    </w:pPr>
    <w:rPr>
      <w:rFonts w:ascii="Times New Roman" w:hAnsi="Times New Roman" w:eastAsia="宋体" w:cs="Times New Roman"/>
      <w:kern w:val="0"/>
      <w:sz w:val="20"/>
      <w:szCs w:val="24"/>
      <w:lang w:val="zh-CN"/>
    </w:rPr>
  </w:style>
  <w:style w:type="paragraph" w:styleId="39">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alibri" w:hAnsi="Calibri" w:eastAsia="宋体" w:cs="Times New Roman"/>
      <w:kern w:val="0"/>
      <w:sz w:val="20"/>
      <w:szCs w:val="21"/>
    </w:rPr>
  </w:style>
  <w:style w:type="paragraph" w:styleId="40">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41">
    <w:name w:val="Title"/>
    <w:basedOn w:val="1"/>
    <w:next w:val="1"/>
    <w:link w:val="82"/>
    <w:qFormat/>
    <w:uiPriority w:val="0"/>
    <w:pPr>
      <w:spacing w:before="240" w:after="60"/>
      <w:jc w:val="center"/>
      <w:outlineLvl w:val="0"/>
    </w:pPr>
    <w:rPr>
      <w:rFonts w:ascii="Arial" w:hAnsi="Arial" w:eastAsia="宋体" w:cs="Times New Roman"/>
      <w:b/>
      <w:bCs/>
      <w:kern w:val="0"/>
      <w:sz w:val="32"/>
      <w:szCs w:val="32"/>
      <w:lang w:val="zh-CN"/>
    </w:rPr>
  </w:style>
  <w:style w:type="paragraph" w:styleId="42">
    <w:name w:val="annotation subject"/>
    <w:basedOn w:val="16"/>
    <w:next w:val="16"/>
    <w:link w:val="83"/>
    <w:qFormat/>
    <w:uiPriority w:val="0"/>
    <w:rPr>
      <w:b/>
      <w:bCs/>
    </w:rPr>
  </w:style>
  <w:style w:type="paragraph" w:styleId="43">
    <w:name w:val="Body Text First Indent"/>
    <w:basedOn w:val="19"/>
    <w:link w:val="84"/>
    <w:qFormat/>
    <w:uiPriority w:val="0"/>
    <w:pPr>
      <w:pBdr>
        <w:top w:val="none" w:color="auto" w:sz="0" w:space="0"/>
      </w:pBdr>
      <w:spacing w:after="120"/>
      <w:ind w:firstLine="420" w:firstLineChars="100"/>
    </w:pPr>
    <w:rPr>
      <w:b w:val="0"/>
      <w:bCs w:val="0"/>
      <w:kern w:val="0"/>
      <w:sz w:val="20"/>
      <w:szCs w:val="20"/>
    </w:rPr>
  </w:style>
  <w:style w:type="paragraph" w:styleId="44">
    <w:name w:val="Body Text First Indent 2"/>
    <w:basedOn w:val="20"/>
    <w:link w:val="85"/>
    <w:qFormat/>
    <w:uiPriority w:val="0"/>
    <w:pPr>
      <w:spacing w:after="120"/>
      <w:ind w:left="420" w:leftChars="200" w:firstLine="420"/>
    </w:pPr>
    <w:rPr>
      <w:rFonts w:ascii="Times New Roman"/>
      <w:kern w:val="0"/>
      <w:sz w:val="20"/>
      <w:szCs w:val="24"/>
    </w:rPr>
  </w:style>
  <w:style w:type="table" w:styleId="46">
    <w:name w:val="Table Grid"/>
    <w:basedOn w:val="4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qFormat/>
    <w:uiPriority w:val="0"/>
  </w:style>
  <w:style w:type="character" w:styleId="50">
    <w:name w:val="FollowedHyperlink"/>
    <w:basedOn w:val="47"/>
    <w:semiHidden/>
    <w:unhideWhenUsed/>
    <w:qFormat/>
    <w:uiPriority w:val="99"/>
    <w:rPr>
      <w:color w:val="954F72" w:themeColor="followedHyperlink"/>
      <w:u w:val="single"/>
      <w14:textFill>
        <w14:solidFill>
          <w14:schemeClr w14:val="folHlink"/>
        </w14:solidFill>
      </w14:textFill>
    </w:rPr>
  </w:style>
  <w:style w:type="character" w:styleId="51">
    <w:name w:val="HTML Definition"/>
    <w:basedOn w:val="47"/>
    <w:semiHidden/>
    <w:unhideWhenUsed/>
    <w:qFormat/>
    <w:uiPriority w:val="99"/>
    <w:rPr>
      <w:i/>
      <w:iCs/>
    </w:rPr>
  </w:style>
  <w:style w:type="character" w:styleId="52">
    <w:name w:val="Hyperlink"/>
    <w:qFormat/>
    <w:uiPriority w:val="99"/>
    <w:rPr>
      <w:color w:val="0000FF"/>
      <w:u w:val="single"/>
    </w:rPr>
  </w:style>
  <w:style w:type="character" w:styleId="53">
    <w:name w:val="HTML Code"/>
    <w:basedOn w:val="47"/>
    <w:semiHidden/>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54">
    <w:name w:val="annotation reference"/>
    <w:qFormat/>
    <w:uiPriority w:val="0"/>
    <w:rPr>
      <w:sz w:val="21"/>
      <w:szCs w:val="21"/>
    </w:rPr>
  </w:style>
  <w:style w:type="character" w:styleId="55">
    <w:name w:val="HTML Keyboard"/>
    <w:basedOn w:val="47"/>
    <w:semiHidden/>
    <w:unhideWhenUsed/>
    <w:qFormat/>
    <w:uiPriority w:val="99"/>
    <w:rPr>
      <w:rFonts w:hint="default" w:ascii="Consolas" w:hAnsi="Consolas" w:eastAsia="Consolas" w:cs="Consolas"/>
      <w:color w:val="FFFFFF"/>
      <w:sz w:val="21"/>
      <w:szCs w:val="21"/>
      <w:shd w:val="clear" w:color="auto" w:fill="333333"/>
    </w:rPr>
  </w:style>
  <w:style w:type="character" w:styleId="56">
    <w:name w:val="HTML Sample"/>
    <w:basedOn w:val="47"/>
    <w:semiHidden/>
    <w:unhideWhenUsed/>
    <w:qFormat/>
    <w:uiPriority w:val="99"/>
    <w:rPr>
      <w:rFonts w:hint="default" w:ascii="Consolas" w:hAnsi="Consolas" w:eastAsia="Consolas" w:cs="Consolas"/>
      <w:sz w:val="21"/>
      <w:szCs w:val="21"/>
    </w:rPr>
  </w:style>
  <w:style w:type="character" w:customStyle="1" w:styleId="57">
    <w:name w:val="页眉 字符"/>
    <w:basedOn w:val="47"/>
    <w:link w:val="31"/>
    <w:qFormat/>
    <w:uiPriority w:val="0"/>
    <w:rPr>
      <w:sz w:val="18"/>
      <w:szCs w:val="18"/>
    </w:rPr>
  </w:style>
  <w:style w:type="character" w:customStyle="1" w:styleId="58">
    <w:name w:val="页脚 字符"/>
    <w:basedOn w:val="47"/>
    <w:link w:val="30"/>
    <w:qFormat/>
    <w:uiPriority w:val="99"/>
    <w:rPr>
      <w:sz w:val="18"/>
      <w:szCs w:val="18"/>
    </w:rPr>
  </w:style>
  <w:style w:type="character" w:customStyle="1" w:styleId="59">
    <w:name w:val="标题 1 字符"/>
    <w:basedOn w:val="47"/>
    <w:link w:val="2"/>
    <w:qFormat/>
    <w:uiPriority w:val="0"/>
    <w:rPr>
      <w:rFonts w:ascii="Times New Roman" w:hAnsi="Times New Roman" w:eastAsia="宋体" w:cs="Times New Roman"/>
      <w:b/>
      <w:bCs/>
      <w:kern w:val="44"/>
      <w:sz w:val="32"/>
      <w:szCs w:val="32"/>
      <w:lang w:val="zh-CN"/>
    </w:rPr>
  </w:style>
  <w:style w:type="character" w:customStyle="1" w:styleId="60">
    <w:name w:val="标题 2 字符"/>
    <w:basedOn w:val="47"/>
    <w:link w:val="3"/>
    <w:qFormat/>
    <w:uiPriority w:val="0"/>
    <w:rPr>
      <w:rFonts w:ascii="Cambria" w:hAnsi="Cambria" w:eastAsia="宋体" w:cs="Times New Roman"/>
      <w:b/>
      <w:bCs/>
      <w:kern w:val="0"/>
      <w:sz w:val="30"/>
      <w:szCs w:val="30"/>
      <w:lang w:val="zh-CN"/>
    </w:rPr>
  </w:style>
  <w:style w:type="paragraph" w:customStyle="1" w:styleId="61">
    <w:name w:val="标题 31"/>
    <w:basedOn w:val="1"/>
    <w:next w:val="5"/>
    <w:qFormat/>
    <w:uiPriority w:val="0"/>
    <w:pPr>
      <w:keepNext/>
      <w:keepLines/>
      <w:spacing w:before="260" w:line="416" w:lineRule="auto"/>
      <w:outlineLvl w:val="2"/>
    </w:pPr>
    <w:rPr>
      <w:rFonts w:ascii="宋体" w:hAnsi="宋体" w:cs="Times New Roman"/>
      <w:b/>
      <w:bCs/>
      <w:spacing w:val="1"/>
      <w:sz w:val="28"/>
      <w:szCs w:val="32"/>
      <w:lang w:val="zh-CN"/>
    </w:rPr>
  </w:style>
  <w:style w:type="character" w:customStyle="1" w:styleId="62">
    <w:name w:val="标题 4 字符"/>
    <w:basedOn w:val="47"/>
    <w:link w:val="6"/>
    <w:qFormat/>
    <w:uiPriority w:val="0"/>
    <w:rPr>
      <w:rFonts w:ascii="宋体" w:hAnsi="宋体" w:eastAsia="宋体" w:cs="Times New Roman"/>
      <w:b/>
      <w:kern w:val="0"/>
      <w:sz w:val="24"/>
      <w:szCs w:val="24"/>
      <w:lang w:val="zh-CN"/>
    </w:rPr>
  </w:style>
  <w:style w:type="character" w:customStyle="1" w:styleId="63">
    <w:name w:val="标题 5 字符"/>
    <w:basedOn w:val="47"/>
    <w:link w:val="7"/>
    <w:qFormat/>
    <w:uiPriority w:val="0"/>
    <w:rPr>
      <w:rFonts w:ascii="Arial" w:hAnsi="Arial" w:eastAsia="宋体" w:cs="Times New Roman"/>
      <w:sz w:val="24"/>
      <w:szCs w:val="24"/>
    </w:rPr>
  </w:style>
  <w:style w:type="character" w:customStyle="1" w:styleId="64">
    <w:name w:val="标题 6 字符"/>
    <w:basedOn w:val="47"/>
    <w:link w:val="8"/>
    <w:qFormat/>
    <w:uiPriority w:val="0"/>
    <w:rPr>
      <w:rFonts w:ascii="Arial" w:hAnsi="Arial" w:eastAsia="黑体" w:cs="Times New Roman"/>
      <w:b/>
      <w:bCs/>
      <w:sz w:val="24"/>
      <w:szCs w:val="24"/>
    </w:rPr>
  </w:style>
  <w:style w:type="character" w:customStyle="1" w:styleId="65">
    <w:name w:val="标题 7 字符"/>
    <w:basedOn w:val="47"/>
    <w:link w:val="9"/>
    <w:qFormat/>
    <w:uiPriority w:val="0"/>
    <w:rPr>
      <w:rFonts w:ascii="Times New Roman" w:hAnsi="Times New Roman" w:eastAsia="宋体" w:cs="Times New Roman"/>
      <w:b/>
      <w:sz w:val="24"/>
      <w:szCs w:val="20"/>
    </w:rPr>
  </w:style>
  <w:style w:type="character" w:customStyle="1" w:styleId="66">
    <w:name w:val="标题 8 字符"/>
    <w:basedOn w:val="47"/>
    <w:link w:val="10"/>
    <w:qFormat/>
    <w:uiPriority w:val="0"/>
    <w:rPr>
      <w:rFonts w:ascii="Arial" w:hAnsi="Arial" w:eastAsia="黑体" w:cs="Times New Roman"/>
      <w:sz w:val="24"/>
      <w:szCs w:val="20"/>
    </w:rPr>
  </w:style>
  <w:style w:type="character" w:customStyle="1" w:styleId="67">
    <w:name w:val="标题 9 字符"/>
    <w:basedOn w:val="47"/>
    <w:link w:val="11"/>
    <w:qFormat/>
    <w:uiPriority w:val="0"/>
    <w:rPr>
      <w:rFonts w:ascii="Arial" w:hAnsi="Arial" w:eastAsia="黑体" w:cs="Times New Roman"/>
      <w:szCs w:val="20"/>
    </w:rPr>
  </w:style>
  <w:style w:type="character" w:customStyle="1" w:styleId="68">
    <w:name w:val="标题 3 字符"/>
    <w:basedOn w:val="47"/>
    <w:link w:val="4"/>
    <w:qFormat/>
    <w:uiPriority w:val="0"/>
    <w:rPr>
      <w:rFonts w:ascii="宋体" w:hAnsi="宋体" w:eastAsia="宋体"/>
      <w:b/>
      <w:bCs/>
      <w:spacing w:val="1"/>
      <w:sz w:val="28"/>
      <w:szCs w:val="32"/>
      <w:lang w:val="zh-CN"/>
    </w:rPr>
  </w:style>
  <w:style w:type="character" w:customStyle="1" w:styleId="69">
    <w:name w:val="文档结构图 字符"/>
    <w:basedOn w:val="47"/>
    <w:link w:val="15"/>
    <w:qFormat/>
    <w:uiPriority w:val="0"/>
    <w:rPr>
      <w:rFonts w:ascii="宋体" w:hAnsi="Times New Roman" w:eastAsia="宋体" w:cs="Times New Roman"/>
      <w:kern w:val="0"/>
      <w:sz w:val="18"/>
      <w:szCs w:val="18"/>
      <w:lang w:val="zh-CN"/>
    </w:rPr>
  </w:style>
  <w:style w:type="character" w:customStyle="1" w:styleId="70">
    <w:name w:val="批注文字 字符"/>
    <w:basedOn w:val="47"/>
    <w:link w:val="16"/>
    <w:qFormat/>
    <w:uiPriority w:val="0"/>
    <w:rPr>
      <w:rFonts w:ascii="Times New Roman" w:hAnsi="Times New Roman" w:eastAsia="宋体" w:cs="Times New Roman"/>
      <w:szCs w:val="24"/>
      <w:lang w:val="zh-CN"/>
    </w:rPr>
  </w:style>
  <w:style w:type="character" w:customStyle="1" w:styleId="71">
    <w:name w:val="称呼 字符"/>
    <w:basedOn w:val="47"/>
    <w:link w:val="17"/>
    <w:qFormat/>
    <w:uiPriority w:val="0"/>
    <w:rPr>
      <w:rFonts w:ascii="Calibri" w:hAnsi="Calibri" w:eastAsia="宋体" w:cs="Times New Roman"/>
      <w:kern w:val="0"/>
      <w:sz w:val="32"/>
      <w:szCs w:val="24"/>
    </w:rPr>
  </w:style>
  <w:style w:type="character" w:customStyle="1" w:styleId="72">
    <w:name w:val="正文文本 3 字符"/>
    <w:basedOn w:val="47"/>
    <w:link w:val="18"/>
    <w:qFormat/>
    <w:uiPriority w:val="0"/>
    <w:rPr>
      <w:rFonts w:ascii="Times New Roman" w:hAnsi="Times New Roman" w:eastAsia="宋体" w:cs="Times New Roman"/>
      <w:kern w:val="0"/>
      <w:sz w:val="16"/>
      <w:szCs w:val="16"/>
      <w:lang w:val="zh-CN"/>
    </w:rPr>
  </w:style>
  <w:style w:type="character" w:customStyle="1" w:styleId="73">
    <w:name w:val="正文文本 字符"/>
    <w:basedOn w:val="47"/>
    <w:link w:val="19"/>
    <w:qFormat/>
    <w:uiPriority w:val="99"/>
    <w:rPr>
      <w:rFonts w:ascii="Times New Roman" w:hAnsi="Times New Roman" w:eastAsia="宋体" w:cs="Times New Roman"/>
      <w:b/>
      <w:bCs/>
      <w:szCs w:val="24"/>
    </w:rPr>
  </w:style>
  <w:style w:type="character" w:customStyle="1" w:styleId="74">
    <w:name w:val="正文文本缩进 字符"/>
    <w:basedOn w:val="47"/>
    <w:link w:val="20"/>
    <w:qFormat/>
    <w:uiPriority w:val="0"/>
    <w:rPr>
      <w:rFonts w:ascii="宋体" w:hAnsi="Times New Roman" w:eastAsia="宋体" w:cs="Times New Roman"/>
      <w:sz w:val="30"/>
      <w:szCs w:val="20"/>
      <w:lang w:val="zh-CN"/>
    </w:rPr>
  </w:style>
  <w:style w:type="character" w:customStyle="1" w:styleId="75">
    <w:name w:val="纯文本 字符"/>
    <w:basedOn w:val="47"/>
    <w:link w:val="25"/>
    <w:qFormat/>
    <w:uiPriority w:val="0"/>
    <w:rPr>
      <w:rFonts w:ascii="宋体" w:hAnsi="Courier New" w:eastAsia="宋体" w:cs="Times New Roman"/>
      <w:szCs w:val="20"/>
      <w:lang w:val="zh-CN"/>
    </w:rPr>
  </w:style>
  <w:style w:type="character" w:customStyle="1" w:styleId="76">
    <w:name w:val="日期 字符"/>
    <w:basedOn w:val="47"/>
    <w:link w:val="27"/>
    <w:qFormat/>
    <w:uiPriority w:val="0"/>
    <w:rPr>
      <w:rFonts w:ascii="Calibri" w:hAnsi="Calibri" w:eastAsia="宋体" w:cs="Times New Roman"/>
      <w:kern w:val="0"/>
      <w:sz w:val="20"/>
      <w:szCs w:val="24"/>
    </w:rPr>
  </w:style>
  <w:style w:type="character" w:customStyle="1" w:styleId="77">
    <w:name w:val="正文文本缩进 2 字符"/>
    <w:basedOn w:val="47"/>
    <w:link w:val="28"/>
    <w:qFormat/>
    <w:uiPriority w:val="0"/>
    <w:rPr>
      <w:rFonts w:ascii="Times New Roman" w:hAnsi="Times New Roman" w:eastAsia="Courier New" w:cs="Times New Roman"/>
      <w:kern w:val="0"/>
      <w:sz w:val="20"/>
      <w:szCs w:val="20"/>
      <w:lang w:val="zh-CN"/>
    </w:rPr>
  </w:style>
  <w:style w:type="character" w:customStyle="1" w:styleId="78">
    <w:name w:val="批注框文本 字符"/>
    <w:basedOn w:val="47"/>
    <w:link w:val="29"/>
    <w:qFormat/>
    <w:uiPriority w:val="0"/>
    <w:rPr>
      <w:rFonts w:ascii="Times New Roman" w:hAnsi="Times New Roman" w:eastAsia="宋体" w:cs="Times New Roman"/>
      <w:sz w:val="18"/>
      <w:szCs w:val="18"/>
      <w:lang w:val="zh-CN"/>
    </w:rPr>
  </w:style>
  <w:style w:type="character" w:customStyle="1" w:styleId="79">
    <w:name w:val="正文文本缩进 3 字符"/>
    <w:basedOn w:val="47"/>
    <w:link w:val="35"/>
    <w:qFormat/>
    <w:uiPriority w:val="0"/>
    <w:rPr>
      <w:rFonts w:ascii="Calibri" w:hAnsi="Calibri" w:eastAsia="宋体" w:cs="Times New Roman"/>
      <w:kern w:val="0"/>
      <w:sz w:val="16"/>
      <w:szCs w:val="20"/>
    </w:rPr>
  </w:style>
  <w:style w:type="character" w:customStyle="1" w:styleId="80">
    <w:name w:val="正文文本 2 字符"/>
    <w:basedOn w:val="47"/>
    <w:link w:val="38"/>
    <w:qFormat/>
    <w:uiPriority w:val="0"/>
    <w:rPr>
      <w:rFonts w:ascii="Times New Roman" w:hAnsi="Times New Roman" w:eastAsia="宋体" w:cs="Times New Roman"/>
      <w:kern w:val="0"/>
      <w:sz w:val="20"/>
      <w:szCs w:val="24"/>
      <w:lang w:val="zh-CN"/>
    </w:rPr>
  </w:style>
  <w:style w:type="character" w:customStyle="1" w:styleId="81">
    <w:name w:val="HTML 预设格式 字符"/>
    <w:basedOn w:val="47"/>
    <w:link w:val="39"/>
    <w:qFormat/>
    <w:uiPriority w:val="0"/>
    <w:rPr>
      <w:rFonts w:ascii="Calibri" w:hAnsi="Calibri" w:eastAsia="宋体" w:cs="Times New Roman"/>
      <w:kern w:val="0"/>
      <w:sz w:val="20"/>
      <w:szCs w:val="21"/>
    </w:rPr>
  </w:style>
  <w:style w:type="character" w:customStyle="1" w:styleId="82">
    <w:name w:val="标题 字符"/>
    <w:basedOn w:val="47"/>
    <w:link w:val="41"/>
    <w:qFormat/>
    <w:uiPriority w:val="0"/>
    <w:rPr>
      <w:rFonts w:ascii="Arial" w:hAnsi="Arial" w:eastAsia="宋体" w:cs="Times New Roman"/>
      <w:b/>
      <w:bCs/>
      <w:kern w:val="0"/>
      <w:sz w:val="32"/>
      <w:szCs w:val="32"/>
      <w:lang w:val="zh-CN"/>
    </w:rPr>
  </w:style>
  <w:style w:type="character" w:customStyle="1" w:styleId="83">
    <w:name w:val="批注主题 字符"/>
    <w:basedOn w:val="70"/>
    <w:link w:val="42"/>
    <w:qFormat/>
    <w:uiPriority w:val="0"/>
    <w:rPr>
      <w:rFonts w:ascii="Times New Roman" w:hAnsi="Times New Roman" w:eastAsia="宋体" w:cs="Times New Roman"/>
      <w:b/>
      <w:bCs/>
      <w:szCs w:val="24"/>
      <w:lang w:val="zh-CN"/>
    </w:rPr>
  </w:style>
  <w:style w:type="character" w:customStyle="1" w:styleId="84">
    <w:name w:val="正文首行缩进 字符"/>
    <w:basedOn w:val="73"/>
    <w:link w:val="43"/>
    <w:qFormat/>
    <w:uiPriority w:val="0"/>
    <w:rPr>
      <w:rFonts w:ascii="Times New Roman" w:hAnsi="Times New Roman" w:eastAsia="宋体" w:cs="Times New Roman"/>
      <w:b w:val="0"/>
      <w:bCs w:val="0"/>
      <w:kern w:val="0"/>
      <w:sz w:val="20"/>
      <w:szCs w:val="20"/>
    </w:rPr>
  </w:style>
  <w:style w:type="character" w:customStyle="1" w:styleId="85">
    <w:name w:val="正文首行缩进 2 字符"/>
    <w:basedOn w:val="74"/>
    <w:link w:val="44"/>
    <w:qFormat/>
    <w:uiPriority w:val="0"/>
    <w:rPr>
      <w:rFonts w:ascii="Times New Roman" w:hAnsi="Times New Roman" w:eastAsia="宋体" w:cs="Times New Roman"/>
      <w:kern w:val="0"/>
      <w:sz w:val="20"/>
      <w:szCs w:val="24"/>
      <w:lang w:val="zh-CN"/>
    </w:rPr>
  </w:style>
  <w:style w:type="character" w:customStyle="1" w:styleId="86">
    <w:name w:val="访问过的超链接1"/>
    <w:basedOn w:val="47"/>
    <w:semiHidden/>
    <w:unhideWhenUsed/>
    <w:qFormat/>
    <w:uiPriority w:val="99"/>
    <w:rPr>
      <w:color w:val="800080"/>
      <w:u w:val="single"/>
    </w:rPr>
  </w:style>
  <w:style w:type="character" w:customStyle="1" w:styleId="87">
    <w:name w:val="正文缩进 字符"/>
    <w:link w:val="5"/>
    <w:qFormat/>
    <w:uiPriority w:val="0"/>
    <w:rPr>
      <w:rFonts w:ascii="Times New Roman" w:hAnsi="Times New Roman" w:eastAsia="宋体" w:cs="Times New Roman"/>
      <w:szCs w:val="24"/>
    </w:rPr>
  </w:style>
  <w:style w:type="paragraph" w:customStyle="1" w:styleId="88">
    <w:name w:val="_Style 7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插图名称 Char Char"/>
    <w:link w:val="90"/>
    <w:qFormat/>
    <w:uiPriority w:val="0"/>
    <w:rPr>
      <w:rFonts w:eastAsia="Times New Roman"/>
      <w:szCs w:val="24"/>
    </w:rPr>
  </w:style>
  <w:style w:type="paragraph" w:customStyle="1" w:styleId="90">
    <w:name w:val="插图名称"/>
    <w:link w:val="89"/>
    <w:qFormat/>
    <w:uiPriority w:val="0"/>
    <w:pPr>
      <w:jc w:val="center"/>
      <w:outlineLvl w:val="8"/>
    </w:pPr>
    <w:rPr>
      <w:rFonts w:eastAsia="Times New Roman" w:asciiTheme="minorHAnsi" w:hAnsiTheme="minorHAnsi" w:cstheme="minorBidi"/>
      <w:kern w:val="2"/>
      <w:sz w:val="21"/>
      <w:szCs w:val="24"/>
      <w:lang w:val="en-US" w:eastAsia="zh-CN" w:bidi="ar-SA"/>
    </w:rPr>
  </w:style>
  <w:style w:type="character" w:customStyle="1" w:styleId="91">
    <w:name w:val="表格文字 Char"/>
    <w:qFormat/>
    <w:uiPriority w:val="0"/>
    <w:rPr>
      <w:rFonts w:ascii="宋体" w:hAnsi="Courier New"/>
    </w:rPr>
  </w:style>
  <w:style w:type="character" w:customStyle="1" w:styleId="92">
    <w:name w:val="19"/>
    <w:qFormat/>
    <w:uiPriority w:val="0"/>
    <w:rPr>
      <w:rFonts w:hint="default" w:ascii="Calibri" w:hAnsi="Calibri" w:cs="Calibri"/>
      <w:b/>
      <w:bCs/>
      <w:kern w:val="44"/>
      <w:sz w:val="44"/>
      <w:szCs w:val="44"/>
    </w:rPr>
  </w:style>
  <w:style w:type="character" w:customStyle="1" w:styleId="93">
    <w:name w:val="17"/>
    <w:qFormat/>
    <w:uiPriority w:val="0"/>
    <w:rPr>
      <w:rFonts w:hint="default" w:ascii="Calibri" w:hAnsi="Calibri" w:cs="Calibri"/>
    </w:rPr>
  </w:style>
  <w:style w:type="character" w:customStyle="1" w:styleId="94">
    <w:name w:val="Char Char10"/>
    <w:qFormat/>
    <w:uiPriority w:val="0"/>
    <w:rPr>
      <w:rFonts w:ascii="宋体" w:hAnsi="Courier New" w:eastAsia="宋体" w:cs="Times New Roman"/>
      <w:szCs w:val="20"/>
    </w:rPr>
  </w:style>
  <w:style w:type="character" w:customStyle="1" w:styleId="95">
    <w:name w:val="3eee Char Char"/>
    <w:link w:val="96"/>
    <w:qFormat/>
    <w:uiPriority w:val="0"/>
    <w:rPr>
      <w:rFonts w:ascii="Courier New" w:hAnsi="Courier New" w:eastAsia="Courier New"/>
      <w:sz w:val="24"/>
      <w:szCs w:val="24"/>
    </w:rPr>
  </w:style>
  <w:style w:type="paragraph" w:customStyle="1" w:styleId="96">
    <w:name w:val="3eee"/>
    <w:basedOn w:val="1"/>
    <w:link w:val="95"/>
    <w:qFormat/>
    <w:uiPriority w:val="0"/>
    <w:pPr>
      <w:spacing w:line="440" w:lineRule="exact"/>
      <w:ind w:firstLine="480" w:firstLineChars="200"/>
    </w:pPr>
    <w:rPr>
      <w:rFonts w:ascii="Courier New" w:hAnsi="Courier New" w:eastAsia="Courier New"/>
      <w:sz w:val="24"/>
      <w:szCs w:val="24"/>
    </w:rPr>
  </w:style>
  <w:style w:type="character" w:customStyle="1" w:styleId="97">
    <w:name w:val="样式 宋体 小四 Char Char"/>
    <w:link w:val="98"/>
    <w:qFormat/>
    <w:uiPriority w:val="0"/>
    <w:rPr>
      <w:rFonts w:ascii="Courier New" w:hAnsi="Courier New" w:eastAsia="Courier New"/>
      <w:sz w:val="24"/>
    </w:rPr>
  </w:style>
  <w:style w:type="paragraph" w:customStyle="1" w:styleId="98">
    <w:name w:val="样式 宋体 小四"/>
    <w:basedOn w:val="1"/>
    <w:link w:val="97"/>
    <w:qFormat/>
    <w:uiPriority w:val="0"/>
    <w:pPr>
      <w:adjustRightInd w:val="0"/>
      <w:snapToGrid w:val="0"/>
      <w:spacing w:line="480" w:lineRule="exact"/>
      <w:ind w:firstLine="200" w:firstLineChars="200"/>
    </w:pPr>
    <w:rPr>
      <w:rFonts w:ascii="Courier New" w:hAnsi="Courier New" w:eastAsia="Courier New"/>
      <w:sz w:val="24"/>
    </w:rPr>
  </w:style>
  <w:style w:type="character" w:customStyle="1" w:styleId="99">
    <w:name w:val="Default Paragraph Font New"/>
    <w:qFormat/>
    <w:uiPriority w:val="0"/>
    <w:rPr>
      <w:rFonts w:hint="default"/>
    </w:rPr>
  </w:style>
  <w:style w:type="character" w:customStyle="1" w:styleId="100">
    <w:name w:val="文一 Char Char"/>
    <w:link w:val="101"/>
    <w:qFormat/>
    <w:uiPriority w:val="0"/>
    <w:rPr>
      <w:spacing w:val="4"/>
      <w:sz w:val="24"/>
      <w:szCs w:val="24"/>
    </w:rPr>
  </w:style>
  <w:style w:type="paragraph" w:customStyle="1" w:styleId="101">
    <w:name w:val="文一"/>
    <w:basedOn w:val="1"/>
    <w:link w:val="100"/>
    <w:qFormat/>
    <w:uiPriority w:val="0"/>
    <w:pPr>
      <w:topLinePunct/>
      <w:adjustRightInd w:val="0"/>
      <w:snapToGrid w:val="0"/>
      <w:spacing w:line="360" w:lineRule="auto"/>
      <w:ind w:firstLine="200" w:firstLineChars="200"/>
    </w:pPr>
    <w:rPr>
      <w:spacing w:val="4"/>
      <w:sz w:val="24"/>
      <w:szCs w:val="24"/>
    </w:rPr>
  </w:style>
  <w:style w:type="character" w:customStyle="1" w:styleId="102">
    <w:name w:val="无间隔 Char Char"/>
    <w:link w:val="103"/>
    <w:qFormat/>
    <w:uiPriority w:val="0"/>
    <w:rPr>
      <w:szCs w:val="24"/>
    </w:rPr>
  </w:style>
  <w:style w:type="paragraph" w:customStyle="1" w:styleId="103">
    <w:name w:val="无间隔1"/>
    <w:link w:val="10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04">
    <w:name w:val="18"/>
    <w:qFormat/>
    <w:uiPriority w:val="0"/>
    <w:rPr>
      <w:rFonts w:hint="default" w:ascii="Calibri" w:hAnsi="Calibri" w:cs="Calibri"/>
      <w:b/>
      <w:bCs/>
      <w:sz w:val="30"/>
      <w:szCs w:val="30"/>
    </w:rPr>
  </w:style>
  <w:style w:type="character" w:customStyle="1" w:styleId="105">
    <w:name w:val="16"/>
    <w:qFormat/>
    <w:uiPriority w:val="0"/>
    <w:rPr>
      <w:rFonts w:hint="default" w:ascii="Calibri" w:hAnsi="Calibri" w:cs="Calibri"/>
      <w:color w:val="0000FF"/>
      <w:u w:val="single"/>
    </w:rPr>
  </w:style>
  <w:style w:type="character" w:customStyle="1" w:styleId="106">
    <w:name w:val="样式3 Char Char"/>
    <w:link w:val="107"/>
    <w:qFormat/>
    <w:uiPriority w:val="0"/>
    <w:rPr>
      <w:rFonts w:eastAsia="Times New Roman"/>
      <w:b/>
      <w:sz w:val="24"/>
    </w:rPr>
  </w:style>
  <w:style w:type="paragraph" w:customStyle="1" w:styleId="107">
    <w:name w:val="样式3"/>
    <w:link w:val="106"/>
    <w:qFormat/>
    <w:uiPriority w:val="0"/>
    <w:pPr>
      <w:tabs>
        <w:tab w:val="left" w:pos="1140"/>
      </w:tabs>
      <w:spacing w:line="480" w:lineRule="exact"/>
      <w:ind w:left="1140" w:hanging="720"/>
    </w:pPr>
    <w:rPr>
      <w:rFonts w:eastAsia="Times New Roman" w:asciiTheme="minorHAnsi" w:hAnsiTheme="minorHAnsi" w:cstheme="minorBidi"/>
      <w:b/>
      <w:kern w:val="2"/>
      <w:sz w:val="24"/>
      <w:szCs w:val="22"/>
      <w:lang w:val="en-US" w:eastAsia="zh-CN" w:bidi="ar-SA"/>
    </w:rPr>
  </w:style>
  <w:style w:type="character" w:customStyle="1" w:styleId="108">
    <w:name w:val="一级标题 Char Char"/>
    <w:link w:val="109"/>
    <w:qFormat/>
    <w:uiPriority w:val="0"/>
    <w:rPr>
      <w:b/>
      <w:sz w:val="30"/>
      <w:szCs w:val="30"/>
    </w:rPr>
  </w:style>
  <w:style w:type="paragraph" w:customStyle="1" w:styleId="109">
    <w:name w:val="一级标题"/>
    <w:basedOn w:val="1"/>
    <w:link w:val="108"/>
    <w:qFormat/>
    <w:uiPriority w:val="0"/>
    <w:pPr>
      <w:spacing w:line="360" w:lineRule="auto"/>
      <w:outlineLvl w:val="0"/>
    </w:pPr>
    <w:rPr>
      <w:b/>
      <w:sz w:val="30"/>
      <w:szCs w:val="30"/>
    </w:rPr>
  </w:style>
  <w:style w:type="character" w:customStyle="1" w:styleId="110">
    <w:name w:val="Default Paragraph Font New New New"/>
    <w:qFormat/>
    <w:uiPriority w:val="0"/>
    <w:rPr>
      <w:rFonts w:hint="default"/>
    </w:rPr>
  </w:style>
  <w:style w:type="character" w:customStyle="1" w:styleId="111">
    <w:name w:val="默认段落字体1"/>
    <w:qFormat/>
    <w:uiPriority w:val="0"/>
    <w:rPr>
      <w:rFonts w:hint="default"/>
    </w:rPr>
  </w:style>
  <w:style w:type="character" w:customStyle="1" w:styleId="112">
    <w:name w:val="正文(仿)首缩 Char"/>
    <w:link w:val="113"/>
    <w:qFormat/>
    <w:uiPriority w:val="0"/>
    <w:rPr>
      <w:rFonts w:ascii="仿宋_GB2312" w:eastAsia="仿宋_GB2312"/>
      <w:sz w:val="28"/>
    </w:rPr>
  </w:style>
  <w:style w:type="paragraph" w:customStyle="1" w:styleId="113">
    <w:name w:val="正文(仿)首缩"/>
    <w:basedOn w:val="1"/>
    <w:link w:val="112"/>
    <w:qFormat/>
    <w:uiPriority w:val="0"/>
    <w:pPr>
      <w:ind w:firstLine="554" w:firstLineChars="200"/>
    </w:pPr>
    <w:rPr>
      <w:rFonts w:ascii="仿宋_GB2312" w:eastAsia="仿宋_GB2312"/>
      <w:sz w:val="28"/>
    </w:rPr>
  </w:style>
  <w:style w:type="character" w:customStyle="1" w:styleId="114">
    <w:name w:val="表格00 Char1"/>
    <w:link w:val="115"/>
    <w:qFormat/>
    <w:uiPriority w:val="0"/>
    <w:rPr>
      <w:rFonts w:eastAsia="Times New Roman"/>
      <w:szCs w:val="21"/>
    </w:rPr>
  </w:style>
  <w:style w:type="paragraph" w:customStyle="1" w:styleId="115">
    <w:name w:val="表格00"/>
    <w:link w:val="114"/>
    <w:qFormat/>
    <w:uiPriority w:val="0"/>
    <w:pPr>
      <w:widowControl w:val="0"/>
      <w:adjustRightInd w:val="0"/>
      <w:spacing w:line="140" w:lineRule="atLeast"/>
      <w:jc w:val="center"/>
      <w:outlineLvl w:val="8"/>
    </w:pPr>
    <w:rPr>
      <w:rFonts w:eastAsia="Times New Roman" w:asciiTheme="minorHAnsi" w:hAnsiTheme="minorHAnsi" w:cstheme="minorBidi"/>
      <w:kern w:val="2"/>
      <w:sz w:val="21"/>
      <w:szCs w:val="21"/>
      <w:lang w:val="en-US" w:eastAsia="zh-CN" w:bidi="ar-SA"/>
    </w:rPr>
  </w:style>
  <w:style w:type="character" w:customStyle="1" w:styleId="116">
    <w:name w:val="样式 小四 首行缩进:  0.85 厘米 行距: 1.5 倍行距 Char1"/>
    <w:link w:val="117"/>
    <w:qFormat/>
    <w:uiPriority w:val="0"/>
    <w:rPr>
      <w:rFonts w:ascii="Courier New" w:hAnsi="Courier New" w:eastAsia="Courier New"/>
      <w:bCs/>
      <w:sz w:val="24"/>
      <w:szCs w:val="28"/>
    </w:rPr>
  </w:style>
  <w:style w:type="paragraph" w:customStyle="1" w:styleId="117">
    <w:name w:val="样式 小四 首行缩进:  0.85 厘米 行距: 1.5 倍行距"/>
    <w:basedOn w:val="1"/>
    <w:next w:val="1"/>
    <w:link w:val="116"/>
    <w:qFormat/>
    <w:uiPriority w:val="0"/>
    <w:pPr>
      <w:spacing w:line="360" w:lineRule="auto"/>
      <w:ind w:firstLine="480"/>
    </w:pPr>
    <w:rPr>
      <w:rFonts w:ascii="Courier New" w:hAnsi="Courier New" w:eastAsia="Courier New"/>
      <w:bCs/>
      <w:sz w:val="24"/>
      <w:szCs w:val="28"/>
    </w:rPr>
  </w:style>
  <w:style w:type="character" w:customStyle="1" w:styleId="118">
    <w:name w:val="Default Paragraph Font New New"/>
    <w:qFormat/>
    <w:uiPriority w:val="0"/>
    <w:rPr>
      <w:rFonts w:hint="default"/>
    </w:rPr>
  </w:style>
  <w:style w:type="character" w:customStyle="1" w:styleId="119">
    <w:name w:val="泉州师院正文 Char Char"/>
    <w:link w:val="120"/>
    <w:qFormat/>
    <w:uiPriority w:val="0"/>
    <w:rPr>
      <w:sz w:val="24"/>
      <w:szCs w:val="24"/>
    </w:rPr>
  </w:style>
  <w:style w:type="paragraph" w:customStyle="1" w:styleId="120">
    <w:name w:val="泉州师院正文"/>
    <w:basedOn w:val="1"/>
    <w:link w:val="119"/>
    <w:qFormat/>
    <w:uiPriority w:val="0"/>
    <w:pPr>
      <w:spacing w:line="360" w:lineRule="auto"/>
      <w:ind w:firstLine="480" w:firstLineChars="200"/>
    </w:pPr>
    <w:rPr>
      <w:sz w:val="24"/>
      <w:szCs w:val="24"/>
    </w:rPr>
  </w:style>
  <w:style w:type="character" w:customStyle="1" w:styleId="121">
    <w:name w:val="10"/>
    <w:qFormat/>
    <w:uiPriority w:val="0"/>
    <w:rPr>
      <w:rFonts w:hint="default" w:ascii="Calibri" w:hAnsi="Calibri" w:cs="Calibri"/>
    </w:rPr>
  </w:style>
  <w:style w:type="character" w:customStyle="1" w:styleId="122">
    <w:name w:val="15"/>
    <w:qFormat/>
    <w:uiPriority w:val="0"/>
    <w:rPr>
      <w:rFonts w:hint="default" w:ascii="Calibri" w:hAnsi="Calibri" w:cs="Calibri"/>
      <w:color w:val="0000FF"/>
      <w:u w:val="single"/>
    </w:rPr>
  </w:style>
  <w:style w:type="paragraph" w:customStyle="1" w:styleId="123">
    <w:name w:val="Normal New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24">
    <w:name w:val="正题"/>
    <w:basedOn w:val="101"/>
    <w:next w:val="101"/>
    <w:qFormat/>
    <w:uiPriority w:val="0"/>
    <w:pPr>
      <w:ind w:firstLine="0" w:firstLineChars="0"/>
      <w:jc w:val="center"/>
    </w:pPr>
    <w:rPr>
      <w:rFonts w:ascii="等线" w:hAnsi="等线" w:eastAsia="黑体"/>
      <w:b/>
      <w:snapToGrid w:val="0"/>
      <w:sz w:val="36"/>
      <w:szCs w:val="36"/>
    </w:rPr>
  </w:style>
  <w:style w:type="paragraph" w:customStyle="1" w:styleId="125">
    <w:name w:val="列出段落1"/>
    <w:basedOn w:val="1"/>
    <w:qFormat/>
    <w:uiPriority w:val="0"/>
    <w:pPr>
      <w:ind w:firstLine="420" w:firstLineChars="200"/>
    </w:pPr>
    <w:rPr>
      <w:rFonts w:ascii="Calibri" w:hAnsi="Calibri" w:eastAsia="宋体" w:cs="Times New Roman"/>
    </w:rPr>
  </w:style>
  <w:style w:type="paragraph" w:customStyle="1" w:styleId="126">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 w:type="paragraph" w:customStyle="1" w:styleId="127">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styleId="128">
    <w:name w:val="List Paragraph"/>
    <w:basedOn w:val="1"/>
    <w:qFormat/>
    <w:uiPriority w:val="0"/>
    <w:pPr>
      <w:ind w:firstLine="420" w:firstLineChars="200"/>
    </w:pPr>
    <w:rPr>
      <w:rFonts w:ascii="Times New Roman" w:hAnsi="Times New Roman" w:eastAsia="宋体" w:cs="Times New Roman"/>
      <w:szCs w:val="24"/>
    </w:rPr>
  </w:style>
  <w:style w:type="paragraph" w:customStyle="1" w:styleId="129">
    <w:name w:val="1eee"/>
    <w:basedOn w:val="2"/>
    <w:qFormat/>
    <w:uiPriority w:val="0"/>
    <w:rPr>
      <w:rFonts w:eastAsia="黑体" w:cs="宋体"/>
      <w:b w:val="0"/>
      <w:sz w:val="30"/>
    </w:rPr>
  </w:style>
  <w:style w:type="paragraph" w:customStyle="1" w:styleId="130">
    <w:name w:val="正文图标题"/>
    <w:next w:val="1"/>
    <w:qFormat/>
    <w:uiPriority w:val="0"/>
    <w:pPr>
      <w:tabs>
        <w:tab w:val="left" w:pos="420"/>
      </w:tabs>
      <w:ind w:left="567" w:hanging="279"/>
      <w:jc w:val="center"/>
    </w:pPr>
    <w:rPr>
      <w:rFonts w:ascii="黑体" w:hAnsi="Times New Roman" w:eastAsia="黑体" w:cs="Times New Roman"/>
      <w:kern w:val="0"/>
      <w:sz w:val="21"/>
      <w:szCs w:val="20"/>
      <w:lang w:val="en-US" w:eastAsia="zh-CN" w:bidi="ar-SA"/>
    </w:rPr>
  </w:style>
  <w:style w:type="paragraph" w:customStyle="1" w:styleId="131">
    <w:name w:val="文二"/>
    <w:basedOn w:val="1"/>
    <w:qFormat/>
    <w:uiPriority w:val="0"/>
    <w:pPr>
      <w:jc w:val="left"/>
    </w:pPr>
    <w:rPr>
      <w:rFonts w:ascii="宋体" w:hAnsi="宋体" w:eastAsia="宋体" w:cs="Times New Roman"/>
      <w:szCs w:val="21"/>
    </w:rPr>
  </w:style>
  <w:style w:type="paragraph" w:customStyle="1" w:styleId="132">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33">
    <w:name w:val="Normal New New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34">
    <w:name w:val="发文落款"/>
    <w:basedOn w:val="132"/>
    <w:qFormat/>
    <w:uiPriority w:val="0"/>
    <w:pPr>
      <w:ind w:left="4094" w:right="607" w:firstLine="0"/>
      <w:jc w:val="center"/>
    </w:pPr>
  </w:style>
  <w:style w:type="paragraph" w:customStyle="1" w:styleId="135">
    <w:name w:val="封一"/>
    <w:basedOn w:val="101"/>
    <w:next w:val="101"/>
    <w:qFormat/>
    <w:uiPriority w:val="0"/>
    <w:pPr>
      <w:ind w:firstLine="0" w:firstLineChars="0"/>
      <w:jc w:val="center"/>
    </w:pPr>
    <w:rPr>
      <w:rFonts w:ascii="等线" w:hAnsi="等线" w:eastAsia="黑体"/>
      <w:b/>
      <w:snapToGrid w:val="0"/>
      <w:sz w:val="84"/>
      <w:szCs w:val="84"/>
    </w:rPr>
  </w:style>
  <w:style w:type="paragraph" w:customStyle="1" w:styleId="136">
    <w:name w:val="_Style 59"/>
    <w:qFormat/>
    <w:uiPriority w:val="0"/>
    <w:pPr>
      <w:spacing w:after="160" w:line="240" w:lineRule="exact"/>
    </w:pPr>
    <w:rPr>
      <w:rFonts w:ascii="Times New Roman" w:hAnsi="Times New Roman" w:eastAsia="宋体" w:cs="Times New Roman"/>
      <w:kern w:val="0"/>
      <w:sz w:val="20"/>
      <w:szCs w:val="20"/>
      <w:lang w:val="en-US" w:eastAsia="zh-CN" w:bidi="ar-SA"/>
    </w:rPr>
  </w:style>
  <w:style w:type="paragraph" w:customStyle="1" w:styleId="137">
    <w:name w:val="封四"/>
    <w:basedOn w:val="101"/>
    <w:next w:val="101"/>
    <w:qFormat/>
    <w:uiPriority w:val="0"/>
    <w:pPr>
      <w:jc w:val="left"/>
    </w:pPr>
    <w:rPr>
      <w:rFonts w:ascii="等线" w:hAnsi="等线" w:eastAsia="等线"/>
      <w:snapToGrid w:val="0"/>
      <w:sz w:val="30"/>
      <w:szCs w:val="30"/>
    </w:rPr>
  </w:style>
  <w:style w:type="paragraph" w:customStyle="1" w:styleId="138">
    <w:name w:val="正文1"/>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39">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40">
    <w:name w:val="Normal New"/>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customStyle="1" w:styleId="141">
    <w:name w:val="Char Char Char Char Char Char Char1"/>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42">
    <w:name w:val="修订1"/>
    <w:qFormat/>
    <w:uiPriority w:val="0"/>
    <w:rPr>
      <w:rFonts w:ascii="Times New Roman" w:hAnsi="Times New Roman" w:eastAsia="宋体" w:cs="Times New Roman"/>
      <w:kern w:val="2"/>
      <w:sz w:val="21"/>
      <w:szCs w:val="24"/>
      <w:lang w:val="en-US" w:eastAsia="zh-CN" w:bidi="ar-SA"/>
    </w:rPr>
  </w:style>
  <w:style w:type="paragraph" w:customStyle="1" w:styleId="143">
    <w:name w:val="封二"/>
    <w:basedOn w:val="101"/>
    <w:next w:val="101"/>
    <w:qFormat/>
    <w:uiPriority w:val="0"/>
    <w:pPr>
      <w:ind w:firstLine="0" w:firstLineChars="0"/>
      <w:jc w:val="center"/>
    </w:pPr>
    <w:rPr>
      <w:rFonts w:ascii="等线" w:hAnsi="等线" w:eastAsia="黑体"/>
      <w:b/>
      <w:snapToGrid w:val="0"/>
      <w:sz w:val="36"/>
      <w:szCs w:val="36"/>
    </w:rPr>
  </w:style>
  <w:style w:type="paragraph" w:customStyle="1" w:styleId="144">
    <w:name w:val="样式 标题 3 + 首行缩进:  1.06 厘米"/>
    <w:basedOn w:val="4"/>
    <w:qFormat/>
    <w:uiPriority w:val="0"/>
  </w:style>
  <w:style w:type="paragraph" w:styleId="145">
    <w:name w:val="No Spacing"/>
    <w:qFormat/>
    <w:uiPriority w:val="0"/>
    <w:pPr>
      <w:widowControl w:val="0"/>
      <w:jc w:val="both"/>
    </w:pPr>
    <w:rPr>
      <w:rFonts w:ascii="Times New Roman" w:hAnsi="Times New Roman" w:eastAsia="Times New Roman" w:cs="Times New Roman"/>
      <w:kern w:val="2"/>
      <w:sz w:val="24"/>
      <w:szCs w:val="24"/>
      <w:lang w:val="en-US" w:eastAsia="zh-CN" w:bidi="ar-SA"/>
    </w:rPr>
  </w:style>
  <w:style w:type="paragraph" w:customStyle="1" w:styleId="14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CM15"/>
    <w:basedOn w:val="1"/>
    <w:next w:val="1"/>
    <w:qFormat/>
    <w:uiPriority w:val="0"/>
    <w:pPr>
      <w:autoSpaceDE w:val="0"/>
      <w:autoSpaceDN w:val="0"/>
      <w:adjustRightInd w:val="0"/>
      <w:spacing w:line="468" w:lineRule="atLeast"/>
      <w:jc w:val="left"/>
    </w:pPr>
    <w:rPr>
      <w:rFonts w:ascii="黑体" w:hAnsi="Calibri" w:eastAsia="黑体" w:cs="Times New Roman"/>
      <w:kern w:val="0"/>
      <w:sz w:val="24"/>
      <w:szCs w:val="24"/>
    </w:rPr>
  </w:style>
  <w:style w:type="paragraph" w:customStyle="1" w:styleId="148">
    <w:name w:val="TOC 标题1"/>
    <w:basedOn w:val="2"/>
    <w:next w:val="1"/>
    <w:qFormat/>
    <w:uiPriority w:val="0"/>
    <w:pPr>
      <w:widowControl/>
      <w:spacing w:before="480" w:line="276" w:lineRule="auto"/>
      <w:jc w:val="left"/>
      <w:outlineLvl w:val="9"/>
    </w:pPr>
    <w:rPr>
      <w:rFonts w:ascii="Cambria" w:hAnsi="Cambria"/>
      <w:color w:val="365F91"/>
      <w:kern w:val="0"/>
      <w:sz w:val="28"/>
      <w:szCs w:val="28"/>
      <w:lang w:val="en-US"/>
    </w:rPr>
  </w:style>
  <w:style w:type="paragraph" w:customStyle="1" w:styleId="149">
    <w:name w:val="表格内容"/>
    <w:basedOn w:val="1"/>
    <w:qFormat/>
    <w:uiPriority w:val="0"/>
    <w:pPr>
      <w:adjustRightInd w:val="0"/>
      <w:snapToGrid w:val="0"/>
      <w:spacing w:line="288" w:lineRule="auto"/>
      <w:jc w:val="center"/>
    </w:pPr>
    <w:rPr>
      <w:rFonts w:ascii="Times New Roman" w:hAnsi="Times New Roman" w:eastAsia="宋体" w:cs="Times New Roman"/>
      <w:szCs w:val="24"/>
    </w:rPr>
  </w:style>
  <w:style w:type="paragraph" w:customStyle="1" w:styleId="150">
    <w:name w:val="Plain Text1"/>
    <w:basedOn w:val="1"/>
    <w:qFormat/>
    <w:uiPriority w:val="99"/>
    <w:rPr>
      <w:rFonts w:ascii="宋体" w:hAnsi="Courier New" w:eastAsia="宋体" w:cs="Times New Roman"/>
      <w:kern w:val="0"/>
      <w:sz w:val="20"/>
      <w:szCs w:val="20"/>
    </w:rPr>
  </w:style>
  <w:style w:type="character" w:styleId="151">
    <w:name w:val="Placeholder Text"/>
    <w:basedOn w:val="47"/>
    <w:semiHidden/>
    <w:qFormat/>
    <w:uiPriority w:val="99"/>
    <w:rPr>
      <w:color w:val="808080"/>
    </w:rPr>
  </w:style>
  <w:style w:type="paragraph" w:customStyle="1" w:styleId="152">
    <w:name w:val="p16"/>
    <w:basedOn w:val="1"/>
    <w:qFormat/>
    <w:uiPriority w:val="0"/>
    <w:pPr>
      <w:widowControl/>
    </w:pPr>
    <w:rPr>
      <w:rFonts w:ascii="Times New Roman" w:hAnsi="Times New Roman" w:eastAsia="宋体" w:cs="Times New Roman"/>
      <w:kern w:val="0"/>
      <w:sz w:val="32"/>
      <w:szCs w:val="32"/>
    </w:rPr>
  </w:style>
  <w:style w:type="character" w:customStyle="1" w:styleId="153">
    <w:name w:val="username"/>
    <w:basedOn w:val="47"/>
    <w:qFormat/>
    <w:uiPriority w:val="0"/>
  </w:style>
  <w:style w:type="character" w:customStyle="1" w:styleId="154">
    <w:name w:val="title26"/>
    <w:basedOn w:val="47"/>
    <w:qFormat/>
    <w:uiPriority w:val="0"/>
  </w:style>
  <w:style w:type="character" w:customStyle="1" w:styleId="155">
    <w:name w:val="font01"/>
    <w:qFormat/>
    <w:uiPriority w:val="0"/>
    <w:rPr>
      <w:rFonts w:hint="eastAsia" w:ascii="宋体" w:hAnsi="宋体" w:eastAsia="宋体" w:cs="宋体"/>
      <w:color w:val="000000"/>
      <w:sz w:val="21"/>
      <w:szCs w:val="21"/>
      <w:u w:val="none"/>
    </w:rPr>
  </w:style>
  <w:style w:type="paragraph" w:customStyle="1" w:styleId="15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title24"/>
    <w:basedOn w:val="47"/>
    <w:qFormat/>
    <w:uiPriority w:val="0"/>
  </w:style>
  <w:style w:type="paragraph" w:customStyle="1" w:styleId="158">
    <w:name w:val="正文 New New"/>
    <w:qFormat/>
    <w:uiPriority w:val="0"/>
    <w:pPr>
      <w:widowControl w:val="0"/>
      <w:jc w:val="both"/>
    </w:pPr>
    <w:rPr>
      <w:rFonts w:ascii="Times New Roman" w:hAnsi="Times New Roman" w:eastAsia="楷体_GB2312" w:cs="Times New Roman"/>
      <w:kern w:val="2"/>
      <w:sz w:val="21"/>
      <w:szCs w:val="20"/>
      <w:lang w:val="en-US" w:eastAsia="zh-CN" w:bidi="ar-SA"/>
    </w:rPr>
  </w:style>
  <w:style w:type="character" w:customStyle="1" w:styleId="159">
    <w:name w:val="标题 3 字符1"/>
    <w:basedOn w:val="47"/>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33871</Words>
  <Characters>35678</Characters>
  <Lines>232</Lines>
  <Paragraphs>65</Paragraphs>
  <TotalTime>21</TotalTime>
  <ScaleCrop>false</ScaleCrop>
  <LinksUpToDate>false</LinksUpToDate>
  <CharactersWithSpaces>37234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2025-03-19T04:34:00Z</dcterms:created>
  <dc:creator>Admin</dc:creator>
  <cp:lastModifiedBy>admin</cp:lastModifiedBy>
  <cp:lastPrinted>2025-04-09T02:31:00Z</cp:lastPrinted>
  <dcterms:modified xsi:type="dcterms:W3CDTF">2025-06-30T09:17:49Z</dcterms:modified>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D9DF48AA41E248B892102A2C42305EDE_13</vt:lpwstr>
  </property>
  <property fmtid="{D5CDD505-2E9C-101B-9397-08002B2CF9AE}" pid="4" name="KSOTemplateDocerSaveRecord">
    <vt:lpwstr>eyJoZGlkIjoiYWIyYjQ3MmVlYTYwZjc4YWViYzliMDdlZmI1NmMzYzUiLCJ1c2VySWQiOiIxNTY4Nzc4MjA1In0=</vt:lpwstr>
  </property>
</Properties>
</file>