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6814C">
      <w:pPr>
        <w:wordWrap/>
        <w:bidi w:val="0"/>
        <w:spacing w:beforeAutospacing="0" w:afterAutospacing="0" w:line="360" w:lineRule="auto"/>
        <w:rPr>
          <w:rFonts w:ascii="Arial"/>
          <w:color w:val="auto"/>
          <w:sz w:val="21"/>
          <w:highlight w:val="none"/>
        </w:rPr>
      </w:pPr>
    </w:p>
    <w:p w14:paraId="090A74CB">
      <w:pPr>
        <w:wordWrap/>
        <w:bidi w:val="0"/>
        <w:spacing w:beforeAutospacing="0" w:afterAutospacing="0" w:line="360" w:lineRule="auto"/>
        <w:rPr>
          <w:rFonts w:ascii="Arial"/>
          <w:color w:val="auto"/>
          <w:sz w:val="21"/>
          <w:highlight w:val="none"/>
        </w:rPr>
      </w:pPr>
    </w:p>
    <w:p w14:paraId="44759B7F">
      <w:pPr>
        <w:wordWrap/>
        <w:bidi w:val="0"/>
        <w:spacing w:beforeAutospacing="0" w:afterAutospacing="0" w:line="360" w:lineRule="auto"/>
        <w:rPr>
          <w:rFonts w:ascii="Arial"/>
          <w:color w:val="auto"/>
          <w:sz w:val="21"/>
          <w:highlight w:val="none"/>
        </w:rPr>
      </w:pPr>
    </w:p>
    <w:p w14:paraId="2F06AC76">
      <w:pPr>
        <w:wordWrap/>
        <w:bidi w:val="0"/>
        <w:spacing w:beforeAutospacing="0" w:afterAutospacing="0" w:line="360" w:lineRule="auto"/>
        <w:rPr>
          <w:rFonts w:ascii="Arial"/>
          <w:color w:val="auto"/>
          <w:sz w:val="21"/>
          <w:highlight w:val="none"/>
        </w:rPr>
      </w:pPr>
    </w:p>
    <w:p w14:paraId="1D55E769">
      <w:pPr>
        <w:wordWrap/>
        <w:bidi w:val="0"/>
        <w:spacing w:beforeAutospacing="0" w:afterAutospacing="0" w:line="360" w:lineRule="auto"/>
        <w:rPr>
          <w:rFonts w:ascii="Arial"/>
          <w:color w:val="auto"/>
          <w:sz w:val="21"/>
          <w:highlight w:val="none"/>
        </w:rPr>
      </w:pPr>
    </w:p>
    <w:p w14:paraId="2BB6919B">
      <w:pPr>
        <w:wordWrap/>
        <w:bidi w:val="0"/>
        <w:spacing w:beforeAutospacing="0" w:afterAutospacing="0" w:line="360" w:lineRule="auto"/>
        <w:rPr>
          <w:rFonts w:ascii="Arial"/>
          <w:color w:val="auto"/>
          <w:sz w:val="21"/>
          <w:highlight w:val="none"/>
        </w:rPr>
      </w:pPr>
    </w:p>
    <w:p w14:paraId="310572DE">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黑体" w:hAnsi="黑体" w:eastAsia="黑体" w:cs="黑体"/>
          <w:snapToGrid/>
          <w:color w:val="auto"/>
          <w:kern w:val="0"/>
          <w:sz w:val="36"/>
          <w:szCs w:val="36"/>
          <w:highlight w:val="none"/>
          <w:u w:val="single"/>
          <w:lang w:eastAsia="zh-CN"/>
        </w:rPr>
      </w:pPr>
      <w:r>
        <w:rPr>
          <w:rFonts w:hint="eastAsia" w:ascii="黑体" w:hAnsi="黑体" w:eastAsia="黑体" w:cs="黑体"/>
          <w:snapToGrid/>
          <w:color w:val="auto"/>
          <w:kern w:val="0"/>
          <w:sz w:val="36"/>
          <w:szCs w:val="36"/>
          <w:highlight w:val="none"/>
          <w:u w:val="single"/>
          <w:lang w:eastAsia="zh-CN"/>
        </w:rPr>
        <w:t>知识城迳下水系连通二期工程勘察设计</w:t>
      </w:r>
    </w:p>
    <w:p w14:paraId="4B8B8985">
      <w:pPr>
        <w:wordWrap/>
        <w:bidi w:val="0"/>
        <w:spacing w:beforeAutospacing="0" w:afterAutospacing="0" w:line="360" w:lineRule="auto"/>
        <w:rPr>
          <w:rFonts w:ascii="Arial"/>
          <w:color w:val="auto"/>
          <w:sz w:val="21"/>
          <w:highlight w:val="none"/>
        </w:rPr>
      </w:pPr>
    </w:p>
    <w:p w14:paraId="164AE302">
      <w:pPr>
        <w:wordWrap/>
        <w:bidi w:val="0"/>
        <w:spacing w:beforeAutospacing="0" w:afterAutospacing="0" w:line="360" w:lineRule="auto"/>
        <w:rPr>
          <w:rFonts w:ascii="Arial"/>
          <w:color w:val="auto"/>
          <w:sz w:val="21"/>
          <w:highlight w:val="none"/>
        </w:rPr>
      </w:pPr>
    </w:p>
    <w:p w14:paraId="2B2A1504">
      <w:pPr>
        <w:wordWrap/>
        <w:bidi w:val="0"/>
        <w:spacing w:beforeAutospacing="0" w:afterAutospacing="0" w:line="360" w:lineRule="auto"/>
        <w:rPr>
          <w:rFonts w:ascii="Arial"/>
          <w:color w:val="auto"/>
          <w:sz w:val="21"/>
          <w:highlight w:val="none"/>
        </w:rPr>
      </w:pPr>
    </w:p>
    <w:p w14:paraId="5263DBC5">
      <w:pPr>
        <w:wordWrap/>
        <w:bidi w:val="0"/>
        <w:spacing w:beforeAutospacing="0" w:afterAutospacing="0" w:line="360" w:lineRule="auto"/>
        <w:rPr>
          <w:rFonts w:ascii="Arial"/>
          <w:color w:val="auto"/>
          <w:sz w:val="21"/>
          <w:highlight w:val="none"/>
        </w:rPr>
      </w:pPr>
    </w:p>
    <w:p w14:paraId="7C695AAC">
      <w:pPr>
        <w:wordWrap/>
        <w:bidi w:val="0"/>
        <w:spacing w:beforeAutospacing="0" w:afterAutospacing="0" w:line="360" w:lineRule="auto"/>
        <w:rPr>
          <w:rFonts w:ascii="Arial"/>
          <w:color w:val="auto"/>
          <w:sz w:val="21"/>
          <w:highlight w:val="none"/>
        </w:rPr>
      </w:pPr>
    </w:p>
    <w:p w14:paraId="1EA72CAB">
      <w:pPr>
        <w:wordWrap/>
        <w:bidi w:val="0"/>
        <w:spacing w:beforeAutospacing="0" w:afterAutospacing="0" w:line="360" w:lineRule="auto"/>
        <w:ind w:left="0" w:leftChars="0" w:firstLine="0" w:firstLineChars="0"/>
        <w:jc w:val="center"/>
        <w:rPr>
          <w:rFonts w:hint="eastAsia" w:ascii="黑体" w:hAnsi="黑体" w:eastAsia="黑体" w:cs="黑体"/>
          <w:color w:val="auto"/>
          <w:sz w:val="43"/>
          <w:szCs w:val="43"/>
          <w:highlight w:val="none"/>
          <w:lang w:val="en-US" w:eastAsia="zh-CN"/>
        </w:rPr>
      </w:pPr>
      <w:r>
        <w:rPr>
          <w:rFonts w:ascii="黑体" w:hAnsi="黑体" w:eastAsia="黑体"/>
          <w:color w:val="auto"/>
          <w:sz w:val="84"/>
          <w:szCs w:val="84"/>
          <w:highlight w:val="none"/>
        </w:rPr>
        <w:t>招标</w:t>
      </w:r>
      <w:r>
        <w:rPr>
          <w:rFonts w:hint="eastAsia" w:ascii="黑体" w:hAnsi="黑体" w:eastAsia="黑体"/>
          <w:color w:val="auto"/>
          <w:sz w:val="84"/>
          <w:szCs w:val="84"/>
          <w:highlight w:val="none"/>
          <w:lang w:val="en-US" w:eastAsia="zh-CN"/>
        </w:rPr>
        <w:t>公告</w:t>
      </w:r>
    </w:p>
    <w:p w14:paraId="3685C0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105" w:leftChars="-50" w:right="-105" w:rightChars="-50"/>
        <w:textAlignment w:val="baseline"/>
        <w:rPr>
          <w:rFonts w:ascii="Arial"/>
          <w:color w:val="auto"/>
          <w:sz w:val="21"/>
          <w:highlight w:val="none"/>
        </w:rPr>
      </w:pPr>
    </w:p>
    <w:p w14:paraId="00500C11">
      <w:pPr>
        <w:wordWrap/>
        <w:bidi w:val="0"/>
        <w:spacing w:beforeAutospacing="0" w:afterAutospacing="0" w:line="360" w:lineRule="auto"/>
        <w:rPr>
          <w:rFonts w:ascii="Arial"/>
          <w:color w:val="auto"/>
          <w:sz w:val="21"/>
          <w:highlight w:val="none"/>
        </w:rPr>
      </w:pPr>
    </w:p>
    <w:p w14:paraId="2A5CBBAE">
      <w:pPr>
        <w:wordWrap/>
        <w:bidi w:val="0"/>
        <w:spacing w:beforeAutospacing="0" w:afterAutospacing="0" w:line="360" w:lineRule="auto"/>
        <w:rPr>
          <w:rFonts w:ascii="Arial"/>
          <w:color w:val="auto"/>
          <w:sz w:val="21"/>
          <w:highlight w:val="none"/>
        </w:rPr>
      </w:pPr>
    </w:p>
    <w:p w14:paraId="299C81B1">
      <w:pPr>
        <w:wordWrap/>
        <w:bidi w:val="0"/>
        <w:spacing w:beforeAutospacing="0" w:afterAutospacing="0" w:line="360" w:lineRule="auto"/>
        <w:rPr>
          <w:rFonts w:ascii="Arial"/>
          <w:color w:val="auto"/>
          <w:sz w:val="21"/>
          <w:highlight w:val="none"/>
        </w:rPr>
      </w:pPr>
    </w:p>
    <w:p w14:paraId="7398AC03">
      <w:pPr>
        <w:wordWrap/>
        <w:bidi w:val="0"/>
        <w:spacing w:beforeAutospacing="0" w:afterAutospacing="0" w:line="360" w:lineRule="auto"/>
        <w:rPr>
          <w:rFonts w:ascii="Arial"/>
          <w:color w:val="auto"/>
          <w:sz w:val="21"/>
          <w:highlight w:val="none"/>
        </w:rPr>
      </w:pPr>
    </w:p>
    <w:p w14:paraId="6E2C5433">
      <w:pPr>
        <w:wordWrap/>
        <w:bidi w:val="0"/>
        <w:spacing w:beforeAutospacing="0" w:afterAutospacing="0" w:line="360" w:lineRule="auto"/>
        <w:rPr>
          <w:rFonts w:ascii="Arial"/>
          <w:color w:val="auto"/>
          <w:sz w:val="21"/>
          <w:highlight w:val="none"/>
        </w:rPr>
      </w:pPr>
    </w:p>
    <w:p w14:paraId="63B06274">
      <w:pPr>
        <w:wordWrap/>
        <w:bidi w:val="0"/>
        <w:spacing w:beforeAutospacing="0" w:afterAutospacing="0" w:line="360" w:lineRule="auto"/>
        <w:rPr>
          <w:rFonts w:ascii="Arial"/>
          <w:color w:val="auto"/>
          <w:sz w:val="21"/>
          <w:highlight w:val="none"/>
        </w:rPr>
      </w:pPr>
    </w:p>
    <w:p w14:paraId="2DE016FA">
      <w:pPr>
        <w:wordWrap/>
        <w:bidi w:val="0"/>
        <w:spacing w:beforeAutospacing="0" w:afterAutospacing="0" w:line="360" w:lineRule="auto"/>
        <w:rPr>
          <w:rFonts w:ascii="Arial"/>
          <w:color w:val="auto"/>
          <w:sz w:val="21"/>
          <w:highlight w:val="none"/>
        </w:rPr>
      </w:pPr>
    </w:p>
    <w:p w14:paraId="1E419391">
      <w:pPr>
        <w:wordWrap/>
        <w:bidi w:val="0"/>
        <w:spacing w:beforeAutospacing="0" w:afterAutospacing="0" w:line="360" w:lineRule="auto"/>
        <w:rPr>
          <w:rFonts w:ascii="Arial"/>
          <w:color w:val="auto"/>
          <w:sz w:val="21"/>
          <w:highlight w:val="none"/>
        </w:rPr>
      </w:pPr>
    </w:p>
    <w:p w14:paraId="45E3FE63">
      <w:pPr>
        <w:wordWrap/>
        <w:bidi w:val="0"/>
        <w:spacing w:beforeAutospacing="0" w:afterAutospacing="0" w:line="360" w:lineRule="auto"/>
        <w:rPr>
          <w:rFonts w:ascii="Arial"/>
          <w:color w:val="auto"/>
          <w:sz w:val="21"/>
          <w:highlight w:val="none"/>
        </w:rPr>
      </w:pPr>
    </w:p>
    <w:p w14:paraId="724C0A9F">
      <w:pPr>
        <w:wordWrap/>
        <w:bidi w:val="0"/>
        <w:spacing w:beforeAutospacing="0" w:afterAutospacing="0" w:line="360" w:lineRule="auto"/>
        <w:rPr>
          <w:rFonts w:ascii="Arial"/>
          <w:color w:val="auto"/>
          <w:sz w:val="21"/>
          <w:highlight w:val="none"/>
        </w:rPr>
      </w:pPr>
    </w:p>
    <w:p w14:paraId="28DF5FEE">
      <w:pPr>
        <w:wordWrap/>
        <w:bidi w:val="0"/>
        <w:spacing w:beforeAutospacing="0" w:afterAutospacing="0" w:line="360" w:lineRule="auto"/>
        <w:rPr>
          <w:rFonts w:ascii="Arial"/>
          <w:color w:val="auto"/>
          <w:sz w:val="21"/>
          <w:highlight w:val="none"/>
        </w:rPr>
      </w:pPr>
    </w:p>
    <w:p w14:paraId="178C2A5E">
      <w:pPr>
        <w:wordWrap/>
        <w:bidi w:val="0"/>
        <w:spacing w:beforeAutospacing="0" w:afterAutospacing="0" w:line="360" w:lineRule="auto"/>
        <w:rPr>
          <w:rFonts w:ascii="Arial"/>
          <w:color w:val="auto"/>
          <w:sz w:val="21"/>
          <w:highlight w:val="none"/>
        </w:rPr>
      </w:pPr>
    </w:p>
    <w:p w14:paraId="62EFD883">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u w:val="single"/>
        </w:rPr>
      </w:pPr>
      <w:r>
        <w:rPr>
          <w:rFonts w:hint="eastAsia" w:ascii="宋体" w:hAnsi="宋体" w:eastAsia="宋体" w:cs="宋体"/>
          <w:b/>
          <w:color w:val="auto"/>
          <w:sz w:val="28"/>
          <w:szCs w:val="24"/>
          <w:highlight w:val="none"/>
        </w:rPr>
        <w:t xml:space="preserve"> 招标人：</w:t>
      </w:r>
      <w:r>
        <w:rPr>
          <w:rFonts w:hint="eastAsia" w:ascii="宋体" w:hAnsi="宋体" w:eastAsia="宋体" w:cs="宋体"/>
          <w:b/>
          <w:color w:val="auto"/>
          <w:sz w:val="28"/>
          <w:szCs w:val="24"/>
          <w:highlight w:val="none"/>
          <w:u w:val="single"/>
        </w:rPr>
        <w:t>中新广州知识城财政投资建设项目管理中心</w:t>
      </w:r>
      <w:r>
        <w:rPr>
          <w:rFonts w:hint="eastAsia" w:ascii="宋体" w:hAnsi="宋体" w:eastAsia="宋体" w:cs="宋体"/>
          <w:b/>
          <w:color w:val="auto"/>
          <w:sz w:val="28"/>
          <w:szCs w:val="24"/>
          <w:highlight w:val="none"/>
        </w:rPr>
        <w:t>（盖单位</w:t>
      </w:r>
      <w:r>
        <w:rPr>
          <w:rFonts w:hint="eastAsia" w:ascii="宋体" w:hAnsi="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4DEE8CB9">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招标代理机构：</w:t>
      </w:r>
      <w:r>
        <w:rPr>
          <w:rFonts w:hint="eastAsia" w:ascii="宋体" w:hAnsi="宋体" w:eastAsia="宋体" w:cs="宋体"/>
          <w:b/>
          <w:color w:val="auto"/>
          <w:sz w:val="28"/>
          <w:szCs w:val="24"/>
          <w:highlight w:val="none"/>
          <w:u w:val="single"/>
        </w:rPr>
        <w:t>广州万安建设监理有限公司</w:t>
      </w:r>
      <w:r>
        <w:rPr>
          <w:rFonts w:hint="eastAsia" w:ascii="宋体" w:hAnsi="宋体" w:eastAsia="宋体" w:cs="宋体"/>
          <w:b/>
          <w:color w:val="auto"/>
          <w:sz w:val="28"/>
          <w:szCs w:val="24"/>
          <w:highlight w:val="none"/>
        </w:rPr>
        <w:t>（盖单位</w:t>
      </w:r>
      <w:r>
        <w:rPr>
          <w:rFonts w:hint="eastAsia" w:ascii="宋体" w:hAnsi="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4AC0C73B">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w:t>
      </w:r>
      <w:r>
        <w:rPr>
          <w:rFonts w:hint="eastAsia" w:ascii="宋体" w:hAnsi="宋体" w:eastAsia="宋体" w:cs="宋体"/>
          <w:b/>
          <w:color w:val="auto"/>
          <w:sz w:val="28"/>
          <w:szCs w:val="24"/>
          <w:highlight w:val="none"/>
          <w:lang w:val="en-US" w:eastAsia="zh-CN"/>
        </w:rPr>
        <w:t>日期：2025</w:t>
      </w:r>
      <w:r>
        <w:rPr>
          <w:rFonts w:hint="eastAsia" w:ascii="宋体" w:hAnsi="宋体" w:eastAsia="宋体" w:cs="宋体"/>
          <w:b/>
          <w:color w:val="auto"/>
          <w:sz w:val="28"/>
          <w:szCs w:val="24"/>
          <w:highlight w:val="none"/>
        </w:rPr>
        <w:t>年</w:t>
      </w:r>
      <w:r>
        <w:rPr>
          <w:rFonts w:hint="eastAsia" w:ascii="宋体" w:hAnsi="宋体" w:eastAsia="宋体" w:cs="宋体"/>
          <w:b/>
          <w:color w:val="auto"/>
          <w:sz w:val="28"/>
          <w:szCs w:val="24"/>
          <w:highlight w:val="none"/>
          <w:lang w:val="en-US" w:eastAsia="zh-CN"/>
        </w:rPr>
        <w:t>07</w:t>
      </w:r>
      <w:r>
        <w:rPr>
          <w:rFonts w:hint="eastAsia" w:ascii="宋体" w:hAnsi="宋体" w:eastAsia="宋体" w:cs="宋体"/>
          <w:b/>
          <w:color w:val="auto"/>
          <w:sz w:val="28"/>
          <w:szCs w:val="24"/>
          <w:highlight w:val="none"/>
        </w:rPr>
        <w:t>月</w:t>
      </w:r>
    </w:p>
    <w:p w14:paraId="4FCF2635">
      <w:pPr>
        <w:wordWrap/>
        <w:bidi w:val="0"/>
        <w:spacing w:beforeAutospacing="0" w:afterAutospacing="0" w:line="360" w:lineRule="auto"/>
        <w:rPr>
          <w:color w:val="auto"/>
          <w:highlight w:val="none"/>
        </w:rPr>
        <w:sectPr>
          <w:footerReference r:id="rId5" w:type="default"/>
          <w:pgSz w:w="11905" w:h="16838"/>
          <w:pgMar w:top="1440" w:right="1440" w:bottom="1440" w:left="1440" w:header="0" w:footer="941" w:gutter="0"/>
          <w:pgNumType w:fmt="decimal"/>
          <w:cols w:space="0" w:num="1"/>
          <w:rtlGutter w:val="0"/>
          <w:docGrid w:linePitch="0" w:charSpace="0"/>
        </w:sectPr>
      </w:pPr>
    </w:p>
    <w:p w14:paraId="70975301">
      <w:pPr>
        <w:wordWrap/>
        <w:bidi w:val="0"/>
        <w:spacing w:beforeAutospacing="0" w:afterAutospacing="0" w:line="360" w:lineRule="auto"/>
        <w:rPr>
          <w:rFonts w:ascii="Arial"/>
          <w:color w:val="auto"/>
          <w:sz w:val="21"/>
          <w:highlight w:val="none"/>
        </w:rPr>
      </w:pPr>
    </w:p>
    <w:p w14:paraId="6BB4BFED">
      <w:pPr>
        <w:tabs>
          <w:tab w:val="left" w:pos="3368"/>
        </w:tabs>
        <w:wordWrap/>
        <w:bidi w:val="0"/>
        <w:spacing w:beforeAutospacing="0" w:afterAutospacing="0" w:line="360" w:lineRule="auto"/>
        <w:jc w:val="center"/>
        <w:outlineLvl w:val="1"/>
        <w:rPr>
          <w:rFonts w:hint="eastAsia" w:ascii="宋体" w:hAnsi="宋体" w:eastAsia="宋体" w:cs="宋体"/>
          <w:b/>
          <w:bCs/>
          <w:color w:val="auto"/>
          <w:spacing w:val="18"/>
          <w:sz w:val="32"/>
          <w:szCs w:val="32"/>
          <w:highlight w:val="none"/>
          <w:lang w:eastAsia="zh-CN"/>
        </w:rPr>
      </w:pPr>
      <w:bookmarkStart w:id="0" w:name="_Toc2535"/>
      <w:bookmarkStart w:id="1" w:name="_Toc625"/>
      <w:bookmarkStart w:id="2" w:name="_Toc26872"/>
      <w:bookmarkStart w:id="3" w:name="_Toc9974"/>
      <w:bookmarkStart w:id="4" w:name="_Toc21908"/>
      <w:bookmarkStart w:id="5" w:name="_Toc6585"/>
      <w:bookmarkStart w:id="6" w:name="_Toc22814"/>
      <w:r>
        <w:rPr>
          <w:rFonts w:hint="eastAsia" w:ascii="宋体" w:hAnsi="宋体" w:eastAsia="宋体" w:cs="宋体"/>
          <w:b/>
          <w:bCs/>
          <w:color w:val="auto"/>
          <w:spacing w:val="18"/>
          <w:sz w:val="32"/>
          <w:szCs w:val="32"/>
          <w:highlight w:val="none"/>
          <w:lang w:val="en-US" w:eastAsia="zh-CN"/>
        </w:rPr>
        <w:t>知识城迳下水系连通二期工程勘察设计</w:t>
      </w:r>
      <w:r>
        <w:rPr>
          <w:rFonts w:hint="eastAsia" w:ascii="宋体" w:hAnsi="宋体" w:eastAsia="宋体" w:cs="宋体"/>
          <w:b/>
          <w:bCs/>
          <w:color w:val="auto"/>
          <w:spacing w:val="18"/>
          <w:sz w:val="32"/>
          <w:szCs w:val="32"/>
          <w:highlight w:val="none"/>
          <w:lang w:eastAsia="zh-CN"/>
        </w:rPr>
        <w:t>招标公告</w:t>
      </w:r>
      <w:bookmarkEnd w:id="0"/>
      <w:bookmarkEnd w:id="1"/>
      <w:bookmarkEnd w:id="2"/>
      <w:bookmarkEnd w:id="3"/>
      <w:bookmarkEnd w:id="4"/>
      <w:bookmarkEnd w:id="5"/>
      <w:bookmarkEnd w:id="6"/>
    </w:p>
    <w:p w14:paraId="396D4E99">
      <w:pPr>
        <w:wordWrap/>
        <w:bidi w:val="0"/>
        <w:spacing w:beforeAutospacing="0" w:afterAutospacing="0" w:line="360" w:lineRule="auto"/>
        <w:rPr>
          <w:rFonts w:ascii="Arial"/>
          <w:color w:val="auto"/>
          <w:sz w:val="21"/>
          <w:highlight w:val="none"/>
        </w:rPr>
      </w:pPr>
    </w:p>
    <w:p w14:paraId="23331F6C">
      <w:pPr>
        <w:pStyle w:val="5"/>
        <w:keepNext w:val="0"/>
        <w:keepLines w:val="0"/>
        <w:pageBreakBefore w:val="0"/>
        <w:widowControl/>
        <w:kinsoku w:val="0"/>
        <w:wordWrap/>
        <w:overflowPunct/>
        <w:topLinePunct w:val="0"/>
        <w:autoSpaceDE w:val="0"/>
        <w:autoSpaceDN w:val="0"/>
        <w:bidi w:val="0"/>
        <w:adjustRightInd w:val="0"/>
        <w:snapToGrid w:val="0"/>
        <w:spacing w:before="0" w:beforeLines="0" w:beforeAutospacing="0" w:after="0" w:afterLines="0" w:afterAutospacing="0" w:line="360" w:lineRule="auto"/>
        <w:ind w:right="0"/>
        <w:textAlignment w:val="baseline"/>
        <w:rPr>
          <w:rFonts w:hint="eastAsia" w:ascii="宋体" w:hAnsi="宋体" w:eastAsia="宋体" w:cs="宋体"/>
          <w:color w:val="auto"/>
          <w:sz w:val="21"/>
          <w:highlight w:val="none"/>
        </w:rPr>
      </w:pPr>
      <w:bookmarkStart w:id="7" w:name="_Toc32250"/>
      <w:bookmarkStart w:id="8" w:name="_Toc32678"/>
      <w:bookmarkStart w:id="9" w:name="_Toc17602"/>
      <w:bookmarkStart w:id="10" w:name="_Toc29913"/>
      <w:bookmarkStart w:id="11" w:name="_Toc30951"/>
      <w:r>
        <w:rPr>
          <w:rFonts w:hint="eastAsia"/>
          <w:color w:val="auto"/>
          <w:highlight w:val="none"/>
        </w:rPr>
        <w:t>1. 招标条件</w:t>
      </w:r>
      <w:bookmarkEnd w:id="7"/>
      <w:bookmarkEnd w:id="8"/>
      <w:bookmarkEnd w:id="9"/>
      <w:bookmarkEnd w:id="10"/>
      <w:bookmarkEnd w:id="11"/>
    </w:p>
    <w:p w14:paraId="73AFDF2C">
      <w:pPr>
        <w:keepNext w:val="0"/>
        <w:keepLines w:val="0"/>
        <w:pageBreakBefore w:val="0"/>
        <w:wordWrap/>
        <w:overflowPunct/>
        <w:bidi w:val="0"/>
        <w:snapToGrid w:val="0"/>
        <w:spacing w:beforeAutospacing="0" w:afterAutospacing="0" w:line="360" w:lineRule="auto"/>
        <w:ind w:left="0" w:leftChars="0" w:right="0" w:firstLine="42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color="auto"/>
        </w:rPr>
        <w:t>知识城迳下水系连通二期工程</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color="auto"/>
        </w:rPr>
        <w:t xml:space="preserve"> 广州开发区发展和改革局  广州市黄埔区发展和改革局</w:t>
      </w:r>
      <w:r>
        <w:rPr>
          <w:rFonts w:hint="eastAsia" w:ascii="宋体" w:hAnsi="宋体" w:eastAsia="宋体" w:cs="宋体"/>
          <w:color w:val="auto"/>
          <w:spacing w:val="-2"/>
          <w:sz w:val="21"/>
          <w:szCs w:val="21"/>
          <w:highlight w:val="none"/>
        </w:rPr>
        <w:t>以</w:t>
      </w:r>
      <w:r>
        <w:rPr>
          <w:rFonts w:hint="eastAsia" w:ascii="宋体" w:hAnsi="宋体" w:eastAsia="宋体" w:cs="宋体"/>
          <w:color w:val="auto"/>
          <w:spacing w:val="-2"/>
          <w:sz w:val="21"/>
          <w:szCs w:val="21"/>
          <w:highlight w:val="none"/>
          <w:u w:val="single" w:color="auto"/>
          <w:lang w:eastAsia="zh-CN"/>
        </w:rPr>
        <w:t>《广州开发区发展改革局 黄埔区发展改革局 关于申报纳入2025年新建项目实施计划（第一批）项目的的复函（穗开发改函〔2025〕147号》</w:t>
      </w:r>
      <w:r>
        <w:rPr>
          <w:rFonts w:hint="eastAsia" w:ascii="宋体" w:hAnsi="宋体" w:eastAsia="宋体" w:cs="宋体"/>
          <w:color w:val="auto"/>
          <w:spacing w:val="-1"/>
          <w:sz w:val="21"/>
          <w:szCs w:val="21"/>
          <w:highlight w:val="none"/>
          <w:lang w:val="en-US" w:eastAsia="zh-CN"/>
        </w:rPr>
        <w:t>纳入实施计划</w:t>
      </w:r>
      <w:r>
        <w:rPr>
          <w:rFonts w:hint="eastAsia" w:ascii="宋体" w:hAnsi="宋体" w:eastAsia="宋体" w:cs="宋体"/>
          <w:color w:val="auto"/>
          <w:spacing w:val="-1"/>
          <w:sz w:val="21"/>
          <w:szCs w:val="21"/>
          <w:highlight w:val="none"/>
        </w:rPr>
        <w:t>， 项目业主为</w:t>
      </w:r>
      <w:r>
        <w:rPr>
          <w:rFonts w:hint="eastAsia" w:ascii="宋体" w:hAnsi="宋体" w:eastAsia="宋体" w:cs="宋体"/>
          <w:color w:val="auto"/>
          <w:spacing w:val="-1"/>
          <w:sz w:val="21"/>
          <w:szCs w:val="21"/>
          <w:highlight w:val="none"/>
          <w:u w:val="single" w:color="auto"/>
        </w:rPr>
        <w:t xml:space="preserve"> 黄埔区水务局 </w:t>
      </w:r>
      <w:r>
        <w:rPr>
          <w:rFonts w:hint="eastAsia" w:ascii="宋体" w:hAnsi="宋体" w:eastAsia="宋体" w:cs="宋体"/>
          <w:color w:val="auto"/>
          <w:spacing w:val="-1"/>
          <w:sz w:val="21"/>
          <w:szCs w:val="21"/>
          <w:highlight w:val="none"/>
        </w:rPr>
        <w:t>，建设资金来</w:t>
      </w:r>
      <w:r>
        <w:rPr>
          <w:rFonts w:hint="eastAsia" w:ascii="宋体" w:hAnsi="宋体" w:eastAsia="宋体" w:cs="宋体"/>
          <w:color w:val="auto"/>
          <w:spacing w:val="1"/>
          <w:sz w:val="21"/>
          <w:szCs w:val="21"/>
          <w:highlight w:val="none"/>
        </w:rPr>
        <w:t>自</w:t>
      </w:r>
      <w:r>
        <w:rPr>
          <w:rFonts w:hint="eastAsia" w:ascii="宋体" w:hAnsi="宋体" w:eastAsia="宋体" w:cs="宋体"/>
          <w:color w:val="auto"/>
          <w:spacing w:val="1"/>
          <w:sz w:val="21"/>
          <w:szCs w:val="21"/>
          <w:highlight w:val="none"/>
          <w:u w:val="single" w:color="auto"/>
          <w:lang w:val="en-US" w:eastAsia="zh-CN"/>
        </w:rPr>
        <w:t>区财政资金</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，出资</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100%</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color="auto"/>
        </w:rPr>
        <w:t xml:space="preserve"> </w:t>
      </w:r>
      <w:r>
        <w:rPr>
          <w:rFonts w:hint="eastAsia" w:ascii="宋体" w:hAnsi="宋体" w:cs="宋体"/>
          <w:color w:val="auto"/>
          <w:sz w:val="21"/>
          <w:szCs w:val="21"/>
          <w:highlight w:val="none"/>
          <w:u w:val="single"/>
          <w:lang w:val="en-US" w:eastAsia="zh-CN"/>
        </w:rPr>
        <w:t>中新广州知识城</w:t>
      </w:r>
      <w:r>
        <w:rPr>
          <w:rFonts w:hint="eastAsia" w:ascii="宋体" w:hAnsi="宋体" w:eastAsia="宋体" w:cs="宋体"/>
          <w:color w:val="auto"/>
          <w:sz w:val="21"/>
          <w:szCs w:val="21"/>
          <w:highlight w:val="none"/>
          <w:u w:val="single"/>
        </w:rPr>
        <w:t>财政投资建设项目管理中心</w:t>
      </w:r>
      <w:r>
        <w:rPr>
          <w:rFonts w:hint="eastAsia" w:ascii="宋体" w:hAnsi="宋体" w:eastAsia="宋体" w:cs="宋体"/>
          <w:color w:val="auto"/>
          <w:sz w:val="21"/>
          <w:szCs w:val="21"/>
          <w:highlight w:val="none"/>
        </w:rPr>
        <w:t>。项目已具备招标</w:t>
      </w:r>
      <w:r>
        <w:rPr>
          <w:rFonts w:hint="eastAsia" w:ascii="宋体" w:hAnsi="宋体" w:eastAsia="宋体" w:cs="宋体"/>
          <w:color w:val="auto"/>
          <w:spacing w:val="-4"/>
          <w:sz w:val="21"/>
          <w:szCs w:val="21"/>
          <w:highlight w:val="none"/>
        </w:rPr>
        <w:t>条</w:t>
      </w:r>
      <w:r>
        <w:rPr>
          <w:rFonts w:hint="eastAsia" w:ascii="宋体" w:hAnsi="宋体" w:eastAsia="宋体" w:cs="宋体"/>
          <w:color w:val="auto"/>
          <w:spacing w:val="-2"/>
          <w:sz w:val="21"/>
          <w:szCs w:val="21"/>
          <w:highlight w:val="none"/>
        </w:rPr>
        <w:t>件，现对该项目的</w:t>
      </w: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设计进行公开招标。</w:t>
      </w:r>
    </w:p>
    <w:p w14:paraId="716D38AF">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bookmarkStart w:id="12" w:name="_Toc23400"/>
      <w:bookmarkStart w:id="13" w:name="_Toc29432"/>
      <w:bookmarkStart w:id="14" w:name="_Toc22955"/>
      <w:bookmarkStart w:id="15" w:name="_Toc27861"/>
      <w:bookmarkStart w:id="16" w:name="_Toc4860"/>
    </w:p>
    <w:p w14:paraId="3B3A890D">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color w:val="auto"/>
          <w:sz w:val="21"/>
          <w:highlight w:val="none"/>
        </w:rPr>
      </w:pPr>
      <w:r>
        <w:rPr>
          <w:rFonts w:hint="eastAsia"/>
          <w:color w:val="auto"/>
          <w:highlight w:val="none"/>
        </w:rPr>
        <w:t>2. 项目概况与招标范围</w:t>
      </w:r>
      <w:bookmarkEnd w:id="12"/>
      <w:bookmarkEnd w:id="13"/>
      <w:bookmarkEnd w:id="14"/>
      <w:bookmarkEnd w:id="15"/>
      <w:bookmarkEnd w:id="16"/>
    </w:p>
    <w:p w14:paraId="121C791E">
      <w:pPr>
        <w:keepNext w:val="0"/>
        <w:keepLines w:val="0"/>
        <w:pageBreakBefore w:val="0"/>
        <w:wordWrap/>
        <w:overflowPunct/>
        <w:bidi w:val="0"/>
        <w:snapToGrid w:val="0"/>
        <w:spacing w:beforeAutospacing="0" w:afterAutospacing="0" w:line="360" w:lineRule="auto"/>
        <w:ind w:left="0" w:leftChars="0" w:right="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 招标项目固定资产投资项目代码：</w:t>
      </w:r>
      <w:r>
        <w:rPr>
          <w:rFonts w:hint="eastAsia" w:ascii="宋体" w:hAnsi="宋体" w:eastAsia="宋体" w:cs="宋体"/>
          <w:color w:val="auto"/>
          <w:sz w:val="21"/>
          <w:szCs w:val="21"/>
          <w:highlight w:val="none"/>
          <w:u w:val="single"/>
          <w:lang w:val="en-US" w:eastAsia="zh-CN"/>
        </w:rPr>
        <w:t>2402-440112-04-01-652218</w:t>
      </w:r>
      <w:r>
        <w:rPr>
          <w:rFonts w:hint="eastAsia" w:ascii="宋体" w:hAnsi="宋体" w:eastAsia="宋体" w:cs="宋体"/>
          <w:color w:val="auto"/>
          <w:sz w:val="21"/>
          <w:szCs w:val="21"/>
          <w:highlight w:val="none"/>
          <w:lang w:val="en-US" w:eastAsia="zh-CN"/>
        </w:rPr>
        <w:t xml:space="preserve">      </w:t>
      </w:r>
    </w:p>
    <w:p w14:paraId="4BEF4DE8">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color="auto"/>
          <w:lang w:eastAsia="zh-CN"/>
        </w:rPr>
      </w:pPr>
      <w:r>
        <w:rPr>
          <w:rFonts w:hint="eastAsia" w:ascii="宋体" w:hAnsi="宋体" w:eastAsia="宋体" w:cs="宋体"/>
          <w:color w:val="auto"/>
          <w:sz w:val="21"/>
          <w:szCs w:val="21"/>
          <w:highlight w:val="none"/>
          <w:lang w:val="en-US" w:eastAsia="zh-CN"/>
        </w:rPr>
        <w:t>2.1.2 工程名称：</w:t>
      </w:r>
      <w:r>
        <w:rPr>
          <w:rFonts w:hint="eastAsia" w:ascii="宋体" w:hAnsi="宋体" w:eastAsia="宋体" w:cs="宋体"/>
          <w:color w:val="auto"/>
          <w:spacing w:val="1"/>
          <w:sz w:val="21"/>
          <w:szCs w:val="21"/>
          <w:highlight w:val="none"/>
          <w:u w:val="single" w:color="auto"/>
          <w:lang w:eastAsia="zh-CN"/>
        </w:rPr>
        <w:t>知识城迳下水系连通二期工程勘察设计</w:t>
      </w:r>
    </w:p>
    <w:p w14:paraId="78D15E3D">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auto"/>
          <w:lang w:val="en-US" w:eastAsia="zh-CN"/>
        </w:rPr>
        <w:t xml:space="preserve">2.2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rPr>
        <w:t>广州市黄埔区知识城</w:t>
      </w:r>
    </w:p>
    <w:p w14:paraId="54C3EFC4">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建设规模：</w:t>
      </w:r>
      <w:r>
        <w:rPr>
          <w:rFonts w:hint="eastAsia" w:ascii="宋体" w:hAnsi="宋体" w:eastAsia="宋体" w:cs="宋体"/>
          <w:color w:val="auto"/>
          <w:sz w:val="21"/>
          <w:szCs w:val="21"/>
          <w:highlight w:val="none"/>
          <w:u w:val="single"/>
        </w:rPr>
        <w:t>工程主要任务为连通迳下北湖、东湖及下游腰坑水系，工程主要内容包括：</w:t>
      </w:r>
    </w:p>
    <w:p w14:paraId="6516D9FB">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主体整治水系面积约18.1万平方米。包含渠道工程：北湖与东湖上湖联通渠（长约140米，底宽约12~36米）、北湖水体（总面积约9.54万平方米，水陂3座，出口排洪渠（涵）长约140m，底宽20m~5.6m）、南池水体（总面积约4.59万平方米、水陂3座、出口穿路涵1座长14m）、生态塘（总面积3.0万平方米，塘堰2座）、生态湿地（2.29万平米）、湖区防渗工程等。</w:t>
      </w:r>
    </w:p>
    <w:p w14:paraId="3B1CA14D">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北湖及南池配套工程约12万平米，包括骑行道、亲水漫步道水上栈桥共46501平方米、海绵设施13.88万平方米、河湖内源污染物治理面积7.5万平方米、生态驳岸9213.18米、生态缓冲带建设约73705.44万平方米、景观型厕所驿站2处及附属设施共1300平方米、景观亭廊8处及附属设施共1200平方米、强弱电及排水和消防工程。</w:t>
      </w:r>
    </w:p>
    <w:p w14:paraId="77D45AB1">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北湖附属交通工程共有两座桥：桥1为地景式生态车行桥，跨度32m，桥面面积约1200平方米，位于北湖与东湖上湖联通渠段；桥2为人行桥，跨度25m，桥面面积约100平方米，位于北湖与下游腰坑水排洪渠连接渠段。</w:t>
      </w:r>
    </w:p>
    <w:p w14:paraId="51CEDAB5">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4、新建视频监视系统、水雨情监测系统、网络通信系统、电气调试检测系统、观测设备等。</w:t>
      </w:r>
    </w:p>
    <w:p w14:paraId="65B4C938">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调蓄区设计洪水标准采用50年一遇，湖区堤防等主要建筑物级别为2级，次要建筑物为3级，调蓄区排洪渠为4级建筑物。</w:t>
      </w:r>
    </w:p>
    <w:p w14:paraId="08002B20">
      <w:pPr>
        <w:keepNext w:val="0"/>
        <w:keepLines w:val="0"/>
        <w:widowControl/>
        <w:suppressLineNumbers w:val="0"/>
        <w:spacing w:line="360" w:lineRule="auto"/>
        <w:ind w:firstLine="420" w:firstLineChars="200"/>
        <w:jc w:val="left"/>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single"/>
        </w:rPr>
        <w:t>项目总投资约17550万元，工程费用约14950万元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其中绿化工程超过2000万元</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rPr>
        <w:t>。(具体建设规模以政府主管部门批准和实际实施为准)。</w:t>
      </w:r>
    </w:p>
    <w:p w14:paraId="5989EC40">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default"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u w:val="none" w:color="auto"/>
        </w:rPr>
        <w:t>2.</w:t>
      </w:r>
      <w:r>
        <w:rPr>
          <w:rFonts w:hint="eastAsia" w:ascii="宋体" w:hAnsi="宋体" w:eastAsia="宋体" w:cs="宋体"/>
          <w:color w:val="auto"/>
          <w:sz w:val="21"/>
          <w:szCs w:val="21"/>
          <w:highlight w:val="none"/>
          <w:u w:val="none" w:color="auto"/>
          <w:lang w:val="en-US" w:eastAsia="zh-CN"/>
        </w:rPr>
        <w:t xml:space="preserve">4 </w:t>
      </w:r>
      <w:r>
        <w:rPr>
          <w:rFonts w:hint="eastAsia" w:ascii="宋体" w:hAnsi="宋体" w:eastAsia="宋体" w:cs="宋体"/>
          <w:color w:val="auto"/>
          <w:sz w:val="21"/>
          <w:szCs w:val="21"/>
          <w:highlight w:val="none"/>
          <w:u w:val="none" w:color="auto"/>
        </w:rPr>
        <w:t>勘察设计</w:t>
      </w:r>
      <w:r>
        <w:rPr>
          <w:rFonts w:hint="eastAsia" w:ascii="宋体" w:hAnsi="宋体" w:eastAsia="宋体" w:cs="宋体"/>
          <w:color w:val="auto"/>
          <w:sz w:val="21"/>
          <w:szCs w:val="21"/>
          <w:highlight w:val="none"/>
          <w:u w:val="none" w:color="auto"/>
          <w:lang w:val="en-US" w:eastAsia="zh-CN"/>
        </w:rPr>
        <w:t>服务期限及</w:t>
      </w:r>
      <w:r>
        <w:rPr>
          <w:rFonts w:hint="eastAsia" w:ascii="宋体" w:hAnsi="宋体" w:eastAsia="宋体" w:cs="宋体"/>
          <w:color w:val="auto"/>
          <w:sz w:val="21"/>
          <w:szCs w:val="21"/>
          <w:highlight w:val="none"/>
          <w:u w:val="none" w:color="auto"/>
        </w:rPr>
        <w:t>工期：</w:t>
      </w:r>
    </w:p>
    <w:p w14:paraId="3BF0982E">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2.4.1</w:t>
      </w:r>
      <w:r>
        <w:rPr>
          <w:rFonts w:hint="eastAsia" w:ascii="宋体" w:hAnsi="宋体" w:eastAsia="宋体"/>
          <w:color w:val="auto"/>
          <w:sz w:val="21"/>
          <w:szCs w:val="21"/>
          <w:highlight w:val="none"/>
          <w:lang w:eastAsia="zh-CN"/>
        </w:rPr>
        <w:t>设计</w:t>
      </w:r>
      <w:r>
        <w:rPr>
          <w:rFonts w:hint="default" w:ascii="宋体" w:hAnsi="宋体" w:eastAsia="宋体"/>
          <w:color w:val="auto"/>
          <w:sz w:val="21"/>
          <w:szCs w:val="21"/>
          <w:highlight w:val="none"/>
        </w:rPr>
        <w:t>服务期</w:t>
      </w:r>
      <w:r>
        <w:rPr>
          <w:rFonts w:hint="eastAsia" w:ascii="宋体" w:hAnsi="宋体"/>
          <w:color w:val="auto"/>
          <w:sz w:val="21"/>
          <w:szCs w:val="21"/>
          <w:highlight w:val="none"/>
          <w:lang w:eastAsia="zh-CN"/>
        </w:rPr>
        <w:t>限</w:t>
      </w:r>
      <w:r>
        <w:rPr>
          <w:rFonts w:hint="default" w:ascii="宋体" w:hAnsi="宋体" w:eastAsia="宋体"/>
          <w:color w:val="auto"/>
          <w:sz w:val="21"/>
          <w:szCs w:val="21"/>
          <w:highlight w:val="none"/>
        </w:rPr>
        <w:t>：</w:t>
      </w:r>
      <w:r>
        <w:rPr>
          <w:rFonts w:hint="eastAsia" w:ascii="宋体" w:hAnsi="宋体" w:eastAsia="宋体"/>
          <w:color w:val="auto"/>
          <w:sz w:val="21"/>
          <w:szCs w:val="21"/>
          <w:highlight w:val="none"/>
          <w:u w:val="single"/>
          <w:lang w:val="en-US" w:eastAsia="zh-CN"/>
        </w:rPr>
        <w:t>勘察设计合同</w:t>
      </w:r>
      <w:r>
        <w:rPr>
          <w:rFonts w:hint="default" w:ascii="宋体" w:hAnsi="宋体" w:eastAsia="宋体"/>
          <w:color w:val="auto"/>
          <w:sz w:val="21"/>
          <w:szCs w:val="21"/>
          <w:highlight w:val="none"/>
          <w:u w:val="single"/>
        </w:rPr>
        <w:t>生效之日起至合同工程完工验收合格满2年为止为服务期限。（各阶段勘察设计成果提交需根据发包人要求及实际勘察设计进度调整）</w:t>
      </w:r>
    </w:p>
    <w:p w14:paraId="7BF4D30B">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highlight w:val="none"/>
          <w:u w:val="single" w:color="auto"/>
          <w:lang w:eastAsia="zh-CN"/>
        </w:rPr>
      </w:pPr>
      <w:r>
        <w:rPr>
          <w:rFonts w:hint="eastAsia" w:ascii="宋体" w:hAnsi="宋体" w:eastAsia="宋体" w:cs="宋体"/>
          <w:color w:val="auto"/>
          <w:sz w:val="21"/>
          <w:szCs w:val="21"/>
          <w:highlight w:val="none"/>
          <w:u w:val="single" w:color="auto"/>
        </w:rPr>
        <w:t>设计工期：中标人应在设计合同签订后 10 工作日内完成方案修改，方案确定后 15 工作日内完成初步设计，初步设计审查批准后 25 工作日内完成施工图设计，施工图设计文件经审查发现问题后 3 工作日内完成补充、修改。如果延误工期，承包人向发包人支付的误期损害赔偿费每天为最终设计合同价格的0.3%；误期损害赔偿费的最高限额为最终设计合同价格的30%</w:t>
      </w:r>
      <w:r>
        <w:rPr>
          <w:rFonts w:hint="eastAsia" w:ascii="宋体" w:hAnsi="宋体" w:eastAsia="宋体" w:cs="宋体"/>
          <w:color w:val="auto"/>
          <w:sz w:val="21"/>
          <w:szCs w:val="21"/>
          <w:highlight w:val="none"/>
          <w:u w:val="single" w:color="auto"/>
          <w:lang w:eastAsia="zh-CN"/>
        </w:rPr>
        <w:t>。</w:t>
      </w:r>
    </w:p>
    <w:p w14:paraId="7C1CE287">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u w:val="single" w:color="auto"/>
          <w:lang w:val="en-US" w:eastAsia="zh-CN"/>
        </w:rPr>
        <w:t>2.4.2</w:t>
      </w:r>
      <w:r>
        <w:rPr>
          <w:rFonts w:hint="eastAsia" w:ascii="宋体" w:hAnsi="宋体" w:eastAsia="宋体"/>
          <w:color w:val="auto"/>
          <w:sz w:val="21"/>
          <w:szCs w:val="21"/>
          <w:highlight w:val="none"/>
          <w:lang w:eastAsia="zh-CN"/>
        </w:rPr>
        <w:t>勘察</w:t>
      </w:r>
      <w:r>
        <w:rPr>
          <w:rFonts w:hint="default" w:ascii="宋体" w:hAnsi="宋体" w:eastAsia="宋体"/>
          <w:color w:val="auto"/>
          <w:sz w:val="21"/>
          <w:szCs w:val="21"/>
          <w:highlight w:val="none"/>
        </w:rPr>
        <w:t>服务期</w:t>
      </w:r>
      <w:r>
        <w:rPr>
          <w:rFonts w:hint="eastAsia" w:ascii="宋体" w:hAnsi="宋体"/>
          <w:color w:val="auto"/>
          <w:sz w:val="21"/>
          <w:szCs w:val="21"/>
          <w:highlight w:val="none"/>
          <w:lang w:eastAsia="zh-CN"/>
        </w:rPr>
        <w:t>限</w:t>
      </w:r>
      <w:r>
        <w:rPr>
          <w:rFonts w:hint="default" w:ascii="宋体" w:hAnsi="宋体" w:eastAsia="宋体"/>
          <w:color w:val="auto"/>
          <w:sz w:val="21"/>
          <w:szCs w:val="21"/>
          <w:highlight w:val="none"/>
        </w:rPr>
        <w:t>：</w:t>
      </w:r>
      <w:r>
        <w:rPr>
          <w:rFonts w:hint="default" w:ascii="宋体" w:hAnsi="宋体" w:eastAsia="宋体"/>
          <w:color w:val="auto"/>
          <w:sz w:val="21"/>
          <w:szCs w:val="21"/>
          <w:highlight w:val="none"/>
          <w:u w:val="single"/>
        </w:rPr>
        <w:t>服务期限自本</w:t>
      </w:r>
      <w:r>
        <w:rPr>
          <w:rFonts w:hint="eastAsia" w:ascii="宋体" w:hAnsi="宋体" w:eastAsia="宋体"/>
          <w:color w:val="auto"/>
          <w:sz w:val="21"/>
          <w:szCs w:val="21"/>
          <w:highlight w:val="none"/>
          <w:u w:val="single"/>
          <w:lang w:eastAsia="zh-CN"/>
        </w:rPr>
        <w:t>项目勘察设计</w:t>
      </w:r>
      <w:r>
        <w:rPr>
          <w:rFonts w:hint="default" w:ascii="宋体" w:hAnsi="宋体" w:eastAsia="宋体"/>
          <w:color w:val="auto"/>
          <w:sz w:val="21"/>
          <w:szCs w:val="21"/>
          <w:highlight w:val="none"/>
          <w:u w:val="single"/>
        </w:rPr>
        <w:t>合同生效之日起至工程竣工验收合格之日止。（各阶段勘察设计成果提交需根据发包人要求及实际勘察设计进度调整）</w:t>
      </w:r>
    </w:p>
    <w:p w14:paraId="0AD1B1A9">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u w:val="single" w:color="auto"/>
        </w:rPr>
        <w:t xml:space="preserve">勘察工期：合同签订后，承包人收到发包人对该项目勘察工作大纲批复之日起计 30 日内提交勘察成果文件。如果延误工期，承包人向发包人支付的误期损害赔偿费每天为最终勘察合同价格的0.3%；误期损害赔偿费的最高限额为最终勘察合同价格的30%。 </w:t>
      </w:r>
    </w:p>
    <w:p w14:paraId="76696A7F">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default"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招标范围：</w:t>
      </w:r>
      <w:r>
        <w:rPr>
          <w:rFonts w:hint="eastAsia" w:ascii="宋体" w:hAnsi="宋体" w:eastAsia="宋体" w:cs="宋体"/>
          <w:color w:val="auto"/>
          <w:sz w:val="21"/>
          <w:szCs w:val="21"/>
          <w:highlight w:val="none"/>
          <w:u w:val="single" w:color="auto"/>
        </w:rPr>
        <w:t xml:space="preserve"> ①勘察部分：负责本项目规划用地红线范围内，及经招标人审批同意用于辅助项目建设所需的红线范围外的勘察工作，包括但不限于以下内容：工程勘察（岩土工程勘察、工程测量、地下管线探测）；②设计部分：负责本项目方案设计、初步设计及概算、施工图设计、现场服务、施工及验收过程的配合、施工过程中的方案优化及设计变更、竣工图审核及盖章、施工及验收过程的配合等。</w:t>
      </w:r>
      <w:r>
        <w:rPr>
          <w:rFonts w:hint="eastAsia" w:ascii="宋体" w:hAnsi="宋体" w:eastAsia="宋体" w:cs="宋体"/>
          <w:color w:val="auto"/>
          <w:sz w:val="21"/>
          <w:szCs w:val="21"/>
          <w:highlight w:val="none"/>
          <w:u w:val="single" w:color="auto"/>
          <w:lang w:val="en-US" w:eastAsia="zh-CN"/>
        </w:rPr>
        <w:t>具体内容及要求详见招标文件《勘察设计任务书》。</w:t>
      </w:r>
    </w:p>
    <w:p w14:paraId="4159E4B6">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highlight w:val="none"/>
        </w:rPr>
      </w:pPr>
      <w:r>
        <w:rPr>
          <w:rFonts w:hint="eastAsia" w:ascii="宋体" w:hAnsi="宋体" w:eastAsia="宋体" w:cs="宋体"/>
          <w:color w:val="auto"/>
          <w:sz w:val="21"/>
          <w:szCs w:val="21"/>
          <w:highlight w:val="none"/>
          <w:lang w:val="en-US" w:eastAsia="zh-CN"/>
        </w:rPr>
        <w:t>2.6专业内容: ☑水利工程、□道路工程、☑桥梁工程、□城市隧道工程、□排水工程、□给水工程、□照明工程、□公共交通工程、□城镇燃气工程、□热力工程、☑风景园林工程、□建筑工程、□电力管沟工程。</w:t>
      </w:r>
    </w:p>
    <w:p w14:paraId="0FD665A5">
      <w:pPr>
        <w:keepNext w:val="0"/>
        <w:keepLines w:val="0"/>
        <w:pageBreakBefore w:val="0"/>
        <w:shd w:val="clear" w:color="auto"/>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前期服务机构名称：</w:t>
      </w:r>
      <w:r>
        <w:rPr>
          <w:rFonts w:hint="eastAsia" w:ascii="宋体" w:hAnsi="宋体" w:eastAsia="宋体" w:cs="宋体"/>
          <w:color w:val="auto"/>
          <w:sz w:val="21"/>
          <w:szCs w:val="21"/>
          <w:highlight w:val="none"/>
          <w:u w:val="single"/>
          <w:lang w:val="en-US" w:eastAsia="zh-CN"/>
        </w:rPr>
        <w:t>广东海纳工程管理咨询有限公司</w:t>
      </w:r>
      <w:r>
        <w:rPr>
          <w:rFonts w:hint="eastAsia" w:ascii="宋体" w:hAnsi="宋体" w:eastAsia="宋体" w:cs="宋体"/>
          <w:color w:val="auto"/>
          <w:sz w:val="21"/>
          <w:szCs w:val="21"/>
          <w:highlight w:val="none"/>
        </w:rPr>
        <w:t>。</w:t>
      </w:r>
    </w:p>
    <w:p w14:paraId="30089E4F">
      <w:pPr>
        <w:keepNext w:val="0"/>
        <w:keepLines w:val="0"/>
        <w:pageBreakBefore w:val="0"/>
        <w:wordWrap/>
        <w:overflowPunct/>
        <w:bidi w:val="0"/>
        <w:snapToGrid w:val="0"/>
        <w:spacing w:beforeAutospacing="0" w:afterAutospacing="0" w:line="360" w:lineRule="auto"/>
        <w:ind w:left="0" w:leftChars="0" w:right="0" w:firstLine="420" w:firstLineChars="200"/>
        <w:rPr>
          <w:rFonts w:hint="default" w:eastAsia="宋体"/>
          <w:highlight w:val="none"/>
          <w:lang w:val="en-US" w:eastAsia="zh-CN"/>
        </w:rPr>
      </w:pPr>
      <w:r>
        <w:rPr>
          <w:rFonts w:hint="eastAsia" w:ascii="宋体" w:hAnsi="宋体" w:eastAsia="宋体" w:cs="宋体"/>
          <w:color w:val="auto"/>
          <w:w w:val="100"/>
          <w:sz w:val="21"/>
          <w:szCs w:val="21"/>
          <w:highlight w:val="none"/>
          <w:u w:val="none"/>
        </w:rPr>
        <w:t>注：如果前期服务机构参加本次投标，应将本公告发布前最终完成的工作成果（含电子文件）在投标人</w:t>
      </w:r>
      <w:r>
        <w:rPr>
          <w:rFonts w:hint="eastAsia" w:ascii="宋体" w:hAnsi="宋体" w:eastAsia="宋体" w:cs="宋体"/>
          <w:color w:val="auto"/>
          <w:w w:val="100"/>
          <w:sz w:val="21"/>
          <w:szCs w:val="21"/>
          <w:highlight w:val="none"/>
          <w:u w:val="none"/>
          <w:lang w:val="en-US" w:eastAsia="zh-CN"/>
        </w:rPr>
        <w:t>获取</w:t>
      </w:r>
      <w:r>
        <w:rPr>
          <w:rFonts w:hint="eastAsia" w:ascii="宋体" w:hAnsi="宋体" w:eastAsia="宋体" w:cs="宋体"/>
          <w:color w:val="auto"/>
          <w:w w:val="100"/>
          <w:sz w:val="21"/>
          <w:szCs w:val="21"/>
          <w:highlight w:val="none"/>
          <w:u w:val="none"/>
        </w:rPr>
        <w:t>招标文件的同时提供给所有投标人参考，否则前期参与的服务机构中标无效。</w:t>
      </w:r>
    </w:p>
    <w:p w14:paraId="24B19DC7">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bookmarkStart w:id="17" w:name="_Toc13982"/>
      <w:bookmarkStart w:id="18" w:name="_Toc13470"/>
      <w:bookmarkStart w:id="19" w:name="_Toc13441"/>
      <w:bookmarkStart w:id="20" w:name="_Toc6474"/>
      <w:bookmarkStart w:id="21" w:name="_Toc19035"/>
    </w:p>
    <w:p w14:paraId="1ABF45F4">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r>
        <w:rPr>
          <w:rFonts w:hint="eastAsia"/>
          <w:color w:val="auto"/>
          <w:highlight w:val="none"/>
        </w:rPr>
        <w:t>3. 投标人资格要求</w:t>
      </w:r>
      <w:bookmarkEnd w:id="17"/>
      <w:bookmarkEnd w:id="18"/>
      <w:bookmarkEnd w:id="19"/>
      <w:bookmarkEnd w:id="20"/>
      <w:bookmarkEnd w:id="21"/>
    </w:p>
    <w:p w14:paraId="203BDE04">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（若为联合体投标，指联合体各方）</w:t>
      </w:r>
      <w:r>
        <w:rPr>
          <w:rFonts w:hint="eastAsia" w:ascii="宋体" w:hAnsi="宋体" w:eastAsia="宋体" w:cs="宋体"/>
          <w:color w:val="auto"/>
          <w:sz w:val="21"/>
          <w:szCs w:val="21"/>
          <w:highlight w:val="none"/>
        </w:rPr>
        <w:t>参加投标的意思表达清楚，投标人代表被授权有效</w:t>
      </w:r>
      <w:r>
        <w:rPr>
          <w:rFonts w:hint="eastAsia" w:ascii="宋体" w:hAnsi="宋体" w:eastAsia="宋体" w:cs="宋体"/>
          <w:color w:val="auto"/>
          <w:sz w:val="21"/>
          <w:szCs w:val="21"/>
          <w:highlight w:val="none"/>
          <w:lang w:eastAsia="zh-CN"/>
        </w:rPr>
        <w:t>（若为联合体投标，指联合体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317D9A8">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投标人</w:t>
      </w:r>
      <w:r>
        <w:rPr>
          <w:rFonts w:hint="eastAsia" w:ascii="宋体" w:hAnsi="宋体" w:eastAsia="宋体" w:cs="宋体"/>
          <w:color w:val="auto"/>
          <w:sz w:val="21"/>
          <w:szCs w:val="21"/>
          <w:highlight w:val="none"/>
          <w:lang w:eastAsia="zh-CN"/>
        </w:rPr>
        <w:t>若为（联合体投标，指联合体各方）</w:t>
      </w:r>
      <w:r>
        <w:rPr>
          <w:rFonts w:hint="eastAsia" w:ascii="宋体" w:hAnsi="宋体" w:eastAsia="宋体" w:cs="宋体"/>
          <w:color w:val="auto"/>
          <w:sz w:val="21"/>
          <w:szCs w:val="21"/>
          <w:highlight w:val="none"/>
        </w:rPr>
        <w:t>是法人或其他组织，按国家法律经营。</w:t>
      </w:r>
    </w:p>
    <w:p w14:paraId="45889EAE">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w:t>
      </w:r>
      <w:r>
        <w:rPr>
          <w:rFonts w:hint="eastAsia" w:ascii="宋体" w:hAnsi="宋体" w:eastAsia="宋体" w:cs="宋体"/>
          <w:color w:val="auto"/>
          <w:sz w:val="21"/>
          <w:szCs w:val="21"/>
          <w:highlight w:val="none"/>
          <w:u w:val="single"/>
        </w:rPr>
        <w:t>同时</w:t>
      </w:r>
      <w:r>
        <w:rPr>
          <w:rFonts w:hint="eastAsia" w:ascii="宋体" w:hAnsi="宋体" w:eastAsia="宋体" w:cs="宋体"/>
          <w:color w:val="auto"/>
          <w:sz w:val="21"/>
          <w:szCs w:val="21"/>
          <w:highlight w:val="none"/>
        </w:rPr>
        <w:t>具备建设行政主管部门颁发的</w:t>
      </w:r>
      <w:r>
        <w:rPr>
          <w:rFonts w:hint="eastAsia" w:ascii="宋体" w:hAnsi="宋体" w:eastAsia="宋体" w:cs="宋体"/>
          <w:color w:val="auto"/>
          <w:sz w:val="21"/>
          <w:szCs w:val="21"/>
          <w:highlight w:val="none"/>
          <w:u w:val="single"/>
        </w:rPr>
        <w:t>有效期内的以下</w:t>
      </w:r>
      <w:r>
        <w:rPr>
          <w:rFonts w:hint="eastAsia" w:ascii="宋体" w:hAnsi="宋体" w:eastAsia="宋体" w:cs="宋体"/>
          <w:color w:val="auto"/>
          <w:sz w:val="21"/>
          <w:szCs w:val="21"/>
          <w:highlight w:val="none"/>
          <w:u w:val="single"/>
          <w:lang w:val="en-US" w:eastAsia="zh-CN"/>
        </w:rPr>
        <w:t>勘察、设计</w:t>
      </w:r>
      <w:r>
        <w:rPr>
          <w:rFonts w:hint="eastAsia" w:ascii="宋体" w:hAnsi="宋体" w:eastAsia="宋体" w:cs="宋体"/>
          <w:color w:val="auto"/>
          <w:sz w:val="21"/>
          <w:szCs w:val="21"/>
          <w:highlight w:val="none"/>
          <w:u w:val="single"/>
        </w:rPr>
        <w:t>资质证书</w:t>
      </w:r>
      <w:r>
        <w:rPr>
          <w:rFonts w:hint="eastAsia" w:ascii="宋体" w:hAnsi="宋体" w:eastAsia="宋体" w:cs="宋体"/>
          <w:color w:val="auto"/>
          <w:sz w:val="21"/>
          <w:szCs w:val="21"/>
          <w:highlight w:val="none"/>
          <w:lang w:eastAsia="zh-CN"/>
        </w:rPr>
        <w:t>：</w:t>
      </w:r>
    </w:p>
    <w:p w14:paraId="6510698F">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（1）工程勘察资质：工程勘察综合资质甲级，或工程勘察专业类（岩土工程）</w:t>
      </w:r>
      <w:r>
        <w:rPr>
          <w:rFonts w:hint="eastAsia" w:ascii="宋体" w:hAnsi="宋体" w:eastAsia="宋体" w:cs="宋体"/>
          <w:color w:val="auto"/>
          <w:sz w:val="21"/>
          <w:szCs w:val="21"/>
          <w:highlight w:val="none"/>
          <w:u w:val="single"/>
          <w:lang w:val="en-US" w:eastAsia="zh-CN"/>
        </w:rPr>
        <w:t>乙级或以上</w:t>
      </w:r>
      <w:r>
        <w:rPr>
          <w:rFonts w:hint="eastAsia" w:ascii="宋体" w:hAnsi="宋体" w:eastAsia="宋体" w:cs="宋体"/>
          <w:color w:val="auto"/>
          <w:sz w:val="21"/>
          <w:szCs w:val="21"/>
          <w:highlight w:val="none"/>
          <w:u w:val="single"/>
        </w:rPr>
        <w:t>和工程勘察专业类（工程测量）</w:t>
      </w:r>
      <w:r>
        <w:rPr>
          <w:rFonts w:hint="eastAsia" w:ascii="宋体" w:hAnsi="宋体" w:eastAsia="宋体" w:cs="宋体"/>
          <w:color w:val="auto"/>
          <w:sz w:val="21"/>
          <w:szCs w:val="21"/>
          <w:highlight w:val="none"/>
          <w:u w:val="single"/>
          <w:lang w:val="en-US" w:eastAsia="zh-CN"/>
        </w:rPr>
        <w:t>甲级</w:t>
      </w:r>
      <w:r>
        <w:rPr>
          <w:rFonts w:hint="eastAsia" w:ascii="宋体" w:hAnsi="宋体" w:eastAsia="宋体" w:cs="宋体"/>
          <w:color w:val="auto"/>
          <w:sz w:val="21"/>
          <w:szCs w:val="21"/>
          <w:highlight w:val="none"/>
          <w:u w:val="single"/>
        </w:rPr>
        <w:t>资质。</w:t>
      </w:r>
    </w:p>
    <w:p w14:paraId="2A563B11">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香港企业参加投标的，须在广东省住房和城乡建设主管部门备案且备案的业务范围应符合本招标项目对工程勘察资质的要求。</w:t>
      </w:r>
    </w:p>
    <w:p w14:paraId="05AF99CF">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（2）工程设计资质：具备工程设计综合资质，或同时具备①水利行业工程设计乙级或以上资质，或水利行业工程设计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河道整治专业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乙级或以上资质和②风景园林工程设计专项</w:t>
      </w:r>
      <w:r>
        <w:rPr>
          <w:rFonts w:hint="eastAsia" w:ascii="宋体" w:hAnsi="宋体" w:eastAsia="宋体" w:cs="宋体"/>
          <w:color w:val="auto"/>
          <w:sz w:val="21"/>
          <w:szCs w:val="21"/>
          <w:highlight w:val="none"/>
          <w:u w:val="single"/>
          <w:lang w:val="en-US" w:eastAsia="zh-CN"/>
        </w:rPr>
        <w:t>甲级</w:t>
      </w:r>
      <w:r>
        <w:rPr>
          <w:rFonts w:hint="eastAsia" w:ascii="宋体" w:hAnsi="宋体" w:eastAsia="宋体" w:cs="宋体"/>
          <w:color w:val="auto"/>
          <w:sz w:val="21"/>
          <w:szCs w:val="21"/>
          <w:highlight w:val="none"/>
          <w:u w:val="single"/>
        </w:rPr>
        <w:t>资质和③市政行业工程设计乙级或以上资质，或市政行业工程设计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桥梁工程专业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w:t>
      </w:r>
      <w:r>
        <w:rPr>
          <w:rFonts w:hint="eastAsia" w:ascii="宋体" w:hAnsi="宋体" w:eastAsia="宋体" w:cs="宋体"/>
          <w:color w:val="auto"/>
          <w:sz w:val="21"/>
          <w:szCs w:val="21"/>
          <w:highlight w:val="none"/>
          <w:u w:val="single"/>
          <w:lang w:eastAsia="zh-CN"/>
        </w:rPr>
        <w:t>。</w:t>
      </w:r>
    </w:p>
    <w:p w14:paraId="46A28FD3">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香港企业独立参加投标的，须在广东省住房和城乡建设主管部门备案且备案的业务范围满足本项目招标资质要求。</w:t>
      </w:r>
    </w:p>
    <w:p w14:paraId="0C164FF3">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外国或澳门、台湾的设计企业必须选择一家符合上述条件的内地企业进行合作设计。香港企业如不单独参加投标，也必须选择一家符合上述条件的内地企业进行合作设计。（外国或澳门、台湾的设计企业须提供所在国或者所在地区的政府主管部门或者有关行业组织核发的设计许可证明）。</w:t>
      </w:r>
    </w:p>
    <w:p w14:paraId="55ACAEC9">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none"/>
        </w:rPr>
        <w:t>注：</w:t>
      </w:r>
      <w:r>
        <w:rPr>
          <w:rFonts w:hint="eastAsia" w:ascii="宋体" w:hAnsi="宋体" w:eastAsia="宋体" w:cs="宋体"/>
          <w:color w:val="auto"/>
          <w:w w:val="100"/>
          <w:sz w:val="21"/>
          <w:szCs w:val="21"/>
          <w:highlight w:val="none"/>
          <w:u w:val="single"/>
        </w:rPr>
        <w:t>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w:t>
      </w:r>
    </w:p>
    <w:p w14:paraId="3E36A9E6">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highlight w:val="none"/>
        </w:rPr>
      </w:pPr>
      <w:r>
        <w:rPr>
          <w:rFonts w:hint="eastAsia" w:ascii="宋体" w:hAnsi="宋体" w:eastAsia="宋体" w:cs="宋体"/>
          <w:color w:val="auto"/>
          <w:w w:val="100"/>
          <w:sz w:val="21"/>
          <w:szCs w:val="21"/>
          <w:highlight w:val="none"/>
          <w:u w:val="single"/>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执行。</w:t>
      </w:r>
    </w:p>
    <w:p w14:paraId="375A2F4C">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single"/>
        </w:rPr>
        <w:t>3.香港企业备案的业务范围依据《广东省住房和城乡建设厅关于印发香港工程建设咨询企业和专业人士在粤港澳大湾区内地城市开业执业试点管理暂行办法的通知》（粤建规范〔2020〕1号确定。</w:t>
      </w:r>
    </w:p>
    <w:p w14:paraId="5A8ACE68">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w w:val="100"/>
          <w:sz w:val="21"/>
          <w:szCs w:val="21"/>
          <w:highlight w:val="none"/>
          <w:u w:val="single"/>
          <w:lang w:eastAsia="zh-CN"/>
        </w:rPr>
      </w:pPr>
      <w:r>
        <w:rPr>
          <w:rFonts w:hint="eastAsia" w:ascii="宋体" w:hAnsi="宋体" w:eastAsia="宋体" w:cs="宋体"/>
          <w:color w:val="auto"/>
          <w:w w:val="100"/>
          <w:sz w:val="21"/>
          <w:szCs w:val="21"/>
          <w:highlight w:val="none"/>
          <w:u w:val="single"/>
          <w:lang w:val="en-US" w:eastAsia="zh-CN"/>
        </w:rPr>
        <w:t>4.</w:t>
      </w:r>
      <w:r>
        <w:rPr>
          <w:rFonts w:hint="eastAsia" w:ascii="宋体" w:hAnsi="宋体" w:eastAsia="宋体" w:cs="宋体"/>
          <w:color w:val="auto"/>
          <w:w w:val="100"/>
          <w:sz w:val="21"/>
          <w:szCs w:val="21"/>
          <w:highlight w:val="none"/>
          <w:u w:val="single"/>
        </w:rPr>
        <w:t>外国或澳门、台湾的设计企业必须选择一家符合上述条件的企业进行合作设计。香港企业如不单独参加投标，也必须选择一家符合上述条件的企业进行合作设计。《合作设计协议》（外国或香港、澳门、台湾的设计企业提供）由联合体各方分别按要求进行签字或盖章（格式自定）（如有）</w:t>
      </w:r>
      <w:r>
        <w:rPr>
          <w:rFonts w:hint="eastAsia" w:ascii="宋体" w:hAnsi="宋体" w:eastAsia="宋体" w:cs="宋体"/>
          <w:color w:val="auto"/>
          <w:w w:val="100"/>
          <w:sz w:val="21"/>
          <w:szCs w:val="21"/>
          <w:highlight w:val="none"/>
          <w:u w:val="single"/>
          <w:lang w:eastAsia="zh-CN"/>
        </w:rPr>
        <w:t>。</w:t>
      </w:r>
    </w:p>
    <w:p w14:paraId="6FEA9698">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  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sz w:val="21"/>
          <w:szCs w:val="21"/>
          <w:highlight w:val="none"/>
        </w:rPr>
        <w:t>已在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办理企业信息登记，本项目负责人是本企业</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企业信息登记中的在册人员</w:t>
      </w:r>
      <w:r>
        <w:rPr>
          <w:rFonts w:hint="eastAsia" w:ascii="宋体" w:hAnsi="宋体" w:eastAsia="宋体" w:cs="宋体"/>
          <w:color w:val="auto"/>
          <w:sz w:val="21"/>
          <w:szCs w:val="21"/>
          <w:highlight w:val="none"/>
          <w:lang w:eastAsia="zh-CN"/>
        </w:rPr>
        <w:t>。</w:t>
      </w:r>
    </w:p>
    <w:p w14:paraId="077DA157">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人委派的项目负责人</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须具备</w:t>
      </w:r>
      <w:r>
        <w:rPr>
          <w:rFonts w:hint="eastAsia" w:ascii="宋体" w:hAnsi="宋体" w:eastAsia="宋体" w:cs="宋体"/>
          <w:color w:val="auto"/>
          <w:sz w:val="21"/>
          <w:szCs w:val="21"/>
          <w:highlight w:val="none"/>
          <w:u w:val="single"/>
        </w:rPr>
        <w:t>水利工程专业（含相近专业）高级或以上工程师，或从事水利工程专业（含相近专业）工程10年以上的工程师</w:t>
      </w:r>
      <w:r>
        <w:rPr>
          <w:rFonts w:hint="eastAsia" w:ascii="宋体" w:hAnsi="宋体" w:eastAsia="宋体"/>
          <w:sz w:val="21"/>
          <w:szCs w:val="21"/>
          <w:highlight w:val="none"/>
          <w:u w:val="single"/>
          <w:lang w:eastAsia="zh-CN"/>
        </w:rPr>
        <w:t>，</w:t>
      </w:r>
      <w:r>
        <w:rPr>
          <w:rFonts w:hint="eastAsia" w:ascii="宋体" w:hAnsi="宋体"/>
          <w:sz w:val="21"/>
          <w:szCs w:val="21"/>
          <w:highlight w:val="none"/>
          <w:u w:val="single"/>
        </w:rPr>
        <w:t>或在广东省住房和城乡建设主管部门备案且备案的业务范围符合本招标项目对项目负责人要求的香港专业人士</w:t>
      </w:r>
      <w:r>
        <w:rPr>
          <w:rFonts w:hint="eastAsia" w:ascii="宋体" w:hAnsi="宋体"/>
          <w:sz w:val="21"/>
          <w:szCs w:val="21"/>
          <w:highlight w:val="none"/>
          <w:u w:val="none"/>
        </w:rPr>
        <w:t>。</w:t>
      </w:r>
      <w:r>
        <w:rPr>
          <w:rFonts w:hint="eastAsia" w:ascii="宋体" w:hAnsi="宋体" w:eastAsia="宋体" w:cs="宋体"/>
          <w:color w:val="auto"/>
          <w:sz w:val="21"/>
          <w:szCs w:val="21"/>
          <w:highlight w:val="none"/>
        </w:rPr>
        <w:t>需提供离投标截止时间最近</w:t>
      </w:r>
      <w:r>
        <w:rPr>
          <w:rFonts w:hint="eastAsia" w:ascii="宋体" w:hAnsi="宋体" w:eastAsia="宋体" w:cs="宋体"/>
          <w:color w:val="auto"/>
          <w:sz w:val="21"/>
          <w:szCs w:val="21"/>
          <w:highlight w:val="none"/>
          <w:lang w:val="en-US" w:eastAsia="zh-CN"/>
        </w:rPr>
        <w:t>的至少1</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u w:val="single"/>
        </w:rPr>
        <w:t>（时间为：</w:t>
      </w:r>
      <w:r>
        <w:rPr>
          <w:rFonts w:hint="eastAsia" w:ascii="宋体" w:hAnsi="宋体" w:eastAsia="宋体" w:cs="宋体"/>
          <w:color w:val="auto"/>
          <w:sz w:val="21"/>
          <w:szCs w:val="21"/>
          <w:highlight w:val="none"/>
          <w:u w:val="single"/>
          <w:lang w:eastAsia="zh-CN"/>
        </w:rPr>
        <w:t>2025年0</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月或0</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在本单位</w:t>
      </w:r>
      <w:r>
        <w:rPr>
          <w:rFonts w:hint="eastAsia" w:ascii="宋体" w:hAnsi="宋体" w:eastAsia="宋体" w:cs="宋体"/>
          <w:color w:val="auto"/>
          <w:sz w:val="21"/>
          <w:szCs w:val="21"/>
          <w:highlight w:val="none"/>
          <w:lang w:eastAsia="zh-CN"/>
        </w:rPr>
        <w:t>（联合体投标，指联合体</w:t>
      </w:r>
      <w:r>
        <w:rPr>
          <w:rFonts w:hint="eastAsia" w:ascii="宋体" w:hAnsi="宋体" w:eastAsia="宋体" w:cs="宋体"/>
          <w:color w:val="auto"/>
          <w:sz w:val="21"/>
          <w:szCs w:val="21"/>
          <w:highlight w:val="none"/>
          <w:lang w:val="en-US" w:eastAsia="zh-CN"/>
        </w:rPr>
        <w:t>主办方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缴纳的社保证明文件</w:t>
      </w:r>
      <w:r>
        <w:rPr>
          <w:rFonts w:hint="eastAsia" w:ascii="宋体" w:hAnsi="宋体" w:eastAsia="宋体" w:cs="宋体"/>
          <w:color w:val="auto"/>
          <w:sz w:val="21"/>
          <w:szCs w:val="21"/>
          <w:highlight w:val="none"/>
          <w:lang w:eastAsia="zh-CN"/>
        </w:rPr>
        <w:t>。</w:t>
      </w:r>
    </w:p>
    <w:p w14:paraId="7A5ACB07">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rPr>
        <w:t>注：香港专业人士的备案业务范围依据《广东省住房和城乡建设厅关于印发香港工程建设咨询企业和专业人士在粤港澳大湾区内地城市开业执业试点管理暂行办法的通知》（粤建规范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14:paraId="06DF98D7">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投标申请人业绩要求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不需要。</w:t>
      </w:r>
    </w:p>
    <w:p w14:paraId="62403A29">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eastAsia="zh-CN"/>
        </w:rPr>
      </w:pPr>
      <w:bookmarkStart w:id="22" w:name="_Toc245023997"/>
      <w:bookmarkStart w:id="23" w:name="_Toc19668"/>
      <w:bookmarkStart w:id="24" w:name="_Toc32634"/>
      <w:bookmarkStart w:id="25" w:name="_Toc20272"/>
      <w:bookmarkStart w:id="26" w:name="_Toc253143216"/>
      <w:bookmarkStart w:id="27" w:name="_Toc8744"/>
      <w:bookmarkStart w:id="28" w:name="_Toc249845968"/>
      <w:bookmarkStart w:id="29" w:name="_Toc266093545"/>
      <w:bookmarkStart w:id="30" w:name="_Toc266881397"/>
      <w:bookmarkStart w:id="31" w:name="_Toc7102"/>
      <w:bookmarkStart w:id="32" w:name="_Toc32048"/>
      <w:bookmarkStart w:id="33" w:name="_Toc249846223"/>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关于联合体投标：</w:t>
      </w:r>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eastAsia="宋体" w:cs="宋体"/>
          <w:color w:val="auto"/>
          <w:sz w:val="21"/>
          <w:szCs w:val="21"/>
          <w:highlight w:val="none"/>
        </w:rPr>
        <w:t xml:space="preserve"> 本次招标接受联合体投标</w:t>
      </w:r>
      <w:r>
        <w:rPr>
          <w:rFonts w:hint="eastAsia" w:ascii="宋体" w:hAnsi="宋体" w:eastAsia="宋体" w:cs="宋体"/>
          <w:color w:val="auto"/>
          <w:sz w:val="21"/>
          <w:szCs w:val="21"/>
          <w:highlight w:val="none"/>
          <w:lang w:eastAsia="zh-CN"/>
        </w:rPr>
        <w:t>。</w:t>
      </w:r>
    </w:p>
    <w:p w14:paraId="1943B66F">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u w:val="single"/>
        </w:rPr>
        <w:t xml:space="preserve"> 工程设计综合资质，或水利行业工程设计乙级或以上资质或水利行业工程设计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河道整治专业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乙级或以上资质</w:t>
      </w:r>
      <w:r>
        <w:rPr>
          <w:rFonts w:hint="eastAsia" w:ascii="宋体" w:hAnsi="宋体" w:eastAsia="宋体" w:cs="宋体"/>
          <w:color w:val="auto"/>
          <w:sz w:val="21"/>
          <w:szCs w:val="21"/>
          <w:highlight w:val="none"/>
          <w:u w:val="single"/>
          <w:lang w:val="en-US" w:eastAsia="zh-CN"/>
        </w:rPr>
        <w:t>的设计单位</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，并签定</w:t>
      </w:r>
      <w:r>
        <w:rPr>
          <w:rFonts w:hint="eastAsia" w:ascii="宋体" w:hAnsi="宋体" w:eastAsia="宋体" w:cs="宋体"/>
          <w:color w:val="auto"/>
          <w:sz w:val="21"/>
          <w:szCs w:val="21"/>
          <w:highlight w:val="none"/>
          <w:lang w:eastAsia="zh-CN"/>
        </w:rPr>
        <w:t>《联合体协议书》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联合体各方（包括牵头人及联合体成员）不得再单独或与其他单位组成联合体参与本项目投标。出现上述情况者，其投标和与此有关的联合体的投标将被拒绝。</w:t>
      </w:r>
      <w:r>
        <w:rPr>
          <w:rFonts w:hint="eastAsia" w:ascii="宋体" w:hAnsi="宋体" w:eastAsia="宋体" w:cs="宋体"/>
          <w:color w:val="auto"/>
          <w:sz w:val="21"/>
          <w:szCs w:val="21"/>
          <w:highlight w:val="none"/>
        </w:rPr>
        <w:t>投标人拟任本工程项目负责人应为</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正式员工。</w:t>
      </w:r>
      <w:r>
        <w:rPr>
          <w:rFonts w:hint="eastAsia" w:ascii="宋体" w:hAnsi="宋体" w:eastAsia="宋体" w:cs="宋体"/>
          <w:color w:val="auto"/>
          <w:sz w:val="21"/>
          <w:szCs w:val="21"/>
          <w:highlight w:val="none"/>
          <w:lang w:eastAsia="zh-CN"/>
        </w:rPr>
        <w:t>联合体协议书</w:t>
      </w:r>
      <w:r>
        <w:rPr>
          <w:rFonts w:hint="eastAsia" w:ascii="宋体" w:hAnsi="宋体" w:eastAsia="宋体" w:cs="宋体"/>
          <w:color w:val="auto"/>
          <w:sz w:val="21"/>
          <w:szCs w:val="21"/>
          <w:highlight w:val="none"/>
        </w:rPr>
        <w:t>应明确约定各方拟承担的工作和责任。</w:t>
      </w:r>
      <w:r>
        <w:rPr>
          <w:rFonts w:hint="eastAsia" w:ascii="宋体" w:hAnsi="宋体" w:eastAsia="宋体" w:cs="宋体"/>
          <w:color w:val="auto"/>
          <w:w w:val="100"/>
          <w:sz w:val="21"/>
          <w:szCs w:val="21"/>
          <w:highlight w:val="none"/>
        </w:rPr>
        <w:t>投标登记截止后</w:t>
      </w:r>
      <w:r>
        <w:rPr>
          <w:rFonts w:hint="eastAsia" w:ascii="宋体" w:hAnsi="宋体" w:eastAsia="宋体" w:cs="宋体"/>
          <w:color w:val="auto"/>
          <w:sz w:val="21"/>
          <w:szCs w:val="21"/>
          <w:highlight w:val="none"/>
        </w:rPr>
        <w:t>联合体增减、更换成员的，其投标无效。</w:t>
      </w:r>
      <w:r>
        <w:rPr>
          <w:rFonts w:hint="eastAsia" w:ascii="宋体" w:hAnsi="宋体"/>
          <w:b w:val="0"/>
          <w:bCs/>
          <w:color w:val="auto"/>
          <w:highlight w:val="none"/>
          <w:u w:val="single"/>
        </w:rPr>
        <w:t>联合体双方具备规定的相应资格条件。由同一专业的单位组成的联合体，按照资质等级较低的单位确定资质等级</w:t>
      </w:r>
      <w:r>
        <w:rPr>
          <w:rFonts w:hint="eastAsia" w:ascii="宋体" w:hAnsi="宋体"/>
          <w:b w:val="0"/>
          <w:bCs/>
          <w:color w:val="auto"/>
          <w:highlight w:val="none"/>
          <w:u w:val="single"/>
          <w:lang w:eastAsia="zh-CN"/>
        </w:rPr>
        <w:t>。</w:t>
      </w:r>
    </w:p>
    <w:p w14:paraId="667D2581">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8  </w:t>
      </w:r>
      <w:r>
        <w:rPr>
          <w:rFonts w:hint="default"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（联合体投标，指联合体各方）</w:t>
      </w:r>
      <w:r>
        <w:rPr>
          <w:rFonts w:hint="default" w:ascii="宋体" w:hAnsi="宋体" w:eastAsia="宋体" w:cs="宋体"/>
          <w:color w:val="auto"/>
          <w:sz w:val="21"/>
          <w:szCs w:val="21"/>
          <w:highlight w:val="none"/>
          <w:lang w:val="en-US" w:eastAsia="zh-CN"/>
        </w:rPr>
        <w:t>未被列入“在一定期限内依法取消参加依法必须进行招标的项目的投标资格”，具体名单以递交投标文件截止时间“信用广州”公布的“黑名单”为准</w:t>
      </w:r>
      <w:r>
        <w:rPr>
          <w:rFonts w:hint="default" w:ascii="宋体" w:hAnsi="宋体" w:eastAsia="宋体" w:cs="宋体"/>
          <w:color w:val="auto"/>
          <w:sz w:val="21"/>
          <w:szCs w:val="21"/>
          <w:highlight w:val="none"/>
          <w:u w:val="single"/>
          <w:lang w:val="en-US" w:eastAsia="zh-CN"/>
        </w:rPr>
        <w:t>（网址：https://credit1.gz.gov.cn/publicity/honourFuzzyList?type=2）</w:t>
      </w:r>
      <w:r>
        <w:rPr>
          <w:rFonts w:hint="default" w:ascii="宋体" w:hAnsi="宋体" w:eastAsia="宋体" w:cs="宋体"/>
          <w:color w:val="auto"/>
          <w:sz w:val="21"/>
          <w:szCs w:val="21"/>
          <w:highlight w:val="none"/>
          <w:lang w:val="en-US" w:eastAsia="zh-CN"/>
        </w:rPr>
        <w:t>。注：《全国失信惩戒措施清单基础清单》（202</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版）</w:t>
      </w:r>
      <w:r>
        <w:rPr>
          <w:rFonts w:hint="eastAsia" w:ascii="宋体" w:hAnsi="宋体" w:eastAsia="宋体" w:cs="宋体"/>
          <w:color w:val="auto"/>
          <w:sz w:val="21"/>
          <w:szCs w:val="21"/>
          <w:highlight w:val="none"/>
          <w:lang w:val="en-US" w:eastAsia="zh-CN"/>
        </w:rPr>
        <w:t>。</w:t>
      </w:r>
    </w:p>
    <w:p w14:paraId="384D7514">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  不存在禁止投标的情形：投标人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sz w:val="21"/>
          <w:szCs w:val="21"/>
          <w:highlight w:val="none"/>
          <w:lang w:val="en-US" w:eastAsia="zh-CN"/>
        </w:rPr>
        <w:t>不存在招标文件第第二章“投标人须知”第 1.4.3项规定的任何一种情形。（根据《投标人声明》进行评审，如为</w:t>
      </w:r>
      <w:r>
        <w:rPr>
          <w:rFonts w:hint="eastAsia" w:ascii="宋体" w:hAnsi="宋体" w:eastAsia="宋体" w:cs="宋体"/>
          <w:color w:val="auto"/>
          <w:sz w:val="21"/>
          <w:szCs w:val="21"/>
          <w:highlight w:val="none"/>
          <w:lang w:eastAsia="zh-CN"/>
        </w:rPr>
        <w:t>联合体投标</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lang w:eastAsia="zh-CN"/>
        </w:rPr>
        <w:t>，联合体各方</w:t>
      </w:r>
      <w:r>
        <w:rPr>
          <w:rFonts w:hint="eastAsia" w:ascii="宋体" w:hAnsi="宋体" w:eastAsia="宋体" w:cs="宋体"/>
          <w:color w:val="auto"/>
          <w:sz w:val="21"/>
          <w:szCs w:val="21"/>
          <w:highlight w:val="none"/>
          <w:lang w:val="en-US" w:eastAsia="zh-CN"/>
        </w:rPr>
        <w:t>须按《投标人声明》 规定的格式填写并</w:t>
      </w:r>
      <w:r>
        <w:rPr>
          <w:rFonts w:hint="eastAsia" w:ascii="宋体" w:hAnsi="宋体" w:eastAsia="宋体" w:cs="宋体"/>
          <w:color w:val="auto"/>
          <w:spacing w:val="-2"/>
          <w:sz w:val="21"/>
          <w:szCs w:val="21"/>
          <w:highlight w:val="none"/>
        </w:rPr>
        <w:t>共同盖章</w:t>
      </w:r>
      <w:r>
        <w:rPr>
          <w:rFonts w:hint="eastAsia" w:ascii="宋体" w:hAnsi="宋体" w:eastAsia="宋体" w:cs="宋体"/>
          <w:color w:val="auto"/>
          <w:sz w:val="21"/>
          <w:szCs w:val="21"/>
          <w:highlight w:val="none"/>
          <w:lang w:val="en-US" w:eastAsia="zh-CN"/>
        </w:rPr>
        <w:t>）。</w:t>
      </w:r>
    </w:p>
    <w:p w14:paraId="360C3200">
      <w:pPr>
        <w:keepNext w:val="0"/>
        <w:keepLines w:val="0"/>
        <w:pageBreakBefore w:val="0"/>
        <w:wordWrap/>
        <w:overflowPunct/>
        <w:bidi w:val="0"/>
        <w:snapToGrid w:val="0"/>
        <w:spacing w:beforeAutospacing="0" w:afterAutospacing="0" w:line="360" w:lineRule="auto"/>
        <w:ind w:left="0" w:leftChars="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u w:val="single"/>
          <w:lang w:val="en-US" w:eastAsia="zh-CN"/>
        </w:rPr>
        <w:t>投标人（若为联合体投标，指联合体各方）未在以往工程中因不充分履约行为被本项目招标人书面拒绝投标的企业名单。注：投标人无需提供资料，资格审查时，按招标公告附件《被招标人拒绝投标的企业名单》进行评审。</w:t>
      </w:r>
    </w:p>
    <w:p w14:paraId="0473C7BE">
      <w:pPr>
        <w:keepNext w:val="0"/>
        <w:keepLines w:val="0"/>
        <w:pageBreakBefore w:val="0"/>
        <w:wordWrap/>
        <w:overflowPunct/>
        <w:bidi w:val="0"/>
        <w:snapToGrid w:val="0"/>
        <w:spacing w:beforeAutospacing="0" w:afterAutospacing="0" w:line="360" w:lineRule="auto"/>
        <w:ind w:left="0" w:leftChars="0" w:right="0"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u w:val="single"/>
          <w:lang w:val="en-US" w:eastAsia="zh-CN"/>
        </w:rPr>
        <w:t>投标人在投标登记时选择了登记企业、拟投入本项目的项目负责人，即已满足“</w:t>
      </w:r>
      <w:r>
        <w:rPr>
          <w:rFonts w:hint="eastAsia" w:ascii="宋体" w:hAnsi="宋体" w:eastAsia="宋体" w:cs="宋体"/>
          <w:b/>
          <w:bCs/>
          <w:color w:val="auto"/>
          <w:sz w:val="21"/>
          <w:szCs w:val="21"/>
          <w:highlight w:val="none"/>
          <w:u w:val="single"/>
        </w:rPr>
        <w:t>投标人</w:t>
      </w:r>
      <w:r>
        <w:rPr>
          <w:rFonts w:hint="eastAsia" w:ascii="宋体" w:hAnsi="宋体" w:eastAsia="宋体" w:cs="宋体"/>
          <w:b/>
          <w:bCs/>
          <w:color w:val="auto"/>
          <w:sz w:val="21"/>
          <w:szCs w:val="21"/>
          <w:highlight w:val="none"/>
          <w:u w:val="single"/>
          <w:lang w:eastAsia="zh-CN"/>
        </w:rPr>
        <w:t>（联合体投标，指联合体各方）</w:t>
      </w:r>
      <w:r>
        <w:rPr>
          <w:rFonts w:hint="eastAsia" w:ascii="宋体" w:hAnsi="宋体" w:eastAsia="宋体" w:cs="宋体"/>
          <w:b/>
          <w:bCs/>
          <w:color w:val="auto"/>
          <w:sz w:val="21"/>
          <w:szCs w:val="21"/>
          <w:highlight w:val="none"/>
          <w:u w:val="single"/>
        </w:rPr>
        <w:t>已在</w:t>
      </w:r>
      <w:r>
        <w:rPr>
          <w:rFonts w:hint="eastAsia" w:ascii="宋体" w:hAnsi="宋体" w:eastAsia="宋体" w:cs="宋体"/>
          <w:b/>
          <w:bCs/>
          <w:color w:val="auto"/>
          <w:sz w:val="21"/>
          <w:szCs w:val="21"/>
          <w:highlight w:val="none"/>
          <w:u w:val="single"/>
          <w:lang w:eastAsia="zh-CN"/>
        </w:rPr>
        <w:t>广州交易集团有限公司（广州公共资源交易中心）</w:t>
      </w:r>
      <w:r>
        <w:rPr>
          <w:rFonts w:hint="eastAsia" w:ascii="宋体" w:hAnsi="宋体" w:eastAsia="宋体" w:cs="宋体"/>
          <w:b/>
          <w:bCs/>
          <w:color w:val="auto"/>
          <w:sz w:val="21"/>
          <w:szCs w:val="21"/>
          <w:highlight w:val="none"/>
          <w:u w:val="single"/>
        </w:rPr>
        <w:t>办理企业信息登记，本项目负责人是本企业</w:t>
      </w:r>
      <w:r>
        <w:rPr>
          <w:rFonts w:hint="eastAsia" w:ascii="宋体" w:hAnsi="宋体" w:eastAsia="宋体" w:cs="宋体"/>
          <w:b/>
          <w:bCs/>
          <w:color w:val="auto"/>
          <w:sz w:val="21"/>
          <w:szCs w:val="21"/>
          <w:highlight w:val="none"/>
          <w:u w:val="single"/>
          <w:lang w:eastAsia="zh-CN"/>
        </w:rPr>
        <w:t>（联合体投标，指联合</w:t>
      </w:r>
      <w:r>
        <w:rPr>
          <w:rFonts w:hint="eastAsia" w:ascii="宋体" w:hAnsi="宋体" w:eastAsia="宋体" w:cs="宋体"/>
          <w:b/>
          <w:bCs/>
          <w:color w:val="auto"/>
          <w:sz w:val="21"/>
          <w:szCs w:val="21"/>
          <w:highlight w:val="none"/>
          <w:u w:val="single"/>
          <w:lang w:val="en-US" w:eastAsia="zh-CN"/>
        </w:rPr>
        <w:t>主办方</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在</w:t>
      </w:r>
      <w:r>
        <w:rPr>
          <w:rFonts w:hint="eastAsia" w:ascii="宋体" w:hAnsi="宋体" w:eastAsia="宋体" w:cs="宋体"/>
          <w:b/>
          <w:bCs/>
          <w:color w:val="auto"/>
          <w:sz w:val="21"/>
          <w:szCs w:val="21"/>
          <w:highlight w:val="none"/>
          <w:u w:val="single"/>
          <w:lang w:eastAsia="zh-CN"/>
        </w:rPr>
        <w:t>广州交易集团有限公司（广州公共资源交易中心）</w:t>
      </w:r>
      <w:r>
        <w:rPr>
          <w:rFonts w:hint="eastAsia" w:ascii="宋体" w:hAnsi="宋体" w:eastAsia="宋体" w:cs="宋体"/>
          <w:b/>
          <w:bCs/>
          <w:color w:val="auto"/>
          <w:sz w:val="21"/>
          <w:szCs w:val="21"/>
          <w:highlight w:val="none"/>
          <w:u w:val="single"/>
        </w:rPr>
        <w:t>企业信息登记中的在册人员</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”的要求，投标人无需提供证明材料</w:t>
      </w:r>
      <w:r>
        <w:rPr>
          <w:rFonts w:hint="eastAsia" w:ascii="宋体" w:hAnsi="宋体" w:eastAsia="宋体" w:cs="宋体"/>
          <w:color w:val="auto"/>
          <w:sz w:val="21"/>
          <w:szCs w:val="21"/>
          <w:highlight w:val="none"/>
          <w:lang w:val="en-US" w:eastAsia="zh-CN"/>
        </w:rPr>
        <w:t>。</w:t>
      </w:r>
    </w:p>
    <w:p w14:paraId="553D7575">
      <w:pPr>
        <w:pStyle w:val="5"/>
        <w:keepNext w:val="0"/>
        <w:keepLines w:val="0"/>
        <w:pageBreakBefore w:val="0"/>
        <w:numPr>
          <w:ilvl w:val="0"/>
          <w:numId w:val="0"/>
        </w:numPr>
        <w:wordWrap/>
        <w:overflowPunct/>
        <w:bidi w:val="0"/>
        <w:snapToGrid w:val="0"/>
        <w:spacing w:before="0" w:beforeLines="0" w:beforeAutospacing="0" w:after="0" w:afterLines="0" w:afterAutospacing="0" w:line="360" w:lineRule="auto"/>
        <w:ind w:right="0" w:rightChars="0"/>
        <w:rPr>
          <w:rFonts w:hint="eastAsia"/>
          <w:color w:val="auto"/>
          <w:highlight w:val="none"/>
          <w:lang w:val="en-US" w:eastAsia="zh-CN"/>
        </w:rPr>
      </w:pPr>
      <w:bookmarkStart w:id="34" w:name="_Toc25583"/>
      <w:bookmarkStart w:id="35" w:name="_Toc28948"/>
      <w:bookmarkStart w:id="36" w:name="_Toc26086"/>
      <w:bookmarkStart w:id="37" w:name="_Toc26793"/>
      <w:bookmarkStart w:id="38" w:name="_Toc10241"/>
    </w:p>
    <w:p w14:paraId="313C374F">
      <w:pPr>
        <w:pStyle w:val="5"/>
        <w:keepNext w:val="0"/>
        <w:keepLines w:val="0"/>
        <w:pageBreakBefore w:val="0"/>
        <w:numPr>
          <w:ilvl w:val="0"/>
          <w:numId w:val="0"/>
        </w:numPr>
        <w:wordWrap/>
        <w:overflowPunct/>
        <w:bidi w:val="0"/>
        <w:snapToGrid w:val="0"/>
        <w:spacing w:before="0" w:beforeLines="0" w:beforeAutospacing="0" w:after="0" w:afterLines="0" w:afterAutospacing="0" w:line="360" w:lineRule="auto"/>
        <w:ind w:right="0" w:rightChars="0"/>
        <w:rPr>
          <w:rFonts w:hint="eastAsia"/>
          <w:color w:val="auto"/>
          <w:highlight w:val="none"/>
          <w:u w:val="single"/>
        </w:rPr>
      </w:pPr>
      <w:r>
        <w:rPr>
          <w:rFonts w:hint="eastAsia"/>
          <w:color w:val="auto"/>
          <w:highlight w:val="none"/>
          <w:lang w:val="en-US" w:eastAsia="zh-CN"/>
        </w:rPr>
        <w:t>4</w:t>
      </w:r>
      <w:r>
        <w:rPr>
          <w:rFonts w:hint="eastAsia"/>
          <w:color w:val="auto"/>
          <w:highlight w:val="none"/>
        </w:rPr>
        <w:t xml:space="preserve">. </w:t>
      </w:r>
      <w:r>
        <w:rPr>
          <w:rFonts w:hint="eastAsia" w:ascii="宋体" w:hAnsi="宋体" w:eastAsia="宋体"/>
          <w:color w:val="auto"/>
          <w:highlight w:val="none"/>
          <w:u w:val="single"/>
        </w:rPr>
        <w:t>费用</w:t>
      </w:r>
    </w:p>
    <w:p w14:paraId="58611F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4.1本项目勘察设计费最高投标限价：</w:t>
      </w:r>
      <w:r>
        <w:rPr>
          <w:rFonts w:hint="eastAsia" w:ascii="宋体" w:hAnsi="宋体" w:eastAsia="宋体" w:cs="宋体"/>
          <w:color w:val="auto"/>
          <w:spacing w:val="2"/>
          <w:highlight w:val="none"/>
          <w:u w:val="single"/>
          <w:lang w:val="en-US" w:eastAsia="zh-CN"/>
        </w:rPr>
        <w:t>4338085.96</w:t>
      </w:r>
      <w:r>
        <w:rPr>
          <w:rFonts w:hint="default" w:ascii="宋体" w:hAnsi="宋体" w:eastAsia="宋体" w:cs="宋体"/>
          <w:color w:val="auto"/>
          <w:spacing w:val="2"/>
          <w:highlight w:val="none"/>
          <w:u w:val="single"/>
          <w:lang w:val="en-US" w:eastAsia="zh-CN"/>
        </w:rPr>
        <w:t xml:space="preserve"> </w:t>
      </w:r>
      <w:r>
        <w:rPr>
          <w:rFonts w:hint="eastAsia" w:ascii="宋体" w:hAnsi="宋体" w:eastAsia="宋体" w:cs="宋体"/>
          <w:color w:val="auto"/>
          <w:spacing w:val="2"/>
          <w:sz w:val="21"/>
          <w:szCs w:val="21"/>
          <w:highlight w:val="none"/>
          <w:lang w:val="en-US" w:eastAsia="zh-CN"/>
        </w:rPr>
        <w:t>元【其中设计费最高投标限价：</w:t>
      </w:r>
      <w:r>
        <w:rPr>
          <w:rFonts w:hint="eastAsia" w:ascii="宋体" w:hAnsi="宋体" w:eastAsia="宋体" w:cs="宋体"/>
          <w:color w:val="auto"/>
          <w:spacing w:val="2"/>
          <w:highlight w:val="none"/>
          <w:u w:val="single"/>
          <w:lang w:val="en-US" w:eastAsia="zh-CN"/>
        </w:rPr>
        <w:t>3344341.36</w:t>
      </w:r>
      <w:r>
        <w:rPr>
          <w:rFonts w:hint="eastAsia" w:ascii="宋体" w:hAnsi="宋体" w:eastAsia="宋体" w:cs="宋体"/>
          <w:color w:val="auto"/>
          <w:spacing w:val="2"/>
          <w:sz w:val="21"/>
          <w:szCs w:val="21"/>
          <w:highlight w:val="none"/>
          <w:lang w:val="en-US" w:eastAsia="zh-CN"/>
        </w:rPr>
        <w:t>元；勘察费最高投标限价：</w:t>
      </w:r>
      <w:r>
        <w:rPr>
          <w:rFonts w:hint="eastAsia" w:ascii="宋体" w:hAnsi="宋体" w:eastAsia="宋体" w:cs="宋体"/>
          <w:color w:val="auto"/>
          <w:spacing w:val="2"/>
          <w:highlight w:val="none"/>
          <w:u w:val="single"/>
          <w:lang w:val="en-US" w:eastAsia="zh-CN"/>
        </w:rPr>
        <w:t xml:space="preserve">993744.60 </w:t>
      </w:r>
      <w:r>
        <w:rPr>
          <w:rFonts w:hint="eastAsia" w:ascii="宋体" w:hAnsi="宋体" w:eastAsia="宋体" w:cs="宋体"/>
          <w:color w:val="auto"/>
          <w:spacing w:val="2"/>
          <w:sz w:val="21"/>
          <w:szCs w:val="21"/>
          <w:highlight w:val="none"/>
          <w:lang w:val="en-US" w:eastAsia="zh-CN"/>
        </w:rPr>
        <w:t>元</w:t>
      </w:r>
      <w:r>
        <w:rPr>
          <w:rFonts w:hint="default" w:ascii="宋体" w:hAnsi="宋体" w:eastAsia="宋体"/>
          <w:color w:val="auto"/>
          <w:sz w:val="21"/>
          <w:szCs w:val="21"/>
          <w:highlight w:val="none"/>
        </w:rPr>
        <w:t>（其中：勘探费：</w:t>
      </w:r>
      <w:r>
        <w:rPr>
          <w:rFonts w:hint="default" w:ascii="宋体" w:hAnsi="宋体" w:eastAsia="宋体"/>
          <w:color w:val="auto"/>
          <w:sz w:val="21"/>
          <w:szCs w:val="21"/>
          <w:highlight w:val="none"/>
          <w:u w:val="single"/>
        </w:rPr>
        <w:t>716000.00</w:t>
      </w:r>
      <w:r>
        <w:rPr>
          <w:rFonts w:hint="default" w:ascii="宋体" w:hAnsi="宋体" w:eastAsia="宋体"/>
          <w:color w:val="auto"/>
          <w:sz w:val="21"/>
          <w:szCs w:val="21"/>
          <w:highlight w:val="none"/>
        </w:rPr>
        <w:t>元；测量费：</w:t>
      </w:r>
      <w:r>
        <w:rPr>
          <w:rFonts w:hint="default" w:ascii="宋体" w:hAnsi="宋体" w:eastAsia="宋体"/>
          <w:color w:val="auto"/>
          <w:sz w:val="21"/>
          <w:szCs w:val="21"/>
          <w:highlight w:val="none"/>
          <w:u w:val="single"/>
        </w:rPr>
        <w:t>277744.60</w:t>
      </w:r>
      <w:r>
        <w:rPr>
          <w:rFonts w:hint="default" w:ascii="宋体" w:hAnsi="宋体" w:eastAsia="宋体"/>
          <w:color w:val="auto"/>
          <w:sz w:val="21"/>
          <w:szCs w:val="21"/>
          <w:highlight w:val="none"/>
        </w:rPr>
        <w:t>元</w:t>
      </w:r>
      <w:r>
        <w:rPr>
          <w:rFonts w:hint="eastAsia" w:ascii="宋体" w:hAnsi="宋体" w:eastAsia="宋体"/>
          <w:color w:val="auto"/>
          <w:sz w:val="21"/>
          <w:szCs w:val="21"/>
          <w:highlight w:val="none"/>
          <w:lang w:eastAsia="zh-CN"/>
        </w:rPr>
        <w:t>】</w:t>
      </w:r>
      <w:r>
        <w:rPr>
          <w:rFonts w:hint="eastAsia" w:ascii="宋体" w:hAnsi="宋体" w:eastAsia="宋体" w:cs="宋体"/>
          <w:color w:val="auto"/>
          <w:spacing w:val="2"/>
          <w:sz w:val="21"/>
          <w:szCs w:val="21"/>
          <w:highlight w:val="none"/>
          <w:lang w:val="en-US" w:eastAsia="zh-CN"/>
        </w:rPr>
        <w:t>。</w:t>
      </w:r>
    </w:p>
    <w:p w14:paraId="4D6B581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4.2设计费由投标人根据招标文件要求以及企业自身情况填报，设计费报价不得超过设计费最高投标限价，结算按合同相应条款执行。</w:t>
      </w:r>
    </w:p>
    <w:p w14:paraId="65F79F8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4.3勘察费由投标人根据招标文件要求以及企业自身情况填报，投标报价不得高于勘察费最高投标限价，结算按合同相应条款执行。</w:t>
      </w:r>
    </w:p>
    <w:bookmarkEnd w:id="34"/>
    <w:bookmarkEnd w:id="35"/>
    <w:bookmarkEnd w:id="36"/>
    <w:bookmarkEnd w:id="37"/>
    <w:bookmarkEnd w:id="38"/>
    <w:p w14:paraId="3D3B8DA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424" w:firstLineChars="200"/>
        <w:textAlignment w:val="auto"/>
        <w:rPr>
          <w:rFonts w:hint="eastAsia" w:ascii="宋体" w:hAnsi="宋体" w:eastAsia="宋体" w:cs="宋体"/>
          <w:color w:val="auto"/>
          <w:spacing w:val="1"/>
          <w:sz w:val="21"/>
          <w:szCs w:val="21"/>
          <w:highlight w:val="none"/>
          <w:u w:val="single"/>
          <w:lang w:val="en-US" w:eastAsia="zh-CN"/>
        </w:rPr>
      </w:pPr>
      <w:r>
        <w:rPr>
          <w:rFonts w:hint="eastAsia" w:ascii="宋体" w:hAnsi="宋体" w:eastAsia="宋体" w:cs="宋体"/>
          <w:color w:val="auto"/>
          <w:spacing w:val="1"/>
          <w:sz w:val="21"/>
          <w:highlight w:val="none"/>
          <w:u w:val="single"/>
          <w:lang w:val="en-US" w:eastAsia="zh-CN"/>
        </w:rPr>
        <w:t>4.4 财政投资项目应实行限额设计，初步设计的建设内容和建设标准不得超过可行性研究报告批复的范围，编制初步设计概算原则上应控制在经批准的可行性研究报告中总投资以内。</w:t>
      </w:r>
    </w:p>
    <w:p w14:paraId="047DBAE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4.5技术成果经济补偿：</w:t>
      </w:r>
    </w:p>
    <w:p w14:paraId="20CC74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eastAsia" w:ascii="宋体" w:hAnsi="宋体" w:eastAsia="宋体" w:cs="宋体"/>
          <w:color w:val="auto"/>
          <w:spacing w:val="2"/>
          <w:sz w:val="21"/>
          <w:szCs w:val="21"/>
          <w:highlight w:val="none"/>
          <w:u w:val="none"/>
        </w:rPr>
      </w:pPr>
      <w:r>
        <w:rPr>
          <w:rFonts w:hint="eastAsia" w:ascii="宋体" w:hAnsi="宋体" w:eastAsia="宋体" w:cs="宋体"/>
          <w:color w:val="auto"/>
          <w:spacing w:val="2"/>
          <w:sz w:val="21"/>
          <w:szCs w:val="21"/>
          <w:highlight w:val="none"/>
          <w:u w:val="none"/>
        </w:rPr>
        <w:t>□本工程不设投标补偿，投标费用由投标人自理。</w:t>
      </w:r>
    </w:p>
    <w:p w14:paraId="61086F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8" w:firstLineChars="200"/>
        <w:textAlignment w:val="baseline"/>
        <w:rPr>
          <w:rFonts w:hint="eastAsia" w:ascii="宋体" w:hAnsi="宋体" w:eastAsia="宋体" w:cs="宋体"/>
          <w:color w:val="auto"/>
          <w:spacing w:val="2"/>
          <w:sz w:val="21"/>
          <w:szCs w:val="21"/>
          <w:highlight w:val="none"/>
          <w:u w:val="none"/>
        </w:rPr>
      </w:pPr>
      <w:r>
        <w:rPr>
          <w:rFonts w:hint="eastAsia" w:ascii="宋体" w:hAnsi="宋体" w:eastAsia="宋体" w:cs="宋体"/>
          <w:color w:val="auto"/>
          <w:spacing w:val="2"/>
          <w:sz w:val="21"/>
          <w:szCs w:val="21"/>
          <w:highlight w:val="none"/>
          <w:u w:val="none"/>
        </w:rPr>
        <w:t>☑方案设计经济补偿及补偿金额</w:t>
      </w:r>
    </w:p>
    <w:p w14:paraId="3F97E3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bookmarkStart w:id="39" w:name="_Toc9312"/>
      <w:bookmarkStart w:id="40" w:name="_Toc26631"/>
      <w:bookmarkStart w:id="41" w:name="_Toc29809"/>
      <w:bookmarkStart w:id="42" w:name="_Toc5228"/>
      <w:bookmarkStart w:id="43" w:name="_Toc14668"/>
      <w:r>
        <w:rPr>
          <w:rFonts w:hint="eastAsia" w:ascii="宋体" w:hAnsi="宋体" w:eastAsia="宋体" w:cs="宋体"/>
          <w:color w:val="auto"/>
          <w:spacing w:val="1"/>
          <w:sz w:val="21"/>
          <w:szCs w:val="21"/>
          <w:highlight w:val="none"/>
          <w:u w:val="single"/>
          <w:lang w:eastAsia="zh-CN"/>
        </w:rPr>
        <w:t>本工程对</w:t>
      </w:r>
      <w:r>
        <w:rPr>
          <w:rFonts w:hint="eastAsia" w:ascii="宋体" w:hAnsi="宋体" w:eastAsia="宋体" w:cs="宋体"/>
          <w:color w:val="auto"/>
          <w:spacing w:val="1"/>
          <w:sz w:val="21"/>
          <w:szCs w:val="21"/>
          <w:highlight w:val="none"/>
          <w:u w:val="single"/>
          <w:lang w:val="en-US" w:eastAsia="zh-CN"/>
        </w:rPr>
        <w:t>合格</w:t>
      </w:r>
      <w:r>
        <w:rPr>
          <w:rFonts w:hint="eastAsia" w:ascii="宋体" w:hAnsi="宋体" w:eastAsia="宋体" w:cs="宋体"/>
          <w:color w:val="auto"/>
          <w:spacing w:val="1"/>
          <w:sz w:val="21"/>
          <w:szCs w:val="21"/>
          <w:highlight w:val="none"/>
          <w:u w:val="single"/>
          <w:lang w:eastAsia="zh-CN"/>
        </w:rPr>
        <w:t>中标候选人按如下标准支付方案设计补偿费（该费用包含在中标价内，含税金等），经济补偿金共</w:t>
      </w:r>
      <w:r>
        <w:rPr>
          <w:rFonts w:hint="eastAsia" w:ascii="宋体" w:hAnsi="宋体" w:eastAsia="宋体" w:cs="宋体"/>
          <w:color w:val="auto"/>
          <w:spacing w:val="1"/>
          <w:sz w:val="21"/>
          <w:szCs w:val="21"/>
          <w:highlight w:val="none"/>
          <w:u w:val="single"/>
          <w:lang w:val="en-US" w:eastAsia="zh-CN"/>
        </w:rPr>
        <w:t>16</w:t>
      </w:r>
      <w:r>
        <w:rPr>
          <w:rFonts w:hint="eastAsia" w:ascii="宋体" w:hAnsi="宋体" w:eastAsia="宋体" w:cs="宋体"/>
          <w:color w:val="auto"/>
          <w:spacing w:val="1"/>
          <w:sz w:val="21"/>
          <w:szCs w:val="21"/>
          <w:highlight w:val="none"/>
          <w:u w:val="single"/>
          <w:lang w:eastAsia="zh-CN"/>
        </w:rPr>
        <w:t>万元</w:t>
      </w:r>
      <w:r>
        <w:rPr>
          <w:rFonts w:hint="eastAsia" w:ascii="宋体" w:hAnsi="宋体" w:eastAsia="宋体" w:cs="宋体"/>
          <w:color w:val="auto"/>
          <w:spacing w:val="1"/>
          <w:sz w:val="21"/>
          <w:szCs w:val="21"/>
          <w:highlight w:val="none"/>
          <w:u w:val="single"/>
        </w:rPr>
        <w:t>：</w:t>
      </w:r>
    </w:p>
    <w:p w14:paraId="35899C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中标人</w:t>
      </w:r>
      <w:r>
        <w:rPr>
          <w:rFonts w:hint="eastAsia" w:ascii="宋体" w:hAnsi="宋体" w:eastAsia="宋体" w:cs="宋体"/>
          <w:color w:val="auto"/>
          <w:spacing w:val="1"/>
          <w:sz w:val="21"/>
          <w:szCs w:val="21"/>
          <w:highlight w:val="none"/>
          <w:u w:val="single"/>
          <w:lang w:val="en-US" w:eastAsia="zh-CN"/>
        </w:rPr>
        <w:t>8</w:t>
      </w:r>
      <w:r>
        <w:rPr>
          <w:rFonts w:hint="eastAsia" w:ascii="宋体" w:hAnsi="宋体" w:eastAsia="宋体" w:cs="宋体"/>
          <w:color w:val="auto"/>
          <w:spacing w:val="1"/>
          <w:sz w:val="21"/>
          <w:szCs w:val="21"/>
          <w:highlight w:val="none"/>
          <w:u w:val="single"/>
        </w:rPr>
        <w:t>万元，其余各</w:t>
      </w:r>
      <w:r>
        <w:rPr>
          <w:rFonts w:hint="eastAsia" w:ascii="宋体" w:hAnsi="宋体" w:eastAsia="宋体" w:cs="宋体"/>
          <w:color w:val="auto"/>
          <w:spacing w:val="1"/>
          <w:sz w:val="21"/>
          <w:szCs w:val="21"/>
          <w:highlight w:val="none"/>
          <w:u w:val="single"/>
          <w:lang w:val="en-US" w:eastAsia="zh-CN"/>
        </w:rPr>
        <w:t>合格</w:t>
      </w:r>
      <w:r>
        <w:rPr>
          <w:rFonts w:hint="eastAsia" w:ascii="宋体" w:hAnsi="宋体" w:eastAsia="宋体" w:cs="宋体"/>
          <w:color w:val="auto"/>
          <w:spacing w:val="1"/>
          <w:sz w:val="21"/>
          <w:szCs w:val="21"/>
          <w:highlight w:val="none"/>
          <w:u w:val="single"/>
        </w:rPr>
        <w:t>中标候选人每家</w:t>
      </w:r>
      <w:r>
        <w:rPr>
          <w:rFonts w:hint="eastAsia" w:ascii="宋体" w:hAnsi="宋体" w:eastAsia="宋体" w:cs="宋体"/>
          <w:color w:val="auto"/>
          <w:spacing w:val="1"/>
          <w:sz w:val="21"/>
          <w:szCs w:val="21"/>
          <w:highlight w:val="none"/>
          <w:u w:val="single"/>
          <w:lang w:val="en-US" w:eastAsia="zh-CN"/>
        </w:rPr>
        <w:t>4</w:t>
      </w:r>
      <w:r>
        <w:rPr>
          <w:rFonts w:hint="eastAsia" w:ascii="宋体" w:hAnsi="宋体" w:eastAsia="宋体" w:cs="宋体"/>
          <w:color w:val="auto"/>
          <w:spacing w:val="1"/>
          <w:sz w:val="21"/>
          <w:szCs w:val="21"/>
          <w:highlight w:val="none"/>
          <w:u w:val="single"/>
        </w:rPr>
        <w:t>万元。</w:t>
      </w:r>
    </w:p>
    <w:p w14:paraId="5F30641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其余投标人费用自理。</w:t>
      </w:r>
    </w:p>
    <w:p w14:paraId="5DB30D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注：1.如果招标失败，则当次不向未中标单位支付经济补偿。</w:t>
      </w:r>
    </w:p>
    <w:p w14:paraId="20AF72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2.方案设计补偿费由中标人在收到招标人的第一笔预付款后一个月内分别向上述单位支付。</w:t>
      </w:r>
    </w:p>
    <w:p w14:paraId="1920F3F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3.如因规划建设原因取消本项目实施，中标人未开展实际性工作，上述设计方案经济补偿由招标人支付给相应投标人，即该种情形下设计合同结算价为上述设计方案经济补偿总额。中标人收取相关费用后及时支付投标补偿费给各投标人。除了上述设计方案经济补偿，招标人不再补偿其他费用。</w:t>
      </w:r>
    </w:p>
    <w:p w14:paraId="3133A2B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right="0" w:firstLine="424" w:firstLineChars="200"/>
        <w:textAlignment w:val="baseline"/>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u w:val="single"/>
        </w:rPr>
        <w:t>4.招标人和中标人有权在实施方案中参考使用获得经济补偿的所有投标方案成果的部分内容。</w:t>
      </w:r>
    </w:p>
    <w:p w14:paraId="7426F105">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p>
    <w:p w14:paraId="2D2462E8">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color w:val="auto"/>
          <w:sz w:val="21"/>
          <w:highlight w:val="none"/>
        </w:rPr>
      </w:pPr>
      <w:r>
        <w:rPr>
          <w:rFonts w:hint="eastAsia"/>
          <w:color w:val="auto"/>
          <w:highlight w:val="none"/>
        </w:rPr>
        <w:t>5. 招标文件的获取</w:t>
      </w:r>
      <w:bookmarkEnd w:id="39"/>
      <w:bookmarkEnd w:id="40"/>
      <w:bookmarkEnd w:id="41"/>
      <w:bookmarkEnd w:id="42"/>
      <w:bookmarkEnd w:id="43"/>
    </w:p>
    <w:p w14:paraId="013F6FB9">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16"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1"/>
          <w:sz w:val="21"/>
          <w:szCs w:val="21"/>
          <w:highlight w:val="none"/>
        </w:rPr>
        <w:t xml:space="preserve">5.1  </w:t>
      </w:r>
      <w:r>
        <w:rPr>
          <w:rFonts w:hint="eastAsia" w:ascii="宋体" w:hAnsi="宋体" w:eastAsia="宋体" w:cs="宋体"/>
          <w:color w:val="auto"/>
          <w:w w:val="100"/>
          <w:sz w:val="21"/>
          <w:szCs w:val="21"/>
          <w:highlight w:val="none"/>
        </w:rPr>
        <w:t>发布招标公告</w:t>
      </w:r>
      <w:r>
        <w:rPr>
          <w:rFonts w:hint="eastAsia" w:ascii="宋体" w:hAnsi="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07</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01</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00</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00</w:t>
      </w:r>
      <w:r>
        <w:rPr>
          <w:rFonts w:hint="eastAsia" w:ascii="宋体" w:hAnsi="宋体" w:eastAsia="宋体" w:cs="宋体"/>
          <w:color w:val="auto"/>
          <w:w w:val="100"/>
          <w:sz w:val="21"/>
          <w:szCs w:val="21"/>
          <w:highlight w:val="none"/>
        </w:rPr>
        <w:t>分至</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07</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22</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09</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5A34D480">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4D8FED3E">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color w:val="auto"/>
          <w:highlight w:val="none"/>
        </w:rPr>
      </w:pPr>
      <w:r>
        <w:rPr>
          <w:rFonts w:hint="eastAsia" w:ascii="宋体" w:hAnsi="宋体" w:eastAsia="宋体" w:cs="宋体"/>
          <w:color w:val="auto"/>
          <w:w w:val="100"/>
          <w:sz w:val="21"/>
          <w:szCs w:val="21"/>
          <w:highlight w:val="none"/>
        </w:rPr>
        <w:t>5.2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430F21F8">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bookmarkStart w:id="44" w:name="_Toc8908"/>
      <w:bookmarkStart w:id="45" w:name="_Toc20569"/>
      <w:bookmarkStart w:id="46" w:name="_Toc13565"/>
      <w:bookmarkStart w:id="47" w:name="_Toc25595"/>
      <w:bookmarkStart w:id="48" w:name="_Toc19023"/>
    </w:p>
    <w:p w14:paraId="3AA657A1">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color w:val="auto"/>
          <w:sz w:val="21"/>
          <w:highlight w:val="none"/>
        </w:rPr>
      </w:pPr>
      <w:r>
        <w:rPr>
          <w:rFonts w:hint="eastAsia"/>
          <w:color w:val="auto"/>
          <w:highlight w:val="none"/>
        </w:rPr>
        <w:t>6. 投标文件的递交</w:t>
      </w:r>
      <w:bookmarkEnd w:id="44"/>
      <w:bookmarkEnd w:id="45"/>
      <w:bookmarkEnd w:id="46"/>
      <w:bookmarkEnd w:id="47"/>
      <w:bookmarkEnd w:id="48"/>
    </w:p>
    <w:p w14:paraId="1CE398BB">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6.1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07</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22</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09</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611EAB60">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lang w:val="en-US" w:eastAsia="zh-CN"/>
        </w:rPr>
        <w:t>一个</w:t>
      </w:r>
      <w:r>
        <w:rPr>
          <w:rFonts w:hint="eastAsia" w:ascii="宋体" w:hAnsi="宋体" w:eastAsia="宋体" w:cs="宋体"/>
          <w:color w:val="auto"/>
          <w:w w:val="100"/>
          <w:sz w:val="21"/>
          <w:szCs w:val="21"/>
          <w:highlight w:val="none"/>
        </w:rPr>
        <w:t>小时内，即：</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07</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22</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09</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rPr>
        <w:t>分至</w:t>
      </w:r>
      <w:r>
        <w:rPr>
          <w:rFonts w:hint="eastAsia" w:ascii="宋体" w:hAnsi="宋体" w:cs="宋体"/>
          <w:color w:val="auto"/>
          <w:w w:val="100"/>
          <w:sz w:val="21"/>
          <w:szCs w:val="21"/>
          <w:highlight w:val="none"/>
          <w:u w:val="single"/>
          <w:lang w:val="en-US" w:eastAsia="zh-CN"/>
        </w:rPr>
        <w:t>10</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rPr>
        <w:t>分；投标人通过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337BFEC3">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u w:val="single"/>
        </w:rPr>
        <w:t>递交投标文件备用光盘时间：2025年07月22日09时</w:t>
      </w:r>
      <w:r>
        <w:rPr>
          <w:rFonts w:hint="eastAsia" w:ascii="宋体" w:hAnsi="宋体" w:eastAsia="宋体" w:cs="宋体"/>
          <w:color w:val="auto"/>
          <w:w w:val="100"/>
          <w:sz w:val="21"/>
          <w:szCs w:val="21"/>
          <w:highlight w:val="none"/>
          <w:u w:val="single"/>
          <w:lang w:val="en-US" w:eastAsia="zh-CN"/>
        </w:rPr>
        <w:t>15</w:t>
      </w:r>
      <w:r>
        <w:rPr>
          <w:rFonts w:hint="eastAsia" w:ascii="宋体" w:hAnsi="宋体" w:eastAsia="宋体" w:cs="宋体"/>
          <w:color w:val="auto"/>
          <w:w w:val="100"/>
          <w:sz w:val="21"/>
          <w:szCs w:val="21"/>
          <w:highlight w:val="none"/>
          <w:u w:val="single"/>
        </w:rPr>
        <w:t>分至</w:t>
      </w:r>
      <w:r>
        <w:rPr>
          <w:rFonts w:hint="eastAsia" w:ascii="宋体" w:hAnsi="宋体" w:cs="宋体"/>
          <w:color w:val="auto"/>
          <w:w w:val="100"/>
          <w:sz w:val="21"/>
          <w:szCs w:val="21"/>
          <w:highlight w:val="none"/>
          <w:u w:val="single"/>
          <w:lang w:val="en-US" w:eastAsia="zh-CN"/>
        </w:rPr>
        <w:t>09</w:t>
      </w:r>
      <w:r>
        <w:rPr>
          <w:rFonts w:hint="eastAsia" w:ascii="宋体" w:hAnsi="宋体" w:eastAsia="宋体" w:cs="宋体"/>
          <w:color w:val="auto"/>
          <w:w w:val="100"/>
          <w:sz w:val="21"/>
          <w:szCs w:val="21"/>
          <w:highlight w:val="none"/>
          <w:u w:val="singl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u w:val="single"/>
        </w:rPr>
        <w:t>分；递交投标文件备用光盘地点：广州交易集团有限公司（广州公共资源交易中心）黄埔交易部指定开标室。</w:t>
      </w:r>
    </w:p>
    <w:p w14:paraId="379A69C5">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6.2</w:t>
      </w:r>
      <w:r>
        <w:rPr>
          <w:rFonts w:hint="eastAsia" w:ascii="宋体" w:hAnsi="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cs="宋体"/>
          <w:color w:val="auto"/>
          <w:sz w:val="21"/>
          <w:szCs w:val="21"/>
          <w:highlight w:val="none"/>
        </w:rPr>
        <w:t>网站交易平台办理网上投标登记手续；</w:t>
      </w:r>
      <w:r>
        <w:rPr>
          <w:rFonts w:hint="eastAsia" w:ascii="宋体" w:hAnsi="宋体"/>
          <w:color w:val="auto"/>
          <w:sz w:val="21"/>
          <w:szCs w:val="21"/>
          <w:highlight w:val="none"/>
          <w:lang w:eastAsia="zh-CN"/>
        </w:rPr>
        <w:t>按照</w:t>
      </w:r>
      <w:r>
        <w:rPr>
          <w:rFonts w:hint="eastAsia" w:ascii="宋体" w:hAnsi="宋体" w:eastAsia="宋体"/>
          <w:color w:val="auto"/>
          <w:sz w:val="21"/>
          <w:szCs w:val="21"/>
          <w:highlight w:val="none"/>
          <w:lang w:eastAsia="zh-CN"/>
        </w:rPr>
        <w:t>广州交易集团有限公司（广州公共资源交易中心）</w:t>
      </w:r>
      <w:r>
        <w:rPr>
          <w:rFonts w:hint="eastAsia" w:ascii="宋体" w:hAnsi="宋体" w:eastAsia="宋体"/>
          <w:color w:val="auto"/>
          <w:sz w:val="21"/>
          <w:szCs w:val="21"/>
          <w:highlight w:val="none"/>
          <w:u w:val="none"/>
          <w:lang w:eastAsia="zh-CN"/>
        </w:rPr>
        <w:t>网站</w:t>
      </w:r>
      <w:r>
        <w:rPr>
          <w:rFonts w:hint="eastAsia" w:ascii="宋体" w:hAnsi="宋体"/>
          <w:color w:val="auto"/>
          <w:sz w:val="21"/>
          <w:szCs w:val="21"/>
          <w:highlight w:val="none"/>
          <w:lang w:eastAsia="zh-CN"/>
        </w:rPr>
        <w:t>关于全流程电子化项目的相关指南进行操作。</w:t>
      </w:r>
    </w:p>
    <w:p w14:paraId="077BEF99">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u w:val="single"/>
        </w:rPr>
      </w:pPr>
      <w:r>
        <w:rPr>
          <w:rFonts w:hint="eastAsia" w:ascii="宋体" w:hAnsi="宋体" w:eastAsia="宋体" w:cs="宋体"/>
          <w:color w:val="auto"/>
          <w:w w:val="100"/>
          <w:sz w:val="21"/>
          <w:szCs w:val="21"/>
          <w:highlight w:val="none"/>
          <w:lang w:val="en-US" w:eastAsia="zh-CN"/>
        </w:rPr>
        <w:t>6.3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cs="宋体"/>
          <w:color w:val="auto"/>
          <w:w w:val="100"/>
          <w:sz w:val="21"/>
          <w:szCs w:val="21"/>
          <w:highlight w:val="none"/>
          <w:u w:val="single"/>
          <w:lang w:val="en-US" w:eastAsia="zh-CN"/>
        </w:rPr>
        <w:t>2025</w:t>
      </w:r>
      <w:r>
        <w:rPr>
          <w:rFonts w:hint="eastAsia" w:ascii="宋体" w:hAnsi="宋体" w:eastAsia="宋体" w:cs="宋体"/>
          <w:color w:val="auto"/>
          <w:w w:val="100"/>
          <w:sz w:val="21"/>
          <w:szCs w:val="21"/>
          <w:highlight w:val="none"/>
        </w:rPr>
        <w:t>年</w:t>
      </w:r>
      <w:r>
        <w:rPr>
          <w:rFonts w:hint="eastAsia" w:ascii="宋体" w:hAnsi="宋体" w:cs="宋体"/>
          <w:color w:val="auto"/>
          <w:w w:val="100"/>
          <w:sz w:val="21"/>
          <w:szCs w:val="21"/>
          <w:highlight w:val="none"/>
          <w:u w:val="single"/>
          <w:lang w:val="en-US" w:eastAsia="zh-CN"/>
        </w:rPr>
        <w:t>07</w:t>
      </w:r>
      <w:r>
        <w:rPr>
          <w:rFonts w:hint="eastAsia" w:ascii="宋体" w:hAnsi="宋体" w:eastAsia="宋体" w:cs="宋体"/>
          <w:color w:val="auto"/>
          <w:w w:val="100"/>
          <w:sz w:val="21"/>
          <w:szCs w:val="21"/>
          <w:highlight w:val="none"/>
        </w:rPr>
        <w:t>月</w:t>
      </w:r>
      <w:r>
        <w:rPr>
          <w:rFonts w:hint="eastAsia" w:ascii="宋体" w:hAnsi="宋体" w:cs="宋体"/>
          <w:color w:val="auto"/>
          <w:w w:val="100"/>
          <w:sz w:val="21"/>
          <w:szCs w:val="21"/>
          <w:highlight w:val="none"/>
          <w:u w:val="single"/>
          <w:lang w:val="en-US" w:eastAsia="zh-CN"/>
        </w:rPr>
        <w:t>22</w:t>
      </w:r>
      <w:r>
        <w:rPr>
          <w:rFonts w:hint="eastAsia" w:ascii="宋体" w:hAnsi="宋体" w:eastAsia="宋体" w:cs="宋体"/>
          <w:color w:val="auto"/>
          <w:w w:val="100"/>
          <w:sz w:val="21"/>
          <w:szCs w:val="21"/>
          <w:highlight w:val="none"/>
        </w:rPr>
        <w:t>日</w:t>
      </w:r>
      <w:r>
        <w:rPr>
          <w:rFonts w:hint="eastAsia" w:ascii="宋体" w:hAnsi="宋体" w:cs="宋体"/>
          <w:color w:val="auto"/>
          <w:w w:val="100"/>
          <w:sz w:val="21"/>
          <w:szCs w:val="21"/>
          <w:highlight w:val="none"/>
          <w:u w:val="single"/>
          <w:lang w:val="en-US" w:eastAsia="zh-CN"/>
        </w:rPr>
        <w:t>09</w:t>
      </w:r>
      <w:r>
        <w:rPr>
          <w:rFonts w:hint="eastAsia" w:ascii="宋体" w:hAnsi="宋体" w:eastAsia="宋体" w:cs="宋体"/>
          <w:color w:val="auto"/>
          <w:w w:val="100"/>
          <w:sz w:val="21"/>
          <w:szCs w:val="21"/>
          <w:highlight w:val="none"/>
        </w:rPr>
        <w:t>时</w:t>
      </w:r>
      <w:r>
        <w:rPr>
          <w:rFonts w:hint="eastAsia" w:ascii="宋体" w:hAnsi="宋体" w:cs="宋体"/>
          <w:color w:val="auto"/>
          <w:w w:val="100"/>
          <w:sz w:val="21"/>
          <w:szCs w:val="21"/>
          <w:highlight w:val="none"/>
          <w:u w:val="single"/>
          <w:lang w:val="en-US" w:eastAsia="zh-CN"/>
        </w:rPr>
        <w:t>30</w:t>
      </w:r>
      <w:r>
        <w:rPr>
          <w:rFonts w:hint="eastAsia" w:ascii="宋体" w:hAnsi="宋体" w:eastAsia="宋体" w:cs="宋体"/>
          <w:color w:val="auto"/>
          <w:w w:val="100"/>
          <w:sz w:val="21"/>
          <w:szCs w:val="21"/>
          <w:highlight w:val="none"/>
        </w:rPr>
        <w:t>分</w:t>
      </w:r>
      <w:bookmarkStart w:id="74" w:name="_GoBack"/>
      <w:bookmarkEnd w:id="74"/>
      <w:r>
        <w:rPr>
          <w:rFonts w:hint="eastAsia" w:ascii="宋体" w:hAnsi="宋体" w:eastAsia="宋体" w:cs="宋体"/>
          <w:color w:val="auto"/>
          <w:w w:val="100"/>
          <w:sz w:val="21"/>
          <w:szCs w:val="21"/>
          <w:highlight w:val="none"/>
        </w:rPr>
        <w:t>。</w:t>
      </w:r>
      <w:r>
        <w:rPr>
          <w:rFonts w:hint="eastAsia" w:ascii="宋体" w:hAnsi="宋体" w:eastAsia="宋体" w:cs="宋体"/>
          <w:color w:val="auto"/>
          <w:w w:val="100"/>
          <w:sz w:val="21"/>
          <w:szCs w:val="21"/>
          <w:highlight w:val="none"/>
          <w:u w:val="single"/>
        </w:rPr>
        <w:t>现场开标地点：广州交易集团有限公司（广州公共资源交易中心）黄埔交易部（广州市黄埔区水西路30号汇丽国际4楼）。(注：开标开始时间为投标人解密投标文件的结束时间之后，解密时间以招标文件规定为准。)</w:t>
      </w:r>
    </w:p>
    <w:p w14:paraId="47FF5A5B">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6.4</w:t>
      </w:r>
      <w:r>
        <w:rPr>
          <w:rFonts w:hint="eastAsia" w:ascii="宋体" w:hAnsi="宋体" w:eastAsia="宋体" w:cs="宋体"/>
          <w:color w:val="auto"/>
          <w:w w:val="100"/>
          <w:sz w:val="21"/>
          <w:szCs w:val="21"/>
          <w:highlight w:val="none"/>
        </w:rPr>
        <w:t>递交投标文件截止时间与开标时间是否有变化，</w:t>
      </w:r>
      <w:r>
        <w:rPr>
          <w:rFonts w:hint="eastAsia" w:ascii="宋体" w:hAnsi="宋体" w:eastAsia="宋体" w:cs="宋体"/>
          <w:color w:val="auto"/>
          <w:sz w:val="21"/>
          <w:szCs w:val="21"/>
          <w:highlight w:val="none"/>
        </w:rPr>
        <w:t>请密切留意</w:t>
      </w:r>
      <w:r>
        <w:rPr>
          <w:rFonts w:hint="eastAsia" w:ascii="宋体" w:hAnsi="宋体" w:eastAsia="宋体" w:cs="宋体"/>
          <w:color w:val="auto"/>
          <w:sz w:val="21"/>
          <w:szCs w:val="21"/>
          <w:highlight w:val="none"/>
          <w:u w:val="single"/>
        </w:rPr>
        <w:t>广州交易集团有限公司（广州公共资源交易中心）网</w:t>
      </w:r>
      <w:r>
        <w:rPr>
          <w:rFonts w:hint="eastAsia" w:ascii="宋体" w:hAnsi="宋体" w:eastAsia="宋体" w:cs="宋体"/>
          <w:color w:val="auto"/>
          <w:sz w:val="21"/>
          <w:szCs w:val="21"/>
          <w:highlight w:val="none"/>
          <w:u w:val="single"/>
          <w:lang w:val="en-US" w:eastAsia="zh-CN"/>
        </w:rPr>
        <w:t>站</w:t>
      </w:r>
      <w:r>
        <w:rPr>
          <w:rFonts w:hint="eastAsia" w:ascii="宋体" w:hAnsi="宋体" w:eastAsia="宋体" w:cs="宋体"/>
          <w:color w:val="auto"/>
          <w:sz w:val="21"/>
          <w:szCs w:val="21"/>
          <w:highlight w:val="none"/>
          <w:u w:val="single"/>
        </w:rPr>
        <w:t>（网址：</w:t>
      </w: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"http://www.gzggzy.cn/"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http://www.gzggzy.cn/</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电子招标投标</w:t>
      </w:r>
      <w:r>
        <w:rPr>
          <w:rFonts w:hint="eastAsia" w:ascii="宋体" w:hAnsi="宋体" w:eastAsia="宋体" w:cs="宋体"/>
          <w:color w:val="auto"/>
          <w:sz w:val="21"/>
          <w:szCs w:val="21"/>
          <w:highlight w:val="none"/>
        </w:rPr>
        <w:t>交易</w:t>
      </w:r>
      <w:r>
        <w:rPr>
          <w:rFonts w:hint="eastAsia" w:ascii="宋体" w:hAnsi="宋体" w:eastAsia="宋体" w:cs="宋体"/>
          <w:color w:val="auto"/>
          <w:sz w:val="21"/>
          <w:szCs w:val="21"/>
          <w:highlight w:val="none"/>
          <w:lang w:eastAsia="zh-CN"/>
        </w:rPr>
        <w:t>平台</w:t>
      </w:r>
      <w:r>
        <w:rPr>
          <w:rFonts w:hint="eastAsia" w:ascii="宋体" w:hAnsi="宋体" w:eastAsia="宋体" w:cs="宋体"/>
          <w:color w:val="auto"/>
          <w:sz w:val="21"/>
          <w:szCs w:val="21"/>
          <w:highlight w:val="none"/>
        </w:rPr>
        <w:t>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中的相关信息</w:t>
      </w:r>
      <w:r>
        <w:rPr>
          <w:rFonts w:hint="eastAsia" w:ascii="宋体" w:hAnsi="宋体" w:eastAsia="宋体" w:cs="宋体"/>
          <w:color w:val="auto"/>
          <w:w w:val="100"/>
          <w:sz w:val="21"/>
          <w:szCs w:val="21"/>
          <w:highlight w:val="none"/>
        </w:rPr>
        <w:t>。递交投标文件截止时间后，开标时间因故推迟的，相关评标信息仍以原递交投标文件截止时间的信息为准。</w:t>
      </w:r>
    </w:p>
    <w:p w14:paraId="73C95217">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6.5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p w14:paraId="5836A05A">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bookmarkStart w:id="49" w:name="_Toc3261"/>
      <w:bookmarkStart w:id="50" w:name="_Toc20503"/>
      <w:bookmarkStart w:id="51" w:name="_Toc15522"/>
      <w:bookmarkStart w:id="52" w:name="_Toc16960"/>
      <w:bookmarkStart w:id="53" w:name="_Toc6224"/>
      <w:r>
        <w:rPr>
          <w:rFonts w:hint="eastAsia" w:ascii="宋体" w:hAnsi="宋体" w:eastAsia="宋体" w:cs="宋体"/>
          <w:color w:val="auto"/>
          <w:w w:val="100"/>
          <w:sz w:val="21"/>
          <w:szCs w:val="21"/>
          <w:highlight w:val="none"/>
          <w:lang w:val="en-US" w:eastAsia="zh-CN"/>
        </w:rPr>
        <w:t>6.6 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w w:val="100"/>
          <w:sz w:val="21"/>
          <w:szCs w:val="21"/>
          <w:highlight w:val="none"/>
          <w:lang w:val="en-US" w:eastAsia="zh-CN"/>
        </w:rPr>
        <w:t>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w:t>
      </w:r>
      <w:r>
        <w:rPr>
          <w:rFonts w:hint="eastAsia" w:ascii="宋体" w:hAnsi="宋体" w:eastAsia="宋体" w:cs="宋体"/>
          <w:color w:val="auto"/>
          <w:sz w:val="21"/>
          <w:szCs w:val="21"/>
          <w:highlight w:val="none"/>
          <w:lang w:eastAsia="zh-CN"/>
        </w:rPr>
        <w:t>（联合体投标，指联合体各方）</w:t>
      </w:r>
      <w:r>
        <w:rPr>
          <w:rFonts w:hint="eastAsia" w:ascii="宋体" w:hAnsi="宋体" w:eastAsia="宋体" w:cs="宋体"/>
          <w:color w:val="auto"/>
          <w:w w:val="100"/>
          <w:sz w:val="21"/>
          <w:szCs w:val="21"/>
          <w:highlight w:val="none"/>
          <w:lang w:val="en-US" w:eastAsia="zh-CN"/>
        </w:rPr>
        <w:t>应及时维护其在</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w w:val="100"/>
          <w:sz w:val="21"/>
          <w:szCs w:val="21"/>
          <w:highlight w:val="none"/>
          <w:lang w:val="en-US" w:eastAsia="zh-CN"/>
        </w:rPr>
        <w:t>信息登记的信息，确保各项信息在有效期内。如因投标单位资料缺失导致资格审查不通过，责任由投标单位自行承担。</w:t>
      </w:r>
    </w:p>
    <w:p w14:paraId="17F54422">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p>
    <w:p w14:paraId="4DA75CC5">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color w:val="auto"/>
          <w:sz w:val="21"/>
          <w:highlight w:val="none"/>
        </w:rPr>
      </w:pPr>
      <w:r>
        <w:rPr>
          <w:rFonts w:hint="eastAsia"/>
          <w:color w:val="auto"/>
          <w:highlight w:val="none"/>
        </w:rPr>
        <w:t>7. 发布公告的媒介</w:t>
      </w:r>
      <w:bookmarkEnd w:id="49"/>
      <w:bookmarkEnd w:id="50"/>
      <w:bookmarkEnd w:id="51"/>
      <w:bookmarkEnd w:id="52"/>
      <w:bookmarkEnd w:id="53"/>
    </w:p>
    <w:p w14:paraId="2CDD8895">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http://www.cebpubservice.com/）发布，本公告的修改、补充，在广州交易集团有限公司（广州公共资源交易中心）及广东省招标投标监管网网站发布。</w:t>
      </w:r>
      <w:r>
        <w:rPr>
          <w:rFonts w:hint="eastAsia" w:ascii="宋体" w:hAnsi="宋体" w:eastAsia="宋体" w:cs="宋体"/>
          <w:color w:val="auto"/>
          <w:w w:val="100"/>
          <w:sz w:val="21"/>
          <w:szCs w:val="21"/>
          <w:highlight w:val="none"/>
          <w:lang w:val="en-US" w:eastAsia="zh-CN"/>
        </w:rPr>
        <w:fldChar w:fldCharType="end"/>
      </w:r>
    </w:p>
    <w:p w14:paraId="2BCB00B9">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s="宋体"/>
          <w:b/>
          <w:bCs/>
          <w:color w:val="auto"/>
          <w:spacing w:val="7"/>
          <w:sz w:val="28"/>
          <w:szCs w:val="28"/>
          <w:highlight w:val="none"/>
          <w:lang w:val="en-US" w:eastAsia="zh-CN"/>
        </w:rPr>
      </w:pPr>
      <w:bookmarkStart w:id="54" w:name="_Toc8443"/>
      <w:bookmarkStart w:id="55" w:name="_Toc29364"/>
      <w:bookmarkStart w:id="56" w:name="_Toc17336"/>
      <w:bookmarkStart w:id="57" w:name="_Toc21787632"/>
      <w:bookmarkStart w:id="58" w:name="_Toc17357"/>
      <w:bookmarkStart w:id="59" w:name="_Toc8339"/>
    </w:p>
    <w:p w14:paraId="53E131EC">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b/>
          <w:bCs/>
          <w:color w:val="auto"/>
          <w:spacing w:val="7"/>
          <w:sz w:val="28"/>
          <w:szCs w:val="28"/>
          <w:highlight w:val="none"/>
        </w:rPr>
      </w:pPr>
      <w:r>
        <w:rPr>
          <w:rFonts w:hint="eastAsia" w:cs="宋体"/>
          <w:b/>
          <w:bCs/>
          <w:color w:val="auto"/>
          <w:spacing w:val="7"/>
          <w:sz w:val="28"/>
          <w:szCs w:val="28"/>
          <w:highlight w:val="none"/>
          <w:lang w:val="en-US" w:eastAsia="zh-CN"/>
        </w:rPr>
        <w:t>8</w:t>
      </w:r>
      <w:r>
        <w:rPr>
          <w:rFonts w:hint="eastAsia" w:ascii="宋体" w:hAnsi="宋体" w:eastAsia="宋体" w:cs="宋体"/>
          <w:b/>
          <w:bCs/>
          <w:color w:val="auto"/>
          <w:spacing w:val="7"/>
          <w:sz w:val="28"/>
          <w:szCs w:val="28"/>
          <w:highlight w:val="none"/>
        </w:rPr>
        <w:t>. 资格审查方式</w:t>
      </w:r>
      <w:bookmarkEnd w:id="54"/>
      <w:bookmarkEnd w:id="55"/>
      <w:bookmarkEnd w:id="56"/>
      <w:bookmarkEnd w:id="57"/>
      <w:bookmarkEnd w:id="58"/>
      <w:bookmarkEnd w:id="59"/>
    </w:p>
    <w:p w14:paraId="60CF5D52">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bookmarkStart w:id="60" w:name="_Toc279"/>
      <w:bookmarkStart w:id="61" w:name="_Toc6681"/>
      <w:bookmarkStart w:id="62" w:name="_Toc12248"/>
      <w:r>
        <w:rPr>
          <w:rFonts w:hint="eastAsia" w:ascii="宋体" w:hAnsi="宋体" w:eastAsia="宋体" w:cs="宋体"/>
          <w:color w:val="auto"/>
          <w:w w:val="100"/>
          <w:sz w:val="21"/>
          <w:szCs w:val="21"/>
          <w:highlight w:val="none"/>
          <w:lang w:val="en-US" w:eastAsia="zh-CN"/>
        </w:rPr>
        <w:t>8.1本工程采用资格后审方式，由评标委员会负责资格审查及评标工作。</w:t>
      </w:r>
      <w:bookmarkEnd w:id="60"/>
      <w:bookmarkEnd w:id="61"/>
      <w:bookmarkEnd w:id="62"/>
      <w:r>
        <w:rPr>
          <w:rFonts w:hint="eastAsia" w:ascii="宋体" w:hAnsi="宋体" w:eastAsia="宋体" w:cs="宋体"/>
          <w:color w:val="auto"/>
          <w:w w:val="100"/>
          <w:sz w:val="21"/>
          <w:szCs w:val="21"/>
          <w:highlight w:val="none"/>
          <w:u w:val="single"/>
          <w:lang w:val="en-US" w:eastAsia="zh-CN"/>
        </w:rPr>
        <w:t>本工程采用评定分离方式确定中标人</w:t>
      </w:r>
      <w:r>
        <w:rPr>
          <w:rFonts w:hint="eastAsia" w:ascii="宋体" w:hAnsi="宋体" w:eastAsia="宋体" w:cs="宋体"/>
          <w:color w:val="auto"/>
          <w:w w:val="100"/>
          <w:sz w:val="21"/>
          <w:szCs w:val="21"/>
          <w:highlight w:val="none"/>
          <w:lang w:val="en-US" w:eastAsia="zh-CN"/>
        </w:rPr>
        <w:t>。</w:t>
      </w:r>
    </w:p>
    <w:p w14:paraId="7AD555FF">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color w:val="auto"/>
          <w:highlight w:val="none"/>
          <w:lang w:val="en-US" w:eastAsia="zh-CN"/>
        </w:rPr>
      </w:pPr>
      <w:r>
        <w:rPr>
          <w:rFonts w:hint="eastAsia" w:ascii="宋体" w:hAnsi="宋体" w:eastAsia="宋体" w:cs="宋体"/>
          <w:color w:val="auto"/>
          <w:w w:val="100"/>
          <w:sz w:val="21"/>
          <w:szCs w:val="21"/>
          <w:highlight w:val="none"/>
          <w:lang w:val="en-US" w:eastAsia="zh-CN"/>
        </w:rPr>
        <w:t>8.2资格审查结果将在广州交易集团有限公司（广州公共资源交易中心）网站和广东省招标投标监管网公示，公示时间不得少于3日，最后一天应为工作日。</w:t>
      </w:r>
    </w:p>
    <w:p w14:paraId="4780CEDF">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s="宋体"/>
          <w:b/>
          <w:bCs/>
          <w:color w:val="auto"/>
          <w:spacing w:val="7"/>
          <w:sz w:val="28"/>
          <w:szCs w:val="28"/>
          <w:highlight w:val="none"/>
          <w:lang w:val="en-US" w:eastAsia="zh-CN"/>
        </w:rPr>
      </w:pPr>
      <w:bookmarkStart w:id="63" w:name="_Toc5540"/>
      <w:bookmarkStart w:id="64" w:name="_Toc21787635"/>
      <w:bookmarkStart w:id="65" w:name="_Toc24417"/>
      <w:bookmarkStart w:id="66" w:name="_Toc10143"/>
      <w:bookmarkStart w:id="67" w:name="_Toc217"/>
      <w:bookmarkStart w:id="68" w:name="_Toc24569"/>
    </w:p>
    <w:p w14:paraId="6DE1FC18">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ascii="宋体" w:hAnsi="宋体" w:eastAsia="宋体" w:cs="宋体"/>
          <w:color w:val="auto"/>
          <w:w w:val="100"/>
          <w:sz w:val="21"/>
          <w:szCs w:val="21"/>
          <w:highlight w:val="none"/>
          <w:lang w:val="en-US" w:eastAsia="zh-CN"/>
        </w:rPr>
      </w:pPr>
      <w:r>
        <w:rPr>
          <w:rFonts w:hint="eastAsia" w:cs="宋体"/>
          <w:b/>
          <w:bCs/>
          <w:color w:val="auto"/>
          <w:spacing w:val="7"/>
          <w:sz w:val="28"/>
          <w:szCs w:val="28"/>
          <w:highlight w:val="none"/>
          <w:lang w:val="en-US" w:eastAsia="zh-CN"/>
        </w:rPr>
        <w:t>9</w:t>
      </w:r>
      <w:r>
        <w:rPr>
          <w:rFonts w:hint="eastAsia" w:ascii="宋体" w:hAnsi="宋体" w:eastAsia="宋体" w:cs="宋体"/>
          <w:b/>
          <w:bCs/>
          <w:color w:val="auto"/>
          <w:spacing w:val="7"/>
          <w:sz w:val="28"/>
          <w:szCs w:val="28"/>
          <w:highlight w:val="none"/>
        </w:rPr>
        <w:t xml:space="preserve">. </w:t>
      </w:r>
      <w:r>
        <w:rPr>
          <w:rFonts w:hint="eastAsia" w:ascii="宋体" w:hAnsi="宋体" w:eastAsia="宋体" w:cs="宋体"/>
          <w:b/>
          <w:bCs/>
          <w:color w:val="auto"/>
          <w:spacing w:val="7"/>
          <w:sz w:val="28"/>
          <w:szCs w:val="28"/>
          <w:highlight w:val="none"/>
          <w:lang w:val="en-US" w:eastAsia="zh-CN"/>
        </w:rPr>
        <w:t>疑问、异议、投诉处理</w:t>
      </w:r>
      <w:bookmarkEnd w:id="63"/>
      <w:bookmarkEnd w:id="64"/>
      <w:bookmarkEnd w:id="65"/>
      <w:bookmarkEnd w:id="66"/>
      <w:bookmarkEnd w:id="67"/>
      <w:bookmarkEnd w:id="68"/>
    </w:p>
    <w:p w14:paraId="6346407A">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0975FBD4">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C471216">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w:t>
      </w:r>
      <w:r>
        <w:rPr>
          <w:rFonts w:hint="default" w:ascii="宋体" w:hAnsi="宋体" w:eastAsia="宋体" w:cs="宋体"/>
          <w:color w:val="auto"/>
          <w:w w:val="100"/>
          <w:sz w:val="21"/>
          <w:szCs w:val="21"/>
          <w:highlight w:val="none"/>
          <w:lang w:val="en-US" w:eastAsia="zh-CN"/>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89F4434">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F1421B4">
      <w:pPr>
        <w:keepNext w:val="0"/>
        <w:keepLines w:val="0"/>
        <w:pageBreakBefore w:val="0"/>
        <w:widowControl/>
        <w:kinsoku/>
        <w:wordWrap/>
        <w:overflowPunct/>
        <w:topLinePunct/>
        <w:autoSpaceDE/>
        <w:autoSpaceDN/>
        <w:bidi w:val="0"/>
        <w:adjustRightInd/>
        <w:snapToGrid w:val="0"/>
        <w:spacing w:beforeAutospacing="0" w:afterAutospacing="0" w:line="360" w:lineRule="auto"/>
        <w:ind w:left="0" w:leftChars="0" w:right="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default"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5AFA737">
      <w:pPr>
        <w:keepNext w:val="0"/>
        <w:keepLines w:val="0"/>
        <w:pageBreakBefore w:val="0"/>
        <w:widowControl/>
        <w:kinsoku/>
        <w:wordWrap/>
        <w:overflowPunct/>
        <w:topLinePunct/>
        <w:autoSpaceDE/>
        <w:autoSpaceDN/>
        <w:bidi w:val="0"/>
        <w:adjustRightInd/>
        <w:snapToGrid w:val="0"/>
        <w:spacing w:beforeAutospacing="0" w:afterAutospacing="0" w:line="360" w:lineRule="auto"/>
        <w:ind w:right="0"/>
        <w:jc w:val="left"/>
        <w:textAlignment w:val="auto"/>
        <w:rPr>
          <w:rFonts w:hint="eastAsia" w:ascii="宋体" w:hAnsi="宋体" w:eastAsia="宋体" w:cs="Arial"/>
          <w:b/>
          <w:snapToGrid w:val="0"/>
          <w:color w:val="auto"/>
          <w:kern w:val="0"/>
          <w:sz w:val="28"/>
          <w:szCs w:val="24"/>
          <w:highlight w:val="none"/>
          <w:lang w:val="en-US" w:eastAsia="zh-CN"/>
        </w:rPr>
      </w:pPr>
      <w:bookmarkStart w:id="69" w:name="_Toc16115"/>
      <w:bookmarkStart w:id="70" w:name="_Toc6778"/>
      <w:bookmarkStart w:id="71" w:name="_Toc32458"/>
    </w:p>
    <w:p w14:paraId="532B3CBA">
      <w:pPr>
        <w:keepNext w:val="0"/>
        <w:keepLines w:val="0"/>
        <w:pageBreakBefore w:val="0"/>
        <w:widowControl/>
        <w:kinsoku/>
        <w:wordWrap/>
        <w:overflowPunct/>
        <w:topLinePunct/>
        <w:autoSpaceDE/>
        <w:autoSpaceDN/>
        <w:bidi w:val="0"/>
        <w:adjustRightInd/>
        <w:snapToGrid w:val="0"/>
        <w:spacing w:beforeAutospacing="0" w:afterAutospacing="0" w:line="360" w:lineRule="auto"/>
        <w:ind w:right="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Arial"/>
          <w:b/>
          <w:snapToGrid w:val="0"/>
          <w:color w:val="auto"/>
          <w:kern w:val="0"/>
          <w:sz w:val="28"/>
          <w:szCs w:val="24"/>
          <w:highlight w:val="none"/>
          <w:lang w:val="en-US" w:eastAsia="zh-CN"/>
        </w:rPr>
        <w:t xml:space="preserve">10.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26909C4">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lang w:val="en-US" w:eastAsia="zh-CN"/>
        </w:rPr>
      </w:pPr>
      <w:bookmarkStart w:id="72" w:name="_Toc18047"/>
      <w:bookmarkStart w:id="73" w:name="_Toc1700"/>
    </w:p>
    <w:p w14:paraId="06BFAB70">
      <w:pPr>
        <w:pStyle w:val="5"/>
        <w:keepNext w:val="0"/>
        <w:keepLines w:val="0"/>
        <w:pageBreakBefore w:val="0"/>
        <w:wordWrap/>
        <w:overflowPunct/>
        <w:bidi w:val="0"/>
        <w:snapToGrid w:val="0"/>
        <w:spacing w:before="0" w:beforeLines="0" w:beforeAutospacing="0" w:after="0" w:afterLines="0" w:afterAutospacing="0" w:line="360" w:lineRule="auto"/>
        <w:ind w:right="0"/>
        <w:rPr>
          <w:rFonts w:hint="eastAsia"/>
          <w:color w:val="auto"/>
          <w:highlight w:val="none"/>
        </w:rPr>
      </w:pPr>
      <w:r>
        <w:rPr>
          <w:rFonts w:hint="eastAsia"/>
          <w:color w:val="auto"/>
          <w:highlight w:val="none"/>
          <w:lang w:val="en-US" w:eastAsia="zh-CN"/>
        </w:rPr>
        <w:t>11</w:t>
      </w:r>
      <w:r>
        <w:rPr>
          <w:rFonts w:hint="eastAsia"/>
          <w:color w:val="auto"/>
          <w:highlight w:val="none"/>
        </w:rPr>
        <w:t>. 联系方式</w:t>
      </w:r>
      <w:bookmarkEnd w:id="69"/>
      <w:bookmarkEnd w:id="70"/>
      <w:bookmarkEnd w:id="71"/>
      <w:bookmarkEnd w:id="72"/>
      <w:bookmarkEnd w:id="73"/>
    </w:p>
    <w:p w14:paraId="0C04A260">
      <w:pPr>
        <w:keepNext w:val="0"/>
        <w:keepLines w:val="0"/>
        <w:pageBreakBefore w:val="0"/>
        <w:shd w:val="clear"/>
        <w:kinsoku/>
        <w:wordWrap/>
        <w:overflowPunct/>
        <w:topLinePunct w:val="0"/>
        <w:autoSpaceDE/>
        <w:autoSpaceDN/>
        <w:bidi w:val="0"/>
        <w:snapToGrid w:val="0"/>
        <w:spacing w:line="360" w:lineRule="auto"/>
        <w:ind w:left="0" w:leftChars="0" w:right="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招标单位：</w:t>
      </w:r>
      <w:r>
        <w:rPr>
          <w:rFonts w:hint="eastAsia" w:ascii="宋体" w:hAnsi="宋体" w:eastAsia="宋体" w:cs="宋体"/>
          <w:color w:val="auto"/>
          <w:sz w:val="21"/>
          <w:szCs w:val="21"/>
          <w:highlight w:val="none"/>
          <w:u w:val="single"/>
        </w:rPr>
        <w:t>中新广州知识城财政投资建设项目管理中心</w:t>
      </w:r>
    </w:p>
    <w:p w14:paraId="1DCB4F24">
      <w:pPr>
        <w:keepNext w:val="0"/>
        <w:keepLines w:val="0"/>
        <w:pageBreakBefore w:val="0"/>
        <w:widowControl w:val="0"/>
        <w:shd w:val="clear" w:color="auto"/>
        <w:kinsoku/>
        <w:wordWrap/>
        <w:overflowPunct/>
        <w:autoSpaceDE/>
        <w:autoSpaceDN/>
        <w:bidi w:val="0"/>
        <w:snapToGrid w:val="0"/>
        <w:spacing w:line="360" w:lineRule="auto"/>
        <w:ind w:left="0" w:leftChars="0" w:right="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广州市黄埔区中新广州知识城亿创街1号人才大厦31楼</w:t>
      </w:r>
    </w:p>
    <w:p w14:paraId="7D45EF20">
      <w:pPr>
        <w:keepNext w:val="0"/>
        <w:keepLines w:val="0"/>
        <w:pageBreakBefore w:val="0"/>
        <w:shd w:val="clear"/>
        <w:kinsoku/>
        <w:wordWrap/>
        <w:overflowPunct/>
        <w:topLinePunct w:val="0"/>
        <w:autoSpaceDE/>
        <w:autoSpaceDN/>
        <w:bidi w:val="0"/>
        <w:snapToGrid w:val="0"/>
        <w:spacing w:line="360" w:lineRule="auto"/>
        <w:ind w:left="0" w:leftChars="0" w:right="0"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u w:val="single"/>
          <w:lang w:val="en-US" w:eastAsia="zh-CN"/>
        </w:rPr>
        <w:t>贺工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pacing w:val="0"/>
          <w:position w:val="0"/>
          <w:sz w:val="21"/>
          <w:szCs w:val="21"/>
          <w:highlight w:val="none"/>
          <w:u w:val="single"/>
        </w:rPr>
        <w:t>020-8211</w:t>
      </w:r>
      <w:r>
        <w:rPr>
          <w:rFonts w:hint="eastAsia" w:ascii="宋体" w:hAnsi="宋体" w:eastAsia="宋体" w:cs="宋体"/>
          <w:color w:val="auto"/>
          <w:spacing w:val="0"/>
          <w:position w:val="0"/>
          <w:sz w:val="21"/>
          <w:szCs w:val="21"/>
          <w:highlight w:val="none"/>
          <w:u w:val="single"/>
          <w:lang w:val="en-US" w:eastAsia="zh-CN"/>
        </w:rPr>
        <w:t>5026</w:t>
      </w:r>
    </w:p>
    <w:p w14:paraId="7D3B78BA">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rPr>
      </w:pPr>
    </w:p>
    <w:p w14:paraId="1149D6ED">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广州万安建设监理有限公司</w:t>
      </w:r>
    </w:p>
    <w:p w14:paraId="0FF3FACB">
      <w:pPr>
        <w:keepNext w:val="0"/>
        <w:keepLines w:val="0"/>
        <w:pageBreakBefore w:val="0"/>
        <w:widowControl w:val="0"/>
        <w:shd w:val="clear" w:color="auto"/>
        <w:kinsoku/>
        <w:wordWrap/>
        <w:overflowPunct/>
        <w:autoSpaceDE/>
        <w:autoSpaceDN/>
        <w:bidi w:val="0"/>
        <w:snapToGrid w:val="0"/>
        <w:spacing w:line="360" w:lineRule="auto"/>
        <w:ind w:left="0" w:leftChars="0" w:right="0"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广州市天河区建中路</w:t>
      </w:r>
      <w:r>
        <w:rPr>
          <w:rFonts w:hint="eastAsia" w:ascii="宋体" w:hAnsi="宋体" w:eastAsia="宋体" w:cs="宋体"/>
          <w:color w:val="auto"/>
          <w:sz w:val="21"/>
          <w:szCs w:val="21"/>
          <w:highlight w:val="none"/>
          <w:u w:val="single"/>
          <w:lang w:val="en-US" w:eastAsia="zh-CN"/>
        </w:rPr>
        <w:t>64、</w:t>
      </w:r>
      <w:r>
        <w:rPr>
          <w:rFonts w:hint="eastAsia" w:ascii="宋体" w:hAnsi="宋体" w:eastAsia="宋体" w:cs="宋体"/>
          <w:color w:val="auto"/>
          <w:sz w:val="21"/>
          <w:szCs w:val="21"/>
          <w:highlight w:val="none"/>
          <w:u w:val="single"/>
        </w:rPr>
        <w:t>66西501</w:t>
      </w:r>
      <w:r>
        <w:rPr>
          <w:rFonts w:hint="eastAsia" w:ascii="宋体" w:hAnsi="宋体" w:eastAsia="宋体" w:cs="宋体"/>
          <w:color w:val="auto"/>
          <w:sz w:val="21"/>
          <w:szCs w:val="21"/>
          <w:highlight w:val="none"/>
          <w:u w:val="single"/>
          <w:lang w:val="en-US" w:eastAsia="zh-CN"/>
        </w:rPr>
        <w:t>-1</w:t>
      </w:r>
    </w:p>
    <w:p w14:paraId="39616A92">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eastAsia="zh-CN"/>
        </w:rPr>
        <w:t>肖工、曾工</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020-85683007</w:t>
      </w:r>
    </w:p>
    <w:p w14:paraId="54117450">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rPr>
      </w:pPr>
    </w:p>
    <w:p w14:paraId="161777BC">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rPr>
        <w:t>广州市黄埔区水务局</w:t>
      </w:r>
    </w:p>
    <w:p w14:paraId="786B8AC0">
      <w:pPr>
        <w:keepNext w:val="0"/>
        <w:keepLines w:val="0"/>
        <w:pageBreakBefore w:val="0"/>
        <w:widowControl w:val="0"/>
        <w:shd w:val="clear" w:color="auto"/>
        <w:kinsoku/>
        <w:wordWrap/>
        <w:overflowPunct/>
        <w:autoSpaceDE/>
        <w:autoSpaceDN/>
        <w:bidi w:val="0"/>
        <w:snapToGrid w:val="0"/>
        <w:spacing w:line="360" w:lineRule="auto"/>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广州市黄埔区水西路12号凯达楼B栋2楼210室</w:t>
      </w:r>
    </w:p>
    <w:p w14:paraId="4CA415FF">
      <w:pPr>
        <w:keepNext w:val="0"/>
        <w:keepLines w:val="0"/>
        <w:pageBreakBefore w:val="0"/>
        <w:shd w:val="clear"/>
        <w:kinsoku/>
        <w:wordWrap/>
        <w:overflowPunct/>
        <w:topLinePunct w:val="0"/>
        <w:autoSpaceDE/>
        <w:autoSpaceDN/>
        <w:bidi w:val="0"/>
        <w:adjustRightInd/>
        <w:snapToGrid w:val="0"/>
        <w:spacing w:line="360" w:lineRule="auto"/>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r>
        <w:rPr>
          <w:rFonts w:hint="eastAsia" w:ascii="宋体" w:hAnsi="宋体" w:eastAsia="宋体" w:cs="宋体"/>
          <w:color w:val="auto"/>
          <w:sz w:val="21"/>
          <w:szCs w:val="21"/>
          <w:highlight w:val="none"/>
          <w:u w:val="single"/>
        </w:rPr>
        <w:t>020-82111879</w:t>
      </w:r>
    </w:p>
    <w:p w14:paraId="7A4AE37C">
      <w:pPr>
        <w:keepNext w:val="0"/>
        <w:keepLines w:val="0"/>
        <w:pageBreakBefore w:val="0"/>
        <w:shd w:val="clear"/>
        <w:kinsoku/>
        <w:wordWrap/>
        <w:overflowPunct/>
        <w:topLinePunct w:val="0"/>
        <w:autoSpaceDE/>
        <w:autoSpaceDN/>
        <w:bidi w:val="0"/>
        <w:snapToGrid w:val="0"/>
        <w:spacing w:line="360" w:lineRule="auto"/>
        <w:ind w:left="0" w:leftChars="0" w:right="0" w:firstLine="420" w:firstLineChars="2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位：</w:t>
      </w:r>
      <w:r>
        <w:rPr>
          <w:rFonts w:hint="eastAsia" w:ascii="宋体" w:hAnsi="宋体" w:eastAsia="宋体" w:cs="宋体"/>
          <w:color w:val="auto"/>
          <w:sz w:val="21"/>
          <w:szCs w:val="21"/>
          <w:highlight w:val="none"/>
          <w:u w:val="single"/>
        </w:rPr>
        <w:t>中新广州知识城财政投资建设项目管理中心</w:t>
      </w:r>
    </w:p>
    <w:p w14:paraId="4404B9FC">
      <w:pPr>
        <w:keepNext w:val="0"/>
        <w:keepLines w:val="0"/>
        <w:pageBreakBefore w:val="0"/>
        <w:shd w:val="clear"/>
        <w:kinsoku/>
        <w:wordWrap w:val="0"/>
        <w:overflowPunct/>
        <w:topLinePunct w:val="0"/>
        <w:autoSpaceDE/>
        <w:autoSpaceDN/>
        <w:bidi w:val="0"/>
        <w:adjustRightInd/>
        <w:snapToGrid w:val="0"/>
        <w:spacing w:line="360" w:lineRule="auto"/>
        <w:ind w:left="0" w:leftChars="0" w:right="0" w:firstLine="420" w:firstLineChars="200"/>
        <w:jc w:val="right"/>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u w:val="single"/>
          <w:lang w:eastAsia="zh-CN"/>
        </w:rPr>
        <w:t>广州万安建设监理有限公司</w:t>
      </w:r>
      <w:r>
        <w:rPr>
          <w:rFonts w:hint="eastAsia" w:ascii="宋体" w:hAnsi="宋体" w:eastAsia="宋体" w:cs="宋体"/>
          <w:color w:val="auto"/>
          <w:sz w:val="21"/>
          <w:szCs w:val="21"/>
          <w:highlight w:val="none"/>
          <w:u w:val="none"/>
          <w:lang w:val="en-US" w:eastAsia="zh-CN"/>
        </w:rPr>
        <w:t xml:space="preserve">              </w:t>
      </w:r>
    </w:p>
    <w:p w14:paraId="0876C6E6">
      <w:pPr>
        <w:keepNext w:val="0"/>
        <w:keepLines w:val="0"/>
        <w:pageBreakBefore w:val="0"/>
        <w:shd w:val="clear"/>
        <w:kinsoku/>
        <w:wordWrap/>
        <w:overflowPunct/>
        <w:topLinePunct w:val="0"/>
        <w:autoSpaceDE/>
        <w:autoSpaceDN/>
        <w:bidi w:val="0"/>
        <w:snapToGrid w:val="0"/>
        <w:spacing w:line="360" w:lineRule="auto"/>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          日        期：</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none"/>
          <w:lang w:val="en-US" w:eastAsia="zh-CN"/>
        </w:rPr>
        <w:t>月</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w:t>
      </w:r>
    </w:p>
    <w:p w14:paraId="2A7C3DB0">
      <w:pPr>
        <w:keepNext w:val="0"/>
        <w:keepLines w:val="0"/>
        <w:pageBreakBefore w:val="0"/>
        <w:wordWrap/>
        <w:overflowPunct/>
        <w:bidi w:val="0"/>
        <w:snapToGrid/>
        <w:spacing w:beforeAutospacing="0" w:afterAutospacing="0" w:line="240" w:lineRule="auto"/>
        <w:ind w:left="0" w:leftChars="0" w:right="0" w:firstLine="0" w:firstLineChars="0"/>
        <w:rPr>
          <w:color w:val="auto"/>
          <w:highlight w:val="none"/>
        </w:rPr>
      </w:pPr>
      <w:r>
        <w:rPr>
          <w:color w:val="auto"/>
          <w:highlight w:val="none"/>
        </w:rPr>
        <w:br w:type="page"/>
      </w:r>
    </w:p>
    <w:p w14:paraId="49C66D6E">
      <w:pPr>
        <w:pageBreakBefore w:val="0"/>
        <w:kinsoku/>
        <w:wordWrap/>
        <w:overflowPunct/>
        <w:bidi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w:t>
      </w:r>
    </w:p>
    <w:p w14:paraId="3CDF3C5B">
      <w:pPr>
        <w:keepNext w:val="0"/>
        <w:keepLines w:val="0"/>
        <w:pageBreakBefore w:val="0"/>
        <w:widowControl w:val="0"/>
        <w:suppressLineNumbers w:val="0"/>
        <w:kinsoku/>
        <w:wordWrap/>
        <w:overflowPunct/>
        <w:autoSpaceDE w:val="0"/>
        <w:autoSpaceDN w:val="0"/>
        <w:bidi w:val="0"/>
        <w:adjustRightInd w:val="0"/>
        <w:spacing w:beforeAutospacing="0" w:afterAutospacing="0" w:line="360" w:lineRule="auto"/>
        <w:ind w:left="0" w:right="0"/>
        <w:jc w:val="center"/>
        <w:textAlignment w:val="auto"/>
        <w:rPr>
          <w:rFonts w:hint="eastAsia" w:ascii="宋体" w:hAnsi="宋体" w:eastAsia="宋体" w:cs="宋体"/>
          <w:b/>
          <w:bCs w:val="0"/>
          <w:kern w:val="2"/>
          <w:sz w:val="32"/>
          <w:szCs w:val="32"/>
          <w:highlight w:val="none"/>
          <w:lang w:val="en-US" w:eastAsia="zh-CN" w:bidi="ar"/>
        </w:rPr>
      </w:pPr>
      <w:r>
        <w:rPr>
          <w:rFonts w:hint="eastAsia" w:ascii="宋体" w:hAnsi="宋体" w:eastAsia="宋体" w:cs="宋体"/>
          <w:b/>
          <w:bCs w:val="0"/>
          <w:kern w:val="2"/>
          <w:sz w:val="32"/>
          <w:szCs w:val="32"/>
          <w:highlight w:val="none"/>
          <w:lang w:val="en-US" w:eastAsia="zh-CN" w:bidi="ar"/>
        </w:rPr>
        <w:t>被招标人拒绝投标的企业名单</w:t>
      </w:r>
    </w:p>
    <w:p w14:paraId="581879D5">
      <w:pPr>
        <w:pStyle w:val="19"/>
        <w:pageBreakBefore w:val="0"/>
        <w:tabs>
          <w:tab w:val="right" w:leader="dot" w:pos="9060"/>
        </w:tabs>
        <w:kinsoku/>
        <w:wordWrap/>
        <w:overflowPunct/>
        <w:bidi w:val="0"/>
        <w:spacing w:line="360" w:lineRule="auto"/>
        <w:jc w:val="center"/>
        <w:textAlignment w:val="auto"/>
        <w:rPr>
          <w:rFonts w:hint="eastAsia"/>
          <w:color w:val="auto"/>
          <w:highlight w:val="none"/>
        </w:rPr>
      </w:pPr>
    </w:p>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3139"/>
        <w:gridCol w:w="4951"/>
      </w:tblGrid>
      <w:tr w14:paraId="3B3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28" w:type="dxa"/>
            <w:noWrap w:val="0"/>
            <w:vAlign w:val="center"/>
          </w:tcPr>
          <w:p w14:paraId="44819038">
            <w:pPr>
              <w:keepNext w:val="0"/>
              <w:keepLines w:val="0"/>
              <w:pageBreakBefore w:val="0"/>
              <w:suppressLineNumbers w:val="0"/>
              <w:kinsoku/>
              <w:wordWrap/>
              <w:overflowPunct/>
              <w:topLinePunct/>
              <w:bidi w:val="0"/>
              <w:spacing w:before="0" w:beforeAutospacing="0" w:after="0" w:afterAutospacing="0" w:line="360" w:lineRule="auto"/>
              <w:ind w:left="-149" w:leftChars="-71" w:right="-108"/>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序号</w:t>
            </w:r>
          </w:p>
        </w:tc>
        <w:tc>
          <w:tcPr>
            <w:tcW w:w="3139" w:type="dxa"/>
            <w:noWrap w:val="0"/>
            <w:vAlign w:val="center"/>
          </w:tcPr>
          <w:p w14:paraId="743DA4EB">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企业名称</w:t>
            </w:r>
          </w:p>
        </w:tc>
        <w:tc>
          <w:tcPr>
            <w:tcW w:w="4951" w:type="dxa"/>
            <w:noWrap w:val="0"/>
            <w:vAlign w:val="center"/>
          </w:tcPr>
          <w:p w14:paraId="002E9729">
            <w:pPr>
              <w:keepNext w:val="0"/>
              <w:keepLines w:val="0"/>
              <w:pageBreakBefore w:val="0"/>
              <w:suppressLineNumbers w:val="0"/>
              <w:kinsoku/>
              <w:wordWrap/>
              <w:overflowPunct/>
              <w:topLinePunct/>
              <w:bidi w:val="0"/>
              <w:spacing w:before="0" w:beforeAutospacing="0" w:after="0" w:afterAutospacing="0" w:line="360" w:lineRule="auto"/>
              <w:ind w:left="0" w:right="240"/>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限制投标期限</w:t>
            </w:r>
          </w:p>
        </w:tc>
      </w:tr>
      <w:tr w14:paraId="2FAB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28" w:type="dxa"/>
            <w:noWrap w:val="0"/>
            <w:vAlign w:val="center"/>
          </w:tcPr>
          <w:p w14:paraId="750D606A">
            <w:pPr>
              <w:keepNext w:val="0"/>
              <w:keepLines w:val="0"/>
              <w:pageBreakBefore w:val="0"/>
              <w:suppressLineNumbers w:val="0"/>
              <w:tabs>
                <w:tab w:val="left" w:pos="735"/>
              </w:tabs>
              <w:kinsoku/>
              <w:wordWrap/>
              <w:overflowPunct/>
              <w:topLinePunct/>
              <w:bidi w:val="0"/>
              <w:spacing w:before="0" w:beforeAutospacing="0" w:after="0" w:afterAutospacing="0" w:line="360" w:lineRule="auto"/>
              <w:ind w:left="-149" w:leftChars="-71" w:right="-108"/>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tc>
        <w:tc>
          <w:tcPr>
            <w:tcW w:w="3139" w:type="dxa"/>
            <w:noWrap w:val="0"/>
            <w:vAlign w:val="center"/>
          </w:tcPr>
          <w:p w14:paraId="1E275445">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无</w:t>
            </w:r>
          </w:p>
        </w:tc>
        <w:tc>
          <w:tcPr>
            <w:tcW w:w="4951" w:type="dxa"/>
            <w:noWrap w:val="0"/>
            <w:vAlign w:val="center"/>
          </w:tcPr>
          <w:p w14:paraId="4FFD6136">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bl>
    <w:p w14:paraId="1DDEE5BC">
      <w:pPr>
        <w:pageBreakBefore w:val="0"/>
        <w:widowControl/>
        <w:kinsoku/>
        <w:wordWrap/>
        <w:overflowPunct/>
        <w:bidi w:val="0"/>
        <w:snapToGrid w:val="0"/>
        <w:spacing w:line="360" w:lineRule="auto"/>
        <w:ind w:right="102"/>
        <w:jc w:val="center"/>
        <w:textAlignment w:val="auto"/>
        <w:rPr>
          <w:rFonts w:hint="eastAsia"/>
          <w:color w:val="auto"/>
          <w:sz w:val="24"/>
          <w:szCs w:val="24"/>
          <w:highlight w:val="none"/>
        </w:rPr>
      </w:pPr>
    </w:p>
    <w:p w14:paraId="43072D32">
      <w:pPr>
        <w:pageBreakBefore w:val="0"/>
        <w:kinsoku/>
        <w:wordWrap/>
        <w:overflowPunct/>
        <w:bidi w:val="0"/>
        <w:spacing w:line="360" w:lineRule="auto"/>
        <w:textAlignment w:val="auto"/>
        <w:rPr>
          <w:rFonts w:hint="eastAsia"/>
          <w:color w:val="auto"/>
          <w:sz w:val="24"/>
          <w:szCs w:val="24"/>
          <w:highlight w:val="none"/>
        </w:rPr>
      </w:pPr>
      <w:r>
        <w:rPr>
          <w:rFonts w:hint="eastAsia"/>
          <w:color w:val="auto"/>
          <w:sz w:val="24"/>
          <w:szCs w:val="24"/>
          <w:highlight w:val="none"/>
        </w:rPr>
        <w:t>注：以上限制投标时间期限以截标时间为准。</w:t>
      </w:r>
    </w:p>
    <w:p w14:paraId="714CC3D9">
      <w:pPr>
        <w:keepNext w:val="0"/>
        <w:keepLines w:val="0"/>
        <w:pageBreakBefore w:val="0"/>
        <w:wordWrap/>
        <w:overflowPunct/>
        <w:bidi w:val="0"/>
        <w:snapToGrid w:val="0"/>
        <w:spacing w:beforeAutospacing="0" w:afterAutospacing="0" w:line="360" w:lineRule="auto"/>
        <w:ind w:left="0" w:leftChars="0" w:right="0" w:firstLine="0" w:firstLineChars="0"/>
        <w:rPr>
          <w:color w:val="auto"/>
          <w:highlight w:val="none"/>
        </w:rPr>
      </w:pPr>
    </w:p>
    <w:sectPr>
      <w:headerReference r:id="rId6" w:type="default"/>
      <w:footerReference r:id="rId7" w:type="default"/>
      <w:pgSz w:w="11905" w:h="16838"/>
      <w:pgMar w:top="1440" w:right="1440" w:bottom="1440" w:left="1440" w:header="0" w:footer="94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58A5">
    <w:pPr>
      <w:pStyle w:val="16"/>
      <w:tabs>
        <w:tab w:val="center" w:pos="411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CBE0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8ACBE0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35D8">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EEE05">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E8EEE05">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45FB">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JhZDlmOWI0MzYzMWY0MzgwNDViOTJkZTYzNDk3NDMifQ=="/>
  </w:docVars>
  <w:rsids>
    <w:rsidRoot w:val="00000000"/>
    <w:rsid w:val="00471250"/>
    <w:rsid w:val="00BE7797"/>
    <w:rsid w:val="02E17A5E"/>
    <w:rsid w:val="03AC2C51"/>
    <w:rsid w:val="03F00A10"/>
    <w:rsid w:val="06271704"/>
    <w:rsid w:val="067A188B"/>
    <w:rsid w:val="07911379"/>
    <w:rsid w:val="0819421C"/>
    <w:rsid w:val="09023F99"/>
    <w:rsid w:val="0A8D0C3B"/>
    <w:rsid w:val="0AA5527A"/>
    <w:rsid w:val="0AA74DF8"/>
    <w:rsid w:val="0BDC2BE0"/>
    <w:rsid w:val="0DDE6382"/>
    <w:rsid w:val="0EDA71D4"/>
    <w:rsid w:val="0F916077"/>
    <w:rsid w:val="0FD05DC8"/>
    <w:rsid w:val="105C0433"/>
    <w:rsid w:val="105F75E4"/>
    <w:rsid w:val="11166FB9"/>
    <w:rsid w:val="116930C0"/>
    <w:rsid w:val="126C0736"/>
    <w:rsid w:val="13DC1152"/>
    <w:rsid w:val="142D64BF"/>
    <w:rsid w:val="157057BB"/>
    <w:rsid w:val="15B63662"/>
    <w:rsid w:val="17CB4F30"/>
    <w:rsid w:val="193C7CCF"/>
    <w:rsid w:val="1A503DA9"/>
    <w:rsid w:val="1B52283B"/>
    <w:rsid w:val="1B61758B"/>
    <w:rsid w:val="1CF06C6A"/>
    <w:rsid w:val="1D1554B9"/>
    <w:rsid w:val="1D175353"/>
    <w:rsid w:val="1EA1651A"/>
    <w:rsid w:val="1EE512D5"/>
    <w:rsid w:val="1FCB3DE8"/>
    <w:rsid w:val="1FEA6F45"/>
    <w:rsid w:val="20B1491A"/>
    <w:rsid w:val="20D55480"/>
    <w:rsid w:val="225A5718"/>
    <w:rsid w:val="22A2788F"/>
    <w:rsid w:val="23F9461A"/>
    <w:rsid w:val="24171ED0"/>
    <w:rsid w:val="244A4179"/>
    <w:rsid w:val="245577DE"/>
    <w:rsid w:val="27BC4AA5"/>
    <w:rsid w:val="28C227AC"/>
    <w:rsid w:val="29CD541A"/>
    <w:rsid w:val="2A250090"/>
    <w:rsid w:val="2C0D3F5F"/>
    <w:rsid w:val="2CF9108B"/>
    <w:rsid w:val="2DAF6049"/>
    <w:rsid w:val="2E11043F"/>
    <w:rsid w:val="2E1105C7"/>
    <w:rsid w:val="2E334A71"/>
    <w:rsid w:val="2F9F0B34"/>
    <w:rsid w:val="2FB463BE"/>
    <w:rsid w:val="30347A57"/>
    <w:rsid w:val="3102460E"/>
    <w:rsid w:val="31611D34"/>
    <w:rsid w:val="31DA0B70"/>
    <w:rsid w:val="321D2914"/>
    <w:rsid w:val="340A7E51"/>
    <w:rsid w:val="34211ED1"/>
    <w:rsid w:val="358A2912"/>
    <w:rsid w:val="363A224F"/>
    <w:rsid w:val="36561C29"/>
    <w:rsid w:val="366F4AC3"/>
    <w:rsid w:val="36ED571B"/>
    <w:rsid w:val="38111054"/>
    <w:rsid w:val="39252750"/>
    <w:rsid w:val="39F00DA6"/>
    <w:rsid w:val="3A294962"/>
    <w:rsid w:val="3AB9685D"/>
    <w:rsid w:val="3B3732A5"/>
    <w:rsid w:val="3C5921EB"/>
    <w:rsid w:val="3C5B7547"/>
    <w:rsid w:val="3C7C0D5B"/>
    <w:rsid w:val="3D093DBA"/>
    <w:rsid w:val="3DFE5379"/>
    <w:rsid w:val="3F4E05E0"/>
    <w:rsid w:val="3F5A444D"/>
    <w:rsid w:val="40161C4A"/>
    <w:rsid w:val="40213317"/>
    <w:rsid w:val="40B66170"/>
    <w:rsid w:val="415921CF"/>
    <w:rsid w:val="422449A5"/>
    <w:rsid w:val="431F37EA"/>
    <w:rsid w:val="43C76F03"/>
    <w:rsid w:val="44243053"/>
    <w:rsid w:val="44AD5EFC"/>
    <w:rsid w:val="455F487F"/>
    <w:rsid w:val="45F33624"/>
    <w:rsid w:val="46217D4C"/>
    <w:rsid w:val="46691411"/>
    <w:rsid w:val="46E93E55"/>
    <w:rsid w:val="475F7E2D"/>
    <w:rsid w:val="47AE6F80"/>
    <w:rsid w:val="48212F1D"/>
    <w:rsid w:val="48984606"/>
    <w:rsid w:val="49A564D0"/>
    <w:rsid w:val="4B04415F"/>
    <w:rsid w:val="4B6B5E13"/>
    <w:rsid w:val="4BA87F95"/>
    <w:rsid w:val="4C0A74F5"/>
    <w:rsid w:val="4C3A0509"/>
    <w:rsid w:val="4C4D31BB"/>
    <w:rsid w:val="4E665D87"/>
    <w:rsid w:val="4ECD2760"/>
    <w:rsid w:val="5036687B"/>
    <w:rsid w:val="50E37C22"/>
    <w:rsid w:val="51361FFF"/>
    <w:rsid w:val="51EC2E0C"/>
    <w:rsid w:val="520B6FE7"/>
    <w:rsid w:val="52382FD9"/>
    <w:rsid w:val="52C8312A"/>
    <w:rsid w:val="53165522"/>
    <w:rsid w:val="53A5778E"/>
    <w:rsid w:val="53A96AB8"/>
    <w:rsid w:val="53C90DC3"/>
    <w:rsid w:val="540E19DA"/>
    <w:rsid w:val="54F37EBB"/>
    <w:rsid w:val="55B04465"/>
    <w:rsid w:val="5696707D"/>
    <w:rsid w:val="58917C91"/>
    <w:rsid w:val="58BE08F9"/>
    <w:rsid w:val="58C87EBC"/>
    <w:rsid w:val="59E8115F"/>
    <w:rsid w:val="5A81078E"/>
    <w:rsid w:val="5AAE1807"/>
    <w:rsid w:val="5B6F302F"/>
    <w:rsid w:val="5D9E55D9"/>
    <w:rsid w:val="5EAC694D"/>
    <w:rsid w:val="5F5D683C"/>
    <w:rsid w:val="5F730AA8"/>
    <w:rsid w:val="5F8E122F"/>
    <w:rsid w:val="60C82547"/>
    <w:rsid w:val="60CC392C"/>
    <w:rsid w:val="61C87DD3"/>
    <w:rsid w:val="622C4AE5"/>
    <w:rsid w:val="628A4311"/>
    <w:rsid w:val="640D0195"/>
    <w:rsid w:val="643E2D69"/>
    <w:rsid w:val="645C61F1"/>
    <w:rsid w:val="64B631E2"/>
    <w:rsid w:val="652C0A83"/>
    <w:rsid w:val="663E10E8"/>
    <w:rsid w:val="66BA73F2"/>
    <w:rsid w:val="66EF4CD2"/>
    <w:rsid w:val="67D2292A"/>
    <w:rsid w:val="687631A6"/>
    <w:rsid w:val="688C3DCF"/>
    <w:rsid w:val="69BE575C"/>
    <w:rsid w:val="69DC63DA"/>
    <w:rsid w:val="69FB7A66"/>
    <w:rsid w:val="6A5237F9"/>
    <w:rsid w:val="6AFE1016"/>
    <w:rsid w:val="6B862305"/>
    <w:rsid w:val="6C46634B"/>
    <w:rsid w:val="6CF22B16"/>
    <w:rsid w:val="6D9F18C4"/>
    <w:rsid w:val="6F267FF8"/>
    <w:rsid w:val="6F7A3A20"/>
    <w:rsid w:val="6FD26F6A"/>
    <w:rsid w:val="6FD9336E"/>
    <w:rsid w:val="71343130"/>
    <w:rsid w:val="713B3A85"/>
    <w:rsid w:val="71D74FEB"/>
    <w:rsid w:val="723E29EB"/>
    <w:rsid w:val="73FB1E31"/>
    <w:rsid w:val="740F6AF3"/>
    <w:rsid w:val="74643C02"/>
    <w:rsid w:val="74DE2222"/>
    <w:rsid w:val="74F26168"/>
    <w:rsid w:val="760A2942"/>
    <w:rsid w:val="7693207B"/>
    <w:rsid w:val="76C37A0A"/>
    <w:rsid w:val="772067E2"/>
    <w:rsid w:val="773109EF"/>
    <w:rsid w:val="78262994"/>
    <w:rsid w:val="788E3DDD"/>
    <w:rsid w:val="795D2DF4"/>
    <w:rsid w:val="79783BF5"/>
    <w:rsid w:val="799E420F"/>
    <w:rsid w:val="79BA7010"/>
    <w:rsid w:val="7A1A780B"/>
    <w:rsid w:val="7A5F43FC"/>
    <w:rsid w:val="7A8D0191"/>
    <w:rsid w:val="7AE935B3"/>
    <w:rsid w:val="7AFA1D02"/>
    <w:rsid w:val="7B9A2814"/>
    <w:rsid w:val="7BDF361B"/>
    <w:rsid w:val="7E177F6F"/>
    <w:rsid w:val="7E601257"/>
    <w:rsid w:val="7F126040"/>
    <w:rsid w:val="7F466E8E"/>
    <w:rsid w:val="7FE21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3"/>
    <w:next w:val="1"/>
    <w:qFormat/>
    <w:uiPriority w:val="0"/>
    <w:pPr>
      <w:keepNext/>
      <w:keepLines/>
      <w:spacing w:before="340" w:after="330" w:line="578" w:lineRule="auto"/>
      <w:jc w:val="center"/>
      <w:outlineLvl w:val="0"/>
    </w:pPr>
    <w:rPr>
      <w:rFonts w:ascii="Arial" w:hAnsi="Arial" w:eastAsia="宋体"/>
      <w:bCs/>
      <w:kern w:val="44"/>
      <w:sz w:val="44"/>
      <w:szCs w:val="44"/>
    </w:rPr>
  </w:style>
  <w:style w:type="paragraph" w:styleId="4">
    <w:name w:val="heading 2"/>
    <w:basedOn w:val="2"/>
    <w:next w:val="1"/>
    <w:qFormat/>
    <w:uiPriority w:val="0"/>
    <w:pPr>
      <w:numPr>
        <w:ilvl w:val="0"/>
        <w:numId w:val="0"/>
      </w:numPr>
      <w:spacing w:before="120" w:after="120" w:line="240" w:lineRule="auto"/>
      <w:ind w:left="0" w:firstLine="0"/>
      <w:outlineLvl w:val="1"/>
    </w:pPr>
    <w:rPr>
      <w:rFonts w:ascii="黑体" w:hAnsi="黑体"/>
      <w:b w:val="0"/>
      <w:szCs w:val="30"/>
    </w:rPr>
  </w:style>
  <w:style w:type="paragraph" w:styleId="5">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paragraph" w:styleId="6">
    <w:name w:val="heading 4"/>
    <w:basedOn w:val="1"/>
    <w:next w:val="1"/>
    <w:unhideWhenUsed/>
    <w:qFormat/>
    <w:uiPriority w:val="1"/>
    <w:pPr>
      <w:outlineLvl w:val="3"/>
    </w:pPr>
    <w:rPr>
      <w:rFonts w:hint="default" w:ascii="宋体" w:hAnsi="宋体" w:eastAsia="宋体"/>
      <w:sz w:val="28"/>
      <w:szCs w:val="24"/>
    </w:rPr>
  </w:style>
  <w:style w:type="paragraph" w:styleId="7">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8">
    <w:name w:val="Normal Indent"/>
    <w:basedOn w:val="1"/>
    <w:qFormat/>
    <w:uiPriority w:val="0"/>
    <w:pPr>
      <w:ind w:firstLine="420" w:firstLineChars="200"/>
    </w:pPr>
  </w:style>
  <w:style w:type="paragraph" w:styleId="9">
    <w:name w:val="annotation text"/>
    <w:basedOn w:val="1"/>
    <w:unhideWhenUsed/>
    <w:qFormat/>
    <w:uiPriority w:val="99"/>
    <w:pPr>
      <w:jc w:val="left"/>
    </w:pPr>
  </w:style>
  <w:style w:type="paragraph" w:styleId="10">
    <w:name w:val="Body Text 3"/>
    <w:qFormat/>
    <w:uiPriority w:val="0"/>
    <w:pPr>
      <w:widowControl w:val="0"/>
      <w:spacing w:after="120"/>
      <w:jc w:val="both"/>
    </w:pPr>
    <w:rPr>
      <w:rFonts w:ascii="Times New Roman" w:hAnsi="Times New Roman" w:eastAsia="楷体_GB2312" w:cs="Times New Roman"/>
      <w:kern w:val="2"/>
      <w:sz w:val="16"/>
      <w:szCs w:val="16"/>
      <w:lang w:val="en-US" w:eastAsia="zh-CN" w:bidi="ar-SA"/>
    </w:rPr>
  </w:style>
  <w:style w:type="paragraph" w:styleId="11">
    <w:name w:val="Body Text"/>
    <w:basedOn w:val="1"/>
    <w:unhideWhenUsed/>
    <w:qFormat/>
    <w:uiPriority w:val="0"/>
    <w:pPr>
      <w:spacing w:after="120"/>
    </w:pPr>
  </w:style>
  <w:style w:type="paragraph" w:styleId="12">
    <w:name w:val="Body Text Indent"/>
    <w:basedOn w:val="1"/>
    <w:next w:val="13"/>
    <w:qFormat/>
    <w:uiPriority w:val="99"/>
    <w:pPr>
      <w:ind w:firstLine="600" w:firstLineChars="200"/>
    </w:pPr>
    <w:rPr>
      <w:rFonts w:ascii="宋体"/>
      <w:sz w:val="30"/>
      <w:szCs w:val="20"/>
    </w:rPr>
  </w:style>
  <w:style w:type="paragraph" w:styleId="13">
    <w:name w:val="envelope return"/>
    <w:basedOn w:val="1"/>
    <w:qFormat/>
    <w:uiPriority w:val="0"/>
    <w:pPr>
      <w:snapToGrid w:val="0"/>
    </w:pPr>
    <w:rPr>
      <w:rFonts w:ascii="Arial" w:hAnsi="Arial" w:cs="Arial"/>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1"/>
    <w:next w:val="22"/>
    <w:qFormat/>
    <w:uiPriority w:val="0"/>
    <w:pPr>
      <w:ind w:firstLine="420"/>
    </w:pPr>
    <w:rPr>
      <w:rFonts w:ascii="Times New Roman" w:hAnsi="Times New Roman" w:eastAsia="楷体_GB2312"/>
      <w:kern w:val="0"/>
      <w:sz w:val="20"/>
      <w:szCs w:val="20"/>
    </w:rPr>
  </w:style>
  <w:style w:type="paragraph" w:styleId="22">
    <w:name w:val="Body Text First Indent 2"/>
    <w:basedOn w:val="12"/>
    <w:next w:val="2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3">
    <w:name w:val="样式 正文首行缩进 2 + Arial"/>
    <w:basedOn w:val="1"/>
    <w:next w:val="1"/>
    <w:unhideWhenUsed/>
    <w:qFormat/>
    <w:uiPriority w:val="0"/>
    <w:pPr>
      <w:spacing w:before="100" w:beforeLines="0" w:beforeAutospacing="1" w:after="120" w:afterLines="0" w:line="320" w:lineRule="atLeast"/>
      <w:ind w:firstLine="200" w:firstLineChars="200"/>
    </w:pPr>
    <w:rPr>
      <w:rFonts w:hint="default" w:ascii="Arial" w:hAnsi="Arial" w:cs="Arial"/>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99"/>
    <w:rPr>
      <w:rFonts w:ascii="Arial" w:hAnsi="Arial" w:eastAsia="黑体"/>
      <w:color w:val="0000FF"/>
      <w:kern w:val="2"/>
      <w:sz w:val="21"/>
      <w:szCs w:val="21"/>
      <w:u w:val="single"/>
      <w:lang w:val="en-US" w:eastAsia="zh-CN" w:bidi="ar-SA"/>
    </w:rPr>
  </w:style>
  <w:style w:type="paragraph" w:customStyle="1" w:styleId="28">
    <w:name w:val="正文缩进1"/>
    <w:basedOn w:val="29"/>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9">
    <w:name w:val="正文1"/>
    <w:basedOn w:val="1"/>
    <w:qFormat/>
    <w:uiPriority w:val="0"/>
    <w:pPr>
      <w:adjustRightInd w:val="0"/>
      <w:spacing w:line="240" w:lineRule="atLeast"/>
      <w:jc w:val="center"/>
      <w:textAlignment w:val="baseline"/>
    </w:pPr>
    <w:rPr>
      <w:rFonts w:ascii="Tahoma" w:hAnsi="Tahoma"/>
      <w:sz w:val="24"/>
    </w:rPr>
  </w:style>
  <w:style w:type="paragraph" w:customStyle="1" w:styleId="30">
    <w:name w:val="样式 宋体 行距: 1.5 倍行距"/>
    <w:basedOn w:val="1"/>
    <w:qFormat/>
    <w:uiPriority w:val="0"/>
    <w:pPr>
      <w:jc w:val="center"/>
    </w:pPr>
    <w:rPr>
      <w:b/>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发文落款"/>
    <w:basedOn w:val="32"/>
    <w:qFormat/>
    <w:uiPriority w:val="0"/>
    <w:pPr>
      <w:ind w:left="4094" w:right="607" w:firstLine="0"/>
      <w:jc w:val="center"/>
    </w:pPr>
  </w:style>
  <w:style w:type="paragraph" w:customStyle="1" w:styleId="34">
    <w:name w:val="Table Paragraph"/>
    <w:basedOn w:val="1"/>
    <w:unhideWhenUsed/>
    <w:qFormat/>
    <w:uiPriority w:val="1"/>
    <w:pPr>
      <w:spacing w:beforeLines="0" w:afterLines="0"/>
    </w:pPr>
    <w:rPr>
      <w:rFonts w:hint="default"/>
      <w:sz w:val="24"/>
      <w:szCs w:val="24"/>
    </w:rPr>
  </w:style>
  <w:style w:type="paragraph" w:customStyle="1" w:styleId="35">
    <w:name w:val="WPSOffice手动目录 1"/>
    <w:qFormat/>
    <w:uiPriority w:val="0"/>
    <w:pPr>
      <w:ind w:leftChars="0"/>
    </w:pPr>
    <w:rPr>
      <w:rFonts w:ascii="Arial" w:hAnsi="Arial" w:eastAsia="Arial" w:cs="Arial"/>
      <w:sz w:val="20"/>
      <w:szCs w:val="20"/>
    </w:rPr>
  </w:style>
  <w:style w:type="paragraph" w:customStyle="1" w:styleId="36">
    <w:name w:val="WPSOffice手动目录 2"/>
    <w:qFormat/>
    <w:uiPriority w:val="0"/>
    <w:pPr>
      <w:ind w:leftChars="200"/>
    </w:pPr>
    <w:rPr>
      <w:rFonts w:ascii="Arial" w:hAnsi="Arial" w:eastAsia="Arial" w:cs="Arial"/>
      <w:sz w:val="20"/>
      <w:szCs w:val="20"/>
    </w:rPr>
  </w:style>
  <w:style w:type="paragraph" w:customStyle="1" w:styleId="37">
    <w:name w:val="WPSOffice手动目录 3"/>
    <w:qFormat/>
    <w:uiPriority w:val="0"/>
    <w:pPr>
      <w:ind w:leftChars="400"/>
    </w:pPr>
    <w:rPr>
      <w:rFonts w:ascii="Arial" w:hAnsi="Arial" w:eastAsia="Arial" w:cs="Arial"/>
      <w:sz w:val="20"/>
      <w:szCs w:val="20"/>
    </w:rPr>
  </w:style>
  <w:style w:type="paragraph" w:customStyle="1" w:styleId="3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7230</Words>
  <Characters>7783</Characters>
  <TotalTime>1</TotalTime>
  <ScaleCrop>false</ScaleCrop>
  <LinksUpToDate>false</LinksUpToDate>
  <CharactersWithSpaces>8070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2017-10-24T10:55:00Z</dcterms:created>
  <dc:creator>lenovo</dc:creator>
  <cp:lastModifiedBy>JK</cp:lastModifiedBy>
  <cp:lastPrinted>2022-08-23T03:23:00Z</cp:lastPrinted>
  <dcterms:modified xsi:type="dcterms:W3CDTF">2025-06-30T08:48:56Z</dcterms:modified>
  <dc:title>&lt;433A5C55736572735C6C656E6F766F5C4465736B746F705CB8BDBCFE342DB1EAD7BCC9E8BCC6D5D0B1EACEC4BCFEB3F6B0E62E777073&gt;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2022-08-15T17:04:20Z</vt:filetime>
  </property>
  <property fmtid="{D5CDD505-2E9C-101B-9397-08002B2CF9AE}" pid="4" name="KSOProductBuildVer">
    <vt:lpwstr>2052-12.1.0.21541</vt:lpwstr>
  </property>
  <property fmtid="{D5CDD505-2E9C-101B-9397-08002B2CF9AE}" pid="5" name="ICV">
    <vt:lpwstr>9BEF343E99CF44CB828430D1EBC02505_13</vt:lpwstr>
  </property>
  <property fmtid="{D5CDD505-2E9C-101B-9397-08002B2CF9AE}" pid="6" name="KSOTemplateDocerSaveRecord">
    <vt:lpwstr>eyJoZGlkIjoiMDQzZmJjOGUxNWQ3ZjZiNmQ3NmU4OTRkOWEwMmE1Y2MiLCJ1c2VySWQiOiIyNTYxMzEyMzgifQ==</vt:lpwstr>
  </property>
</Properties>
</file>