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Cs/>
          <w:kern w:val="44"/>
          <w:sz w:val="28"/>
          <w:szCs w:val="28"/>
        </w:rPr>
      </w:pPr>
      <w:r>
        <w:rPr>
          <w:rFonts w:hint="eastAsia" w:ascii="宋体" w:hAnsi="宋体"/>
          <w:bCs/>
          <w:kern w:val="44"/>
          <w:sz w:val="28"/>
          <w:szCs w:val="28"/>
        </w:rPr>
        <w:t>附录1  资格审查条件(资质最低要求)</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072" w:type="dxa"/>
            <w:noWrap w:val="0"/>
            <w:vAlign w:val="center"/>
          </w:tcPr>
          <w:p>
            <w:pPr>
              <w:jc w:val="center"/>
              <w:rPr>
                <w:rFonts w:ascii="宋体" w:hAnsi="宋体"/>
                <w:sz w:val="24"/>
              </w:rPr>
            </w:pPr>
            <w:r>
              <w:rPr>
                <w:rFonts w:hint="eastAsia" w:ascii="宋体" w:hAnsi="宋体"/>
                <w:sz w:val="24"/>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072" w:type="dxa"/>
            <w:noWrap w:val="0"/>
            <w:vAlign w:val="center"/>
          </w:tcPr>
          <w:p>
            <w:pPr>
              <w:jc w:val="left"/>
              <w:rPr>
                <w:rFonts w:hint="eastAsia" w:ascii="宋体" w:hAnsi="宋体"/>
                <w:sz w:val="24"/>
              </w:rPr>
            </w:pPr>
            <w:r>
              <w:rPr>
                <w:rFonts w:hint="eastAsia" w:ascii="宋体" w:hAnsi="宋体"/>
                <w:sz w:val="24"/>
              </w:rPr>
              <w:t>中华人民共和国国内注册成立的独立企业法人。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7" w:hRule="atLeast"/>
          <w:jc w:val="center"/>
        </w:trPr>
        <w:tc>
          <w:tcPr>
            <w:tcW w:w="9072" w:type="dxa"/>
            <w:noWrap w:val="0"/>
            <w:vAlign w:val="center"/>
          </w:tcPr>
          <w:p>
            <w:pPr>
              <w:spacing w:line="320" w:lineRule="atLeast"/>
              <w:rPr>
                <w:rFonts w:ascii="宋体" w:hAnsi="宋体" w:cs="宋体"/>
                <w:sz w:val="24"/>
              </w:rPr>
            </w:pPr>
            <w:r>
              <w:rPr>
                <w:rFonts w:hint="eastAsia" w:ascii="宋体" w:hAnsi="宋体"/>
                <w:sz w:val="24"/>
              </w:rPr>
              <w:t>具备建设主管部门核发的公路工程施工总承包三级（或以上）资质。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3" w:hRule="atLeast"/>
          <w:jc w:val="center"/>
        </w:trPr>
        <w:tc>
          <w:tcPr>
            <w:tcW w:w="9072" w:type="dxa"/>
            <w:noWrap w:val="0"/>
            <w:vAlign w:val="center"/>
          </w:tcPr>
          <w:p>
            <w:pPr>
              <w:snapToGrid w:val="0"/>
              <w:spacing w:line="320" w:lineRule="atLeast"/>
              <w:rPr>
                <w:rFonts w:ascii="宋体" w:hAnsi="宋体" w:cs="宋体"/>
                <w:sz w:val="24"/>
              </w:rPr>
            </w:pPr>
            <w:r>
              <w:rPr>
                <w:rFonts w:hint="eastAsia" w:ascii="宋体" w:hAnsi="宋体"/>
                <w:sz w:val="24"/>
              </w:rPr>
              <w:t>招标人将按照交通运输部《全国公路建设市场信用信息管理系统》网站中“公路工程施工资质企业名录”（以下简称“名录”）进行审核。对于未列入“名录”或投标人名称、资质信息与“名录”查询结果不符的，将不能通过资格审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9072" w:type="dxa"/>
            <w:noWrap w:val="0"/>
            <w:vAlign w:val="center"/>
          </w:tcPr>
          <w:p>
            <w:pPr>
              <w:spacing w:line="320" w:lineRule="atLeast"/>
              <w:rPr>
                <w:rFonts w:ascii="宋体" w:hAnsi="宋体"/>
                <w:sz w:val="24"/>
              </w:rPr>
            </w:pPr>
            <w:r>
              <w:rPr>
                <w:rFonts w:hint="eastAsia" w:ascii="宋体" w:hAnsi="宋体"/>
                <w:b/>
                <w:bCs/>
                <w:sz w:val="24"/>
              </w:rPr>
              <w:t>安全生产资格：</w:t>
            </w:r>
          </w:p>
          <w:p>
            <w:pPr>
              <w:snapToGrid w:val="0"/>
              <w:spacing w:line="320" w:lineRule="atLeast"/>
              <w:rPr>
                <w:rFonts w:ascii="宋体" w:hAnsi="宋体" w:cs="宋体"/>
                <w:sz w:val="24"/>
              </w:rPr>
            </w:pPr>
            <w:r>
              <w:rPr>
                <w:rFonts w:hint="eastAsia" w:ascii="宋体" w:hAnsi="宋体"/>
                <w:sz w:val="24"/>
              </w:rPr>
              <w:t>投标人应具有合法有效的安全生产许可证。</w:t>
            </w:r>
          </w:p>
        </w:tc>
      </w:tr>
    </w:tbl>
    <w:p>
      <w:pPr>
        <w:spacing w:line="360" w:lineRule="auto"/>
        <w:jc w:val="left"/>
        <w:rPr>
          <w:rFonts w:hint="eastAsia" w:ascii="宋体" w:hAnsi="宋体"/>
          <w:sz w:val="24"/>
        </w:rPr>
      </w:pPr>
    </w:p>
    <w:p>
      <w:pPr>
        <w:spacing w:line="360" w:lineRule="auto"/>
        <w:jc w:val="center"/>
        <w:rPr>
          <w:rFonts w:hint="eastAsia" w:ascii="宋体" w:hAnsi="宋体"/>
          <w:bCs/>
          <w:kern w:val="44"/>
          <w:sz w:val="28"/>
          <w:szCs w:val="28"/>
        </w:rPr>
      </w:pPr>
      <w:r>
        <w:rPr>
          <w:rFonts w:hint="eastAsia" w:ascii="宋体" w:hAnsi="宋体"/>
          <w:bCs/>
          <w:kern w:val="44"/>
          <w:sz w:val="28"/>
          <w:szCs w:val="28"/>
        </w:rPr>
        <w:t>附录2  资格审查条件(财务最低要求)</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072" w:type="dxa"/>
            <w:noWrap w:val="0"/>
            <w:vAlign w:val="center"/>
          </w:tcPr>
          <w:p>
            <w:pPr>
              <w:jc w:val="center"/>
              <w:rPr>
                <w:rFonts w:ascii="宋体" w:hAnsi="宋体"/>
                <w:sz w:val="24"/>
              </w:rPr>
            </w:pPr>
            <w:r>
              <w:rPr>
                <w:rFonts w:hint="eastAsia" w:ascii="宋体" w:hAnsi="宋体"/>
                <w:sz w:val="24"/>
              </w:rPr>
              <w:t>财 务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8" w:hRule="atLeast"/>
          <w:jc w:val="center"/>
        </w:trPr>
        <w:tc>
          <w:tcPr>
            <w:tcW w:w="9072" w:type="dxa"/>
            <w:noWrap w:val="0"/>
            <w:vAlign w:val="center"/>
          </w:tcPr>
          <w:p>
            <w:pPr>
              <w:spacing w:line="360" w:lineRule="auto"/>
              <w:jc w:val="left"/>
              <w:rPr>
                <w:rFonts w:ascii="宋体" w:hAnsi="宋体"/>
                <w:sz w:val="24"/>
              </w:rPr>
            </w:pPr>
            <w:r>
              <w:rPr>
                <w:rFonts w:hint="eastAsia" w:ascii="宋体" w:hAnsi="宋体"/>
                <w:sz w:val="24"/>
              </w:rPr>
              <w:t>1、企业净资产（总资产-总负债）不少于</w:t>
            </w:r>
            <w:r>
              <w:rPr>
                <w:rFonts w:hint="eastAsia" w:ascii="宋体" w:hAnsi="宋体"/>
                <w:sz w:val="24"/>
                <w:u w:val="single"/>
              </w:rPr>
              <w:t xml:space="preserve"> </w:t>
            </w:r>
            <w:r>
              <w:rPr>
                <w:rFonts w:hint="eastAsia" w:ascii="宋体" w:hAnsi="宋体"/>
                <w:sz w:val="24"/>
                <w:u w:val="single"/>
                <w:lang w:val="en-US" w:eastAsia="zh-CN"/>
              </w:rPr>
              <w:t>160</w:t>
            </w:r>
            <w:r>
              <w:rPr>
                <w:rFonts w:hint="eastAsia" w:ascii="宋体" w:hAnsi="宋体"/>
                <w:sz w:val="24"/>
                <w:u w:val="single"/>
              </w:rPr>
              <w:t>0</w:t>
            </w:r>
            <w:r>
              <w:rPr>
                <w:rFonts w:hint="eastAsia" w:ascii="宋体" w:hAnsi="宋体"/>
                <w:sz w:val="24"/>
              </w:rPr>
              <w:t>万元人民币；</w:t>
            </w:r>
          </w:p>
          <w:p>
            <w:pPr>
              <w:spacing w:line="360" w:lineRule="auto"/>
              <w:jc w:val="left"/>
              <w:rPr>
                <w:rFonts w:hint="eastAsia" w:ascii="宋体" w:hAnsi="宋体"/>
                <w:sz w:val="24"/>
              </w:rPr>
            </w:pPr>
            <w:r>
              <w:rPr>
                <w:rFonts w:hint="eastAsia" w:ascii="宋体" w:hAnsi="宋体"/>
                <w:sz w:val="24"/>
              </w:rPr>
              <w:t>2、营运资金（流动资产－流动负债）不少于</w:t>
            </w:r>
            <w:r>
              <w:rPr>
                <w:rFonts w:ascii="宋体" w:hAnsi="宋体"/>
                <w:sz w:val="24"/>
                <w:u w:val="single"/>
              </w:rPr>
              <w:t>1</w:t>
            </w:r>
            <w:r>
              <w:rPr>
                <w:rFonts w:hint="eastAsia" w:ascii="宋体" w:hAnsi="宋体"/>
                <w:sz w:val="24"/>
                <w:u w:val="single"/>
                <w:lang w:val="en-US" w:eastAsia="zh-CN"/>
              </w:rPr>
              <w:t>6</w:t>
            </w:r>
            <w:r>
              <w:rPr>
                <w:rFonts w:hint="eastAsia" w:ascii="宋体" w:hAnsi="宋体"/>
                <w:sz w:val="24"/>
                <w:u w:val="single"/>
              </w:rPr>
              <w:t>00</w:t>
            </w:r>
            <w:r>
              <w:rPr>
                <w:rFonts w:hint="eastAsia" w:ascii="宋体" w:hAnsi="宋体"/>
                <w:sz w:val="24"/>
              </w:rPr>
              <w:t xml:space="preserve">万元人民币； </w:t>
            </w:r>
          </w:p>
          <w:p>
            <w:pPr>
              <w:spacing w:line="360" w:lineRule="auto"/>
              <w:jc w:val="left"/>
              <w:rPr>
                <w:rFonts w:hint="eastAsia" w:ascii="宋体" w:hAnsi="宋体"/>
                <w:sz w:val="24"/>
              </w:rPr>
            </w:pPr>
            <w:r>
              <w:rPr>
                <w:rFonts w:hint="eastAsia" w:ascii="宋体" w:hAnsi="宋体"/>
                <w:sz w:val="24"/>
              </w:rPr>
              <w:t>3、最近三个年度的平均营业总收入不少于</w:t>
            </w:r>
            <w:r>
              <w:rPr>
                <w:rFonts w:ascii="宋体" w:hAnsi="宋体"/>
                <w:sz w:val="24"/>
                <w:u w:val="single"/>
              </w:rPr>
              <w:t>1</w:t>
            </w:r>
            <w:r>
              <w:rPr>
                <w:rFonts w:hint="eastAsia" w:ascii="宋体" w:hAnsi="宋体"/>
                <w:sz w:val="24"/>
                <w:u w:val="single"/>
                <w:lang w:val="en-US" w:eastAsia="zh-CN"/>
              </w:rPr>
              <w:t>6</w:t>
            </w:r>
            <w:r>
              <w:rPr>
                <w:rFonts w:hint="eastAsia" w:ascii="宋体" w:hAnsi="宋体"/>
                <w:sz w:val="24"/>
                <w:u w:val="single"/>
              </w:rPr>
              <w:t xml:space="preserve">00 </w:t>
            </w:r>
            <w:r>
              <w:rPr>
                <w:rFonts w:hint="eastAsia" w:ascii="宋体" w:hAnsi="宋体"/>
                <w:sz w:val="24"/>
              </w:rPr>
              <w:t>万元人民币；</w:t>
            </w:r>
          </w:p>
          <w:p>
            <w:pPr>
              <w:spacing w:line="360" w:lineRule="auto"/>
              <w:jc w:val="left"/>
              <w:rPr>
                <w:rFonts w:hint="eastAsia" w:ascii="宋体" w:hAnsi="宋体"/>
                <w:sz w:val="24"/>
              </w:rPr>
            </w:pPr>
            <w:r>
              <w:rPr>
                <w:rFonts w:hint="eastAsia" w:ascii="宋体" w:hAnsi="宋体"/>
                <w:sz w:val="24"/>
              </w:rPr>
              <w:t>4、最近三个年度至少有</w:t>
            </w:r>
            <w:r>
              <w:rPr>
                <w:rFonts w:hint="eastAsia" w:ascii="宋体" w:hAnsi="宋体"/>
                <w:sz w:val="24"/>
                <w:u w:val="single"/>
              </w:rPr>
              <w:t xml:space="preserve"> </w:t>
            </w:r>
            <w:r>
              <w:rPr>
                <w:rFonts w:ascii="宋体" w:hAnsi="宋体"/>
                <w:sz w:val="24"/>
                <w:u w:val="single"/>
              </w:rPr>
              <w:t>1</w:t>
            </w:r>
            <w:r>
              <w:rPr>
                <w:rFonts w:hint="eastAsia" w:ascii="宋体" w:hAnsi="宋体"/>
                <w:sz w:val="24"/>
                <w:u w:val="single"/>
              </w:rPr>
              <w:t xml:space="preserve"> </w:t>
            </w:r>
            <w:r>
              <w:rPr>
                <w:rFonts w:hint="eastAsia" w:ascii="宋体" w:hAnsi="宋体"/>
                <w:sz w:val="24"/>
              </w:rPr>
              <w:t>年盈利。</w:t>
            </w:r>
          </w:p>
        </w:tc>
      </w:tr>
    </w:tbl>
    <w:p>
      <w:pPr>
        <w:spacing w:line="360" w:lineRule="auto"/>
        <w:jc w:val="left"/>
        <w:rPr>
          <w:rFonts w:hint="eastAsia" w:ascii="宋体" w:hAnsi="宋体" w:cs="宋体"/>
          <w:sz w:val="24"/>
        </w:rPr>
      </w:pPr>
      <w:r>
        <w:rPr>
          <w:rFonts w:hint="eastAsia" w:ascii="宋体" w:hAnsi="宋体" w:cs="宋体"/>
          <w:sz w:val="24"/>
          <w:lang w:bidi="ar"/>
        </w:rPr>
        <w:t>注：1、企业净资产、营运资金是按交通运输部“全国公路建设市场信用信息管理系统”登记的最新年度数据计算得出。</w:t>
      </w:r>
    </w:p>
    <w:p>
      <w:pPr>
        <w:spacing w:line="360" w:lineRule="auto"/>
        <w:ind w:firstLine="480" w:firstLineChars="200"/>
        <w:jc w:val="left"/>
        <w:rPr>
          <w:rFonts w:hint="eastAsia" w:ascii="宋体" w:hAnsi="宋体"/>
          <w:sz w:val="28"/>
          <w:szCs w:val="28"/>
        </w:rPr>
      </w:pPr>
      <w:r>
        <w:rPr>
          <w:rFonts w:hint="eastAsia" w:ascii="宋体" w:hAnsi="宋体" w:cs="宋体"/>
          <w:sz w:val="24"/>
          <w:lang w:bidi="ar"/>
        </w:rPr>
        <w:t>2、近三年（201</w:t>
      </w:r>
      <w:r>
        <w:rPr>
          <w:rFonts w:ascii="宋体" w:hAnsi="宋体" w:cs="宋体"/>
          <w:sz w:val="24"/>
          <w:lang w:bidi="ar"/>
        </w:rPr>
        <w:t>9</w:t>
      </w:r>
      <w:r>
        <w:rPr>
          <w:rFonts w:hint="eastAsia" w:ascii="宋体" w:hAnsi="宋体" w:cs="宋体"/>
          <w:sz w:val="24"/>
          <w:lang w:bidi="ar"/>
        </w:rPr>
        <w:t>年至20</w:t>
      </w:r>
      <w:r>
        <w:rPr>
          <w:rFonts w:ascii="宋体" w:hAnsi="宋体" w:cs="宋体"/>
          <w:sz w:val="24"/>
          <w:lang w:bidi="ar"/>
        </w:rPr>
        <w:t>21</w:t>
      </w:r>
      <w:r>
        <w:rPr>
          <w:rFonts w:hint="eastAsia" w:ascii="宋体" w:hAnsi="宋体" w:cs="宋体"/>
          <w:sz w:val="24"/>
          <w:lang w:bidi="ar"/>
        </w:rPr>
        <w:t>年）财务信息以申请人提供的“全国公路建设市场信用信息管理系统”企业所填的信息截图为准，且还需提供最新一年度经会计师事务所或审计机构审计的财务审计意见（报告），主要提供（不限于）资产负债表、现金流量表、利润表/损益表的复印件。</w:t>
      </w:r>
    </w:p>
    <w:p>
      <w:pPr>
        <w:spacing w:line="360" w:lineRule="auto"/>
        <w:jc w:val="center"/>
        <w:rPr>
          <w:rFonts w:hint="eastAsia" w:ascii="宋体" w:hAnsi="宋体"/>
          <w:bCs/>
          <w:kern w:val="44"/>
          <w:sz w:val="28"/>
          <w:szCs w:val="28"/>
        </w:rPr>
      </w:pPr>
      <w:r>
        <w:rPr>
          <w:rFonts w:ascii="宋体" w:hAnsi="宋体"/>
          <w:sz w:val="28"/>
          <w:szCs w:val="28"/>
        </w:rPr>
        <w:br w:type="page"/>
      </w:r>
      <w:r>
        <w:rPr>
          <w:rFonts w:hint="eastAsia" w:ascii="宋体" w:hAnsi="宋体"/>
          <w:bCs/>
          <w:kern w:val="44"/>
          <w:sz w:val="28"/>
          <w:szCs w:val="28"/>
        </w:rPr>
        <w:t>附录3  资格审查条件(业绩最低要求)</w:t>
      </w:r>
    </w:p>
    <w:tbl>
      <w:tblPr>
        <w:tblStyle w:val="3"/>
        <w:tblpPr w:leftFromText="180" w:rightFromText="180" w:vertAnchor="text" w:horzAnchor="margin" w:tblpY="36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9120" w:type="dxa"/>
            <w:noWrap w:val="0"/>
            <w:vAlign w:val="center"/>
          </w:tcPr>
          <w:p>
            <w:pPr>
              <w:jc w:val="center"/>
              <w:rPr>
                <w:rFonts w:ascii="宋体" w:hAnsi="宋体"/>
                <w:sz w:val="24"/>
              </w:rPr>
            </w:pPr>
            <w:r>
              <w:rPr>
                <w:rFonts w:hint="eastAsia" w:ascii="宋体" w:hAnsi="宋体"/>
                <w:sz w:val="24"/>
              </w:rPr>
              <w:t>业 绩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6" w:hRule="atLeast"/>
        </w:trPr>
        <w:tc>
          <w:tcPr>
            <w:tcW w:w="9120" w:type="dxa"/>
            <w:noWrap w:val="0"/>
            <w:vAlign w:val="center"/>
          </w:tcPr>
          <w:p>
            <w:pPr>
              <w:spacing w:line="360" w:lineRule="auto"/>
              <w:ind w:firstLine="475" w:firstLineChars="198"/>
              <w:jc w:val="left"/>
              <w:rPr>
                <w:rFonts w:hint="eastAsia" w:ascii="宋体" w:hAnsi="宋体"/>
                <w:sz w:val="24"/>
                <w:highlight w:val="none"/>
              </w:rPr>
            </w:pPr>
            <w:r>
              <w:rPr>
                <w:rFonts w:hint="eastAsia" w:ascii="宋体" w:hAnsi="宋体"/>
                <w:sz w:val="24"/>
                <w:highlight w:val="none"/>
              </w:rPr>
              <w:t>近五年（2017 年 11 月 1 日至投标截止日），成功地独立完成：</w:t>
            </w:r>
          </w:p>
          <w:p>
            <w:pPr>
              <w:spacing w:line="360" w:lineRule="auto"/>
              <w:ind w:firstLine="475" w:firstLineChars="198"/>
              <w:jc w:val="left"/>
              <w:rPr>
                <w:rFonts w:hint="eastAsia" w:ascii="宋体" w:hAnsi="宋体"/>
                <w:sz w:val="24"/>
                <w:highlight w:val="none"/>
              </w:rPr>
            </w:pPr>
            <w:r>
              <w:rPr>
                <w:rFonts w:hint="eastAsia" w:ascii="宋体" w:hAnsi="宋体"/>
                <w:sz w:val="24"/>
                <w:highlight w:val="none"/>
              </w:rPr>
              <w:t>新建或改建或扩建或改造的三级公路或以上等级水泥混凝土路面施工业绩累计里程不少于</w:t>
            </w:r>
            <w:r>
              <w:rPr>
                <w:rFonts w:hint="eastAsia" w:ascii="宋体" w:hAnsi="宋体"/>
                <w:sz w:val="24"/>
                <w:highlight w:val="none"/>
                <w:lang w:val="en-US" w:eastAsia="zh-CN"/>
              </w:rPr>
              <w:t>24</w:t>
            </w:r>
            <w:r>
              <w:rPr>
                <w:rFonts w:hint="eastAsia" w:ascii="宋体" w:hAnsi="宋体"/>
                <w:sz w:val="24"/>
                <w:highlight w:val="none"/>
              </w:rPr>
              <w:t>公里。</w:t>
            </w:r>
          </w:p>
        </w:tc>
      </w:tr>
    </w:tbl>
    <w:p>
      <w:pPr>
        <w:spacing w:line="360" w:lineRule="auto"/>
        <w:jc w:val="left"/>
        <w:rPr>
          <w:rFonts w:hint="eastAsia" w:ascii="宋体" w:hAnsi="宋体" w:cs="宋体"/>
          <w:sz w:val="24"/>
          <w:highlight w:val="none"/>
          <w:lang w:bidi="ar"/>
        </w:rPr>
      </w:pPr>
      <w:r>
        <w:rPr>
          <w:rFonts w:hint="eastAsia" w:ascii="宋体" w:hAnsi="宋体" w:cs="宋体"/>
          <w:sz w:val="24"/>
          <w:highlight w:val="none"/>
          <w:lang w:bidi="ar"/>
        </w:rPr>
        <w:t xml:space="preserve">注：1、本附录所要求的业绩仅限中华人民共和国境内业绩。 </w:t>
      </w:r>
    </w:p>
    <w:p>
      <w:pPr>
        <w:spacing w:line="360" w:lineRule="auto"/>
        <w:jc w:val="left"/>
        <w:rPr>
          <w:rFonts w:hint="eastAsia" w:ascii="宋体" w:hAnsi="宋体" w:cs="宋体"/>
          <w:sz w:val="24"/>
          <w:highlight w:val="none"/>
          <w:lang w:bidi="ar"/>
        </w:rPr>
      </w:pPr>
      <w:r>
        <w:rPr>
          <w:rFonts w:hint="eastAsia" w:ascii="宋体" w:hAnsi="宋体" w:cs="宋体"/>
          <w:sz w:val="24"/>
          <w:highlight w:val="none"/>
          <w:lang w:bidi="ar"/>
        </w:rPr>
        <w:t>2、近年完成的业绩项目情况的时间要求：2017年11月1日至投标文件递交截止之日止（近5年），公路工程施工业绩以“全国公路建设市场信用信息管理系统”上的交工验收或未交工验收一次性竣工验收的时间为准。</w:t>
      </w:r>
    </w:p>
    <w:p>
      <w:pPr>
        <w:spacing w:line="360" w:lineRule="auto"/>
        <w:jc w:val="left"/>
        <w:rPr>
          <w:rFonts w:hint="eastAsia" w:ascii="宋体" w:hAnsi="宋体" w:cs="宋体"/>
          <w:sz w:val="24"/>
          <w:highlight w:val="none"/>
          <w:lang w:bidi="ar"/>
        </w:rPr>
      </w:pPr>
      <w:r>
        <w:rPr>
          <w:rFonts w:hint="eastAsia" w:ascii="宋体" w:hAnsi="宋体" w:cs="宋体"/>
          <w:sz w:val="24"/>
          <w:highlight w:val="none"/>
          <w:lang w:bidi="ar"/>
        </w:rPr>
        <w:t>3、“完成过”指工程完工并交工验收评定合格，或竣工验收经交通运输工程质量监督部门评定为质量合格。</w:t>
      </w:r>
    </w:p>
    <w:p>
      <w:pPr>
        <w:spacing w:line="360" w:lineRule="auto"/>
        <w:jc w:val="left"/>
        <w:rPr>
          <w:rFonts w:hint="eastAsia" w:ascii="宋体" w:hAnsi="宋体" w:cs="宋体"/>
          <w:sz w:val="24"/>
          <w:highlight w:val="none"/>
          <w:lang w:bidi="ar"/>
        </w:rPr>
      </w:pPr>
      <w:r>
        <w:rPr>
          <w:rFonts w:hint="eastAsia" w:ascii="宋体" w:hAnsi="宋体" w:cs="宋体"/>
          <w:sz w:val="24"/>
          <w:highlight w:val="none"/>
          <w:lang w:bidi="ar"/>
        </w:rPr>
        <w:t>4、本表要求业绩指由投标人独立承接并完成的业绩（不含以联合体形式承担的工程项目）；机构总部（如总公司、集团公司、局等）与其下属机构或专业单位的施工业绩经验不予认定。若投标人提供的“全国公路建设市场信用信息管理系统”业绩网页截图的主要工程量中既含有水泥混凝土路面又含有沥青混凝土路面，则需在主要工程量中体现水泥混凝土路面的具体长度，或主要工程量中水泥混凝土路面的工程量大于沥青混凝土路面的工程量，否则此业绩项目不予认定。</w:t>
      </w:r>
    </w:p>
    <w:p>
      <w:pPr>
        <w:spacing w:line="360" w:lineRule="auto"/>
        <w:jc w:val="left"/>
        <w:rPr>
          <w:rFonts w:ascii="宋体" w:hAnsi="宋体"/>
          <w:highlight w:val="cyan"/>
        </w:rPr>
      </w:pPr>
      <w:r>
        <w:rPr>
          <w:rFonts w:hint="eastAsia" w:ascii="宋体" w:hAnsi="宋体" w:cs="宋体"/>
          <w:sz w:val="24"/>
          <w:highlight w:val="none"/>
          <w:lang w:bidi="ar"/>
        </w:rPr>
        <w:t>5、本招标文件中所有“类似工程”均指新建或改、扩建或改造三级公路或以上等级水泥混凝土路面施工项目。在采用新建的公路项目完工业绩时，对于同公路等级改、扩建中的新建桥梁或隧道工程业绩也应认可，不含大中修、维修、修复、养护、病害处置、匝道、整治、抢险救灾工程、灾毁重建工程、房建工程、单项交安工程及安全防护工程的公路施工项目。</w:t>
      </w:r>
    </w:p>
    <w:p>
      <w:pPr>
        <w:spacing w:line="360" w:lineRule="auto"/>
        <w:jc w:val="center"/>
        <w:rPr>
          <w:rFonts w:hint="eastAsia" w:ascii="宋体" w:hAnsi="宋体" w:cs="黑体"/>
          <w:kern w:val="44"/>
          <w:sz w:val="30"/>
          <w:szCs w:val="30"/>
        </w:rPr>
      </w:pPr>
      <w:r>
        <w:rPr>
          <w:rFonts w:ascii="宋体" w:hAnsi="宋体"/>
        </w:rPr>
        <w:br w:type="page"/>
      </w:r>
      <w:r>
        <w:rPr>
          <w:rFonts w:hint="eastAsia" w:ascii="宋体" w:hAnsi="宋体"/>
          <w:bCs/>
          <w:kern w:val="44"/>
          <w:sz w:val="28"/>
          <w:szCs w:val="28"/>
        </w:rPr>
        <w:t>附录4  资格审查条件(信誉最低要求)</w:t>
      </w:r>
    </w:p>
    <w:tbl>
      <w:tblPr>
        <w:tblStyle w:val="3"/>
        <w:tblW w:w="0" w:type="auto"/>
        <w:jc w:val="center"/>
        <w:tblLayout w:type="fixed"/>
        <w:tblCellMar>
          <w:top w:w="0" w:type="dxa"/>
          <w:left w:w="108" w:type="dxa"/>
          <w:bottom w:w="0" w:type="dxa"/>
          <w:right w:w="108" w:type="dxa"/>
        </w:tblCellMar>
      </w:tblPr>
      <w:tblGrid>
        <w:gridCol w:w="9210"/>
      </w:tblGrid>
      <w:tr>
        <w:tblPrEx>
          <w:tblCellMar>
            <w:top w:w="0" w:type="dxa"/>
            <w:left w:w="108" w:type="dxa"/>
            <w:bottom w:w="0" w:type="dxa"/>
            <w:right w:w="108" w:type="dxa"/>
          </w:tblCellMar>
        </w:tblPrEx>
        <w:trPr>
          <w:trHeight w:val="641" w:hRule="atLeast"/>
          <w:jc w:val="center"/>
        </w:trPr>
        <w:tc>
          <w:tcPr>
            <w:tcW w:w="9210" w:type="dxa"/>
            <w:tcBorders>
              <w:top w:val="single" w:color="auto" w:sz="12" w:space="0"/>
              <w:left w:val="single" w:color="auto" w:sz="12" w:space="0"/>
              <w:bottom w:val="single" w:color="auto" w:sz="6" w:space="0"/>
              <w:right w:val="single" w:color="auto" w:sz="12" w:space="0"/>
            </w:tcBorders>
            <w:noWrap w:val="0"/>
            <w:vAlign w:val="center"/>
          </w:tcPr>
          <w:p>
            <w:pPr>
              <w:jc w:val="center"/>
              <w:rPr>
                <w:rFonts w:hint="eastAsia" w:ascii="宋体" w:hAnsi="宋体" w:cs="宋体"/>
                <w:sz w:val="24"/>
              </w:rPr>
            </w:pPr>
            <w:r>
              <w:rPr>
                <w:rFonts w:hint="eastAsia" w:ascii="宋体" w:hAnsi="宋体" w:cs="宋体"/>
                <w:sz w:val="24"/>
                <w:lang w:bidi="ar"/>
              </w:rPr>
              <w:t>信 誉 要 求</w:t>
            </w:r>
          </w:p>
        </w:tc>
      </w:tr>
      <w:tr>
        <w:tblPrEx>
          <w:tblCellMar>
            <w:top w:w="0" w:type="dxa"/>
            <w:left w:w="108" w:type="dxa"/>
            <w:bottom w:w="0" w:type="dxa"/>
            <w:right w:w="108" w:type="dxa"/>
          </w:tblCellMar>
        </w:tblPrEx>
        <w:trPr>
          <w:trHeight w:val="1740" w:hRule="atLeast"/>
          <w:jc w:val="center"/>
        </w:trPr>
        <w:tc>
          <w:tcPr>
            <w:tcW w:w="9210" w:type="dxa"/>
            <w:tcBorders>
              <w:top w:val="single" w:color="auto" w:sz="6" w:space="0"/>
              <w:left w:val="single" w:color="auto" w:sz="12" w:space="0"/>
              <w:bottom w:val="single" w:color="auto" w:sz="12" w:space="0"/>
              <w:right w:val="single" w:color="auto" w:sz="12" w:space="0"/>
            </w:tcBorders>
            <w:noWrap w:val="0"/>
            <w:vAlign w:val="center"/>
          </w:tcPr>
          <w:p>
            <w:pPr>
              <w:widowControl/>
              <w:spacing w:line="400" w:lineRule="atLeast"/>
              <w:ind w:firstLine="504" w:firstLineChars="210"/>
              <w:jc w:val="left"/>
              <w:rPr>
                <w:rFonts w:hint="eastAsia" w:ascii="宋体" w:hAnsi="宋体"/>
                <w:kern w:val="0"/>
                <w:sz w:val="24"/>
              </w:rPr>
            </w:pPr>
            <w:r>
              <w:rPr>
                <w:rFonts w:hint="eastAsia" w:ascii="宋体" w:hAnsi="宋体"/>
                <w:kern w:val="0"/>
                <w:sz w:val="24"/>
              </w:rPr>
              <w:t>在最新年度广东省公路工程从业单位（施工单位）信用评价（含无最新年度而上一年度有信用评价）中，信用等级未被评为D级；</w:t>
            </w:r>
          </w:p>
          <w:p>
            <w:pPr>
              <w:widowControl/>
              <w:spacing w:line="400" w:lineRule="atLeast"/>
              <w:ind w:firstLine="504" w:firstLineChars="210"/>
              <w:jc w:val="left"/>
              <w:rPr>
                <w:rFonts w:hint="eastAsia" w:ascii="宋体" w:hAnsi="宋体"/>
                <w:kern w:val="0"/>
                <w:sz w:val="24"/>
              </w:rPr>
            </w:pPr>
            <w:r>
              <w:rPr>
                <w:rFonts w:hint="eastAsia" w:ascii="宋体" w:hAnsi="宋体"/>
                <w:kern w:val="0"/>
                <w:sz w:val="24"/>
              </w:rPr>
              <w:t>初次进入广东省的投标人，在最新年度的全国公路从业单位（施工单位）信用评价结果中未被评为D级。</w:t>
            </w:r>
          </w:p>
        </w:tc>
      </w:tr>
    </w:tbl>
    <w:p>
      <w:pPr>
        <w:spacing w:before="120" w:after="120"/>
        <w:rPr>
          <w:rFonts w:hint="eastAsia" w:ascii="宋体" w:hAnsi="宋体"/>
          <w:bCs/>
          <w:kern w:val="44"/>
          <w:sz w:val="24"/>
        </w:rPr>
      </w:pPr>
      <w:r>
        <w:rPr>
          <w:rFonts w:hint="eastAsia" w:ascii="宋体" w:hAnsi="宋体"/>
          <w:bCs/>
          <w:kern w:val="44"/>
          <w:sz w:val="24"/>
        </w:rPr>
        <w:t>注：1、信用等级的确定原则遵遁投标人须知前附表10.2款的规定。</w:t>
      </w:r>
    </w:p>
    <w:p>
      <w:pPr>
        <w:spacing w:before="120" w:after="120"/>
        <w:rPr>
          <w:rFonts w:hint="eastAsia" w:ascii="宋体" w:hAnsi="宋体"/>
          <w:bCs/>
          <w:kern w:val="44"/>
          <w:sz w:val="28"/>
          <w:szCs w:val="28"/>
        </w:rPr>
      </w:pPr>
    </w:p>
    <w:p>
      <w:pPr>
        <w:spacing w:before="120" w:after="120"/>
        <w:rPr>
          <w:rFonts w:hint="eastAsia" w:ascii="宋体" w:hAnsi="宋体"/>
          <w:bCs/>
          <w:kern w:val="44"/>
          <w:sz w:val="28"/>
          <w:szCs w:val="28"/>
        </w:rPr>
      </w:pPr>
    </w:p>
    <w:p>
      <w:pPr>
        <w:spacing w:before="120" w:after="120"/>
        <w:jc w:val="center"/>
        <w:rPr>
          <w:rFonts w:ascii="宋体" w:hAnsi="宋体"/>
          <w:bCs/>
          <w:kern w:val="44"/>
          <w:sz w:val="28"/>
          <w:szCs w:val="28"/>
        </w:rPr>
      </w:pPr>
      <w:r>
        <w:rPr>
          <w:rFonts w:hint="eastAsia" w:ascii="宋体" w:hAnsi="宋体"/>
          <w:bCs/>
          <w:kern w:val="44"/>
          <w:sz w:val="28"/>
          <w:szCs w:val="28"/>
        </w:rPr>
        <w:t>附录5  资格审查条件(项目经理和项目总工最低要求)</w:t>
      </w:r>
    </w:p>
    <w:tbl>
      <w:tblPr>
        <w:tblStyle w:val="3"/>
        <w:tblW w:w="9330" w:type="dxa"/>
        <w:jc w:val="center"/>
        <w:tblLayout w:type="fixed"/>
        <w:tblCellMar>
          <w:top w:w="0" w:type="dxa"/>
          <w:left w:w="0" w:type="dxa"/>
          <w:bottom w:w="0" w:type="dxa"/>
          <w:right w:w="0" w:type="dxa"/>
        </w:tblCellMar>
      </w:tblPr>
      <w:tblGrid>
        <w:gridCol w:w="1233"/>
        <w:gridCol w:w="746"/>
        <w:gridCol w:w="6077"/>
        <w:gridCol w:w="1274"/>
      </w:tblGrid>
      <w:tr>
        <w:tblPrEx>
          <w:tblCellMar>
            <w:top w:w="0" w:type="dxa"/>
            <w:left w:w="0" w:type="dxa"/>
            <w:bottom w:w="0" w:type="dxa"/>
            <w:right w:w="0" w:type="dxa"/>
          </w:tblCellMar>
        </w:tblPrEx>
        <w:trPr>
          <w:trHeight w:val="658" w:hRule="atLeast"/>
          <w:jc w:val="center"/>
        </w:trPr>
        <w:tc>
          <w:tcPr>
            <w:tcW w:w="1233" w:type="dxa"/>
            <w:tcBorders>
              <w:top w:val="single" w:color="auto" w:sz="12" w:space="0"/>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Cs w:val="21"/>
              </w:rPr>
            </w:pPr>
            <w:r>
              <w:rPr>
                <w:rFonts w:hint="eastAsia" w:ascii="宋体" w:hAnsi="宋体"/>
                <w:kern w:val="0"/>
                <w:sz w:val="24"/>
              </w:rPr>
              <w:t>人员</w:t>
            </w:r>
          </w:p>
        </w:tc>
        <w:tc>
          <w:tcPr>
            <w:tcW w:w="746" w:type="dxa"/>
            <w:tcBorders>
              <w:top w:val="single" w:color="auto" w:sz="12"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Cs w:val="21"/>
              </w:rPr>
            </w:pPr>
            <w:r>
              <w:rPr>
                <w:rFonts w:hint="eastAsia" w:ascii="宋体" w:hAnsi="宋体"/>
                <w:kern w:val="0"/>
                <w:sz w:val="24"/>
              </w:rPr>
              <w:t>数量</w:t>
            </w:r>
          </w:p>
        </w:tc>
        <w:tc>
          <w:tcPr>
            <w:tcW w:w="6077" w:type="dxa"/>
            <w:tcBorders>
              <w:top w:val="single" w:color="auto" w:sz="12" w:space="0"/>
              <w:left w:val="nil"/>
              <w:bottom w:val="single" w:color="auto" w:sz="8" w:space="0"/>
              <w:right w:val="single" w:color="auto" w:sz="4" w:space="0"/>
            </w:tcBorders>
            <w:noWrap w:val="0"/>
            <w:tcMar>
              <w:top w:w="0" w:type="dxa"/>
              <w:left w:w="108" w:type="dxa"/>
              <w:bottom w:w="0" w:type="dxa"/>
              <w:right w:w="108" w:type="dxa"/>
            </w:tcMar>
            <w:vAlign w:val="center"/>
          </w:tcPr>
          <w:p>
            <w:pPr>
              <w:widowControl/>
              <w:jc w:val="center"/>
              <w:rPr>
                <w:rFonts w:ascii="宋体" w:hAnsi="宋体"/>
                <w:kern w:val="0"/>
                <w:szCs w:val="21"/>
              </w:rPr>
            </w:pPr>
            <w:r>
              <w:rPr>
                <w:rFonts w:hint="eastAsia" w:ascii="宋体" w:hAnsi="宋体"/>
                <w:kern w:val="0"/>
                <w:sz w:val="24"/>
              </w:rPr>
              <w:t>资 格 要 求</w:t>
            </w:r>
          </w:p>
        </w:tc>
        <w:tc>
          <w:tcPr>
            <w:tcW w:w="1274" w:type="dxa"/>
            <w:tcBorders>
              <w:top w:val="single" w:color="auto" w:sz="12" w:space="0"/>
              <w:left w:val="single" w:color="auto" w:sz="4" w:space="0"/>
              <w:bottom w:val="single" w:color="auto" w:sz="8" w:space="0"/>
              <w:right w:val="single" w:color="auto" w:sz="12" w:space="0"/>
            </w:tcBorders>
            <w:noWrap w:val="0"/>
            <w:vAlign w:val="center"/>
          </w:tcPr>
          <w:p>
            <w:pPr>
              <w:widowControl/>
              <w:jc w:val="center"/>
              <w:rPr>
                <w:rFonts w:ascii="宋体" w:hAnsi="宋体"/>
                <w:kern w:val="0"/>
                <w:sz w:val="24"/>
              </w:rPr>
            </w:pPr>
            <w:r>
              <w:rPr>
                <w:rFonts w:hint="eastAsia" w:ascii="宋体" w:hAnsi="宋体"/>
                <w:kern w:val="0"/>
                <w:sz w:val="24"/>
              </w:rPr>
              <w:t>在岗要求</w:t>
            </w:r>
          </w:p>
        </w:tc>
      </w:tr>
      <w:tr>
        <w:tblPrEx>
          <w:tblCellMar>
            <w:top w:w="0" w:type="dxa"/>
            <w:left w:w="0" w:type="dxa"/>
            <w:bottom w:w="0" w:type="dxa"/>
            <w:right w:w="0" w:type="dxa"/>
          </w:tblCellMar>
        </w:tblPrEx>
        <w:trPr>
          <w:trHeight w:val="2405" w:hRule="atLeast"/>
          <w:jc w:val="center"/>
        </w:trPr>
        <w:tc>
          <w:tcPr>
            <w:tcW w:w="1233"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kern w:val="0"/>
                <w:szCs w:val="21"/>
              </w:rPr>
            </w:pPr>
            <w:r>
              <w:rPr>
                <w:rFonts w:hint="eastAsia" w:ascii="宋体" w:hAnsi="宋体"/>
                <w:kern w:val="0"/>
                <w:sz w:val="24"/>
              </w:rPr>
              <w:t>项目经理</w:t>
            </w:r>
          </w:p>
        </w:tc>
        <w:tc>
          <w:tcPr>
            <w:tcW w:w="746"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Cs w:val="21"/>
              </w:rPr>
            </w:pPr>
            <w:r>
              <w:rPr>
                <w:rFonts w:hint="eastAsia" w:ascii="宋体" w:hAnsi="宋体"/>
                <w:kern w:val="0"/>
                <w:sz w:val="24"/>
              </w:rPr>
              <w:t>1</w:t>
            </w:r>
          </w:p>
        </w:tc>
        <w:tc>
          <w:tcPr>
            <w:tcW w:w="6077"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numPr>
                <w:ilvl w:val="0"/>
                <w:numId w:val="1"/>
              </w:numPr>
              <w:spacing w:line="400" w:lineRule="exact"/>
              <w:ind w:left="-22" w:firstLine="0"/>
              <w:rPr>
                <w:rFonts w:ascii="宋体" w:hAnsi="宋体"/>
                <w:kern w:val="0"/>
                <w:szCs w:val="21"/>
                <w:highlight w:val="none"/>
              </w:rPr>
            </w:pPr>
            <w:r>
              <w:rPr>
                <w:rFonts w:hint="eastAsia" w:ascii="宋体" w:hAnsi="宋体" w:cs="宋体"/>
                <w:sz w:val="24"/>
                <w:highlight w:val="none"/>
              </w:rPr>
              <w:t>路桥相关专业工程师或以上职称，持有有效的公路工程专业二级（或以上）建造师注册证书（不含临时资格证书，广东省外的投标人拟派项目经理需持有公路工程专业一级注册建造师注册证书），</w:t>
            </w:r>
            <w:r>
              <w:rPr>
                <w:rFonts w:hint="eastAsia"/>
                <w:spacing w:val="-5"/>
                <w:sz w:val="24"/>
                <w:highlight w:val="none"/>
              </w:rPr>
              <w:t>担任类似工程施工项目经理（或项目副经理或项目总工）岗位累计不少于 24个月</w:t>
            </w:r>
            <w:r>
              <w:rPr>
                <w:rFonts w:hint="eastAsia"/>
                <w:spacing w:val="-5"/>
                <w:sz w:val="24"/>
                <w:highlight w:val="none"/>
                <w:lang w:eastAsia="zh-CN"/>
              </w:rPr>
              <w:t>，</w:t>
            </w:r>
            <w:r>
              <w:rPr>
                <w:rFonts w:hint="eastAsia" w:ascii="宋体" w:hAnsi="宋体" w:cs="宋体"/>
                <w:sz w:val="24"/>
                <w:highlight w:val="none"/>
              </w:rPr>
              <w:t>具有交通运输主管部门颁发的有效安全生产“三类人员”B 类证书，年龄不超过55岁。</w:t>
            </w:r>
          </w:p>
        </w:tc>
        <w:tc>
          <w:tcPr>
            <w:tcW w:w="1274" w:type="dxa"/>
            <w:vMerge w:val="restart"/>
            <w:tcBorders>
              <w:top w:val="nil"/>
              <w:left w:val="single" w:color="auto" w:sz="4" w:space="0"/>
              <w:right w:val="single" w:color="auto" w:sz="12" w:space="0"/>
            </w:tcBorders>
            <w:noWrap w:val="0"/>
            <w:tcMar>
              <w:top w:w="0" w:type="dxa"/>
              <w:left w:w="108" w:type="dxa"/>
              <w:bottom w:w="0" w:type="dxa"/>
              <w:right w:w="108" w:type="dxa"/>
            </w:tcMar>
            <w:vAlign w:val="center"/>
          </w:tcPr>
          <w:p>
            <w:pPr>
              <w:widowControl/>
              <w:spacing w:line="400" w:lineRule="exact"/>
              <w:jc w:val="left"/>
              <w:rPr>
                <w:rFonts w:ascii="宋体" w:hAnsi="宋体"/>
                <w:kern w:val="0"/>
                <w:sz w:val="24"/>
              </w:rPr>
            </w:pPr>
            <w:r>
              <w:rPr>
                <w:rFonts w:hint="eastAsia" w:ascii="宋体" w:hAnsi="宋体" w:cs="宋体"/>
                <w:sz w:val="24"/>
              </w:rPr>
              <w:t>无在岗项目（指目前未在其他项目上任职，或虽在其他项目上任职但本项目中标后能够从该项目撤离）</w:t>
            </w:r>
          </w:p>
        </w:tc>
      </w:tr>
      <w:tr>
        <w:tblPrEx>
          <w:tblCellMar>
            <w:top w:w="0" w:type="dxa"/>
            <w:left w:w="0" w:type="dxa"/>
            <w:bottom w:w="0" w:type="dxa"/>
            <w:right w:w="0" w:type="dxa"/>
          </w:tblCellMar>
        </w:tblPrEx>
        <w:trPr>
          <w:trHeight w:val="1596" w:hRule="atLeast"/>
          <w:jc w:val="center"/>
        </w:trPr>
        <w:tc>
          <w:tcPr>
            <w:tcW w:w="1233" w:type="dxa"/>
            <w:tcBorders>
              <w:top w:val="nil"/>
              <w:left w:val="single" w:color="auto" w:sz="12" w:space="0"/>
              <w:bottom w:val="single" w:color="auto" w:sz="12"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Cs w:val="21"/>
              </w:rPr>
            </w:pPr>
            <w:r>
              <w:rPr>
                <w:rFonts w:hint="eastAsia" w:ascii="宋体" w:hAnsi="宋体"/>
                <w:kern w:val="0"/>
                <w:sz w:val="24"/>
              </w:rPr>
              <w:t>项目总工</w:t>
            </w:r>
          </w:p>
        </w:tc>
        <w:tc>
          <w:tcPr>
            <w:tcW w:w="746" w:type="dxa"/>
            <w:tcBorders>
              <w:top w:val="single" w:color="auto" w:sz="4" w:space="0"/>
              <w:left w:val="nil"/>
              <w:bottom w:val="single" w:color="auto" w:sz="12"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4"/>
              </w:rPr>
              <w:t>1</w:t>
            </w:r>
          </w:p>
        </w:tc>
        <w:tc>
          <w:tcPr>
            <w:tcW w:w="6077" w:type="dxa"/>
            <w:tcBorders>
              <w:top w:val="single" w:color="auto" w:sz="4" w:space="0"/>
              <w:left w:val="nil"/>
              <w:bottom w:val="single" w:color="auto" w:sz="12" w:space="0"/>
              <w:right w:val="single" w:color="auto" w:sz="4" w:space="0"/>
            </w:tcBorders>
            <w:noWrap w:val="0"/>
            <w:tcMar>
              <w:top w:w="0" w:type="dxa"/>
              <w:left w:w="108" w:type="dxa"/>
              <w:bottom w:w="0" w:type="dxa"/>
              <w:right w:w="108" w:type="dxa"/>
            </w:tcMar>
            <w:vAlign w:val="center"/>
          </w:tcPr>
          <w:p>
            <w:pPr>
              <w:widowControl/>
              <w:spacing w:line="400" w:lineRule="exact"/>
              <w:jc w:val="left"/>
              <w:rPr>
                <w:rFonts w:ascii="宋体" w:hAnsi="宋体"/>
                <w:kern w:val="0"/>
                <w:sz w:val="24"/>
                <w:highlight w:val="none"/>
              </w:rPr>
            </w:pPr>
            <w:r>
              <w:rPr>
                <w:rFonts w:hint="eastAsia" w:ascii="宋体" w:hAnsi="宋体" w:cs="宋体"/>
                <w:sz w:val="24"/>
                <w:highlight w:val="none"/>
              </w:rPr>
              <w:t>路桥相关专业工程师或以上职称，</w:t>
            </w:r>
            <w:r>
              <w:rPr>
                <w:rFonts w:hint="eastAsia"/>
                <w:spacing w:val="-7"/>
                <w:sz w:val="24"/>
                <w:highlight w:val="none"/>
              </w:rPr>
              <w:t>担任类似工程施工主管技术工作岗位累计不少于 24 个月</w:t>
            </w:r>
            <w:r>
              <w:rPr>
                <w:rFonts w:hint="eastAsia"/>
                <w:spacing w:val="-7"/>
                <w:sz w:val="24"/>
                <w:highlight w:val="none"/>
                <w:lang w:eastAsia="zh-CN"/>
              </w:rPr>
              <w:t>，</w:t>
            </w:r>
            <w:r>
              <w:rPr>
                <w:rFonts w:hint="eastAsia" w:ascii="宋体" w:hAnsi="宋体" w:cs="宋体"/>
                <w:sz w:val="24"/>
                <w:highlight w:val="none"/>
              </w:rPr>
              <w:t>具有交通运输主管部门颁发的有效安全生产“三类人员”B 类证书，年龄不超过55岁。</w:t>
            </w:r>
          </w:p>
        </w:tc>
        <w:tc>
          <w:tcPr>
            <w:tcW w:w="1274" w:type="dxa"/>
            <w:vMerge w:val="continue"/>
            <w:tcBorders>
              <w:left w:val="single" w:color="auto" w:sz="4" w:space="0"/>
              <w:bottom w:val="single" w:color="auto" w:sz="12" w:space="0"/>
              <w:right w:val="single" w:color="auto" w:sz="12" w:space="0"/>
            </w:tcBorders>
            <w:noWrap w:val="0"/>
            <w:vAlign w:val="center"/>
          </w:tcPr>
          <w:p>
            <w:pPr>
              <w:widowControl/>
              <w:spacing w:line="315" w:lineRule="atLeast"/>
              <w:jc w:val="left"/>
              <w:rPr>
                <w:rFonts w:ascii="宋体" w:hAnsi="宋体"/>
                <w:kern w:val="0"/>
                <w:sz w:val="24"/>
              </w:rPr>
            </w:pPr>
          </w:p>
        </w:tc>
      </w:tr>
    </w:tbl>
    <w:p>
      <w:pPr>
        <w:spacing w:line="360" w:lineRule="auto"/>
        <w:jc w:val="left"/>
        <w:rPr>
          <w:rFonts w:hint="eastAsia" w:ascii="宋体" w:hAnsi="宋体" w:cs="宋体"/>
          <w:sz w:val="24"/>
          <w:lang w:bidi="ar"/>
        </w:rPr>
      </w:pPr>
      <w:r>
        <w:rPr>
          <w:rFonts w:hint="eastAsia" w:ascii="宋体" w:hAnsi="宋体" w:cs="宋体"/>
          <w:sz w:val="24"/>
          <w:lang w:bidi="ar"/>
        </w:rPr>
        <w:t>注：1、资格要求的人员建造师注册证书、安全生产“三类人员”B 类证书均应在投标人所在单位，否则视为无效。</w:t>
      </w:r>
    </w:p>
    <w:p>
      <w:pPr>
        <w:spacing w:line="360" w:lineRule="auto"/>
        <w:jc w:val="left"/>
        <w:rPr>
          <w:rFonts w:hint="eastAsia" w:ascii="宋体" w:hAnsi="宋体" w:cs="宋体"/>
          <w:sz w:val="24"/>
          <w:lang w:bidi="ar"/>
        </w:rPr>
      </w:pPr>
      <w:r>
        <w:rPr>
          <w:rFonts w:hint="eastAsia" w:ascii="宋体" w:hAnsi="宋体" w:cs="宋体"/>
          <w:sz w:val="24"/>
          <w:lang w:bidi="ar"/>
        </w:rPr>
        <w:t>2、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土木工程等专业。</w:t>
      </w:r>
    </w:p>
    <w:p>
      <w:pPr>
        <w:spacing w:line="360" w:lineRule="auto"/>
        <w:ind w:firstLine="489" w:firstLineChars="204"/>
        <w:jc w:val="left"/>
        <w:rPr>
          <w:rFonts w:ascii="宋体" w:hAnsi="宋体" w:cs="宋体"/>
          <w:sz w:val="24"/>
          <w:lang w:bidi="ar"/>
        </w:rPr>
      </w:pPr>
      <w:r>
        <w:rPr>
          <w:rFonts w:ascii="宋体" w:hAnsi="宋体" w:cs="宋体"/>
          <w:sz w:val="24"/>
          <w:lang w:bidi="ar"/>
        </w:rPr>
        <w:br w:type="page"/>
      </w:r>
      <w:r>
        <w:rPr>
          <w:rFonts w:hint="eastAsia" w:ascii="宋体" w:hAnsi="宋体"/>
          <w:bCs/>
          <w:kern w:val="44"/>
          <w:sz w:val="28"/>
          <w:szCs w:val="28"/>
        </w:rPr>
        <w:t>附录6  资格审查条件(其他管理和技术人员最低要求）</w:t>
      </w:r>
    </w:p>
    <w:tbl>
      <w:tblPr>
        <w:tblStyle w:val="3"/>
        <w:tblW w:w="95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729"/>
        <w:gridCol w:w="715"/>
        <w:gridCol w:w="607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21" w:hRule="atLeast"/>
          <w:tblHeader/>
          <w:jc w:val="center"/>
        </w:trPr>
        <w:tc>
          <w:tcPr>
            <w:tcW w:w="2729" w:type="dxa"/>
            <w:noWrap w:val="0"/>
            <w:vAlign w:val="center"/>
          </w:tcPr>
          <w:p>
            <w:pPr>
              <w:adjustRightInd w:val="0"/>
              <w:snapToGrid w:val="0"/>
              <w:spacing w:line="240" w:lineRule="atLeast"/>
              <w:jc w:val="center"/>
              <w:rPr>
                <w:rFonts w:ascii="宋体" w:hAnsi="宋体"/>
                <w:sz w:val="24"/>
              </w:rPr>
            </w:pPr>
            <w:r>
              <w:rPr>
                <w:rFonts w:hint="eastAsia" w:ascii="宋体" w:hAnsi="宋体"/>
                <w:sz w:val="24"/>
              </w:rPr>
              <w:t>人  员</w:t>
            </w:r>
          </w:p>
        </w:tc>
        <w:tc>
          <w:tcPr>
            <w:tcW w:w="715" w:type="dxa"/>
            <w:noWrap w:val="0"/>
            <w:vAlign w:val="center"/>
          </w:tcPr>
          <w:p>
            <w:pPr>
              <w:adjustRightInd w:val="0"/>
              <w:snapToGrid w:val="0"/>
              <w:spacing w:line="240" w:lineRule="atLeast"/>
              <w:jc w:val="center"/>
              <w:rPr>
                <w:rFonts w:ascii="宋体" w:hAnsi="宋体"/>
                <w:sz w:val="24"/>
              </w:rPr>
            </w:pPr>
            <w:r>
              <w:rPr>
                <w:rFonts w:hint="eastAsia" w:ascii="宋体" w:hAnsi="宋体"/>
                <w:sz w:val="24"/>
              </w:rPr>
              <w:t>数量</w:t>
            </w:r>
          </w:p>
        </w:tc>
        <w:tc>
          <w:tcPr>
            <w:tcW w:w="6072" w:type="dxa"/>
            <w:noWrap w:val="0"/>
            <w:vAlign w:val="center"/>
          </w:tcPr>
          <w:p>
            <w:pPr>
              <w:adjustRightInd w:val="0"/>
              <w:snapToGrid w:val="0"/>
              <w:spacing w:line="240" w:lineRule="atLeast"/>
              <w:jc w:val="center"/>
              <w:rPr>
                <w:rFonts w:ascii="宋体" w:hAnsi="宋体"/>
                <w:sz w:val="24"/>
              </w:rPr>
            </w:pPr>
            <w:r>
              <w:rPr>
                <w:rFonts w:hint="eastAsia" w:ascii="宋体" w:hAnsi="宋体"/>
                <w:sz w:val="24"/>
              </w:rPr>
              <w:t>资 格 要 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21" w:hRule="atLeast"/>
          <w:jc w:val="center"/>
        </w:trPr>
        <w:tc>
          <w:tcPr>
            <w:tcW w:w="2729" w:type="dxa"/>
            <w:noWrap w:val="0"/>
            <w:vAlign w:val="center"/>
          </w:tcPr>
          <w:p>
            <w:pPr>
              <w:snapToGrid w:val="0"/>
              <w:spacing w:line="240" w:lineRule="atLeast"/>
              <w:jc w:val="center"/>
              <w:rPr>
                <w:rFonts w:ascii="宋体" w:hAnsi="宋体"/>
                <w:sz w:val="24"/>
              </w:rPr>
            </w:pPr>
            <w:r>
              <w:rPr>
                <w:rFonts w:ascii="宋体" w:hAnsi="宋体" w:cs="宋体"/>
                <w:spacing w:val="-3"/>
                <w:sz w:val="24"/>
              </w:rPr>
              <w:t>专职安全生</w:t>
            </w:r>
            <w:r>
              <w:rPr>
                <w:rFonts w:ascii="宋体" w:hAnsi="宋体" w:cs="宋体"/>
                <w:spacing w:val="-2"/>
                <w:sz w:val="24"/>
              </w:rPr>
              <w:t>产管理人员</w:t>
            </w:r>
          </w:p>
        </w:tc>
        <w:tc>
          <w:tcPr>
            <w:tcW w:w="715" w:type="dxa"/>
            <w:noWrap w:val="0"/>
            <w:vAlign w:val="center"/>
          </w:tcPr>
          <w:p>
            <w:pPr>
              <w:adjustRightInd w:val="0"/>
              <w:snapToGrid w:val="0"/>
              <w:spacing w:line="240" w:lineRule="atLeast"/>
              <w:jc w:val="center"/>
              <w:rPr>
                <w:rFonts w:ascii="宋体" w:hAnsi="宋体"/>
                <w:sz w:val="24"/>
              </w:rPr>
            </w:pPr>
            <w:r>
              <w:rPr>
                <w:rFonts w:hint="eastAsia" w:ascii="宋体" w:hAnsi="宋体"/>
                <w:sz w:val="24"/>
              </w:rPr>
              <w:t>1</w:t>
            </w:r>
          </w:p>
        </w:tc>
        <w:tc>
          <w:tcPr>
            <w:tcW w:w="6072" w:type="dxa"/>
            <w:noWrap w:val="0"/>
            <w:vAlign w:val="center"/>
          </w:tcPr>
          <w:p>
            <w:pPr>
              <w:snapToGrid w:val="0"/>
              <w:spacing w:line="240" w:lineRule="atLeast"/>
              <w:rPr>
                <w:rFonts w:ascii="宋体" w:hAnsi="宋体"/>
                <w:sz w:val="24"/>
              </w:rPr>
            </w:pPr>
            <w:r>
              <w:rPr>
                <w:rFonts w:hint="eastAsia" w:ascii="宋体" w:hAnsi="宋体"/>
                <w:sz w:val="24"/>
              </w:rPr>
              <w:t>路桥相关专业中级工程师或以上职称，具有交通运输部门颁发 的有效安全生产“三类人员”C 类证书。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21" w:hRule="atLeast"/>
          <w:jc w:val="center"/>
        </w:trPr>
        <w:tc>
          <w:tcPr>
            <w:tcW w:w="2729" w:type="dxa"/>
            <w:noWrap w:val="0"/>
            <w:vAlign w:val="center"/>
          </w:tcPr>
          <w:p>
            <w:pPr>
              <w:snapToGrid w:val="0"/>
              <w:spacing w:line="240" w:lineRule="atLeast"/>
              <w:jc w:val="center"/>
              <w:rPr>
                <w:rFonts w:ascii="宋体" w:hAnsi="宋体"/>
                <w:sz w:val="24"/>
              </w:rPr>
            </w:pPr>
            <w:r>
              <w:rPr>
                <w:rFonts w:hint="eastAsia" w:ascii="宋体" w:hAnsi="宋体"/>
                <w:sz w:val="24"/>
              </w:rPr>
              <w:t>道路工程师</w:t>
            </w:r>
          </w:p>
        </w:tc>
        <w:tc>
          <w:tcPr>
            <w:tcW w:w="715" w:type="dxa"/>
            <w:noWrap w:val="0"/>
            <w:vAlign w:val="center"/>
          </w:tcPr>
          <w:p>
            <w:pPr>
              <w:adjustRightInd w:val="0"/>
              <w:snapToGrid w:val="0"/>
              <w:spacing w:line="240" w:lineRule="atLeast"/>
              <w:jc w:val="center"/>
              <w:rPr>
                <w:rFonts w:ascii="宋体" w:hAnsi="宋体"/>
                <w:sz w:val="24"/>
              </w:rPr>
            </w:pPr>
            <w:r>
              <w:rPr>
                <w:rFonts w:hint="eastAsia" w:ascii="宋体" w:hAnsi="宋体"/>
                <w:sz w:val="24"/>
              </w:rPr>
              <w:t>1</w:t>
            </w:r>
          </w:p>
        </w:tc>
        <w:tc>
          <w:tcPr>
            <w:tcW w:w="6072" w:type="dxa"/>
            <w:noWrap w:val="0"/>
            <w:vAlign w:val="center"/>
          </w:tcPr>
          <w:p>
            <w:pPr>
              <w:snapToGrid w:val="0"/>
              <w:spacing w:line="240" w:lineRule="atLeast"/>
              <w:rPr>
                <w:rFonts w:ascii="宋体" w:hAnsi="宋体"/>
                <w:sz w:val="24"/>
              </w:rPr>
            </w:pPr>
            <w:r>
              <w:rPr>
                <w:rFonts w:hint="eastAsia" w:ascii="宋体" w:hAnsi="宋体"/>
                <w:sz w:val="24"/>
              </w:rPr>
              <w:t>路桥相关专业中级工程师或以上职称。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727" w:hRule="atLeast"/>
          <w:jc w:val="center"/>
        </w:trPr>
        <w:tc>
          <w:tcPr>
            <w:tcW w:w="2729" w:type="dxa"/>
            <w:noWrap w:val="0"/>
            <w:vAlign w:val="center"/>
          </w:tcPr>
          <w:p>
            <w:pPr>
              <w:snapToGrid w:val="0"/>
              <w:spacing w:line="240" w:lineRule="atLeast"/>
              <w:jc w:val="center"/>
              <w:rPr>
                <w:rFonts w:ascii="宋体" w:hAnsi="宋体"/>
                <w:sz w:val="24"/>
              </w:rPr>
            </w:pPr>
            <w:r>
              <w:rPr>
                <w:rFonts w:hint="eastAsia" w:ascii="宋体" w:hAnsi="宋体"/>
                <w:sz w:val="24"/>
              </w:rPr>
              <w:t>试验检测工程师</w:t>
            </w:r>
          </w:p>
        </w:tc>
        <w:tc>
          <w:tcPr>
            <w:tcW w:w="715" w:type="dxa"/>
            <w:noWrap w:val="0"/>
            <w:vAlign w:val="center"/>
          </w:tcPr>
          <w:p>
            <w:pPr>
              <w:adjustRightInd w:val="0"/>
              <w:snapToGrid w:val="0"/>
              <w:spacing w:line="240" w:lineRule="atLeast"/>
              <w:jc w:val="center"/>
              <w:rPr>
                <w:rFonts w:ascii="宋体" w:hAnsi="宋体"/>
                <w:sz w:val="24"/>
              </w:rPr>
            </w:pPr>
            <w:r>
              <w:rPr>
                <w:rFonts w:hint="eastAsia" w:ascii="宋体" w:hAnsi="宋体"/>
                <w:sz w:val="24"/>
              </w:rPr>
              <w:t>1</w:t>
            </w:r>
          </w:p>
        </w:tc>
        <w:tc>
          <w:tcPr>
            <w:tcW w:w="6072" w:type="dxa"/>
            <w:noWrap w:val="0"/>
            <w:vAlign w:val="center"/>
          </w:tcPr>
          <w:p>
            <w:pPr>
              <w:snapToGrid w:val="0"/>
              <w:spacing w:line="240" w:lineRule="atLeast"/>
              <w:rPr>
                <w:rFonts w:ascii="宋体" w:hAnsi="宋体"/>
                <w:sz w:val="24"/>
              </w:rPr>
            </w:pPr>
            <w:r>
              <w:rPr>
                <w:rFonts w:hint="eastAsia" w:ascii="宋体" w:hAnsi="宋体"/>
                <w:sz w:val="24"/>
              </w:rPr>
              <w:t>工程师或以上职称，持有交通运输部工程质量监督局（原交通 运输部基本建设质量监督总站）颁发的试验检测工程师资格证书或交通运输部职业资格中心颁发的公路水运试验检测师资格证书。</w:t>
            </w:r>
          </w:p>
        </w:tc>
      </w:tr>
    </w:tbl>
    <w:p>
      <w:pPr>
        <w:spacing w:line="400" w:lineRule="exact"/>
        <w:ind w:firstLine="489" w:firstLineChars="204"/>
        <w:jc w:val="left"/>
        <w:rPr>
          <w:rFonts w:ascii="宋体" w:hAnsi="宋体" w:cs="宋体"/>
          <w:sz w:val="24"/>
          <w:lang w:bidi="ar"/>
        </w:rPr>
      </w:pPr>
    </w:p>
    <w:p>
      <w:pPr>
        <w:spacing w:line="360" w:lineRule="auto"/>
        <w:jc w:val="left"/>
        <w:rPr>
          <w:rFonts w:hint="eastAsia" w:ascii="宋体" w:hAnsi="宋体" w:cs="宋体"/>
          <w:bCs/>
          <w:sz w:val="24"/>
          <w:lang w:bidi="ar"/>
        </w:rPr>
      </w:pPr>
      <w:r>
        <w:rPr>
          <w:rFonts w:hint="eastAsia" w:ascii="宋体" w:hAnsi="宋体" w:cs="宋体"/>
          <w:bCs/>
          <w:sz w:val="24"/>
          <w:lang w:bidi="ar"/>
        </w:rPr>
        <w:t>注：1、投标人中标后专职安全生产管理人员的配备应按照交通部《公路水运工程安全生产监督管理办法（交通运输部令2017 年第25 号）的要求执行。</w:t>
      </w:r>
    </w:p>
    <w:p>
      <w:pPr>
        <w:spacing w:line="360" w:lineRule="auto"/>
        <w:jc w:val="left"/>
        <w:rPr>
          <w:rFonts w:hint="eastAsia" w:ascii="宋体" w:hAnsi="宋体" w:cs="宋体"/>
          <w:bCs/>
          <w:sz w:val="24"/>
          <w:lang w:bidi="ar"/>
        </w:rPr>
      </w:pPr>
      <w:r>
        <w:rPr>
          <w:rFonts w:hint="eastAsia" w:ascii="宋体" w:hAnsi="宋体" w:cs="宋体"/>
          <w:bCs/>
          <w:sz w:val="24"/>
          <w:lang w:bidi="ar"/>
        </w:rPr>
        <w:t>2、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土木工程等专业。</w:t>
      </w:r>
    </w:p>
    <w:p>
      <w:pPr>
        <w:spacing w:line="360" w:lineRule="auto"/>
        <w:jc w:val="left"/>
        <w:rPr>
          <w:rFonts w:ascii="宋体" w:hAnsi="宋体" w:cs="宋体"/>
          <w:sz w:val="24"/>
        </w:rPr>
      </w:pPr>
      <w:r>
        <w:rPr>
          <w:rFonts w:hint="eastAsia" w:ascii="宋体" w:hAnsi="宋体" w:cs="宋体"/>
          <w:bCs/>
          <w:sz w:val="24"/>
          <w:lang w:bidi="ar"/>
        </w:rPr>
        <w:t>3、“拟委任的其他管理和技术人员资历表”后应同时附①交通运输部“全国公路建设市场信用信息管理系统”中载明的、能够证明以上人员满足附录 6所提出的各项指标（即包括人员的“基本信息”、“职称信息”、“执业资格” 、“个人业绩”等栏目在内）的网页截图复印件或网页打印件、②安全生产考核合格证书在交通运输部公路水运工程施工企业安全生产管理人员信息公共查询平台上公开信息的网页截图复印件或网页打印件、④投标人所属社保机构出具的其他管理和技术人员的社保缴费证明或其他能够证明其他管理和技术人员参加社保的有效证明材料复印件（社保时段为投标文件递交截止日前半年时间内连续不少于三个月）。</w:t>
      </w:r>
    </w:p>
    <w:p/>
    <w:p/>
    <w:p/>
    <w:p>
      <w:pPr>
        <w:numPr>
          <w:ilvl w:val="0"/>
          <w:numId w:val="2"/>
        </w:numPr>
        <w:spacing w:after="100" w:afterAutospacing="1"/>
        <w:ind w:left="0" w:firstLine="0"/>
        <w:jc w:val="center"/>
        <w:outlineLvl w:val="1"/>
        <w:rPr>
          <w:rFonts w:hint="eastAsia" w:ascii="宋体" w:hAnsi="宋体" w:cs="宋体"/>
          <w:sz w:val="36"/>
          <w:szCs w:val="36"/>
          <w:lang w:bidi="ar"/>
        </w:rPr>
      </w:pPr>
      <w:bookmarkStart w:id="0" w:name="_Toc515548371"/>
      <w:r>
        <w:rPr>
          <w:rFonts w:hint="eastAsia" w:ascii="宋体" w:hAnsi="宋体" w:cs="宋体"/>
          <w:sz w:val="36"/>
          <w:szCs w:val="36"/>
          <w:lang w:bidi="ar"/>
        </w:rPr>
        <w:t>评标办法（技术评分最低标价法）</w:t>
      </w:r>
      <w:bookmarkEnd w:id="0"/>
    </w:p>
    <w:p>
      <w:pPr>
        <w:autoSpaceDE w:val="0"/>
        <w:autoSpaceDN w:val="0"/>
        <w:adjustRightInd w:val="0"/>
        <w:spacing w:line="360" w:lineRule="auto"/>
        <w:outlineLvl w:val="2"/>
        <w:rPr>
          <w:rFonts w:hint="eastAsia" w:ascii="宋体" w:hAnsi="宋体" w:cs="黑体"/>
          <w:b/>
          <w:kern w:val="0"/>
          <w:sz w:val="28"/>
          <w:lang w:bidi="ar"/>
        </w:rPr>
      </w:pPr>
      <w:bookmarkStart w:id="1" w:name="_Toc490681635"/>
      <w:bookmarkEnd w:id="1"/>
      <w:bookmarkStart w:id="2" w:name="_Toc514075373"/>
      <w:bookmarkStart w:id="3" w:name="_Toc509445949"/>
      <w:bookmarkStart w:id="4" w:name="_Toc509412708"/>
      <w:bookmarkStart w:id="5" w:name="_Toc509567593"/>
      <w:bookmarkStart w:id="6" w:name="_Toc515548372"/>
      <w:r>
        <w:rPr>
          <w:rFonts w:hint="eastAsia" w:ascii="宋体" w:hAnsi="宋体" w:cs="黑体"/>
          <w:b/>
          <w:kern w:val="0"/>
          <w:sz w:val="28"/>
          <w:lang w:bidi="ar"/>
        </w:rPr>
        <w:t>评标办法前附表</w:t>
      </w:r>
      <w:bookmarkEnd w:id="2"/>
      <w:bookmarkEnd w:id="3"/>
      <w:bookmarkEnd w:id="4"/>
      <w:bookmarkEnd w:id="5"/>
      <w:bookmarkEnd w:id="6"/>
      <w:r>
        <w:rPr>
          <w:rFonts w:hint="eastAsia" w:ascii="宋体" w:hAnsi="宋体" w:cs="黑体"/>
          <w:b/>
          <w:kern w:val="0"/>
          <w:sz w:val="28"/>
          <w:lang w:bidi="ar"/>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
        <w:gridCol w:w="1268"/>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3"/>
            <w:noWrap w:val="0"/>
            <w:vAlign w:val="top"/>
          </w:tcPr>
          <w:p>
            <w:pPr>
              <w:adjustRightInd w:val="0"/>
              <w:snapToGrid w:val="0"/>
              <w:spacing w:line="360" w:lineRule="auto"/>
              <w:jc w:val="center"/>
              <w:rPr>
                <w:rFonts w:ascii="宋体" w:hAnsi="宋体" w:cs="宋体"/>
                <w:b/>
                <w:szCs w:val="21"/>
              </w:rPr>
            </w:pPr>
            <w:r>
              <w:rPr>
                <w:rFonts w:hint="eastAsia" w:ascii="宋体" w:hAnsi="宋体" w:cs="宋体"/>
                <w:b/>
                <w:szCs w:val="21"/>
              </w:rPr>
              <w:t>条款号</w:t>
            </w:r>
          </w:p>
        </w:tc>
        <w:tc>
          <w:tcPr>
            <w:tcW w:w="6945" w:type="dxa"/>
            <w:noWrap w:val="0"/>
            <w:vAlign w:val="top"/>
          </w:tcPr>
          <w:p>
            <w:pPr>
              <w:adjustRightInd w:val="0"/>
              <w:snapToGrid w:val="0"/>
              <w:spacing w:line="360" w:lineRule="auto"/>
              <w:jc w:val="center"/>
              <w:rPr>
                <w:rFonts w:ascii="宋体" w:hAnsi="宋体" w:cs="宋体"/>
                <w:b/>
                <w:spacing w:val="4"/>
                <w:szCs w:val="21"/>
              </w:rPr>
            </w:pPr>
            <w:r>
              <w:rPr>
                <w:rFonts w:hint="eastAsia" w:ascii="宋体" w:hAnsi="宋体" w:cs="宋体"/>
                <w:b/>
                <w:spacing w:val="4"/>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trPr>
        <w:tc>
          <w:tcPr>
            <w:tcW w:w="967" w:type="dxa"/>
            <w:gridSpan w:val="2"/>
            <w:noWrap w:val="0"/>
            <w:vAlign w:val="top"/>
          </w:tcPr>
          <w:p>
            <w:pPr>
              <w:adjustRightInd w:val="0"/>
              <w:snapToGrid w:val="0"/>
              <w:spacing w:line="360" w:lineRule="auto"/>
              <w:jc w:val="center"/>
              <w:rPr>
                <w:rFonts w:ascii="宋体" w:hAnsi="宋体" w:cs="宋体"/>
                <w:szCs w:val="21"/>
              </w:rPr>
            </w:pPr>
            <w:r>
              <w:rPr>
                <w:rFonts w:hint="eastAsia" w:ascii="宋体" w:hAnsi="宋体" w:cs="宋体"/>
                <w:szCs w:val="21"/>
              </w:rPr>
              <w:t>1</w:t>
            </w:r>
          </w:p>
        </w:tc>
        <w:tc>
          <w:tcPr>
            <w:tcW w:w="1268" w:type="dxa"/>
            <w:noWrap w:val="0"/>
            <w:vAlign w:val="top"/>
          </w:tcPr>
          <w:p>
            <w:pPr>
              <w:adjustRightInd w:val="0"/>
              <w:snapToGrid w:val="0"/>
              <w:spacing w:line="360" w:lineRule="auto"/>
              <w:jc w:val="center"/>
              <w:rPr>
                <w:rFonts w:ascii="宋体" w:hAnsi="宋体" w:cs="宋体"/>
                <w:szCs w:val="21"/>
              </w:rPr>
            </w:pPr>
            <w:r>
              <w:rPr>
                <w:rFonts w:hint="eastAsia" w:ascii="宋体" w:hAnsi="宋体" w:cs="宋体"/>
                <w:szCs w:val="21"/>
              </w:rPr>
              <w:t>评标方法</w:t>
            </w:r>
          </w:p>
        </w:tc>
        <w:tc>
          <w:tcPr>
            <w:tcW w:w="6945"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评标价相等时，评标委员会依次按照以下优先顺序推荐中标候选人或确定中标人：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（1）按招标文件规定被认定为最新年度广东省公路工程从业单位信用评价等级较高的投标人优先；【采用如下的优先顺序：承诺使用的AA 级投标人、不承诺使用的AA 级投标人、承诺使用的A 级投标人、不承诺使用的A 级投标人、B 级投标人、未参评且被确定为B 级投标人】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（2）以投标人企业最新年度净资产较高的优先；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gridSpan w:val="2"/>
            <w:noWrap w:val="0"/>
            <w:vAlign w:val="top"/>
          </w:tcPr>
          <w:p>
            <w:pPr>
              <w:adjustRightInd w:val="0"/>
              <w:snapToGrid w:val="0"/>
              <w:spacing w:line="360" w:lineRule="auto"/>
              <w:jc w:val="center"/>
              <w:rPr>
                <w:rFonts w:ascii="宋体" w:hAnsi="宋体" w:cs="宋体"/>
                <w:szCs w:val="21"/>
              </w:rPr>
            </w:pPr>
            <w:r>
              <w:rPr>
                <w:rFonts w:hint="eastAsia" w:ascii="宋体" w:hAnsi="宋体" w:cs="宋体"/>
                <w:szCs w:val="21"/>
              </w:rPr>
              <w:t>2.1.1</w:t>
            </w:r>
          </w:p>
          <w:p>
            <w:pPr>
              <w:adjustRightInd w:val="0"/>
              <w:snapToGrid w:val="0"/>
              <w:spacing w:line="360" w:lineRule="auto"/>
              <w:jc w:val="center"/>
              <w:rPr>
                <w:rFonts w:ascii="宋体" w:hAnsi="宋体" w:cs="宋体"/>
                <w:szCs w:val="21"/>
              </w:rPr>
            </w:pPr>
            <w:r>
              <w:rPr>
                <w:rFonts w:hint="eastAsia" w:ascii="宋体" w:hAnsi="宋体" w:cs="宋体"/>
                <w:szCs w:val="21"/>
              </w:rPr>
              <w:t>2.1.3</w:t>
            </w:r>
          </w:p>
        </w:tc>
        <w:tc>
          <w:tcPr>
            <w:tcW w:w="1268" w:type="dxa"/>
            <w:noWrap w:val="0"/>
            <w:vAlign w:val="top"/>
          </w:tcPr>
          <w:p>
            <w:pPr>
              <w:adjustRightInd w:val="0"/>
              <w:snapToGrid w:val="0"/>
              <w:spacing w:line="360" w:lineRule="auto"/>
              <w:jc w:val="center"/>
              <w:rPr>
                <w:rFonts w:ascii="宋体" w:hAnsi="宋体" w:cs="宋体"/>
                <w:szCs w:val="21"/>
              </w:rPr>
            </w:pPr>
            <w:r>
              <w:rPr>
                <w:rFonts w:hint="eastAsia" w:ascii="宋体" w:hAnsi="宋体" w:cs="宋体"/>
                <w:szCs w:val="21"/>
              </w:rPr>
              <w:t>形式评审与响应性评审标准</w:t>
            </w:r>
          </w:p>
        </w:tc>
        <w:tc>
          <w:tcPr>
            <w:tcW w:w="6945" w:type="dxa"/>
            <w:noWrap w:val="0"/>
            <w:vAlign w:val="top"/>
          </w:tcPr>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第一个信封（商务及技术文件）评审标准：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（1）投标文件按照招标文件规定的格式、内容填写，字迹清晰可辨：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a.投标函按招标文件规定填报了项目名称、补遗书编号（如有）、工期、工程质量要求及安全目标；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b.投标函附录的所有数据均符合招标文件规定；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c.投标文件组成齐全完整，内容均按规定填写。</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（2）投标文件上法定代表人或其委托代理人的签字、项目经理及项目总工的签字、投标人的单位章盖章齐全，符合招标文件规定。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（3）投标人按照招标文件的规定提供了投标保证金：</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a.投标保证金金额符合招标文件规定的金额，且投标保证金有效期不少于投标有效期；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0" w:hRule="atLeast"/>
        </w:trPr>
        <w:tc>
          <w:tcPr>
            <w:tcW w:w="967" w:type="dxa"/>
            <w:gridSpan w:val="2"/>
            <w:noWrap w:val="0"/>
            <w:vAlign w:val="top"/>
          </w:tcPr>
          <w:p>
            <w:pPr>
              <w:adjustRightInd w:val="0"/>
              <w:snapToGrid w:val="0"/>
              <w:spacing w:line="360" w:lineRule="auto"/>
              <w:jc w:val="center"/>
              <w:rPr>
                <w:rFonts w:ascii="宋体" w:hAnsi="宋体" w:cs="宋体"/>
                <w:szCs w:val="21"/>
              </w:rPr>
            </w:pPr>
          </w:p>
        </w:tc>
        <w:tc>
          <w:tcPr>
            <w:tcW w:w="1268" w:type="dxa"/>
            <w:noWrap w:val="0"/>
            <w:vAlign w:val="top"/>
          </w:tcPr>
          <w:p>
            <w:pPr>
              <w:adjustRightInd w:val="0"/>
              <w:snapToGrid w:val="0"/>
              <w:spacing w:line="360" w:lineRule="auto"/>
              <w:jc w:val="center"/>
              <w:rPr>
                <w:rFonts w:ascii="宋体" w:hAnsi="宋体" w:cs="宋体"/>
                <w:szCs w:val="21"/>
              </w:rPr>
            </w:pPr>
          </w:p>
        </w:tc>
        <w:tc>
          <w:tcPr>
            <w:tcW w:w="6945"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lang w:eastAsia="zh-Hans"/>
              </w:rPr>
              <w:t>b</w:t>
            </w:r>
            <w:r>
              <w:rPr>
                <w:rFonts w:hint="eastAsia" w:ascii="宋体" w:hAnsi="宋体" w:cs="宋体"/>
                <w:szCs w:val="21"/>
              </w:rPr>
              <w:t>.</w:t>
            </w:r>
            <w:r>
              <w:rPr>
                <w:rFonts w:hint="eastAsia" w:ascii="宋体" w:hAnsi="宋体" w:cs="宋体"/>
                <w:kern w:val="0"/>
                <w:szCs w:val="21"/>
              </w:rPr>
              <w:t xml:space="preserve"> </w:t>
            </w:r>
            <w:r>
              <w:rPr>
                <w:rFonts w:hint="eastAsia" w:ascii="宋体" w:hAnsi="宋体" w:cs="宋体"/>
                <w:szCs w:val="21"/>
              </w:rPr>
              <w:t>若投标保证金采用银行保函</w:t>
            </w:r>
            <w:r>
              <w:rPr>
                <w:rFonts w:ascii="宋体" w:hAnsi="宋体" w:cs="宋体"/>
                <w:szCs w:val="21"/>
              </w:rPr>
              <w:t>、</w:t>
            </w:r>
            <w:r>
              <w:rPr>
                <w:rFonts w:hint="eastAsia" w:ascii="宋体" w:hAnsi="宋体" w:cs="宋体"/>
                <w:szCs w:val="21"/>
                <w:lang w:eastAsia="zh-Hans"/>
              </w:rPr>
              <w:t>保证保险</w:t>
            </w:r>
            <w:r>
              <w:rPr>
                <w:rFonts w:hint="eastAsia" w:ascii="宋体" w:hAnsi="宋体" w:cs="宋体"/>
                <w:szCs w:val="21"/>
              </w:rPr>
              <w:t>形式提交，银行保函的格式、开具保函的银行均满足招标文件要求，银行保函原件在递交投标文件时单独密封递交，其复印件装订在投标文件中。</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（4）投标人法定代表人授权委托代理人签署投标文件的，需提交授权委托书，且授权人和被授权人均在授权委托书上签名，未使用印章、签名章或其他电子制版签名代替。</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（5）投标人法定代表人亲自签署投标文件的，提供了法定代表人身份证明，且法定代表人在法定代表人身份证明上签名，未使用印章、签名章或其他电子制版签名代替。</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（6）投标人以联合体形式投标时，联合体满足招标文件的要求：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a.未进行资格预审的，投标人按照招标文件提供的格式签订了联合体协议书，明确各方承担连带责任，并明确了联合体牵头人；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b.已进行资格预审的，投标人提供了资格预审申请文件中所附的联合体协议书复印件，且通过资格预审后的联合体无成员增减或更换的情况。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（7）投标人如有分包计划，符合招标文件第二章“投标人须知”第1.11款规定，且按招标文件第九章“投标文件格式”的要求填写了“拟分包项目情况表”。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（8）同一投标人未提交两个以上不同的投标文件，但招标文件要求提交备选投标的除外。</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（9）投标文件中未出现有关投标报价的内容。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（10）投标文件载明的招标项目完成期限未超过招标文件规定的时限。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（11）投标文件对招标文件的实质性要求和条件作出响应。</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（12）权利义务符合招标文件规定：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a.投标人应接受招标文件规定的风险划分原则，未提出新的风险划分办法；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b.投标人未增加发包人的责任范围，或减少投标人义务；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c.投标人未提出不同的工程验收、计量、支付办法；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d.投标人对合同纠纷、事故处理办法未提出异议；</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e.投标人在投标活动中无欺诈行为；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f.投标人未对合同条款有重要保留。</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（13）投标文件正、副本份数符合招标文件第二章“投标人须知”第3.7.4项规定。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（14）投标文件未附有招标人不能接受的条件。</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第二个信封（报价文件）评审标准：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（1）投标文件按照招标文件规定的格式、内容填写，字迹清晰可辨：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a.投标函按招标文件规定填报了项目名称、补遗书编号（如有）、投标价（包括大写金额和小写金额）；</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b.已标价工程量清单说明文字与招标文件规定一致，未进行实质性修改和删减；</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c.投标文件组成齐全完整，内容均按规定填写。</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（2）投标文件上法定代表人或其委托代理人的签字、投标人的单位章盖章齐全，符合招标文件规定。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（3）投标报价或调价函中的报价不超过招标文件设定的最高评标限价。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（4）投标报价或调价函中报价的大写金额能够确定具体数值。</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（5）同一投标人未提交两个以上不同的投标报价，但招标文件要求提交备选投标的除外。</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（6）投标人若提交调价函，调价函符合招标文件第二章“投标人须知”第3.2.6项要求。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（7）投标人若填写工程量固化清单，填写完毕的工程量固化清单未对工程量固化清单电子文件中的数据、格式和运算定义进行修改；工程量固化清单中的投标报价和投标函大写金额报价一致。</w:t>
            </w:r>
          </w:p>
          <w:p>
            <w:pPr>
              <w:adjustRightInd w:val="0"/>
              <w:snapToGrid w:val="0"/>
              <w:spacing w:line="360" w:lineRule="auto"/>
              <w:ind w:firstLine="384" w:firstLineChars="183"/>
              <w:rPr>
                <w:rFonts w:ascii="宋体" w:hAnsi="宋体" w:cs="宋体"/>
                <w:szCs w:val="21"/>
              </w:rPr>
            </w:pPr>
            <w:r>
              <w:rPr>
                <w:rFonts w:hint="eastAsia" w:ascii="宋体" w:hAnsi="宋体" w:cs="宋体"/>
                <w:szCs w:val="21"/>
              </w:rPr>
              <w:t>（8）投标文件正、副本份数符合招标文件第二章“投标人须知”第3.7.4项规定。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before="120" w:after="120"/>
              <w:jc w:val="left"/>
              <w:rPr>
                <w:rFonts w:hint="eastAsia" w:ascii="宋体" w:hAnsi="宋体" w:cs="宋体"/>
                <w:szCs w:val="21"/>
                <w:lang w:bidi="ar"/>
              </w:rPr>
            </w:pPr>
            <w:r>
              <w:rPr>
                <w:rFonts w:ascii="宋体" w:hAnsi="宋体" w:cs="宋体"/>
                <w:szCs w:val="21"/>
                <w:lang w:bidi="ar"/>
              </w:rPr>
              <w:t>2.1.2</w:t>
            </w:r>
          </w:p>
        </w:tc>
        <w:tc>
          <w:tcPr>
            <w:tcW w:w="1276" w:type="dxa"/>
            <w:gridSpan w:val="2"/>
            <w:noWrap w:val="0"/>
            <w:vAlign w:val="top"/>
          </w:tcPr>
          <w:p>
            <w:pPr>
              <w:spacing w:before="120" w:after="120"/>
              <w:jc w:val="left"/>
              <w:rPr>
                <w:rFonts w:hint="eastAsia" w:ascii="宋体" w:hAnsi="宋体" w:cs="宋体"/>
                <w:szCs w:val="21"/>
                <w:lang w:bidi="ar"/>
              </w:rPr>
            </w:pPr>
            <w:r>
              <w:rPr>
                <w:rFonts w:hint="eastAsia" w:ascii="宋体" w:hAnsi="宋体" w:cs="宋体"/>
                <w:szCs w:val="21"/>
                <w:lang w:bidi="ar"/>
              </w:rPr>
              <w:t>资格评审标准</w:t>
            </w:r>
          </w:p>
        </w:tc>
        <w:tc>
          <w:tcPr>
            <w:tcW w:w="6945" w:type="dxa"/>
            <w:noWrap w:val="0"/>
            <w:vAlign w:val="top"/>
          </w:tcPr>
          <w:p>
            <w:pPr>
              <w:spacing w:before="120" w:after="120"/>
              <w:jc w:val="left"/>
              <w:rPr>
                <w:rFonts w:hint="eastAsia" w:ascii="宋体" w:hAnsi="宋体" w:cs="宋体"/>
                <w:szCs w:val="21"/>
                <w:lang w:bidi="ar"/>
              </w:rPr>
            </w:pPr>
            <w:r>
              <w:rPr>
                <w:rFonts w:hint="eastAsia" w:ascii="宋体" w:hAnsi="宋体" w:cs="宋体"/>
                <w:szCs w:val="21"/>
                <w:lang w:bidi="ar"/>
              </w:rPr>
              <w:t xml:space="preserve">（1）投标人具备有效的营业执照、组织机构代码证（如有）、资质证书、安全生产许可证和基本账户开户许可证。 </w:t>
            </w:r>
          </w:p>
          <w:p>
            <w:pPr>
              <w:spacing w:before="120" w:after="120"/>
              <w:jc w:val="left"/>
              <w:rPr>
                <w:rFonts w:hint="eastAsia" w:ascii="宋体" w:hAnsi="宋体" w:cs="宋体"/>
                <w:szCs w:val="21"/>
                <w:lang w:bidi="ar"/>
              </w:rPr>
            </w:pPr>
            <w:r>
              <w:rPr>
                <w:rFonts w:hint="eastAsia" w:ascii="宋体" w:hAnsi="宋体" w:cs="宋体"/>
                <w:szCs w:val="21"/>
                <w:lang w:bidi="ar"/>
              </w:rPr>
              <w:t>（2）投标人的资质等级符合招标文件规定。</w:t>
            </w:r>
          </w:p>
          <w:p>
            <w:pPr>
              <w:spacing w:before="120" w:after="120"/>
              <w:jc w:val="left"/>
              <w:rPr>
                <w:rFonts w:hint="eastAsia" w:ascii="宋体" w:hAnsi="宋体" w:cs="宋体"/>
                <w:szCs w:val="21"/>
                <w:lang w:bidi="ar"/>
              </w:rPr>
            </w:pPr>
            <w:r>
              <w:rPr>
                <w:rFonts w:hint="eastAsia" w:ascii="宋体" w:hAnsi="宋体" w:cs="宋体"/>
                <w:szCs w:val="21"/>
                <w:lang w:bidi="ar"/>
              </w:rPr>
              <w:t>（3）投标人的财务状况符合招标文件规定。</w:t>
            </w:r>
          </w:p>
          <w:p>
            <w:pPr>
              <w:spacing w:before="120" w:after="120"/>
              <w:jc w:val="left"/>
              <w:rPr>
                <w:rFonts w:hint="eastAsia" w:ascii="宋体" w:hAnsi="宋体" w:cs="宋体"/>
                <w:szCs w:val="21"/>
                <w:lang w:bidi="ar"/>
              </w:rPr>
            </w:pPr>
            <w:r>
              <w:rPr>
                <w:rFonts w:hint="eastAsia" w:ascii="宋体" w:hAnsi="宋体" w:cs="宋体"/>
                <w:szCs w:val="21"/>
                <w:lang w:bidi="ar"/>
              </w:rPr>
              <w:t>（4）投标人的类似项目业绩符合招标文件规定。</w:t>
            </w:r>
          </w:p>
          <w:p>
            <w:pPr>
              <w:spacing w:before="120" w:after="120"/>
              <w:jc w:val="left"/>
              <w:rPr>
                <w:rFonts w:hint="eastAsia" w:ascii="宋体" w:hAnsi="宋体" w:cs="宋体"/>
                <w:szCs w:val="21"/>
                <w:lang w:bidi="ar"/>
              </w:rPr>
            </w:pPr>
            <w:r>
              <w:rPr>
                <w:rFonts w:hint="eastAsia" w:ascii="宋体" w:hAnsi="宋体" w:cs="宋体"/>
                <w:szCs w:val="21"/>
                <w:lang w:bidi="ar"/>
              </w:rPr>
              <w:t>（5）投标人的信誉符合招标文件规定。</w:t>
            </w:r>
          </w:p>
          <w:p>
            <w:pPr>
              <w:spacing w:before="120" w:after="120"/>
              <w:jc w:val="left"/>
              <w:rPr>
                <w:rFonts w:hint="eastAsia" w:ascii="宋体" w:hAnsi="宋体" w:cs="宋体"/>
                <w:szCs w:val="21"/>
                <w:lang w:bidi="ar"/>
              </w:rPr>
            </w:pPr>
            <w:r>
              <w:rPr>
                <w:rFonts w:hint="eastAsia" w:ascii="宋体" w:hAnsi="宋体" w:cs="宋体"/>
                <w:szCs w:val="21"/>
                <w:lang w:bidi="ar"/>
              </w:rPr>
              <w:t>（6）投标人的项目经理和项目总工（均含备选）资格、在岗情况符合招标文件规定，并按规定在投标文件中签字确认。</w:t>
            </w:r>
          </w:p>
          <w:p>
            <w:pPr>
              <w:spacing w:before="120" w:after="120"/>
              <w:jc w:val="left"/>
              <w:rPr>
                <w:rFonts w:ascii="宋体" w:hAnsi="宋体" w:cs="宋体"/>
                <w:szCs w:val="21"/>
                <w:lang w:bidi="ar"/>
              </w:rPr>
            </w:pPr>
            <w:r>
              <w:rPr>
                <w:rFonts w:hint="eastAsia" w:ascii="宋体" w:hAnsi="宋体" w:cs="宋体"/>
                <w:szCs w:val="21"/>
                <w:lang w:bidi="ar"/>
              </w:rPr>
              <w:t>（7）投标人的其他要求符合招标文件规定。</w:t>
            </w:r>
          </w:p>
          <w:p>
            <w:pPr>
              <w:spacing w:before="120" w:after="120"/>
              <w:jc w:val="left"/>
              <w:rPr>
                <w:rFonts w:hint="eastAsia" w:ascii="宋体" w:hAnsi="宋体" w:cs="宋体"/>
                <w:szCs w:val="21"/>
                <w:lang w:bidi="ar"/>
              </w:rPr>
            </w:pPr>
            <w:r>
              <w:rPr>
                <w:rFonts w:hint="eastAsia" w:ascii="宋体" w:hAnsi="宋体" w:cs="宋体"/>
                <w:szCs w:val="21"/>
                <w:lang w:bidi="ar"/>
              </w:rPr>
              <w:t>（8）投标人不存在第二章“投标人须知”第1.4.3项或第1.4.4项规定的任何一种情形。</w:t>
            </w:r>
          </w:p>
          <w:p>
            <w:pPr>
              <w:spacing w:before="120" w:after="120"/>
              <w:jc w:val="left"/>
              <w:rPr>
                <w:rFonts w:hint="eastAsia" w:ascii="宋体" w:hAnsi="宋体" w:cs="宋体"/>
                <w:szCs w:val="21"/>
                <w:lang w:bidi="ar"/>
              </w:rPr>
            </w:pPr>
            <w:r>
              <w:rPr>
                <w:rFonts w:hint="eastAsia" w:ascii="宋体" w:hAnsi="宋体" w:cs="宋体"/>
                <w:szCs w:val="21"/>
                <w:lang w:bidi="ar"/>
              </w:rPr>
              <w:t xml:space="preserve">（9）投标人符合第二章“投标人须知”第1.4.5项规定。 </w:t>
            </w:r>
          </w:p>
          <w:p>
            <w:pPr>
              <w:spacing w:before="120" w:after="120"/>
              <w:jc w:val="left"/>
              <w:rPr>
                <w:rFonts w:hint="eastAsia" w:ascii="宋体" w:hAnsi="宋体" w:cs="宋体"/>
                <w:szCs w:val="21"/>
                <w:lang w:bidi="ar"/>
              </w:rPr>
            </w:pPr>
            <w:r>
              <w:rPr>
                <w:rFonts w:hint="eastAsia" w:ascii="宋体" w:hAnsi="宋体" w:cs="宋体"/>
                <w:szCs w:val="21"/>
                <w:lang w:bidi="ar"/>
              </w:rPr>
              <w:t>（10）以联合体形式参与投标的，联合体各方均未再以自己名义单独或参加其他联合体在同一标段中投标；独立参与投标的，投标人未同时参加联合体在同一标段中投标。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before="120" w:after="120"/>
              <w:jc w:val="left"/>
              <w:rPr>
                <w:rFonts w:hint="eastAsia" w:ascii="宋体" w:hAnsi="宋体" w:cs="宋体"/>
                <w:sz w:val="24"/>
                <w:lang w:bidi="ar"/>
              </w:rPr>
            </w:pPr>
            <w:r>
              <w:rPr>
                <w:rFonts w:hint="eastAsia" w:ascii="宋体" w:hAnsi="宋体" w:cs="宋体"/>
                <w:b/>
                <w:szCs w:val="21"/>
              </w:rPr>
              <w:t>条款号</w:t>
            </w:r>
          </w:p>
        </w:tc>
        <w:tc>
          <w:tcPr>
            <w:tcW w:w="1276" w:type="dxa"/>
            <w:gridSpan w:val="2"/>
            <w:noWrap w:val="0"/>
            <w:vAlign w:val="center"/>
          </w:tcPr>
          <w:p>
            <w:pPr>
              <w:spacing w:before="120" w:after="120"/>
              <w:jc w:val="left"/>
              <w:rPr>
                <w:rFonts w:hint="eastAsia" w:ascii="宋体" w:hAnsi="宋体" w:cs="宋体"/>
                <w:sz w:val="24"/>
                <w:lang w:bidi="ar"/>
              </w:rPr>
            </w:pPr>
            <w:r>
              <w:rPr>
                <w:rFonts w:hint="eastAsia" w:ascii="宋体" w:hAnsi="宋体" w:cs="宋体"/>
                <w:b/>
                <w:szCs w:val="21"/>
              </w:rPr>
              <w:t>条款内容</w:t>
            </w:r>
          </w:p>
        </w:tc>
        <w:tc>
          <w:tcPr>
            <w:tcW w:w="6945" w:type="dxa"/>
            <w:noWrap w:val="0"/>
            <w:vAlign w:val="center"/>
          </w:tcPr>
          <w:p>
            <w:pPr>
              <w:spacing w:before="120" w:after="120"/>
              <w:jc w:val="center"/>
              <w:rPr>
                <w:rFonts w:hint="eastAsia" w:ascii="宋体" w:hAnsi="宋体" w:cs="宋体"/>
                <w:sz w:val="24"/>
                <w:lang w:bidi="ar"/>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before="120" w:after="120"/>
              <w:jc w:val="left"/>
              <w:rPr>
                <w:rFonts w:hint="eastAsia" w:ascii="宋体" w:hAnsi="宋体" w:cs="宋体"/>
                <w:szCs w:val="21"/>
                <w:lang w:bidi="ar"/>
              </w:rPr>
            </w:pPr>
            <w:r>
              <w:rPr>
                <w:rFonts w:hint="eastAsia" w:ascii="宋体" w:hAnsi="宋体" w:cs="宋体"/>
                <w:szCs w:val="21"/>
              </w:rPr>
              <w:t>2.2.1</w:t>
            </w:r>
          </w:p>
        </w:tc>
        <w:tc>
          <w:tcPr>
            <w:tcW w:w="1276" w:type="dxa"/>
            <w:gridSpan w:val="2"/>
            <w:noWrap w:val="0"/>
            <w:vAlign w:val="center"/>
          </w:tcPr>
          <w:p>
            <w:pPr>
              <w:spacing w:before="120" w:after="120"/>
              <w:jc w:val="left"/>
              <w:rPr>
                <w:rFonts w:hint="eastAsia" w:ascii="宋体" w:hAnsi="宋体" w:cs="宋体"/>
                <w:szCs w:val="21"/>
                <w:lang w:bidi="ar"/>
              </w:rPr>
            </w:pPr>
            <w:r>
              <w:rPr>
                <w:rFonts w:hint="eastAsia" w:ascii="宋体" w:hAnsi="宋体" w:cs="宋体"/>
                <w:szCs w:val="21"/>
              </w:rPr>
              <w:t>第一个信封评分分值构成（总分</w:t>
            </w:r>
            <w:r>
              <w:rPr>
                <w:rFonts w:hint="eastAsia" w:ascii="宋体" w:hAnsi="宋体" w:cs="宋体"/>
                <w:szCs w:val="21"/>
                <w:u w:val="single"/>
              </w:rPr>
              <w:t>100</w:t>
            </w:r>
            <w:r>
              <w:rPr>
                <w:rFonts w:hint="eastAsia" w:ascii="宋体" w:hAnsi="宋体" w:cs="宋体"/>
                <w:szCs w:val="21"/>
              </w:rPr>
              <w:t>分）</w:t>
            </w:r>
          </w:p>
        </w:tc>
        <w:tc>
          <w:tcPr>
            <w:tcW w:w="6945" w:type="dxa"/>
            <w:noWrap w:val="0"/>
            <w:vAlign w:val="top"/>
          </w:tcPr>
          <w:p>
            <w:pPr>
              <w:spacing w:before="120" w:after="120"/>
              <w:jc w:val="left"/>
              <w:rPr>
                <w:rFonts w:ascii="宋体" w:hAnsi="宋体" w:cs="宋体"/>
                <w:szCs w:val="21"/>
                <w:lang w:bidi="ar"/>
              </w:rPr>
            </w:pPr>
            <w:r>
              <w:rPr>
                <w:rFonts w:hint="eastAsia" w:ascii="宋体" w:hAnsi="宋体" w:cs="宋体"/>
                <w:szCs w:val="21"/>
                <w:lang w:bidi="ar"/>
              </w:rPr>
              <w:t>施工组织设计：</w:t>
            </w:r>
            <w:r>
              <w:rPr>
                <w:rFonts w:hint="eastAsia" w:ascii="宋体" w:hAnsi="宋体" w:cs="宋体"/>
                <w:szCs w:val="21"/>
                <w:u w:val="single"/>
                <w:lang w:bidi="ar"/>
              </w:rPr>
              <w:t>25</w:t>
            </w:r>
            <w:r>
              <w:rPr>
                <w:rFonts w:hint="eastAsia" w:ascii="宋体" w:hAnsi="宋体" w:cs="宋体"/>
                <w:szCs w:val="21"/>
                <w:lang w:bidi="ar"/>
              </w:rPr>
              <w:t>分</w:t>
            </w:r>
          </w:p>
          <w:p>
            <w:pPr>
              <w:spacing w:before="120" w:after="120"/>
              <w:jc w:val="left"/>
              <w:rPr>
                <w:rFonts w:ascii="宋体" w:hAnsi="宋体" w:cs="宋体"/>
                <w:szCs w:val="21"/>
                <w:lang w:bidi="ar"/>
              </w:rPr>
            </w:pPr>
            <w:r>
              <w:rPr>
                <w:rFonts w:hint="eastAsia" w:ascii="宋体" w:hAnsi="宋体" w:cs="宋体"/>
                <w:szCs w:val="21"/>
                <w:lang w:bidi="ar"/>
              </w:rPr>
              <w:t>主要人员：</w:t>
            </w:r>
            <w:r>
              <w:rPr>
                <w:rFonts w:hint="eastAsia" w:ascii="宋体" w:hAnsi="宋体" w:cs="宋体"/>
                <w:szCs w:val="21"/>
                <w:u w:val="single"/>
                <w:lang w:bidi="ar"/>
              </w:rPr>
              <w:t>40</w:t>
            </w:r>
            <w:r>
              <w:rPr>
                <w:rFonts w:hint="eastAsia" w:ascii="宋体" w:hAnsi="宋体" w:cs="宋体"/>
                <w:szCs w:val="21"/>
                <w:lang w:bidi="ar"/>
              </w:rPr>
              <w:t>分</w:t>
            </w:r>
          </w:p>
          <w:p>
            <w:pPr>
              <w:spacing w:before="120" w:after="120"/>
              <w:jc w:val="left"/>
              <w:rPr>
                <w:rFonts w:ascii="宋体" w:hAnsi="宋体" w:cs="宋体"/>
                <w:szCs w:val="21"/>
                <w:lang w:bidi="ar"/>
              </w:rPr>
            </w:pPr>
            <w:r>
              <w:rPr>
                <w:rFonts w:hint="eastAsia" w:ascii="宋体" w:hAnsi="宋体" w:cs="宋体"/>
                <w:szCs w:val="21"/>
                <w:lang w:bidi="ar"/>
              </w:rPr>
              <w:t>技术能力：</w:t>
            </w:r>
            <w:r>
              <w:rPr>
                <w:rFonts w:hint="eastAsia" w:ascii="宋体" w:hAnsi="宋体" w:cs="宋体"/>
                <w:szCs w:val="21"/>
                <w:u w:val="single"/>
                <w:lang w:bidi="ar"/>
              </w:rPr>
              <w:t>20</w:t>
            </w:r>
            <w:r>
              <w:rPr>
                <w:rFonts w:hint="eastAsia" w:ascii="宋体" w:hAnsi="宋体" w:cs="宋体"/>
                <w:szCs w:val="21"/>
                <w:lang w:bidi="ar"/>
              </w:rPr>
              <w:t xml:space="preserve">分 </w:t>
            </w:r>
          </w:p>
          <w:p>
            <w:pPr>
              <w:spacing w:before="120" w:after="120"/>
              <w:jc w:val="left"/>
              <w:rPr>
                <w:rFonts w:hint="eastAsia" w:ascii="宋体" w:hAnsi="宋体" w:cs="宋体"/>
                <w:szCs w:val="21"/>
                <w:lang w:bidi="ar"/>
              </w:rPr>
            </w:pPr>
            <w:r>
              <w:rPr>
                <w:rFonts w:hint="eastAsia" w:ascii="宋体" w:hAnsi="宋体" w:cs="宋体"/>
                <w:szCs w:val="21"/>
                <w:lang w:bidi="ar"/>
              </w:rPr>
              <w:t>履约信誉：</w:t>
            </w:r>
            <w:r>
              <w:rPr>
                <w:rFonts w:hint="eastAsia" w:ascii="宋体" w:hAnsi="宋体" w:cs="宋体"/>
                <w:szCs w:val="21"/>
                <w:u w:val="single"/>
                <w:lang w:bidi="ar"/>
              </w:rPr>
              <w:t>15</w:t>
            </w:r>
            <w:r>
              <w:rPr>
                <w:rFonts w:hint="eastAsia" w:ascii="宋体" w:hAnsi="宋体" w:cs="宋体"/>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before="120" w:after="120"/>
              <w:jc w:val="left"/>
              <w:rPr>
                <w:rFonts w:hint="eastAsia" w:ascii="宋体" w:hAnsi="宋体" w:cs="宋体"/>
                <w:szCs w:val="21"/>
                <w:lang w:bidi="ar"/>
              </w:rPr>
            </w:pPr>
            <w:r>
              <w:rPr>
                <w:rFonts w:hint="eastAsia" w:ascii="宋体" w:hAnsi="宋体" w:cs="宋体"/>
                <w:szCs w:val="21"/>
              </w:rPr>
              <w:t>2.2.3</w:t>
            </w:r>
          </w:p>
        </w:tc>
        <w:tc>
          <w:tcPr>
            <w:tcW w:w="1276" w:type="dxa"/>
            <w:gridSpan w:val="2"/>
            <w:noWrap w:val="0"/>
            <w:vAlign w:val="center"/>
          </w:tcPr>
          <w:p>
            <w:pPr>
              <w:spacing w:before="120" w:after="120"/>
              <w:jc w:val="left"/>
              <w:rPr>
                <w:rFonts w:hint="eastAsia" w:ascii="宋体" w:hAnsi="宋体" w:cs="宋体"/>
                <w:szCs w:val="21"/>
                <w:lang w:bidi="ar"/>
              </w:rPr>
            </w:pPr>
            <w:r>
              <w:rPr>
                <w:rFonts w:hint="eastAsia" w:ascii="宋体" w:hAnsi="宋体" w:cs="宋体"/>
                <w:szCs w:val="21"/>
              </w:rPr>
              <w:t>第二个信封详细评审标准</w:t>
            </w:r>
          </w:p>
        </w:tc>
        <w:tc>
          <w:tcPr>
            <w:tcW w:w="6945" w:type="dxa"/>
            <w:noWrap w:val="0"/>
            <w:vAlign w:val="top"/>
          </w:tcPr>
          <w:p>
            <w:pPr>
              <w:spacing w:before="120" w:after="120"/>
              <w:jc w:val="left"/>
              <w:rPr>
                <w:rFonts w:hint="eastAsia" w:ascii="宋体" w:hAnsi="宋体" w:cs="宋体"/>
                <w:szCs w:val="21"/>
                <w:lang w:bidi="ar"/>
              </w:rPr>
            </w:pPr>
            <w:r>
              <w:rPr>
                <w:rFonts w:hint="eastAsia" w:ascii="宋体" w:hAnsi="宋体" w:cs="宋体"/>
                <w:szCs w:val="21"/>
                <w:lang w:bidi="ar"/>
              </w:rPr>
              <w:t>评标价计算公式：</w:t>
            </w:r>
          </w:p>
          <w:p>
            <w:pPr>
              <w:spacing w:before="120" w:after="120"/>
              <w:jc w:val="left"/>
              <w:rPr>
                <w:rFonts w:hint="eastAsia" w:ascii="宋体" w:hAnsi="宋体" w:cs="宋体"/>
                <w:szCs w:val="21"/>
                <w:highlight w:val="none"/>
                <w:lang w:bidi="ar"/>
              </w:rPr>
            </w:pPr>
            <w:r>
              <w:rPr>
                <w:rFonts w:hint="eastAsia" w:ascii="宋体" w:hAnsi="宋体" w:cs="宋体"/>
                <w:szCs w:val="21"/>
                <w:highlight w:val="none"/>
                <w:lang w:bidi="ar"/>
              </w:rPr>
              <w:t>评标价＝修正后的投标报价－暂估价－暂列金额</w:t>
            </w:r>
          </w:p>
          <w:p>
            <w:pPr>
              <w:spacing w:before="120" w:after="120"/>
              <w:jc w:val="left"/>
              <w:rPr>
                <w:rFonts w:hint="eastAsia" w:ascii="宋体" w:hAnsi="宋体" w:cs="宋体"/>
                <w:szCs w:val="21"/>
                <w:lang w:bidi="ar"/>
              </w:rPr>
            </w:pPr>
            <w:r>
              <w:rPr>
                <w:rFonts w:hint="eastAsia" w:ascii="宋体" w:hAnsi="宋体" w:cs="宋体"/>
                <w:szCs w:val="21"/>
                <w:lang w:bidi="ar"/>
              </w:rPr>
              <w:t>最高评标限价＝最高投标限价×95%</w:t>
            </w:r>
          </w:p>
          <w:p>
            <w:pPr>
              <w:spacing w:before="120" w:after="120"/>
              <w:jc w:val="left"/>
              <w:rPr>
                <w:rFonts w:hint="eastAsia" w:ascii="宋体" w:hAnsi="宋体" w:cs="宋体"/>
                <w:szCs w:val="21"/>
                <w:lang w:bidi="ar"/>
              </w:rPr>
            </w:pPr>
            <w:r>
              <w:rPr>
                <w:rFonts w:hint="eastAsia" w:ascii="宋体" w:hAnsi="宋体" w:cs="宋体"/>
                <w:szCs w:val="21"/>
                <w:lang w:bidi="ar"/>
              </w:rPr>
              <w:t>若投标人的评标价小于最高评标限价的85％，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before="120" w:after="120"/>
              <w:jc w:val="left"/>
              <w:rPr>
                <w:rFonts w:hint="eastAsia" w:ascii="宋体" w:hAnsi="宋体" w:cs="宋体"/>
                <w:szCs w:val="21"/>
                <w:lang w:bidi="ar"/>
              </w:rPr>
            </w:pPr>
            <w:r>
              <w:rPr>
                <w:rFonts w:hint="eastAsia" w:ascii="宋体" w:hAnsi="宋体" w:cs="宋体"/>
                <w:szCs w:val="21"/>
              </w:rPr>
              <w:t>3.2.4</w:t>
            </w:r>
          </w:p>
        </w:tc>
        <w:tc>
          <w:tcPr>
            <w:tcW w:w="1276" w:type="dxa"/>
            <w:gridSpan w:val="2"/>
            <w:noWrap w:val="0"/>
            <w:vAlign w:val="top"/>
          </w:tcPr>
          <w:p>
            <w:pPr>
              <w:spacing w:before="120" w:after="120"/>
              <w:jc w:val="left"/>
              <w:rPr>
                <w:rFonts w:hint="eastAsia" w:ascii="宋体" w:hAnsi="宋体" w:cs="宋体"/>
                <w:szCs w:val="21"/>
                <w:lang w:bidi="ar"/>
              </w:rPr>
            </w:pPr>
            <w:r>
              <w:rPr>
                <w:rFonts w:hint="eastAsia" w:ascii="宋体" w:hAnsi="宋体" w:cs="宋体"/>
                <w:szCs w:val="21"/>
                <w:lang w:bidi="ar"/>
              </w:rPr>
              <w:t>通过第一个信封详细评审的投标人数量</w:t>
            </w:r>
          </w:p>
        </w:tc>
        <w:tc>
          <w:tcPr>
            <w:tcW w:w="6945" w:type="dxa"/>
            <w:noWrap w:val="0"/>
            <w:vAlign w:val="top"/>
          </w:tcPr>
          <w:p>
            <w:pPr>
              <w:spacing w:before="120" w:after="120"/>
              <w:jc w:val="left"/>
              <w:rPr>
                <w:rFonts w:hint="eastAsia" w:ascii="宋体" w:hAnsi="宋体" w:cs="宋体"/>
                <w:szCs w:val="21"/>
                <w:lang w:bidi="ar"/>
              </w:rPr>
            </w:pPr>
            <w:r>
              <w:rPr>
                <w:rFonts w:hint="eastAsia" w:ascii="宋体" w:hAnsi="宋体" w:cs="宋体"/>
                <w:szCs w:val="21"/>
                <w:lang w:bidi="ar"/>
              </w:rPr>
              <w:t>按照投标人的商务和技术得分由高到低排序，选择前</w:t>
            </w:r>
            <w:r>
              <w:rPr>
                <w:rFonts w:hint="eastAsia" w:ascii="宋体" w:hAnsi="宋体" w:cs="宋体"/>
                <w:szCs w:val="21"/>
                <w:u w:val="single"/>
                <w:lang w:bidi="ar"/>
              </w:rPr>
              <w:t>3</w:t>
            </w:r>
            <w:r>
              <w:rPr>
                <w:rFonts w:hint="eastAsia" w:ascii="宋体" w:hAnsi="宋体" w:cs="宋体"/>
                <w:szCs w:val="21"/>
                <w:lang w:bidi="ar"/>
              </w:rPr>
              <w:t>名通过详细评审</w:t>
            </w:r>
          </w:p>
        </w:tc>
      </w:tr>
    </w:tbl>
    <w:p>
      <w:pPr>
        <w:rPr>
          <w:rFonts w:ascii="宋体" w:hAnsi="宋体"/>
          <w:vanish/>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514"/>
        <w:gridCol w:w="688"/>
        <w:gridCol w:w="733"/>
        <w:gridCol w:w="1170"/>
        <w:gridCol w:w="705"/>
        <w:gridCol w:w="4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124" w:type="dxa"/>
            <w:gridSpan w:val="6"/>
            <w:tcBorders>
              <w:top w:val="single" w:color="auto" w:sz="4" w:space="0"/>
            </w:tcBorders>
            <w:noWrap w:val="0"/>
            <w:vAlign w:val="top"/>
          </w:tcPr>
          <w:p>
            <w:pPr>
              <w:adjustRightInd w:val="0"/>
              <w:snapToGrid w:val="0"/>
              <w:spacing w:line="360" w:lineRule="auto"/>
              <w:jc w:val="center"/>
              <w:rPr>
                <w:rFonts w:ascii="宋体" w:hAnsi="宋体" w:cs="宋体"/>
                <w:b/>
                <w:szCs w:val="21"/>
              </w:rPr>
            </w:pPr>
            <w:r>
              <w:rPr>
                <w:rFonts w:hint="eastAsia" w:ascii="宋体" w:hAnsi="宋体" w:cs="宋体"/>
                <w:b/>
                <w:szCs w:val="21"/>
              </w:rPr>
              <w:t>评分因素与权重分值</w:t>
            </w:r>
          </w:p>
        </w:tc>
        <w:tc>
          <w:tcPr>
            <w:tcW w:w="4056" w:type="dxa"/>
            <w:vMerge w:val="restart"/>
            <w:tcBorders>
              <w:top w:val="single" w:color="auto" w:sz="4" w:space="0"/>
            </w:tcBorders>
            <w:noWrap w:val="0"/>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14" w:type="dxa"/>
            <w:noWrap w:val="0"/>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条款号</w:t>
            </w:r>
          </w:p>
        </w:tc>
        <w:tc>
          <w:tcPr>
            <w:tcW w:w="1202" w:type="dxa"/>
            <w:gridSpan w:val="2"/>
            <w:noWrap w:val="0"/>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评分因素</w:t>
            </w:r>
          </w:p>
        </w:tc>
        <w:tc>
          <w:tcPr>
            <w:tcW w:w="733" w:type="dxa"/>
            <w:noWrap w:val="0"/>
            <w:vAlign w:val="center"/>
          </w:tcPr>
          <w:p>
            <w:pPr>
              <w:adjustRightInd w:val="0"/>
              <w:snapToGrid w:val="0"/>
              <w:spacing w:line="360" w:lineRule="auto"/>
              <w:ind w:left="-105" w:leftChars="-50" w:right="-105" w:rightChars="-50"/>
              <w:jc w:val="center"/>
              <w:rPr>
                <w:rFonts w:ascii="宋体" w:hAnsi="宋体" w:cs="宋体"/>
                <w:b/>
                <w:szCs w:val="21"/>
              </w:rPr>
            </w:pPr>
            <w:r>
              <w:rPr>
                <w:rFonts w:hint="eastAsia" w:ascii="宋体" w:hAnsi="宋体" w:cs="宋体"/>
                <w:b/>
                <w:szCs w:val="21"/>
              </w:rPr>
              <w:t>评分因素权重分值</w:t>
            </w:r>
          </w:p>
        </w:tc>
        <w:tc>
          <w:tcPr>
            <w:tcW w:w="1170" w:type="dxa"/>
            <w:noWrap w:val="0"/>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各评分因素细分项</w:t>
            </w:r>
          </w:p>
        </w:tc>
        <w:tc>
          <w:tcPr>
            <w:tcW w:w="705" w:type="dxa"/>
            <w:noWrap w:val="0"/>
            <w:vAlign w:val="center"/>
          </w:tcPr>
          <w:p>
            <w:pPr>
              <w:adjustRightInd w:val="0"/>
              <w:snapToGrid w:val="0"/>
              <w:spacing w:line="360" w:lineRule="auto"/>
              <w:jc w:val="right"/>
              <w:rPr>
                <w:rFonts w:ascii="宋体" w:hAnsi="宋体" w:cs="宋体"/>
                <w:b/>
                <w:szCs w:val="21"/>
              </w:rPr>
            </w:pPr>
            <w:r>
              <w:rPr>
                <w:rFonts w:hint="eastAsia" w:ascii="宋体" w:hAnsi="宋体" w:cs="宋体"/>
                <w:b/>
                <w:szCs w:val="21"/>
              </w:rPr>
              <w:t>分值</w:t>
            </w:r>
          </w:p>
        </w:tc>
        <w:tc>
          <w:tcPr>
            <w:tcW w:w="4056" w:type="dxa"/>
            <w:vMerge w:val="continue"/>
            <w:noWrap w:val="0"/>
            <w:vAlign w:val="top"/>
          </w:tcPr>
          <w:p>
            <w:pPr>
              <w:adjustRightInd w:val="0"/>
              <w:snapToGrid w:val="0"/>
              <w:spacing w:line="360" w:lineRule="auto"/>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2.2.2（1）</w:t>
            </w:r>
          </w:p>
        </w:tc>
        <w:tc>
          <w:tcPr>
            <w:tcW w:w="1202" w:type="dxa"/>
            <w:gridSpan w:val="2"/>
            <w:vMerge w:val="restart"/>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施工组织设计</w:t>
            </w:r>
          </w:p>
        </w:tc>
        <w:tc>
          <w:tcPr>
            <w:tcW w:w="733" w:type="dxa"/>
            <w:vMerge w:val="restart"/>
            <w:noWrap w:val="0"/>
            <w:vAlign w:val="center"/>
          </w:tcPr>
          <w:p>
            <w:pPr>
              <w:adjustRightInd w:val="0"/>
              <w:snapToGrid w:val="0"/>
              <w:spacing w:line="360" w:lineRule="auto"/>
              <w:jc w:val="right"/>
              <w:rPr>
                <w:rFonts w:ascii="宋体" w:hAnsi="宋体" w:cs="宋体"/>
                <w:szCs w:val="21"/>
                <w:u w:val="single"/>
              </w:rPr>
            </w:pPr>
            <w:r>
              <w:rPr>
                <w:rFonts w:hint="eastAsia" w:ascii="宋体" w:hAnsi="宋体" w:cs="宋体"/>
                <w:szCs w:val="21"/>
                <w:u w:val="single"/>
              </w:rPr>
              <w:t xml:space="preserve">   25</w:t>
            </w:r>
            <w:r>
              <w:rPr>
                <w:rFonts w:hint="eastAsia" w:ascii="宋体" w:hAnsi="宋体" w:cs="宋体"/>
                <w:szCs w:val="21"/>
              </w:rPr>
              <w:t>分</w:t>
            </w:r>
          </w:p>
        </w:tc>
        <w:tc>
          <w:tcPr>
            <w:tcW w:w="1170" w:type="dxa"/>
            <w:noWrap w:val="0"/>
            <w:vAlign w:val="center"/>
          </w:tcPr>
          <w:p>
            <w:pPr>
              <w:adjustRightInd w:val="0"/>
              <w:snapToGrid w:val="0"/>
              <w:spacing w:line="360" w:lineRule="auto"/>
              <w:ind w:right="113"/>
              <w:jc w:val="left"/>
              <w:rPr>
                <w:rFonts w:ascii="宋体" w:hAnsi="宋体" w:cs="宋体"/>
                <w:szCs w:val="21"/>
              </w:rPr>
            </w:pPr>
            <w:r>
              <w:rPr>
                <w:rFonts w:hint="eastAsia" w:ascii="宋体" w:hAnsi="宋体" w:cs="宋体"/>
                <w:szCs w:val="21"/>
              </w:rPr>
              <w:t>工期保证体系及保证措施</w:t>
            </w:r>
          </w:p>
        </w:tc>
        <w:tc>
          <w:tcPr>
            <w:tcW w:w="70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u w:val="single"/>
              </w:rPr>
              <w:t>10</w:t>
            </w:r>
            <w:r>
              <w:rPr>
                <w:rFonts w:hint="eastAsia" w:ascii="宋体" w:hAnsi="宋体" w:cs="宋体"/>
                <w:szCs w:val="21"/>
              </w:rPr>
              <w:t>分</w:t>
            </w:r>
          </w:p>
        </w:tc>
        <w:tc>
          <w:tcPr>
            <w:tcW w:w="4056" w:type="dxa"/>
            <w:noWrap w:val="0"/>
            <w:vAlign w:val="top"/>
          </w:tcPr>
          <w:p>
            <w:pPr>
              <w:autoSpaceDE w:val="0"/>
              <w:autoSpaceDN w:val="0"/>
              <w:adjustRightInd w:val="0"/>
              <w:snapToGrid w:val="0"/>
              <w:spacing w:line="360" w:lineRule="auto"/>
              <w:ind w:right="38" w:rightChars="18"/>
              <w:jc w:val="left"/>
              <w:rPr>
                <w:rFonts w:ascii="宋体" w:hAnsi="宋体" w:cs="宋体"/>
                <w:kern w:val="0"/>
                <w:szCs w:val="21"/>
              </w:rPr>
            </w:pPr>
            <w:r>
              <w:rPr>
                <w:rFonts w:hint="eastAsia" w:ascii="宋体" w:hAnsi="宋体" w:cs="宋体"/>
                <w:kern w:val="0"/>
                <w:szCs w:val="21"/>
              </w:rPr>
              <w:t>（1）进度控制措施得当，对本项目的工期重要性理解特别透彻，对地形地貌特征、重点工序、天气、关键设备故障、与其他承包人衔接、社会环境等问题有切实可行的应对或应急方案，计划科学合理，可操作性高，得9.5～10分；</w:t>
            </w:r>
          </w:p>
          <w:p>
            <w:pPr>
              <w:autoSpaceDE w:val="0"/>
              <w:autoSpaceDN w:val="0"/>
              <w:adjustRightInd w:val="0"/>
              <w:snapToGrid w:val="0"/>
              <w:spacing w:line="360" w:lineRule="auto"/>
              <w:ind w:right="38" w:rightChars="18"/>
              <w:jc w:val="left"/>
              <w:rPr>
                <w:rFonts w:ascii="宋体" w:hAnsi="宋体" w:cs="宋体"/>
                <w:kern w:val="0"/>
                <w:szCs w:val="21"/>
              </w:rPr>
            </w:pPr>
            <w:r>
              <w:rPr>
                <w:rFonts w:hint="eastAsia" w:ascii="宋体" w:hAnsi="宋体" w:cs="宋体"/>
                <w:kern w:val="0"/>
                <w:szCs w:val="21"/>
              </w:rPr>
              <w:t>（2）工期保证体系及保证措施基本可行，内容较为充实、全面的，得9～9.5分；</w:t>
            </w:r>
          </w:p>
          <w:p>
            <w:pPr>
              <w:autoSpaceDE w:val="0"/>
              <w:autoSpaceDN w:val="0"/>
              <w:adjustRightInd w:val="0"/>
              <w:snapToGrid w:val="0"/>
              <w:spacing w:line="360" w:lineRule="auto"/>
              <w:ind w:right="38" w:rightChars="18"/>
              <w:jc w:val="left"/>
              <w:rPr>
                <w:rFonts w:ascii="宋体" w:hAnsi="宋体" w:cs="宋体"/>
                <w:kern w:val="0"/>
                <w:szCs w:val="21"/>
              </w:rPr>
            </w:pPr>
            <w:r>
              <w:rPr>
                <w:rFonts w:hint="eastAsia" w:ascii="宋体" w:hAnsi="宋体" w:cs="宋体"/>
                <w:kern w:val="0"/>
                <w:szCs w:val="21"/>
              </w:rPr>
              <w:t>（3）一般但不被评定为不响应的，起评分9分。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vMerge w:val="continue"/>
            <w:noWrap w:val="0"/>
            <w:vAlign w:val="center"/>
          </w:tcPr>
          <w:p>
            <w:pPr>
              <w:adjustRightInd w:val="0"/>
              <w:snapToGrid w:val="0"/>
              <w:spacing w:line="360" w:lineRule="auto"/>
              <w:jc w:val="center"/>
              <w:rPr>
                <w:rFonts w:ascii="宋体" w:hAnsi="宋体" w:cs="宋体"/>
                <w:szCs w:val="21"/>
              </w:rPr>
            </w:pPr>
          </w:p>
        </w:tc>
        <w:tc>
          <w:tcPr>
            <w:tcW w:w="1202" w:type="dxa"/>
            <w:gridSpan w:val="2"/>
            <w:vMerge w:val="continue"/>
            <w:noWrap w:val="0"/>
            <w:vAlign w:val="center"/>
          </w:tcPr>
          <w:p>
            <w:pPr>
              <w:adjustRightInd w:val="0"/>
              <w:snapToGrid w:val="0"/>
              <w:spacing w:line="360" w:lineRule="auto"/>
              <w:jc w:val="center"/>
              <w:rPr>
                <w:rFonts w:ascii="宋体" w:hAnsi="宋体" w:cs="宋体"/>
                <w:szCs w:val="21"/>
              </w:rPr>
            </w:pPr>
          </w:p>
        </w:tc>
        <w:tc>
          <w:tcPr>
            <w:tcW w:w="733" w:type="dxa"/>
            <w:vMerge w:val="continue"/>
            <w:noWrap w:val="0"/>
            <w:vAlign w:val="center"/>
          </w:tcPr>
          <w:p>
            <w:pPr>
              <w:adjustRightInd w:val="0"/>
              <w:snapToGrid w:val="0"/>
              <w:spacing w:line="360" w:lineRule="auto"/>
              <w:jc w:val="right"/>
              <w:rPr>
                <w:rFonts w:ascii="宋体" w:hAnsi="宋体" w:cs="宋体"/>
                <w:b/>
                <w:szCs w:val="21"/>
              </w:rPr>
            </w:pPr>
          </w:p>
        </w:tc>
        <w:tc>
          <w:tcPr>
            <w:tcW w:w="1170" w:type="dxa"/>
            <w:noWrap w:val="0"/>
            <w:vAlign w:val="center"/>
          </w:tcPr>
          <w:p>
            <w:pPr>
              <w:adjustRightInd w:val="0"/>
              <w:snapToGrid w:val="0"/>
              <w:spacing w:line="360" w:lineRule="auto"/>
              <w:ind w:right="113"/>
              <w:jc w:val="left"/>
              <w:rPr>
                <w:rFonts w:ascii="宋体" w:hAnsi="宋体" w:cs="宋体"/>
                <w:szCs w:val="21"/>
              </w:rPr>
            </w:pPr>
            <w:r>
              <w:rPr>
                <w:rFonts w:hint="eastAsia" w:ascii="宋体" w:hAnsi="宋体" w:cs="宋体"/>
                <w:szCs w:val="21"/>
              </w:rPr>
              <w:t>质量、安全保证体系及保证措施</w:t>
            </w:r>
          </w:p>
        </w:tc>
        <w:tc>
          <w:tcPr>
            <w:tcW w:w="70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u w:val="single"/>
              </w:rPr>
              <w:t>10</w:t>
            </w:r>
            <w:r>
              <w:rPr>
                <w:rFonts w:hint="eastAsia" w:ascii="宋体" w:hAnsi="宋体" w:cs="宋体"/>
                <w:szCs w:val="21"/>
              </w:rPr>
              <w:t>分</w:t>
            </w:r>
          </w:p>
        </w:tc>
        <w:tc>
          <w:tcPr>
            <w:tcW w:w="4056" w:type="dxa"/>
            <w:noWrap w:val="0"/>
            <w:vAlign w:val="top"/>
          </w:tcPr>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（1）对本项目质量及安全控制有透彻的认识，对施工过程中可能发生的各种质量和安全问题有深刻的认识和合理的预见，并有相应的应对措施，应对措施应科学、充分，能有效处理各种突发问题的，得9.5～10分；</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（2）对本项目质量及安全控制有一定的认识，基本能合理的预见施工过程中可能发生的各种质量和安全问题，并有相应的应对措施，应对措施较为科学、充分，基本能有效处理各种质量和安全问题的，得9～9.5；</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（3）一般但不被评定为不响应的，起评分9分。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noWrap w:val="0"/>
            <w:vAlign w:val="center"/>
          </w:tcPr>
          <w:p>
            <w:pPr>
              <w:adjustRightInd w:val="0"/>
              <w:snapToGrid w:val="0"/>
              <w:spacing w:line="360" w:lineRule="auto"/>
              <w:jc w:val="center"/>
              <w:rPr>
                <w:rFonts w:ascii="宋体" w:hAnsi="宋体" w:cs="宋体"/>
                <w:szCs w:val="21"/>
              </w:rPr>
            </w:pPr>
          </w:p>
        </w:tc>
        <w:tc>
          <w:tcPr>
            <w:tcW w:w="1202" w:type="dxa"/>
            <w:gridSpan w:val="2"/>
            <w:vMerge w:val="continue"/>
            <w:noWrap w:val="0"/>
            <w:vAlign w:val="center"/>
          </w:tcPr>
          <w:p>
            <w:pPr>
              <w:adjustRightInd w:val="0"/>
              <w:snapToGrid w:val="0"/>
              <w:spacing w:line="360" w:lineRule="auto"/>
              <w:jc w:val="center"/>
              <w:rPr>
                <w:rFonts w:ascii="宋体" w:hAnsi="宋体" w:cs="宋体"/>
                <w:szCs w:val="21"/>
              </w:rPr>
            </w:pPr>
          </w:p>
        </w:tc>
        <w:tc>
          <w:tcPr>
            <w:tcW w:w="733" w:type="dxa"/>
            <w:vMerge w:val="continue"/>
            <w:noWrap w:val="0"/>
            <w:vAlign w:val="center"/>
          </w:tcPr>
          <w:p>
            <w:pPr>
              <w:adjustRightInd w:val="0"/>
              <w:snapToGrid w:val="0"/>
              <w:spacing w:line="360" w:lineRule="auto"/>
              <w:jc w:val="right"/>
              <w:rPr>
                <w:rFonts w:ascii="宋体" w:hAnsi="宋体" w:cs="宋体"/>
                <w:b/>
                <w:szCs w:val="21"/>
              </w:rPr>
            </w:pPr>
          </w:p>
        </w:tc>
        <w:tc>
          <w:tcPr>
            <w:tcW w:w="1170" w:type="dxa"/>
            <w:noWrap w:val="0"/>
            <w:vAlign w:val="center"/>
          </w:tcPr>
          <w:p>
            <w:pPr>
              <w:adjustRightInd w:val="0"/>
              <w:snapToGrid w:val="0"/>
              <w:spacing w:line="360" w:lineRule="auto"/>
              <w:ind w:right="113"/>
              <w:jc w:val="left"/>
              <w:rPr>
                <w:rFonts w:ascii="宋体" w:hAnsi="宋体" w:cs="宋体"/>
                <w:szCs w:val="21"/>
              </w:rPr>
            </w:pPr>
            <w:r>
              <w:rPr>
                <w:rFonts w:hint="eastAsia" w:ascii="宋体" w:hAnsi="宋体" w:cs="宋体"/>
                <w:szCs w:val="21"/>
              </w:rPr>
              <w:t>环境保护、文明施工保证体系及措施</w:t>
            </w:r>
          </w:p>
        </w:tc>
        <w:tc>
          <w:tcPr>
            <w:tcW w:w="70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u w:val="single"/>
              </w:rPr>
              <w:t>5</w:t>
            </w:r>
            <w:r>
              <w:rPr>
                <w:rFonts w:hint="eastAsia" w:ascii="宋体" w:hAnsi="宋体" w:cs="宋体"/>
                <w:szCs w:val="21"/>
              </w:rPr>
              <w:t>分</w:t>
            </w:r>
          </w:p>
        </w:tc>
        <w:tc>
          <w:tcPr>
            <w:tcW w:w="4056" w:type="dxa"/>
            <w:noWrap w:val="0"/>
            <w:vAlign w:val="top"/>
          </w:tcPr>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（1）对本项目的环保及文明施工等工作有独到的见解，能制定科学的措施，施工做到符合环保的要求，对文明施工有相应的措施，能创造良好的施工环境的，得4.7～5分；</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（2）对工程环保及文明施工等工作制定有相关的措施，基本能满足本项目环保及文明施工的要求的，得4.5～4.7分；</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（3）一般但不被评定为不响应的，起评分4.5分。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noWrap w:val="0"/>
            <w:vAlign w:val="center"/>
          </w:tcPr>
          <w:p>
            <w:pPr>
              <w:adjustRightInd w:val="0"/>
              <w:snapToGrid w:val="0"/>
              <w:spacing w:line="360" w:lineRule="auto"/>
              <w:ind w:left="-92" w:leftChars="-44" w:right="-88" w:rightChars="-42"/>
              <w:jc w:val="center"/>
              <w:rPr>
                <w:rFonts w:ascii="宋体" w:hAnsi="宋体" w:cs="宋体"/>
                <w:szCs w:val="21"/>
              </w:rPr>
            </w:pPr>
            <w:r>
              <w:rPr>
                <w:rFonts w:hint="eastAsia" w:ascii="宋体" w:hAnsi="宋体" w:cs="宋体"/>
                <w:szCs w:val="21"/>
              </w:rPr>
              <w:t>2.2.2（2）</w:t>
            </w:r>
          </w:p>
        </w:tc>
        <w:tc>
          <w:tcPr>
            <w:tcW w:w="1202" w:type="dxa"/>
            <w:gridSpan w:val="2"/>
            <w:vMerge w:val="restart"/>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主要人员</w:t>
            </w:r>
          </w:p>
        </w:tc>
        <w:tc>
          <w:tcPr>
            <w:tcW w:w="733" w:type="dxa"/>
            <w:vMerge w:val="restart"/>
            <w:noWrap w:val="0"/>
            <w:vAlign w:val="center"/>
          </w:tcPr>
          <w:p>
            <w:pPr>
              <w:adjustRightInd w:val="0"/>
              <w:snapToGrid w:val="0"/>
              <w:spacing w:line="360" w:lineRule="auto"/>
              <w:jc w:val="right"/>
              <w:rPr>
                <w:rFonts w:ascii="宋体" w:hAnsi="宋体" w:cs="宋体"/>
                <w:szCs w:val="21"/>
              </w:rPr>
            </w:pPr>
            <w:r>
              <w:rPr>
                <w:rFonts w:hint="eastAsia" w:ascii="宋体" w:hAnsi="宋体" w:cs="宋体"/>
                <w:szCs w:val="21"/>
                <w:u w:val="single"/>
              </w:rPr>
              <w:t>40</w:t>
            </w:r>
            <w:r>
              <w:rPr>
                <w:rFonts w:hint="eastAsia" w:ascii="宋体" w:hAnsi="宋体" w:cs="宋体"/>
                <w:szCs w:val="21"/>
              </w:rPr>
              <w:t>分</w:t>
            </w:r>
          </w:p>
        </w:tc>
        <w:tc>
          <w:tcPr>
            <w:tcW w:w="1170"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项目经理任职资格</w:t>
            </w:r>
          </w:p>
        </w:tc>
        <w:tc>
          <w:tcPr>
            <w:tcW w:w="705" w:type="dxa"/>
            <w:noWrap w:val="0"/>
            <w:vAlign w:val="center"/>
          </w:tcPr>
          <w:p>
            <w:pPr>
              <w:tabs>
                <w:tab w:val="left" w:pos="400"/>
              </w:tabs>
              <w:autoSpaceDE w:val="0"/>
              <w:autoSpaceDN w:val="0"/>
              <w:adjustRightInd w:val="0"/>
              <w:snapToGrid w:val="0"/>
              <w:spacing w:line="360" w:lineRule="auto"/>
              <w:ind w:left="105" w:leftChars="50" w:right="105" w:rightChars="50"/>
              <w:jc w:val="center"/>
              <w:rPr>
                <w:rFonts w:ascii="宋体" w:hAnsi="宋体" w:cs="宋体"/>
                <w:szCs w:val="21"/>
              </w:rPr>
            </w:pPr>
            <w:r>
              <w:rPr>
                <w:rFonts w:ascii="宋体" w:hAnsi="宋体" w:cs="宋体"/>
                <w:szCs w:val="21"/>
              </w:rPr>
              <w:t>2</w:t>
            </w:r>
            <w:r>
              <w:rPr>
                <w:rFonts w:hint="eastAsia" w:ascii="宋体" w:hAnsi="宋体" w:cs="宋体"/>
                <w:szCs w:val="21"/>
              </w:rPr>
              <w:t>0分</w:t>
            </w:r>
          </w:p>
        </w:tc>
        <w:tc>
          <w:tcPr>
            <w:tcW w:w="4056" w:type="dxa"/>
            <w:noWrap w:val="0"/>
            <w:vAlign w:val="center"/>
          </w:tcPr>
          <w:p>
            <w:pPr>
              <w:pStyle w:val="5"/>
              <w:autoSpaceDE w:val="0"/>
              <w:autoSpaceDN w:val="0"/>
              <w:spacing w:before="60" w:line="264" w:lineRule="auto"/>
              <w:ind w:right="23"/>
              <w:rPr>
                <w:rFonts w:ascii="宋体" w:hAnsi="宋体" w:cs="宋体"/>
                <w:kern w:val="0"/>
                <w:szCs w:val="21"/>
                <w:lang w:val="zh-CN"/>
              </w:rPr>
            </w:pPr>
            <w:r>
              <w:rPr>
                <w:rFonts w:hint="eastAsia" w:ascii="宋体" w:hAnsi="宋体" w:cs="宋体"/>
                <w:kern w:val="0"/>
                <w:szCs w:val="21"/>
                <w:lang w:val="zh-CN"/>
              </w:rPr>
              <w:t>项目经理在满足资格审查条件的最低要求时，得</w:t>
            </w:r>
            <w:r>
              <w:rPr>
                <w:rFonts w:hint="eastAsia" w:ascii="宋体" w:hAnsi="宋体" w:cs="宋体"/>
                <w:kern w:val="0"/>
                <w:szCs w:val="21"/>
              </w:rPr>
              <w:t>15</w:t>
            </w:r>
            <w:r>
              <w:rPr>
                <w:rFonts w:hint="eastAsia" w:ascii="宋体" w:hAnsi="宋体" w:cs="宋体"/>
                <w:kern w:val="0"/>
                <w:szCs w:val="21"/>
                <w:lang w:val="zh-CN"/>
              </w:rPr>
              <w:t>分 ；</w:t>
            </w:r>
          </w:p>
          <w:p>
            <w:pPr>
              <w:pStyle w:val="5"/>
              <w:autoSpaceDE w:val="0"/>
              <w:autoSpaceDN w:val="0"/>
              <w:spacing w:before="80" w:line="264" w:lineRule="auto"/>
              <w:ind w:right="23"/>
              <w:rPr>
                <w:rFonts w:ascii="宋体" w:hAnsi="宋体" w:cs="宋体"/>
                <w:kern w:val="0"/>
                <w:szCs w:val="21"/>
              </w:rPr>
            </w:pPr>
            <w:r>
              <w:rPr>
                <w:rFonts w:hint="eastAsia" w:ascii="宋体" w:hAnsi="宋体" w:cs="宋体"/>
                <w:kern w:val="0"/>
                <w:szCs w:val="21"/>
              </w:rPr>
              <w:t>项目经理具有高级工程师资格的，加5分。</w:t>
            </w:r>
          </w:p>
          <w:p>
            <w:pPr>
              <w:pStyle w:val="5"/>
              <w:autoSpaceDE w:val="0"/>
              <w:autoSpaceDN w:val="0"/>
              <w:spacing w:before="60" w:line="264" w:lineRule="auto"/>
              <w:ind w:right="23"/>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14" w:type="dxa"/>
            <w:vMerge w:val="continue"/>
            <w:noWrap w:val="0"/>
            <w:vAlign w:val="center"/>
          </w:tcPr>
          <w:p>
            <w:pPr>
              <w:adjustRightInd w:val="0"/>
              <w:snapToGrid w:val="0"/>
              <w:spacing w:line="360" w:lineRule="auto"/>
              <w:jc w:val="center"/>
              <w:rPr>
                <w:rFonts w:ascii="宋体" w:hAnsi="宋体" w:cs="宋体"/>
                <w:szCs w:val="21"/>
              </w:rPr>
            </w:pPr>
          </w:p>
        </w:tc>
        <w:tc>
          <w:tcPr>
            <w:tcW w:w="1202" w:type="dxa"/>
            <w:gridSpan w:val="2"/>
            <w:vMerge w:val="continue"/>
            <w:noWrap w:val="0"/>
            <w:vAlign w:val="center"/>
          </w:tcPr>
          <w:p>
            <w:pPr>
              <w:adjustRightInd w:val="0"/>
              <w:snapToGrid w:val="0"/>
              <w:spacing w:line="360" w:lineRule="auto"/>
              <w:jc w:val="center"/>
              <w:rPr>
                <w:rFonts w:ascii="宋体" w:hAnsi="宋体" w:cs="宋体"/>
                <w:szCs w:val="21"/>
              </w:rPr>
            </w:pPr>
          </w:p>
        </w:tc>
        <w:tc>
          <w:tcPr>
            <w:tcW w:w="733" w:type="dxa"/>
            <w:vMerge w:val="continue"/>
            <w:noWrap w:val="0"/>
            <w:vAlign w:val="center"/>
          </w:tcPr>
          <w:p>
            <w:pPr>
              <w:adjustRightInd w:val="0"/>
              <w:snapToGrid w:val="0"/>
              <w:spacing w:line="360" w:lineRule="auto"/>
              <w:jc w:val="right"/>
              <w:rPr>
                <w:rFonts w:ascii="宋体" w:hAnsi="宋体" w:cs="宋体"/>
                <w:b/>
                <w:szCs w:val="21"/>
              </w:rPr>
            </w:pPr>
          </w:p>
        </w:tc>
        <w:tc>
          <w:tcPr>
            <w:tcW w:w="1170"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项目总工任职资格</w:t>
            </w:r>
          </w:p>
        </w:tc>
        <w:tc>
          <w:tcPr>
            <w:tcW w:w="705" w:type="dxa"/>
            <w:noWrap w:val="0"/>
            <w:vAlign w:val="center"/>
          </w:tcPr>
          <w:p>
            <w:pPr>
              <w:tabs>
                <w:tab w:val="left" w:pos="400"/>
              </w:tabs>
              <w:autoSpaceDE w:val="0"/>
              <w:autoSpaceDN w:val="0"/>
              <w:adjustRightInd w:val="0"/>
              <w:snapToGrid w:val="0"/>
              <w:spacing w:line="360" w:lineRule="auto"/>
              <w:ind w:left="105" w:leftChars="50" w:right="105" w:rightChars="50"/>
              <w:jc w:val="center"/>
              <w:rPr>
                <w:rFonts w:ascii="宋体" w:hAnsi="宋体" w:cs="宋体"/>
                <w:szCs w:val="21"/>
              </w:rPr>
            </w:pPr>
            <w:r>
              <w:rPr>
                <w:rFonts w:ascii="宋体" w:hAnsi="宋体" w:cs="宋体"/>
                <w:szCs w:val="21"/>
              </w:rPr>
              <w:t>2</w:t>
            </w:r>
            <w:r>
              <w:rPr>
                <w:rFonts w:hint="eastAsia" w:ascii="宋体" w:hAnsi="宋体" w:cs="宋体"/>
                <w:szCs w:val="21"/>
              </w:rPr>
              <w:t>0分</w:t>
            </w:r>
          </w:p>
        </w:tc>
        <w:tc>
          <w:tcPr>
            <w:tcW w:w="4056" w:type="dxa"/>
            <w:noWrap w:val="0"/>
            <w:vAlign w:val="center"/>
          </w:tcPr>
          <w:p>
            <w:pPr>
              <w:pStyle w:val="5"/>
              <w:autoSpaceDE w:val="0"/>
              <w:autoSpaceDN w:val="0"/>
              <w:spacing w:before="80" w:line="264" w:lineRule="auto"/>
              <w:ind w:right="23"/>
              <w:rPr>
                <w:rFonts w:ascii="宋体" w:hAnsi="宋体" w:cs="宋体"/>
                <w:kern w:val="0"/>
                <w:szCs w:val="21"/>
                <w:lang w:val="zh-CN"/>
              </w:rPr>
            </w:pPr>
            <w:r>
              <w:rPr>
                <w:rFonts w:hint="eastAsia" w:ascii="宋体" w:hAnsi="宋体" w:cs="宋体"/>
                <w:kern w:val="0"/>
                <w:szCs w:val="21"/>
                <w:lang w:val="zh-CN"/>
              </w:rPr>
              <w:t>项目总工在满足资格审查条件的最低要求时，得</w:t>
            </w:r>
            <w:r>
              <w:rPr>
                <w:rFonts w:hint="eastAsia" w:ascii="宋体" w:hAnsi="宋体" w:cs="宋体"/>
                <w:kern w:val="0"/>
                <w:szCs w:val="21"/>
              </w:rPr>
              <w:t>15</w:t>
            </w:r>
            <w:r>
              <w:rPr>
                <w:rFonts w:hint="eastAsia" w:ascii="宋体" w:hAnsi="宋体" w:cs="宋体"/>
                <w:kern w:val="0"/>
                <w:szCs w:val="21"/>
                <w:lang w:val="zh-CN"/>
              </w:rPr>
              <w:t>分；</w:t>
            </w:r>
          </w:p>
          <w:p>
            <w:pPr>
              <w:pStyle w:val="5"/>
              <w:autoSpaceDE w:val="0"/>
              <w:autoSpaceDN w:val="0"/>
              <w:spacing w:before="80" w:line="264" w:lineRule="auto"/>
              <w:ind w:right="23"/>
              <w:rPr>
                <w:rFonts w:hint="eastAsia" w:ascii="宋体" w:hAnsi="宋体" w:cs="宋体"/>
                <w:kern w:val="0"/>
                <w:szCs w:val="21"/>
              </w:rPr>
            </w:pPr>
            <w:r>
              <w:rPr>
                <w:rFonts w:hint="eastAsia" w:ascii="宋体" w:hAnsi="宋体" w:cs="宋体"/>
                <w:kern w:val="0"/>
                <w:szCs w:val="21"/>
              </w:rPr>
              <w:t>项目总工具有高级工程师资格的，加5分。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2.2.2（3）</w:t>
            </w:r>
          </w:p>
        </w:tc>
        <w:tc>
          <w:tcPr>
            <w:tcW w:w="514" w:type="dxa"/>
            <w:vMerge w:val="restart"/>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其他因素</w:t>
            </w:r>
          </w:p>
        </w:tc>
        <w:tc>
          <w:tcPr>
            <w:tcW w:w="688"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技术能力</w:t>
            </w:r>
          </w:p>
        </w:tc>
        <w:tc>
          <w:tcPr>
            <w:tcW w:w="733"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u w:val="single"/>
              </w:rPr>
              <w:t>20</w:t>
            </w:r>
            <w:r>
              <w:rPr>
                <w:rFonts w:hint="eastAsia" w:ascii="宋体" w:hAnsi="宋体" w:cs="宋体"/>
                <w:szCs w:val="21"/>
              </w:rPr>
              <w:t>分</w:t>
            </w:r>
          </w:p>
        </w:tc>
        <w:tc>
          <w:tcPr>
            <w:tcW w:w="1170"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技术能力</w:t>
            </w:r>
          </w:p>
        </w:tc>
        <w:tc>
          <w:tcPr>
            <w:tcW w:w="70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u w:val="single"/>
              </w:rPr>
              <w:t>20</w:t>
            </w:r>
            <w:r>
              <w:rPr>
                <w:rFonts w:hint="eastAsia" w:ascii="宋体" w:hAnsi="宋体" w:cs="宋体"/>
                <w:szCs w:val="21"/>
              </w:rPr>
              <w:t>分</w:t>
            </w:r>
          </w:p>
        </w:tc>
        <w:tc>
          <w:tcPr>
            <w:tcW w:w="4056" w:type="dxa"/>
            <w:noWrap w:val="0"/>
            <w:vAlign w:val="top"/>
          </w:tcPr>
          <w:p>
            <w:pPr>
              <w:adjustRightInd w:val="0"/>
              <w:snapToGrid w:val="0"/>
              <w:spacing w:line="360" w:lineRule="auto"/>
              <w:rPr>
                <w:rFonts w:ascii="宋体" w:hAnsi="宋体" w:cs="宋体"/>
                <w:szCs w:val="21"/>
                <w:lang w:val="zh-CN"/>
              </w:rPr>
            </w:pPr>
            <w:r>
              <w:rPr>
                <w:rFonts w:ascii="宋体" w:hAnsi="宋体" w:cs="宋体"/>
                <w:szCs w:val="21"/>
              </w:rPr>
              <w:t xml:space="preserve">  </w:t>
            </w:r>
            <w:r>
              <w:rPr>
                <w:rFonts w:ascii="宋体" w:hAnsi="宋体" w:cs="宋体"/>
                <w:szCs w:val="21"/>
                <w:lang w:val="zh-CN"/>
              </w:rPr>
              <w:t>投标人获得与公路工程施工有关的国家级工法、专利（发明专利或实用新型专利）、国家级科学技术进步奖、主编或参编过国家标准、鲁班奖、詹天佑奖，每项加 1分；</w:t>
            </w:r>
          </w:p>
          <w:p>
            <w:pPr>
              <w:adjustRightInd w:val="0"/>
              <w:snapToGrid w:val="0"/>
              <w:spacing w:line="360" w:lineRule="auto"/>
              <w:rPr>
                <w:rFonts w:ascii="宋体" w:hAnsi="宋体" w:cs="宋体"/>
                <w:szCs w:val="21"/>
                <w:lang w:val="zh-CN"/>
              </w:rPr>
            </w:pPr>
            <w:r>
              <w:rPr>
                <w:rFonts w:ascii="宋体" w:hAnsi="宋体" w:cs="宋体"/>
                <w:szCs w:val="21"/>
                <w:lang w:val="zh-CN"/>
              </w:rPr>
              <w:t>（2） 投标人获得省级科学技术进步奖，主编或参编过的行业或地方（指省级）标准，每项加0.5 分。</w:t>
            </w:r>
          </w:p>
          <w:p>
            <w:pPr>
              <w:adjustRightInd w:val="0"/>
              <w:snapToGrid w:val="0"/>
              <w:spacing w:line="360" w:lineRule="auto"/>
              <w:rPr>
                <w:rFonts w:ascii="宋体" w:hAnsi="宋体" w:cs="宋体"/>
                <w:szCs w:val="21"/>
              </w:rPr>
            </w:pPr>
            <w:r>
              <w:rPr>
                <w:rFonts w:ascii="宋体" w:hAnsi="宋体" w:cs="宋体"/>
                <w:szCs w:val="21"/>
                <w:lang w:val="zh-CN"/>
              </w:rPr>
              <w:t>注： 本项累计加分最高得 20 分， 同一项目同时满足上述加分条件的，不重复加分，只加一次分，按较高分计。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noWrap w:val="0"/>
            <w:vAlign w:val="center"/>
          </w:tcPr>
          <w:p>
            <w:pPr>
              <w:adjustRightInd w:val="0"/>
              <w:snapToGrid w:val="0"/>
              <w:spacing w:line="360" w:lineRule="auto"/>
              <w:jc w:val="center"/>
              <w:rPr>
                <w:rFonts w:ascii="宋体" w:hAnsi="宋体" w:cs="宋体"/>
                <w:szCs w:val="21"/>
              </w:rPr>
            </w:pPr>
          </w:p>
        </w:tc>
        <w:tc>
          <w:tcPr>
            <w:tcW w:w="514" w:type="dxa"/>
            <w:vMerge w:val="continue"/>
            <w:noWrap w:val="0"/>
            <w:vAlign w:val="center"/>
          </w:tcPr>
          <w:p>
            <w:pPr>
              <w:adjustRightInd w:val="0"/>
              <w:snapToGrid w:val="0"/>
              <w:spacing w:line="360" w:lineRule="auto"/>
              <w:ind w:left="-105" w:leftChars="-50" w:right="-105" w:rightChars="-50"/>
              <w:jc w:val="center"/>
              <w:rPr>
                <w:rFonts w:ascii="宋体" w:hAnsi="宋体" w:cs="宋体"/>
                <w:szCs w:val="21"/>
              </w:rPr>
            </w:pPr>
          </w:p>
        </w:tc>
        <w:tc>
          <w:tcPr>
            <w:tcW w:w="688" w:type="dxa"/>
            <w:vMerge w:val="restart"/>
            <w:noWrap w:val="0"/>
            <w:vAlign w:val="center"/>
          </w:tcPr>
          <w:p>
            <w:pPr>
              <w:adjustRightInd w:val="0"/>
              <w:snapToGrid w:val="0"/>
              <w:spacing w:line="360" w:lineRule="auto"/>
              <w:ind w:left="-105" w:leftChars="-50" w:right="-105" w:rightChars="-50"/>
              <w:jc w:val="center"/>
              <w:rPr>
                <w:rFonts w:ascii="宋体" w:hAnsi="宋体" w:cs="宋体"/>
                <w:szCs w:val="21"/>
              </w:rPr>
            </w:pPr>
            <w:r>
              <w:rPr>
                <w:rFonts w:hint="eastAsia" w:ascii="宋体" w:hAnsi="宋体" w:cs="宋体"/>
                <w:szCs w:val="21"/>
              </w:rPr>
              <w:t>履约信誉</w:t>
            </w:r>
          </w:p>
        </w:tc>
        <w:tc>
          <w:tcPr>
            <w:tcW w:w="733" w:type="dxa"/>
            <w:vMerge w:val="restart"/>
            <w:noWrap w:val="0"/>
            <w:vAlign w:val="center"/>
          </w:tcPr>
          <w:p>
            <w:pPr>
              <w:adjustRightInd w:val="0"/>
              <w:snapToGrid w:val="0"/>
              <w:spacing w:line="360" w:lineRule="auto"/>
              <w:ind w:right="210"/>
              <w:jc w:val="right"/>
              <w:rPr>
                <w:rFonts w:ascii="宋体" w:hAnsi="宋体" w:cs="宋体"/>
                <w:szCs w:val="21"/>
              </w:rPr>
            </w:pPr>
            <w:r>
              <w:rPr>
                <w:rFonts w:hint="eastAsia" w:ascii="宋体" w:hAnsi="宋体" w:cs="宋体"/>
                <w:szCs w:val="21"/>
                <w:u w:val="single"/>
              </w:rPr>
              <w:t>15</w:t>
            </w:r>
            <w:r>
              <w:rPr>
                <w:rFonts w:hint="eastAsia" w:ascii="宋体" w:hAnsi="宋体" w:cs="宋体"/>
                <w:szCs w:val="21"/>
              </w:rPr>
              <w:t>分</w:t>
            </w:r>
          </w:p>
        </w:tc>
        <w:tc>
          <w:tcPr>
            <w:tcW w:w="1170"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信用等级分值</w:t>
            </w:r>
          </w:p>
        </w:tc>
        <w:tc>
          <w:tcPr>
            <w:tcW w:w="705"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u w:val="single"/>
              </w:rPr>
              <w:t>10</w:t>
            </w:r>
            <w:r>
              <w:rPr>
                <w:rFonts w:hint="eastAsia" w:ascii="宋体" w:hAnsi="宋体" w:cs="宋体"/>
                <w:szCs w:val="21"/>
              </w:rPr>
              <w:t>分</w:t>
            </w:r>
          </w:p>
        </w:tc>
        <w:tc>
          <w:tcPr>
            <w:tcW w:w="4056" w:type="dxa"/>
            <w:noWrap w:val="0"/>
            <w:vAlign w:val="top"/>
          </w:tcPr>
          <w:p>
            <w:pPr>
              <w:adjustRightInd w:val="0"/>
              <w:snapToGrid w:val="0"/>
              <w:spacing w:line="360" w:lineRule="auto"/>
              <w:rPr>
                <w:rFonts w:ascii="宋体" w:hAnsi="宋体" w:cs="宋体"/>
                <w:szCs w:val="21"/>
              </w:rPr>
            </w:pPr>
            <w:r>
              <w:rPr>
                <w:rFonts w:hint="eastAsia" w:ascii="宋体" w:hAnsi="宋体" w:cs="宋体"/>
                <w:szCs w:val="21"/>
              </w:rPr>
              <w:t>AA、A、B、C 级单位的信用等级分得分分别为10、9.5、8.9、7.3分。</w:t>
            </w:r>
          </w:p>
          <w:p>
            <w:pPr>
              <w:adjustRightInd w:val="0"/>
              <w:snapToGrid w:val="0"/>
              <w:spacing w:line="360" w:lineRule="auto"/>
              <w:rPr>
                <w:rFonts w:ascii="宋体" w:hAnsi="宋体" w:cs="宋体"/>
                <w:szCs w:val="21"/>
              </w:rPr>
            </w:pPr>
            <w:r>
              <w:rPr>
                <w:rFonts w:hint="eastAsia" w:ascii="宋体" w:hAnsi="宋体" w:cs="宋体"/>
                <w:szCs w:val="21"/>
              </w:rPr>
              <w:t>注：信用等级的确定原则遵循投标人须知前附表10.2 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noWrap w:val="0"/>
            <w:vAlign w:val="center"/>
          </w:tcPr>
          <w:p>
            <w:pPr>
              <w:adjustRightInd w:val="0"/>
              <w:snapToGrid w:val="0"/>
              <w:spacing w:line="360" w:lineRule="auto"/>
              <w:jc w:val="center"/>
              <w:rPr>
                <w:rFonts w:ascii="宋体" w:hAnsi="宋体" w:cs="宋体"/>
                <w:szCs w:val="21"/>
              </w:rPr>
            </w:pPr>
          </w:p>
        </w:tc>
        <w:tc>
          <w:tcPr>
            <w:tcW w:w="514" w:type="dxa"/>
            <w:vMerge w:val="continue"/>
            <w:noWrap w:val="0"/>
            <w:vAlign w:val="center"/>
          </w:tcPr>
          <w:p>
            <w:pPr>
              <w:adjustRightInd w:val="0"/>
              <w:snapToGrid w:val="0"/>
              <w:spacing w:line="360" w:lineRule="auto"/>
              <w:jc w:val="center"/>
              <w:rPr>
                <w:rFonts w:ascii="宋体" w:hAnsi="宋体" w:cs="宋体"/>
                <w:szCs w:val="21"/>
              </w:rPr>
            </w:pPr>
          </w:p>
        </w:tc>
        <w:tc>
          <w:tcPr>
            <w:tcW w:w="688" w:type="dxa"/>
            <w:vMerge w:val="continue"/>
            <w:noWrap w:val="0"/>
            <w:vAlign w:val="center"/>
          </w:tcPr>
          <w:p>
            <w:pPr>
              <w:adjustRightInd w:val="0"/>
              <w:snapToGrid w:val="0"/>
              <w:spacing w:line="360" w:lineRule="auto"/>
              <w:jc w:val="center"/>
              <w:rPr>
                <w:rFonts w:ascii="宋体" w:hAnsi="宋体" w:cs="宋体"/>
                <w:szCs w:val="21"/>
              </w:rPr>
            </w:pPr>
          </w:p>
        </w:tc>
        <w:tc>
          <w:tcPr>
            <w:tcW w:w="733" w:type="dxa"/>
            <w:vMerge w:val="continue"/>
            <w:noWrap w:val="0"/>
            <w:vAlign w:val="center"/>
          </w:tcPr>
          <w:p>
            <w:pPr>
              <w:adjustRightInd w:val="0"/>
              <w:snapToGrid w:val="0"/>
              <w:spacing w:line="360" w:lineRule="auto"/>
              <w:jc w:val="right"/>
              <w:rPr>
                <w:rFonts w:ascii="宋体" w:hAnsi="宋体" w:cs="宋体"/>
                <w:b/>
                <w:szCs w:val="21"/>
              </w:rPr>
            </w:pPr>
          </w:p>
        </w:tc>
        <w:tc>
          <w:tcPr>
            <w:tcW w:w="1170"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履约情况</w:t>
            </w:r>
          </w:p>
        </w:tc>
        <w:tc>
          <w:tcPr>
            <w:tcW w:w="705"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u w:val="single"/>
              </w:rPr>
              <w:t>5</w:t>
            </w:r>
            <w:r>
              <w:rPr>
                <w:rFonts w:hint="eastAsia" w:ascii="宋体" w:hAnsi="宋体" w:cs="宋体"/>
                <w:szCs w:val="21"/>
              </w:rPr>
              <w:t>分</w:t>
            </w:r>
          </w:p>
        </w:tc>
        <w:tc>
          <w:tcPr>
            <w:tcW w:w="4056" w:type="dxa"/>
            <w:noWrap w:val="0"/>
            <w:vAlign w:val="top"/>
          </w:tcPr>
          <w:p>
            <w:pPr>
              <w:adjustRightInd w:val="0"/>
              <w:snapToGrid w:val="0"/>
              <w:spacing w:line="360" w:lineRule="auto"/>
              <w:rPr>
                <w:rFonts w:ascii="宋体" w:hAnsi="宋体" w:cs="宋体"/>
                <w:szCs w:val="21"/>
              </w:rPr>
            </w:pPr>
            <w:r>
              <w:rPr>
                <w:rFonts w:hint="eastAsia" w:ascii="宋体" w:hAnsi="宋体" w:cs="宋体"/>
                <w:szCs w:val="21"/>
              </w:rPr>
              <w:t>2. 履约情况（5分）</w:t>
            </w:r>
          </w:p>
          <w:p>
            <w:pPr>
              <w:adjustRightInd w:val="0"/>
              <w:snapToGrid w:val="0"/>
              <w:spacing w:line="360" w:lineRule="auto"/>
              <w:rPr>
                <w:rFonts w:ascii="宋体" w:hAnsi="宋体" w:cs="宋体"/>
                <w:szCs w:val="21"/>
              </w:rPr>
            </w:pPr>
            <w:r>
              <w:rPr>
                <w:rFonts w:hint="eastAsia" w:ascii="宋体" w:hAnsi="宋体" w:cs="宋体"/>
                <w:szCs w:val="21"/>
              </w:rPr>
              <w:t>若没出现下述情形得满分；</w:t>
            </w:r>
          </w:p>
          <w:p>
            <w:pPr>
              <w:adjustRightInd w:val="0"/>
              <w:snapToGrid w:val="0"/>
              <w:spacing w:line="360" w:lineRule="auto"/>
              <w:rPr>
                <w:rFonts w:ascii="宋体" w:hAnsi="宋体" w:cs="宋体"/>
                <w:szCs w:val="21"/>
              </w:rPr>
            </w:pPr>
            <w:r>
              <w:rPr>
                <w:rFonts w:hint="eastAsia" w:ascii="宋体" w:hAnsi="宋体" w:cs="宋体"/>
                <w:szCs w:val="21"/>
              </w:rPr>
              <w:t>若自2021年</w:t>
            </w:r>
            <w:r>
              <w:rPr>
                <w:rFonts w:ascii="宋体" w:hAnsi="宋体" w:cs="宋体"/>
                <w:szCs w:val="21"/>
              </w:rPr>
              <w:t>9</w:t>
            </w:r>
            <w:r>
              <w:rPr>
                <w:rFonts w:hint="eastAsia" w:ascii="宋体" w:hAnsi="宋体" w:cs="宋体"/>
                <w:szCs w:val="21"/>
              </w:rPr>
              <w:t>月1日至投标文件递交截止日（投标文件递交截止日前1 年内），因公路工程（含附属设施）质量、安全、履约或招标投标问题等原因被：</w:t>
            </w:r>
          </w:p>
          <w:p>
            <w:pPr>
              <w:adjustRightInd w:val="0"/>
              <w:snapToGrid w:val="0"/>
              <w:spacing w:line="360" w:lineRule="auto"/>
              <w:rPr>
                <w:rFonts w:ascii="宋体" w:hAnsi="宋体" w:cs="宋体"/>
                <w:szCs w:val="21"/>
              </w:rPr>
            </w:pPr>
            <w:r>
              <w:rPr>
                <w:rFonts w:hint="eastAsia" w:ascii="宋体" w:hAnsi="宋体" w:cs="宋体"/>
                <w:szCs w:val="21"/>
              </w:rPr>
              <w:t>（1）交通运输部通报批评的，扣5 分/次；</w:t>
            </w:r>
          </w:p>
          <w:p>
            <w:pPr>
              <w:adjustRightInd w:val="0"/>
              <w:snapToGrid w:val="0"/>
              <w:spacing w:line="360" w:lineRule="auto"/>
              <w:rPr>
                <w:rFonts w:ascii="宋体" w:hAnsi="宋体" w:cs="宋体"/>
                <w:szCs w:val="21"/>
              </w:rPr>
            </w:pPr>
            <w:r>
              <w:rPr>
                <w:rFonts w:hint="eastAsia" w:ascii="宋体" w:hAnsi="宋体" w:cs="宋体"/>
                <w:szCs w:val="21"/>
              </w:rPr>
              <w:t>（2）广东省交通运输厅通报批评的，扣4 分/次。</w:t>
            </w:r>
          </w:p>
          <w:p>
            <w:pPr>
              <w:adjustRightInd w:val="0"/>
              <w:snapToGrid w:val="0"/>
              <w:spacing w:line="360" w:lineRule="auto"/>
              <w:rPr>
                <w:rFonts w:ascii="宋体" w:hAnsi="宋体" w:cs="宋体"/>
                <w:szCs w:val="21"/>
              </w:rPr>
            </w:pPr>
            <w:r>
              <w:rPr>
                <w:rFonts w:hint="eastAsia" w:ascii="宋体" w:hAnsi="宋体" w:cs="宋体"/>
                <w:szCs w:val="21"/>
              </w:rPr>
              <w:t>（3）茂名市交通运输局、</w:t>
            </w:r>
            <w:r>
              <w:rPr>
                <w:rFonts w:hint="eastAsia" w:ascii="宋体" w:hAnsi="宋体" w:cs="宋体"/>
                <w:szCs w:val="21"/>
                <w:lang w:eastAsia="zh-Hans"/>
              </w:rPr>
              <w:t>信宜</w:t>
            </w:r>
            <w:r>
              <w:rPr>
                <w:rFonts w:hint="eastAsia" w:ascii="宋体" w:hAnsi="宋体" w:cs="宋体"/>
                <w:szCs w:val="21"/>
              </w:rPr>
              <w:t>市交通运输局扣1分/次。</w:t>
            </w:r>
          </w:p>
          <w:p>
            <w:pPr>
              <w:adjustRightInd w:val="0"/>
              <w:snapToGrid w:val="0"/>
              <w:spacing w:line="360" w:lineRule="auto"/>
              <w:rPr>
                <w:rFonts w:ascii="宋体" w:hAnsi="宋体" w:cs="宋体"/>
                <w:szCs w:val="21"/>
              </w:rPr>
            </w:pPr>
            <w:r>
              <w:rPr>
                <w:rFonts w:hint="eastAsia" w:ascii="宋体" w:hAnsi="宋体" w:cs="宋体"/>
                <w:szCs w:val="21"/>
              </w:rPr>
              <w:t>同一事项同时被多个部门通报批评或处罚只按最高的扣分计算1 次。如果扣完本项分值，可以从总分中扣。</w:t>
            </w:r>
          </w:p>
        </w:tc>
      </w:tr>
    </w:tbl>
    <w:p>
      <w:pPr>
        <w:spacing w:before="120" w:after="120"/>
        <w:jc w:val="left"/>
        <w:rPr>
          <w:rFonts w:hint="eastAsia" w:ascii="宋体" w:hAnsi="宋体" w:cs="宋体"/>
          <w:sz w:val="24"/>
          <w:lang w:bidi="a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7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4" w:type="dxa"/>
            <w:gridSpan w:val="2"/>
            <w:noWrap w:val="0"/>
            <w:vAlign w:val="top"/>
          </w:tcPr>
          <w:p>
            <w:pPr>
              <w:adjustRightInd w:val="0"/>
              <w:snapToGrid w:val="0"/>
              <w:spacing w:line="360" w:lineRule="auto"/>
              <w:rPr>
                <w:rFonts w:ascii="宋体" w:hAnsi="宋体" w:cs="宋体"/>
                <w:szCs w:val="21"/>
              </w:rPr>
            </w:pPr>
            <w:r>
              <w:rPr>
                <w:rFonts w:hint="eastAsia" w:ascii="宋体" w:hAnsi="宋体" w:cs="宋体"/>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4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条款号</w:t>
            </w:r>
          </w:p>
        </w:tc>
        <w:tc>
          <w:tcPr>
            <w:tcW w:w="7969"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1</w:t>
            </w:r>
          </w:p>
        </w:tc>
        <w:tc>
          <w:tcPr>
            <w:tcW w:w="7969"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将评标办法范本原文第1条“评标方法”改为“评标方法、组织及工作程序”，并且原文内容修改如下：</w:t>
            </w:r>
          </w:p>
          <w:p>
            <w:pPr>
              <w:adjustRightInd w:val="0"/>
              <w:snapToGrid w:val="0"/>
              <w:spacing w:line="360" w:lineRule="auto"/>
              <w:rPr>
                <w:rFonts w:ascii="宋体" w:hAnsi="宋体" w:cs="宋体"/>
                <w:szCs w:val="21"/>
              </w:rPr>
            </w:pPr>
            <w:r>
              <w:rPr>
                <w:rFonts w:hint="eastAsia" w:ascii="宋体" w:hAnsi="宋体" w:cs="宋体"/>
                <w:szCs w:val="21"/>
              </w:rPr>
              <w:t>1.1评标方法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次评标采用双信封的技术评分最低标价法。评标委员会对满足招标文件实质性要求的投标文件，按照本章第2.2款规定对通过初步评审的投标人的施工组织设计、主要人员、其他因素等进行评分，按照得分由高到低排序，对排名在招标文件规定数量</w:t>
            </w:r>
            <w:r>
              <w:rPr>
                <w:rFonts w:hint="eastAsia" w:ascii="宋体" w:hAnsi="宋体" w:cs="宋体"/>
                <w:szCs w:val="21"/>
                <w:u w:val="single"/>
              </w:rPr>
              <w:t>前3 名</w:t>
            </w:r>
            <w:r>
              <w:rPr>
                <w:rFonts w:hint="eastAsia" w:ascii="宋体" w:hAnsi="宋体" w:cs="宋体"/>
                <w:szCs w:val="21"/>
              </w:rPr>
              <w:t>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pPr>
              <w:adjustRightInd w:val="0"/>
              <w:snapToGrid w:val="0"/>
              <w:spacing w:line="360" w:lineRule="auto"/>
              <w:rPr>
                <w:rFonts w:ascii="宋体" w:hAnsi="宋体" w:cs="宋体"/>
                <w:szCs w:val="21"/>
              </w:rPr>
            </w:pPr>
            <w:r>
              <w:rPr>
                <w:rFonts w:hint="eastAsia" w:ascii="宋体" w:hAnsi="宋体" w:cs="宋体"/>
                <w:szCs w:val="21"/>
              </w:rPr>
              <w:t>1.2评标组织</w:t>
            </w:r>
          </w:p>
          <w:p>
            <w:pPr>
              <w:adjustRightInd w:val="0"/>
              <w:snapToGrid w:val="0"/>
              <w:spacing w:line="360" w:lineRule="auto"/>
              <w:rPr>
                <w:rFonts w:ascii="宋体" w:hAnsi="宋体" w:cs="宋体"/>
                <w:szCs w:val="21"/>
              </w:rPr>
            </w:pPr>
            <w:r>
              <w:rPr>
                <w:rFonts w:hint="eastAsia" w:ascii="宋体" w:hAnsi="宋体" w:cs="宋体"/>
                <w:szCs w:val="21"/>
              </w:rPr>
              <w:t>1.2.1协助工作组</w:t>
            </w:r>
          </w:p>
          <w:p>
            <w:pPr>
              <w:adjustRightInd w:val="0"/>
              <w:snapToGrid w:val="0"/>
              <w:spacing w:line="360" w:lineRule="auto"/>
              <w:ind w:firstLine="315" w:firstLineChars="150"/>
              <w:rPr>
                <w:rFonts w:ascii="宋体" w:hAnsi="宋体" w:cs="宋体"/>
                <w:szCs w:val="21"/>
              </w:rPr>
            </w:pPr>
            <w:r>
              <w:rPr>
                <w:rFonts w:hint="eastAsia" w:ascii="宋体" w:hAnsi="宋体" w:cs="宋体"/>
                <w:szCs w:val="21"/>
              </w:rPr>
              <w:t>招标人可在评标工作开始前成立协助工作组，选派熟悉招标工作、政治素质高的人员组成，协助评标委员会工作。协助工作组人员的具体数量由招标人视评标工作量确定。</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招标人可以协助评标委员会开展下列工作并提供相关信息：</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（1）根据招标文件，编制评标使用的相应表格；</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（2）对投标报价进行算术性校核（如采用固化工程量清单，本步骤省略）；</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（3）以评标标准和方法为依据，列出投标文件相对于招标文件的所有偏差，并进行归类汇总；</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（4）查询公路建设市场信用信息管理系统，对投标人的资质、业绩、主要人员资历和目前在岗情况、信用等级进行核实。</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招标人不得对投标文件作出任何评价，不得故意遗漏或者片面摘录，不得在评标委员会对所有偏差定性之前透露存有偏差的投标人名称。</w:t>
            </w:r>
          </w:p>
          <w:p>
            <w:pPr>
              <w:adjustRightInd w:val="0"/>
              <w:snapToGrid w:val="0"/>
              <w:spacing w:line="360" w:lineRule="auto"/>
              <w:rPr>
                <w:rFonts w:ascii="宋体" w:hAnsi="宋体" w:cs="宋体"/>
                <w:szCs w:val="21"/>
              </w:rPr>
            </w:pPr>
            <w:r>
              <w:rPr>
                <w:rFonts w:hint="eastAsia" w:ascii="宋体" w:hAnsi="宋体" w:cs="宋体"/>
                <w:szCs w:val="21"/>
              </w:rPr>
              <w:t>1.2.2评标委员会</w:t>
            </w:r>
          </w:p>
          <w:p>
            <w:pPr>
              <w:autoSpaceDE w:val="0"/>
              <w:autoSpaceDN w:val="0"/>
              <w:adjustRightInd w:val="0"/>
              <w:snapToGrid w:val="0"/>
              <w:spacing w:line="360" w:lineRule="auto"/>
              <w:ind w:firstLine="420"/>
              <w:rPr>
                <w:rFonts w:ascii="宋体" w:hAnsi="宋体" w:cs="宋体"/>
                <w:szCs w:val="21"/>
              </w:rPr>
            </w:pPr>
            <w:r>
              <w:rPr>
                <w:rFonts w:hint="eastAsia" w:ascii="宋体" w:hAnsi="宋体" w:cs="宋体"/>
                <w:szCs w:val="21"/>
              </w:rPr>
              <w:t>评标委员会由招标人按国家、广东省等的有关规定依法组建。评标委员会的主要工作内容包括：</w:t>
            </w:r>
          </w:p>
          <w:p>
            <w:pPr>
              <w:adjustRightInd w:val="0"/>
              <w:snapToGrid w:val="0"/>
              <w:spacing w:line="360" w:lineRule="auto"/>
              <w:rPr>
                <w:rFonts w:ascii="宋体" w:hAnsi="宋体" w:cs="宋体"/>
                <w:szCs w:val="21"/>
              </w:rPr>
            </w:pPr>
            <w:r>
              <w:rPr>
                <w:rFonts w:hint="eastAsia" w:ascii="宋体" w:hAnsi="宋体" w:cs="宋体"/>
                <w:szCs w:val="21"/>
              </w:rPr>
              <w:t>（1）评标委员会开始评标工作之前，首先听取招标人、协助工作组关于工程情况和辅助工作的说明，并认真研读招标文件，获取评标所需的重要信息和数据；</w:t>
            </w:r>
          </w:p>
          <w:p>
            <w:pPr>
              <w:adjustRightInd w:val="0"/>
              <w:snapToGrid w:val="0"/>
              <w:spacing w:line="360" w:lineRule="auto"/>
              <w:rPr>
                <w:rFonts w:ascii="宋体" w:hAnsi="宋体" w:cs="宋体"/>
                <w:szCs w:val="21"/>
              </w:rPr>
            </w:pPr>
            <w:r>
              <w:rPr>
                <w:rFonts w:hint="eastAsia" w:ascii="宋体" w:hAnsi="宋体" w:cs="宋体"/>
                <w:szCs w:val="21"/>
              </w:rPr>
              <w:t>（2）对协助工作组提供的评标工作用表和评标内容进行核查。</w:t>
            </w:r>
          </w:p>
          <w:p>
            <w:pPr>
              <w:adjustRightInd w:val="0"/>
              <w:snapToGrid w:val="0"/>
              <w:spacing w:line="360" w:lineRule="auto"/>
              <w:rPr>
                <w:rFonts w:ascii="宋体" w:hAnsi="宋体" w:cs="宋体"/>
                <w:szCs w:val="21"/>
              </w:rPr>
            </w:pPr>
            <w:r>
              <w:rPr>
                <w:rFonts w:hint="eastAsia" w:ascii="宋体" w:hAnsi="宋体" w:cs="宋体"/>
                <w:szCs w:val="21"/>
              </w:rPr>
              <w:t>（3）按照以下1.3款程序进行各项评审工作。</w:t>
            </w:r>
          </w:p>
          <w:p>
            <w:pPr>
              <w:adjustRightInd w:val="0"/>
              <w:snapToGrid w:val="0"/>
              <w:spacing w:line="360" w:lineRule="auto"/>
              <w:rPr>
                <w:rFonts w:ascii="宋体" w:hAnsi="宋体" w:cs="宋体"/>
                <w:szCs w:val="21"/>
              </w:rPr>
            </w:pPr>
            <w:r>
              <w:rPr>
                <w:rFonts w:hint="eastAsia" w:ascii="宋体" w:hAnsi="宋体" w:cs="宋体"/>
                <w:szCs w:val="21"/>
              </w:rPr>
              <w:t>1.3评审工作程序</w:t>
            </w:r>
          </w:p>
          <w:p>
            <w:pPr>
              <w:adjustRightInd w:val="0"/>
              <w:snapToGrid w:val="0"/>
              <w:spacing w:line="360" w:lineRule="auto"/>
              <w:rPr>
                <w:rFonts w:ascii="宋体" w:hAnsi="宋体" w:cs="宋体"/>
                <w:szCs w:val="21"/>
              </w:rPr>
            </w:pPr>
            <w:r>
              <w:rPr>
                <w:rFonts w:hint="eastAsia" w:ascii="宋体" w:hAnsi="宋体" w:cs="宋体"/>
                <w:szCs w:val="21"/>
              </w:rPr>
              <w:t>（一）第一信封（商务文件和技术文件）：</w:t>
            </w:r>
          </w:p>
          <w:p>
            <w:pPr>
              <w:adjustRightInd w:val="0"/>
              <w:snapToGrid w:val="0"/>
              <w:spacing w:line="360" w:lineRule="auto"/>
              <w:rPr>
                <w:rFonts w:ascii="宋体" w:hAnsi="宋体" w:cs="宋体"/>
                <w:szCs w:val="21"/>
              </w:rPr>
            </w:pPr>
            <w:r>
              <w:rPr>
                <w:rFonts w:hint="eastAsia" w:ascii="宋体" w:hAnsi="宋体" w:cs="宋体"/>
                <w:szCs w:val="21"/>
              </w:rPr>
              <w:t xml:space="preserve"> l、初步评审：包括形式评审与响应性评审、资格评审（适用于未进行资格预</w:t>
            </w:r>
          </w:p>
          <w:p>
            <w:pPr>
              <w:adjustRightInd w:val="0"/>
              <w:snapToGrid w:val="0"/>
              <w:spacing w:line="360" w:lineRule="auto"/>
              <w:rPr>
                <w:rFonts w:ascii="宋体" w:hAnsi="宋体" w:cs="宋体"/>
                <w:szCs w:val="21"/>
              </w:rPr>
            </w:pPr>
            <w:r>
              <w:rPr>
                <w:rFonts w:hint="eastAsia" w:ascii="宋体" w:hAnsi="宋体" w:cs="宋体"/>
                <w:szCs w:val="21"/>
              </w:rPr>
              <w:t>审）；</w:t>
            </w:r>
          </w:p>
          <w:p>
            <w:pPr>
              <w:adjustRightInd w:val="0"/>
              <w:snapToGrid w:val="0"/>
              <w:spacing w:line="360" w:lineRule="auto"/>
              <w:rPr>
                <w:rFonts w:ascii="宋体" w:hAnsi="宋体" w:cs="宋体"/>
                <w:szCs w:val="21"/>
                <w:u w:val="single"/>
              </w:rPr>
            </w:pPr>
            <w:r>
              <w:rPr>
                <w:rFonts w:hint="eastAsia" w:ascii="宋体" w:hAnsi="宋体" w:cs="宋体"/>
                <w:szCs w:val="21"/>
              </w:rPr>
              <w:t xml:space="preserve"> 2、详细评审（评审打分）：评标委员会首先对通过第一信封初步评审的投标文件第一个信封（商务及技术文件）进行详细评审，对投标人的施工组织设计、主要人员、其他因素等分别评审打分，并按照综合得分由高到低排序，排名在招标文件规定数量</w:t>
            </w:r>
            <w:r>
              <w:rPr>
                <w:rFonts w:hint="eastAsia" w:ascii="宋体" w:hAnsi="宋体" w:cs="宋体"/>
                <w:szCs w:val="21"/>
                <w:u w:val="single"/>
              </w:rPr>
              <w:t>前3 名</w:t>
            </w:r>
            <w:r>
              <w:rPr>
                <w:rFonts w:hint="eastAsia" w:ascii="宋体" w:hAnsi="宋体" w:cs="宋体"/>
                <w:szCs w:val="21"/>
              </w:rPr>
              <w:t>的投标人，其投标文件第一信封（商务及技术文件）通过详细评审。</w:t>
            </w:r>
          </w:p>
          <w:p>
            <w:pPr>
              <w:adjustRightInd w:val="0"/>
              <w:snapToGrid w:val="0"/>
              <w:spacing w:line="360" w:lineRule="auto"/>
              <w:rPr>
                <w:rFonts w:ascii="宋体" w:hAnsi="宋体" w:cs="宋体"/>
                <w:szCs w:val="21"/>
              </w:rPr>
            </w:pPr>
            <w:r>
              <w:rPr>
                <w:rFonts w:hint="eastAsia" w:ascii="宋体" w:hAnsi="宋体" w:cs="宋体"/>
                <w:szCs w:val="21"/>
              </w:rPr>
              <w:t>（二）第二信封（报价文件）：</w:t>
            </w:r>
          </w:p>
          <w:p>
            <w:pPr>
              <w:adjustRightInd w:val="0"/>
              <w:snapToGrid w:val="0"/>
              <w:spacing w:line="360" w:lineRule="auto"/>
              <w:rPr>
                <w:rFonts w:ascii="宋体" w:hAnsi="宋体" w:cs="宋体"/>
                <w:szCs w:val="21"/>
              </w:rPr>
            </w:pPr>
            <w:r>
              <w:rPr>
                <w:rFonts w:hint="eastAsia" w:ascii="宋体" w:hAnsi="宋体" w:cs="宋体"/>
                <w:szCs w:val="21"/>
              </w:rPr>
              <w:t xml:space="preserve"> 1、初步评审：</w:t>
            </w:r>
          </w:p>
          <w:p>
            <w:pPr>
              <w:adjustRightInd w:val="0"/>
              <w:snapToGrid w:val="0"/>
              <w:spacing w:line="360" w:lineRule="auto"/>
              <w:rPr>
                <w:rFonts w:ascii="宋体" w:hAnsi="宋体" w:cs="宋体"/>
                <w:szCs w:val="21"/>
              </w:rPr>
            </w:pPr>
            <w:r>
              <w:rPr>
                <w:rFonts w:hint="eastAsia" w:ascii="宋体" w:hAnsi="宋体" w:cs="宋体"/>
                <w:szCs w:val="21"/>
              </w:rPr>
              <w:t>（1）只有对投标文件第一个信封通过详细评审的投标人的报价文件才能继续参加第二信封报价文件的形式评审与响应性评审。</w:t>
            </w:r>
          </w:p>
          <w:p>
            <w:pPr>
              <w:adjustRightInd w:val="0"/>
              <w:snapToGrid w:val="0"/>
              <w:spacing w:line="360" w:lineRule="auto"/>
              <w:rPr>
                <w:rFonts w:ascii="宋体" w:hAnsi="宋体" w:cs="宋体"/>
                <w:szCs w:val="21"/>
              </w:rPr>
            </w:pPr>
            <w:r>
              <w:rPr>
                <w:rFonts w:hint="eastAsia" w:ascii="宋体" w:hAnsi="宋体" w:cs="宋体"/>
                <w:szCs w:val="21"/>
              </w:rPr>
              <w:t xml:space="preserve"> （2）报价算术性修正（如采用固化工程量清单，本步骤省略）；</w:t>
            </w:r>
          </w:p>
          <w:p>
            <w:pPr>
              <w:adjustRightInd w:val="0"/>
              <w:snapToGrid w:val="0"/>
              <w:spacing w:line="360" w:lineRule="auto"/>
              <w:rPr>
                <w:rFonts w:ascii="宋体" w:hAnsi="宋体" w:cs="宋体"/>
                <w:szCs w:val="21"/>
              </w:rPr>
            </w:pPr>
            <w:r>
              <w:rPr>
                <w:rFonts w:hint="eastAsia" w:ascii="宋体" w:hAnsi="宋体" w:cs="宋体"/>
                <w:szCs w:val="21"/>
              </w:rPr>
              <w:t xml:space="preserve"> 2、详细评审：计算评标价。</w:t>
            </w:r>
          </w:p>
          <w:p>
            <w:pPr>
              <w:adjustRightInd w:val="0"/>
              <w:snapToGrid w:val="0"/>
              <w:spacing w:line="360" w:lineRule="auto"/>
              <w:rPr>
                <w:rFonts w:ascii="宋体" w:hAnsi="宋体" w:cs="宋体"/>
                <w:szCs w:val="21"/>
              </w:rPr>
            </w:pPr>
            <w:r>
              <w:rPr>
                <w:rFonts w:hint="eastAsia" w:ascii="宋体" w:hAnsi="宋体" w:cs="宋体"/>
                <w:szCs w:val="21"/>
              </w:rPr>
              <w:t>（三）投标文件相关信息的核查。</w:t>
            </w:r>
          </w:p>
          <w:p>
            <w:pPr>
              <w:adjustRightInd w:val="0"/>
              <w:snapToGrid w:val="0"/>
              <w:spacing w:line="360" w:lineRule="auto"/>
              <w:rPr>
                <w:rFonts w:ascii="宋体" w:hAnsi="宋体" w:cs="宋体"/>
                <w:szCs w:val="21"/>
              </w:rPr>
            </w:pPr>
            <w:r>
              <w:rPr>
                <w:rFonts w:hint="eastAsia" w:ascii="宋体" w:hAnsi="宋体" w:cs="宋体"/>
                <w:szCs w:val="21"/>
              </w:rPr>
              <w:t>（四）投标文件的澄清和说明（如有）</w:t>
            </w:r>
          </w:p>
          <w:p>
            <w:pPr>
              <w:adjustRightInd w:val="0"/>
              <w:snapToGrid w:val="0"/>
              <w:spacing w:line="360" w:lineRule="auto"/>
              <w:rPr>
                <w:rFonts w:ascii="宋体" w:hAnsi="宋体" w:cs="宋体"/>
                <w:szCs w:val="21"/>
              </w:rPr>
            </w:pPr>
            <w:r>
              <w:rPr>
                <w:rFonts w:hint="eastAsia" w:ascii="宋体" w:hAnsi="宋体" w:cs="宋体"/>
                <w:szCs w:val="21"/>
              </w:rPr>
              <w:t>（五）按评标办法规定按照第二信封的评标价由低到高的顺序推荐前三名中标候选人，编写评标报告。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3.2.3</w:t>
            </w:r>
          </w:p>
        </w:tc>
        <w:tc>
          <w:tcPr>
            <w:tcW w:w="7969"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将评标办法范本原文第3.2.3款细化如下：</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投标人的商务和技术得分=A+B+C。</w:t>
            </w:r>
          </w:p>
          <w:p>
            <w:pPr>
              <w:autoSpaceDE w:val="0"/>
              <w:autoSpaceDN w:val="0"/>
              <w:adjustRightInd w:val="0"/>
              <w:snapToGrid w:val="0"/>
              <w:spacing w:line="360" w:lineRule="auto"/>
              <w:ind w:firstLine="420"/>
              <w:rPr>
                <w:rFonts w:ascii="宋体" w:hAnsi="宋体" w:cs="宋体"/>
                <w:szCs w:val="21"/>
              </w:rPr>
            </w:pPr>
            <w:r>
              <w:rPr>
                <w:rFonts w:ascii="宋体" w:hAnsi="宋体"/>
                <w:szCs w:val="21"/>
              </w:rPr>
              <w:t>除履约信誉、技术能力得分外，投标文件</w:t>
            </w:r>
            <w:r>
              <w:rPr>
                <w:rFonts w:hint="eastAsia" w:ascii="宋体" w:hAnsi="宋体"/>
                <w:szCs w:val="21"/>
              </w:rPr>
              <w:t>主要人员</w:t>
            </w:r>
            <w:r>
              <w:rPr>
                <w:rFonts w:ascii="宋体" w:hAnsi="宋体"/>
                <w:szCs w:val="21"/>
              </w:rPr>
              <w:t>得分不应低于其权重分的</w:t>
            </w:r>
            <w:r>
              <w:rPr>
                <w:rFonts w:hint="eastAsia" w:ascii="宋体" w:hAnsi="宋体"/>
                <w:szCs w:val="21"/>
              </w:rPr>
              <w:t>6</w:t>
            </w:r>
            <w:r>
              <w:rPr>
                <w:rFonts w:ascii="宋体" w:hAnsi="宋体"/>
                <w:szCs w:val="21"/>
              </w:rPr>
              <w:t>0%</w:t>
            </w:r>
            <w:r>
              <w:rPr>
                <w:rFonts w:hint="eastAsia" w:ascii="宋体" w:hAnsi="宋体"/>
                <w:szCs w:val="21"/>
              </w:rPr>
              <w:t>，施工组织设计</w:t>
            </w:r>
            <w:r>
              <w:rPr>
                <w:rFonts w:ascii="宋体" w:hAnsi="宋体"/>
                <w:szCs w:val="21"/>
              </w:rPr>
              <w:t>得分不应低于其权重分的</w:t>
            </w:r>
            <w:r>
              <w:rPr>
                <w:rFonts w:hint="eastAsia" w:ascii="宋体" w:hAnsi="宋体"/>
                <w:szCs w:val="21"/>
              </w:rPr>
              <w:t>9</w:t>
            </w:r>
            <w:r>
              <w:rPr>
                <w:rFonts w:ascii="宋体" w:hAnsi="宋体"/>
                <w:szCs w:val="21"/>
              </w:rPr>
              <w:t>0%</w:t>
            </w:r>
            <w:r>
              <w:rPr>
                <w:rFonts w:hint="eastAsia" w:ascii="宋体" w:hAnsi="宋体"/>
                <w:szCs w:val="21"/>
              </w:rPr>
              <w:t>，</w:t>
            </w:r>
            <w:r>
              <w:rPr>
                <w:rFonts w:ascii="宋体" w:hAnsi="宋体"/>
                <w:szCs w:val="21"/>
              </w:rPr>
              <w:t>低于</w:t>
            </w:r>
            <w:r>
              <w:rPr>
                <w:rFonts w:hint="eastAsia" w:ascii="宋体" w:hAnsi="宋体"/>
                <w:szCs w:val="21"/>
              </w:rPr>
              <w:t>上述要求的</w:t>
            </w:r>
            <w:r>
              <w:rPr>
                <w:rFonts w:ascii="宋体" w:hAnsi="宋体"/>
                <w:szCs w:val="21"/>
              </w:rPr>
              <w:t>，评标委员会成员应当在评标报告中作出说明。计算投标人技术得分时</w:t>
            </w:r>
            <w:r>
              <w:rPr>
                <w:rFonts w:hint="eastAsia" w:ascii="宋体" w:hAnsi="宋体"/>
                <w:szCs w:val="21"/>
              </w:rPr>
              <w:t>：首先在评委技术评分中，同一评委对各投标人评分总分的差值最大的评委评分进行取舍（当一位或两位评委评分差值最大时均取消其评委评分，当多于两位评分差值均最大时，不取消任一评委评分），再对各评分因素细分项中取消一个最高、一个最低分后计算算术平均值的和为投标人的最终技术得分，平均值计算四舍五入保留小数点后三位</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3.4.2</w:t>
            </w:r>
          </w:p>
        </w:tc>
        <w:tc>
          <w:tcPr>
            <w:tcW w:w="7969" w:type="dxa"/>
            <w:noWrap w:val="0"/>
            <w:vAlign w:val="center"/>
          </w:tcPr>
          <w:p>
            <w:pPr>
              <w:tabs>
                <w:tab w:val="left" w:pos="858"/>
              </w:tabs>
              <w:adjustRightInd w:val="0"/>
              <w:snapToGrid w:val="0"/>
              <w:spacing w:line="360" w:lineRule="auto"/>
              <w:ind w:firstLine="407" w:firstLineChars="194"/>
              <w:rPr>
                <w:rFonts w:ascii="宋体" w:hAnsi="宋体" w:cs="宋体"/>
                <w:snapToGrid w:val="0"/>
                <w:szCs w:val="21"/>
              </w:rPr>
            </w:pPr>
            <w:r>
              <w:rPr>
                <w:rFonts w:hint="eastAsia" w:ascii="宋体" w:hAnsi="宋体" w:cs="宋体"/>
                <w:snapToGrid w:val="0"/>
                <w:szCs w:val="21"/>
              </w:rPr>
              <w:t>将评标办法范本原文第3.4.2款第（2）、（3）、（4）条修改为：</w:t>
            </w:r>
          </w:p>
          <w:p>
            <w:pPr>
              <w:tabs>
                <w:tab w:val="left" w:pos="858"/>
              </w:tabs>
              <w:adjustRightInd w:val="0"/>
              <w:snapToGrid w:val="0"/>
              <w:spacing w:line="360" w:lineRule="auto"/>
              <w:ind w:firstLine="407" w:firstLineChars="194"/>
              <w:rPr>
                <w:rFonts w:ascii="宋体" w:hAnsi="宋体" w:cs="宋体"/>
                <w:snapToGrid w:val="0"/>
                <w:szCs w:val="21"/>
              </w:rPr>
            </w:pPr>
            <w:r>
              <w:rPr>
                <w:rFonts w:hint="eastAsia" w:ascii="宋体" w:hAnsi="宋体" w:cs="宋体"/>
                <w:snapToGrid w:val="0"/>
                <w:szCs w:val="21"/>
              </w:rPr>
              <w:t>（2） 总价金额与依据单价计算出的结果不一致的，在保证投标总价不变的前提下予以合理调整单价。</w:t>
            </w:r>
          </w:p>
          <w:p>
            <w:pPr>
              <w:tabs>
                <w:tab w:val="left" w:pos="858"/>
              </w:tabs>
              <w:adjustRightInd w:val="0"/>
              <w:snapToGrid w:val="0"/>
              <w:spacing w:line="360" w:lineRule="auto"/>
              <w:ind w:firstLine="407" w:firstLineChars="194"/>
              <w:rPr>
                <w:rFonts w:ascii="宋体" w:hAnsi="宋体" w:cs="宋体"/>
                <w:snapToGrid w:val="0"/>
                <w:szCs w:val="21"/>
              </w:rPr>
            </w:pPr>
            <w:r>
              <w:rPr>
                <w:rFonts w:hint="eastAsia" w:ascii="宋体" w:hAnsi="宋体" w:cs="宋体"/>
                <w:snapToGrid w:val="0"/>
                <w:szCs w:val="21"/>
              </w:rPr>
              <w:t>（3）当单价与数量相乘不等于合价时，应以标出的合价为准，同时对单价予以修正；</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（4） 当各子目的合价累计不等于总价时，应以总价不变的前提下，修正各子目合价。</w:t>
            </w:r>
          </w:p>
          <w:p>
            <w:pPr>
              <w:adjustRightInd w:val="0"/>
              <w:snapToGrid w:val="0"/>
              <w:spacing w:line="360" w:lineRule="auto"/>
              <w:ind w:firstLine="420" w:firstLineChars="200"/>
              <w:rPr>
                <w:rFonts w:ascii="宋体" w:hAnsi="宋体" w:cs="宋体"/>
                <w:szCs w:val="21"/>
              </w:rPr>
            </w:pPr>
            <w:r>
              <w:rPr>
                <w:rFonts w:hint="eastAsia" w:ascii="宋体" w:hAnsi="宋体" w:cs="宋体"/>
                <w:bCs/>
                <w:snapToGrid w:val="0"/>
                <w:szCs w:val="21"/>
              </w:rPr>
              <w:t>（如采用固化工程量清单，3.4.2~3.4.4条款不适用）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3.4.4</w:t>
            </w:r>
          </w:p>
        </w:tc>
        <w:tc>
          <w:tcPr>
            <w:tcW w:w="7969" w:type="dxa"/>
            <w:noWrap w:val="0"/>
            <w:vAlign w:val="center"/>
          </w:tcPr>
          <w:p>
            <w:pPr>
              <w:tabs>
                <w:tab w:val="left" w:pos="858"/>
              </w:tabs>
              <w:adjustRightInd w:val="0"/>
              <w:snapToGrid w:val="0"/>
              <w:spacing w:line="360" w:lineRule="auto"/>
              <w:rPr>
                <w:rStyle w:val="6"/>
                <w:rFonts w:ascii="宋体" w:hAnsi="宋体" w:eastAsia="宋体" w:cs="宋体"/>
                <w:sz w:val="21"/>
                <w:szCs w:val="21"/>
              </w:rPr>
            </w:pPr>
            <w:r>
              <w:rPr>
                <w:rFonts w:hint="eastAsia" w:ascii="宋体" w:hAnsi="宋体" w:cs="宋体"/>
                <w:snapToGrid w:val="0"/>
                <w:szCs w:val="21"/>
              </w:rPr>
              <w:t>将评标办法范本原文第3.4.4款修改为：</w:t>
            </w:r>
          </w:p>
          <w:p>
            <w:pPr>
              <w:adjustRightInd w:val="0"/>
              <w:snapToGrid w:val="0"/>
              <w:spacing w:line="360" w:lineRule="auto"/>
              <w:rPr>
                <w:rFonts w:ascii="宋体" w:hAnsi="宋体" w:cs="宋体"/>
                <w:szCs w:val="21"/>
              </w:rPr>
            </w:pPr>
            <w:r>
              <w:rPr>
                <w:rFonts w:hint="eastAsia" w:ascii="宋体" w:hAnsi="宋体" w:cs="宋体"/>
                <w:bCs/>
                <w:snapToGrid w:val="0"/>
                <w:szCs w:val="21"/>
              </w:rPr>
              <w:t>修正后的最终投标报价若超过最高评标限价，评标委员会应否决其投标。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3.6</w:t>
            </w:r>
          </w:p>
        </w:tc>
        <w:tc>
          <w:tcPr>
            <w:tcW w:w="7969"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增加3.6.3款：</w:t>
            </w:r>
          </w:p>
          <w:p>
            <w:pPr>
              <w:tabs>
                <w:tab w:val="left" w:pos="858"/>
              </w:tabs>
              <w:adjustRightInd w:val="0"/>
              <w:snapToGrid w:val="0"/>
              <w:spacing w:line="360" w:lineRule="auto"/>
              <w:ind w:firstLine="407" w:firstLineChars="194"/>
              <w:rPr>
                <w:rFonts w:ascii="宋体" w:hAnsi="宋体" w:cs="宋体"/>
                <w:snapToGrid w:val="0"/>
                <w:szCs w:val="21"/>
              </w:rPr>
            </w:pPr>
            <w:r>
              <w:rPr>
                <w:rFonts w:hint="eastAsia" w:ascii="宋体" w:hAnsi="宋体" w:cs="宋体"/>
                <w:szCs w:val="21"/>
              </w:rPr>
              <w:t>3.6.3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3.7.1</w:t>
            </w:r>
          </w:p>
        </w:tc>
        <w:tc>
          <w:tcPr>
            <w:tcW w:w="7969"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将评标办法范本原文第3.7.1款修改为：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3.7.1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adjustRightInd w:val="0"/>
              <w:snapToGrid w:val="0"/>
              <w:spacing w:line="360" w:lineRule="auto"/>
              <w:ind w:firstLine="420" w:firstLineChars="200"/>
              <w:rPr>
                <w:rFonts w:ascii="宋体" w:hAnsi="宋体" w:cs="宋体"/>
                <w:bCs/>
                <w:snapToGrid w:val="0"/>
                <w:szCs w:val="21"/>
              </w:rPr>
            </w:pPr>
            <w:r>
              <w:rPr>
                <w:rFonts w:hint="eastAsia" w:ascii="宋体" w:hAnsi="宋体" w:cs="宋体"/>
                <w:bCs/>
                <w:snapToGrid w:val="0"/>
                <w:szCs w:val="21"/>
              </w:rPr>
              <w:t xml:space="preserve">（1） 投标文件中的下列计算错误为细微偏差（采用固化工程量清单，则a－d步骤省略）： </w:t>
            </w:r>
          </w:p>
          <w:p>
            <w:pPr>
              <w:tabs>
                <w:tab w:val="left" w:pos="858"/>
              </w:tabs>
              <w:adjustRightInd w:val="0"/>
              <w:snapToGrid w:val="0"/>
              <w:spacing w:line="360" w:lineRule="auto"/>
              <w:ind w:firstLine="407" w:firstLineChars="194"/>
              <w:rPr>
                <w:rFonts w:ascii="宋体" w:hAnsi="宋体" w:cs="宋体"/>
                <w:snapToGrid w:val="0"/>
                <w:szCs w:val="21"/>
              </w:rPr>
            </w:pPr>
            <w:r>
              <w:rPr>
                <w:rFonts w:hint="eastAsia" w:ascii="宋体" w:hAnsi="宋体" w:cs="宋体"/>
                <w:szCs w:val="21"/>
              </w:rPr>
              <w:t>a、</w:t>
            </w:r>
            <w:r>
              <w:rPr>
                <w:rFonts w:hint="eastAsia" w:ascii="宋体" w:hAnsi="宋体" w:cs="宋体"/>
                <w:snapToGrid w:val="0"/>
                <w:szCs w:val="21"/>
              </w:rPr>
              <w:t>在</w:t>
            </w:r>
            <w:r>
              <w:rPr>
                <w:rFonts w:hint="eastAsia" w:ascii="宋体" w:hAnsi="宋体" w:cs="宋体"/>
                <w:szCs w:val="21"/>
              </w:rPr>
              <w:t>算术</w:t>
            </w:r>
            <w:r>
              <w:rPr>
                <w:rFonts w:hint="eastAsia" w:ascii="宋体" w:hAnsi="宋体" w:cs="宋体"/>
                <w:snapToGrid w:val="0"/>
                <w:szCs w:val="21"/>
              </w:rPr>
              <w:t>性复核中发现的算术性差错：</w:t>
            </w:r>
          </w:p>
          <w:p>
            <w:pPr>
              <w:adjustRightInd w:val="0"/>
              <w:snapToGrid w:val="0"/>
              <w:spacing w:line="360" w:lineRule="auto"/>
              <w:ind w:firstLine="407" w:firstLineChars="194"/>
              <w:rPr>
                <w:rFonts w:ascii="宋体" w:hAnsi="宋体" w:cs="宋体"/>
                <w:snapToGrid w:val="0"/>
                <w:szCs w:val="21"/>
              </w:rPr>
            </w:pPr>
            <w:r>
              <w:rPr>
                <w:rFonts w:hint="eastAsia" w:ascii="宋体" w:hAnsi="宋体" w:cs="宋体"/>
                <w:szCs w:val="21"/>
              </w:rPr>
              <w:t>b、</w:t>
            </w:r>
            <w:r>
              <w:rPr>
                <w:rFonts w:hint="eastAsia" w:ascii="宋体" w:hAnsi="宋体" w:cs="宋体"/>
                <w:snapToGrid w:val="0"/>
                <w:szCs w:val="21"/>
              </w:rPr>
              <w:t>在招标人给定的工程量清单中漏报了某个工程细目的单价和合价；</w:t>
            </w:r>
          </w:p>
          <w:p>
            <w:pPr>
              <w:adjustRightInd w:val="0"/>
              <w:snapToGrid w:val="0"/>
              <w:spacing w:line="360" w:lineRule="auto"/>
              <w:ind w:firstLine="384" w:firstLineChars="194"/>
              <w:rPr>
                <w:rFonts w:ascii="宋体" w:hAnsi="宋体" w:cs="宋体"/>
                <w:snapToGrid w:val="0"/>
                <w:spacing w:val="-6"/>
                <w:szCs w:val="21"/>
              </w:rPr>
            </w:pPr>
            <w:r>
              <w:rPr>
                <w:rFonts w:hint="eastAsia" w:ascii="宋体" w:hAnsi="宋体" w:cs="宋体"/>
                <w:spacing w:val="-6"/>
                <w:szCs w:val="21"/>
              </w:rPr>
              <w:t>c、</w:t>
            </w:r>
            <w:r>
              <w:rPr>
                <w:rFonts w:hint="eastAsia" w:ascii="宋体" w:hAnsi="宋体" w:cs="宋体"/>
                <w:snapToGrid w:val="0"/>
                <w:spacing w:val="-6"/>
                <w:szCs w:val="21"/>
              </w:rPr>
              <w:t>在招标人给定的工程量清单中多报了某个工程细目的单价和合价或所报单价增加或减少了报价范围；</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zCs w:val="21"/>
              </w:rPr>
              <w:t>d、</w:t>
            </w:r>
            <w:r>
              <w:rPr>
                <w:rFonts w:hint="eastAsia" w:ascii="宋体" w:hAnsi="宋体" w:cs="宋体"/>
                <w:snapToGrid w:val="0"/>
                <w:szCs w:val="21"/>
              </w:rPr>
              <w:t>在招标人给定的工程量清单中修改了某些支付号的工程数量。</w:t>
            </w:r>
          </w:p>
          <w:p>
            <w:pPr>
              <w:adjustRightInd w:val="0"/>
              <w:snapToGrid w:val="0"/>
              <w:spacing w:line="360" w:lineRule="auto"/>
              <w:ind w:firstLine="420" w:firstLineChars="200"/>
              <w:rPr>
                <w:rFonts w:ascii="宋体" w:hAnsi="宋体" w:cs="宋体"/>
                <w:bCs/>
                <w:snapToGrid w:val="0"/>
                <w:szCs w:val="21"/>
              </w:rPr>
            </w:pPr>
            <w:r>
              <w:rPr>
                <w:rFonts w:hint="eastAsia" w:ascii="宋体" w:hAnsi="宋体" w:cs="宋体"/>
                <w:szCs w:val="21"/>
              </w:rPr>
              <w:t>（2）</w:t>
            </w:r>
            <w:r>
              <w:rPr>
                <w:rFonts w:hint="eastAsia" w:ascii="宋体" w:hAnsi="宋体" w:cs="宋体"/>
                <w:bCs/>
                <w:snapToGrid w:val="0"/>
                <w:szCs w:val="21"/>
              </w:rPr>
              <w:t>评标委员会对投标文件中的细微偏差按如下规定处理（采用固化工程量清单，则a－d步骤省略）：</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zCs w:val="21"/>
              </w:rPr>
              <w:t>a、</w:t>
            </w:r>
            <w:r>
              <w:rPr>
                <w:rFonts w:hint="eastAsia" w:ascii="宋体" w:hAnsi="宋体" w:cs="宋体"/>
                <w:snapToGrid w:val="0"/>
                <w:szCs w:val="21"/>
              </w:rPr>
              <w:t>按本评标办法的规定对算术性错误予以修正；</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zCs w:val="21"/>
              </w:rPr>
              <w:t>b、</w:t>
            </w:r>
            <w:r>
              <w:rPr>
                <w:rFonts w:hint="eastAsia" w:ascii="宋体" w:hAnsi="宋体" w:cs="宋体"/>
                <w:snapToGrid w:val="0"/>
                <w:szCs w:val="21"/>
              </w:rPr>
              <w:t>对于漏报的工程细目单价和合价或单价和合价减少的报价内容视为已含入其它工程细目的单价和合价之中；</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zCs w:val="21"/>
              </w:rPr>
              <w:t>c、在保证投标总价不变的前提下，</w:t>
            </w:r>
            <w:r>
              <w:rPr>
                <w:rFonts w:hint="eastAsia" w:ascii="宋体" w:hAnsi="宋体" w:cs="宋体"/>
                <w:snapToGrid w:val="0"/>
                <w:szCs w:val="21"/>
              </w:rPr>
              <w:t>对于多报的工程细目报价或工程细目报价中增加的部分报价从投标报价中予以扣除，并对其它细目作相应的平衡性调整；</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d、</w:t>
            </w:r>
            <w:r>
              <w:rPr>
                <w:rFonts w:hint="eastAsia" w:ascii="宋体" w:hAnsi="宋体" w:cs="宋体"/>
                <w:szCs w:val="21"/>
              </w:rPr>
              <w:t>在保证投标总价不变的前提下，对</w:t>
            </w:r>
            <w:r>
              <w:rPr>
                <w:rFonts w:hint="eastAsia" w:ascii="宋体" w:hAnsi="宋体" w:cs="宋体"/>
                <w:snapToGrid w:val="0"/>
                <w:szCs w:val="21"/>
              </w:rPr>
              <w:t>与给定工程量清单数量不符的工程数量进行更正，并对其它细目作相应的平衡性调整；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3.9</w:t>
            </w:r>
          </w:p>
        </w:tc>
        <w:tc>
          <w:tcPr>
            <w:tcW w:w="7969" w:type="dxa"/>
            <w:noWrap w:val="0"/>
            <w:vAlign w:val="center"/>
          </w:tcPr>
          <w:p>
            <w:pPr>
              <w:adjustRightInd w:val="0"/>
              <w:snapToGrid w:val="0"/>
              <w:spacing w:line="360" w:lineRule="auto"/>
              <w:rPr>
                <w:rFonts w:ascii="宋体" w:hAnsi="宋体" w:cs="宋体"/>
                <w:bCs/>
                <w:szCs w:val="21"/>
              </w:rPr>
            </w:pPr>
            <w:r>
              <w:rPr>
                <w:rFonts w:hint="eastAsia" w:ascii="宋体" w:hAnsi="宋体" w:cs="宋体"/>
                <w:bCs/>
                <w:szCs w:val="21"/>
              </w:rPr>
              <w:t>增加3.9.3-3.9.6款：</w:t>
            </w:r>
          </w:p>
          <w:p>
            <w:pPr>
              <w:adjustRightInd w:val="0"/>
              <w:snapToGrid w:val="0"/>
              <w:spacing w:line="360" w:lineRule="auto"/>
              <w:ind w:firstLine="432" w:firstLineChars="206"/>
              <w:rPr>
                <w:rFonts w:ascii="宋体" w:hAnsi="宋体" w:cs="宋体"/>
                <w:szCs w:val="21"/>
              </w:rPr>
            </w:pPr>
            <w:r>
              <w:rPr>
                <w:rFonts w:hint="eastAsia" w:ascii="宋体" w:hAnsi="宋体" w:cs="宋体"/>
                <w:szCs w:val="21"/>
              </w:rPr>
              <w:t>3.9.3推荐中标候选人方式：按合同段最高投标限价高低顺序依次选定各</w:t>
            </w:r>
          </w:p>
          <w:p>
            <w:pPr>
              <w:adjustRightInd w:val="0"/>
              <w:snapToGrid w:val="0"/>
              <w:spacing w:line="360" w:lineRule="auto"/>
              <w:rPr>
                <w:rFonts w:ascii="宋体" w:hAnsi="宋体" w:cs="宋体"/>
                <w:szCs w:val="21"/>
              </w:rPr>
            </w:pPr>
            <w:r>
              <w:rPr>
                <w:rFonts w:hint="eastAsia" w:ascii="宋体" w:hAnsi="宋体" w:cs="宋体"/>
                <w:szCs w:val="21"/>
              </w:rPr>
              <w:t>合同段中标候选人，如果出现投标人在多个合同段都排名第一，将确定该投标人为最高投标限价较高的合同段的第一中标候选人，同时该投标人自动失去在本次招标中其他合同段的中标候选人资格，其他合同段的综合排名名次高者自动上升为中标候选人，如此类推。</w:t>
            </w:r>
          </w:p>
          <w:p>
            <w:pPr>
              <w:adjustRightInd w:val="0"/>
              <w:snapToGrid w:val="0"/>
              <w:spacing w:line="360" w:lineRule="auto"/>
              <w:ind w:firstLine="432" w:firstLineChars="206"/>
              <w:rPr>
                <w:rFonts w:ascii="宋体" w:hAnsi="宋体" w:cs="宋体"/>
                <w:szCs w:val="21"/>
              </w:rPr>
            </w:pPr>
            <w:r>
              <w:rPr>
                <w:rFonts w:hint="eastAsia" w:ascii="宋体" w:hAnsi="宋体" w:cs="宋体"/>
                <w:szCs w:val="21"/>
              </w:rPr>
              <w:t>3.9.4通过第一信封商务文件和技术文件评审的投标人少于3个的，评标委员会应否决全部投标。</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3.9.5通过第一信封商务文件和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adjustRightInd w:val="0"/>
              <w:snapToGrid w:val="0"/>
              <w:spacing w:line="360" w:lineRule="auto"/>
              <w:ind w:firstLine="432" w:firstLineChars="206"/>
              <w:rPr>
                <w:rFonts w:ascii="宋体" w:hAnsi="宋体" w:cs="宋体"/>
                <w:szCs w:val="21"/>
              </w:rPr>
            </w:pPr>
            <w:r>
              <w:rPr>
                <w:rFonts w:hint="eastAsia" w:ascii="宋体" w:hAnsi="宋体" w:cs="宋体"/>
                <w:szCs w:val="21"/>
              </w:rPr>
              <w:t>3.9.6如果发生无法确定推荐中标候选人的其它意外情况，评标委员会可建议招标人重新招标。</w:t>
            </w:r>
          </w:p>
        </w:tc>
      </w:tr>
    </w:tbl>
    <w:p>
      <w:pPr>
        <w:spacing w:line="140" w:lineRule="exact"/>
        <w:jc w:val="left"/>
        <w:rPr>
          <w:rFonts w:ascii="宋体" w:hAnsi="宋体" w:cs="宋体"/>
          <w:sz w:val="24"/>
          <w:lang w:bidi="ar"/>
        </w:rPr>
      </w:pPr>
    </w:p>
    <w:p>
      <w:pPr>
        <w:pStyle w:val="2"/>
        <w:rPr>
          <w:rFonts w:hint="eastAsia" w:ascii="宋体" w:hAnsi="宋体"/>
          <w:sz w:val="20"/>
        </w:rPr>
      </w:pPr>
    </w:p>
    <w:p>
      <w:pPr>
        <w:autoSpaceDE w:val="0"/>
        <w:autoSpaceDN w:val="0"/>
        <w:adjustRightInd w:val="0"/>
        <w:spacing w:line="360" w:lineRule="auto"/>
        <w:outlineLvl w:val="2"/>
        <w:rPr>
          <w:rFonts w:ascii="宋体" w:hAnsi="宋体"/>
          <w:sz w:val="20"/>
        </w:rPr>
      </w:pPr>
      <w:r>
        <w:rPr>
          <w:rFonts w:ascii="宋体" w:hAnsi="宋体"/>
          <w:sz w:val="20"/>
        </w:rPr>
        <w:br w:type="page"/>
      </w:r>
      <w:bookmarkStart w:id="7" w:name="_bookmark95"/>
      <w:bookmarkEnd w:id="7"/>
      <w:bookmarkStart w:id="8" w:name="_Toc509567594"/>
      <w:bookmarkStart w:id="9" w:name="_Toc509445950"/>
      <w:bookmarkStart w:id="10" w:name="_Toc515548373"/>
      <w:bookmarkStart w:id="11" w:name="_Toc509412709"/>
      <w:bookmarkStart w:id="12" w:name="_Toc514075374"/>
      <w:r>
        <w:rPr>
          <w:rFonts w:hint="eastAsia" w:ascii="宋体" w:hAnsi="宋体" w:cs="黑体"/>
          <w:b/>
          <w:kern w:val="0"/>
          <w:sz w:val="28"/>
          <w:lang w:bidi="ar"/>
        </w:rPr>
        <w:t>1.评标方法</w:t>
      </w:r>
      <w:bookmarkEnd w:id="8"/>
      <w:bookmarkEnd w:id="9"/>
      <w:bookmarkEnd w:id="10"/>
      <w:bookmarkEnd w:id="11"/>
      <w:bookmarkEnd w:id="12"/>
    </w:p>
    <w:p>
      <w:pPr>
        <w:pStyle w:val="2"/>
        <w:spacing w:after="0" w:line="360" w:lineRule="auto"/>
        <w:ind w:firstLine="480" w:firstLineChars="200"/>
        <w:rPr>
          <w:rFonts w:ascii="宋体" w:hAnsi="宋体"/>
          <w:sz w:val="24"/>
        </w:rPr>
      </w:pPr>
      <w:r>
        <w:rPr>
          <w:rFonts w:hint="eastAsia" w:ascii="宋体" w:hAnsi="宋体"/>
          <w:sz w:val="24"/>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pPr>
        <w:autoSpaceDE w:val="0"/>
        <w:autoSpaceDN w:val="0"/>
        <w:adjustRightInd w:val="0"/>
        <w:spacing w:line="360" w:lineRule="auto"/>
        <w:outlineLvl w:val="2"/>
        <w:rPr>
          <w:rFonts w:ascii="宋体" w:hAnsi="宋体" w:cs="黑体"/>
          <w:b/>
          <w:kern w:val="0"/>
          <w:sz w:val="28"/>
          <w:lang w:bidi="ar"/>
        </w:rPr>
      </w:pPr>
      <w:bookmarkStart w:id="13" w:name="_bookmark96"/>
      <w:bookmarkEnd w:id="13"/>
      <w:bookmarkStart w:id="14" w:name="_Toc514075375"/>
      <w:bookmarkStart w:id="15" w:name="_Toc509445951"/>
      <w:bookmarkStart w:id="16" w:name="_Toc509567595"/>
      <w:bookmarkStart w:id="17" w:name="_Toc509412710"/>
      <w:bookmarkStart w:id="18" w:name="_Toc515548374"/>
      <w:r>
        <w:rPr>
          <w:rFonts w:hint="eastAsia" w:ascii="宋体" w:hAnsi="宋体" w:cs="黑体"/>
          <w:b/>
          <w:kern w:val="0"/>
          <w:sz w:val="28"/>
          <w:lang w:bidi="ar"/>
        </w:rPr>
        <w:t>2.评审标准</w:t>
      </w:r>
      <w:bookmarkEnd w:id="14"/>
      <w:bookmarkEnd w:id="15"/>
      <w:bookmarkEnd w:id="16"/>
      <w:bookmarkEnd w:id="17"/>
      <w:bookmarkEnd w:id="18"/>
    </w:p>
    <w:p>
      <w:pPr>
        <w:autoSpaceDE w:val="0"/>
        <w:autoSpaceDN w:val="0"/>
        <w:adjustRightInd w:val="0"/>
        <w:spacing w:line="360" w:lineRule="auto"/>
        <w:jc w:val="left"/>
        <w:outlineLvl w:val="3"/>
        <w:rPr>
          <w:rFonts w:ascii="宋体" w:hAnsi="宋体" w:cs="TimesNewRomanPSMT"/>
          <w:b/>
          <w:kern w:val="0"/>
          <w:sz w:val="24"/>
        </w:rPr>
      </w:pPr>
      <w:bookmarkStart w:id="19" w:name="_bookmark97"/>
      <w:bookmarkEnd w:id="19"/>
      <w:r>
        <w:rPr>
          <w:rFonts w:ascii="宋体" w:hAnsi="宋体" w:cs="TimesNewRomanPSMT"/>
          <w:b/>
          <w:kern w:val="0"/>
          <w:sz w:val="24"/>
        </w:rPr>
        <w:t>2.1</w:t>
      </w:r>
      <w:r>
        <w:rPr>
          <w:rFonts w:hint="eastAsia" w:ascii="宋体" w:hAnsi="宋体" w:cs="TimesNewRomanPSMT"/>
          <w:b/>
          <w:kern w:val="0"/>
          <w:sz w:val="24"/>
        </w:rPr>
        <w:t>初步评审标准</w:t>
      </w:r>
    </w:p>
    <w:p>
      <w:pPr>
        <w:pStyle w:val="2"/>
        <w:spacing w:after="0" w:line="360" w:lineRule="auto"/>
        <w:ind w:firstLine="480" w:firstLineChars="200"/>
        <w:rPr>
          <w:rFonts w:ascii="宋体" w:hAnsi="宋体"/>
          <w:sz w:val="24"/>
        </w:rPr>
      </w:pPr>
      <w:r>
        <w:rPr>
          <w:rFonts w:ascii="宋体" w:hAnsi="宋体"/>
          <w:sz w:val="24"/>
        </w:rPr>
        <w:t>2.1.1</w:t>
      </w:r>
      <w:r>
        <w:rPr>
          <w:rFonts w:hint="eastAsia" w:ascii="宋体" w:hAnsi="宋体"/>
          <w:sz w:val="24"/>
        </w:rPr>
        <w:t>形式评审标准：见评标办法前附表。</w:t>
      </w:r>
    </w:p>
    <w:p>
      <w:pPr>
        <w:pStyle w:val="2"/>
        <w:spacing w:after="0" w:line="360" w:lineRule="auto"/>
        <w:ind w:firstLine="480" w:firstLineChars="200"/>
        <w:rPr>
          <w:rFonts w:ascii="宋体" w:hAnsi="宋体"/>
          <w:sz w:val="24"/>
        </w:rPr>
      </w:pPr>
      <w:r>
        <w:rPr>
          <w:rFonts w:ascii="宋体" w:hAnsi="宋体"/>
          <w:sz w:val="24"/>
        </w:rPr>
        <w:t>2.1.2响应评审标准</w:t>
      </w:r>
      <w:r>
        <w:rPr>
          <w:rFonts w:hint="eastAsia" w:ascii="宋体" w:hAnsi="宋体"/>
          <w:sz w:val="24"/>
        </w:rPr>
        <w:t>：见评标办法前附表。</w:t>
      </w:r>
    </w:p>
    <w:p>
      <w:pPr>
        <w:pStyle w:val="2"/>
        <w:spacing w:after="0" w:line="360" w:lineRule="auto"/>
        <w:ind w:firstLine="480" w:firstLineChars="200"/>
        <w:rPr>
          <w:rFonts w:hint="eastAsia" w:ascii="宋体" w:hAnsi="宋体"/>
          <w:sz w:val="24"/>
        </w:rPr>
      </w:pPr>
      <w:r>
        <w:rPr>
          <w:rFonts w:ascii="宋体" w:hAnsi="宋体"/>
          <w:sz w:val="24"/>
        </w:rPr>
        <w:t>2.1.</w:t>
      </w:r>
      <w:r>
        <w:rPr>
          <w:rFonts w:hint="eastAsia" w:ascii="宋体" w:hAnsi="宋体"/>
          <w:sz w:val="24"/>
        </w:rPr>
        <w:t>3</w:t>
      </w:r>
      <w:r>
        <w:rPr>
          <w:rFonts w:ascii="宋体" w:hAnsi="宋体"/>
          <w:sz w:val="24"/>
        </w:rPr>
        <w:t>资格评审标准：</w:t>
      </w:r>
      <w:r>
        <w:rPr>
          <w:rFonts w:hint="eastAsia" w:ascii="宋体" w:hAnsi="宋体"/>
          <w:sz w:val="24"/>
        </w:rPr>
        <w:t>见评标办法前附表。</w:t>
      </w:r>
    </w:p>
    <w:p>
      <w:pPr>
        <w:autoSpaceDE w:val="0"/>
        <w:autoSpaceDN w:val="0"/>
        <w:adjustRightInd w:val="0"/>
        <w:spacing w:line="360" w:lineRule="auto"/>
        <w:jc w:val="left"/>
        <w:outlineLvl w:val="3"/>
        <w:rPr>
          <w:rFonts w:hint="eastAsia" w:ascii="宋体" w:hAnsi="宋体" w:cs="TimesNewRomanPSMT"/>
          <w:b/>
          <w:kern w:val="0"/>
          <w:sz w:val="24"/>
        </w:rPr>
      </w:pPr>
      <w:r>
        <w:rPr>
          <w:rFonts w:hint="eastAsia" w:ascii="宋体" w:hAnsi="宋体" w:cs="TimesNewRomanPSMT"/>
          <w:b/>
          <w:kern w:val="0"/>
          <w:sz w:val="24"/>
        </w:rPr>
        <w:t>2.2分值构成与评分标准</w:t>
      </w:r>
    </w:p>
    <w:p>
      <w:pPr>
        <w:pStyle w:val="2"/>
        <w:spacing w:after="0" w:line="360" w:lineRule="auto"/>
        <w:ind w:firstLine="480" w:firstLineChars="200"/>
        <w:rPr>
          <w:rFonts w:hint="eastAsia" w:ascii="宋体" w:hAnsi="宋体"/>
          <w:sz w:val="24"/>
        </w:rPr>
      </w:pPr>
      <w:r>
        <w:rPr>
          <w:rFonts w:hint="eastAsia" w:ascii="宋体" w:hAnsi="宋体"/>
          <w:sz w:val="24"/>
        </w:rPr>
        <w:t>2.2.1</w:t>
      </w:r>
      <w:r>
        <w:rPr>
          <w:rFonts w:hint="eastAsia" w:ascii="宋体" w:hAnsi="宋体"/>
          <w:sz w:val="24"/>
        </w:rPr>
        <w:tab/>
      </w:r>
      <w:r>
        <w:rPr>
          <w:rFonts w:hint="eastAsia" w:ascii="宋体" w:hAnsi="宋体"/>
          <w:sz w:val="24"/>
        </w:rPr>
        <w:t>第一个信封评分分值构成</w:t>
      </w:r>
    </w:p>
    <w:p>
      <w:pPr>
        <w:pStyle w:val="2"/>
        <w:spacing w:after="0" w:line="360" w:lineRule="auto"/>
        <w:ind w:firstLine="480" w:firstLineChars="200"/>
        <w:rPr>
          <w:rFonts w:hint="eastAsia" w:ascii="宋体" w:hAnsi="宋体"/>
          <w:sz w:val="24"/>
        </w:rPr>
      </w:pPr>
      <w:r>
        <w:rPr>
          <w:rFonts w:hint="eastAsia" w:ascii="宋体" w:hAnsi="宋体"/>
          <w:sz w:val="24"/>
        </w:rPr>
        <w:t>（1）施工组织设计：见评标办法前附表；</w:t>
      </w:r>
    </w:p>
    <w:p>
      <w:pPr>
        <w:pStyle w:val="2"/>
        <w:spacing w:after="0" w:line="360" w:lineRule="auto"/>
        <w:ind w:firstLine="480" w:firstLineChars="200"/>
        <w:rPr>
          <w:rFonts w:hint="eastAsia" w:ascii="宋体" w:hAnsi="宋体"/>
          <w:sz w:val="24"/>
        </w:rPr>
      </w:pPr>
      <w:r>
        <w:rPr>
          <w:rFonts w:hint="eastAsia" w:ascii="宋体" w:hAnsi="宋体"/>
          <w:sz w:val="24"/>
        </w:rPr>
        <w:t>（2）主要人员：见评标办法前附表；</w:t>
      </w:r>
    </w:p>
    <w:p>
      <w:pPr>
        <w:pStyle w:val="2"/>
        <w:spacing w:after="0" w:line="360" w:lineRule="auto"/>
        <w:ind w:firstLine="480" w:firstLineChars="200"/>
        <w:rPr>
          <w:rFonts w:hint="eastAsia" w:ascii="宋体" w:hAnsi="宋体"/>
          <w:sz w:val="24"/>
        </w:rPr>
      </w:pPr>
      <w:r>
        <w:rPr>
          <w:rFonts w:hint="eastAsia" w:ascii="宋体" w:hAnsi="宋体"/>
          <w:sz w:val="24"/>
        </w:rPr>
        <w:t>（3）其他评分因素：见评标办法前附表。</w:t>
      </w:r>
    </w:p>
    <w:p>
      <w:pPr>
        <w:pStyle w:val="2"/>
        <w:spacing w:after="0" w:line="360" w:lineRule="auto"/>
        <w:ind w:firstLine="480" w:firstLineChars="200"/>
        <w:rPr>
          <w:rFonts w:hint="eastAsia" w:ascii="宋体" w:hAnsi="宋体"/>
          <w:sz w:val="24"/>
        </w:rPr>
      </w:pPr>
      <w:r>
        <w:rPr>
          <w:rFonts w:hint="eastAsia" w:ascii="宋体" w:hAnsi="宋体"/>
          <w:sz w:val="24"/>
        </w:rPr>
        <w:t>2.2.2</w:t>
      </w:r>
      <w:r>
        <w:rPr>
          <w:rFonts w:hint="eastAsia" w:ascii="宋体" w:hAnsi="宋体"/>
          <w:sz w:val="24"/>
        </w:rPr>
        <w:tab/>
      </w:r>
      <w:r>
        <w:rPr>
          <w:rFonts w:hint="eastAsia" w:ascii="宋体" w:hAnsi="宋体"/>
          <w:sz w:val="24"/>
        </w:rPr>
        <w:t>第一个信封评分评分标准</w:t>
      </w:r>
    </w:p>
    <w:p>
      <w:pPr>
        <w:pStyle w:val="2"/>
        <w:spacing w:after="0" w:line="360" w:lineRule="auto"/>
        <w:ind w:firstLine="480" w:firstLineChars="200"/>
        <w:rPr>
          <w:rFonts w:hint="eastAsia" w:ascii="宋体" w:hAnsi="宋体"/>
          <w:sz w:val="24"/>
        </w:rPr>
      </w:pPr>
      <w:r>
        <w:rPr>
          <w:rFonts w:hint="eastAsia" w:ascii="宋体" w:hAnsi="宋体"/>
          <w:sz w:val="24"/>
        </w:rPr>
        <w:t>（1）施工组织设计评分标准：见评标办法前附表；</w:t>
      </w:r>
    </w:p>
    <w:p>
      <w:pPr>
        <w:pStyle w:val="2"/>
        <w:spacing w:after="0" w:line="360" w:lineRule="auto"/>
        <w:ind w:firstLine="480" w:firstLineChars="200"/>
        <w:rPr>
          <w:rFonts w:hint="eastAsia" w:ascii="宋体" w:hAnsi="宋体"/>
          <w:sz w:val="24"/>
        </w:rPr>
      </w:pPr>
      <w:r>
        <w:rPr>
          <w:rFonts w:hint="eastAsia" w:ascii="宋体" w:hAnsi="宋体"/>
          <w:sz w:val="24"/>
        </w:rPr>
        <w:t>（2）主要人员评分标准：见评标办法前附表；</w:t>
      </w:r>
    </w:p>
    <w:p>
      <w:pPr>
        <w:pStyle w:val="2"/>
        <w:spacing w:after="0" w:line="360" w:lineRule="auto"/>
        <w:ind w:firstLine="480" w:firstLineChars="200"/>
        <w:rPr>
          <w:rFonts w:hint="eastAsia" w:ascii="宋体" w:hAnsi="宋体"/>
          <w:sz w:val="24"/>
        </w:rPr>
      </w:pPr>
      <w:r>
        <w:rPr>
          <w:rFonts w:hint="eastAsia" w:ascii="宋体" w:hAnsi="宋体"/>
          <w:sz w:val="24"/>
        </w:rPr>
        <w:t>（3）其他因素评分标准：见评标办法前附表。</w:t>
      </w:r>
    </w:p>
    <w:p>
      <w:pPr>
        <w:pStyle w:val="2"/>
        <w:spacing w:after="0" w:line="360" w:lineRule="auto"/>
        <w:ind w:firstLine="480" w:firstLineChars="200"/>
        <w:rPr>
          <w:rFonts w:ascii="宋体" w:hAnsi="宋体"/>
          <w:sz w:val="24"/>
        </w:rPr>
      </w:pPr>
      <w:r>
        <w:rPr>
          <w:rFonts w:hint="eastAsia" w:ascii="宋体" w:hAnsi="宋体"/>
          <w:sz w:val="24"/>
        </w:rPr>
        <w:t>2.2.3</w:t>
      </w:r>
      <w:r>
        <w:rPr>
          <w:rFonts w:hint="eastAsia" w:ascii="宋体" w:hAnsi="宋体"/>
          <w:sz w:val="24"/>
        </w:rPr>
        <w:tab/>
      </w:r>
      <w:r>
        <w:rPr>
          <w:rFonts w:hint="eastAsia" w:ascii="宋体" w:hAnsi="宋体"/>
          <w:sz w:val="24"/>
        </w:rPr>
        <w:t>第二个信封详细评审标准：见评标办法前附表。</w:t>
      </w:r>
    </w:p>
    <w:p>
      <w:pPr>
        <w:autoSpaceDE w:val="0"/>
        <w:autoSpaceDN w:val="0"/>
        <w:adjustRightInd w:val="0"/>
        <w:spacing w:line="360" w:lineRule="auto"/>
        <w:outlineLvl w:val="2"/>
        <w:rPr>
          <w:rFonts w:ascii="宋体" w:hAnsi="宋体" w:cs="黑体"/>
          <w:b/>
          <w:kern w:val="0"/>
          <w:sz w:val="28"/>
          <w:lang w:bidi="ar"/>
        </w:rPr>
      </w:pPr>
      <w:bookmarkStart w:id="20" w:name="_bookmark99"/>
      <w:bookmarkEnd w:id="20"/>
      <w:bookmarkStart w:id="21" w:name="_Toc509412711"/>
      <w:bookmarkStart w:id="22" w:name="_Toc514075376"/>
      <w:bookmarkStart w:id="23" w:name="_Toc509567596"/>
      <w:bookmarkStart w:id="24" w:name="_Toc509445952"/>
      <w:bookmarkStart w:id="25" w:name="_Toc515548375"/>
      <w:r>
        <w:rPr>
          <w:rFonts w:hint="eastAsia" w:ascii="宋体" w:hAnsi="宋体" w:cs="黑体"/>
          <w:b/>
          <w:kern w:val="0"/>
          <w:sz w:val="28"/>
          <w:lang w:bidi="ar"/>
        </w:rPr>
        <w:t>3.评标程序</w:t>
      </w:r>
      <w:bookmarkEnd w:id="21"/>
      <w:bookmarkEnd w:id="22"/>
      <w:bookmarkEnd w:id="23"/>
      <w:bookmarkEnd w:id="24"/>
      <w:bookmarkEnd w:id="25"/>
    </w:p>
    <w:p>
      <w:pPr>
        <w:autoSpaceDE w:val="0"/>
        <w:autoSpaceDN w:val="0"/>
        <w:adjustRightInd w:val="0"/>
        <w:spacing w:line="360" w:lineRule="auto"/>
        <w:jc w:val="left"/>
        <w:outlineLvl w:val="3"/>
        <w:rPr>
          <w:rFonts w:ascii="宋体" w:hAnsi="宋体" w:cs="TimesNewRomanPSMT"/>
          <w:b/>
          <w:kern w:val="0"/>
          <w:sz w:val="24"/>
        </w:rPr>
      </w:pPr>
      <w:bookmarkStart w:id="26" w:name="_bookmark100"/>
      <w:bookmarkEnd w:id="26"/>
      <w:r>
        <w:rPr>
          <w:rFonts w:hint="eastAsia" w:ascii="宋体" w:hAnsi="宋体" w:cs="TimesNewRomanPSMT"/>
          <w:b/>
          <w:kern w:val="0"/>
          <w:sz w:val="24"/>
        </w:rPr>
        <w:t>3.1第一个信封初步评审</w:t>
      </w:r>
    </w:p>
    <w:p>
      <w:pPr>
        <w:pStyle w:val="2"/>
        <w:spacing w:after="0" w:line="360" w:lineRule="auto"/>
        <w:ind w:firstLine="480" w:firstLineChars="200"/>
        <w:rPr>
          <w:rFonts w:ascii="宋体" w:hAnsi="宋体"/>
          <w:sz w:val="24"/>
        </w:rPr>
      </w:pPr>
      <w:r>
        <w:rPr>
          <w:rFonts w:hint="eastAsia" w:ascii="宋体" w:hAnsi="宋体"/>
          <w:sz w:val="24"/>
        </w:rPr>
        <w:t>3.1.1</w:t>
      </w:r>
      <w:r>
        <w:rPr>
          <w:rFonts w:ascii="宋体" w:hAnsi="宋体"/>
          <w:sz w:val="24"/>
        </w:rPr>
        <w:t>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bookmarkStart w:id="27" w:name="_bookmark101"/>
      <w:bookmarkEnd w:id="27"/>
    </w:p>
    <w:p>
      <w:pPr>
        <w:autoSpaceDE w:val="0"/>
        <w:autoSpaceDN w:val="0"/>
        <w:adjustRightInd w:val="0"/>
        <w:spacing w:line="360" w:lineRule="auto"/>
        <w:jc w:val="left"/>
        <w:outlineLvl w:val="3"/>
        <w:rPr>
          <w:rFonts w:ascii="宋体" w:hAnsi="宋体" w:cs="TimesNewRomanPSMT"/>
          <w:b/>
          <w:kern w:val="0"/>
          <w:sz w:val="24"/>
        </w:rPr>
      </w:pPr>
      <w:r>
        <w:rPr>
          <w:rFonts w:hint="eastAsia" w:ascii="宋体" w:hAnsi="宋体" w:cs="TimesNewRomanPSMT"/>
          <w:b/>
          <w:kern w:val="0"/>
          <w:sz w:val="24"/>
        </w:rPr>
        <w:t>3.2</w:t>
      </w:r>
      <w:r>
        <w:rPr>
          <w:rFonts w:hint="eastAsia" w:ascii="宋体" w:hAnsi="宋体" w:cs="TimesNewRomanPSMT"/>
          <w:b/>
          <w:kern w:val="0"/>
          <w:sz w:val="24"/>
        </w:rPr>
        <w:tab/>
      </w:r>
      <w:r>
        <w:rPr>
          <w:rFonts w:hint="eastAsia" w:ascii="宋体" w:hAnsi="宋体" w:cs="TimesNewRomanPSMT"/>
          <w:b/>
          <w:kern w:val="0"/>
          <w:sz w:val="24"/>
        </w:rPr>
        <w:t>第一个信封详细评审</w:t>
      </w:r>
    </w:p>
    <w:p>
      <w:pPr>
        <w:pStyle w:val="2"/>
        <w:spacing w:after="0" w:line="360" w:lineRule="auto"/>
        <w:ind w:firstLine="480" w:firstLineChars="200"/>
        <w:rPr>
          <w:rFonts w:hint="eastAsia" w:ascii="宋体" w:hAnsi="宋体"/>
          <w:sz w:val="24"/>
        </w:rPr>
      </w:pPr>
      <w:r>
        <w:rPr>
          <w:rFonts w:hint="eastAsia" w:ascii="宋体" w:hAnsi="宋体"/>
          <w:sz w:val="24"/>
        </w:rPr>
        <w:t>3.2.1</w:t>
      </w:r>
      <w:r>
        <w:rPr>
          <w:rFonts w:hint="eastAsia" w:ascii="宋体" w:hAnsi="宋体"/>
          <w:sz w:val="24"/>
        </w:rPr>
        <w:tab/>
      </w:r>
      <w:r>
        <w:rPr>
          <w:rFonts w:hint="eastAsia" w:ascii="宋体" w:hAnsi="宋体"/>
          <w:sz w:val="24"/>
        </w:rPr>
        <w:t>评标委员会按本章第 2.2 款规定的量化因素和分值进行打分，并计算出各投标人的商务和技术得分。</w:t>
      </w:r>
    </w:p>
    <w:p>
      <w:pPr>
        <w:pStyle w:val="2"/>
        <w:spacing w:after="0" w:line="360" w:lineRule="auto"/>
        <w:ind w:firstLine="480" w:firstLineChars="200"/>
        <w:rPr>
          <w:rFonts w:hint="eastAsia" w:ascii="宋体" w:hAnsi="宋体"/>
          <w:sz w:val="24"/>
        </w:rPr>
      </w:pPr>
      <w:r>
        <w:rPr>
          <w:rFonts w:hint="eastAsia" w:ascii="宋体" w:hAnsi="宋体"/>
          <w:sz w:val="24"/>
        </w:rPr>
        <w:t>（1）按本章第 2.2.2 项（1）目规定的评审因素和分值对施工组织设计部分计算出得分 A；</w:t>
      </w:r>
    </w:p>
    <w:p>
      <w:pPr>
        <w:pStyle w:val="2"/>
        <w:spacing w:after="0" w:line="360" w:lineRule="auto"/>
        <w:ind w:firstLine="480" w:firstLineChars="200"/>
        <w:rPr>
          <w:rFonts w:hint="eastAsia" w:ascii="宋体" w:hAnsi="宋体"/>
          <w:sz w:val="24"/>
        </w:rPr>
      </w:pPr>
      <w:r>
        <w:rPr>
          <w:rFonts w:hint="eastAsia" w:ascii="宋体" w:hAnsi="宋体"/>
          <w:sz w:val="24"/>
        </w:rPr>
        <w:t>（2）按本章第 2.2.2 项（2）目规定的评审因素和分值对主要人员部分计算出得分 B；</w:t>
      </w:r>
    </w:p>
    <w:p>
      <w:pPr>
        <w:pStyle w:val="2"/>
        <w:spacing w:after="0" w:line="360" w:lineRule="auto"/>
        <w:ind w:firstLine="480" w:firstLineChars="200"/>
        <w:rPr>
          <w:rFonts w:hint="eastAsia" w:ascii="宋体" w:hAnsi="宋体"/>
          <w:sz w:val="24"/>
        </w:rPr>
      </w:pPr>
      <w:r>
        <w:rPr>
          <w:rFonts w:hint="eastAsia" w:ascii="宋体" w:hAnsi="宋体"/>
          <w:sz w:val="24"/>
        </w:rPr>
        <w:t>（3）按本章第 2.2.2 项（3）目规定的评审因素和分值对其他部分计算出得分 C。</w:t>
      </w:r>
    </w:p>
    <w:p>
      <w:pPr>
        <w:pStyle w:val="2"/>
        <w:spacing w:after="0" w:line="360" w:lineRule="auto"/>
        <w:ind w:firstLine="480" w:firstLineChars="200"/>
        <w:rPr>
          <w:rFonts w:hint="eastAsia" w:ascii="宋体" w:hAnsi="宋体"/>
          <w:sz w:val="24"/>
        </w:rPr>
      </w:pPr>
      <w:r>
        <w:rPr>
          <w:rFonts w:hint="eastAsia" w:ascii="宋体" w:hAnsi="宋体"/>
          <w:sz w:val="24"/>
        </w:rPr>
        <w:t>3.2.2</w:t>
      </w:r>
      <w:r>
        <w:rPr>
          <w:rFonts w:hint="eastAsia" w:ascii="宋体" w:hAnsi="宋体"/>
          <w:sz w:val="24"/>
        </w:rPr>
        <w:tab/>
      </w:r>
      <w:r>
        <w:rPr>
          <w:rFonts w:hint="eastAsia" w:ascii="宋体" w:hAnsi="宋体"/>
          <w:sz w:val="24"/>
        </w:rPr>
        <w:t>投标人的商务和技术得分分值计算保留小数点后两位，小数点后第三位</w:t>
      </w:r>
    </w:p>
    <w:p>
      <w:pPr>
        <w:pStyle w:val="2"/>
        <w:spacing w:after="0" w:line="360" w:lineRule="auto"/>
        <w:ind w:firstLine="480" w:firstLineChars="200"/>
        <w:rPr>
          <w:rFonts w:hint="eastAsia" w:ascii="宋体" w:hAnsi="宋体"/>
          <w:sz w:val="24"/>
        </w:rPr>
      </w:pPr>
      <w:r>
        <w:rPr>
          <w:rFonts w:hint="eastAsia" w:ascii="宋体" w:hAnsi="宋体"/>
          <w:sz w:val="24"/>
        </w:rPr>
        <w:t>“四舍五入”。</w:t>
      </w:r>
    </w:p>
    <w:p>
      <w:pPr>
        <w:pStyle w:val="2"/>
        <w:spacing w:after="0" w:line="360" w:lineRule="auto"/>
        <w:ind w:firstLine="480" w:firstLineChars="200"/>
        <w:rPr>
          <w:rFonts w:hint="eastAsia" w:ascii="宋体" w:hAnsi="宋体"/>
          <w:sz w:val="24"/>
        </w:rPr>
      </w:pPr>
      <w:r>
        <w:rPr>
          <w:rFonts w:hint="eastAsia" w:ascii="宋体" w:hAnsi="宋体"/>
          <w:sz w:val="24"/>
        </w:rPr>
        <w:t>3.2.3</w:t>
      </w:r>
      <w:r>
        <w:rPr>
          <w:rFonts w:hint="eastAsia" w:ascii="宋体" w:hAnsi="宋体"/>
          <w:sz w:val="24"/>
        </w:rPr>
        <w:tab/>
      </w:r>
      <w:r>
        <w:rPr>
          <w:rFonts w:hint="eastAsia" w:ascii="宋体" w:hAnsi="宋体"/>
          <w:sz w:val="24"/>
        </w:rPr>
        <w:t>投标人的商务和技术得分=A+B+C。</w:t>
      </w:r>
    </w:p>
    <w:p>
      <w:pPr>
        <w:pStyle w:val="2"/>
        <w:spacing w:after="0" w:line="360" w:lineRule="auto"/>
        <w:ind w:firstLine="480" w:firstLineChars="200"/>
        <w:rPr>
          <w:rFonts w:hint="eastAsia" w:ascii="宋体" w:hAnsi="宋体"/>
          <w:sz w:val="24"/>
        </w:rPr>
      </w:pPr>
      <w:r>
        <w:rPr>
          <w:rFonts w:hint="eastAsia" w:ascii="宋体" w:hAnsi="宋体"/>
          <w:sz w:val="24"/>
        </w:rPr>
        <w:t>3.2.4</w:t>
      </w:r>
      <w:r>
        <w:rPr>
          <w:rFonts w:hint="eastAsia" w:ascii="宋体" w:hAnsi="宋体"/>
          <w:sz w:val="24"/>
        </w:rPr>
        <w:tab/>
      </w:r>
      <w:r>
        <w:rPr>
          <w:rFonts w:hint="eastAsia" w:ascii="宋体" w:hAnsi="宋体"/>
          <w:sz w:val="24"/>
        </w:rPr>
        <w:t>评标委员会按照投标人的商务和技术得分由高到低排序，排名在评标办法前附表规定数量以内的投标人，其投标文件第一个信封（商务及技术文件）通过详细评审。</w:t>
      </w:r>
    </w:p>
    <w:p>
      <w:pPr>
        <w:pStyle w:val="2"/>
        <w:spacing w:after="0" w:line="360" w:lineRule="auto"/>
        <w:ind w:firstLine="480" w:firstLineChars="200"/>
        <w:rPr>
          <w:rFonts w:hint="eastAsia" w:ascii="宋体" w:hAnsi="宋体"/>
          <w:sz w:val="24"/>
        </w:rPr>
      </w:pPr>
      <w:r>
        <w:rPr>
          <w:rFonts w:hint="eastAsia" w:ascii="宋体" w:hAnsi="宋体"/>
          <w:sz w:val="24"/>
        </w:rPr>
        <w:t>3.2.5</w:t>
      </w:r>
      <w:r>
        <w:rPr>
          <w:rFonts w:hint="eastAsia" w:ascii="宋体" w:hAnsi="宋体"/>
          <w:sz w:val="24"/>
        </w:rPr>
        <w:tab/>
      </w:r>
      <w:r>
        <w:rPr>
          <w:rFonts w:hint="eastAsia" w:ascii="宋体" w:hAnsi="宋体"/>
          <w:sz w:val="24"/>
        </w:rPr>
        <w:t>通过投标文件第一个信封（商务及技术文件）初步评审的投标人不少于 3 个且未超过评标办法前附表第 3.2.4 项规定数量的，均通过投标文件第一个信封（商务及技术文件）详细评审，不再对投标人的商务和技术文件进行评分。</w:t>
      </w:r>
    </w:p>
    <w:p>
      <w:pPr>
        <w:autoSpaceDE w:val="0"/>
        <w:autoSpaceDN w:val="0"/>
        <w:adjustRightInd w:val="0"/>
        <w:spacing w:line="360" w:lineRule="auto"/>
        <w:jc w:val="left"/>
        <w:outlineLvl w:val="3"/>
        <w:rPr>
          <w:rFonts w:ascii="宋体" w:hAnsi="宋体" w:cs="TimesNewRomanPSMT"/>
          <w:b/>
          <w:kern w:val="0"/>
          <w:sz w:val="24"/>
        </w:rPr>
      </w:pPr>
      <w:r>
        <w:rPr>
          <w:rFonts w:hint="eastAsia" w:ascii="宋体" w:hAnsi="宋体" w:cs="TimesNewRomanPSMT"/>
          <w:b/>
          <w:kern w:val="0"/>
          <w:sz w:val="24"/>
        </w:rPr>
        <w:t>3.</w:t>
      </w:r>
      <w:r>
        <w:rPr>
          <w:rFonts w:ascii="宋体" w:hAnsi="宋体" w:cs="TimesNewRomanPSMT"/>
          <w:b/>
          <w:kern w:val="0"/>
          <w:sz w:val="24"/>
        </w:rPr>
        <w:t>3</w:t>
      </w:r>
      <w:r>
        <w:rPr>
          <w:rFonts w:hint="eastAsia" w:ascii="宋体" w:hAnsi="宋体" w:cs="TimesNewRomanPSMT"/>
          <w:b/>
          <w:kern w:val="0"/>
          <w:sz w:val="24"/>
        </w:rPr>
        <w:t>第二个信封开标</w:t>
      </w:r>
    </w:p>
    <w:p>
      <w:pPr>
        <w:pStyle w:val="2"/>
        <w:spacing w:after="0" w:line="360" w:lineRule="auto"/>
        <w:ind w:firstLine="480" w:firstLineChars="200"/>
        <w:rPr>
          <w:rFonts w:ascii="宋体" w:hAnsi="宋体"/>
          <w:sz w:val="24"/>
        </w:rPr>
      </w:pPr>
      <w:r>
        <w:rPr>
          <w:rFonts w:ascii="宋体" w:hAnsi="宋体"/>
          <w:sz w:val="24"/>
        </w:rPr>
        <w:t>第一个信封（商务及技术文件）评审结束后，招标人将按照第二章“投标人须知” 第 5.1 款规定的时间和地点对通过投标文件第一个信封（商务及技术文件）评审的投标文件第二个信封（报价文件）进行开标。</w:t>
      </w:r>
    </w:p>
    <w:p>
      <w:pPr>
        <w:autoSpaceDE w:val="0"/>
        <w:autoSpaceDN w:val="0"/>
        <w:adjustRightInd w:val="0"/>
        <w:spacing w:line="360" w:lineRule="auto"/>
        <w:jc w:val="left"/>
        <w:outlineLvl w:val="3"/>
        <w:rPr>
          <w:rFonts w:ascii="宋体" w:hAnsi="宋体" w:cs="TimesNewRomanPSMT"/>
          <w:b/>
          <w:kern w:val="0"/>
          <w:sz w:val="24"/>
        </w:rPr>
      </w:pPr>
      <w:bookmarkStart w:id="28" w:name="_bookmark102"/>
      <w:bookmarkEnd w:id="28"/>
      <w:r>
        <w:rPr>
          <w:rFonts w:hint="eastAsia" w:ascii="宋体" w:hAnsi="宋体" w:cs="TimesNewRomanPSMT"/>
          <w:b/>
          <w:kern w:val="0"/>
          <w:sz w:val="24"/>
        </w:rPr>
        <w:t>3.</w:t>
      </w:r>
      <w:r>
        <w:rPr>
          <w:rFonts w:ascii="宋体" w:hAnsi="宋体" w:cs="TimesNewRomanPSMT"/>
          <w:b/>
          <w:kern w:val="0"/>
          <w:sz w:val="24"/>
        </w:rPr>
        <w:t>4</w:t>
      </w:r>
      <w:r>
        <w:rPr>
          <w:rFonts w:hint="eastAsia" w:ascii="宋体" w:hAnsi="宋体" w:cs="TimesNewRomanPSMT"/>
          <w:b/>
          <w:kern w:val="0"/>
          <w:sz w:val="24"/>
        </w:rPr>
        <w:t>第二个信封初步评审</w:t>
      </w:r>
    </w:p>
    <w:p>
      <w:pPr>
        <w:pStyle w:val="2"/>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.1</w:t>
      </w:r>
      <w:r>
        <w:rPr>
          <w:rFonts w:ascii="宋体" w:hAnsi="宋体"/>
          <w:sz w:val="24"/>
        </w:rPr>
        <w:t>评标委员会依据本章第 2.1.1 项、第 2.1.3 项规定的评审标准对投标文件第二个信封（报价文件）进行初步评审。有一项不符合评审标准的，评标委员会应否决其投标。</w:t>
      </w:r>
    </w:p>
    <w:p>
      <w:pPr>
        <w:pStyle w:val="2"/>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.2</w:t>
      </w:r>
      <w:r>
        <w:rPr>
          <w:rFonts w:ascii="宋体" w:hAnsi="宋体"/>
          <w:sz w:val="24"/>
        </w:rPr>
        <w:t>投标报价有算术错误的，评标委员会按以下原则对投标报价进行修正， 修正的价格经投标人书面确认后具有约束力。投标人不接受修正价格的，评标委员会应否决其投标。</w:t>
      </w:r>
    </w:p>
    <w:p>
      <w:pPr>
        <w:pStyle w:val="2"/>
        <w:spacing w:after="0" w:line="360" w:lineRule="auto"/>
        <w:ind w:firstLine="480" w:firstLineChars="200"/>
        <w:rPr>
          <w:rFonts w:ascii="宋体" w:hAnsi="宋体"/>
          <w:sz w:val="24"/>
        </w:rPr>
      </w:pPr>
      <w:r>
        <w:rPr>
          <w:rFonts w:ascii="宋体" w:hAnsi="宋体"/>
          <w:sz w:val="24"/>
        </w:rPr>
        <w:t>（1）投标文件中的大写金额与小写金额不一致的，以大写金额为准；</w:t>
      </w:r>
    </w:p>
    <w:p>
      <w:pPr>
        <w:pStyle w:val="2"/>
        <w:spacing w:after="0" w:line="360" w:lineRule="auto"/>
        <w:ind w:firstLine="480" w:firstLineChars="200"/>
        <w:rPr>
          <w:rFonts w:ascii="宋体" w:hAnsi="宋体"/>
          <w:sz w:val="24"/>
        </w:rPr>
      </w:pPr>
      <w:r>
        <w:rPr>
          <w:rFonts w:ascii="宋体" w:hAnsi="宋体"/>
          <w:sz w:val="24"/>
        </w:rPr>
        <w:t>（2）总价金额与依据单价计算出的结果不一致的，以单价金额为准修正总价， 但单价金额小数点有明显错误的除外；</w:t>
      </w:r>
    </w:p>
    <w:p>
      <w:pPr>
        <w:pStyle w:val="2"/>
        <w:spacing w:after="0" w:line="360" w:lineRule="auto"/>
        <w:ind w:firstLine="480" w:firstLineChars="200"/>
        <w:rPr>
          <w:rFonts w:ascii="宋体" w:hAnsi="宋体"/>
          <w:sz w:val="24"/>
        </w:rPr>
      </w:pPr>
      <w:r>
        <w:rPr>
          <w:rFonts w:ascii="宋体" w:hAnsi="宋体"/>
          <w:sz w:val="24"/>
        </w:rPr>
        <w:t>（3）当单价与数量相乘不等于合价时，以单价计算为准，如果单价有明显的小数点位置差错，应以标出的合价为准，同时对单价予以修正；</w:t>
      </w:r>
    </w:p>
    <w:p>
      <w:pPr>
        <w:pStyle w:val="2"/>
        <w:spacing w:after="0" w:line="360" w:lineRule="auto"/>
        <w:ind w:firstLine="480" w:firstLineChars="200"/>
        <w:rPr>
          <w:rFonts w:ascii="宋体" w:hAnsi="宋体"/>
          <w:sz w:val="24"/>
        </w:rPr>
      </w:pPr>
      <w:r>
        <w:rPr>
          <w:rFonts w:ascii="宋体" w:hAnsi="宋体"/>
          <w:sz w:val="24"/>
        </w:rPr>
        <w:t>（4）当各子目的合价累计不等于总价时，应以各子目合价累计数为准，修正总价。</w:t>
      </w:r>
    </w:p>
    <w:p>
      <w:pPr>
        <w:pStyle w:val="2"/>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.3</w:t>
      </w:r>
      <w:r>
        <w:rPr>
          <w:rFonts w:ascii="宋体" w:hAnsi="宋体"/>
          <w:sz w:val="24"/>
        </w:rPr>
        <w:t>工程量清单中的投标报价有其他错误的，评标委员会按以下原则对投标报价进行修正，修正的价格经投标人书面确认后具有约束力。投标人不接受修正价格的，评标委员会应否决其投标。</w:t>
      </w:r>
    </w:p>
    <w:p>
      <w:pPr>
        <w:pStyle w:val="2"/>
        <w:spacing w:after="0" w:line="360" w:lineRule="auto"/>
        <w:ind w:firstLine="480" w:firstLineChars="200"/>
        <w:rPr>
          <w:rFonts w:ascii="宋体" w:hAnsi="宋体"/>
          <w:sz w:val="24"/>
        </w:rPr>
      </w:pPr>
      <w:r>
        <w:rPr>
          <w:rFonts w:ascii="宋体" w:hAnsi="宋体"/>
          <w:sz w:val="24"/>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2"/>
        <w:spacing w:after="0" w:line="360" w:lineRule="auto"/>
        <w:ind w:firstLine="480" w:firstLineChars="200"/>
        <w:rPr>
          <w:rFonts w:ascii="宋体" w:hAnsi="宋体"/>
          <w:sz w:val="24"/>
        </w:rPr>
      </w:pPr>
      <w:r>
        <w:rPr>
          <w:rFonts w:ascii="宋体" w:hAnsi="宋体"/>
          <w:sz w:val="24"/>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pStyle w:val="2"/>
        <w:spacing w:after="0" w:line="360" w:lineRule="auto"/>
        <w:ind w:firstLine="480" w:firstLineChars="200"/>
        <w:rPr>
          <w:rFonts w:ascii="宋体" w:hAnsi="宋体"/>
          <w:sz w:val="24"/>
        </w:rPr>
      </w:pPr>
      <w:r>
        <w:rPr>
          <w:rFonts w:ascii="宋体" w:hAnsi="宋体"/>
          <w:sz w:val="24"/>
        </w:rPr>
        <w:t>（3）当单价与数量的乘积与合价（金额）虽然一致，但投标人修改了该子目的工程数量，则其合价按招标人给定的工程数量乘以投标人所报单价予以修正。</w:t>
      </w:r>
    </w:p>
    <w:p>
      <w:pPr>
        <w:pStyle w:val="2"/>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.4</w:t>
      </w:r>
      <w:r>
        <w:rPr>
          <w:rFonts w:ascii="宋体" w:hAnsi="宋体"/>
          <w:sz w:val="24"/>
        </w:rPr>
        <w:t>修正后的最终投标报价若超过最高投标限价（如有），评标委员会应否决其投标。</w:t>
      </w:r>
    </w:p>
    <w:p>
      <w:pPr>
        <w:pStyle w:val="2"/>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.5</w:t>
      </w:r>
      <w:r>
        <w:rPr>
          <w:rFonts w:ascii="宋体" w:hAnsi="宋体"/>
          <w:sz w:val="24"/>
        </w:rPr>
        <w:t>修正后的最终投标报价仅作为签订合同的一个依据，不参与评标价得分的计算。</w:t>
      </w:r>
    </w:p>
    <w:p>
      <w:pPr>
        <w:autoSpaceDE w:val="0"/>
        <w:autoSpaceDN w:val="0"/>
        <w:adjustRightInd w:val="0"/>
        <w:spacing w:line="360" w:lineRule="auto"/>
        <w:jc w:val="left"/>
        <w:outlineLvl w:val="3"/>
        <w:rPr>
          <w:rFonts w:ascii="宋体" w:hAnsi="宋体" w:cs="TimesNewRomanPSMT"/>
          <w:b/>
          <w:kern w:val="0"/>
          <w:sz w:val="24"/>
        </w:rPr>
      </w:pPr>
      <w:bookmarkStart w:id="29" w:name="_bookmark103"/>
      <w:bookmarkEnd w:id="29"/>
      <w:r>
        <w:rPr>
          <w:rFonts w:hint="eastAsia" w:ascii="宋体" w:hAnsi="宋体" w:cs="TimesNewRomanPSMT"/>
          <w:b/>
          <w:kern w:val="0"/>
          <w:sz w:val="24"/>
        </w:rPr>
        <w:t>3.</w:t>
      </w:r>
      <w:r>
        <w:rPr>
          <w:rFonts w:ascii="宋体" w:hAnsi="宋体" w:cs="TimesNewRomanPSMT"/>
          <w:b/>
          <w:kern w:val="0"/>
          <w:sz w:val="24"/>
        </w:rPr>
        <w:t>5</w:t>
      </w:r>
      <w:r>
        <w:rPr>
          <w:rFonts w:hint="eastAsia" w:ascii="宋体" w:hAnsi="宋体" w:cs="TimesNewRomanPSMT"/>
          <w:b/>
          <w:kern w:val="0"/>
          <w:sz w:val="24"/>
        </w:rPr>
        <w:t>第二个信封详细评审</w:t>
      </w:r>
    </w:p>
    <w:p>
      <w:pPr>
        <w:pStyle w:val="2"/>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5</w:t>
      </w:r>
      <w:r>
        <w:rPr>
          <w:rFonts w:hint="eastAsia" w:ascii="宋体" w:hAnsi="宋体"/>
          <w:sz w:val="24"/>
        </w:rPr>
        <w:t>.1</w:t>
      </w:r>
      <w:r>
        <w:rPr>
          <w:rFonts w:ascii="宋体" w:hAnsi="宋体"/>
          <w:sz w:val="24"/>
        </w:rPr>
        <w:t>评标委员会按本章第 2.2 款规定的量化因素和分值进行打分，</w:t>
      </w:r>
      <w:r>
        <w:rPr>
          <w:rFonts w:hint="eastAsia" w:ascii="宋体" w:hAnsi="宋体"/>
          <w:sz w:val="24"/>
        </w:rPr>
        <w:t>计算出评标价，并编制价格比较一览表</w:t>
      </w:r>
      <w:r>
        <w:rPr>
          <w:rFonts w:ascii="宋体" w:hAnsi="宋体"/>
          <w:sz w:val="24"/>
        </w:rPr>
        <w:t>。</w:t>
      </w:r>
    </w:p>
    <w:p>
      <w:pPr>
        <w:pStyle w:val="2"/>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5</w:t>
      </w:r>
      <w:r>
        <w:rPr>
          <w:rFonts w:hint="eastAsia" w:ascii="宋体" w:hAnsi="宋体"/>
          <w:sz w:val="24"/>
        </w:rPr>
        <w:t>.2</w:t>
      </w:r>
      <w:r>
        <w:rPr>
          <w:rFonts w:ascii="宋体" w:hAnsi="宋体"/>
          <w:sz w:val="24"/>
        </w:rPr>
        <w:t>投标人得分分值计算保留小数点后两位，小数点后第三位“四舍五入”。</w:t>
      </w:r>
    </w:p>
    <w:p>
      <w:pPr>
        <w:pStyle w:val="2"/>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5</w:t>
      </w:r>
      <w:r>
        <w:rPr>
          <w:rFonts w:hint="eastAsia" w:ascii="宋体" w:hAnsi="宋体"/>
          <w:sz w:val="24"/>
        </w:rPr>
        <w:t>.3</w:t>
      </w:r>
      <w:r>
        <w:rPr>
          <w:rFonts w:ascii="宋体" w:hAnsi="宋体"/>
          <w:sz w:val="24"/>
        </w:rPr>
        <w:t>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autoSpaceDE w:val="0"/>
        <w:autoSpaceDN w:val="0"/>
        <w:adjustRightInd w:val="0"/>
        <w:spacing w:line="360" w:lineRule="auto"/>
        <w:jc w:val="left"/>
        <w:outlineLvl w:val="3"/>
        <w:rPr>
          <w:rFonts w:ascii="宋体" w:hAnsi="宋体" w:cs="TimesNewRomanPSMT"/>
          <w:b/>
          <w:kern w:val="0"/>
          <w:sz w:val="24"/>
        </w:rPr>
      </w:pPr>
      <w:bookmarkStart w:id="30" w:name="_bookmark104"/>
      <w:bookmarkEnd w:id="30"/>
      <w:r>
        <w:rPr>
          <w:rFonts w:hint="eastAsia" w:ascii="宋体" w:hAnsi="宋体" w:cs="TimesNewRomanPSMT"/>
          <w:b/>
          <w:kern w:val="0"/>
          <w:sz w:val="24"/>
        </w:rPr>
        <w:t>3.</w:t>
      </w:r>
      <w:r>
        <w:rPr>
          <w:rFonts w:ascii="宋体" w:hAnsi="宋体" w:cs="TimesNewRomanPSMT"/>
          <w:b/>
          <w:kern w:val="0"/>
          <w:sz w:val="24"/>
        </w:rPr>
        <w:t>6</w:t>
      </w:r>
      <w:r>
        <w:rPr>
          <w:rFonts w:hint="eastAsia" w:ascii="宋体" w:hAnsi="宋体" w:cs="TimesNewRomanPSMT"/>
          <w:b/>
          <w:kern w:val="0"/>
          <w:sz w:val="24"/>
        </w:rPr>
        <w:t>投标文件相关信息的核查</w:t>
      </w:r>
    </w:p>
    <w:p>
      <w:pPr>
        <w:pStyle w:val="2"/>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6</w:t>
      </w:r>
      <w:r>
        <w:rPr>
          <w:rFonts w:hint="eastAsia" w:ascii="宋体" w:hAnsi="宋体"/>
          <w:sz w:val="24"/>
        </w:rPr>
        <w:t>.1</w:t>
      </w:r>
      <w:r>
        <w:rPr>
          <w:rFonts w:ascii="宋体" w:hAnsi="宋体"/>
          <w:sz w:val="24"/>
        </w:rPr>
        <w:t>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 评标委员会应否决其投标。</w:t>
      </w:r>
    </w:p>
    <w:p>
      <w:pPr>
        <w:pStyle w:val="2"/>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6</w:t>
      </w:r>
      <w:r>
        <w:rPr>
          <w:rFonts w:hint="eastAsia" w:ascii="宋体" w:hAnsi="宋体"/>
          <w:sz w:val="24"/>
        </w:rPr>
        <w:t>.2</w:t>
      </w:r>
      <w:r>
        <w:rPr>
          <w:rFonts w:ascii="宋体" w:hAnsi="宋体"/>
          <w:sz w:val="24"/>
        </w:rPr>
        <w:t>评标委员会应对在评标过程中发现的投标人与投标人之间、投标人与招标人之间存在的串通投标的情形进行评审和认定。投标人存在串通投标、弄虚作假、行贿等违法行为的，评标委员会应否决其投标。</w:t>
      </w:r>
    </w:p>
    <w:p>
      <w:pPr>
        <w:pStyle w:val="2"/>
        <w:spacing w:after="0" w:line="360" w:lineRule="auto"/>
        <w:ind w:firstLine="480" w:firstLineChars="200"/>
        <w:rPr>
          <w:rFonts w:ascii="宋体" w:hAnsi="宋体"/>
          <w:sz w:val="24"/>
        </w:rPr>
      </w:pPr>
      <w:r>
        <w:rPr>
          <w:rFonts w:ascii="宋体" w:hAnsi="宋体"/>
          <w:sz w:val="24"/>
        </w:rPr>
        <w:t>（1）有下列情形之一的，属于投标人相互串通投标：</w:t>
      </w:r>
    </w:p>
    <w:p>
      <w:pPr>
        <w:pStyle w:val="2"/>
        <w:spacing w:after="0" w:line="360" w:lineRule="auto"/>
        <w:ind w:firstLine="480" w:firstLineChars="200"/>
        <w:rPr>
          <w:rFonts w:ascii="宋体" w:hAnsi="宋体"/>
          <w:sz w:val="24"/>
        </w:rPr>
      </w:pPr>
      <w:r>
        <w:rPr>
          <w:rFonts w:ascii="宋体" w:hAnsi="宋体"/>
          <w:sz w:val="24"/>
        </w:rPr>
        <w:t>a.投标人之间协商投标报价等投标文件的实质性内容；</w:t>
      </w:r>
    </w:p>
    <w:p>
      <w:pPr>
        <w:pStyle w:val="2"/>
        <w:spacing w:after="0" w:line="360" w:lineRule="auto"/>
        <w:ind w:firstLine="480" w:firstLineChars="200"/>
        <w:rPr>
          <w:rFonts w:ascii="宋体" w:hAnsi="宋体"/>
          <w:sz w:val="24"/>
        </w:rPr>
      </w:pPr>
      <w:r>
        <w:rPr>
          <w:rFonts w:ascii="宋体" w:hAnsi="宋体"/>
          <w:sz w:val="24"/>
        </w:rPr>
        <w:t>b.投标人之间约定中标人；</w:t>
      </w:r>
    </w:p>
    <w:p>
      <w:pPr>
        <w:pStyle w:val="2"/>
        <w:spacing w:after="0" w:line="360" w:lineRule="auto"/>
        <w:ind w:firstLine="480" w:firstLineChars="200"/>
        <w:rPr>
          <w:rFonts w:ascii="宋体" w:hAnsi="宋体"/>
          <w:sz w:val="24"/>
        </w:rPr>
      </w:pPr>
      <w:r>
        <w:rPr>
          <w:rFonts w:ascii="宋体" w:hAnsi="宋体"/>
          <w:sz w:val="24"/>
        </w:rPr>
        <w:t>c.投标人之间约定部分投标人放弃投标或中标；</w:t>
      </w:r>
    </w:p>
    <w:p>
      <w:pPr>
        <w:pStyle w:val="2"/>
        <w:spacing w:after="0" w:line="360" w:lineRule="auto"/>
        <w:ind w:firstLine="480" w:firstLineChars="200"/>
        <w:rPr>
          <w:rFonts w:ascii="宋体" w:hAnsi="宋体"/>
          <w:sz w:val="24"/>
        </w:rPr>
      </w:pPr>
      <w:r>
        <w:rPr>
          <w:rFonts w:ascii="宋体" w:hAnsi="宋体"/>
          <w:sz w:val="24"/>
        </w:rPr>
        <w:t>d.属于同一集团、协会、商会等组织成员的投标人按照该组织要求协同投标；</w:t>
      </w:r>
    </w:p>
    <w:p>
      <w:pPr>
        <w:pStyle w:val="2"/>
        <w:spacing w:after="0" w:line="360" w:lineRule="auto"/>
        <w:ind w:firstLine="480" w:firstLineChars="200"/>
        <w:rPr>
          <w:rFonts w:ascii="宋体" w:hAnsi="宋体"/>
          <w:sz w:val="24"/>
        </w:rPr>
      </w:pPr>
      <w:r>
        <w:rPr>
          <w:rFonts w:ascii="宋体" w:hAnsi="宋体"/>
          <w:sz w:val="24"/>
        </w:rPr>
        <w:t>e.投标人之间为谋取中标或排斥特定投标人而采取的其他联合行动。</w:t>
      </w:r>
    </w:p>
    <w:p>
      <w:pPr>
        <w:pStyle w:val="2"/>
        <w:spacing w:after="0" w:line="360" w:lineRule="auto"/>
        <w:ind w:firstLine="480" w:firstLineChars="200"/>
        <w:rPr>
          <w:rFonts w:ascii="宋体" w:hAnsi="宋体"/>
          <w:sz w:val="24"/>
        </w:rPr>
      </w:pPr>
      <w:r>
        <w:rPr>
          <w:rFonts w:ascii="宋体" w:hAnsi="宋体"/>
          <w:sz w:val="24"/>
        </w:rPr>
        <w:t>（2）有下列情形之一的，视为投标人相互串通投标：</w:t>
      </w:r>
    </w:p>
    <w:p>
      <w:pPr>
        <w:pStyle w:val="2"/>
        <w:spacing w:after="0" w:line="360" w:lineRule="auto"/>
        <w:ind w:firstLine="480" w:firstLineChars="200"/>
        <w:rPr>
          <w:rFonts w:hint="eastAsia" w:ascii="宋体" w:hAnsi="宋体"/>
          <w:sz w:val="24"/>
        </w:rPr>
      </w:pPr>
      <w:r>
        <w:rPr>
          <w:rFonts w:ascii="宋体" w:hAnsi="宋体"/>
          <w:sz w:val="24"/>
        </w:rPr>
        <w:t xml:space="preserve">a.不同投标人的投标文件由同一单位或个人编制； </w:t>
      </w:r>
    </w:p>
    <w:p>
      <w:pPr>
        <w:pStyle w:val="2"/>
        <w:spacing w:after="0" w:line="360" w:lineRule="auto"/>
        <w:ind w:firstLine="480" w:firstLineChars="200"/>
        <w:rPr>
          <w:rFonts w:ascii="宋体" w:hAnsi="宋体"/>
          <w:sz w:val="24"/>
        </w:rPr>
      </w:pPr>
      <w:r>
        <w:rPr>
          <w:rFonts w:ascii="宋体" w:hAnsi="宋体"/>
          <w:sz w:val="24"/>
        </w:rPr>
        <w:t>b.不同投标人委托同一单位或个人办理投标事宜；</w:t>
      </w:r>
    </w:p>
    <w:p>
      <w:pPr>
        <w:pStyle w:val="2"/>
        <w:spacing w:after="0" w:line="360" w:lineRule="auto"/>
        <w:ind w:firstLine="480" w:firstLineChars="200"/>
        <w:rPr>
          <w:rFonts w:ascii="宋体" w:hAnsi="宋体"/>
          <w:sz w:val="24"/>
        </w:rPr>
      </w:pPr>
      <w:r>
        <w:rPr>
          <w:rFonts w:ascii="宋体" w:hAnsi="宋体"/>
          <w:sz w:val="24"/>
        </w:rPr>
        <w:t>c.不同投标人的投标文件载明的项目管理成员为同一人；</w:t>
      </w:r>
    </w:p>
    <w:p>
      <w:pPr>
        <w:pStyle w:val="2"/>
        <w:spacing w:after="0" w:line="360" w:lineRule="auto"/>
        <w:ind w:firstLine="480" w:firstLineChars="200"/>
        <w:rPr>
          <w:rFonts w:ascii="宋体" w:hAnsi="宋体"/>
          <w:sz w:val="24"/>
        </w:rPr>
      </w:pPr>
      <w:r>
        <w:rPr>
          <w:rFonts w:ascii="宋体" w:hAnsi="宋体"/>
          <w:sz w:val="24"/>
        </w:rPr>
        <w:t>d.不同投标人的投标文件异常一致或投标报价呈规律性差异；</w:t>
      </w:r>
    </w:p>
    <w:p>
      <w:pPr>
        <w:pStyle w:val="2"/>
        <w:spacing w:after="0" w:line="360" w:lineRule="auto"/>
        <w:ind w:firstLine="480" w:firstLineChars="200"/>
        <w:rPr>
          <w:rFonts w:hint="eastAsia" w:ascii="宋体" w:hAnsi="宋体"/>
          <w:sz w:val="24"/>
        </w:rPr>
      </w:pPr>
      <w:r>
        <w:rPr>
          <w:rFonts w:ascii="宋体" w:hAnsi="宋体"/>
          <w:sz w:val="24"/>
        </w:rPr>
        <w:t>e.不同投标人的投标文件相互混装；</w:t>
      </w:r>
    </w:p>
    <w:p>
      <w:pPr>
        <w:pStyle w:val="2"/>
        <w:spacing w:after="0" w:line="360" w:lineRule="auto"/>
        <w:ind w:firstLine="480" w:firstLineChars="200"/>
        <w:rPr>
          <w:rFonts w:ascii="宋体" w:hAnsi="宋体"/>
          <w:sz w:val="24"/>
        </w:rPr>
      </w:pPr>
      <w:r>
        <w:rPr>
          <w:rFonts w:ascii="宋体" w:hAnsi="宋体"/>
          <w:sz w:val="24"/>
        </w:rPr>
        <w:t>f.不同投标人的投标保证金从同一单位或个人的账户转出。</w:t>
      </w:r>
    </w:p>
    <w:p>
      <w:pPr>
        <w:pStyle w:val="2"/>
        <w:spacing w:after="0" w:line="360" w:lineRule="auto"/>
        <w:ind w:firstLine="480" w:firstLineChars="200"/>
        <w:rPr>
          <w:rFonts w:ascii="宋体" w:hAnsi="宋体"/>
          <w:sz w:val="24"/>
        </w:rPr>
      </w:pPr>
      <w:r>
        <w:rPr>
          <w:rFonts w:ascii="宋体" w:hAnsi="宋体"/>
          <w:sz w:val="24"/>
        </w:rPr>
        <w:t>（3）有下列情形之一的，属于招标人与投标人串通投标：</w:t>
      </w:r>
    </w:p>
    <w:p>
      <w:pPr>
        <w:pStyle w:val="2"/>
        <w:spacing w:after="0" w:line="360" w:lineRule="auto"/>
        <w:ind w:firstLine="480" w:firstLineChars="200"/>
        <w:rPr>
          <w:rFonts w:ascii="宋体" w:hAnsi="宋体"/>
          <w:sz w:val="24"/>
        </w:rPr>
      </w:pPr>
      <w:r>
        <w:rPr>
          <w:rFonts w:ascii="宋体" w:hAnsi="宋体"/>
          <w:sz w:val="24"/>
        </w:rPr>
        <w:t>a.招标人在开标前开启投标文件并将有关信息泄露给其他投标人;</w:t>
      </w:r>
    </w:p>
    <w:p>
      <w:pPr>
        <w:pStyle w:val="2"/>
        <w:spacing w:after="0" w:line="360" w:lineRule="auto"/>
        <w:ind w:firstLine="480" w:firstLineChars="200"/>
        <w:rPr>
          <w:rFonts w:ascii="宋体" w:hAnsi="宋体"/>
          <w:sz w:val="24"/>
        </w:rPr>
      </w:pPr>
      <w:r>
        <w:rPr>
          <w:rFonts w:ascii="宋体" w:hAnsi="宋体"/>
          <w:sz w:val="24"/>
        </w:rPr>
        <w:t>b.招标人直接或间接向投标人泄露标底、评标委员会成员等信息；</w:t>
      </w:r>
    </w:p>
    <w:p>
      <w:pPr>
        <w:pStyle w:val="2"/>
        <w:spacing w:after="0" w:line="360" w:lineRule="auto"/>
        <w:ind w:firstLine="480" w:firstLineChars="200"/>
        <w:rPr>
          <w:rFonts w:ascii="宋体" w:hAnsi="宋体"/>
          <w:sz w:val="24"/>
        </w:rPr>
      </w:pPr>
      <w:r>
        <w:rPr>
          <w:rFonts w:ascii="宋体" w:hAnsi="宋体"/>
          <w:sz w:val="24"/>
        </w:rPr>
        <w:t>c.招标人明示或暗示投标人压低或抬高投标报价；</w:t>
      </w:r>
    </w:p>
    <w:p>
      <w:pPr>
        <w:pStyle w:val="2"/>
        <w:spacing w:after="0" w:line="360" w:lineRule="auto"/>
        <w:ind w:firstLine="480" w:firstLineChars="200"/>
        <w:rPr>
          <w:rFonts w:hint="eastAsia" w:ascii="宋体" w:hAnsi="宋体"/>
          <w:sz w:val="24"/>
        </w:rPr>
      </w:pPr>
      <w:r>
        <w:rPr>
          <w:rFonts w:ascii="宋体" w:hAnsi="宋体"/>
          <w:sz w:val="24"/>
        </w:rPr>
        <w:t>d.招标人授意投标人撤换、修改投标文件；</w:t>
      </w:r>
    </w:p>
    <w:p>
      <w:pPr>
        <w:pStyle w:val="2"/>
        <w:spacing w:after="0" w:line="360" w:lineRule="auto"/>
        <w:ind w:firstLine="480" w:firstLineChars="200"/>
        <w:rPr>
          <w:rFonts w:ascii="宋体" w:hAnsi="宋体"/>
          <w:sz w:val="24"/>
        </w:rPr>
      </w:pPr>
      <w:r>
        <w:rPr>
          <w:rFonts w:ascii="宋体" w:hAnsi="宋体"/>
          <w:sz w:val="24"/>
        </w:rPr>
        <w:t>e.招标人明示或暗示投标人为特定投标人中标提供方便；</w:t>
      </w:r>
    </w:p>
    <w:p>
      <w:pPr>
        <w:pStyle w:val="2"/>
        <w:spacing w:after="0" w:line="360" w:lineRule="auto"/>
        <w:ind w:firstLine="480" w:firstLineChars="200"/>
        <w:rPr>
          <w:rFonts w:ascii="宋体" w:hAnsi="宋体"/>
          <w:sz w:val="24"/>
        </w:rPr>
      </w:pPr>
      <w:r>
        <w:rPr>
          <w:rFonts w:ascii="宋体" w:hAnsi="宋体"/>
          <w:sz w:val="24"/>
        </w:rPr>
        <w:t>f.招标人与投标人为谋求特定投标人中标而采取的其他串通行为。</w:t>
      </w:r>
    </w:p>
    <w:p>
      <w:pPr>
        <w:pStyle w:val="2"/>
        <w:spacing w:after="0" w:line="360" w:lineRule="auto"/>
        <w:ind w:firstLine="480" w:firstLineChars="200"/>
        <w:rPr>
          <w:rFonts w:ascii="宋体" w:hAnsi="宋体"/>
          <w:sz w:val="24"/>
        </w:rPr>
      </w:pPr>
      <w:r>
        <w:rPr>
          <w:rFonts w:ascii="宋体" w:hAnsi="宋体"/>
          <w:sz w:val="24"/>
        </w:rPr>
        <w:t>（4）投标人有下列情形之一的，属于弄虚作假的行为：</w:t>
      </w:r>
    </w:p>
    <w:p>
      <w:pPr>
        <w:pStyle w:val="2"/>
        <w:spacing w:after="0" w:line="360" w:lineRule="auto"/>
        <w:ind w:firstLine="480" w:firstLineChars="200"/>
        <w:rPr>
          <w:rFonts w:ascii="宋体" w:hAnsi="宋体"/>
          <w:sz w:val="24"/>
        </w:rPr>
      </w:pPr>
      <w:r>
        <w:rPr>
          <w:rFonts w:ascii="宋体" w:hAnsi="宋体"/>
          <w:sz w:val="24"/>
        </w:rPr>
        <w:t>a.使用通过受让或租借等方式获取的资格、资质证书投标；</w:t>
      </w:r>
    </w:p>
    <w:p>
      <w:pPr>
        <w:pStyle w:val="2"/>
        <w:spacing w:after="0" w:line="360" w:lineRule="auto"/>
        <w:ind w:firstLine="480" w:firstLineChars="200"/>
        <w:rPr>
          <w:rFonts w:ascii="宋体" w:hAnsi="宋体"/>
          <w:sz w:val="24"/>
        </w:rPr>
      </w:pPr>
      <w:r>
        <w:rPr>
          <w:rFonts w:ascii="宋体" w:hAnsi="宋体"/>
          <w:sz w:val="24"/>
        </w:rPr>
        <w:t>b.使用伪造、变造的许可证件；</w:t>
      </w:r>
    </w:p>
    <w:p>
      <w:pPr>
        <w:pStyle w:val="2"/>
        <w:spacing w:after="0" w:line="360" w:lineRule="auto"/>
        <w:ind w:firstLine="480" w:firstLineChars="200"/>
        <w:rPr>
          <w:rFonts w:ascii="宋体" w:hAnsi="宋体"/>
          <w:sz w:val="24"/>
        </w:rPr>
      </w:pPr>
      <w:r>
        <w:rPr>
          <w:rFonts w:ascii="宋体" w:hAnsi="宋体"/>
          <w:sz w:val="24"/>
        </w:rPr>
        <w:t>c.提供虚假的财务状况或业绩；</w:t>
      </w:r>
    </w:p>
    <w:p>
      <w:pPr>
        <w:pStyle w:val="2"/>
        <w:spacing w:after="0" w:line="360" w:lineRule="auto"/>
        <w:ind w:firstLine="480" w:firstLineChars="200"/>
        <w:rPr>
          <w:rFonts w:ascii="宋体" w:hAnsi="宋体"/>
          <w:sz w:val="24"/>
        </w:rPr>
      </w:pPr>
      <w:r>
        <w:rPr>
          <w:rFonts w:ascii="宋体" w:hAnsi="宋体"/>
          <w:sz w:val="24"/>
        </w:rPr>
        <w:t>d.提供虚假的项目经理或主要技术人员简历、劳动关系证明；</w:t>
      </w:r>
    </w:p>
    <w:p>
      <w:pPr>
        <w:pStyle w:val="2"/>
        <w:spacing w:after="0" w:line="360" w:lineRule="auto"/>
        <w:ind w:firstLine="480" w:firstLineChars="200"/>
        <w:rPr>
          <w:rFonts w:ascii="宋体" w:hAnsi="宋体"/>
          <w:sz w:val="24"/>
        </w:rPr>
      </w:pPr>
      <w:r>
        <w:rPr>
          <w:rFonts w:ascii="宋体" w:hAnsi="宋体"/>
          <w:sz w:val="24"/>
        </w:rPr>
        <w:t>e.提供虚假的信用状况；</w:t>
      </w:r>
    </w:p>
    <w:p>
      <w:pPr>
        <w:pStyle w:val="2"/>
        <w:spacing w:after="0" w:line="360" w:lineRule="auto"/>
        <w:ind w:firstLine="480" w:firstLineChars="200"/>
        <w:rPr>
          <w:rFonts w:ascii="宋体" w:hAnsi="宋体"/>
          <w:sz w:val="24"/>
        </w:rPr>
      </w:pPr>
      <w:r>
        <w:rPr>
          <w:rFonts w:ascii="宋体" w:hAnsi="宋体"/>
          <w:sz w:val="24"/>
        </w:rPr>
        <w:t>f.其他弄虚作假的行为。</w:t>
      </w:r>
    </w:p>
    <w:p>
      <w:pPr>
        <w:autoSpaceDE w:val="0"/>
        <w:autoSpaceDN w:val="0"/>
        <w:adjustRightInd w:val="0"/>
        <w:spacing w:line="360" w:lineRule="auto"/>
        <w:jc w:val="left"/>
        <w:outlineLvl w:val="3"/>
        <w:rPr>
          <w:rFonts w:ascii="宋体" w:hAnsi="宋体" w:cs="TimesNewRomanPSMT"/>
          <w:b/>
          <w:kern w:val="0"/>
          <w:sz w:val="24"/>
        </w:rPr>
      </w:pPr>
      <w:bookmarkStart w:id="31" w:name="_bookmark105"/>
      <w:bookmarkEnd w:id="31"/>
      <w:r>
        <w:rPr>
          <w:rFonts w:hint="eastAsia" w:ascii="宋体" w:hAnsi="宋体" w:cs="TimesNewRomanPSMT"/>
          <w:b/>
          <w:kern w:val="0"/>
          <w:sz w:val="24"/>
        </w:rPr>
        <w:t>3.</w:t>
      </w:r>
      <w:r>
        <w:rPr>
          <w:rFonts w:ascii="宋体" w:hAnsi="宋体" w:cs="TimesNewRomanPSMT"/>
          <w:b/>
          <w:kern w:val="0"/>
          <w:sz w:val="24"/>
        </w:rPr>
        <w:t>7</w:t>
      </w:r>
      <w:r>
        <w:rPr>
          <w:rFonts w:hint="eastAsia" w:ascii="宋体" w:hAnsi="宋体" w:cs="TimesNewRomanPSMT"/>
          <w:b/>
          <w:kern w:val="0"/>
          <w:sz w:val="24"/>
        </w:rPr>
        <w:t>投标文件的澄清和说明</w:t>
      </w:r>
    </w:p>
    <w:p>
      <w:pPr>
        <w:pStyle w:val="2"/>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7</w:t>
      </w:r>
      <w:r>
        <w:rPr>
          <w:rFonts w:hint="eastAsia" w:ascii="宋体" w:hAnsi="宋体"/>
          <w:sz w:val="24"/>
        </w:rPr>
        <w:t>.1</w:t>
      </w:r>
      <w:r>
        <w:rPr>
          <w:rFonts w:ascii="宋体" w:hAnsi="宋体"/>
          <w:sz w:val="24"/>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pStyle w:val="2"/>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7</w:t>
      </w:r>
      <w:r>
        <w:rPr>
          <w:rFonts w:hint="eastAsia" w:ascii="宋体" w:hAnsi="宋体"/>
          <w:sz w:val="24"/>
        </w:rPr>
        <w:t>.2</w:t>
      </w:r>
      <w:r>
        <w:rPr>
          <w:rFonts w:ascii="宋体" w:hAnsi="宋体"/>
          <w:sz w:val="24"/>
        </w:rPr>
        <w:t>澄清和说明不得超出投标文件的范围或改变投标文件的实质性内容（算术性错误的修正除外）。投标人的书面澄清、说明属于投标文件的组成部分。</w:t>
      </w:r>
    </w:p>
    <w:p>
      <w:pPr>
        <w:pStyle w:val="2"/>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7</w:t>
      </w:r>
      <w:r>
        <w:rPr>
          <w:rFonts w:hint="eastAsia" w:ascii="宋体" w:hAnsi="宋体"/>
          <w:sz w:val="24"/>
        </w:rPr>
        <w:t>.3</w:t>
      </w:r>
      <w:r>
        <w:rPr>
          <w:rFonts w:ascii="宋体" w:hAnsi="宋体"/>
          <w:sz w:val="24"/>
        </w:rPr>
        <w:t>评标委员会不得暗示或诱导投标人作出澄清、说明，对投标人提交的澄清、说明有疑问的，可以要求投标人进一步澄清或说明，直至满足评标委员会的要求。</w:t>
      </w:r>
    </w:p>
    <w:p>
      <w:pPr>
        <w:pStyle w:val="2"/>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7</w:t>
      </w:r>
      <w:r>
        <w:rPr>
          <w:rFonts w:hint="eastAsia" w:ascii="宋体" w:hAnsi="宋体"/>
          <w:sz w:val="24"/>
        </w:rPr>
        <w:t>.4</w:t>
      </w:r>
      <w:r>
        <w:rPr>
          <w:rFonts w:ascii="宋体" w:hAnsi="宋体"/>
          <w:sz w:val="24"/>
        </w:rPr>
        <w:t>凡超出招标文件规定的或给发包人带来未曾要求的利益的变化、偏差或其他因素在评标时不予考虑。</w:t>
      </w:r>
    </w:p>
    <w:p>
      <w:pPr>
        <w:autoSpaceDE w:val="0"/>
        <w:autoSpaceDN w:val="0"/>
        <w:adjustRightInd w:val="0"/>
        <w:spacing w:line="360" w:lineRule="auto"/>
        <w:jc w:val="left"/>
        <w:outlineLvl w:val="3"/>
        <w:rPr>
          <w:rFonts w:ascii="宋体" w:hAnsi="宋体" w:cs="TimesNewRomanPSMT"/>
          <w:b/>
          <w:kern w:val="0"/>
          <w:sz w:val="24"/>
        </w:rPr>
      </w:pPr>
      <w:bookmarkStart w:id="32" w:name="_bookmark106"/>
      <w:bookmarkEnd w:id="32"/>
      <w:r>
        <w:rPr>
          <w:rFonts w:hint="eastAsia" w:ascii="宋体" w:hAnsi="宋体" w:cs="TimesNewRomanPSMT"/>
          <w:b/>
          <w:kern w:val="0"/>
          <w:sz w:val="24"/>
        </w:rPr>
        <w:t>3.</w:t>
      </w:r>
      <w:r>
        <w:rPr>
          <w:rFonts w:ascii="宋体" w:hAnsi="宋体" w:cs="TimesNewRomanPSMT"/>
          <w:b/>
          <w:kern w:val="0"/>
          <w:sz w:val="24"/>
        </w:rPr>
        <w:t>8</w:t>
      </w:r>
      <w:r>
        <w:rPr>
          <w:rFonts w:hint="eastAsia" w:ascii="宋体" w:hAnsi="宋体" w:cs="TimesNewRomanPSMT"/>
          <w:b/>
          <w:kern w:val="0"/>
          <w:sz w:val="24"/>
        </w:rPr>
        <w:t>不得否决投标的情形</w:t>
      </w:r>
    </w:p>
    <w:p>
      <w:pPr>
        <w:pStyle w:val="2"/>
        <w:spacing w:after="0" w:line="360" w:lineRule="auto"/>
        <w:ind w:firstLine="480" w:firstLineChars="200"/>
        <w:rPr>
          <w:rFonts w:ascii="宋体" w:hAnsi="宋体"/>
          <w:sz w:val="24"/>
        </w:rPr>
      </w:pPr>
      <w:r>
        <w:rPr>
          <w:rFonts w:ascii="宋体" w:hAnsi="宋体"/>
          <w:sz w:val="24"/>
        </w:rPr>
        <w:t>投标文件存在第二章“投标人须知”第 1.12.3 项所列情形的，均视为细微偏差，评标委员会不得否决投标人的投标，应按照第二章“投标人须知”第 1.12.4 项规定的原则处理。</w:t>
      </w:r>
    </w:p>
    <w:p>
      <w:pPr>
        <w:autoSpaceDE w:val="0"/>
        <w:autoSpaceDN w:val="0"/>
        <w:adjustRightInd w:val="0"/>
        <w:spacing w:line="360" w:lineRule="auto"/>
        <w:jc w:val="left"/>
        <w:outlineLvl w:val="3"/>
        <w:rPr>
          <w:rFonts w:ascii="宋体" w:hAnsi="宋体" w:cs="TimesNewRomanPSMT"/>
          <w:b/>
          <w:kern w:val="0"/>
          <w:sz w:val="24"/>
        </w:rPr>
      </w:pPr>
      <w:bookmarkStart w:id="33" w:name="_bookmark107"/>
      <w:bookmarkEnd w:id="33"/>
      <w:r>
        <w:rPr>
          <w:rFonts w:hint="eastAsia" w:ascii="宋体" w:hAnsi="宋体" w:cs="TimesNewRomanPSMT"/>
          <w:b/>
          <w:kern w:val="0"/>
          <w:sz w:val="24"/>
        </w:rPr>
        <w:t>3.</w:t>
      </w:r>
      <w:r>
        <w:rPr>
          <w:rFonts w:ascii="宋体" w:hAnsi="宋体" w:cs="TimesNewRomanPSMT"/>
          <w:b/>
          <w:kern w:val="0"/>
          <w:sz w:val="24"/>
        </w:rPr>
        <w:t>9</w:t>
      </w:r>
      <w:r>
        <w:rPr>
          <w:rFonts w:hint="eastAsia" w:ascii="宋体" w:hAnsi="宋体" w:cs="TimesNewRomanPSMT"/>
          <w:b/>
          <w:kern w:val="0"/>
          <w:sz w:val="24"/>
        </w:rPr>
        <w:t>评标结果</w:t>
      </w:r>
    </w:p>
    <w:p>
      <w:pPr>
        <w:pStyle w:val="2"/>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9</w:t>
      </w:r>
      <w:r>
        <w:rPr>
          <w:rFonts w:hint="eastAsia" w:ascii="宋体" w:hAnsi="宋体"/>
          <w:sz w:val="24"/>
        </w:rPr>
        <w:t>.1</w:t>
      </w:r>
      <w:r>
        <w:rPr>
          <w:rFonts w:ascii="宋体" w:hAnsi="宋体"/>
          <w:sz w:val="24"/>
        </w:rPr>
        <w:t>除第二章“投标人须知”前附表授权直接确定中标人外，评标委员会按照得分由高到低的顺序推荐中标候选人，并标明排序。</w:t>
      </w:r>
    </w:p>
    <w:p>
      <w:pPr>
        <w:pStyle w:val="2"/>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9</w:t>
      </w:r>
      <w:r>
        <w:rPr>
          <w:rFonts w:hint="eastAsia" w:ascii="宋体" w:hAnsi="宋体"/>
          <w:sz w:val="24"/>
        </w:rPr>
        <w:t>.2</w:t>
      </w:r>
      <w:r>
        <w:rPr>
          <w:rFonts w:ascii="宋体" w:hAnsi="宋体"/>
          <w:sz w:val="24"/>
        </w:rPr>
        <w:t>评标委员会完成评标后，应向招标人提交书面评标报告。</w:t>
      </w:r>
    </w:p>
    <w:p>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TimesNewRomanPSMT">
    <w:altName w:val="Times New Roman"/>
    <w:panose1 w:val="00000000000000000000"/>
    <w:charset w:val="00"/>
    <w:family w:val="auto"/>
    <w:pitch w:val="default"/>
    <w:sig w:usb0="00000000" w:usb1="00000000" w:usb2="0000001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31471"/>
    <w:multiLevelType w:val="multilevel"/>
    <w:tmpl w:val="58131471"/>
    <w:lvl w:ilvl="0" w:tentative="0">
      <w:start w:val="1"/>
      <w:numFmt w:val="decimal"/>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EB7AFD"/>
    <w:multiLevelType w:val="multilevel"/>
    <w:tmpl w:val="5FEB7AFD"/>
    <w:lvl w:ilvl="0" w:tentative="0">
      <w:start w:val="1"/>
      <w:numFmt w:val="japaneseCounting"/>
      <w:lvlText w:val="第%1章"/>
      <w:lvlJc w:val="left"/>
      <w:pPr>
        <w:ind w:left="1605" w:hanging="1605"/>
      </w:pPr>
      <w:rPr>
        <w:rFonts w:hint="default" w:ascii="黑体" w:hAnsi="黑体" w:eastAsia="黑体"/>
        <w:b w:val="0"/>
        <w:sz w:val="36"/>
        <w:szCs w:val="4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lMGE3ZDA4ODI1N2Y0ODc0NzNiMTZlNDBmYWRkZGMifQ=="/>
  </w:docVars>
  <w:rsids>
    <w:rsidRoot w:val="04587BE8"/>
    <w:rsid w:val="04587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customStyle="1" w:styleId="5">
    <w:name w:val="Table Paragraph"/>
    <w:basedOn w:val="1"/>
    <w:qFormat/>
    <w:uiPriority w:val="1"/>
  </w:style>
  <w:style w:type="character" w:customStyle="1" w:styleId="6">
    <w:name w:val="正文文本 (2) + 间距 0 pt5"/>
    <w:qFormat/>
    <w:uiPriority w:val="99"/>
    <w:rPr>
      <w:rFonts w:ascii="MingLiU" w:eastAsia="MingLiU" w:cs="MingLiU"/>
      <w:spacing w:val="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2022-11-30T04:02:00Z</dcterms:created>
  <dc:creator>Jocelyn</dc:creator>
  <cp:lastModifiedBy>Jocelyn</cp:lastModifiedBy>
  <dcterms:modified xsi:type="dcterms:W3CDTF">2022-11-30T04:04:08Z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9F9DABD937064BE8B949DB6A5A023E3E</vt:lpwstr>
  </property>
</Properties>
</file>